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725" w:rsidRDefault="00547725" w:rsidP="00547725">
      <w:pPr>
        <w:pStyle w:val="Header"/>
        <w:jc w:val="center"/>
        <w:rPr>
          <w:rFonts w:ascii="Arial" w:hAnsi="Arial" w:cs="Arial"/>
          <w:b/>
        </w:rPr>
      </w:pPr>
    </w:p>
    <w:p w:rsidR="00547725" w:rsidRPr="0065234B" w:rsidRDefault="00547725" w:rsidP="00B61B56">
      <w:pPr>
        <w:pStyle w:val="Heading1"/>
        <w:jc w:val="center"/>
      </w:pPr>
      <w:r>
        <w:t>July 2014</w:t>
      </w:r>
      <w:r w:rsidRPr="000109B5">
        <w:t xml:space="preserve"> PBAC OUTCOMES - </w:t>
      </w:r>
      <w:r w:rsidRPr="005206D2">
        <w:t>"1</w:t>
      </w:r>
      <w:r w:rsidRPr="005206D2">
        <w:rPr>
          <w:vertAlign w:val="superscript"/>
        </w:rPr>
        <w:t>st</w:t>
      </w:r>
      <w:r w:rsidRPr="005206D2">
        <w:t xml:space="preserve"> time" decisions not to recommend</w:t>
      </w:r>
    </w:p>
    <w:p w:rsidR="0065234B" w:rsidRDefault="0065234B">
      <w:bookmarkStart w:id="0" w:name="_GoBack"/>
      <w:bookmarkEnd w:id="0"/>
    </w:p>
    <w:p w:rsidR="0065234B" w:rsidRDefault="0065234B"/>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PBAc Outcome - July 2014 - 1st time decisions not to recommend"/>
      </w:tblPr>
      <w:tblGrid>
        <w:gridCol w:w="2552"/>
        <w:gridCol w:w="1701"/>
        <w:gridCol w:w="3402"/>
        <w:gridCol w:w="7938"/>
      </w:tblGrid>
      <w:tr w:rsidR="00987FDA" w:rsidRPr="00F609BF" w:rsidTr="00B61B56">
        <w:trPr>
          <w:tblHeader/>
        </w:trPr>
        <w:tc>
          <w:tcPr>
            <w:tcW w:w="2552" w:type="dxa"/>
            <w:tcMar>
              <w:top w:w="28" w:type="dxa"/>
              <w:bottom w:w="28" w:type="dxa"/>
            </w:tcMar>
          </w:tcPr>
          <w:p w:rsidR="0065234B" w:rsidRPr="00F609BF" w:rsidRDefault="00987FDA" w:rsidP="00403087">
            <w:pPr>
              <w:widowControl w:val="0"/>
              <w:jc w:val="center"/>
              <w:rPr>
                <w:rFonts w:ascii="Arial" w:hAnsi="Arial" w:cs="Arial"/>
                <w:b/>
              </w:rPr>
            </w:pPr>
            <w:r w:rsidRPr="00F609BF">
              <w:rPr>
                <w:rFonts w:ascii="Arial" w:hAnsi="Arial" w:cs="Arial"/>
                <w:b/>
              </w:rPr>
              <w:t>Drug Name, form(s), strength(s)</w:t>
            </w:r>
            <w:r w:rsidR="00403087">
              <w:rPr>
                <w:rFonts w:ascii="Arial" w:hAnsi="Arial" w:cs="Arial"/>
                <w:b/>
              </w:rPr>
              <w:t>,</w:t>
            </w:r>
            <w:r w:rsidRPr="00F609BF">
              <w:rPr>
                <w:rFonts w:ascii="Arial" w:hAnsi="Arial" w:cs="Arial"/>
                <w:b/>
              </w:rPr>
              <w:t xml:space="preserve"> Sponsor</w:t>
            </w:r>
            <w:r w:rsidR="00403087">
              <w:rPr>
                <w:rFonts w:ascii="Arial" w:hAnsi="Arial" w:cs="Arial"/>
                <w:b/>
              </w:rPr>
              <w:t>, Type of Submission</w:t>
            </w:r>
          </w:p>
        </w:tc>
        <w:tc>
          <w:tcPr>
            <w:tcW w:w="1701" w:type="dxa"/>
            <w:tcMar>
              <w:top w:w="28" w:type="dxa"/>
              <w:bottom w:w="28" w:type="dxa"/>
            </w:tcMar>
          </w:tcPr>
          <w:p w:rsidR="00987FDA" w:rsidRPr="00F609BF" w:rsidRDefault="00987FDA" w:rsidP="0065234B">
            <w:pPr>
              <w:widowControl w:val="0"/>
              <w:jc w:val="center"/>
              <w:rPr>
                <w:rFonts w:ascii="Arial" w:hAnsi="Arial" w:cs="Arial"/>
                <w:b/>
                <w:snapToGrid w:val="0"/>
                <w:lang w:eastAsia="en-US"/>
              </w:rPr>
            </w:pPr>
            <w:r w:rsidRPr="00F609BF">
              <w:rPr>
                <w:rFonts w:ascii="Arial" w:hAnsi="Arial" w:cs="Arial"/>
                <w:b/>
                <w:snapToGrid w:val="0"/>
                <w:lang w:eastAsia="en-US"/>
              </w:rPr>
              <w:t>Drug Type and Use</w:t>
            </w:r>
          </w:p>
          <w:p w:rsidR="00987FDA" w:rsidRPr="00F609BF" w:rsidRDefault="00987FDA" w:rsidP="0065234B">
            <w:pPr>
              <w:widowControl w:val="0"/>
              <w:jc w:val="center"/>
              <w:rPr>
                <w:rFonts w:ascii="Arial" w:hAnsi="Arial" w:cs="Arial"/>
                <w:b/>
                <w:snapToGrid w:val="0"/>
                <w:lang w:eastAsia="en-US"/>
              </w:rPr>
            </w:pPr>
          </w:p>
        </w:tc>
        <w:tc>
          <w:tcPr>
            <w:tcW w:w="3402" w:type="dxa"/>
            <w:tcMar>
              <w:top w:w="28" w:type="dxa"/>
              <w:bottom w:w="28" w:type="dxa"/>
            </w:tcMar>
          </w:tcPr>
          <w:p w:rsidR="00987FDA" w:rsidRPr="00F609BF" w:rsidRDefault="00987FDA" w:rsidP="0065234B">
            <w:pPr>
              <w:widowControl w:val="0"/>
              <w:jc w:val="center"/>
              <w:rPr>
                <w:rFonts w:ascii="Arial" w:hAnsi="Arial" w:cs="Arial"/>
                <w:b/>
                <w:snapToGrid w:val="0"/>
                <w:lang w:eastAsia="en-US"/>
              </w:rPr>
            </w:pPr>
            <w:r w:rsidRPr="00F609BF">
              <w:rPr>
                <w:rFonts w:ascii="Arial" w:hAnsi="Arial" w:cs="Arial"/>
                <w:b/>
                <w:snapToGrid w:val="0"/>
                <w:lang w:eastAsia="en-US"/>
              </w:rPr>
              <w:t>Listing requested by Sponsor / Purpose of Submission</w:t>
            </w:r>
          </w:p>
        </w:tc>
        <w:tc>
          <w:tcPr>
            <w:tcW w:w="7938" w:type="dxa"/>
            <w:vAlign w:val="center"/>
          </w:tcPr>
          <w:p w:rsidR="00987FDA" w:rsidRPr="00F609BF" w:rsidRDefault="00987FDA" w:rsidP="0065234B">
            <w:pPr>
              <w:pStyle w:val="Header"/>
              <w:jc w:val="center"/>
              <w:rPr>
                <w:rFonts w:ascii="Arial" w:hAnsi="Arial" w:cs="Arial"/>
                <w:b/>
                <w:snapToGrid w:val="0"/>
                <w:lang w:eastAsia="en-US"/>
              </w:rPr>
            </w:pPr>
            <w:r w:rsidRPr="00F609BF">
              <w:rPr>
                <w:rFonts w:ascii="Arial" w:hAnsi="Arial" w:cs="Arial"/>
                <w:b/>
                <w:snapToGrid w:val="0"/>
                <w:lang w:eastAsia="en-US"/>
              </w:rPr>
              <w:t>PBAC Recommendation</w:t>
            </w:r>
          </w:p>
        </w:tc>
      </w:tr>
      <w:tr w:rsidR="00403087" w:rsidRPr="006F6D3E" w:rsidTr="00B61B56">
        <w:tc>
          <w:tcPr>
            <w:tcW w:w="2552" w:type="dxa"/>
            <w:vMerge w:val="restart"/>
            <w:tcMar>
              <w:top w:w="28" w:type="dxa"/>
              <w:bottom w:w="28" w:type="dxa"/>
            </w:tcMar>
          </w:tcPr>
          <w:p w:rsidR="00403087" w:rsidRPr="006F6D3E" w:rsidRDefault="00403087" w:rsidP="004349D9">
            <w:pPr>
              <w:pStyle w:val="NormalWeb"/>
              <w:spacing w:before="240" w:beforeAutospacing="0" w:after="240" w:afterAutospacing="0"/>
              <w:textAlignment w:val="baseline"/>
              <w:rPr>
                <w:rFonts w:ascii="Arial" w:hAnsi="Arial" w:cs="Arial"/>
                <w:color w:val="000000"/>
                <w:sz w:val="20"/>
                <w:szCs w:val="20"/>
              </w:rPr>
            </w:pPr>
            <w:r w:rsidRPr="006F6D3E">
              <w:rPr>
                <w:rFonts w:ascii="Arial" w:hAnsi="Arial" w:cs="Arial"/>
                <w:color w:val="000000"/>
                <w:sz w:val="20"/>
                <w:szCs w:val="20"/>
              </w:rPr>
              <w:t xml:space="preserve">ABIRATERONE, </w:t>
            </w:r>
            <w:r w:rsidR="00C719C3" w:rsidRPr="006F6D3E">
              <w:rPr>
                <w:rFonts w:ascii="Arial" w:hAnsi="Arial" w:cs="Arial"/>
                <w:color w:val="000000"/>
                <w:sz w:val="20"/>
                <w:szCs w:val="20"/>
              </w:rPr>
              <w:t xml:space="preserve">tablet, 250 mg, </w:t>
            </w:r>
            <w:r w:rsidRPr="006F6D3E">
              <w:rPr>
                <w:rFonts w:ascii="Arial" w:hAnsi="Arial" w:cs="Arial"/>
                <w:color w:val="000000"/>
                <w:sz w:val="20"/>
                <w:szCs w:val="20"/>
              </w:rPr>
              <w:t> Zytiga®</w:t>
            </w:r>
          </w:p>
          <w:p w:rsidR="00403087" w:rsidRPr="006F6D3E" w:rsidRDefault="00403087" w:rsidP="004349D9">
            <w:pPr>
              <w:pStyle w:val="NormalWeb"/>
              <w:spacing w:before="240" w:beforeAutospacing="0" w:after="240" w:afterAutospacing="0"/>
              <w:textAlignment w:val="baseline"/>
              <w:rPr>
                <w:rFonts w:ascii="Arial" w:hAnsi="Arial" w:cs="Arial"/>
                <w:color w:val="000000"/>
                <w:sz w:val="20"/>
                <w:szCs w:val="20"/>
              </w:rPr>
            </w:pPr>
            <w:r w:rsidRPr="006F6D3E">
              <w:rPr>
                <w:rFonts w:ascii="Arial" w:hAnsi="Arial" w:cs="Arial"/>
                <w:color w:val="000000"/>
                <w:sz w:val="20"/>
                <w:szCs w:val="20"/>
              </w:rPr>
              <w:t> Janssen-Cilag Pty Ltd</w:t>
            </w:r>
          </w:p>
          <w:p w:rsidR="00403087" w:rsidRPr="006F6D3E" w:rsidRDefault="00403087" w:rsidP="00BE67F1">
            <w:pPr>
              <w:pStyle w:val="NormalWeb"/>
              <w:spacing w:before="240" w:beforeAutospacing="0" w:after="240" w:afterAutospacing="0"/>
              <w:textAlignment w:val="baseline"/>
              <w:rPr>
                <w:rStyle w:val="st"/>
                <w:rFonts w:ascii="Arial" w:hAnsi="Arial" w:cs="Arial"/>
                <w:snapToGrid w:val="0"/>
                <w:sz w:val="20"/>
                <w:szCs w:val="20"/>
                <w:lang w:eastAsia="en-US"/>
              </w:rPr>
            </w:pPr>
            <w:r w:rsidRPr="006F6D3E">
              <w:rPr>
                <w:rStyle w:val="st"/>
                <w:rFonts w:ascii="Arial" w:hAnsi="Arial" w:cs="Arial"/>
                <w:snapToGrid w:val="0"/>
                <w:sz w:val="20"/>
                <w:szCs w:val="20"/>
                <w:lang w:eastAsia="en-US"/>
              </w:rPr>
              <w:t>Change to listing</w:t>
            </w:r>
          </w:p>
          <w:p w:rsidR="00403087" w:rsidRPr="006F6D3E" w:rsidRDefault="00403087" w:rsidP="00BE67F1">
            <w:pPr>
              <w:pStyle w:val="NormalWeb"/>
              <w:spacing w:before="240" w:beforeAutospacing="0" w:after="240" w:afterAutospacing="0"/>
              <w:textAlignment w:val="baseline"/>
              <w:rPr>
                <w:rStyle w:val="st"/>
                <w:rFonts w:ascii="Arial" w:hAnsi="Arial" w:cs="Arial"/>
                <w:snapToGrid w:val="0"/>
                <w:sz w:val="20"/>
                <w:szCs w:val="20"/>
                <w:lang w:eastAsia="en-US"/>
              </w:rPr>
            </w:pPr>
            <w:r w:rsidRPr="006F6D3E">
              <w:rPr>
                <w:rStyle w:val="st"/>
                <w:rFonts w:ascii="Arial" w:hAnsi="Arial" w:cs="Arial"/>
                <w:snapToGrid w:val="0"/>
                <w:sz w:val="20"/>
                <w:szCs w:val="20"/>
                <w:lang w:eastAsia="en-US"/>
              </w:rPr>
              <w:t>(Major submission)</w:t>
            </w:r>
          </w:p>
        </w:tc>
        <w:tc>
          <w:tcPr>
            <w:tcW w:w="1701" w:type="dxa"/>
            <w:vMerge w:val="restart"/>
            <w:tcMar>
              <w:top w:w="28" w:type="dxa"/>
              <w:bottom w:w="28" w:type="dxa"/>
            </w:tcMar>
          </w:tcPr>
          <w:p w:rsidR="00403087" w:rsidRPr="006F6D3E" w:rsidRDefault="00403087">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Prostate Cancer</w:t>
            </w:r>
          </w:p>
        </w:tc>
        <w:tc>
          <w:tcPr>
            <w:tcW w:w="3402" w:type="dxa"/>
            <w:tcMar>
              <w:top w:w="28" w:type="dxa"/>
              <w:bottom w:w="28" w:type="dxa"/>
            </w:tcMar>
          </w:tcPr>
          <w:p w:rsidR="00403087" w:rsidRPr="006F6D3E" w:rsidRDefault="00403087" w:rsidP="00A67F2A">
            <w:pPr>
              <w:pStyle w:val="NormalWeb"/>
              <w:spacing w:before="240" w:beforeAutospacing="0" w:after="240" w:afterAutospacing="0"/>
              <w:jc w:val="both"/>
              <w:textAlignment w:val="baseline"/>
              <w:rPr>
                <w:rFonts w:ascii="Arial" w:hAnsi="Arial" w:cs="Arial"/>
                <w:sz w:val="20"/>
                <w:szCs w:val="20"/>
              </w:rPr>
            </w:pPr>
            <w:r w:rsidRPr="006F6D3E">
              <w:rPr>
                <w:rFonts w:ascii="Arial" w:hAnsi="Arial" w:cs="Arial"/>
                <w:color w:val="000000"/>
                <w:sz w:val="20"/>
                <w:szCs w:val="20"/>
                <w:shd w:val="clear" w:color="auto" w:fill="FFFFFF"/>
              </w:rPr>
              <w:t>Section 85 Authority required listing for abiraterone for the treatment of metastatic castration resistant prostate cancer (mCRPC) to include patients who have progressed following treatment with androgen deprivation therapy (ADT), who would not have benefit from immediate chemotherapy.</w:t>
            </w:r>
          </w:p>
        </w:tc>
        <w:tc>
          <w:tcPr>
            <w:tcW w:w="7938" w:type="dxa"/>
          </w:tcPr>
          <w:p w:rsidR="00403087" w:rsidRPr="006F6D3E" w:rsidRDefault="00403087" w:rsidP="00511FF2">
            <w:pPr>
              <w:jc w:val="both"/>
              <w:rPr>
                <w:rFonts w:ascii="Arial" w:hAnsi="Arial" w:cs="Arial"/>
              </w:rPr>
            </w:pPr>
            <w:r w:rsidRPr="006F6D3E">
              <w:rPr>
                <w:rFonts w:ascii="Arial" w:hAnsi="Arial" w:cs="Arial"/>
              </w:rPr>
              <w:t>The PBAC rejected the submission for the following reasons:</w:t>
            </w:r>
          </w:p>
          <w:p w:rsidR="00403087" w:rsidRPr="006F6D3E" w:rsidRDefault="00403087" w:rsidP="00511FF2">
            <w:pPr>
              <w:pStyle w:val="ListParagraph"/>
              <w:numPr>
                <w:ilvl w:val="0"/>
                <w:numId w:val="21"/>
              </w:numPr>
              <w:ind w:left="379" w:hanging="284"/>
              <w:jc w:val="both"/>
              <w:rPr>
                <w:rFonts w:ascii="Arial" w:hAnsi="Arial" w:cs="Arial"/>
                <w:sz w:val="20"/>
                <w:szCs w:val="20"/>
              </w:rPr>
            </w:pPr>
            <w:r w:rsidRPr="006F6D3E">
              <w:rPr>
                <w:rFonts w:ascii="Arial" w:hAnsi="Arial" w:cs="Arial"/>
                <w:sz w:val="20"/>
                <w:szCs w:val="20"/>
              </w:rPr>
              <w:t xml:space="preserve"> “watchful waiting” was not considered an appropriate comparator for establishing cost-effectiveness in this setting;</w:t>
            </w:r>
          </w:p>
          <w:p w:rsidR="00403087" w:rsidRPr="006F6D3E" w:rsidRDefault="00403087" w:rsidP="00511FF2">
            <w:pPr>
              <w:pStyle w:val="ListParagraph"/>
              <w:numPr>
                <w:ilvl w:val="0"/>
                <w:numId w:val="21"/>
              </w:numPr>
              <w:ind w:left="379" w:hanging="284"/>
              <w:jc w:val="both"/>
              <w:rPr>
                <w:rFonts w:ascii="Arial" w:hAnsi="Arial" w:cs="Arial"/>
                <w:sz w:val="20"/>
                <w:szCs w:val="20"/>
              </w:rPr>
            </w:pPr>
            <w:r w:rsidRPr="006F6D3E">
              <w:rPr>
                <w:rFonts w:ascii="Arial" w:hAnsi="Arial" w:cs="Arial"/>
                <w:sz w:val="20"/>
                <w:szCs w:val="20"/>
              </w:rPr>
              <w:t xml:space="preserve">the post-hoc subgroup analysis for defining the PBS eligible population was inadequately justified; </w:t>
            </w:r>
          </w:p>
          <w:p w:rsidR="00403087" w:rsidRPr="006F6D3E" w:rsidRDefault="00403087" w:rsidP="00511FF2">
            <w:pPr>
              <w:pStyle w:val="ListParagraph"/>
              <w:numPr>
                <w:ilvl w:val="0"/>
                <w:numId w:val="21"/>
              </w:numPr>
              <w:ind w:left="379" w:hanging="284"/>
              <w:jc w:val="both"/>
              <w:rPr>
                <w:rFonts w:ascii="Arial" w:hAnsi="Arial" w:cs="Arial"/>
                <w:sz w:val="20"/>
                <w:szCs w:val="20"/>
              </w:rPr>
            </w:pPr>
            <w:r w:rsidRPr="006F6D3E">
              <w:rPr>
                <w:rFonts w:ascii="Arial" w:hAnsi="Arial" w:cs="Arial"/>
                <w:sz w:val="20"/>
                <w:szCs w:val="20"/>
              </w:rPr>
              <w:t>the ICERs for both the post-hoc sub group and particularly the more appropriate ITT population were unacceptably high; and</w:t>
            </w:r>
          </w:p>
          <w:p w:rsidR="00403087" w:rsidRPr="006F6D3E" w:rsidRDefault="00403087" w:rsidP="00511FF2">
            <w:pPr>
              <w:pStyle w:val="ListParagraph"/>
              <w:numPr>
                <w:ilvl w:val="0"/>
                <w:numId w:val="21"/>
              </w:numPr>
              <w:ind w:left="379" w:hanging="284"/>
              <w:jc w:val="both"/>
              <w:rPr>
                <w:rFonts w:ascii="Arial" w:hAnsi="Arial" w:cs="Arial"/>
                <w:sz w:val="20"/>
                <w:szCs w:val="20"/>
              </w:rPr>
            </w:pPr>
            <w:proofErr w:type="gramStart"/>
            <w:r w:rsidRPr="006F6D3E">
              <w:rPr>
                <w:rFonts w:ascii="Arial" w:hAnsi="Arial" w:cs="Arial"/>
                <w:sz w:val="20"/>
                <w:szCs w:val="20"/>
              </w:rPr>
              <w:t>the</w:t>
            </w:r>
            <w:proofErr w:type="gramEnd"/>
            <w:r w:rsidRPr="006F6D3E">
              <w:rPr>
                <w:rFonts w:ascii="Arial" w:hAnsi="Arial" w:cs="Arial"/>
                <w:sz w:val="20"/>
                <w:szCs w:val="20"/>
              </w:rPr>
              <w:t xml:space="preserve"> total PBS cost of treatment with abiraterone shifting from post-docetaxel to post-ADT was uncertain.</w:t>
            </w:r>
            <w:r w:rsidR="00F01B56">
              <w:rPr>
                <w:rFonts w:ascii="Arial" w:hAnsi="Arial" w:cs="Arial"/>
                <w:sz w:val="20"/>
                <w:szCs w:val="20"/>
              </w:rPr>
              <w:t xml:space="preserve"> </w:t>
            </w:r>
          </w:p>
          <w:p w:rsidR="00403087" w:rsidRDefault="00403087" w:rsidP="00BE67F1">
            <w:pPr>
              <w:ind w:left="33"/>
              <w:jc w:val="both"/>
              <w:rPr>
                <w:rFonts w:ascii="Arial" w:hAnsi="Arial" w:cs="Arial"/>
              </w:rPr>
            </w:pPr>
          </w:p>
          <w:p w:rsidR="00B01F83" w:rsidRDefault="00B01F83" w:rsidP="00BE67F1">
            <w:pPr>
              <w:ind w:left="33"/>
              <w:jc w:val="both"/>
              <w:rPr>
                <w:rFonts w:ascii="Arial" w:hAnsi="Arial" w:cs="Arial"/>
              </w:rPr>
            </w:pPr>
            <w:r w:rsidRPr="00B01F83">
              <w:rPr>
                <w:rFonts w:ascii="Arial" w:hAnsi="Arial" w:cs="Arial"/>
              </w:rPr>
              <w:t>The PBAC also noted comments from clinicians that for a small number of patients the current abiraterone restriction, requiring failure of, or intolerance to, docetaxel is a hurdle in gaining access to treatment where a single administration of docetaxel would inevitably demonstrate the patient was intolerant to docetaxel. PBAC considered a solution may be to amend the current restriction to allow PBS subsidised abiraterone where a patient is considered “unsuitable for docetaxel treatment on the basis of demonstrated or predicted intolerance to docetaxel”. PBAC considered this to be a minor change that may provide access to a small number of patients who are currently disadvantaged by the requirement to demonstrate intolerance. The proposed amendment of the restriction would not expand the market and would be adequately dealt with under existing risk share arrangements.</w:t>
            </w:r>
          </w:p>
          <w:p w:rsidR="00B01F83" w:rsidRDefault="00B01F83" w:rsidP="00BE67F1">
            <w:pPr>
              <w:ind w:left="33"/>
              <w:jc w:val="both"/>
              <w:rPr>
                <w:rFonts w:ascii="Arial" w:hAnsi="Arial" w:cs="Arial"/>
              </w:rPr>
            </w:pPr>
          </w:p>
          <w:p w:rsidR="00EF2A0D" w:rsidRPr="00A67F2A" w:rsidRDefault="00EF2A0D" w:rsidP="00A67F2A">
            <w:pPr>
              <w:contextualSpacing/>
              <w:jc w:val="both"/>
              <w:rPr>
                <w:rFonts w:ascii="Arial" w:hAnsi="Arial" w:cs="Arial"/>
                <w:color w:val="000000"/>
                <w:shd w:val="clear" w:color="auto" w:fill="FFFFFF"/>
              </w:rPr>
            </w:pPr>
            <w:r w:rsidRPr="00D80605">
              <w:rPr>
                <w:rFonts w:ascii="Arial" w:hAnsi="Arial" w:cs="Arial"/>
                <w:color w:val="000000"/>
                <w:shd w:val="clear" w:color="auto" w:fill="FFFFFF"/>
              </w:rPr>
              <w:t xml:space="preserve">On the basis of direct evidence presented by the submission, the comparison of abiraterone + prednisolone/prednisone and placebo + prednisolone/prednisone resulted in an improvement of approximately 5 months overall survival and 8 months progression free survival for the </w:t>
            </w:r>
            <w:r w:rsidR="00150381">
              <w:rPr>
                <w:rFonts w:ascii="Arial" w:hAnsi="Arial" w:cs="Arial"/>
                <w:color w:val="000000"/>
                <w:shd w:val="clear" w:color="auto" w:fill="FFFFFF"/>
              </w:rPr>
              <w:t>intention to treat (I</w:t>
            </w:r>
            <w:r w:rsidRPr="00D80605">
              <w:rPr>
                <w:rFonts w:ascii="Arial" w:hAnsi="Arial" w:cs="Arial"/>
                <w:color w:val="000000"/>
                <w:shd w:val="clear" w:color="auto" w:fill="FFFFFF"/>
              </w:rPr>
              <w:t>TT</w:t>
            </w:r>
            <w:r w:rsidR="00150381">
              <w:rPr>
                <w:rFonts w:ascii="Arial" w:hAnsi="Arial" w:cs="Arial"/>
                <w:color w:val="000000"/>
                <w:shd w:val="clear" w:color="auto" w:fill="FFFFFF"/>
              </w:rPr>
              <w:t>)</w:t>
            </w:r>
            <w:r w:rsidRPr="00D80605">
              <w:rPr>
                <w:rFonts w:ascii="Arial" w:hAnsi="Arial" w:cs="Arial"/>
                <w:color w:val="000000"/>
                <w:shd w:val="clear" w:color="auto" w:fill="FFFFFF"/>
              </w:rPr>
              <w:t xml:space="preserve"> population. While this did not meet statistical significance based on the strict pre-specified significance criteria, this result may have been affected by the early termination and crossover observed in the trial.  For every 100 patients treated with abiraterone, in comparison with placebo, approximately 7 additional patients experienced hepatotoxicity.</w:t>
            </w:r>
          </w:p>
        </w:tc>
      </w:tr>
      <w:tr w:rsidR="00403087" w:rsidRPr="006F6D3E" w:rsidTr="00B61B56">
        <w:tc>
          <w:tcPr>
            <w:tcW w:w="2552" w:type="dxa"/>
            <w:vMerge/>
            <w:tcMar>
              <w:top w:w="28" w:type="dxa"/>
              <w:bottom w:w="28" w:type="dxa"/>
            </w:tcMar>
            <w:vAlign w:val="center"/>
          </w:tcPr>
          <w:p w:rsidR="00403087" w:rsidRPr="006F6D3E" w:rsidRDefault="00403087" w:rsidP="0065234B">
            <w:pPr>
              <w:widowControl w:val="0"/>
              <w:jc w:val="right"/>
              <w:rPr>
                <w:rFonts w:ascii="Arial" w:hAnsi="Arial" w:cs="Arial"/>
                <w:snapToGrid w:val="0"/>
                <w:lang w:eastAsia="en-US"/>
              </w:rPr>
            </w:pPr>
          </w:p>
        </w:tc>
        <w:tc>
          <w:tcPr>
            <w:tcW w:w="1701" w:type="dxa"/>
            <w:vMerge/>
            <w:vAlign w:val="center"/>
          </w:tcPr>
          <w:p w:rsidR="00403087" w:rsidRPr="006F6D3E" w:rsidRDefault="00403087" w:rsidP="0065234B">
            <w:pPr>
              <w:widowControl w:val="0"/>
              <w:jc w:val="right"/>
              <w:rPr>
                <w:rFonts w:ascii="Arial" w:hAnsi="Arial" w:cs="Arial"/>
                <w:snapToGrid w:val="0"/>
                <w:lang w:eastAsia="en-US"/>
              </w:rPr>
            </w:pPr>
          </w:p>
        </w:tc>
        <w:tc>
          <w:tcPr>
            <w:tcW w:w="3402" w:type="dxa"/>
            <w:tcMar>
              <w:top w:w="28" w:type="dxa"/>
              <w:bottom w:w="28" w:type="dxa"/>
            </w:tcMar>
          </w:tcPr>
          <w:p w:rsidR="00403087" w:rsidRPr="006F6D3E" w:rsidRDefault="00403087" w:rsidP="0065234B">
            <w:pPr>
              <w:jc w:val="right"/>
              <w:rPr>
                <w:rFonts w:ascii="Arial" w:hAnsi="Arial" w:cs="Arial"/>
                <w:iCs/>
              </w:rPr>
            </w:pPr>
            <w:r w:rsidRPr="006F6D3E">
              <w:rPr>
                <w:rFonts w:ascii="Arial" w:hAnsi="Arial" w:cs="Arial"/>
                <w:snapToGrid w:val="0"/>
                <w:lang w:eastAsia="en-US"/>
              </w:rPr>
              <w:t>Sponsor Comment:</w:t>
            </w:r>
          </w:p>
        </w:tc>
        <w:tc>
          <w:tcPr>
            <w:tcW w:w="7938" w:type="dxa"/>
          </w:tcPr>
          <w:p w:rsidR="00403087" w:rsidRDefault="00980140" w:rsidP="0065234B">
            <w:pPr>
              <w:rPr>
                <w:rFonts w:ascii="Arial" w:hAnsi="Arial" w:cs="Arial"/>
                <w:iCs/>
              </w:rPr>
            </w:pPr>
            <w:r w:rsidRPr="00980140">
              <w:rPr>
                <w:rFonts w:ascii="Arial" w:hAnsi="Arial" w:cs="Arial"/>
                <w:iCs/>
              </w:rPr>
              <w:t>The sponsor needs to clarify the decision with the PBAC.</w:t>
            </w:r>
          </w:p>
          <w:p w:rsidR="00980140" w:rsidRPr="006F6D3E" w:rsidRDefault="00980140" w:rsidP="0065234B">
            <w:pPr>
              <w:rPr>
                <w:rFonts w:ascii="Arial" w:hAnsi="Arial" w:cs="Arial"/>
                <w:iCs/>
              </w:rPr>
            </w:pPr>
          </w:p>
        </w:tc>
      </w:tr>
      <w:tr w:rsidR="00010379" w:rsidRPr="006F6D3E" w:rsidTr="00B61B56">
        <w:tc>
          <w:tcPr>
            <w:tcW w:w="2552" w:type="dxa"/>
            <w:vMerge w:val="restart"/>
            <w:tcMar>
              <w:top w:w="28" w:type="dxa"/>
              <w:bottom w:w="28" w:type="dxa"/>
            </w:tcMar>
          </w:tcPr>
          <w:p w:rsidR="00010379" w:rsidRPr="006F6D3E" w:rsidRDefault="00010379" w:rsidP="00BE67F1">
            <w:pPr>
              <w:pStyle w:val="NormalWeb"/>
              <w:spacing w:before="240" w:beforeAutospacing="0" w:after="240" w:afterAutospacing="0"/>
              <w:textAlignment w:val="baseline"/>
              <w:rPr>
                <w:rFonts w:ascii="Arial" w:hAnsi="Arial" w:cs="Arial"/>
                <w:color w:val="000000"/>
                <w:sz w:val="20"/>
                <w:szCs w:val="20"/>
              </w:rPr>
            </w:pPr>
            <w:r w:rsidRPr="006F6D3E">
              <w:rPr>
                <w:rFonts w:ascii="Arial" w:hAnsi="Arial" w:cs="Arial"/>
                <w:color w:val="000000"/>
                <w:sz w:val="20"/>
                <w:szCs w:val="20"/>
              </w:rPr>
              <w:t xml:space="preserve">DAPAGLIFLOZIN,  </w:t>
            </w:r>
            <w:r w:rsidR="00C719C3" w:rsidRPr="006F6D3E">
              <w:rPr>
                <w:rFonts w:ascii="Arial" w:hAnsi="Arial" w:cs="Arial"/>
                <w:color w:val="000000"/>
                <w:sz w:val="20"/>
                <w:szCs w:val="20"/>
              </w:rPr>
              <w:t xml:space="preserve">tablet, </w:t>
            </w:r>
            <w:r w:rsidR="00C719C3" w:rsidRPr="006F6D3E">
              <w:rPr>
                <w:rFonts w:ascii="Arial" w:hAnsi="Arial" w:cs="Arial"/>
                <w:color w:val="000000"/>
                <w:sz w:val="20"/>
                <w:szCs w:val="20"/>
              </w:rPr>
              <w:lastRenderedPageBreak/>
              <w:t xml:space="preserve">10 mg, </w:t>
            </w:r>
            <w:r w:rsidRPr="006F6D3E">
              <w:rPr>
                <w:rFonts w:ascii="Arial" w:hAnsi="Arial" w:cs="Arial"/>
                <w:color w:val="000000"/>
                <w:sz w:val="20"/>
                <w:szCs w:val="20"/>
              </w:rPr>
              <w:t>Forxiga®</w:t>
            </w:r>
          </w:p>
          <w:p w:rsidR="00010379" w:rsidRPr="006F6D3E" w:rsidRDefault="00010379" w:rsidP="00BE67F1">
            <w:pPr>
              <w:pStyle w:val="NormalWeb"/>
              <w:spacing w:before="240" w:beforeAutospacing="0" w:after="240" w:afterAutospacing="0"/>
              <w:textAlignment w:val="baseline"/>
              <w:rPr>
                <w:rFonts w:ascii="Arial" w:hAnsi="Arial" w:cs="Arial"/>
                <w:color w:val="000000"/>
                <w:sz w:val="20"/>
                <w:szCs w:val="20"/>
              </w:rPr>
            </w:pPr>
            <w:r w:rsidRPr="006F6D3E">
              <w:rPr>
                <w:rFonts w:ascii="Arial" w:hAnsi="Arial" w:cs="Arial"/>
                <w:color w:val="000000"/>
                <w:sz w:val="20"/>
                <w:szCs w:val="20"/>
              </w:rPr>
              <w:t> AstraZeneca Australia Pty Ltd</w:t>
            </w:r>
          </w:p>
          <w:p w:rsidR="00010379" w:rsidRDefault="00010379" w:rsidP="0065234B">
            <w:pPr>
              <w:widowControl w:val="0"/>
              <w:rPr>
                <w:rFonts w:ascii="Arial" w:hAnsi="Arial" w:cs="Arial"/>
                <w:snapToGrid w:val="0"/>
                <w:lang w:eastAsia="en-US"/>
              </w:rPr>
            </w:pPr>
            <w:r w:rsidRPr="006F6D3E">
              <w:rPr>
                <w:rFonts w:ascii="Arial" w:hAnsi="Arial" w:cs="Arial"/>
                <w:snapToGrid w:val="0"/>
                <w:lang w:eastAsia="en-US"/>
              </w:rPr>
              <w:t xml:space="preserve">Change to listing </w:t>
            </w:r>
          </w:p>
          <w:p w:rsidR="006F6D3E" w:rsidRPr="006F6D3E" w:rsidRDefault="006F6D3E" w:rsidP="0065234B">
            <w:pPr>
              <w:widowControl w:val="0"/>
              <w:rPr>
                <w:rFonts w:ascii="Arial" w:hAnsi="Arial" w:cs="Arial"/>
                <w:snapToGrid w:val="0"/>
                <w:lang w:eastAsia="en-US"/>
              </w:rPr>
            </w:pPr>
          </w:p>
          <w:p w:rsidR="00010379" w:rsidRPr="006F6D3E" w:rsidRDefault="00010379" w:rsidP="005331D3">
            <w:pPr>
              <w:widowControl w:val="0"/>
              <w:rPr>
                <w:rFonts w:ascii="Arial" w:hAnsi="Arial" w:cs="Arial"/>
                <w:snapToGrid w:val="0"/>
                <w:lang w:eastAsia="en-US"/>
              </w:rPr>
            </w:pPr>
            <w:r w:rsidRPr="006F6D3E">
              <w:rPr>
                <w:rFonts w:ascii="Arial" w:hAnsi="Arial" w:cs="Arial"/>
                <w:snapToGrid w:val="0"/>
                <w:lang w:eastAsia="en-US"/>
              </w:rPr>
              <w:t>(M</w:t>
            </w:r>
            <w:r w:rsidR="000F7390">
              <w:rPr>
                <w:rFonts w:ascii="Arial" w:hAnsi="Arial" w:cs="Arial"/>
                <w:snapToGrid w:val="0"/>
                <w:lang w:eastAsia="en-US"/>
              </w:rPr>
              <w:t>inor</w:t>
            </w:r>
            <w:r w:rsidRPr="006F6D3E">
              <w:rPr>
                <w:rFonts w:ascii="Arial" w:hAnsi="Arial" w:cs="Arial"/>
                <w:snapToGrid w:val="0"/>
                <w:lang w:eastAsia="en-US"/>
              </w:rPr>
              <w:t xml:space="preserve"> submission)</w:t>
            </w:r>
          </w:p>
        </w:tc>
        <w:tc>
          <w:tcPr>
            <w:tcW w:w="1701" w:type="dxa"/>
            <w:vMerge w:val="restart"/>
            <w:tcMar>
              <w:top w:w="28" w:type="dxa"/>
              <w:bottom w:w="28" w:type="dxa"/>
            </w:tcMar>
          </w:tcPr>
          <w:p w:rsidR="00010379" w:rsidRPr="006F6D3E" w:rsidRDefault="00010379" w:rsidP="0065234B">
            <w:pPr>
              <w:widowControl w:val="0"/>
              <w:rPr>
                <w:rFonts w:ascii="Arial" w:hAnsi="Arial" w:cs="Arial"/>
                <w:snapToGrid w:val="0"/>
                <w:lang w:eastAsia="en-US"/>
              </w:rPr>
            </w:pPr>
            <w:r w:rsidRPr="006F6D3E">
              <w:rPr>
                <w:rFonts w:ascii="Arial" w:hAnsi="Arial" w:cs="Arial"/>
              </w:rPr>
              <w:lastRenderedPageBreak/>
              <w:t>Type 2 diabetes</w:t>
            </w:r>
          </w:p>
        </w:tc>
        <w:tc>
          <w:tcPr>
            <w:tcW w:w="3402" w:type="dxa"/>
            <w:tcMar>
              <w:top w:w="28" w:type="dxa"/>
              <w:bottom w:w="28" w:type="dxa"/>
            </w:tcMar>
          </w:tcPr>
          <w:p w:rsidR="00010379" w:rsidRPr="006F6D3E" w:rsidRDefault="00010379" w:rsidP="0065234B">
            <w:pPr>
              <w:widowControl w:val="0"/>
              <w:rPr>
                <w:rFonts w:ascii="Arial" w:hAnsi="Arial" w:cs="Arial"/>
              </w:rPr>
            </w:pPr>
            <w:r w:rsidRPr="006F6D3E">
              <w:rPr>
                <w:rFonts w:ascii="Arial" w:hAnsi="Arial" w:cs="Arial"/>
              </w:rPr>
              <w:t xml:space="preserve">Amendments to the current </w:t>
            </w:r>
            <w:r w:rsidRPr="006F6D3E">
              <w:rPr>
                <w:rFonts w:ascii="Arial" w:hAnsi="Arial" w:cs="Arial"/>
              </w:rPr>
              <w:lastRenderedPageBreak/>
              <w:t>restriction for dapagliflozin for use in diabetes mellitus type 2 to provide prescribers with clarity regarding the eligible PBS population.</w:t>
            </w:r>
          </w:p>
        </w:tc>
        <w:tc>
          <w:tcPr>
            <w:tcW w:w="7938" w:type="dxa"/>
          </w:tcPr>
          <w:p w:rsidR="00010379" w:rsidRPr="006F6D3E" w:rsidRDefault="00010379" w:rsidP="00BE67F1">
            <w:pPr>
              <w:ind w:left="33"/>
              <w:jc w:val="both"/>
              <w:rPr>
                <w:rFonts w:ascii="Arial" w:hAnsi="Arial" w:cs="Arial"/>
              </w:rPr>
            </w:pPr>
            <w:r w:rsidRPr="006F6D3E">
              <w:rPr>
                <w:rFonts w:ascii="Arial" w:hAnsi="Arial" w:cs="Arial"/>
              </w:rPr>
              <w:lastRenderedPageBreak/>
              <w:t xml:space="preserve">The PBAC rejected the requested restriction changes of dapagliflozin. </w:t>
            </w:r>
          </w:p>
          <w:p w:rsidR="00010379" w:rsidRPr="006F6D3E" w:rsidRDefault="00010379" w:rsidP="00BE67F1">
            <w:pPr>
              <w:pStyle w:val="ListParagraph"/>
              <w:ind w:left="33"/>
              <w:jc w:val="both"/>
              <w:rPr>
                <w:rFonts w:ascii="Arial" w:hAnsi="Arial" w:cs="Arial"/>
                <w:sz w:val="20"/>
                <w:szCs w:val="20"/>
              </w:rPr>
            </w:pPr>
          </w:p>
          <w:p w:rsidR="00010379" w:rsidRPr="006F6D3E" w:rsidRDefault="00010379" w:rsidP="00BE67F1">
            <w:pPr>
              <w:ind w:left="33"/>
              <w:jc w:val="both"/>
              <w:rPr>
                <w:rFonts w:ascii="Arial" w:hAnsi="Arial" w:cs="Arial"/>
              </w:rPr>
            </w:pPr>
            <w:r w:rsidRPr="006F6D3E">
              <w:rPr>
                <w:rFonts w:ascii="Arial" w:hAnsi="Arial" w:cs="Arial"/>
              </w:rPr>
              <w:t xml:space="preserve">The PBAC noted the sponsors claim that the word ‘condition’ in the current restrictions can  be referred to as type 2 diabetes in its entirety, or, to the level of blood glucose, and that the interpretation of the word ‘control’ is also directly related to the interpretation of the word ‘condition’. </w:t>
            </w:r>
          </w:p>
          <w:p w:rsidR="00010379" w:rsidRPr="006F6D3E" w:rsidRDefault="00010379" w:rsidP="00BE67F1">
            <w:pPr>
              <w:ind w:left="33"/>
              <w:jc w:val="both"/>
              <w:rPr>
                <w:rFonts w:ascii="Arial" w:hAnsi="Arial" w:cs="Arial"/>
              </w:rPr>
            </w:pPr>
          </w:p>
          <w:p w:rsidR="00010379" w:rsidRPr="006F6D3E" w:rsidRDefault="00010379" w:rsidP="00BE67F1">
            <w:pPr>
              <w:ind w:left="33"/>
              <w:jc w:val="both"/>
              <w:rPr>
                <w:rFonts w:ascii="Arial" w:hAnsi="Arial" w:cs="Arial"/>
              </w:rPr>
            </w:pPr>
            <w:r w:rsidRPr="006F6D3E">
              <w:rPr>
                <w:rFonts w:ascii="Arial" w:hAnsi="Arial" w:cs="Arial"/>
              </w:rPr>
              <w:t>The PBAC noted that the listings data system used by the Department to give effect to PBS listings requires use of defined prefixes for clinical, treatment and population criteria used in PBS restrictions.  Therefore, the PBAC considered that with the current data system, it is not possible, to change “condition” to “disease” in the clinical criteria as requested by the sponsor.</w:t>
            </w:r>
          </w:p>
          <w:p w:rsidR="00010379" w:rsidRPr="006F6D3E" w:rsidRDefault="00010379" w:rsidP="00BE67F1">
            <w:pPr>
              <w:ind w:left="33"/>
              <w:jc w:val="both"/>
              <w:rPr>
                <w:rFonts w:ascii="Arial" w:hAnsi="Arial" w:cs="Arial"/>
              </w:rPr>
            </w:pPr>
          </w:p>
          <w:p w:rsidR="00010379" w:rsidRPr="006F6D3E" w:rsidRDefault="00010379" w:rsidP="00BE67F1">
            <w:pPr>
              <w:ind w:left="33"/>
              <w:jc w:val="both"/>
              <w:rPr>
                <w:rFonts w:ascii="Arial" w:hAnsi="Arial" w:cs="Arial"/>
              </w:rPr>
            </w:pPr>
            <w:r w:rsidRPr="006F6D3E">
              <w:rPr>
                <w:rFonts w:ascii="Arial" w:hAnsi="Arial" w:cs="Arial"/>
              </w:rPr>
              <w:t>The PBAC clarified that the term condition in the clinical criteria refers to type 2 diabetes mellitus.</w:t>
            </w:r>
          </w:p>
          <w:p w:rsidR="00010379" w:rsidRPr="006F6D3E" w:rsidRDefault="00010379" w:rsidP="0065234B">
            <w:pPr>
              <w:pStyle w:val="ListParagraph"/>
              <w:ind w:left="0"/>
              <w:jc w:val="both"/>
              <w:rPr>
                <w:rFonts w:ascii="Arial" w:hAnsi="Arial" w:cs="Arial"/>
                <w:sz w:val="20"/>
                <w:szCs w:val="20"/>
              </w:rPr>
            </w:pPr>
          </w:p>
        </w:tc>
      </w:tr>
      <w:tr w:rsidR="00010379" w:rsidRPr="006F6D3E" w:rsidTr="00B61B56">
        <w:trPr>
          <w:trHeight w:val="421"/>
        </w:trPr>
        <w:tc>
          <w:tcPr>
            <w:tcW w:w="2552" w:type="dxa"/>
            <w:vMerge/>
            <w:tcMar>
              <w:top w:w="28" w:type="dxa"/>
              <w:bottom w:w="28" w:type="dxa"/>
            </w:tcMar>
            <w:vAlign w:val="center"/>
          </w:tcPr>
          <w:p w:rsidR="00010379" w:rsidRPr="006F6D3E" w:rsidRDefault="00010379" w:rsidP="0065234B">
            <w:pPr>
              <w:widowControl w:val="0"/>
              <w:jc w:val="right"/>
              <w:rPr>
                <w:rFonts w:ascii="Arial" w:hAnsi="Arial" w:cs="Arial"/>
                <w:snapToGrid w:val="0"/>
                <w:lang w:eastAsia="en-US"/>
              </w:rPr>
            </w:pPr>
          </w:p>
        </w:tc>
        <w:tc>
          <w:tcPr>
            <w:tcW w:w="1701" w:type="dxa"/>
            <w:vMerge/>
            <w:vAlign w:val="center"/>
          </w:tcPr>
          <w:p w:rsidR="00010379" w:rsidRPr="006F6D3E" w:rsidRDefault="00010379" w:rsidP="0065234B">
            <w:pPr>
              <w:widowControl w:val="0"/>
              <w:jc w:val="right"/>
              <w:rPr>
                <w:rFonts w:ascii="Arial" w:hAnsi="Arial" w:cs="Arial"/>
                <w:snapToGrid w:val="0"/>
                <w:lang w:eastAsia="en-US"/>
              </w:rPr>
            </w:pPr>
          </w:p>
        </w:tc>
        <w:tc>
          <w:tcPr>
            <w:tcW w:w="3402" w:type="dxa"/>
            <w:tcMar>
              <w:top w:w="28" w:type="dxa"/>
              <w:bottom w:w="28" w:type="dxa"/>
            </w:tcMar>
          </w:tcPr>
          <w:p w:rsidR="00010379" w:rsidRPr="006F6D3E" w:rsidRDefault="00010379" w:rsidP="0065234B">
            <w:pPr>
              <w:pStyle w:val="ListParagraph"/>
              <w:ind w:left="0"/>
              <w:jc w:val="right"/>
              <w:rPr>
                <w:rFonts w:ascii="Arial" w:hAnsi="Arial" w:cs="Arial"/>
                <w:sz w:val="20"/>
                <w:szCs w:val="20"/>
              </w:rPr>
            </w:pPr>
            <w:r w:rsidRPr="006F6D3E">
              <w:rPr>
                <w:rFonts w:ascii="Arial" w:hAnsi="Arial" w:cs="Arial"/>
                <w:snapToGrid w:val="0"/>
                <w:sz w:val="20"/>
                <w:szCs w:val="20"/>
                <w:lang w:eastAsia="en-US"/>
              </w:rPr>
              <w:t>Sponsor Comment:</w:t>
            </w:r>
          </w:p>
        </w:tc>
        <w:tc>
          <w:tcPr>
            <w:tcW w:w="7938" w:type="dxa"/>
          </w:tcPr>
          <w:p w:rsidR="00010379" w:rsidRPr="006F6D3E" w:rsidRDefault="00980140" w:rsidP="004349D9">
            <w:pPr>
              <w:pStyle w:val="ListParagraph"/>
              <w:ind w:left="0"/>
              <w:jc w:val="both"/>
              <w:rPr>
                <w:rFonts w:ascii="Arial" w:hAnsi="Arial" w:cs="Arial"/>
                <w:iCs/>
                <w:sz w:val="20"/>
                <w:szCs w:val="20"/>
              </w:rPr>
            </w:pPr>
            <w:r>
              <w:rPr>
                <w:rFonts w:ascii="Arial" w:hAnsi="Arial" w:cs="Arial"/>
                <w:iCs/>
                <w:sz w:val="20"/>
                <w:szCs w:val="20"/>
              </w:rPr>
              <w:t xml:space="preserve">The sponsor had no comment. </w:t>
            </w:r>
          </w:p>
        </w:tc>
      </w:tr>
      <w:tr w:rsidR="00FB22AB" w:rsidRPr="006F6D3E" w:rsidTr="00B61B56">
        <w:trPr>
          <w:trHeight w:val="896"/>
        </w:trPr>
        <w:tc>
          <w:tcPr>
            <w:tcW w:w="2552" w:type="dxa"/>
            <w:vMerge w:val="restart"/>
            <w:tcMar>
              <w:top w:w="28" w:type="dxa"/>
              <w:bottom w:w="28" w:type="dxa"/>
            </w:tcMar>
            <w:vAlign w:val="center"/>
          </w:tcPr>
          <w:p w:rsidR="00FB22AB" w:rsidRPr="006F6D3E" w:rsidRDefault="00FB22AB" w:rsidP="00FB22AB">
            <w:pPr>
              <w:rPr>
                <w:rFonts w:ascii="Arial" w:hAnsi="Arial" w:cs="Arial"/>
              </w:rPr>
            </w:pPr>
            <w:r w:rsidRPr="006F6D3E">
              <w:rPr>
                <w:rFonts w:ascii="Arial" w:hAnsi="Arial" w:cs="Arial"/>
              </w:rPr>
              <w:t xml:space="preserve">DASATINIB, tablets, </w:t>
            </w:r>
          </w:p>
          <w:p w:rsidR="00FB22AB" w:rsidRPr="006F6D3E" w:rsidRDefault="00A67F2A" w:rsidP="00FB22AB">
            <w:pPr>
              <w:rPr>
                <w:rFonts w:ascii="Arial" w:hAnsi="Arial" w:cs="Arial"/>
              </w:rPr>
            </w:pPr>
            <w:r>
              <w:rPr>
                <w:rFonts w:ascii="Arial" w:hAnsi="Arial" w:cs="Arial"/>
              </w:rPr>
              <w:t>20 mg,  50 mg, 70 mg,100 </w:t>
            </w:r>
            <w:r w:rsidR="00FB22AB" w:rsidRPr="006F6D3E">
              <w:rPr>
                <w:rFonts w:ascii="Arial" w:hAnsi="Arial" w:cs="Arial"/>
              </w:rPr>
              <w:t xml:space="preserve">mg </w:t>
            </w:r>
          </w:p>
          <w:p w:rsidR="00FB22AB" w:rsidRPr="006F6D3E" w:rsidRDefault="00FB22AB" w:rsidP="00FB22AB">
            <w:pPr>
              <w:rPr>
                <w:rFonts w:ascii="Arial" w:hAnsi="Arial" w:cs="Arial"/>
              </w:rPr>
            </w:pPr>
            <w:r w:rsidRPr="006F6D3E">
              <w:rPr>
                <w:rFonts w:ascii="Arial" w:hAnsi="Arial" w:cs="Arial"/>
              </w:rPr>
              <w:t>Sprycel</w:t>
            </w:r>
            <w:r w:rsidRPr="006F6D3E">
              <w:rPr>
                <w:rFonts w:ascii="Arial" w:hAnsi="Arial" w:cs="Arial"/>
                <w:vertAlign w:val="superscript"/>
              </w:rPr>
              <w:t>®</w:t>
            </w:r>
          </w:p>
          <w:p w:rsidR="00FB22AB" w:rsidRPr="006F6D3E" w:rsidRDefault="00FB22AB" w:rsidP="00FB22AB">
            <w:pPr>
              <w:rPr>
                <w:rFonts w:ascii="Arial" w:hAnsi="Arial" w:cs="Arial"/>
              </w:rPr>
            </w:pPr>
            <w:r w:rsidRPr="006F6D3E">
              <w:rPr>
                <w:rFonts w:ascii="Arial" w:hAnsi="Arial" w:cs="Arial"/>
              </w:rPr>
              <w:t> </w:t>
            </w:r>
          </w:p>
          <w:p w:rsidR="00FB22AB" w:rsidRPr="006F6D3E" w:rsidRDefault="00FB22AB" w:rsidP="00FB22AB">
            <w:pPr>
              <w:rPr>
                <w:rFonts w:ascii="Arial" w:hAnsi="Arial" w:cs="Arial"/>
              </w:rPr>
            </w:pPr>
            <w:r w:rsidRPr="006F6D3E">
              <w:rPr>
                <w:rFonts w:ascii="Arial" w:hAnsi="Arial" w:cs="Arial"/>
              </w:rPr>
              <w:t>Bristol Myers Squibb Australia Pty Ltd</w:t>
            </w:r>
          </w:p>
          <w:p w:rsidR="00010379" w:rsidRPr="006F6D3E" w:rsidRDefault="00010379" w:rsidP="00FB22AB">
            <w:pPr>
              <w:rPr>
                <w:rFonts w:ascii="Arial" w:hAnsi="Arial" w:cs="Arial"/>
              </w:rPr>
            </w:pPr>
          </w:p>
          <w:p w:rsidR="00010379" w:rsidRDefault="00010379" w:rsidP="00FB22AB">
            <w:pPr>
              <w:rPr>
                <w:rFonts w:ascii="Arial" w:hAnsi="Arial" w:cs="Arial"/>
              </w:rPr>
            </w:pPr>
            <w:r w:rsidRPr="006F6D3E">
              <w:rPr>
                <w:rFonts w:ascii="Arial" w:hAnsi="Arial" w:cs="Arial"/>
              </w:rPr>
              <w:t>Change to listing</w:t>
            </w:r>
          </w:p>
          <w:p w:rsidR="006F6D3E" w:rsidRPr="006F6D3E" w:rsidRDefault="006F6D3E" w:rsidP="00FB22AB">
            <w:pPr>
              <w:rPr>
                <w:rFonts w:ascii="Arial" w:hAnsi="Arial" w:cs="Arial"/>
              </w:rPr>
            </w:pPr>
          </w:p>
          <w:p w:rsidR="00010379" w:rsidRPr="006F6D3E" w:rsidRDefault="00010379" w:rsidP="00FB22AB">
            <w:pPr>
              <w:rPr>
                <w:rFonts w:ascii="Arial" w:hAnsi="Arial" w:cs="Arial"/>
              </w:rPr>
            </w:pPr>
            <w:r w:rsidRPr="006F6D3E">
              <w:rPr>
                <w:rFonts w:ascii="Arial" w:hAnsi="Arial" w:cs="Arial"/>
              </w:rPr>
              <w:t>(Minor submission)</w:t>
            </w:r>
          </w:p>
        </w:tc>
        <w:tc>
          <w:tcPr>
            <w:tcW w:w="1701" w:type="dxa"/>
            <w:vMerge w:val="restart"/>
            <w:vAlign w:val="center"/>
          </w:tcPr>
          <w:p w:rsidR="00FB22AB" w:rsidRPr="006F6D3E" w:rsidRDefault="00FB22AB" w:rsidP="00FB22AB">
            <w:pPr>
              <w:rPr>
                <w:rFonts w:ascii="Arial" w:hAnsi="Arial" w:cs="Arial"/>
              </w:rPr>
            </w:pPr>
            <w:r w:rsidRPr="006F6D3E">
              <w:rPr>
                <w:rFonts w:ascii="Arial" w:hAnsi="Arial" w:cs="Arial"/>
              </w:rPr>
              <w:t>Chronic myeloid leukaemia</w:t>
            </w:r>
          </w:p>
          <w:p w:rsidR="00FB22AB" w:rsidRPr="006F6D3E" w:rsidRDefault="00FB22AB" w:rsidP="00FB22AB">
            <w:pPr>
              <w:rPr>
                <w:rFonts w:ascii="Arial" w:hAnsi="Arial" w:cs="Arial"/>
              </w:rPr>
            </w:pPr>
          </w:p>
        </w:tc>
        <w:tc>
          <w:tcPr>
            <w:tcW w:w="3402" w:type="dxa"/>
            <w:tcMar>
              <w:top w:w="28" w:type="dxa"/>
              <w:bottom w:w="28" w:type="dxa"/>
            </w:tcMar>
          </w:tcPr>
          <w:p w:rsidR="00FB22AB" w:rsidRPr="006F6D3E" w:rsidRDefault="00FB22AB" w:rsidP="00FB22AB">
            <w:pPr>
              <w:jc w:val="both"/>
              <w:rPr>
                <w:rFonts w:ascii="Arial" w:hAnsi="Arial" w:cs="Arial"/>
              </w:rPr>
            </w:pPr>
            <w:r w:rsidRPr="006F6D3E">
              <w:rPr>
                <w:rFonts w:ascii="Arial" w:hAnsi="Arial" w:cs="Arial"/>
              </w:rPr>
              <w:t xml:space="preserve">The submission sought provision for second and subsequent dasatinib Authority required applications to be made via telephone (as opposed to current written-only applications), consistent with imatinib.  </w:t>
            </w:r>
          </w:p>
        </w:tc>
        <w:tc>
          <w:tcPr>
            <w:tcW w:w="7938" w:type="dxa"/>
          </w:tcPr>
          <w:p w:rsidR="00FB22AB" w:rsidRPr="006F6D3E" w:rsidRDefault="00FB22AB" w:rsidP="00FB22AB">
            <w:pPr>
              <w:jc w:val="both"/>
              <w:rPr>
                <w:rFonts w:ascii="Arial" w:eastAsia="SimSun" w:hAnsi="Arial" w:cs="Arial"/>
              </w:rPr>
            </w:pPr>
            <w:r w:rsidRPr="006F6D3E">
              <w:rPr>
                <w:rFonts w:ascii="Arial" w:eastAsia="SimSun" w:hAnsi="Arial" w:cs="Arial"/>
              </w:rPr>
              <w:t>It was the PBAC’s view that the existing written-only Authority approval arrangements for second and subsequent dasatinib prescriptions are not a barrier to prescribing dasatinib. The PBAC rejected the request to amend dasatinib’s restriction to allow Authority for second and subsequent continuing prescriptions to be sought via telephone or other non-written methods on the basis that drug utilisation data on patient persistence with drug therapy was not presented to support the request. However, the PBAC indicated that it would be prepared to reconsider the requested change if drug utilisation data provided by the sponsor and/or the Drug Utilisation Sub-Committee on patient persistence rates for dasatinib and imatinib indicate no discernable difference.</w:t>
            </w:r>
          </w:p>
          <w:p w:rsidR="00FB22AB" w:rsidRPr="006F6D3E" w:rsidRDefault="00FB22AB" w:rsidP="004349D9">
            <w:pPr>
              <w:pStyle w:val="ListParagraph"/>
              <w:ind w:left="0"/>
              <w:jc w:val="both"/>
              <w:rPr>
                <w:rFonts w:ascii="Arial" w:hAnsi="Arial" w:cs="Arial"/>
                <w:iCs/>
                <w:sz w:val="20"/>
                <w:szCs w:val="20"/>
              </w:rPr>
            </w:pPr>
          </w:p>
        </w:tc>
      </w:tr>
      <w:tr w:rsidR="00FB22AB" w:rsidRPr="006F6D3E" w:rsidTr="00B61B56">
        <w:trPr>
          <w:trHeight w:val="465"/>
        </w:trPr>
        <w:tc>
          <w:tcPr>
            <w:tcW w:w="2552" w:type="dxa"/>
            <w:vMerge/>
            <w:tcMar>
              <w:top w:w="28" w:type="dxa"/>
              <w:bottom w:w="28" w:type="dxa"/>
            </w:tcMar>
            <w:vAlign w:val="center"/>
          </w:tcPr>
          <w:p w:rsidR="00FB22AB" w:rsidRPr="006F6D3E" w:rsidRDefault="00FB22AB" w:rsidP="00FB22AB">
            <w:pPr>
              <w:rPr>
                <w:rFonts w:ascii="Arial" w:hAnsi="Arial" w:cs="Arial"/>
              </w:rPr>
            </w:pPr>
          </w:p>
        </w:tc>
        <w:tc>
          <w:tcPr>
            <w:tcW w:w="1701" w:type="dxa"/>
            <w:vMerge/>
            <w:vAlign w:val="center"/>
          </w:tcPr>
          <w:p w:rsidR="00FB22AB" w:rsidRPr="006F6D3E" w:rsidRDefault="00FB22AB" w:rsidP="0065234B">
            <w:pPr>
              <w:widowControl w:val="0"/>
              <w:jc w:val="right"/>
              <w:rPr>
                <w:rFonts w:ascii="Arial" w:hAnsi="Arial" w:cs="Arial"/>
                <w:snapToGrid w:val="0"/>
                <w:lang w:eastAsia="en-US"/>
              </w:rPr>
            </w:pPr>
          </w:p>
        </w:tc>
        <w:tc>
          <w:tcPr>
            <w:tcW w:w="3402" w:type="dxa"/>
            <w:tcMar>
              <w:top w:w="28" w:type="dxa"/>
              <w:bottom w:w="28" w:type="dxa"/>
            </w:tcMar>
          </w:tcPr>
          <w:p w:rsidR="00FB22AB" w:rsidRPr="006F6D3E" w:rsidRDefault="00FB22AB" w:rsidP="0065234B">
            <w:pPr>
              <w:pStyle w:val="ListParagraph"/>
              <w:ind w:left="0"/>
              <w:jc w:val="right"/>
              <w:rPr>
                <w:rFonts w:ascii="Arial" w:hAnsi="Arial" w:cs="Arial"/>
                <w:snapToGrid w:val="0"/>
                <w:sz w:val="20"/>
                <w:szCs w:val="20"/>
                <w:lang w:eastAsia="en-US"/>
              </w:rPr>
            </w:pPr>
            <w:r w:rsidRPr="006F6D3E">
              <w:rPr>
                <w:rFonts w:ascii="Arial" w:hAnsi="Arial" w:cs="Arial"/>
                <w:snapToGrid w:val="0"/>
                <w:sz w:val="20"/>
                <w:szCs w:val="20"/>
                <w:lang w:eastAsia="en-US"/>
              </w:rPr>
              <w:t>Sponsor comment:</w:t>
            </w:r>
          </w:p>
        </w:tc>
        <w:tc>
          <w:tcPr>
            <w:tcW w:w="7938" w:type="dxa"/>
          </w:tcPr>
          <w:p w:rsidR="00FB22AB" w:rsidRPr="00980140" w:rsidRDefault="00980140" w:rsidP="004349D9">
            <w:pPr>
              <w:pStyle w:val="ListParagraph"/>
              <w:ind w:left="0"/>
              <w:jc w:val="both"/>
              <w:rPr>
                <w:rFonts w:ascii="Arial" w:hAnsi="Arial" w:cs="Arial"/>
                <w:iCs/>
                <w:sz w:val="20"/>
                <w:szCs w:val="20"/>
              </w:rPr>
            </w:pPr>
            <w:r w:rsidRPr="00980140">
              <w:rPr>
                <w:rFonts w:ascii="Arial" w:hAnsi="Arial" w:cs="Arial"/>
                <w:sz w:val="20"/>
              </w:rPr>
              <w:t>The sponsor disagrees with the decision.</w:t>
            </w:r>
          </w:p>
        </w:tc>
      </w:tr>
      <w:tr w:rsidR="00010379" w:rsidRPr="006F6D3E" w:rsidTr="00B61B56">
        <w:tc>
          <w:tcPr>
            <w:tcW w:w="2552" w:type="dxa"/>
            <w:vMerge w:val="restart"/>
            <w:tcMar>
              <w:top w:w="28" w:type="dxa"/>
              <w:bottom w:w="28" w:type="dxa"/>
            </w:tcMar>
          </w:tcPr>
          <w:p w:rsidR="00010379" w:rsidRPr="006F6D3E" w:rsidRDefault="00505378">
            <w:pPr>
              <w:pStyle w:val="NormalWeb"/>
              <w:spacing w:before="240" w:beforeAutospacing="0" w:after="240" w:afterAutospacing="0"/>
              <w:textAlignment w:val="baseline"/>
              <w:rPr>
                <w:rFonts w:ascii="Arial" w:hAnsi="Arial" w:cs="Arial"/>
                <w:sz w:val="20"/>
                <w:szCs w:val="20"/>
              </w:rPr>
            </w:pPr>
            <w:r>
              <w:rPr>
                <w:rFonts w:ascii="Arial" w:hAnsi="Arial" w:cs="Arial"/>
                <w:sz w:val="20"/>
                <w:szCs w:val="20"/>
              </w:rPr>
              <w:t>LIXISENATIDE, 10 micrograms/0.2 </w:t>
            </w:r>
            <w:r w:rsidR="00010379" w:rsidRPr="006F6D3E">
              <w:rPr>
                <w:rFonts w:ascii="Arial" w:hAnsi="Arial" w:cs="Arial"/>
                <w:sz w:val="20"/>
                <w:szCs w:val="20"/>
              </w:rPr>
              <w:t xml:space="preserve">mL injection, 14 unit doses (&amp;) lixisenatide 20 micrograms/0.2 mL </w:t>
            </w:r>
            <w:r w:rsidR="00010379" w:rsidRPr="006F6D3E">
              <w:rPr>
                <w:rFonts w:ascii="Arial" w:hAnsi="Arial" w:cs="Arial"/>
                <w:sz w:val="20"/>
                <w:szCs w:val="20"/>
              </w:rPr>
              <w:lastRenderedPageBreak/>
              <w:t xml:space="preserve">injection, 14 unit doses, </w:t>
            </w:r>
            <w:r>
              <w:rPr>
                <w:rFonts w:ascii="Arial" w:hAnsi="Arial" w:cs="Arial"/>
                <w:sz w:val="20"/>
                <w:szCs w:val="20"/>
              </w:rPr>
              <w:t xml:space="preserve"> </w:t>
            </w:r>
            <w:r w:rsidR="00010379" w:rsidRPr="006F6D3E">
              <w:rPr>
                <w:rFonts w:ascii="Arial" w:hAnsi="Arial" w:cs="Arial"/>
                <w:sz w:val="20"/>
                <w:szCs w:val="20"/>
              </w:rPr>
              <w:t>Lyxumia® Treatment Initiation Pack</w:t>
            </w:r>
          </w:p>
          <w:p w:rsidR="00010379" w:rsidRPr="006F6D3E" w:rsidRDefault="00010379">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lixisenatide 20 micrograms/0.2 mL injection, 28 unit doses</w:t>
            </w:r>
            <w:r w:rsidR="00505378">
              <w:rPr>
                <w:rFonts w:ascii="Arial" w:hAnsi="Arial" w:cs="Arial"/>
                <w:sz w:val="20"/>
                <w:szCs w:val="20"/>
              </w:rPr>
              <w:t xml:space="preserve">, </w:t>
            </w:r>
            <w:r w:rsidRPr="006F6D3E">
              <w:rPr>
                <w:rFonts w:ascii="Arial" w:hAnsi="Arial" w:cs="Arial"/>
                <w:sz w:val="20"/>
                <w:szCs w:val="20"/>
              </w:rPr>
              <w:t>Lyxumia®</w:t>
            </w:r>
          </w:p>
          <w:p w:rsidR="00010379" w:rsidRPr="006F6D3E" w:rsidRDefault="00010379">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Sanofi-Aventis Australia Pty Ltd</w:t>
            </w:r>
          </w:p>
          <w:p w:rsidR="00010379" w:rsidRPr="006F6D3E" w:rsidRDefault="00010379">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 xml:space="preserve">New listing </w:t>
            </w:r>
          </w:p>
          <w:p w:rsidR="00010379" w:rsidRPr="006F6D3E" w:rsidRDefault="00010379">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(Major submission)</w:t>
            </w:r>
          </w:p>
        </w:tc>
        <w:tc>
          <w:tcPr>
            <w:tcW w:w="1701" w:type="dxa"/>
            <w:vMerge w:val="restart"/>
            <w:tcMar>
              <w:top w:w="28" w:type="dxa"/>
              <w:bottom w:w="28" w:type="dxa"/>
            </w:tcMar>
          </w:tcPr>
          <w:p w:rsidR="00010379" w:rsidRPr="006F6D3E" w:rsidRDefault="00010379">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lastRenderedPageBreak/>
              <w:t>Type 2 diabetes</w:t>
            </w:r>
          </w:p>
        </w:tc>
        <w:tc>
          <w:tcPr>
            <w:tcW w:w="3402" w:type="dxa"/>
            <w:tcMar>
              <w:top w:w="28" w:type="dxa"/>
              <w:bottom w:w="28" w:type="dxa"/>
            </w:tcMar>
          </w:tcPr>
          <w:p w:rsidR="00010379" w:rsidRPr="006F6D3E" w:rsidRDefault="00010379">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 xml:space="preserve">Authority required (Streamlined) listing for treatment of diabetes mellitus type 2 as triple combination therapy with basal insulin and either metformin or a sulphonylurea in </w:t>
            </w:r>
            <w:r w:rsidRPr="006F6D3E">
              <w:rPr>
                <w:rFonts w:ascii="Arial" w:hAnsi="Arial" w:cs="Arial"/>
                <w:sz w:val="20"/>
                <w:szCs w:val="20"/>
              </w:rPr>
              <w:lastRenderedPageBreak/>
              <w:t>patients who meet certain criteria.</w:t>
            </w:r>
          </w:p>
        </w:tc>
        <w:tc>
          <w:tcPr>
            <w:tcW w:w="7938" w:type="dxa"/>
          </w:tcPr>
          <w:p w:rsidR="00010379" w:rsidRDefault="00010379" w:rsidP="0065234B">
            <w:pPr>
              <w:contextualSpacing/>
              <w:jc w:val="both"/>
              <w:rPr>
                <w:rFonts w:ascii="Arial" w:hAnsi="Arial" w:cs="Arial"/>
              </w:rPr>
            </w:pPr>
            <w:r w:rsidRPr="006F6D3E">
              <w:rPr>
                <w:rFonts w:ascii="Arial" w:hAnsi="Arial" w:cs="Arial"/>
              </w:rPr>
              <w:lastRenderedPageBreak/>
              <w:t xml:space="preserve">The PBAC rejected the request to list lixisenatide for use in combination with insulin on the basis that the clinical place of glucagon-like peptide-1 drugs in type 2 diabetic patients requiring insulin therapy is yet to be established and therefore the appropriate comparator is not only </w:t>
            </w:r>
            <w:r w:rsidR="005331D3">
              <w:rPr>
                <w:rFonts w:ascii="Arial" w:hAnsi="Arial" w:cs="Arial"/>
              </w:rPr>
              <w:t>up</w:t>
            </w:r>
            <w:r w:rsidRPr="006F6D3E">
              <w:rPr>
                <w:rFonts w:ascii="Arial" w:hAnsi="Arial" w:cs="Arial"/>
              </w:rPr>
              <w:t>titrated insulin. The basis for the cost minimisation analysis of l</w:t>
            </w:r>
            <w:r w:rsidR="00505378">
              <w:rPr>
                <w:rFonts w:ascii="Arial" w:hAnsi="Arial" w:cs="Arial"/>
              </w:rPr>
              <w:t>ixisena</w:t>
            </w:r>
            <w:r w:rsidRPr="006F6D3E">
              <w:rPr>
                <w:rFonts w:ascii="Arial" w:hAnsi="Arial" w:cs="Arial"/>
              </w:rPr>
              <w:t>tide compared to uptitrated insulin was therefore not accepted.  Additionally, the trial based insulin dosage regimens used in the comparison were unlikely to be to be replicated in practice.</w:t>
            </w:r>
          </w:p>
          <w:p w:rsidR="00150381" w:rsidRDefault="00150381" w:rsidP="00D80605">
            <w:pPr>
              <w:contextualSpacing/>
              <w:jc w:val="both"/>
              <w:rPr>
                <w:rFonts w:ascii="Arial" w:hAnsi="Arial" w:cs="Arial"/>
              </w:rPr>
            </w:pPr>
          </w:p>
          <w:p w:rsidR="00150381" w:rsidRPr="00D80605" w:rsidRDefault="00150381" w:rsidP="00D80605">
            <w:pPr>
              <w:contextualSpacing/>
              <w:jc w:val="both"/>
              <w:rPr>
                <w:rFonts w:ascii="Arial" w:hAnsi="Arial" w:cs="Arial"/>
              </w:rPr>
            </w:pPr>
            <w:r w:rsidRPr="00D80605">
              <w:rPr>
                <w:rFonts w:ascii="Arial" w:hAnsi="Arial" w:cs="Arial"/>
              </w:rPr>
              <w:t>On the basis of indirect and multi-step indirect evidence presented in the submission, the comparison of lixisenatide plus basal insulin and comparator drugs (basal-bolus regimens and premixed insulin) resulted in:</w:t>
            </w:r>
          </w:p>
          <w:p w:rsidR="00150381" w:rsidRDefault="00150381" w:rsidP="00D80605">
            <w:pPr>
              <w:pStyle w:val="ListParagraph"/>
              <w:numPr>
                <w:ilvl w:val="0"/>
                <w:numId w:val="21"/>
              </w:numPr>
              <w:ind w:left="379" w:hanging="284"/>
              <w:jc w:val="both"/>
              <w:rPr>
                <w:rFonts w:ascii="Arial" w:hAnsi="Arial" w:cs="Arial"/>
              </w:rPr>
            </w:pPr>
            <w:r w:rsidRPr="00D80605">
              <w:rPr>
                <w:rFonts w:ascii="Arial" w:hAnsi="Arial" w:cs="Arial"/>
                <w:sz w:val="20"/>
                <w:szCs w:val="20"/>
              </w:rPr>
              <w:t xml:space="preserve">An approximate 0.10% to 0.32% reduction in HbA1c over a maximum duration of exposure of 24 weeks. The submission considered that a reduction of 0.4% is clinically significant, and that lixisenatide is equivalent to the comparator drugs. </w:t>
            </w:r>
          </w:p>
          <w:p w:rsidR="00150381" w:rsidRDefault="00150381" w:rsidP="00D80605">
            <w:pPr>
              <w:ind w:left="1134"/>
              <w:contextualSpacing/>
              <w:jc w:val="both"/>
              <w:rPr>
                <w:rFonts w:ascii="Arial" w:hAnsi="Arial" w:cs="Arial"/>
              </w:rPr>
            </w:pPr>
          </w:p>
          <w:p w:rsidR="00150381" w:rsidRPr="00D80605" w:rsidRDefault="00150381" w:rsidP="00D80605">
            <w:pPr>
              <w:contextualSpacing/>
              <w:jc w:val="both"/>
              <w:rPr>
                <w:rFonts w:ascii="Arial" w:hAnsi="Arial" w:cs="Arial"/>
              </w:rPr>
            </w:pPr>
            <w:r w:rsidRPr="00D80605">
              <w:rPr>
                <w:rFonts w:ascii="Arial" w:hAnsi="Arial" w:cs="Arial"/>
              </w:rPr>
              <w:t>On the basis of indirect and multi-step indirect evidence presented in the submission, for every 100 patients treated with lixisenatide plus basal insulin in comparison to the comparator drugs (basal-bolus regimens and premixed insulin):</w:t>
            </w:r>
          </w:p>
          <w:p w:rsidR="00150381" w:rsidRPr="00022BF5" w:rsidRDefault="00150381" w:rsidP="00D80605">
            <w:pPr>
              <w:pStyle w:val="ListParagraph"/>
              <w:numPr>
                <w:ilvl w:val="0"/>
                <w:numId w:val="21"/>
              </w:numPr>
              <w:ind w:left="379" w:hanging="284"/>
              <w:jc w:val="both"/>
              <w:rPr>
                <w:rFonts w:ascii="Arial" w:hAnsi="Arial" w:cs="Arial"/>
              </w:rPr>
            </w:pPr>
            <w:r w:rsidRPr="00D80605">
              <w:rPr>
                <w:rFonts w:ascii="Arial" w:hAnsi="Arial" w:cs="Arial"/>
                <w:sz w:val="20"/>
                <w:szCs w:val="20"/>
              </w:rPr>
              <w:t xml:space="preserve">Approximately 3 to 5 additional patients might stop treatment due to side effects over a median duration of exposure of 24 weeks. </w:t>
            </w:r>
          </w:p>
          <w:p w:rsidR="00150381" w:rsidRPr="006F6D3E" w:rsidRDefault="00150381" w:rsidP="0065234B">
            <w:pPr>
              <w:contextualSpacing/>
              <w:jc w:val="both"/>
              <w:rPr>
                <w:rFonts w:ascii="Arial" w:hAnsi="Arial" w:cs="Arial"/>
              </w:rPr>
            </w:pPr>
          </w:p>
        </w:tc>
      </w:tr>
      <w:tr w:rsidR="00010379" w:rsidRPr="006F6D3E" w:rsidTr="00B61B56">
        <w:trPr>
          <w:trHeight w:val="391"/>
        </w:trPr>
        <w:tc>
          <w:tcPr>
            <w:tcW w:w="2552" w:type="dxa"/>
            <w:vMerge/>
            <w:tcMar>
              <w:top w:w="28" w:type="dxa"/>
              <w:bottom w:w="28" w:type="dxa"/>
            </w:tcMar>
            <w:vAlign w:val="center"/>
          </w:tcPr>
          <w:p w:rsidR="00010379" w:rsidRPr="006F6D3E" w:rsidRDefault="00010379" w:rsidP="0065234B">
            <w:pPr>
              <w:widowControl w:val="0"/>
              <w:jc w:val="right"/>
              <w:rPr>
                <w:rFonts w:ascii="Arial" w:hAnsi="Arial" w:cs="Arial"/>
              </w:rPr>
            </w:pPr>
          </w:p>
        </w:tc>
        <w:tc>
          <w:tcPr>
            <w:tcW w:w="1701" w:type="dxa"/>
            <w:vMerge/>
            <w:vAlign w:val="center"/>
          </w:tcPr>
          <w:p w:rsidR="00010379" w:rsidRPr="006F6D3E" w:rsidRDefault="00010379" w:rsidP="0065234B">
            <w:pPr>
              <w:widowControl w:val="0"/>
              <w:jc w:val="right"/>
              <w:rPr>
                <w:rFonts w:ascii="Arial" w:hAnsi="Arial" w:cs="Arial"/>
              </w:rPr>
            </w:pPr>
          </w:p>
        </w:tc>
        <w:tc>
          <w:tcPr>
            <w:tcW w:w="3402" w:type="dxa"/>
            <w:tcMar>
              <w:top w:w="28" w:type="dxa"/>
              <w:bottom w:w="28" w:type="dxa"/>
            </w:tcMar>
          </w:tcPr>
          <w:p w:rsidR="00010379" w:rsidRPr="006F6D3E" w:rsidRDefault="00010379" w:rsidP="0065234B">
            <w:pPr>
              <w:contextualSpacing/>
              <w:jc w:val="right"/>
              <w:rPr>
                <w:rFonts w:ascii="Arial" w:hAnsi="Arial" w:cs="Arial"/>
              </w:rPr>
            </w:pPr>
            <w:r w:rsidRPr="006F6D3E">
              <w:rPr>
                <w:rFonts w:ascii="Arial" w:hAnsi="Arial" w:cs="Arial"/>
                <w:snapToGrid w:val="0"/>
                <w:lang w:eastAsia="en-US"/>
              </w:rPr>
              <w:t>Sponsor Comment:</w:t>
            </w:r>
          </w:p>
        </w:tc>
        <w:tc>
          <w:tcPr>
            <w:tcW w:w="7938" w:type="dxa"/>
          </w:tcPr>
          <w:p w:rsidR="00010379" w:rsidRPr="007F10D0" w:rsidRDefault="007F10D0" w:rsidP="0065234B">
            <w:pPr>
              <w:contextualSpacing/>
              <w:jc w:val="both"/>
              <w:rPr>
                <w:rFonts w:ascii="Arial" w:hAnsi="Arial" w:cs="Arial"/>
              </w:rPr>
            </w:pPr>
            <w:r w:rsidRPr="007F10D0">
              <w:rPr>
                <w:rFonts w:ascii="Arial" w:hAnsi="Arial" w:cs="Arial"/>
              </w:rPr>
              <w:t>The sponsor will be considering its position regarding any future course of action.</w:t>
            </w:r>
          </w:p>
        </w:tc>
      </w:tr>
      <w:tr w:rsidR="00010379" w:rsidRPr="006F6D3E" w:rsidTr="00B61B56">
        <w:trPr>
          <w:trHeight w:val="482"/>
        </w:trPr>
        <w:tc>
          <w:tcPr>
            <w:tcW w:w="2552" w:type="dxa"/>
            <w:vMerge w:val="restart"/>
            <w:tcMar>
              <w:top w:w="28" w:type="dxa"/>
              <w:bottom w:w="28" w:type="dxa"/>
            </w:tcMar>
          </w:tcPr>
          <w:p w:rsidR="00010379" w:rsidRPr="006F6D3E" w:rsidRDefault="00505378" w:rsidP="00DC00C2">
            <w:pPr>
              <w:pStyle w:val="NormalWeb"/>
              <w:spacing w:before="0" w:beforeAutospacing="0" w:after="0" w:afterAutospacing="0" w:line="270" w:lineRule="atLeast"/>
              <w:textAlignment w:val="baseline"/>
              <w:rPr>
                <w:rFonts w:ascii="Arial" w:hAnsi="Arial" w:cs="Arial"/>
                <w:sz w:val="20"/>
                <w:szCs w:val="20"/>
              </w:rPr>
            </w:pPr>
            <w:r>
              <w:rPr>
                <w:rFonts w:ascii="Arial" w:hAnsi="Arial" w:cs="Arial"/>
                <w:sz w:val="20"/>
                <w:szCs w:val="20"/>
              </w:rPr>
              <w:t>LIXISENATIDE, 10 micrograms/0.2 </w:t>
            </w:r>
            <w:r w:rsidR="00010379" w:rsidRPr="006F6D3E">
              <w:rPr>
                <w:rFonts w:ascii="Arial" w:hAnsi="Arial" w:cs="Arial"/>
                <w:sz w:val="20"/>
                <w:szCs w:val="20"/>
              </w:rPr>
              <w:t>mL injection, 14 unit doses (&amp;) lixisenatide 20 micrograms/0.2 mL injection, 14 unit doses, Lyxumia® Treatment Initiation Pack</w:t>
            </w:r>
            <w:r w:rsidR="00010379" w:rsidRPr="006F6D3E">
              <w:rPr>
                <w:rFonts w:ascii="Arial" w:hAnsi="Arial" w:cs="Arial"/>
                <w:sz w:val="20"/>
                <w:szCs w:val="20"/>
              </w:rPr>
              <w:br/>
            </w:r>
            <w:r w:rsidR="00010379" w:rsidRPr="006F6D3E">
              <w:rPr>
                <w:rFonts w:ascii="Arial" w:hAnsi="Arial" w:cs="Arial"/>
                <w:sz w:val="20"/>
                <w:szCs w:val="20"/>
              </w:rPr>
              <w:br/>
              <w:t>lixisenatide 20 micrograms/</w:t>
            </w:r>
            <w:r>
              <w:rPr>
                <w:rFonts w:ascii="Arial" w:hAnsi="Arial" w:cs="Arial"/>
                <w:sz w:val="20"/>
                <w:szCs w:val="20"/>
              </w:rPr>
              <w:t xml:space="preserve">0.2 mL injection, 28 unit doses, </w:t>
            </w:r>
            <w:r w:rsidR="00010379" w:rsidRPr="006F6D3E">
              <w:rPr>
                <w:rFonts w:ascii="Arial" w:hAnsi="Arial" w:cs="Arial"/>
                <w:sz w:val="20"/>
                <w:szCs w:val="20"/>
              </w:rPr>
              <w:t>Lyxumia®</w:t>
            </w:r>
            <w:r w:rsidR="00010379" w:rsidRPr="006F6D3E">
              <w:rPr>
                <w:rFonts w:ascii="Arial" w:hAnsi="Arial" w:cs="Arial"/>
                <w:sz w:val="20"/>
                <w:szCs w:val="20"/>
              </w:rPr>
              <w:br/>
            </w:r>
            <w:r w:rsidR="00010379" w:rsidRPr="006F6D3E">
              <w:rPr>
                <w:rFonts w:ascii="Arial" w:hAnsi="Arial" w:cs="Arial"/>
                <w:sz w:val="20"/>
                <w:szCs w:val="20"/>
              </w:rPr>
              <w:br/>
              <w:t>Sanofi-Aventis</w:t>
            </w:r>
            <w:r>
              <w:rPr>
                <w:rFonts w:ascii="Arial" w:hAnsi="Arial" w:cs="Arial"/>
                <w:sz w:val="20"/>
                <w:szCs w:val="20"/>
              </w:rPr>
              <w:t xml:space="preserve"> </w:t>
            </w:r>
            <w:r w:rsidR="00010379" w:rsidRPr="006F6D3E">
              <w:rPr>
                <w:rFonts w:ascii="Arial" w:hAnsi="Arial" w:cs="Arial"/>
                <w:sz w:val="20"/>
                <w:szCs w:val="20"/>
              </w:rPr>
              <w:t>Australia Pty Ltd</w:t>
            </w:r>
          </w:p>
          <w:p w:rsidR="00010379" w:rsidRPr="006F6D3E" w:rsidRDefault="00010379" w:rsidP="00DC00C2">
            <w:pPr>
              <w:pStyle w:val="NormalWeb"/>
              <w:spacing w:before="0" w:beforeAutospacing="0" w:after="0" w:afterAutospacing="0" w:line="270" w:lineRule="atLeast"/>
              <w:textAlignment w:val="baseline"/>
              <w:rPr>
                <w:rFonts w:ascii="Arial" w:hAnsi="Arial" w:cs="Arial"/>
                <w:sz w:val="20"/>
                <w:szCs w:val="20"/>
              </w:rPr>
            </w:pPr>
            <w:r w:rsidRPr="006F6D3E">
              <w:rPr>
                <w:rFonts w:ascii="Arial" w:hAnsi="Arial" w:cs="Arial"/>
                <w:sz w:val="20"/>
                <w:szCs w:val="20"/>
              </w:rPr>
              <w:t xml:space="preserve">New listing </w:t>
            </w:r>
          </w:p>
          <w:p w:rsidR="00010379" w:rsidRPr="006F6D3E" w:rsidRDefault="00010379" w:rsidP="00DC00C2">
            <w:pPr>
              <w:pStyle w:val="NormalWeb"/>
              <w:spacing w:before="0" w:beforeAutospacing="0" w:after="0" w:afterAutospacing="0" w:line="270" w:lineRule="atLeast"/>
              <w:textAlignment w:val="baseline"/>
              <w:rPr>
                <w:rFonts w:ascii="Arial" w:hAnsi="Arial" w:cs="Arial"/>
                <w:sz w:val="20"/>
                <w:szCs w:val="20"/>
              </w:rPr>
            </w:pPr>
            <w:r w:rsidRPr="006F6D3E">
              <w:rPr>
                <w:rFonts w:ascii="Arial" w:hAnsi="Arial" w:cs="Arial"/>
                <w:sz w:val="20"/>
                <w:szCs w:val="20"/>
              </w:rPr>
              <w:t>(Major submission)</w:t>
            </w:r>
          </w:p>
        </w:tc>
        <w:tc>
          <w:tcPr>
            <w:tcW w:w="1701" w:type="dxa"/>
            <w:vMerge w:val="restart"/>
            <w:tcMar>
              <w:top w:w="28" w:type="dxa"/>
              <w:bottom w:w="28" w:type="dxa"/>
            </w:tcMar>
          </w:tcPr>
          <w:p w:rsidR="00010379" w:rsidRPr="006F6D3E" w:rsidRDefault="00010379">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Type 2 diabetes</w:t>
            </w:r>
          </w:p>
        </w:tc>
        <w:tc>
          <w:tcPr>
            <w:tcW w:w="3402" w:type="dxa"/>
            <w:tcMar>
              <w:top w:w="28" w:type="dxa"/>
              <w:bottom w:w="28" w:type="dxa"/>
            </w:tcMar>
          </w:tcPr>
          <w:p w:rsidR="00010379" w:rsidRPr="006F6D3E" w:rsidRDefault="00010379" w:rsidP="00511FF2">
            <w:pPr>
              <w:pStyle w:val="NormalWeb"/>
              <w:spacing w:before="0" w:beforeAutospacing="0" w:after="0" w:afterAutospacing="0" w:line="270" w:lineRule="atLeast"/>
              <w:jc w:val="both"/>
              <w:textAlignment w:val="baseline"/>
              <w:rPr>
                <w:rFonts w:ascii="Arial" w:hAnsi="Arial" w:cs="Arial"/>
                <w:sz w:val="20"/>
                <w:szCs w:val="20"/>
              </w:rPr>
            </w:pPr>
            <w:r w:rsidRPr="006F6D3E">
              <w:rPr>
                <w:rFonts w:ascii="Arial" w:hAnsi="Arial" w:cs="Arial"/>
                <w:sz w:val="20"/>
                <w:szCs w:val="20"/>
              </w:rPr>
              <w:t>To request an Authority required (Streamlined) listing for treatment of diabetes mellitus type 2 in patients who meet certain criteria as;</w:t>
            </w:r>
            <w:r w:rsidRPr="006F6D3E">
              <w:rPr>
                <w:rFonts w:ascii="Arial" w:hAnsi="Arial" w:cs="Arial"/>
                <w:sz w:val="20"/>
                <w:szCs w:val="20"/>
              </w:rPr>
              <w:br/>
              <w:t>(i) dual therapy in combination with metformin; and</w:t>
            </w:r>
            <w:r w:rsidRPr="006F6D3E">
              <w:rPr>
                <w:rFonts w:ascii="Arial" w:hAnsi="Arial" w:cs="Arial"/>
                <w:sz w:val="20"/>
                <w:szCs w:val="20"/>
              </w:rPr>
              <w:br/>
              <w:t>(ii) triple therapy in combination with metformin and a sulphonylurea.</w:t>
            </w:r>
          </w:p>
          <w:p w:rsidR="00511FF2" w:rsidRPr="006F6D3E" w:rsidRDefault="00511FF2" w:rsidP="00511FF2">
            <w:pPr>
              <w:pStyle w:val="NormalWeb"/>
              <w:spacing w:before="0" w:beforeAutospacing="0" w:after="0" w:afterAutospacing="0" w:line="270" w:lineRule="atLeast"/>
              <w:jc w:val="both"/>
              <w:textAlignment w:val="baseline"/>
              <w:rPr>
                <w:rFonts w:ascii="Arial" w:hAnsi="Arial" w:cs="Arial"/>
                <w:sz w:val="20"/>
                <w:szCs w:val="20"/>
              </w:rPr>
            </w:pPr>
          </w:p>
        </w:tc>
        <w:tc>
          <w:tcPr>
            <w:tcW w:w="7938" w:type="dxa"/>
          </w:tcPr>
          <w:p w:rsidR="00010379" w:rsidRPr="006F6D3E" w:rsidRDefault="00010379" w:rsidP="003B07D1">
            <w:pPr>
              <w:jc w:val="both"/>
              <w:rPr>
                <w:rFonts w:ascii="Arial" w:hAnsi="Arial" w:cs="Arial"/>
                <w:highlight w:val="yellow"/>
              </w:rPr>
            </w:pPr>
            <w:r w:rsidRPr="006F6D3E">
              <w:rPr>
                <w:rFonts w:ascii="Arial" w:hAnsi="Arial" w:cs="Arial"/>
              </w:rPr>
              <w:t>The PBAC rejected the submission on the basis that lixisenatide’s non-inferiority to exenatide (twice daily) had not been adequately established. Therefore the PBAC did not accept the basis of the submission’s cost-minimisation analysis against exenatide.</w:t>
            </w:r>
          </w:p>
          <w:p w:rsidR="00010379" w:rsidRDefault="00010379" w:rsidP="0065234B">
            <w:pPr>
              <w:widowControl w:val="0"/>
              <w:rPr>
                <w:rFonts w:ascii="Arial" w:hAnsi="Arial" w:cs="Arial"/>
                <w:snapToGrid w:val="0"/>
                <w:lang w:eastAsia="en-US"/>
              </w:rPr>
            </w:pPr>
          </w:p>
          <w:p w:rsidR="001E79E9" w:rsidRPr="00D80605" w:rsidRDefault="001E79E9" w:rsidP="00D80605">
            <w:pPr>
              <w:contextualSpacing/>
              <w:jc w:val="both"/>
              <w:rPr>
                <w:rFonts w:ascii="Arial" w:hAnsi="Arial" w:cs="Arial"/>
              </w:rPr>
            </w:pPr>
            <w:r w:rsidRPr="00D80605">
              <w:rPr>
                <w:rFonts w:ascii="Arial" w:hAnsi="Arial" w:cs="Arial"/>
              </w:rPr>
              <w:t>On the basis of direct and indirect evidence presented in the submission, the comparison of lixisenatide and exenatide resulted in:</w:t>
            </w:r>
          </w:p>
          <w:p w:rsidR="001E79E9" w:rsidRPr="00D80605" w:rsidRDefault="001E79E9" w:rsidP="00D80605">
            <w:pPr>
              <w:pStyle w:val="ListParagraph"/>
              <w:numPr>
                <w:ilvl w:val="0"/>
                <w:numId w:val="21"/>
              </w:numPr>
              <w:ind w:left="379" w:hanging="284"/>
              <w:jc w:val="both"/>
              <w:rPr>
                <w:rFonts w:ascii="Arial" w:hAnsi="Arial" w:cs="Arial"/>
                <w:sz w:val="20"/>
                <w:szCs w:val="20"/>
              </w:rPr>
            </w:pPr>
            <w:r w:rsidRPr="00D80605">
              <w:rPr>
                <w:rFonts w:ascii="Arial" w:hAnsi="Arial" w:cs="Arial"/>
                <w:sz w:val="20"/>
                <w:szCs w:val="20"/>
              </w:rPr>
              <w:t xml:space="preserve">An approximate 0.17% to 0.20% smaller reduction in HbA1c over a maximum duration of follow-up of 24 week. The submission considered that a reduction of 0.4% is clinically significant and that lixisenatide is equivalent to exenatide. </w:t>
            </w:r>
          </w:p>
          <w:p w:rsidR="001E79E9" w:rsidRPr="00D80605" w:rsidRDefault="001E79E9" w:rsidP="001E79E9">
            <w:pPr>
              <w:ind w:left="720"/>
              <w:contextualSpacing/>
              <w:jc w:val="both"/>
              <w:rPr>
                <w:rFonts w:ascii="Arial" w:hAnsi="Arial" w:cs="Arial"/>
              </w:rPr>
            </w:pPr>
          </w:p>
          <w:p w:rsidR="001E79E9" w:rsidRPr="00D80605" w:rsidRDefault="001E79E9" w:rsidP="00D80605">
            <w:pPr>
              <w:jc w:val="both"/>
              <w:rPr>
                <w:rFonts w:ascii="Arial" w:hAnsi="Arial" w:cs="Arial"/>
              </w:rPr>
            </w:pPr>
            <w:r w:rsidRPr="00D80605">
              <w:rPr>
                <w:rFonts w:ascii="Arial" w:hAnsi="Arial" w:cs="Arial"/>
              </w:rPr>
              <w:t>On the basis of direct evidence presented in the submission, for every 100 patients treated with lixisenatide plus metformin in comparison to exenatide plus metformin;</w:t>
            </w:r>
          </w:p>
          <w:p w:rsidR="001E79E9" w:rsidRPr="00D80605" w:rsidRDefault="001E79E9" w:rsidP="00D80605">
            <w:pPr>
              <w:pStyle w:val="ListParagraph"/>
              <w:numPr>
                <w:ilvl w:val="0"/>
                <w:numId w:val="21"/>
              </w:numPr>
              <w:ind w:left="379" w:hanging="284"/>
              <w:jc w:val="both"/>
              <w:rPr>
                <w:rFonts w:ascii="Arial" w:hAnsi="Arial" w:cs="Arial"/>
                <w:sz w:val="20"/>
                <w:szCs w:val="20"/>
              </w:rPr>
            </w:pPr>
            <w:r w:rsidRPr="00D80605">
              <w:rPr>
                <w:rFonts w:ascii="Arial" w:hAnsi="Arial" w:cs="Arial"/>
                <w:sz w:val="20"/>
                <w:szCs w:val="20"/>
              </w:rPr>
              <w:t>Approximately 9 fewer patients would have nausea over a median duration of exposure of 80 weeks.</w:t>
            </w:r>
          </w:p>
          <w:p w:rsidR="001E79E9" w:rsidRPr="00D80605" w:rsidRDefault="001E79E9" w:rsidP="00D80605">
            <w:pPr>
              <w:pStyle w:val="ListParagraph"/>
              <w:numPr>
                <w:ilvl w:val="0"/>
                <w:numId w:val="21"/>
              </w:numPr>
              <w:ind w:left="379" w:hanging="284"/>
              <w:jc w:val="both"/>
              <w:rPr>
                <w:rFonts w:ascii="Arial" w:hAnsi="Arial" w:cs="Arial"/>
                <w:sz w:val="20"/>
                <w:szCs w:val="20"/>
              </w:rPr>
            </w:pPr>
            <w:r w:rsidRPr="00D80605">
              <w:rPr>
                <w:rFonts w:ascii="Arial" w:hAnsi="Arial" w:cs="Arial"/>
                <w:sz w:val="20"/>
                <w:szCs w:val="20"/>
              </w:rPr>
              <w:t>Approximately 10 fewer patients would have symptomatic hypoglycaemia (low blood sugar level) over a median duration of exposure of 80 weeks.</w:t>
            </w:r>
          </w:p>
          <w:p w:rsidR="001E79E9" w:rsidRPr="00D80605" w:rsidRDefault="001E79E9" w:rsidP="00D80605">
            <w:pPr>
              <w:pStyle w:val="ListParagraph"/>
              <w:numPr>
                <w:ilvl w:val="0"/>
                <w:numId w:val="21"/>
              </w:numPr>
              <w:ind w:left="379" w:hanging="284"/>
              <w:jc w:val="both"/>
              <w:rPr>
                <w:rFonts w:ascii="Arial" w:hAnsi="Arial" w:cs="Arial"/>
                <w:sz w:val="20"/>
                <w:szCs w:val="20"/>
              </w:rPr>
            </w:pPr>
            <w:r w:rsidRPr="00D80605">
              <w:rPr>
                <w:rFonts w:ascii="Arial" w:hAnsi="Arial" w:cs="Arial"/>
                <w:sz w:val="20"/>
                <w:szCs w:val="20"/>
              </w:rPr>
              <w:t xml:space="preserve">Approximately 7 additional patients would have injection site reactions over a median duration of exposure of 80 weeks. </w:t>
            </w:r>
          </w:p>
          <w:p w:rsidR="001E79E9" w:rsidRPr="006F6D3E" w:rsidRDefault="001E79E9" w:rsidP="0065234B">
            <w:pPr>
              <w:widowControl w:val="0"/>
              <w:rPr>
                <w:rFonts w:ascii="Arial" w:hAnsi="Arial" w:cs="Arial"/>
                <w:snapToGrid w:val="0"/>
                <w:lang w:eastAsia="en-US"/>
              </w:rPr>
            </w:pPr>
          </w:p>
        </w:tc>
      </w:tr>
      <w:tr w:rsidR="00010379" w:rsidRPr="006F6D3E" w:rsidTr="00B61B56">
        <w:trPr>
          <w:trHeight w:val="296"/>
        </w:trPr>
        <w:tc>
          <w:tcPr>
            <w:tcW w:w="2552" w:type="dxa"/>
            <w:vMerge/>
            <w:tcMar>
              <w:top w:w="28" w:type="dxa"/>
              <w:bottom w:w="28" w:type="dxa"/>
            </w:tcMar>
            <w:vAlign w:val="center"/>
          </w:tcPr>
          <w:p w:rsidR="00010379" w:rsidRPr="006F6D3E" w:rsidRDefault="00010379" w:rsidP="0065234B">
            <w:pPr>
              <w:widowControl w:val="0"/>
              <w:jc w:val="right"/>
              <w:rPr>
                <w:rFonts w:ascii="Arial" w:hAnsi="Arial" w:cs="Arial"/>
              </w:rPr>
            </w:pPr>
          </w:p>
        </w:tc>
        <w:tc>
          <w:tcPr>
            <w:tcW w:w="1701" w:type="dxa"/>
            <w:vMerge/>
            <w:vAlign w:val="center"/>
          </w:tcPr>
          <w:p w:rsidR="00010379" w:rsidRPr="006F6D3E" w:rsidRDefault="00010379" w:rsidP="0065234B">
            <w:pPr>
              <w:widowControl w:val="0"/>
              <w:jc w:val="right"/>
              <w:rPr>
                <w:rFonts w:ascii="Arial" w:hAnsi="Arial" w:cs="Arial"/>
              </w:rPr>
            </w:pPr>
          </w:p>
        </w:tc>
        <w:tc>
          <w:tcPr>
            <w:tcW w:w="3402" w:type="dxa"/>
            <w:tcMar>
              <w:top w:w="28" w:type="dxa"/>
              <w:bottom w:w="28" w:type="dxa"/>
            </w:tcMar>
          </w:tcPr>
          <w:p w:rsidR="00010379" w:rsidRPr="006F6D3E" w:rsidRDefault="00010379" w:rsidP="0065234B">
            <w:pPr>
              <w:widowControl w:val="0"/>
              <w:jc w:val="right"/>
              <w:rPr>
                <w:rFonts w:ascii="Arial" w:hAnsi="Arial" w:cs="Arial"/>
                <w:snapToGrid w:val="0"/>
                <w:lang w:eastAsia="en-US"/>
              </w:rPr>
            </w:pPr>
            <w:r w:rsidRPr="006F6D3E">
              <w:rPr>
                <w:rFonts w:ascii="Arial" w:hAnsi="Arial" w:cs="Arial"/>
                <w:snapToGrid w:val="0"/>
                <w:lang w:eastAsia="en-US"/>
              </w:rPr>
              <w:t>Sponsor Comment:</w:t>
            </w:r>
          </w:p>
        </w:tc>
        <w:tc>
          <w:tcPr>
            <w:tcW w:w="7938" w:type="dxa"/>
          </w:tcPr>
          <w:p w:rsidR="00010379" w:rsidRPr="007F10D0" w:rsidRDefault="007F10D0" w:rsidP="0065234B">
            <w:pPr>
              <w:widowControl w:val="0"/>
              <w:rPr>
                <w:rFonts w:ascii="Arial" w:hAnsi="Arial" w:cs="Arial"/>
                <w:snapToGrid w:val="0"/>
                <w:lang w:eastAsia="en-US"/>
              </w:rPr>
            </w:pPr>
            <w:r w:rsidRPr="007F10D0">
              <w:rPr>
                <w:rFonts w:ascii="Arial" w:hAnsi="Arial" w:cs="Arial"/>
              </w:rPr>
              <w:t>The sponsor will be considering its position regarding any future course of action.</w:t>
            </w:r>
          </w:p>
        </w:tc>
      </w:tr>
      <w:tr w:rsidR="00010379" w:rsidRPr="006F6D3E" w:rsidTr="00B61B56">
        <w:tc>
          <w:tcPr>
            <w:tcW w:w="2552" w:type="dxa"/>
            <w:vMerge w:val="restart"/>
            <w:tcMar>
              <w:top w:w="28" w:type="dxa"/>
              <w:bottom w:w="28" w:type="dxa"/>
            </w:tcMar>
          </w:tcPr>
          <w:p w:rsidR="00010379" w:rsidRPr="006F6D3E" w:rsidRDefault="00010379">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lastRenderedPageBreak/>
              <w:t>OBINUTUZUMAB, 1000 mg/40 mL injection, 1 x 40 mL vial </w:t>
            </w:r>
          </w:p>
          <w:p w:rsidR="00010379" w:rsidRPr="006F6D3E" w:rsidRDefault="00010379">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Gazyva® </w:t>
            </w:r>
          </w:p>
          <w:p w:rsidR="00010379" w:rsidRPr="006F6D3E" w:rsidRDefault="00010379">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Roche Products Pty Ltd</w:t>
            </w:r>
          </w:p>
          <w:p w:rsidR="00010379" w:rsidRPr="006F6D3E" w:rsidRDefault="00010379">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New listing</w:t>
            </w:r>
          </w:p>
          <w:p w:rsidR="00010379" w:rsidRPr="006F6D3E" w:rsidRDefault="00010379">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(Major submission)</w:t>
            </w:r>
          </w:p>
        </w:tc>
        <w:tc>
          <w:tcPr>
            <w:tcW w:w="1701" w:type="dxa"/>
            <w:vMerge w:val="restart"/>
            <w:tcMar>
              <w:top w:w="28" w:type="dxa"/>
              <w:bottom w:w="28" w:type="dxa"/>
            </w:tcMar>
          </w:tcPr>
          <w:p w:rsidR="00010379" w:rsidRPr="006F6D3E" w:rsidRDefault="00010379">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Chronic lymphocytic leukaemia</w:t>
            </w:r>
          </w:p>
        </w:tc>
        <w:tc>
          <w:tcPr>
            <w:tcW w:w="3402" w:type="dxa"/>
            <w:tcMar>
              <w:top w:w="28" w:type="dxa"/>
              <w:bottom w:w="28" w:type="dxa"/>
            </w:tcMar>
          </w:tcPr>
          <w:p w:rsidR="00010379" w:rsidRPr="006F6D3E" w:rsidRDefault="00010379" w:rsidP="00511FF2">
            <w:pPr>
              <w:pStyle w:val="NormalWeb"/>
              <w:spacing w:before="240" w:beforeAutospacing="0" w:after="240" w:afterAutospacing="0"/>
              <w:jc w:val="both"/>
              <w:textAlignment w:val="baseline"/>
              <w:rPr>
                <w:rFonts w:ascii="Arial" w:hAnsi="Arial" w:cs="Arial"/>
                <w:sz w:val="20"/>
                <w:szCs w:val="20"/>
              </w:rPr>
            </w:pPr>
            <w:r w:rsidRPr="006F6D3E">
              <w:rPr>
                <w:rFonts w:ascii="Arial" w:hAnsi="Arial" w:cs="Arial"/>
                <w:sz w:val="20"/>
                <w:szCs w:val="20"/>
              </w:rPr>
              <w:t>Section 100 (Efficient Funding of Chemotherapy Program) Authority required listing for the treatment, in combination with chlorambucil, of patients with previously untreated CD20 positive chronic lymphocytic leukaemia (CLL) and comorbidities.</w:t>
            </w:r>
          </w:p>
        </w:tc>
        <w:tc>
          <w:tcPr>
            <w:tcW w:w="7938" w:type="dxa"/>
          </w:tcPr>
          <w:p w:rsidR="00853EFD" w:rsidRPr="00853EFD" w:rsidRDefault="00853EFD" w:rsidP="00853EFD">
            <w:pPr>
              <w:keepNext/>
              <w:keepLines/>
              <w:jc w:val="both"/>
              <w:rPr>
                <w:rFonts w:ascii="Arial" w:hAnsi="Arial" w:cs="Arial"/>
              </w:rPr>
            </w:pPr>
            <w:r w:rsidRPr="00853EFD">
              <w:rPr>
                <w:rFonts w:ascii="Arial" w:hAnsi="Arial" w:cs="Arial"/>
              </w:rPr>
              <w:t>The PBAC rejected the submission to list obinutuzumab on the PBS for the treatment of CLL in patients with</w:t>
            </w:r>
            <w:r>
              <w:rPr>
                <w:rFonts w:ascii="Arial" w:hAnsi="Arial" w:cs="Arial"/>
              </w:rPr>
              <w:t xml:space="preserve"> </w:t>
            </w:r>
            <w:r w:rsidRPr="00853EFD">
              <w:rPr>
                <w:rFonts w:ascii="Arial" w:hAnsi="Arial" w:cs="Arial"/>
              </w:rPr>
              <w:t>comorbidities as the submission failed to demonstrate that obinutuzumab was cost effective. The economic model submitted by the sponsor was unsuitable as a basis for determining the cost-effectiveness of obinutuzumab in the requested treatment setting.</w:t>
            </w:r>
          </w:p>
          <w:p w:rsidR="00853EFD" w:rsidRPr="00853EFD" w:rsidRDefault="00853EFD" w:rsidP="00853EFD">
            <w:pPr>
              <w:jc w:val="both"/>
              <w:rPr>
                <w:rFonts w:ascii="Arial" w:hAnsi="Arial" w:cs="Arial"/>
              </w:rPr>
            </w:pPr>
          </w:p>
          <w:p w:rsidR="00853EFD" w:rsidRPr="00853EFD" w:rsidRDefault="00853EFD" w:rsidP="00853EFD">
            <w:pPr>
              <w:contextualSpacing/>
              <w:jc w:val="both"/>
              <w:rPr>
                <w:rFonts w:ascii="Arial" w:hAnsi="Arial" w:cs="Arial"/>
              </w:rPr>
            </w:pPr>
            <w:r w:rsidRPr="00853EFD">
              <w:rPr>
                <w:rFonts w:ascii="Arial" w:hAnsi="Arial" w:cs="Arial"/>
              </w:rPr>
              <w:t>On the basis of direct evidence presented by the submission, the comparison of obinutuzumab plus chlorambucil and rituximab plus chlorambucil over a median follow-up of 18.7 months, resulted in:</w:t>
            </w:r>
          </w:p>
          <w:p w:rsidR="00853EFD" w:rsidRPr="00853EFD" w:rsidRDefault="00853EFD" w:rsidP="00853EFD">
            <w:pPr>
              <w:numPr>
                <w:ilvl w:val="0"/>
                <w:numId w:val="21"/>
              </w:numPr>
              <w:ind w:left="379" w:hanging="284"/>
              <w:contextualSpacing/>
              <w:jc w:val="both"/>
              <w:rPr>
                <w:rFonts w:ascii="Arial" w:hAnsi="Arial" w:cs="Arial"/>
              </w:rPr>
            </w:pPr>
            <w:r w:rsidRPr="00853EFD">
              <w:rPr>
                <w:rFonts w:ascii="Arial" w:hAnsi="Arial" w:cs="Arial"/>
              </w:rPr>
              <w:t>An improvement in median progression free survival of 11.5 months.</w:t>
            </w:r>
          </w:p>
          <w:p w:rsidR="00853EFD" w:rsidRPr="00853EFD" w:rsidRDefault="00853EFD" w:rsidP="00853EFD">
            <w:pPr>
              <w:numPr>
                <w:ilvl w:val="0"/>
                <w:numId w:val="21"/>
              </w:numPr>
              <w:ind w:left="379" w:hanging="284"/>
              <w:contextualSpacing/>
              <w:jc w:val="both"/>
              <w:rPr>
                <w:rFonts w:ascii="Arial" w:hAnsi="Arial" w:cs="Arial"/>
              </w:rPr>
            </w:pPr>
            <w:r w:rsidRPr="00853EFD">
              <w:rPr>
                <w:rFonts w:ascii="Arial" w:hAnsi="Arial" w:cs="Arial"/>
              </w:rPr>
              <w:t>Approximately 29 fewer patients per 100 having progressed.</w:t>
            </w:r>
          </w:p>
          <w:p w:rsidR="00853EFD" w:rsidRPr="00853EFD" w:rsidRDefault="00853EFD" w:rsidP="00853EFD">
            <w:pPr>
              <w:numPr>
                <w:ilvl w:val="0"/>
                <w:numId w:val="21"/>
              </w:numPr>
              <w:ind w:left="379" w:hanging="284"/>
              <w:contextualSpacing/>
              <w:jc w:val="both"/>
              <w:rPr>
                <w:rFonts w:ascii="Arial" w:hAnsi="Arial" w:cs="Arial"/>
              </w:rPr>
            </w:pPr>
            <w:r w:rsidRPr="00853EFD">
              <w:rPr>
                <w:rFonts w:ascii="Arial" w:hAnsi="Arial" w:cs="Arial"/>
              </w:rPr>
              <w:t>Approximately 10 fewer patients per 100 requiring further anti</w:t>
            </w:r>
            <w:r w:rsidRPr="00853EFD">
              <w:rPr>
                <w:rFonts w:ascii="Arial" w:hAnsi="Arial" w:cs="Arial"/>
              </w:rPr>
              <w:noBreakHyphen/>
            </w:r>
            <w:r w:rsidR="007977AD" w:rsidRPr="00853EFD">
              <w:rPr>
                <w:rFonts w:ascii="Arial" w:hAnsi="Arial" w:cs="Arial"/>
              </w:rPr>
              <w:t>leukaemia</w:t>
            </w:r>
            <w:r w:rsidRPr="00853EFD">
              <w:rPr>
                <w:rFonts w:ascii="Arial" w:hAnsi="Arial" w:cs="Arial"/>
              </w:rPr>
              <w:t xml:space="preserve"> therapy. </w:t>
            </w:r>
          </w:p>
          <w:p w:rsidR="00853EFD" w:rsidRPr="00853EFD" w:rsidRDefault="00853EFD" w:rsidP="00853EFD">
            <w:pPr>
              <w:ind w:left="720"/>
              <w:contextualSpacing/>
              <w:jc w:val="both"/>
              <w:rPr>
                <w:rFonts w:ascii="Arial" w:hAnsi="Arial" w:cs="Arial"/>
              </w:rPr>
            </w:pPr>
          </w:p>
          <w:p w:rsidR="00853EFD" w:rsidRPr="00853EFD" w:rsidRDefault="00853EFD" w:rsidP="00853EFD">
            <w:pPr>
              <w:contextualSpacing/>
              <w:jc w:val="both"/>
              <w:rPr>
                <w:rFonts w:ascii="Arial" w:hAnsi="Arial" w:cs="Arial"/>
              </w:rPr>
            </w:pPr>
            <w:r w:rsidRPr="00853EFD">
              <w:rPr>
                <w:rFonts w:ascii="Arial" w:hAnsi="Arial" w:cs="Arial"/>
              </w:rPr>
              <w:t xml:space="preserve">On the basis of direct evidence presented by the submission, for every 100 patients treated with obinutuzumab plus chlorambucil, in comparison to rituximab plus </w:t>
            </w:r>
            <w:r w:rsidR="002068F5">
              <w:rPr>
                <w:rFonts w:ascii="Arial" w:hAnsi="Arial" w:cs="Arial"/>
              </w:rPr>
              <w:t>chlorambucil</w:t>
            </w:r>
            <w:r w:rsidRPr="00853EFD">
              <w:rPr>
                <w:rFonts w:ascii="Arial" w:hAnsi="Arial" w:cs="Arial"/>
              </w:rPr>
              <w:t>, over a median duration of follow-up of 18.7 months, there would be:</w:t>
            </w:r>
          </w:p>
          <w:p w:rsidR="00853EFD" w:rsidRPr="00853EFD" w:rsidRDefault="00853EFD" w:rsidP="00853EFD">
            <w:pPr>
              <w:numPr>
                <w:ilvl w:val="0"/>
                <w:numId w:val="21"/>
              </w:numPr>
              <w:ind w:left="379" w:hanging="284"/>
              <w:contextualSpacing/>
              <w:jc w:val="both"/>
              <w:rPr>
                <w:rFonts w:ascii="Arial" w:hAnsi="Arial" w:cs="Arial"/>
              </w:rPr>
            </w:pPr>
            <w:r w:rsidRPr="00853EFD">
              <w:rPr>
                <w:rFonts w:ascii="Arial" w:hAnsi="Arial" w:cs="Arial"/>
              </w:rPr>
              <w:t>Approximately 16 additional grade 3 to 5 infusion-related reactions;</w:t>
            </w:r>
          </w:p>
          <w:p w:rsidR="00853EFD" w:rsidRPr="00D80605" w:rsidRDefault="00853EFD" w:rsidP="00853EFD">
            <w:pPr>
              <w:pStyle w:val="ListParagraph"/>
              <w:numPr>
                <w:ilvl w:val="0"/>
                <w:numId w:val="21"/>
              </w:numPr>
              <w:ind w:left="379" w:hanging="284"/>
              <w:jc w:val="both"/>
              <w:rPr>
                <w:rFonts w:ascii="Arial" w:hAnsi="Arial" w:cs="Arial"/>
                <w:sz w:val="20"/>
                <w:szCs w:val="20"/>
              </w:rPr>
            </w:pPr>
            <w:r w:rsidRPr="00D80605">
              <w:rPr>
                <w:rFonts w:ascii="Arial" w:hAnsi="Arial" w:cs="Arial"/>
                <w:sz w:val="20"/>
                <w:szCs w:val="20"/>
              </w:rPr>
              <w:t>Approximately 7 additional episodes of grade 4 neutropenia but no additio</w:t>
            </w:r>
            <w:r w:rsidR="002068F5">
              <w:rPr>
                <w:rFonts w:ascii="Arial" w:hAnsi="Arial" w:cs="Arial"/>
                <w:sz w:val="20"/>
                <w:szCs w:val="20"/>
              </w:rPr>
              <w:t>nal episodes of infection (all-g</w:t>
            </w:r>
            <w:r w:rsidRPr="00D80605">
              <w:rPr>
                <w:rFonts w:ascii="Arial" w:hAnsi="Arial" w:cs="Arial"/>
                <w:sz w:val="20"/>
                <w:szCs w:val="20"/>
              </w:rPr>
              <w:t>rade infection);</w:t>
            </w:r>
          </w:p>
          <w:p w:rsidR="00010379" w:rsidRPr="006F6D3E" w:rsidRDefault="00853EFD" w:rsidP="002068F5">
            <w:pPr>
              <w:pStyle w:val="ListParagraph"/>
              <w:numPr>
                <w:ilvl w:val="0"/>
                <w:numId w:val="21"/>
              </w:numPr>
              <w:ind w:left="379" w:hanging="284"/>
              <w:jc w:val="both"/>
              <w:rPr>
                <w:rFonts w:ascii="Arial" w:hAnsi="Arial" w:cs="Arial"/>
                <w:b/>
                <w:sz w:val="20"/>
                <w:szCs w:val="20"/>
              </w:rPr>
            </w:pPr>
            <w:r w:rsidRPr="00853EFD">
              <w:rPr>
                <w:rFonts w:ascii="Arial" w:eastAsia="Times New Roman" w:hAnsi="Arial" w:cs="Arial"/>
                <w:sz w:val="20"/>
                <w:szCs w:val="20"/>
              </w:rPr>
              <w:t xml:space="preserve">Approximately </w:t>
            </w:r>
            <w:r w:rsidR="002068F5">
              <w:rPr>
                <w:rFonts w:ascii="Arial" w:eastAsia="Times New Roman" w:hAnsi="Arial" w:cs="Arial"/>
                <w:sz w:val="20"/>
                <w:szCs w:val="20"/>
              </w:rPr>
              <w:t>7</w:t>
            </w:r>
            <w:r w:rsidRPr="00853EFD">
              <w:rPr>
                <w:rFonts w:ascii="Arial" w:eastAsia="Times New Roman" w:hAnsi="Arial" w:cs="Arial"/>
                <w:sz w:val="20"/>
                <w:szCs w:val="20"/>
              </w:rPr>
              <w:t xml:space="preserve"> additional episodes of grade 3 to 5 thrombocytopenia.</w:t>
            </w:r>
          </w:p>
        </w:tc>
      </w:tr>
      <w:tr w:rsidR="00010379" w:rsidRPr="006F6D3E" w:rsidTr="00B61B56">
        <w:tc>
          <w:tcPr>
            <w:tcW w:w="2552" w:type="dxa"/>
            <w:vMerge/>
            <w:tcMar>
              <w:top w:w="28" w:type="dxa"/>
              <w:bottom w:w="28" w:type="dxa"/>
            </w:tcMar>
            <w:vAlign w:val="center"/>
          </w:tcPr>
          <w:p w:rsidR="00010379" w:rsidRPr="006F6D3E" w:rsidRDefault="00010379" w:rsidP="0065234B">
            <w:pPr>
              <w:widowControl w:val="0"/>
              <w:jc w:val="right"/>
              <w:rPr>
                <w:rFonts w:ascii="Arial" w:hAnsi="Arial" w:cs="Arial"/>
                <w:snapToGrid w:val="0"/>
                <w:lang w:eastAsia="en-US"/>
              </w:rPr>
            </w:pPr>
          </w:p>
        </w:tc>
        <w:tc>
          <w:tcPr>
            <w:tcW w:w="1701" w:type="dxa"/>
            <w:vMerge/>
            <w:vAlign w:val="center"/>
          </w:tcPr>
          <w:p w:rsidR="00010379" w:rsidRPr="006F6D3E" w:rsidRDefault="00010379" w:rsidP="0065234B">
            <w:pPr>
              <w:widowControl w:val="0"/>
              <w:jc w:val="right"/>
              <w:rPr>
                <w:rFonts w:ascii="Arial" w:hAnsi="Arial" w:cs="Arial"/>
                <w:snapToGrid w:val="0"/>
                <w:lang w:eastAsia="en-US"/>
              </w:rPr>
            </w:pPr>
          </w:p>
        </w:tc>
        <w:tc>
          <w:tcPr>
            <w:tcW w:w="3402" w:type="dxa"/>
            <w:tcMar>
              <w:top w:w="28" w:type="dxa"/>
              <w:bottom w:w="28" w:type="dxa"/>
            </w:tcMar>
          </w:tcPr>
          <w:p w:rsidR="00010379" w:rsidRPr="006F6D3E" w:rsidRDefault="00010379" w:rsidP="0065234B">
            <w:pPr>
              <w:pStyle w:val="ListParagraph"/>
              <w:ind w:left="0"/>
              <w:jc w:val="right"/>
              <w:rPr>
                <w:rFonts w:ascii="Arial" w:hAnsi="Arial" w:cs="Arial"/>
                <w:snapToGrid w:val="0"/>
                <w:sz w:val="20"/>
                <w:szCs w:val="20"/>
                <w:lang w:eastAsia="en-US"/>
              </w:rPr>
            </w:pPr>
            <w:r w:rsidRPr="006F6D3E">
              <w:rPr>
                <w:rFonts w:ascii="Arial" w:hAnsi="Arial" w:cs="Arial"/>
                <w:snapToGrid w:val="0"/>
                <w:sz w:val="20"/>
                <w:szCs w:val="20"/>
                <w:lang w:eastAsia="en-US"/>
              </w:rPr>
              <w:t>Sponsor Comment:</w:t>
            </w:r>
          </w:p>
          <w:p w:rsidR="00511FF2" w:rsidRPr="006F6D3E" w:rsidRDefault="00511FF2" w:rsidP="0065234B">
            <w:pPr>
              <w:pStyle w:val="ListParagraph"/>
              <w:ind w:left="0"/>
              <w:jc w:val="right"/>
              <w:rPr>
                <w:rFonts w:ascii="Arial" w:hAnsi="Arial" w:cs="Arial"/>
                <w:sz w:val="20"/>
                <w:szCs w:val="20"/>
              </w:rPr>
            </w:pPr>
          </w:p>
        </w:tc>
        <w:tc>
          <w:tcPr>
            <w:tcW w:w="7938" w:type="dxa"/>
            <w:shd w:val="clear" w:color="auto" w:fill="auto"/>
          </w:tcPr>
          <w:p w:rsidR="00010379" w:rsidRPr="00980140" w:rsidRDefault="00980140" w:rsidP="0065234B">
            <w:pPr>
              <w:pStyle w:val="ListParagraph"/>
              <w:ind w:left="0"/>
              <w:jc w:val="both"/>
              <w:rPr>
                <w:rFonts w:ascii="Arial" w:hAnsi="Arial" w:cs="Arial"/>
                <w:sz w:val="20"/>
                <w:szCs w:val="20"/>
              </w:rPr>
            </w:pPr>
            <w:r w:rsidRPr="00980140">
              <w:rPr>
                <w:rFonts w:ascii="Arial" w:hAnsi="Arial" w:cs="Arial"/>
                <w:snapToGrid w:val="0"/>
                <w:sz w:val="20"/>
                <w:lang w:eastAsia="en-US"/>
              </w:rPr>
              <w:t>The sponsor needs to clarify the decision with the PBAC.</w:t>
            </w:r>
          </w:p>
        </w:tc>
      </w:tr>
      <w:tr w:rsidR="00010379" w:rsidRPr="006F6D3E" w:rsidTr="00B61B56">
        <w:trPr>
          <w:trHeight w:val="908"/>
        </w:trPr>
        <w:tc>
          <w:tcPr>
            <w:tcW w:w="2552" w:type="dxa"/>
            <w:vMerge w:val="restart"/>
            <w:shd w:val="clear" w:color="auto" w:fill="auto"/>
            <w:tcMar>
              <w:top w:w="28" w:type="dxa"/>
              <w:bottom w:w="28" w:type="dxa"/>
            </w:tcMar>
          </w:tcPr>
          <w:p w:rsidR="00010379" w:rsidRPr="006F6D3E" w:rsidRDefault="00010379">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OLODATEROL, 2.5 microgram/actuation  inhalation: solution for, 60 actuations</w:t>
            </w:r>
          </w:p>
          <w:p w:rsidR="00010379" w:rsidRPr="006F6D3E" w:rsidRDefault="00010379">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 Striverdi® Respimat® </w:t>
            </w:r>
          </w:p>
          <w:p w:rsidR="00010379" w:rsidRPr="006F6D3E" w:rsidRDefault="00010379">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Boehringer Ingelheim Pty Ltd</w:t>
            </w:r>
          </w:p>
          <w:p w:rsidR="00010379" w:rsidRPr="006F6D3E" w:rsidRDefault="00010379">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New listing</w:t>
            </w:r>
          </w:p>
          <w:p w:rsidR="00010379" w:rsidRPr="006F6D3E" w:rsidRDefault="00010379">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lastRenderedPageBreak/>
              <w:t>(Major submission)</w:t>
            </w:r>
          </w:p>
        </w:tc>
        <w:tc>
          <w:tcPr>
            <w:tcW w:w="1701" w:type="dxa"/>
            <w:vMerge w:val="restart"/>
            <w:shd w:val="clear" w:color="auto" w:fill="auto"/>
            <w:tcMar>
              <w:top w:w="28" w:type="dxa"/>
              <w:bottom w:w="28" w:type="dxa"/>
            </w:tcMar>
          </w:tcPr>
          <w:p w:rsidR="00010379" w:rsidRPr="006F6D3E" w:rsidRDefault="00010379">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lastRenderedPageBreak/>
              <w:t>Chronic obstructive pulmonary disease</w:t>
            </w:r>
          </w:p>
          <w:p w:rsidR="00010379" w:rsidRPr="006F6D3E" w:rsidRDefault="00010379">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(COPD)</w:t>
            </w:r>
          </w:p>
        </w:tc>
        <w:tc>
          <w:tcPr>
            <w:tcW w:w="3402" w:type="dxa"/>
            <w:shd w:val="clear" w:color="auto" w:fill="auto"/>
            <w:tcMar>
              <w:top w:w="28" w:type="dxa"/>
              <w:bottom w:w="28" w:type="dxa"/>
            </w:tcMar>
          </w:tcPr>
          <w:p w:rsidR="00010379" w:rsidRPr="006F6D3E" w:rsidRDefault="00010379" w:rsidP="00A67F2A">
            <w:pPr>
              <w:pStyle w:val="NormalWeb"/>
              <w:spacing w:before="240" w:beforeAutospacing="0" w:after="240" w:afterAutospacing="0" w:line="270" w:lineRule="atLeast"/>
              <w:jc w:val="both"/>
              <w:textAlignment w:val="baseline"/>
              <w:rPr>
                <w:rFonts w:ascii="Arial" w:hAnsi="Arial" w:cs="Arial"/>
                <w:sz w:val="20"/>
                <w:szCs w:val="20"/>
              </w:rPr>
            </w:pPr>
            <w:r w:rsidRPr="006F6D3E">
              <w:rPr>
                <w:rFonts w:ascii="Arial" w:hAnsi="Arial" w:cs="Arial"/>
                <w:sz w:val="20"/>
                <w:szCs w:val="20"/>
              </w:rPr>
              <w:t>Restricted benefit for the treatment of chronic obstructive pulmonary disease (COPD).</w:t>
            </w:r>
          </w:p>
        </w:tc>
        <w:tc>
          <w:tcPr>
            <w:tcW w:w="7938" w:type="dxa"/>
            <w:shd w:val="clear" w:color="auto" w:fill="auto"/>
          </w:tcPr>
          <w:p w:rsidR="00010379" w:rsidRPr="006F6D3E" w:rsidRDefault="00010379" w:rsidP="00511FF2">
            <w:pPr>
              <w:jc w:val="both"/>
              <w:rPr>
                <w:rFonts w:ascii="Arial" w:hAnsi="Arial" w:cs="Arial"/>
              </w:rPr>
            </w:pPr>
            <w:r w:rsidRPr="006F6D3E">
              <w:rPr>
                <w:rFonts w:ascii="Arial" w:hAnsi="Arial" w:cs="Arial"/>
              </w:rPr>
              <w:t>The PBAC rejected the submission requesting PBS-listing for olodaterol for the treatment of COPD. The PBAC did not accept that tiotropium, as presented in the submission, was the appropriate comparator. The clinical evidence available does not support the claim that olodaterol is non-inferior to indacaterol in terms of clinical efficacy.</w:t>
            </w:r>
          </w:p>
          <w:p w:rsidR="00010379" w:rsidRPr="006F6D3E" w:rsidRDefault="00010379" w:rsidP="00511FF2">
            <w:pPr>
              <w:jc w:val="both"/>
              <w:rPr>
                <w:rFonts w:ascii="Arial" w:hAnsi="Arial" w:cs="Arial"/>
              </w:rPr>
            </w:pPr>
            <w:r w:rsidRPr="006F6D3E">
              <w:rPr>
                <w:rFonts w:ascii="Arial" w:hAnsi="Arial" w:cs="Arial"/>
              </w:rPr>
              <w:t>The PBAC relied upon clinical trial data from the indirect comparison of olodaterol to indacaterol, the most appropriate comparator. The PBAC rejected the claim of non-inferior comparative effectiveness of olodaterol compared to indacaterol, based on FEV</w:t>
            </w:r>
            <w:r w:rsidRPr="006F6D3E">
              <w:rPr>
                <w:rFonts w:ascii="Arial" w:hAnsi="Arial" w:cs="Arial"/>
                <w:vertAlign w:val="subscript"/>
              </w:rPr>
              <w:t>1</w:t>
            </w:r>
            <w:r w:rsidRPr="006F6D3E">
              <w:rPr>
                <w:rFonts w:ascii="Arial" w:hAnsi="Arial" w:cs="Arial"/>
              </w:rPr>
              <w:t>, a surrogate outcome in COPD. The PBAC accepted the claim of non-inferior comparative safety of olodaterol compared to indacaterol.</w:t>
            </w:r>
          </w:p>
          <w:p w:rsidR="00010379" w:rsidRPr="006F6D3E" w:rsidRDefault="00010379" w:rsidP="0065234B">
            <w:pPr>
              <w:pStyle w:val="ListParagraph"/>
              <w:ind w:left="0"/>
              <w:jc w:val="both"/>
              <w:rPr>
                <w:rFonts w:ascii="Arial" w:hAnsi="Arial" w:cs="Arial"/>
                <w:iCs/>
                <w:sz w:val="20"/>
                <w:szCs w:val="20"/>
              </w:rPr>
            </w:pPr>
          </w:p>
        </w:tc>
      </w:tr>
      <w:tr w:rsidR="00010379" w:rsidRPr="006F6D3E" w:rsidTr="00B61B56">
        <w:tc>
          <w:tcPr>
            <w:tcW w:w="2552" w:type="dxa"/>
            <w:vMerge/>
            <w:shd w:val="clear" w:color="auto" w:fill="auto"/>
            <w:tcMar>
              <w:top w:w="28" w:type="dxa"/>
              <w:bottom w:w="28" w:type="dxa"/>
            </w:tcMar>
            <w:vAlign w:val="center"/>
          </w:tcPr>
          <w:p w:rsidR="00010379" w:rsidRPr="006F6D3E" w:rsidRDefault="00010379" w:rsidP="0065234B">
            <w:pPr>
              <w:widowControl w:val="0"/>
              <w:jc w:val="right"/>
              <w:rPr>
                <w:rFonts w:ascii="Arial" w:hAnsi="Arial" w:cs="Arial"/>
                <w:snapToGrid w:val="0"/>
                <w:lang w:eastAsia="en-US"/>
              </w:rPr>
            </w:pPr>
          </w:p>
        </w:tc>
        <w:tc>
          <w:tcPr>
            <w:tcW w:w="1701" w:type="dxa"/>
            <w:vMerge/>
            <w:shd w:val="clear" w:color="auto" w:fill="auto"/>
            <w:vAlign w:val="center"/>
          </w:tcPr>
          <w:p w:rsidR="00010379" w:rsidRPr="006F6D3E" w:rsidRDefault="00010379" w:rsidP="0065234B">
            <w:pPr>
              <w:widowControl w:val="0"/>
              <w:jc w:val="right"/>
              <w:rPr>
                <w:rFonts w:ascii="Arial" w:hAnsi="Arial" w:cs="Arial"/>
                <w:snapToGrid w:val="0"/>
                <w:lang w:eastAsia="en-US"/>
              </w:rPr>
            </w:pPr>
          </w:p>
        </w:tc>
        <w:tc>
          <w:tcPr>
            <w:tcW w:w="3402" w:type="dxa"/>
            <w:shd w:val="clear" w:color="auto" w:fill="auto"/>
            <w:tcMar>
              <w:top w:w="28" w:type="dxa"/>
              <w:bottom w:w="28" w:type="dxa"/>
            </w:tcMar>
          </w:tcPr>
          <w:p w:rsidR="00010379" w:rsidRPr="006F6D3E" w:rsidRDefault="00010379" w:rsidP="0065234B">
            <w:pPr>
              <w:jc w:val="right"/>
              <w:rPr>
                <w:rFonts w:ascii="Arial" w:hAnsi="Arial" w:cs="Arial"/>
                <w:lang w:eastAsia="zh-CN"/>
              </w:rPr>
            </w:pPr>
            <w:r w:rsidRPr="006F6D3E">
              <w:rPr>
                <w:rFonts w:ascii="Arial" w:hAnsi="Arial" w:cs="Arial"/>
                <w:snapToGrid w:val="0"/>
                <w:lang w:eastAsia="en-US"/>
              </w:rPr>
              <w:t>Sponsor Comment:</w:t>
            </w:r>
          </w:p>
        </w:tc>
        <w:tc>
          <w:tcPr>
            <w:tcW w:w="7938" w:type="dxa"/>
            <w:shd w:val="clear" w:color="auto" w:fill="auto"/>
          </w:tcPr>
          <w:p w:rsidR="00010379" w:rsidRPr="006F6D3E" w:rsidRDefault="00EC25BB" w:rsidP="0065234B">
            <w:pPr>
              <w:jc w:val="both"/>
              <w:rPr>
                <w:rFonts w:ascii="Arial" w:hAnsi="Arial" w:cs="Arial"/>
                <w:lang w:eastAsia="zh-CN"/>
              </w:rPr>
            </w:pPr>
            <w:r>
              <w:rPr>
                <w:rFonts w:ascii="Arial" w:hAnsi="Arial" w:cs="Arial"/>
                <w:lang w:eastAsia="zh-CN"/>
              </w:rPr>
              <w:t xml:space="preserve">The sponsor had no comment. </w:t>
            </w:r>
          </w:p>
        </w:tc>
      </w:tr>
      <w:tr w:rsidR="00511FF2" w:rsidRPr="006F6D3E" w:rsidTr="00B61B56">
        <w:tc>
          <w:tcPr>
            <w:tcW w:w="2552" w:type="dxa"/>
            <w:vMerge w:val="restart"/>
            <w:tcMar>
              <w:top w:w="28" w:type="dxa"/>
              <w:bottom w:w="28" w:type="dxa"/>
            </w:tcMar>
          </w:tcPr>
          <w:p w:rsidR="00511FF2" w:rsidRPr="006F6D3E" w:rsidRDefault="00511FF2">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lastRenderedPageBreak/>
              <w:t>POMALIDOMIDE, capsules, 3 mg and 4 mg, Pomalyst® </w:t>
            </w:r>
          </w:p>
          <w:p w:rsidR="00511FF2" w:rsidRPr="006F6D3E" w:rsidRDefault="00511FF2">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Celgene Pty Ltd</w:t>
            </w:r>
          </w:p>
          <w:p w:rsidR="00511FF2" w:rsidRPr="006F6D3E" w:rsidRDefault="00511FF2">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New listing</w:t>
            </w:r>
          </w:p>
          <w:p w:rsidR="00511FF2" w:rsidRPr="006F6D3E" w:rsidRDefault="00511FF2">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(Major submission)</w:t>
            </w:r>
          </w:p>
        </w:tc>
        <w:tc>
          <w:tcPr>
            <w:tcW w:w="1701" w:type="dxa"/>
            <w:vMerge w:val="restart"/>
            <w:tcMar>
              <w:top w:w="28" w:type="dxa"/>
              <w:bottom w:w="28" w:type="dxa"/>
            </w:tcMar>
          </w:tcPr>
          <w:p w:rsidR="00511FF2" w:rsidRPr="006F6D3E" w:rsidRDefault="00511FF2">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Myeloma</w:t>
            </w:r>
          </w:p>
        </w:tc>
        <w:tc>
          <w:tcPr>
            <w:tcW w:w="3402" w:type="dxa"/>
            <w:tcMar>
              <w:top w:w="28" w:type="dxa"/>
              <w:bottom w:w="28" w:type="dxa"/>
            </w:tcMar>
          </w:tcPr>
          <w:p w:rsidR="00511FF2" w:rsidRPr="006F6D3E" w:rsidRDefault="00511FF2" w:rsidP="00511FF2">
            <w:pPr>
              <w:pStyle w:val="NormalWeb"/>
              <w:spacing w:before="240" w:beforeAutospacing="0" w:after="240" w:afterAutospacing="0"/>
              <w:jc w:val="both"/>
              <w:textAlignment w:val="baseline"/>
              <w:rPr>
                <w:rFonts w:ascii="Arial" w:hAnsi="Arial" w:cs="Arial"/>
                <w:sz w:val="20"/>
                <w:szCs w:val="20"/>
              </w:rPr>
            </w:pPr>
            <w:r w:rsidRPr="006F6D3E">
              <w:rPr>
                <w:rFonts w:ascii="Arial" w:hAnsi="Arial" w:cs="Arial"/>
                <w:sz w:val="20"/>
                <w:szCs w:val="20"/>
              </w:rPr>
              <w:t>Section 100 (Highly Specialised Drug Program) Authority required listing for treatment in combination with dexamethasone, of patients with relapsed and/or refractory multiple myeloma who have received and failed prior treatment with both lenalidomide and bortezomib.</w:t>
            </w:r>
          </w:p>
        </w:tc>
        <w:tc>
          <w:tcPr>
            <w:tcW w:w="7938" w:type="dxa"/>
          </w:tcPr>
          <w:p w:rsidR="00511FF2" w:rsidRDefault="00511FF2" w:rsidP="0065234B">
            <w:pPr>
              <w:pStyle w:val="ListParagraph"/>
              <w:ind w:left="0"/>
              <w:jc w:val="both"/>
              <w:rPr>
                <w:rFonts w:ascii="Arial" w:hAnsi="Arial" w:cs="Arial"/>
                <w:sz w:val="20"/>
                <w:szCs w:val="20"/>
              </w:rPr>
            </w:pPr>
            <w:r w:rsidRPr="006F6D3E">
              <w:rPr>
                <w:rFonts w:ascii="Arial" w:hAnsi="Arial" w:cs="Arial"/>
                <w:sz w:val="20"/>
                <w:szCs w:val="20"/>
              </w:rPr>
              <w:t>The PBAC rejected the submission requesting PBS listing of pomalidomide for multiple myeloma on the basis that cost-effectiveness had not been demonstrated. The PBAC considered that multiple myeloma remains incurable while becoming an increasingly more common disease. Noting the consumer comments in support of pomalidomide, the PBAC recognised that there may be a clinical place for the drug in patients who have failed bortezomib and lenalidomide. The PBAC identified that a major resubmission would be required to address the Committee’s concerns regarding the high and uncertain ICER.  The base case of the economic evaluation would need to be respecified according to the PBAC’s recommendations.</w:t>
            </w:r>
          </w:p>
          <w:p w:rsidR="00D63E14" w:rsidRDefault="00D63E14" w:rsidP="0065234B">
            <w:pPr>
              <w:pStyle w:val="ListParagraph"/>
              <w:ind w:left="0"/>
              <w:jc w:val="both"/>
              <w:rPr>
                <w:rFonts w:ascii="Arial" w:hAnsi="Arial" w:cs="Arial"/>
                <w:sz w:val="20"/>
                <w:szCs w:val="20"/>
              </w:rPr>
            </w:pPr>
          </w:p>
          <w:p w:rsidR="00D63E14" w:rsidRPr="00D80605" w:rsidRDefault="00D63E14" w:rsidP="00D80605">
            <w:pPr>
              <w:jc w:val="both"/>
              <w:rPr>
                <w:rFonts w:ascii="Arial" w:hAnsi="Arial" w:cs="Arial"/>
              </w:rPr>
            </w:pPr>
            <w:r w:rsidRPr="00D80605">
              <w:rPr>
                <w:rFonts w:ascii="Arial" w:hAnsi="Arial" w:cs="Arial"/>
              </w:rPr>
              <w:t xml:space="preserve">On the basis of the direct </w:t>
            </w:r>
            <w:r>
              <w:rPr>
                <w:rFonts w:ascii="Arial" w:hAnsi="Arial" w:cs="Arial"/>
              </w:rPr>
              <w:t>intention to treat (</w:t>
            </w:r>
            <w:r w:rsidRPr="00D80605">
              <w:rPr>
                <w:rFonts w:ascii="Arial" w:hAnsi="Arial" w:cs="Arial"/>
              </w:rPr>
              <w:t>ITT</w:t>
            </w:r>
            <w:r>
              <w:rPr>
                <w:rFonts w:ascii="Arial" w:hAnsi="Arial" w:cs="Arial"/>
              </w:rPr>
              <w:t>)</w:t>
            </w:r>
            <w:r w:rsidRPr="00D80605">
              <w:rPr>
                <w:rFonts w:ascii="Arial" w:hAnsi="Arial" w:cs="Arial"/>
              </w:rPr>
              <w:t xml:space="preserve"> comparison evidence presented by the submission, the comparison of pomalidomide plus </w:t>
            </w:r>
            <w:r w:rsidRPr="00D63E14">
              <w:rPr>
                <w:rFonts w:ascii="Arial" w:hAnsi="Arial" w:cs="Arial"/>
              </w:rPr>
              <w:t xml:space="preserve">low dose dexamethasone </w:t>
            </w:r>
            <w:r w:rsidRPr="00D80605">
              <w:rPr>
                <w:rFonts w:ascii="Arial" w:hAnsi="Arial" w:cs="Arial"/>
              </w:rPr>
              <w:t xml:space="preserve">and </w:t>
            </w:r>
            <w:r w:rsidRPr="00D63E14">
              <w:rPr>
                <w:rFonts w:ascii="Arial" w:hAnsi="Arial" w:cs="Arial"/>
              </w:rPr>
              <w:t>high dose dexamethasone</w:t>
            </w:r>
            <w:r w:rsidRPr="00D80605">
              <w:rPr>
                <w:rFonts w:ascii="Arial" w:hAnsi="Arial" w:cs="Arial"/>
              </w:rPr>
              <w:t xml:space="preserve"> resulted in:</w:t>
            </w:r>
          </w:p>
          <w:p w:rsidR="00D63E14" w:rsidRPr="00D80605" w:rsidRDefault="00D63E14" w:rsidP="00D80605">
            <w:pPr>
              <w:pStyle w:val="ListParagraph"/>
              <w:numPr>
                <w:ilvl w:val="0"/>
                <w:numId w:val="21"/>
              </w:numPr>
              <w:ind w:left="379" w:hanging="284"/>
              <w:jc w:val="both"/>
              <w:rPr>
                <w:rFonts w:ascii="Arial" w:hAnsi="Arial" w:cs="Arial"/>
                <w:sz w:val="20"/>
                <w:szCs w:val="20"/>
              </w:rPr>
            </w:pPr>
            <w:r w:rsidRPr="00D80605">
              <w:rPr>
                <w:rFonts w:ascii="Arial" w:hAnsi="Arial" w:cs="Arial"/>
                <w:sz w:val="20"/>
                <w:szCs w:val="20"/>
              </w:rPr>
              <w:t xml:space="preserve">A median 7.9 weeks improvement in </w:t>
            </w:r>
            <w:r>
              <w:rPr>
                <w:rFonts w:ascii="Arial" w:hAnsi="Arial" w:cs="Arial"/>
                <w:sz w:val="20"/>
                <w:szCs w:val="20"/>
              </w:rPr>
              <w:t>progression free survival</w:t>
            </w:r>
            <w:r w:rsidRPr="00D80605">
              <w:rPr>
                <w:rFonts w:ascii="Arial" w:hAnsi="Arial" w:cs="Arial"/>
                <w:sz w:val="20"/>
                <w:szCs w:val="20"/>
              </w:rPr>
              <w:t xml:space="preserve"> and 19.1 weeks improvement in </w:t>
            </w:r>
            <w:r>
              <w:rPr>
                <w:rFonts w:ascii="Arial" w:hAnsi="Arial" w:cs="Arial"/>
                <w:sz w:val="20"/>
                <w:szCs w:val="20"/>
              </w:rPr>
              <w:t>overall survival</w:t>
            </w:r>
            <w:r w:rsidRPr="00D80605">
              <w:rPr>
                <w:rFonts w:ascii="Arial" w:hAnsi="Arial" w:cs="Arial"/>
                <w:sz w:val="20"/>
                <w:szCs w:val="20"/>
              </w:rPr>
              <w:t xml:space="preserve"> (March 2013 data cut-off).</w:t>
            </w:r>
          </w:p>
          <w:p w:rsidR="00D63E14" w:rsidRPr="00D80605" w:rsidRDefault="00D63E14" w:rsidP="00D80605">
            <w:pPr>
              <w:pStyle w:val="ListParagraph"/>
              <w:numPr>
                <w:ilvl w:val="0"/>
                <w:numId w:val="21"/>
              </w:numPr>
              <w:ind w:left="379" w:hanging="284"/>
              <w:jc w:val="both"/>
              <w:rPr>
                <w:rFonts w:ascii="Arial" w:hAnsi="Arial" w:cs="Arial"/>
                <w:sz w:val="20"/>
                <w:szCs w:val="20"/>
              </w:rPr>
            </w:pPr>
            <w:r w:rsidRPr="00D80605">
              <w:rPr>
                <w:rFonts w:ascii="Arial" w:hAnsi="Arial" w:cs="Arial"/>
                <w:sz w:val="20"/>
                <w:szCs w:val="20"/>
              </w:rPr>
              <w:t xml:space="preserve">Approximately 33 additional episodes of grade 3 or 4 neutropenia, 5.7 episodes of grade 3 or 4 leukopenia and an additional 9.3 episodes of grade 3 or 4 febrile neutropenia over an average treatment duration of 5.5 months. </w:t>
            </w:r>
          </w:p>
          <w:p w:rsidR="00D63E14" w:rsidRPr="006F6D3E" w:rsidRDefault="00D63E14" w:rsidP="0065234B">
            <w:pPr>
              <w:pStyle w:val="ListParagraph"/>
              <w:ind w:left="0"/>
              <w:jc w:val="both"/>
              <w:rPr>
                <w:rFonts w:ascii="Arial" w:hAnsi="Arial" w:cs="Arial"/>
                <w:sz w:val="20"/>
                <w:szCs w:val="20"/>
              </w:rPr>
            </w:pPr>
          </w:p>
        </w:tc>
      </w:tr>
      <w:tr w:rsidR="00511FF2" w:rsidRPr="006F6D3E" w:rsidTr="00B61B56">
        <w:tc>
          <w:tcPr>
            <w:tcW w:w="2552" w:type="dxa"/>
            <w:vMerge/>
            <w:tcMar>
              <w:top w:w="28" w:type="dxa"/>
              <w:bottom w:w="28" w:type="dxa"/>
            </w:tcMar>
            <w:vAlign w:val="center"/>
          </w:tcPr>
          <w:p w:rsidR="00511FF2" w:rsidRPr="006F6D3E" w:rsidRDefault="00511FF2" w:rsidP="0065234B">
            <w:pPr>
              <w:widowControl w:val="0"/>
              <w:jc w:val="right"/>
              <w:rPr>
                <w:rFonts w:ascii="Arial" w:hAnsi="Arial" w:cs="Arial"/>
              </w:rPr>
            </w:pPr>
          </w:p>
        </w:tc>
        <w:tc>
          <w:tcPr>
            <w:tcW w:w="1701" w:type="dxa"/>
            <w:vMerge/>
            <w:vAlign w:val="center"/>
          </w:tcPr>
          <w:p w:rsidR="00511FF2" w:rsidRPr="006F6D3E" w:rsidRDefault="00511FF2" w:rsidP="0065234B">
            <w:pPr>
              <w:widowControl w:val="0"/>
              <w:jc w:val="right"/>
              <w:rPr>
                <w:rFonts w:ascii="Arial" w:hAnsi="Arial" w:cs="Arial"/>
              </w:rPr>
            </w:pPr>
          </w:p>
        </w:tc>
        <w:tc>
          <w:tcPr>
            <w:tcW w:w="3402" w:type="dxa"/>
            <w:tcMar>
              <w:top w:w="28" w:type="dxa"/>
              <w:bottom w:w="28" w:type="dxa"/>
            </w:tcMar>
          </w:tcPr>
          <w:p w:rsidR="00511FF2" w:rsidRPr="006F6D3E" w:rsidRDefault="00511FF2" w:rsidP="0065234B">
            <w:pPr>
              <w:pStyle w:val="ListParagraph"/>
              <w:ind w:left="0"/>
              <w:jc w:val="right"/>
              <w:rPr>
                <w:rFonts w:ascii="Arial" w:hAnsi="Arial" w:cs="Arial"/>
                <w:snapToGrid w:val="0"/>
                <w:sz w:val="20"/>
                <w:szCs w:val="20"/>
                <w:lang w:eastAsia="en-US"/>
              </w:rPr>
            </w:pPr>
            <w:r w:rsidRPr="006F6D3E">
              <w:rPr>
                <w:rFonts w:ascii="Arial" w:hAnsi="Arial" w:cs="Arial"/>
                <w:snapToGrid w:val="0"/>
                <w:sz w:val="20"/>
                <w:szCs w:val="20"/>
                <w:lang w:eastAsia="en-US"/>
              </w:rPr>
              <w:t>Sponsor Comment:</w:t>
            </w:r>
          </w:p>
          <w:p w:rsidR="00511FF2" w:rsidRPr="006F6D3E" w:rsidRDefault="00511FF2" w:rsidP="0065234B">
            <w:pPr>
              <w:pStyle w:val="ListParagraph"/>
              <w:ind w:left="0"/>
              <w:jc w:val="right"/>
              <w:rPr>
                <w:rFonts w:ascii="Arial" w:hAnsi="Arial" w:cs="Arial"/>
                <w:sz w:val="20"/>
                <w:szCs w:val="20"/>
              </w:rPr>
            </w:pPr>
          </w:p>
        </w:tc>
        <w:tc>
          <w:tcPr>
            <w:tcW w:w="7938" w:type="dxa"/>
          </w:tcPr>
          <w:p w:rsidR="00AF31DB" w:rsidRPr="00AF31DB" w:rsidRDefault="00AF31DB" w:rsidP="00AF31DB">
            <w:pPr>
              <w:rPr>
                <w:rFonts w:ascii="Arial" w:hAnsi="Arial" w:cs="Arial"/>
                <w:color w:val="1F497D"/>
                <w:sz w:val="18"/>
                <w:szCs w:val="22"/>
                <w:lang w:val="en-US"/>
              </w:rPr>
            </w:pPr>
            <w:r w:rsidRPr="00AF31DB">
              <w:rPr>
                <w:rFonts w:ascii="Arial" w:hAnsi="Arial" w:cs="Arial"/>
                <w:szCs w:val="24"/>
                <w:lang w:val="en-US"/>
              </w:rPr>
              <w:t>The sponsor needs to clarify the decision with the PBAC.</w:t>
            </w:r>
          </w:p>
          <w:p w:rsidR="00511FF2" w:rsidRPr="006F6D3E" w:rsidRDefault="00511FF2" w:rsidP="0065234B">
            <w:pPr>
              <w:pStyle w:val="ListParagraph"/>
              <w:ind w:left="0"/>
              <w:jc w:val="both"/>
              <w:rPr>
                <w:rFonts w:ascii="Arial" w:hAnsi="Arial" w:cs="Arial"/>
                <w:sz w:val="20"/>
                <w:szCs w:val="20"/>
              </w:rPr>
            </w:pPr>
          </w:p>
        </w:tc>
      </w:tr>
      <w:tr w:rsidR="00511FF2" w:rsidRPr="006F6D3E" w:rsidTr="00B61B56">
        <w:tc>
          <w:tcPr>
            <w:tcW w:w="2552" w:type="dxa"/>
            <w:vMerge w:val="restart"/>
            <w:tcMar>
              <w:top w:w="28" w:type="dxa"/>
              <w:bottom w:w="28" w:type="dxa"/>
            </w:tcMar>
          </w:tcPr>
          <w:p w:rsidR="00511FF2" w:rsidRPr="006F6D3E" w:rsidRDefault="00511FF2">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REGORAFENIB, tablet, 40 mg, Stivarga®</w:t>
            </w:r>
          </w:p>
          <w:p w:rsidR="00511FF2" w:rsidRPr="006F6D3E" w:rsidRDefault="00511FF2">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 Bayer Australia Ltd</w:t>
            </w:r>
          </w:p>
          <w:p w:rsidR="00511FF2" w:rsidRPr="006F6D3E" w:rsidRDefault="00511FF2">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 New listing</w:t>
            </w:r>
          </w:p>
          <w:p w:rsidR="00511FF2" w:rsidRPr="006F6D3E" w:rsidRDefault="00511FF2">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(Major submission)</w:t>
            </w:r>
          </w:p>
        </w:tc>
        <w:tc>
          <w:tcPr>
            <w:tcW w:w="1701" w:type="dxa"/>
            <w:vMerge w:val="restart"/>
          </w:tcPr>
          <w:p w:rsidR="00511FF2" w:rsidRPr="006F6D3E" w:rsidRDefault="00511FF2">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Metastatic colorectal cancer (mCRC)</w:t>
            </w:r>
          </w:p>
        </w:tc>
        <w:tc>
          <w:tcPr>
            <w:tcW w:w="3402" w:type="dxa"/>
            <w:tcMar>
              <w:top w:w="28" w:type="dxa"/>
              <w:bottom w:w="28" w:type="dxa"/>
            </w:tcMar>
          </w:tcPr>
          <w:p w:rsidR="00511FF2" w:rsidRPr="006F6D3E" w:rsidRDefault="00511FF2" w:rsidP="00511FF2">
            <w:pPr>
              <w:pStyle w:val="NormalWeb"/>
              <w:spacing w:before="240" w:beforeAutospacing="0" w:after="240" w:afterAutospacing="0" w:line="270" w:lineRule="atLeast"/>
              <w:jc w:val="both"/>
              <w:textAlignment w:val="baseline"/>
              <w:rPr>
                <w:rFonts w:ascii="Arial" w:hAnsi="Arial" w:cs="Arial"/>
                <w:sz w:val="20"/>
                <w:szCs w:val="20"/>
              </w:rPr>
            </w:pPr>
            <w:r w:rsidRPr="006F6D3E">
              <w:rPr>
                <w:rFonts w:ascii="Arial" w:hAnsi="Arial" w:cs="Arial"/>
                <w:sz w:val="20"/>
                <w:szCs w:val="20"/>
              </w:rPr>
              <w:t>Authority required (Streamlined) listing for treatment of patients with metastatic colorectal cancer (mCRC) who have a WHO performance status of 0 or 1, following failure of or intolerance to prior therapy.</w:t>
            </w:r>
          </w:p>
        </w:tc>
        <w:tc>
          <w:tcPr>
            <w:tcW w:w="7938" w:type="dxa"/>
          </w:tcPr>
          <w:p w:rsidR="00511FF2" w:rsidRDefault="00511FF2" w:rsidP="00133B4C">
            <w:pPr>
              <w:pStyle w:val="ListParagraph"/>
              <w:ind w:left="0"/>
              <w:jc w:val="both"/>
              <w:rPr>
                <w:rFonts w:ascii="Arial" w:hAnsi="Arial" w:cs="Arial"/>
                <w:sz w:val="20"/>
                <w:szCs w:val="20"/>
              </w:rPr>
            </w:pPr>
            <w:r w:rsidRPr="006F6D3E">
              <w:rPr>
                <w:rFonts w:ascii="Arial" w:hAnsi="Arial" w:cs="Arial"/>
                <w:sz w:val="20"/>
                <w:szCs w:val="20"/>
              </w:rPr>
              <w:t>The PBAC rejected the submission on the basis that the observed improvement in comparative effectiveness associated with regorafenib was small and of uncertain clinical significance especially in the context of the increase in serious adverse effects associated with treatment. The most reliable estimate of the incremental cost-effectiveness ratio for regorafenib compared to best supportive care, presented in the model and as revised by the ESC, remains unacceptably high, particularly given the small incremental benefit observed in the trials.</w:t>
            </w:r>
          </w:p>
          <w:p w:rsidR="00D63E14" w:rsidRDefault="00D63E14" w:rsidP="00133B4C">
            <w:pPr>
              <w:pStyle w:val="ListParagraph"/>
              <w:ind w:left="0"/>
              <w:jc w:val="both"/>
              <w:rPr>
                <w:rFonts w:ascii="Arial" w:hAnsi="Arial" w:cs="Arial"/>
                <w:sz w:val="20"/>
                <w:szCs w:val="20"/>
              </w:rPr>
            </w:pPr>
          </w:p>
          <w:p w:rsidR="00D63E14" w:rsidRPr="00D80605" w:rsidRDefault="00D63E14" w:rsidP="00D80605">
            <w:pPr>
              <w:jc w:val="both"/>
              <w:rPr>
                <w:rFonts w:ascii="Arial" w:hAnsi="Arial" w:cs="Arial"/>
              </w:rPr>
            </w:pPr>
            <w:r w:rsidRPr="00D80605">
              <w:rPr>
                <w:rFonts w:ascii="Arial" w:hAnsi="Arial" w:cs="Arial"/>
              </w:rPr>
              <w:t xml:space="preserve">The PBAC noted on the basis of direct comparison of regorafenib with </w:t>
            </w:r>
            <w:r w:rsidRPr="00D63E14">
              <w:rPr>
                <w:rFonts w:ascii="Arial" w:hAnsi="Arial" w:cs="Arial"/>
              </w:rPr>
              <w:t>best supportive care (BSC</w:t>
            </w:r>
            <w:r>
              <w:rPr>
                <w:rFonts w:ascii="Arial" w:hAnsi="Arial" w:cs="Arial"/>
              </w:rPr>
              <w:t>)</w:t>
            </w:r>
            <w:r w:rsidRPr="00D80605">
              <w:rPr>
                <w:rFonts w:ascii="Arial" w:hAnsi="Arial" w:cs="Arial"/>
              </w:rPr>
              <w:t xml:space="preserve">: </w:t>
            </w:r>
          </w:p>
          <w:p w:rsidR="00D63E14" w:rsidRPr="00D63E14" w:rsidRDefault="00D63E14" w:rsidP="00D80605">
            <w:pPr>
              <w:pStyle w:val="ListParagraph"/>
              <w:numPr>
                <w:ilvl w:val="0"/>
                <w:numId w:val="21"/>
              </w:numPr>
              <w:ind w:left="379" w:hanging="284"/>
              <w:jc w:val="both"/>
              <w:rPr>
                <w:rFonts w:ascii="Arial" w:hAnsi="Arial" w:cs="Arial"/>
                <w:sz w:val="20"/>
                <w:szCs w:val="20"/>
              </w:rPr>
            </w:pPr>
            <w:r w:rsidRPr="00D63E14">
              <w:rPr>
                <w:rFonts w:ascii="Arial" w:hAnsi="Arial" w:cs="Arial"/>
                <w:sz w:val="20"/>
                <w:szCs w:val="20"/>
              </w:rPr>
              <w:t xml:space="preserve">the improvement in median progression-free survival was approximately 6 days, and the improvement in median overall survival was approximately 43 days. </w:t>
            </w:r>
          </w:p>
          <w:p w:rsidR="00D63E14" w:rsidRPr="00D63E14" w:rsidRDefault="00D63E14" w:rsidP="00D63E14">
            <w:pPr>
              <w:pStyle w:val="ListParagraph"/>
              <w:jc w:val="both"/>
              <w:rPr>
                <w:rFonts w:ascii="Arial" w:hAnsi="Arial" w:cs="Arial"/>
                <w:sz w:val="20"/>
                <w:szCs w:val="20"/>
              </w:rPr>
            </w:pPr>
          </w:p>
          <w:p w:rsidR="00D63E14" w:rsidRPr="00D63E14" w:rsidRDefault="00D63E14" w:rsidP="00D80605">
            <w:pPr>
              <w:pStyle w:val="ListParagraph"/>
              <w:numPr>
                <w:ilvl w:val="0"/>
                <w:numId w:val="21"/>
              </w:numPr>
              <w:ind w:left="379" w:hanging="284"/>
              <w:jc w:val="both"/>
              <w:rPr>
                <w:rFonts w:ascii="Arial" w:hAnsi="Arial" w:cs="Arial"/>
                <w:sz w:val="20"/>
                <w:szCs w:val="20"/>
              </w:rPr>
            </w:pPr>
            <w:r w:rsidRPr="00D63E14">
              <w:rPr>
                <w:rFonts w:ascii="Arial" w:hAnsi="Arial" w:cs="Arial"/>
                <w:sz w:val="20"/>
                <w:szCs w:val="20"/>
              </w:rPr>
              <w:lastRenderedPageBreak/>
              <w:t>for every 100 patients treated with regorafenib compared with BSC:</w:t>
            </w:r>
          </w:p>
          <w:p w:rsidR="00D63E14" w:rsidRPr="00D63E14" w:rsidRDefault="00D63E14" w:rsidP="00D63E14">
            <w:pPr>
              <w:pStyle w:val="ListParagraph"/>
              <w:jc w:val="both"/>
              <w:rPr>
                <w:rFonts w:ascii="Arial" w:hAnsi="Arial" w:cs="Arial"/>
                <w:sz w:val="20"/>
                <w:szCs w:val="20"/>
              </w:rPr>
            </w:pPr>
            <w:r w:rsidRPr="00D63E14">
              <w:rPr>
                <w:rFonts w:ascii="Arial" w:hAnsi="Arial" w:cs="Arial"/>
                <w:sz w:val="20"/>
                <w:szCs w:val="20"/>
              </w:rPr>
              <w:t>-</w:t>
            </w:r>
            <w:r w:rsidRPr="00D63E14">
              <w:rPr>
                <w:rFonts w:ascii="Arial" w:hAnsi="Arial" w:cs="Arial"/>
                <w:sz w:val="20"/>
                <w:szCs w:val="20"/>
              </w:rPr>
              <w:tab/>
              <w:t>1 patient would die from a treatment-related adverse event.</w:t>
            </w:r>
          </w:p>
          <w:p w:rsidR="00D63E14" w:rsidRPr="00D63E14" w:rsidRDefault="00D63E14" w:rsidP="00D63E14">
            <w:pPr>
              <w:pStyle w:val="ListParagraph"/>
              <w:jc w:val="both"/>
              <w:rPr>
                <w:rFonts w:ascii="Arial" w:hAnsi="Arial" w:cs="Arial"/>
                <w:sz w:val="20"/>
                <w:szCs w:val="20"/>
              </w:rPr>
            </w:pPr>
            <w:r w:rsidRPr="00D63E14">
              <w:rPr>
                <w:rFonts w:ascii="Arial" w:hAnsi="Arial" w:cs="Arial"/>
                <w:sz w:val="20"/>
                <w:szCs w:val="20"/>
              </w:rPr>
              <w:t>-</w:t>
            </w:r>
            <w:r w:rsidRPr="00D63E14">
              <w:rPr>
                <w:rFonts w:ascii="Arial" w:hAnsi="Arial" w:cs="Arial"/>
                <w:sz w:val="20"/>
                <w:szCs w:val="20"/>
              </w:rPr>
              <w:tab/>
              <w:t>16 patients would experience hand/foot adverse events.</w:t>
            </w:r>
          </w:p>
          <w:p w:rsidR="00D63E14" w:rsidRPr="00D63E14" w:rsidRDefault="00D63E14" w:rsidP="00D63E14">
            <w:pPr>
              <w:pStyle w:val="ListParagraph"/>
              <w:jc w:val="both"/>
              <w:rPr>
                <w:rFonts w:ascii="Arial" w:hAnsi="Arial" w:cs="Arial"/>
                <w:sz w:val="20"/>
                <w:szCs w:val="20"/>
              </w:rPr>
            </w:pPr>
            <w:r w:rsidRPr="00D63E14">
              <w:rPr>
                <w:rFonts w:ascii="Arial" w:hAnsi="Arial" w:cs="Arial"/>
                <w:sz w:val="20"/>
                <w:szCs w:val="20"/>
              </w:rPr>
              <w:t>-</w:t>
            </w:r>
            <w:r w:rsidRPr="00D63E14">
              <w:rPr>
                <w:rFonts w:ascii="Arial" w:hAnsi="Arial" w:cs="Arial"/>
                <w:sz w:val="20"/>
                <w:szCs w:val="20"/>
              </w:rPr>
              <w:tab/>
              <w:t xml:space="preserve">6 patients would experience diarrhoea. </w:t>
            </w:r>
          </w:p>
          <w:p w:rsidR="00D63E14" w:rsidRPr="006F6D3E" w:rsidRDefault="00D63E14" w:rsidP="00D80605">
            <w:pPr>
              <w:pStyle w:val="ListParagraph"/>
              <w:ind w:left="379"/>
              <w:jc w:val="both"/>
              <w:rPr>
                <w:rFonts w:ascii="Arial" w:hAnsi="Arial" w:cs="Arial"/>
                <w:sz w:val="20"/>
                <w:szCs w:val="20"/>
              </w:rPr>
            </w:pPr>
          </w:p>
        </w:tc>
      </w:tr>
      <w:tr w:rsidR="00511FF2" w:rsidRPr="006F6D3E" w:rsidTr="00B61B56">
        <w:trPr>
          <w:trHeight w:val="294"/>
        </w:trPr>
        <w:tc>
          <w:tcPr>
            <w:tcW w:w="2552" w:type="dxa"/>
            <w:vMerge/>
            <w:tcMar>
              <w:top w:w="28" w:type="dxa"/>
              <w:bottom w:w="28" w:type="dxa"/>
            </w:tcMar>
          </w:tcPr>
          <w:p w:rsidR="00511FF2" w:rsidRPr="006F6D3E" w:rsidRDefault="00511FF2" w:rsidP="00D41AB6">
            <w:pPr>
              <w:pStyle w:val="NormalWeb"/>
              <w:spacing w:before="0" w:beforeAutospacing="0" w:after="0" w:afterAutospacing="0" w:line="270" w:lineRule="atLeast"/>
              <w:textAlignment w:val="baseline"/>
              <w:rPr>
                <w:rFonts w:ascii="Arial" w:hAnsi="Arial" w:cs="Arial"/>
                <w:sz w:val="20"/>
                <w:szCs w:val="20"/>
              </w:rPr>
            </w:pPr>
          </w:p>
        </w:tc>
        <w:tc>
          <w:tcPr>
            <w:tcW w:w="1701" w:type="dxa"/>
            <w:vMerge/>
          </w:tcPr>
          <w:p w:rsidR="00511FF2" w:rsidRPr="006F6D3E" w:rsidRDefault="00511FF2" w:rsidP="00D41AB6">
            <w:pPr>
              <w:pStyle w:val="NormalWeb"/>
              <w:spacing w:before="0" w:beforeAutospacing="0" w:after="0" w:afterAutospacing="0" w:line="270" w:lineRule="atLeast"/>
              <w:textAlignment w:val="baseline"/>
              <w:rPr>
                <w:rFonts w:ascii="Arial" w:hAnsi="Arial" w:cs="Arial"/>
                <w:sz w:val="20"/>
                <w:szCs w:val="20"/>
              </w:rPr>
            </w:pPr>
          </w:p>
        </w:tc>
        <w:tc>
          <w:tcPr>
            <w:tcW w:w="3402" w:type="dxa"/>
            <w:tcMar>
              <w:top w:w="28" w:type="dxa"/>
              <w:bottom w:w="28" w:type="dxa"/>
            </w:tcMar>
          </w:tcPr>
          <w:p w:rsidR="00511FF2" w:rsidRPr="006F6D3E" w:rsidRDefault="00511FF2" w:rsidP="00D41AB6">
            <w:pPr>
              <w:pStyle w:val="NormalWeb"/>
              <w:spacing w:before="0" w:beforeAutospacing="0" w:after="0" w:afterAutospacing="0"/>
              <w:contextualSpacing/>
              <w:jc w:val="right"/>
              <w:textAlignment w:val="baseline"/>
              <w:rPr>
                <w:rFonts w:ascii="Arial" w:hAnsi="Arial" w:cs="Arial"/>
                <w:sz w:val="20"/>
                <w:szCs w:val="20"/>
              </w:rPr>
            </w:pPr>
            <w:r w:rsidRPr="006F6D3E">
              <w:rPr>
                <w:rFonts w:ascii="Arial" w:hAnsi="Arial" w:cs="Arial"/>
                <w:sz w:val="20"/>
                <w:szCs w:val="20"/>
              </w:rPr>
              <w:t>Sponsor Comment:</w:t>
            </w:r>
          </w:p>
        </w:tc>
        <w:tc>
          <w:tcPr>
            <w:tcW w:w="7938" w:type="dxa"/>
          </w:tcPr>
          <w:p w:rsidR="00511FF2" w:rsidRPr="006F6D3E" w:rsidRDefault="007F10D0" w:rsidP="00D41AB6">
            <w:pPr>
              <w:pStyle w:val="ListParagraph"/>
              <w:ind w:left="0"/>
              <w:jc w:val="both"/>
              <w:rPr>
                <w:rFonts w:ascii="Arial" w:hAnsi="Arial" w:cs="Arial"/>
                <w:sz w:val="20"/>
                <w:szCs w:val="20"/>
              </w:rPr>
            </w:pPr>
            <w:r>
              <w:rPr>
                <w:rFonts w:ascii="Arial" w:hAnsi="Arial" w:cs="Arial"/>
                <w:sz w:val="20"/>
                <w:szCs w:val="20"/>
              </w:rPr>
              <w:t xml:space="preserve">The sponsor had no comment. </w:t>
            </w:r>
          </w:p>
        </w:tc>
      </w:tr>
      <w:tr w:rsidR="00511FF2" w:rsidRPr="006F6D3E" w:rsidTr="00B61B56">
        <w:trPr>
          <w:trHeight w:val="294"/>
        </w:trPr>
        <w:tc>
          <w:tcPr>
            <w:tcW w:w="2552" w:type="dxa"/>
            <w:vMerge w:val="restart"/>
            <w:tcMar>
              <w:top w:w="28" w:type="dxa"/>
              <w:bottom w:w="28" w:type="dxa"/>
            </w:tcMar>
          </w:tcPr>
          <w:p w:rsidR="00511FF2" w:rsidRPr="006F6D3E" w:rsidRDefault="00511FF2">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SOFOSBUVIR. tablet, 400 mg, Sovaldi® </w:t>
            </w:r>
          </w:p>
          <w:p w:rsidR="00511FF2" w:rsidRPr="006F6D3E" w:rsidRDefault="00511FF2">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Gilead Sciences Pty Ltd</w:t>
            </w:r>
          </w:p>
          <w:p w:rsidR="00511FF2" w:rsidRPr="006F6D3E" w:rsidRDefault="00511FF2">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 New listing</w:t>
            </w:r>
          </w:p>
          <w:p w:rsidR="00511FF2" w:rsidRPr="006F6D3E" w:rsidRDefault="00511FF2">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(Major submission)</w:t>
            </w:r>
          </w:p>
        </w:tc>
        <w:tc>
          <w:tcPr>
            <w:tcW w:w="1701" w:type="dxa"/>
            <w:vMerge w:val="restart"/>
          </w:tcPr>
          <w:p w:rsidR="00511FF2" w:rsidRPr="006F6D3E" w:rsidRDefault="00511FF2">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Hepatitis C</w:t>
            </w:r>
          </w:p>
        </w:tc>
        <w:tc>
          <w:tcPr>
            <w:tcW w:w="3402" w:type="dxa"/>
            <w:tcMar>
              <w:top w:w="28" w:type="dxa"/>
              <w:bottom w:w="28" w:type="dxa"/>
            </w:tcMar>
          </w:tcPr>
          <w:p w:rsidR="00511FF2" w:rsidRPr="006F6D3E" w:rsidRDefault="00511FF2" w:rsidP="00511FF2">
            <w:pPr>
              <w:pStyle w:val="NormalWeb"/>
              <w:spacing w:before="240" w:beforeAutospacing="0" w:after="240" w:afterAutospacing="0" w:line="270" w:lineRule="atLeast"/>
              <w:jc w:val="both"/>
              <w:textAlignment w:val="baseline"/>
              <w:rPr>
                <w:rFonts w:ascii="Arial" w:hAnsi="Arial" w:cs="Arial"/>
                <w:sz w:val="20"/>
                <w:szCs w:val="20"/>
              </w:rPr>
            </w:pPr>
            <w:r w:rsidRPr="006F6D3E">
              <w:rPr>
                <w:rFonts w:ascii="Arial" w:hAnsi="Arial" w:cs="Arial"/>
                <w:sz w:val="20"/>
                <w:szCs w:val="20"/>
              </w:rPr>
              <w:t>Section 100 (Highly Specialised Drugs Program) Public and Private Hospital Authority Required (Streamlined) listing for the treatment of genotypes 1, 2, 3, 4, 5, and 6 hepatitis C viral infection in patients 18 years or older who have compensated liver disease.</w:t>
            </w:r>
          </w:p>
        </w:tc>
        <w:tc>
          <w:tcPr>
            <w:tcW w:w="7938" w:type="dxa"/>
          </w:tcPr>
          <w:p w:rsidR="00511FF2" w:rsidRPr="006F6D3E" w:rsidRDefault="00511FF2" w:rsidP="001E70C9">
            <w:pPr>
              <w:jc w:val="both"/>
              <w:rPr>
                <w:rFonts w:ascii="Arial" w:hAnsi="Arial" w:cs="Arial"/>
              </w:rPr>
            </w:pPr>
            <w:r w:rsidRPr="006F6D3E">
              <w:rPr>
                <w:rFonts w:ascii="Arial" w:hAnsi="Arial" w:cs="Arial"/>
              </w:rPr>
              <w:t>The PBAC rejected the submission for Section 100 (Highly Specialised Drugs Program) Authority Required (STREAMLINED) listing for sofosbuvir for the treatment of chronic hepatitis C on the basis of unacceptably high and likely underestimated cost-effectiveness and the high and likely underestimated budgetary impact on the PBS.</w:t>
            </w:r>
          </w:p>
          <w:p w:rsidR="00511FF2" w:rsidRPr="006F6D3E" w:rsidRDefault="00511FF2" w:rsidP="001E70C9">
            <w:pPr>
              <w:spacing w:before="240"/>
              <w:jc w:val="both"/>
              <w:rPr>
                <w:rFonts w:ascii="Arial" w:hAnsi="Arial" w:cs="Arial"/>
              </w:rPr>
            </w:pPr>
            <w:r w:rsidRPr="006F6D3E">
              <w:rPr>
                <w:rFonts w:ascii="Arial" w:hAnsi="Arial" w:cs="Arial"/>
              </w:rPr>
              <w:t>The PBAC recognised that treatment of hepatitis C virus (HCV) can be curative, compared to other viral infections such as human immunodeficiency virus (HIV) and hepatitis B virus, and that sofosbuvir is the first oral direct acting antiviral agent (DAA) which can be used to treat HCV genotypes 1-6 and to provide patients with the first interferon-free treatment option. The PBAC considered that consideration of new treatment options for HCV should be framed in the evolving treatment landscape where patients are most likely waiting for the availability of interferon-free regiments.</w:t>
            </w:r>
          </w:p>
          <w:p w:rsidR="00511FF2" w:rsidRPr="006F6D3E" w:rsidRDefault="00511FF2" w:rsidP="001E70C9">
            <w:pPr>
              <w:jc w:val="both"/>
              <w:rPr>
                <w:rFonts w:ascii="Arial" w:hAnsi="Arial" w:cs="Arial"/>
              </w:rPr>
            </w:pPr>
          </w:p>
          <w:p w:rsidR="00511FF2" w:rsidRPr="006F6D3E" w:rsidRDefault="00511FF2" w:rsidP="001E70C9">
            <w:pPr>
              <w:jc w:val="both"/>
              <w:rPr>
                <w:rFonts w:ascii="Arial" w:hAnsi="Arial" w:cs="Arial"/>
              </w:rPr>
            </w:pPr>
            <w:r w:rsidRPr="006F6D3E">
              <w:rPr>
                <w:rFonts w:ascii="Arial" w:hAnsi="Arial" w:cs="Arial"/>
              </w:rPr>
              <w:t xml:space="preserve">The PBAC noted that HCV Genotype 1 or Genotype 3 account for 88-92% of infections in Australia. The PBAC considered that the ICER/QALYs were high and uncertain in IFN-free regimes for treatment for genotype 1 and genotype 3 compared to no treatment, which the PBAC considered to be the most informative treatment groups for decision making in the broader context of HCV treatment. </w:t>
            </w:r>
          </w:p>
          <w:p w:rsidR="00511FF2" w:rsidRPr="006F6D3E" w:rsidRDefault="00511FF2" w:rsidP="001E70C9">
            <w:pPr>
              <w:jc w:val="both"/>
              <w:rPr>
                <w:rFonts w:ascii="Arial" w:hAnsi="Arial" w:cs="Arial"/>
              </w:rPr>
            </w:pPr>
          </w:p>
          <w:p w:rsidR="00511FF2" w:rsidRPr="006F6D3E" w:rsidRDefault="00511FF2" w:rsidP="001E70C9">
            <w:pPr>
              <w:jc w:val="both"/>
              <w:rPr>
                <w:rFonts w:ascii="Arial" w:hAnsi="Arial" w:cs="Arial"/>
              </w:rPr>
            </w:pPr>
            <w:r w:rsidRPr="006F6D3E">
              <w:rPr>
                <w:rFonts w:ascii="Arial" w:hAnsi="Arial" w:cs="Arial"/>
              </w:rPr>
              <w:t xml:space="preserve">The financial estimates presented in the submission estimated that listing sofosbuvir would have a high financial impact on the health budget. The PBAC considered that the estimates were likely underestimated due to increasing number of patients seeking treatment regimens which are of shorter duration, less adverse effects and are interferon-free. </w:t>
            </w:r>
          </w:p>
          <w:p w:rsidR="00511FF2" w:rsidRPr="006F6D3E" w:rsidRDefault="00511FF2" w:rsidP="001E70C9">
            <w:pPr>
              <w:jc w:val="both"/>
              <w:rPr>
                <w:rFonts w:ascii="Arial" w:hAnsi="Arial" w:cs="Arial"/>
              </w:rPr>
            </w:pPr>
          </w:p>
          <w:p w:rsidR="00511FF2" w:rsidRPr="006F6D3E" w:rsidRDefault="00511FF2" w:rsidP="001E70C9">
            <w:pPr>
              <w:jc w:val="both"/>
              <w:rPr>
                <w:rFonts w:ascii="Arial" w:hAnsi="Arial" w:cs="Arial"/>
              </w:rPr>
            </w:pPr>
            <w:r w:rsidRPr="006F6D3E">
              <w:rPr>
                <w:rFonts w:ascii="Arial" w:hAnsi="Arial" w:cs="Arial"/>
              </w:rPr>
              <w:t>The PBAC considered, as the clinical management of individuals with HCV is moving so rapidly, that a broader Government and community approach is needed to maximise clinical outcomes and patient access to treatment. As well as subsidising new treatment on the PBS, other factors that increase the capacity to treat patients need to be explored.</w:t>
            </w:r>
          </w:p>
          <w:p w:rsidR="00511FF2" w:rsidRPr="006F6D3E" w:rsidRDefault="00511FF2" w:rsidP="001E70C9">
            <w:pPr>
              <w:jc w:val="both"/>
              <w:rPr>
                <w:rFonts w:ascii="Arial" w:hAnsi="Arial" w:cs="Arial"/>
              </w:rPr>
            </w:pPr>
          </w:p>
          <w:p w:rsidR="00511FF2" w:rsidRPr="006F6D3E" w:rsidRDefault="00331DCA" w:rsidP="001E70C9">
            <w:pPr>
              <w:jc w:val="both"/>
              <w:rPr>
                <w:rFonts w:ascii="Arial" w:hAnsi="Arial" w:cs="Arial"/>
              </w:rPr>
            </w:pPr>
            <w:r>
              <w:rPr>
                <w:rFonts w:ascii="Arial" w:hAnsi="Arial" w:cs="Arial"/>
              </w:rPr>
              <w:lastRenderedPageBreak/>
              <w:t>Independent of the submission, t</w:t>
            </w:r>
            <w:r w:rsidR="00511FF2" w:rsidRPr="006F6D3E">
              <w:rPr>
                <w:rFonts w:ascii="Arial" w:hAnsi="Arial" w:cs="Arial"/>
              </w:rPr>
              <w:t xml:space="preserve">he </w:t>
            </w:r>
            <w:r w:rsidR="00511FF2" w:rsidRPr="006F6D3E">
              <w:rPr>
                <w:rStyle w:val="st1"/>
                <w:rFonts w:ascii="Arial" w:hAnsi="Arial" w:cs="Arial"/>
                <w:bCs/>
              </w:rPr>
              <w:t xml:space="preserve">Transplantation Society of Australia and New Zealand (TSANZ) and the Australian Liver Association (ALA) </w:t>
            </w:r>
            <w:r w:rsidR="00511FF2" w:rsidRPr="006F6D3E">
              <w:rPr>
                <w:rFonts w:ascii="Arial" w:hAnsi="Arial" w:cs="Arial"/>
              </w:rPr>
              <w:t>corresponded with the PBAC, highlighting patients with a high clinical need for treatment, namely patients with HCV infection who are awaiting a liver transplant or have cirrhosis complicated by severe portal hypertension. Through clinical evidence is emerging of the benefit to these patient populations with treatment with interferon-free regimens, the comparative clinical benefit had not been presented to the committee and cost-effectiveness had not been established. The PBAC considered that establishing cost-effectiveness in this high need population may be an early step towards a broader access for a treatment for Australians with HCV infection.</w:t>
            </w:r>
          </w:p>
          <w:p w:rsidR="00F97647" w:rsidRPr="006F6D3E" w:rsidRDefault="00F97647" w:rsidP="00D41AB6">
            <w:pPr>
              <w:pStyle w:val="ListParagraph"/>
              <w:ind w:left="0"/>
              <w:jc w:val="both"/>
              <w:rPr>
                <w:rFonts w:ascii="Arial" w:hAnsi="Arial" w:cs="Arial"/>
                <w:sz w:val="20"/>
                <w:szCs w:val="20"/>
              </w:rPr>
            </w:pPr>
          </w:p>
        </w:tc>
      </w:tr>
      <w:tr w:rsidR="00511FF2" w:rsidRPr="006F6D3E" w:rsidTr="00B61B56">
        <w:trPr>
          <w:trHeight w:val="294"/>
        </w:trPr>
        <w:tc>
          <w:tcPr>
            <w:tcW w:w="2552" w:type="dxa"/>
            <w:vMerge/>
            <w:tcMar>
              <w:top w:w="28" w:type="dxa"/>
              <w:bottom w:w="28" w:type="dxa"/>
            </w:tcMar>
          </w:tcPr>
          <w:p w:rsidR="00511FF2" w:rsidRPr="006F6D3E" w:rsidRDefault="00511FF2" w:rsidP="007D7729">
            <w:pPr>
              <w:pStyle w:val="NormalWeb"/>
              <w:spacing w:before="0" w:beforeAutospacing="0" w:after="0" w:afterAutospacing="0"/>
              <w:contextualSpacing/>
              <w:textAlignment w:val="baseline"/>
              <w:rPr>
                <w:rFonts w:ascii="Arial" w:hAnsi="Arial" w:cs="Arial"/>
                <w:sz w:val="20"/>
                <w:szCs w:val="20"/>
              </w:rPr>
            </w:pPr>
          </w:p>
        </w:tc>
        <w:tc>
          <w:tcPr>
            <w:tcW w:w="1701" w:type="dxa"/>
            <w:vMerge/>
          </w:tcPr>
          <w:p w:rsidR="00511FF2" w:rsidRPr="006F6D3E" w:rsidRDefault="00511FF2" w:rsidP="007D7729">
            <w:pPr>
              <w:pStyle w:val="NormalWeb"/>
              <w:spacing w:before="0" w:beforeAutospacing="0" w:after="0" w:afterAutospacing="0"/>
              <w:contextualSpacing/>
              <w:textAlignment w:val="baseline"/>
              <w:rPr>
                <w:rFonts w:ascii="Arial" w:hAnsi="Arial" w:cs="Arial"/>
                <w:sz w:val="20"/>
                <w:szCs w:val="20"/>
              </w:rPr>
            </w:pPr>
          </w:p>
        </w:tc>
        <w:tc>
          <w:tcPr>
            <w:tcW w:w="3402" w:type="dxa"/>
            <w:tcMar>
              <w:top w:w="28" w:type="dxa"/>
              <w:bottom w:w="28" w:type="dxa"/>
            </w:tcMar>
          </w:tcPr>
          <w:p w:rsidR="00511FF2" w:rsidRPr="006F6D3E" w:rsidRDefault="00511FF2" w:rsidP="007D7729">
            <w:pPr>
              <w:pStyle w:val="NormalWeb"/>
              <w:spacing w:before="0" w:beforeAutospacing="0" w:after="0" w:afterAutospacing="0"/>
              <w:contextualSpacing/>
              <w:jc w:val="right"/>
              <w:textAlignment w:val="baseline"/>
              <w:rPr>
                <w:rFonts w:ascii="Arial" w:hAnsi="Arial" w:cs="Arial"/>
                <w:sz w:val="20"/>
                <w:szCs w:val="20"/>
              </w:rPr>
            </w:pPr>
            <w:r w:rsidRPr="006F6D3E">
              <w:rPr>
                <w:rFonts w:ascii="Arial" w:hAnsi="Arial" w:cs="Arial"/>
                <w:sz w:val="20"/>
                <w:szCs w:val="20"/>
              </w:rPr>
              <w:t>Sponsor Comment:</w:t>
            </w:r>
          </w:p>
        </w:tc>
        <w:tc>
          <w:tcPr>
            <w:tcW w:w="7938" w:type="dxa"/>
          </w:tcPr>
          <w:p w:rsidR="00511FF2" w:rsidRPr="00503286" w:rsidRDefault="00503286" w:rsidP="007D7729">
            <w:pPr>
              <w:pStyle w:val="ListParagraph"/>
              <w:ind w:left="0"/>
              <w:jc w:val="both"/>
              <w:rPr>
                <w:rFonts w:ascii="Arial" w:hAnsi="Arial" w:cs="Arial"/>
                <w:sz w:val="20"/>
                <w:szCs w:val="20"/>
              </w:rPr>
            </w:pPr>
            <w:r w:rsidRPr="00503286">
              <w:rPr>
                <w:rFonts w:ascii="Arial" w:hAnsi="Arial" w:cs="Arial"/>
                <w:sz w:val="20"/>
                <w:szCs w:val="22"/>
                <w:lang w:val="en-US"/>
              </w:rPr>
              <w:t>The sponsor needs to clarify the decision with the PBAC.</w:t>
            </w:r>
          </w:p>
        </w:tc>
      </w:tr>
      <w:tr w:rsidR="00511FF2" w:rsidRPr="006F6D3E" w:rsidTr="00B61B56">
        <w:trPr>
          <w:trHeight w:val="294"/>
        </w:trPr>
        <w:tc>
          <w:tcPr>
            <w:tcW w:w="2552" w:type="dxa"/>
            <w:vMerge w:val="restart"/>
            <w:tcMar>
              <w:top w:w="28" w:type="dxa"/>
              <w:bottom w:w="28" w:type="dxa"/>
            </w:tcMar>
          </w:tcPr>
          <w:p w:rsidR="00511FF2" w:rsidRPr="006F6D3E" w:rsidRDefault="00511FF2">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SORAFENIB, tablet, 200 mg,  Nexavar® </w:t>
            </w:r>
          </w:p>
          <w:p w:rsidR="00511FF2" w:rsidRPr="006F6D3E" w:rsidRDefault="00511FF2">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Bayer Australia Ltd</w:t>
            </w:r>
          </w:p>
          <w:p w:rsidR="00511FF2" w:rsidRPr="006F6D3E" w:rsidRDefault="00511FF2">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Change to listing</w:t>
            </w:r>
          </w:p>
          <w:p w:rsidR="00511FF2" w:rsidRPr="006F6D3E" w:rsidRDefault="00511FF2">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(Major submission)</w:t>
            </w:r>
          </w:p>
          <w:p w:rsidR="00511FF2" w:rsidRPr="006F6D3E" w:rsidRDefault="00511FF2">
            <w:pPr>
              <w:pStyle w:val="NormalWeb"/>
              <w:spacing w:before="240" w:beforeAutospacing="0" w:after="240" w:afterAutospacing="0"/>
              <w:textAlignment w:val="baseline"/>
              <w:rPr>
                <w:rFonts w:ascii="Arial" w:hAnsi="Arial" w:cs="Arial"/>
                <w:sz w:val="20"/>
                <w:szCs w:val="20"/>
              </w:rPr>
            </w:pPr>
          </w:p>
        </w:tc>
        <w:tc>
          <w:tcPr>
            <w:tcW w:w="1701" w:type="dxa"/>
            <w:vMerge w:val="restart"/>
          </w:tcPr>
          <w:p w:rsidR="00511FF2" w:rsidRPr="006F6D3E" w:rsidRDefault="00511FF2">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Thyroid Cancer</w:t>
            </w:r>
          </w:p>
        </w:tc>
        <w:tc>
          <w:tcPr>
            <w:tcW w:w="3402" w:type="dxa"/>
            <w:tcMar>
              <w:top w:w="28" w:type="dxa"/>
              <w:bottom w:w="28" w:type="dxa"/>
            </w:tcMar>
          </w:tcPr>
          <w:p w:rsidR="00511FF2" w:rsidRPr="006F6D3E" w:rsidRDefault="00511FF2" w:rsidP="00511FF2">
            <w:pPr>
              <w:pStyle w:val="NormalWeb"/>
              <w:spacing w:before="240" w:beforeAutospacing="0" w:after="240" w:afterAutospacing="0"/>
              <w:jc w:val="both"/>
              <w:textAlignment w:val="baseline"/>
              <w:rPr>
                <w:rFonts w:ascii="Arial" w:hAnsi="Arial" w:cs="Arial"/>
                <w:sz w:val="20"/>
                <w:szCs w:val="20"/>
              </w:rPr>
            </w:pPr>
            <w:r w:rsidRPr="006F6D3E">
              <w:rPr>
                <w:rFonts w:ascii="Arial" w:hAnsi="Arial" w:cs="Arial"/>
                <w:sz w:val="20"/>
                <w:szCs w:val="20"/>
              </w:rPr>
              <w:t>Authority required listing for the treatment of patients with locally advanced or metastatic, progressive, differentiated thyroid carcinoma refractory to radioactive iodine.</w:t>
            </w:r>
          </w:p>
        </w:tc>
        <w:tc>
          <w:tcPr>
            <w:tcW w:w="7938" w:type="dxa"/>
          </w:tcPr>
          <w:p w:rsidR="00511FF2" w:rsidRPr="006F6D3E" w:rsidRDefault="00511FF2" w:rsidP="00B34C35">
            <w:pPr>
              <w:pStyle w:val="ListParagraph"/>
              <w:ind w:left="0"/>
              <w:jc w:val="both"/>
              <w:rPr>
                <w:rFonts w:ascii="Arial" w:hAnsi="Arial" w:cs="Arial"/>
                <w:sz w:val="20"/>
                <w:szCs w:val="20"/>
              </w:rPr>
            </w:pPr>
          </w:p>
          <w:p w:rsidR="00511FF2" w:rsidRPr="006F6D3E" w:rsidRDefault="00511FF2" w:rsidP="007E6F9A">
            <w:pPr>
              <w:jc w:val="both"/>
              <w:rPr>
                <w:rFonts w:ascii="Arial" w:hAnsi="Arial" w:cs="Arial"/>
              </w:rPr>
            </w:pPr>
            <w:r w:rsidRPr="006F6D3E">
              <w:rPr>
                <w:rFonts w:ascii="Arial" w:hAnsi="Arial" w:cs="Arial"/>
              </w:rPr>
              <w:t xml:space="preserve">The PBAC rejected the submission for PBS listing of sorafenib for differentiated thyroid carcinoma (DTC) refractory to radioactive iodine (RAI-R) on the basis of high and uncertain cost effectiveness, a sub-optimally defined patient population and uncertain clinical benefit. </w:t>
            </w:r>
          </w:p>
          <w:p w:rsidR="00511FF2" w:rsidRDefault="00511FF2" w:rsidP="007E6F9A">
            <w:pPr>
              <w:pStyle w:val="ListParagraph"/>
              <w:ind w:left="0"/>
              <w:jc w:val="both"/>
              <w:rPr>
                <w:rFonts w:ascii="Arial" w:hAnsi="Arial" w:cs="Arial"/>
                <w:sz w:val="20"/>
                <w:szCs w:val="20"/>
              </w:rPr>
            </w:pPr>
            <w:r w:rsidRPr="006F6D3E">
              <w:rPr>
                <w:rFonts w:ascii="Arial" w:hAnsi="Arial" w:cs="Arial"/>
                <w:sz w:val="20"/>
                <w:szCs w:val="20"/>
              </w:rPr>
              <w:t xml:space="preserve">The PBAC considered that there may be a small population for which this drug may be of benefit - in patients with rapid disease and symptomatic progression where the prognosis is poorer. However the submission did not provide sufficient data to define this group of patients and how they would be identified in clinical practice. The PBAC considered that it was uncertain whether a gain in </w:t>
            </w:r>
            <w:r w:rsidR="002A58F4">
              <w:rPr>
                <w:rFonts w:ascii="Arial" w:hAnsi="Arial" w:cs="Arial"/>
                <w:sz w:val="20"/>
                <w:szCs w:val="20"/>
              </w:rPr>
              <w:t>progression free survival (</w:t>
            </w:r>
            <w:r w:rsidRPr="006F6D3E">
              <w:rPr>
                <w:rFonts w:ascii="Arial" w:hAnsi="Arial" w:cs="Arial"/>
                <w:sz w:val="20"/>
                <w:szCs w:val="20"/>
              </w:rPr>
              <w:t>PFS</w:t>
            </w:r>
            <w:r w:rsidR="002A58F4">
              <w:rPr>
                <w:rFonts w:ascii="Arial" w:hAnsi="Arial" w:cs="Arial"/>
                <w:sz w:val="20"/>
                <w:szCs w:val="20"/>
              </w:rPr>
              <w:t>)</w:t>
            </w:r>
            <w:r w:rsidRPr="006F6D3E">
              <w:rPr>
                <w:rFonts w:ascii="Arial" w:hAnsi="Arial" w:cs="Arial"/>
                <w:sz w:val="20"/>
                <w:szCs w:val="20"/>
              </w:rPr>
              <w:t xml:space="preserve"> was clinically meaningful in this type of cancer, in the absence of evidence of a benefit in </w:t>
            </w:r>
            <w:r w:rsidR="002A58F4">
              <w:rPr>
                <w:rFonts w:ascii="Arial" w:hAnsi="Arial" w:cs="Arial"/>
                <w:sz w:val="20"/>
                <w:szCs w:val="20"/>
              </w:rPr>
              <w:t>overall survival (</w:t>
            </w:r>
            <w:r w:rsidRPr="006F6D3E">
              <w:rPr>
                <w:rFonts w:ascii="Arial" w:hAnsi="Arial" w:cs="Arial"/>
                <w:sz w:val="20"/>
                <w:szCs w:val="20"/>
              </w:rPr>
              <w:t>OS</w:t>
            </w:r>
            <w:r w:rsidR="002A58F4">
              <w:rPr>
                <w:rFonts w:ascii="Arial" w:hAnsi="Arial" w:cs="Arial"/>
                <w:sz w:val="20"/>
                <w:szCs w:val="20"/>
              </w:rPr>
              <w:t>)</w:t>
            </w:r>
            <w:r w:rsidRPr="006F6D3E">
              <w:rPr>
                <w:rFonts w:ascii="Arial" w:hAnsi="Arial" w:cs="Arial"/>
                <w:sz w:val="20"/>
                <w:szCs w:val="20"/>
              </w:rPr>
              <w:t xml:space="preserve">, noting that before progression, health related quality of life data from the trial favoured placebo compared with sorafenib. The PBAC considered that due to the sub-optimally defined nature of the treatment population, and insufficient evidence to support a meaningful clinical benefit, the resulting </w:t>
            </w:r>
            <w:r w:rsidR="002A58F4">
              <w:rPr>
                <w:rFonts w:ascii="Arial" w:hAnsi="Arial" w:cs="Arial"/>
                <w:sz w:val="20"/>
                <w:szCs w:val="20"/>
              </w:rPr>
              <w:t xml:space="preserve">incremental cost-effectiveness ratio </w:t>
            </w:r>
            <w:r w:rsidRPr="006F6D3E">
              <w:rPr>
                <w:rFonts w:ascii="Arial" w:hAnsi="Arial" w:cs="Arial"/>
                <w:sz w:val="20"/>
                <w:szCs w:val="20"/>
              </w:rPr>
              <w:t xml:space="preserve">is high and uncertain. The PBAC considered that a major resubmission would be required to address the Committee’s concerns, with particular regard to defining the eligible treatment population and providing evidence of a meaningful clinical benefit with sorafenib in the treatment of </w:t>
            </w:r>
            <w:r w:rsidR="002A58F4" w:rsidRPr="002A58F4">
              <w:rPr>
                <w:rFonts w:ascii="Arial" w:hAnsi="Arial" w:cs="Arial"/>
                <w:sz w:val="20"/>
                <w:szCs w:val="20"/>
              </w:rPr>
              <w:t>radioactive iodine-refractory differentiated thyroid cancer.</w:t>
            </w:r>
          </w:p>
          <w:p w:rsidR="002A58F4" w:rsidRDefault="002A58F4" w:rsidP="007E6F9A">
            <w:pPr>
              <w:pStyle w:val="ListParagraph"/>
              <w:ind w:left="0"/>
              <w:jc w:val="both"/>
              <w:rPr>
                <w:rFonts w:ascii="Arial" w:hAnsi="Arial" w:cs="Arial"/>
                <w:sz w:val="20"/>
                <w:szCs w:val="20"/>
              </w:rPr>
            </w:pPr>
          </w:p>
          <w:p w:rsidR="002A58F4" w:rsidRPr="00D80605" w:rsidRDefault="002A58F4" w:rsidP="00D80605">
            <w:pPr>
              <w:contextualSpacing/>
              <w:jc w:val="both"/>
              <w:rPr>
                <w:rFonts w:ascii="Arial" w:eastAsia="SimSun" w:hAnsi="Arial" w:cs="Arial"/>
              </w:rPr>
            </w:pPr>
            <w:r w:rsidRPr="00D80605">
              <w:rPr>
                <w:rFonts w:ascii="Arial" w:eastAsia="SimSun" w:hAnsi="Arial" w:cs="Arial"/>
              </w:rPr>
              <w:t>On the basis of the direct evidence presented by the submission, the comparison of sorafenib with placebo resulted in:</w:t>
            </w:r>
          </w:p>
          <w:p w:rsidR="002A58F4" w:rsidRPr="00D80605" w:rsidRDefault="002A58F4" w:rsidP="00D80605">
            <w:pPr>
              <w:pStyle w:val="ListParagraph"/>
              <w:numPr>
                <w:ilvl w:val="0"/>
                <w:numId w:val="21"/>
              </w:numPr>
              <w:ind w:left="379" w:hanging="284"/>
              <w:jc w:val="both"/>
              <w:rPr>
                <w:rFonts w:ascii="Arial" w:hAnsi="Arial" w:cs="Arial"/>
                <w:sz w:val="20"/>
                <w:szCs w:val="20"/>
              </w:rPr>
            </w:pPr>
            <w:r w:rsidRPr="00D80605">
              <w:rPr>
                <w:rFonts w:ascii="Arial" w:hAnsi="Arial" w:cs="Arial"/>
                <w:sz w:val="20"/>
                <w:szCs w:val="20"/>
              </w:rPr>
              <w:t>a significant increase in median PFS compared with placebo from 5.8 months (placebo) to 10.8 months (sorafenib)</w:t>
            </w:r>
            <w:r w:rsidR="00C90162">
              <w:rPr>
                <w:rFonts w:ascii="Arial" w:hAnsi="Arial" w:cs="Arial"/>
                <w:sz w:val="20"/>
                <w:szCs w:val="20"/>
              </w:rPr>
              <w:t>.</w:t>
            </w:r>
            <w:r w:rsidRPr="00D80605">
              <w:rPr>
                <w:rFonts w:ascii="Arial" w:hAnsi="Arial" w:cs="Arial"/>
                <w:sz w:val="20"/>
                <w:szCs w:val="20"/>
              </w:rPr>
              <w:t xml:space="preserve"> Censoring of patients who ceased sorafenib </w:t>
            </w:r>
            <w:r w:rsidRPr="00D80605">
              <w:rPr>
                <w:rFonts w:ascii="Arial" w:hAnsi="Arial" w:cs="Arial"/>
                <w:sz w:val="20"/>
                <w:szCs w:val="20"/>
              </w:rPr>
              <w:lastRenderedPageBreak/>
              <w:t xml:space="preserve">early due to side effects without progression may bias this result towards sorafenib; </w:t>
            </w:r>
          </w:p>
          <w:p w:rsidR="002A58F4" w:rsidRPr="00D80605" w:rsidRDefault="002A58F4" w:rsidP="00D80605">
            <w:pPr>
              <w:pStyle w:val="ListParagraph"/>
              <w:numPr>
                <w:ilvl w:val="0"/>
                <w:numId w:val="21"/>
              </w:numPr>
              <w:ind w:left="379" w:hanging="284"/>
              <w:jc w:val="both"/>
              <w:rPr>
                <w:rFonts w:ascii="Arial" w:hAnsi="Arial" w:cs="Arial"/>
                <w:sz w:val="20"/>
                <w:szCs w:val="20"/>
              </w:rPr>
            </w:pPr>
            <w:r w:rsidRPr="00D80605">
              <w:rPr>
                <w:rFonts w:ascii="Arial" w:hAnsi="Arial" w:cs="Arial"/>
                <w:sz w:val="20"/>
                <w:szCs w:val="20"/>
              </w:rPr>
              <w:t>a significant increase in ‘Disease Control’, which comprises complete response, partial response and stable disease. The disease control rate was 74.6% in the placebo arm compared with 86.2% in the sorafenib arm</w:t>
            </w:r>
            <w:r w:rsidR="00C90162">
              <w:rPr>
                <w:rFonts w:ascii="Arial" w:hAnsi="Arial" w:cs="Arial"/>
                <w:sz w:val="20"/>
                <w:szCs w:val="20"/>
              </w:rPr>
              <w:t>.</w:t>
            </w:r>
          </w:p>
          <w:p w:rsidR="002A58F4" w:rsidRPr="002A58F4" w:rsidRDefault="002A58F4" w:rsidP="002A58F4">
            <w:pPr>
              <w:ind w:left="709"/>
              <w:jc w:val="both"/>
              <w:rPr>
                <w:rFonts w:ascii="Arial" w:hAnsi="Arial" w:cs="Arial"/>
                <w:snapToGrid w:val="0"/>
                <w:sz w:val="22"/>
                <w:szCs w:val="22"/>
                <w:lang w:eastAsia="en-US"/>
              </w:rPr>
            </w:pPr>
          </w:p>
          <w:p w:rsidR="002A58F4" w:rsidRPr="00D80605" w:rsidRDefault="002A58F4" w:rsidP="00D80605">
            <w:pPr>
              <w:widowControl w:val="0"/>
              <w:contextualSpacing/>
              <w:jc w:val="both"/>
              <w:rPr>
                <w:rFonts w:ascii="Arial" w:eastAsia="SimSun" w:hAnsi="Arial" w:cs="Arial"/>
              </w:rPr>
            </w:pPr>
            <w:r w:rsidRPr="00D80605">
              <w:rPr>
                <w:rFonts w:ascii="Arial" w:eastAsia="SimSun" w:hAnsi="Arial" w:cs="Arial"/>
              </w:rPr>
              <w:t xml:space="preserve">On the basis of the direct evidence presented by the submission, the comparison of sorafenib with placebo did not result in a statistically significant difference in OS for the intention to treat population. </w:t>
            </w:r>
          </w:p>
          <w:p w:rsidR="002A58F4" w:rsidRPr="00D80605" w:rsidRDefault="002A58F4" w:rsidP="002A58F4">
            <w:pPr>
              <w:widowControl w:val="0"/>
              <w:ind w:left="720"/>
              <w:contextualSpacing/>
              <w:jc w:val="both"/>
              <w:rPr>
                <w:rFonts w:ascii="Arial" w:eastAsia="SimSun" w:hAnsi="Arial" w:cs="Arial"/>
              </w:rPr>
            </w:pPr>
          </w:p>
          <w:p w:rsidR="002A58F4" w:rsidRPr="00D80605" w:rsidRDefault="002A58F4" w:rsidP="00D80605">
            <w:pPr>
              <w:contextualSpacing/>
              <w:jc w:val="both"/>
              <w:rPr>
                <w:rFonts w:ascii="Arial" w:eastAsia="SimSun" w:hAnsi="Arial" w:cs="Arial"/>
              </w:rPr>
            </w:pPr>
            <w:r w:rsidRPr="00D80605">
              <w:rPr>
                <w:rFonts w:ascii="Arial" w:eastAsia="SimSun" w:hAnsi="Arial" w:cs="Arial"/>
              </w:rPr>
              <w:t>On the basis of the direct evidence presented in the submission, for every 100 patients treated with sorafenib in comparison with placebo, approximately:</w:t>
            </w:r>
          </w:p>
          <w:p w:rsidR="002A58F4" w:rsidRPr="00D80605" w:rsidRDefault="002A58F4" w:rsidP="00D80605">
            <w:pPr>
              <w:pStyle w:val="ListParagraph"/>
              <w:numPr>
                <w:ilvl w:val="0"/>
                <w:numId w:val="21"/>
              </w:numPr>
              <w:ind w:left="379" w:hanging="284"/>
              <w:jc w:val="both"/>
              <w:rPr>
                <w:rFonts w:ascii="Arial" w:hAnsi="Arial" w:cs="Arial"/>
                <w:sz w:val="20"/>
                <w:szCs w:val="20"/>
              </w:rPr>
            </w:pPr>
            <w:r w:rsidRPr="00D80605">
              <w:rPr>
                <w:rFonts w:ascii="Arial" w:hAnsi="Arial" w:cs="Arial"/>
                <w:sz w:val="20"/>
                <w:szCs w:val="20"/>
              </w:rPr>
              <w:t xml:space="preserve">38 additional patients will have at least one Grade 3 or higher </w:t>
            </w:r>
            <w:r w:rsidR="00C90162" w:rsidRPr="00E730FA">
              <w:rPr>
                <w:rFonts w:ascii="Arial" w:hAnsi="Arial" w:cs="Arial"/>
                <w:sz w:val="20"/>
                <w:szCs w:val="20"/>
              </w:rPr>
              <w:t>a</w:t>
            </w:r>
            <w:r w:rsidRPr="00D80605">
              <w:rPr>
                <w:rFonts w:ascii="Arial" w:hAnsi="Arial" w:cs="Arial"/>
                <w:sz w:val="20"/>
                <w:szCs w:val="20"/>
              </w:rPr>
              <w:t xml:space="preserve">dverse </w:t>
            </w:r>
            <w:r w:rsidR="00C90162" w:rsidRPr="00E730FA">
              <w:rPr>
                <w:rFonts w:ascii="Arial" w:hAnsi="Arial" w:cs="Arial"/>
                <w:sz w:val="20"/>
                <w:szCs w:val="20"/>
              </w:rPr>
              <w:t>e</w:t>
            </w:r>
            <w:r w:rsidRPr="00D80605">
              <w:rPr>
                <w:rFonts w:ascii="Arial" w:hAnsi="Arial" w:cs="Arial"/>
                <w:sz w:val="20"/>
                <w:szCs w:val="20"/>
              </w:rPr>
              <w:t>vent.</w:t>
            </w:r>
          </w:p>
          <w:p w:rsidR="002A58F4" w:rsidRPr="00D80605" w:rsidRDefault="002A58F4" w:rsidP="00D80605">
            <w:pPr>
              <w:pStyle w:val="ListParagraph"/>
              <w:numPr>
                <w:ilvl w:val="0"/>
                <w:numId w:val="21"/>
              </w:numPr>
              <w:ind w:left="379" w:hanging="284"/>
              <w:jc w:val="both"/>
              <w:rPr>
                <w:rFonts w:ascii="Arial" w:hAnsi="Arial" w:cs="Arial"/>
                <w:sz w:val="20"/>
                <w:szCs w:val="20"/>
              </w:rPr>
            </w:pPr>
            <w:r w:rsidRPr="00D80605">
              <w:rPr>
                <w:rFonts w:ascii="Arial" w:hAnsi="Arial" w:cs="Arial"/>
                <w:sz w:val="20"/>
                <w:szCs w:val="20"/>
              </w:rPr>
              <w:t xml:space="preserve">40 additional patients will have sorafenib treatment interrupted due to </w:t>
            </w:r>
            <w:r w:rsidR="00C90162" w:rsidRPr="00E730FA">
              <w:rPr>
                <w:rFonts w:ascii="Arial" w:hAnsi="Arial" w:cs="Arial"/>
                <w:sz w:val="20"/>
                <w:szCs w:val="20"/>
              </w:rPr>
              <w:t>an adverse event</w:t>
            </w:r>
            <w:r w:rsidRPr="00D80605">
              <w:rPr>
                <w:rFonts w:ascii="Arial" w:hAnsi="Arial" w:cs="Arial"/>
                <w:sz w:val="20"/>
                <w:szCs w:val="20"/>
              </w:rPr>
              <w:t>.</w:t>
            </w:r>
          </w:p>
          <w:p w:rsidR="002A58F4" w:rsidRPr="00D80605" w:rsidRDefault="002A58F4" w:rsidP="00D80605">
            <w:pPr>
              <w:pStyle w:val="ListParagraph"/>
              <w:numPr>
                <w:ilvl w:val="0"/>
                <w:numId w:val="21"/>
              </w:numPr>
              <w:ind w:left="379" w:hanging="284"/>
              <w:jc w:val="both"/>
              <w:rPr>
                <w:rFonts w:ascii="Arial" w:hAnsi="Arial" w:cs="Arial"/>
                <w:sz w:val="20"/>
                <w:szCs w:val="20"/>
              </w:rPr>
            </w:pPr>
            <w:r w:rsidRPr="00D80605">
              <w:rPr>
                <w:rFonts w:ascii="Arial" w:hAnsi="Arial" w:cs="Arial"/>
                <w:sz w:val="20"/>
                <w:szCs w:val="20"/>
              </w:rPr>
              <w:t xml:space="preserve">15 additional patients will have sorafenib treatment stopped due to </w:t>
            </w:r>
            <w:r w:rsidR="00C90162" w:rsidRPr="00E730FA">
              <w:rPr>
                <w:rFonts w:ascii="Arial" w:hAnsi="Arial" w:cs="Arial"/>
                <w:sz w:val="20"/>
                <w:szCs w:val="20"/>
              </w:rPr>
              <w:t>an adverse event</w:t>
            </w:r>
            <w:r w:rsidRPr="00D80605">
              <w:rPr>
                <w:rFonts w:ascii="Arial" w:hAnsi="Arial" w:cs="Arial"/>
                <w:sz w:val="20"/>
                <w:szCs w:val="20"/>
              </w:rPr>
              <w:t>.</w:t>
            </w:r>
          </w:p>
          <w:p w:rsidR="002A58F4" w:rsidRPr="00D80605" w:rsidRDefault="002A58F4" w:rsidP="00D80605">
            <w:pPr>
              <w:contextualSpacing/>
              <w:jc w:val="both"/>
              <w:rPr>
                <w:rFonts w:ascii="Arial" w:eastAsia="SimSun" w:hAnsi="Arial" w:cs="Arial"/>
              </w:rPr>
            </w:pPr>
            <w:r w:rsidRPr="00D80605">
              <w:rPr>
                <w:rFonts w:ascii="Arial" w:eastAsia="SimSun" w:hAnsi="Arial" w:cs="Arial"/>
              </w:rPr>
              <w:t>This is based on a period of 10 – 12 months of treatment with sorafenib (compared with 8 – 9 months of observation in the placebo+</w:t>
            </w:r>
            <w:r w:rsidR="00C90162">
              <w:rPr>
                <w:rFonts w:ascii="Arial" w:eastAsia="SimSun" w:hAnsi="Arial" w:cs="Arial"/>
              </w:rPr>
              <w:t xml:space="preserve"> best supportive care</w:t>
            </w:r>
            <w:r w:rsidRPr="00D80605">
              <w:rPr>
                <w:rFonts w:ascii="Arial" w:eastAsia="SimSun" w:hAnsi="Arial" w:cs="Arial"/>
              </w:rPr>
              <w:t xml:space="preserve"> arm).</w:t>
            </w:r>
          </w:p>
          <w:p w:rsidR="002A58F4" w:rsidRPr="006F6D3E" w:rsidRDefault="002A58F4" w:rsidP="007E6F9A">
            <w:pPr>
              <w:pStyle w:val="ListParagraph"/>
              <w:ind w:left="0"/>
              <w:jc w:val="both"/>
              <w:rPr>
                <w:rFonts w:ascii="Arial" w:hAnsi="Arial" w:cs="Arial"/>
                <w:sz w:val="20"/>
                <w:szCs w:val="20"/>
              </w:rPr>
            </w:pPr>
          </w:p>
        </w:tc>
      </w:tr>
      <w:tr w:rsidR="00511FF2" w:rsidRPr="006F6D3E" w:rsidTr="00B61B56">
        <w:trPr>
          <w:trHeight w:val="294"/>
        </w:trPr>
        <w:tc>
          <w:tcPr>
            <w:tcW w:w="2552" w:type="dxa"/>
            <w:vMerge/>
            <w:tcMar>
              <w:top w:w="28" w:type="dxa"/>
              <w:bottom w:w="28" w:type="dxa"/>
            </w:tcMar>
          </w:tcPr>
          <w:p w:rsidR="00511FF2" w:rsidRPr="006F6D3E" w:rsidRDefault="00511FF2" w:rsidP="007D7729">
            <w:pPr>
              <w:pStyle w:val="NormalWeb"/>
              <w:spacing w:before="0" w:beforeAutospacing="0" w:after="0" w:afterAutospacing="0"/>
              <w:contextualSpacing/>
              <w:textAlignment w:val="baseline"/>
              <w:rPr>
                <w:rFonts w:ascii="Arial" w:hAnsi="Arial" w:cs="Arial"/>
                <w:sz w:val="20"/>
                <w:szCs w:val="20"/>
              </w:rPr>
            </w:pPr>
          </w:p>
        </w:tc>
        <w:tc>
          <w:tcPr>
            <w:tcW w:w="1701" w:type="dxa"/>
            <w:vMerge/>
          </w:tcPr>
          <w:p w:rsidR="00511FF2" w:rsidRPr="006F6D3E" w:rsidRDefault="00511FF2" w:rsidP="007D7729">
            <w:pPr>
              <w:pStyle w:val="NormalWeb"/>
              <w:spacing w:before="0" w:beforeAutospacing="0" w:after="0" w:afterAutospacing="0"/>
              <w:contextualSpacing/>
              <w:textAlignment w:val="baseline"/>
              <w:rPr>
                <w:rFonts w:ascii="Arial" w:hAnsi="Arial" w:cs="Arial"/>
                <w:sz w:val="20"/>
                <w:szCs w:val="20"/>
              </w:rPr>
            </w:pPr>
          </w:p>
        </w:tc>
        <w:tc>
          <w:tcPr>
            <w:tcW w:w="3402" w:type="dxa"/>
            <w:tcMar>
              <w:top w:w="28" w:type="dxa"/>
              <w:bottom w:w="28" w:type="dxa"/>
            </w:tcMar>
          </w:tcPr>
          <w:p w:rsidR="00511FF2" w:rsidRPr="006F6D3E" w:rsidRDefault="00511FF2" w:rsidP="007D7729">
            <w:pPr>
              <w:pStyle w:val="NormalWeb"/>
              <w:spacing w:before="0" w:beforeAutospacing="0" w:after="0" w:afterAutospacing="0"/>
              <w:contextualSpacing/>
              <w:jc w:val="right"/>
              <w:textAlignment w:val="baseline"/>
              <w:rPr>
                <w:rFonts w:ascii="Arial" w:hAnsi="Arial" w:cs="Arial"/>
                <w:sz w:val="20"/>
                <w:szCs w:val="20"/>
              </w:rPr>
            </w:pPr>
            <w:r w:rsidRPr="006F6D3E">
              <w:rPr>
                <w:rFonts w:ascii="Arial" w:hAnsi="Arial" w:cs="Arial"/>
                <w:sz w:val="20"/>
                <w:szCs w:val="20"/>
              </w:rPr>
              <w:t>Sponsor Comment:</w:t>
            </w:r>
          </w:p>
        </w:tc>
        <w:tc>
          <w:tcPr>
            <w:tcW w:w="7938" w:type="dxa"/>
          </w:tcPr>
          <w:p w:rsidR="00511FF2" w:rsidRPr="006F6D3E" w:rsidRDefault="007F10D0" w:rsidP="007D7729">
            <w:pPr>
              <w:pStyle w:val="ListParagraph"/>
              <w:ind w:left="0"/>
              <w:jc w:val="both"/>
              <w:rPr>
                <w:rFonts w:ascii="Arial" w:hAnsi="Arial" w:cs="Arial"/>
                <w:sz w:val="20"/>
                <w:szCs w:val="20"/>
              </w:rPr>
            </w:pPr>
            <w:r>
              <w:rPr>
                <w:rFonts w:ascii="Arial" w:hAnsi="Arial" w:cs="Arial"/>
                <w:sz w:val="20"/>
                <w:szCs w:val="20"/>
              </w:rPr>
              <w:t xml:space="preserve">The sponsor had no comment. </w:t>
            </w:r>
          </w:p>
        </w:tc>
      </w:tr>
      <w:tr w:rsidR="0027218C" w:rsidRPr="006F6D3E" w:rsidTr="00B61B56">
        <w:trPr>
          <w:trHeight w:val="294"/>
        </w:trPr>
        <w:tc>
          <w:tcPr>
            <w:tcW w:w="2552" w:type="dxa"/>
            <w:vMerge w:val="restart"/>
            <w:tcMar>
              <w:top w:w="28" w:type="dxa"/>
              <w:bottom w:w="28" w:type="dxa"/>
            </w:tcMar>
          </w:tcPr>
          <w:p w:rsidR="0027218C" w:rsidRPr="006F6D3E" w:rsidRDefault="0027218C">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VEDOLIZUMAB, 300 mg injection, 1 x 300 mg vial</w:t>
            </w:r>
            <w:r w:rsidR="00511FF2" w:rsidRPr="006F6D3E">
              <w:rPr>
                <w:rFonts w:ascii="Arial" w:hAnsi="Arial" w:cs="Arial"/>
                <w:sz w:val="20"/>
                <w:szCs w:val="20"/>
              </w:rPr>
              <w:t xml:space="preserve">, </w:t>
            </w:r>
            <w:r w:rsidRPr="006F6D3E">
              <w:rPr>
                <w:rFonts w:ascii="Arial" w:hAnsi="Arial" w:cs="Arial"/>
                <w:sz w:val="20"/>
                <w:szCs w:val="20"/>
              </w:rPr>
              <w:t>Entyvio®</w:t>
            </w:r>
          </w:p>
          <w:p w:rsidR="00511FF2" w:rsidRPr="006F6D3E" w:rsidRDefault="0027218C" w:rsidP="00D41AB6">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Takeda Pharmaceuticals Australia Pty Ltd</w:t>
            </w:r>
          </w:p>
          <w:p w:rsidR="00511FF2" w:rsidRPr="006F6D3E" w:rsidRDefault="00511FF2" w:rsidP="00D41AB6">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New listing</w:t>
            </w:r>
          </w:p>
          <w:p w:rsidR="00511FF2" w:rsidRPr="006F6D3E" w:rsidRDefault="00511FF2" w:rsidP="00D41AB6">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(Major submission)</w:t>
            </w:r>
          </w:p>
        </w:tc>
        <w:tc>
          <w:tcPr>
            <w:tcW w:w="1701" w:type="dxa"/>
            <w:vMerge w:val="restart"/>
          </w:tcPr>
          <w:p w:rsidR="0027218C" w:rsidRPr="006F6D3E" w:rsidRDefault="0027218C">
            <w:pPr>
              <w:pStyle w:val="NormalWeb"/>
              <w:spacing w:before="240" w:beforeAutospacing="0" w:after="240" w:afterAutospacing="0" w:line="270" w:lineRule="atLeast"/>
              <w:textAlignment w:val="baseline"/>
              <w:rPr>
                <w:rFonts w:ascii="Arial" w:hAnsi="Arial" w:cs="Arial"/>
                <w:sz w:val="20"/>
                <w:szCs w:val="20"/>
              </w:rPr>
            </w:pPr>
            <w:r w:rsidRPr="006F6D3E">
              <w:rPr>
                <w:rFonts w:ascii="Arial" w:hAnsi="Arial" w:cs="Arial"/>
                <w:sz w:val="20"/>
                <w:szCs w:val="20"/>
              </w:rPr>
              <w:t>Ulcerative colitis (UC)</w:t>
            </w:r>
          </w:p>
        </w:tc>
        <w:tc>
          <w:tcPr>
            <w:tcW w:w="3402" w:type="dxa"/>
            <w:tcMar>
              <w:top w:w="28" w:type="dxa"/>
              <w:bottom w:w="28" w:type="dxa"/>
            </w:tcMar>
          </w:tcPr>
          <w:p w:rsidR="0027218C" w:rsidRPr="006F6D3E" w:rsidRDefault="0027218C" w:rsidP="00511FF2">
            <w:pPr>
              <w:pStyle w:val="NormalWeb"/>
              <w:spacing w:before="240" w:beforeAutospacing="0" w:after="240" w:afterAutospacing="0" w:line="270" w:lineRule="atLeast"/>
              <w:jc w:val="both"/>
              <w:textAlignment w:val="baseline"/>
              <w:rPr>
                <w:rFonts w:ascii="Arial" w:hAnsi="Arial" w:cs="Arial"/>
                <w:sz w:val="20"/>
                <w:szCs w:val="20"/>
              </w:rPr>
            </w:pPr>
            <w:r w:rsidRPr="006F6D3E">
              <w:rPr>
                <w:rFonts w:ascii="Arial" w:hAnsi="Arial" w:cs="Arial"/>
                <w:sz w:val="20"/>
                <w:szCs w:val="20"/>
              </w:rPr>
              <w:t>Section 100 (Highly Specialised Drugs Program) Public and Private Hospital Authority Required listing for treatment of moderate to severe ulcerative colitis (UC) in patients who have failed conventional therapies and who meet certain criteria.</w:t>
            </w:r>
          </w:p>
        </w:tc>
        <w:tc>
          <w:tcPr>
            <w:tcW w:w="7938" w:type="dxa"/>
          </w:tcPr>
          <w:p w:rsidR="0027218C" w:rsidRDefault="0027218C" w:rsidP="00B34C35">
            <w:pPr>
              <w:pStyle w:val="ListParagraph"/>
              <w:ind w:left="0"/>
              <w:jc w:val="both"/>
              <w:rPr>
                <w:rFonts w:ascii="Arial" w:hAnsi="Arial" w:cs="Arial"/>
                <w:sz w:val="20"/>
                <w:szCs w:val="20"/>
              </w:rPr>
            </w:pPr>
            <w:r w:rsidRPr="006F6D3E">
              <w:rPr>
                <w:rFonts w:ascii="Arial" w:hAnsi="Arial" w:cs="Arial"/>
                <w:sz w:val="20"/>
                <w:szCs w:val="20"/>
              </w:rPr>
              <w:t>The PBAC rejected the submission to list vedolizumab for the treatment of moderate to severe ulcerative colitis on the basis that the evidence presented did not conclusively establish non-inferiority of vedolizumab to infliximab in terms of comparative safety and effectiveness. Therefore a cost-minimisation listing was not able to be supported. The cost-effectiveness of listing vedolizumab compared to placebo was unacceptably high. Further, the cost-effectiveness of listing vedolizumab following treatment failure with 5-aminosalicylate therapies, oral immunosuppressive systemic therapies and an anti-TNF alfa inhibitor, was unknown.</w:t>
            </w:r>
          </w:p>
          <w:p w:rsidR="00C90162" w:rsidRDefault="00C90162" w:rsidP="00B34C35">
            <w:pPr>
              <w:pStyle w:val="ListParagraph"/>
              <w:ind w:left="0"/>
              <w:jc w:val="both"/>
              <w:rPr>
                <w:rFonts w:ascii="Arial" w:hAnsi="Arial" w:cs="Arial"/>
                <w:sz w:val="20"/>
                <w:szCs w:val="20"/>
              </w:rPr>
            </w:pPr>
          </w:p>
          <w:p w:rsidR="00C90162" w:rsidRPr="00D80605" w:rsidRDefault="00C90162" w:rsidP="00D80605">
            <w:pPr>
              <w:jc w:val="both"/>
              <w:rPr>
                <w:rFonts w:ascii="Arial" w:hAnsi="Arial" w:cs="Arial"/>
              </w:rPr>
            </w:pPr>
            <w:r w:rsidRPr="00D80605">
              <w:rPr>
                <w:rFonts w:ascii="Arial" w:hAnsi="Arial" w:cs="Arial"/>
              </w:rPr>
              <w:t>On the basis of direct evidence presented by the submission, for every 100 patients treated with vedolizumab in comparison to placebo</w:t>
            </w:r>
            <w:r w:rsidR="004D29F9">
              <w:rPr>
                <w:rFonts w:ascii="Arial" w:hAnsi="Arial" w:cs="Arial"/>
              </w:rPr>
              <w:t xml:space="preserve"> at the end of the 6 week induction treatment</w:t>
            </w:r>
            <w:r w:rsidRPr="00D80605">
              <w:rPr>
                <w:rFonts w:ascii="Arial" w:hAnsi="Arial" w:cs="Arial"/>
              </w:rPr>
              <w:t>:</w:t>
            </w:r>
          </w:p>
          <w:p w:rsidR="00C90162" w:rsidRPr="00C90162" w:rsidRDefault="00C90162" w:rsidP="00D80605">
            <w:pPr>
              <w:pStyle w:val="ListParagraph"/>
              <w:numPr>
                <w:ilvl w:val="0"/>
                <w:numId w:val="21"/>
              </w:numPr>
              <w:ind w:left="379" w:hanging="284"/>
              <w:jc w:val="both"/>
              <w:rPr>
                <w:rFonts w:ascii="Arial" w:hAnsi="Arial" w:cs="Arial"/>
                <w:sz w:val="20"/>
                <w:szCs w:val="20"/>
              </w:rPr>
            </w:pPr>
            <w:r w:rsidRPr="00C90162">
              <w:rPr>
                <w:rFonts w:ascii="Arial" w:hAnsi="Arial" w:cs="Arial"/>
                <w:sz w:val="20"/>
                <w:szCs w:val="20"/>
              </w:rPr>
              <w:t xml:space="preserve">Approximately 22 additional patients would have clinical response; </w:t>
            </w:r>
          </w:p>
          <w:p w:rsidR="00C90162" w:rsidRPr="00C90162" w:rsidRDefault="00C90162" w:rsidP="00D80605">
            <w:pPr>
              <w:pStyle w:val="ListParagraph"/>
              <w:numPr>
                <w:ilvl w:val="0"/>
                <w:numId w:val="21"/>
              </w:numPr>
              <w:ind w:left="379" w:hanging="284"/>
              <w:jc w:val="both"/>
              <w:rPr>
                <w:rFonts w:ascii="Arial" w:hAnsi="Arial" w:cs="Arial"/>
                <w:sz w:val="20"/>
                <w:szCs w:val="20"/>
              </w:rPr>
            </w:pPr>
            <w:r w:rsidRPr="00C90162">
              <w:rPr>
                <w:rFonts w:ascii="Arial" w:hAnsi="Arial" w:cs="Arial"/>
                <w:sz w:val="20"/>
                <w:szCs w:val="20"/>
              </w:rPr>
              <w:t>Approximately 12 additional patients would have clinical remission; and</w:t>
            </w:r>
          </w:p>
          <w:p w:rsidR="00C90162" w:rsidRDefault="00C90162" w:rsidP="00D80605">
            <w:pPr>
              <w:pStyle w:val="ListParagraph"/>
              <w:numPr>
                <w:ilvl w:val="0"/>
                <w:numId w:val="21"/>
              </w:numPr>
              <w:ind w:left="379" w:hanging="284"/>
              <w:jc w:val="both"/>
              <w:rPr>
                <w:rFonts w:ascii="Arial" w:hAnsi="Arial" w:cs="Arial"/>
                <w:sz w:val="20"/>
                <w:szCs w:val="20"/>
              </w:rPr>
            </w:pPr>
            <w:r w:rsidRPr="00C90162">
              <w:rPr>
                <w:rFonts w:ascii="Arial" w:hAnsi="Arial" w:cs="Arial"/>
                <w:sz w:val="20"/>
                <w:szCs w:val="20"/>
              </w:rPr>
              <w:t xml:space="preserve">There is potentially no difference in the number of patients experiencing any </w:t>
            </w:r>
            <w:r w:rsidRPr="00C90162">
              <w:rPr>
                <w:rFonts w:ascii="Arial" w:hAnsi="Arial" w:cs="Arial"/>
                <w:sz w:val="20"/>
                <w:szCs w:val="20"/>
              </w:rPr>
              <w:lastRenderedPageBreak/>
              <w:t>adverse event.</w:t>
            </w:r>
          </w:p>
          <w:p w:rsidR="00C90162" w:rsidRDefault="00C90162" w:rsidP="00C90162">
            <w:pPr>
              <w:pStyle w:val="ListParagraph"/>
              <w:ind w:left="0"/>
              <w:jc w:val="both"/>
              <w:rPr>
                <w:rFonts w:ascii="Arial" w:hAnsi="Arial" w:cs="Arial"/>
                <w:sz w:val="20"/>
                <w:szCs w:val="20"/>
              </w:rPr>
            </w:pPr>
          </w:p>
          <w:p w:rsidR="00C90162" w:rsidRPr="00D80605" w:rsidRDefault="00C90162" w:rsidP="00B34C35">
            <w:pPr>
              <w:pStyle w:val="ListParagraph"/>
              <w:ind w:left="0"/>
              <w:jc w:val="both"/>
              <w:rPr>
                <w:rFonts w:ascii="Arial" w:eastAsia="Times New Roman" w:hAnsi="Arial" w:cs="Arial"/>
                <w:sz w:val="20"/>
                <w:szCs w:val="20"/>
              </w:rPr>
            </w:pPr>
            <w:r w:rsidRPr="00D80605">
              <w:rPr>
                <w:rFonts w:ascii="Arial" w:eastAsia="Times New Roman" w:hAnsi="Arial" w:cs="Arial"/>
                <w:sz w:val="20"/>
                <w:szCs w:val="20"/>
              </w:rPr>
              <w:t>On the basis of the indirect comparison evidence presented by the submission for every 100 patients treated with vedolizumab in comparison to adalimumab for a maximum duration of 52 weeks, approximately the same number of patients would have clinical remission and adverse events.</w:t>
            </w:r>
          </w:p>
          <w:p w:rsidR="00C90162" w:rsidRDefault="00C90162" w:rsidP="00B34C35">
            <w:pPr>
              <w:pStyle w:val="ListParagraph"/>
              <w:ind w:left="0"/>
              <w:jc w:val="both"/>
              <w:rPr>
                <w:rFonts w:ascii="Arial" w:hAnsi="Arial" w:cs="Arial"/>
                <w:sz w:val="20"/>
                <w:szCs w:val="20"/>
              </w:rPr>
            </w:pPr>
          </w:p>
          <w:p w:rsidR="00C90162" w:rsidRPr="00D80605" w:rsidRDefault="00C90162" w:rsidP="00D80605">
            <w:pPr>
              <w:contextualSpacing/>
              <w:jc w:val="both"/>
              <w:rPr>
                <w:rFonts w:ascii="Arial" w:hAnsi="Arial" w:cs="Arial"/>
              </w:rPr>
            </w:pPr>
            <w:r w:rsidRPr="00D80605">
              <w:rPr>
                <w:rFonts w:ascii="Arial" w:hAnsi="Arial" w:cs="Arial"/>
              </w:rPr>
              <w:t>On the basis of the indirect comparison evidence presented by the submission, for every 100 patients treated with vedolizumab in comparison to infliximab over a maximum duration of exposure of 52 weeks, approximately the same number of patients would have clinical remission and adverse events.</w:t>
            </w:r>
          </w:p>
          <w:p w:rsidR="00C90162" w:rsidRPr="006F6D3E" w:rsidRDefault="00C90162" w:rsidP="00B34C35">
            <w:pPr>
              <w:pStyle w:val="ListParagraph"/>
              <w:ind w:left="0"/>
              <w:jc w:val="both"/>
              <w:rPr>
                <w:rFonts w:ascii="Arial" w:hAnsi="Arial" w:cs="Arial"/>
                <w:sz w:val="20"/>
                <w:szCs w:val="20"/>
              </w:rPr>
            </w:pPr>
          </w:p>
        </w:tc>
      </w:tr>
      <w:tr w:rsidR="0027218C" w:rsidRPr="006F6D3E" w:rsidTr="00B61B56">
        <w:trPr>
          <w:trHeight w:val="294"/>
        </w:trPr>
        <w:tc>
          <w:tcPr>
            <w:tcW w:w="2552" w:type="dxa"/>
            <w:vMerge/>
            <w:tcMar>
              <w:top w:w="28" w:type="dxa"/>
              <w:bottom w:w="28" w:type="dxa"/>
            </w:tcMar>
          </w:tcPr>
          <w:p w:rsidR="0027218C" w:rsidRPr="006F6D3E" w:rsidRDefault="0027218C" w:rsidP="007D7729">
            <w:pPr>
              <w:pStyle w:val="NormalWeb"/>
              <w:spacing w:before="0" w:beforeAutospacing="0" w:after="0" w:afterAutospacing="0"/>
              <w:contextualSpacing/>
              <w:textAlignment w:val="baseline"/>
              <w:rPr>
                <w:rFonts w:ascii="Arial" w:hAnsi="Arial" w:cs="Arial"/>
                <w:sz w:val="20"/>
                <w:szCs w:val="20"/>
              </w:rPr>
            </w:pPr>
          </w:p>
        </w:tc>
        <w:tc>
          <w:tcPr>
            <w:tcW w:w="1701" w:type="dxa"/>
            <w:vMerge/>
          </w:tcPr>
          <w:p w:rsidR="0027218C" w:rsidRPr="006F6D3E" w:rsidRDefault="0027218C" w:rsidP="007D7729">
            <w:pPr>
              <w:pStyle w:val="NormalWeb"/>
              <w:spacing w:before="0" w:beforeAutospacing="0" w:after="0" w:afterAutospacing="0"/>
              <w:contextualSpacing/>
              <w:textAlignment w:val="baseline"/>
              <w:rPr>
                <w:rFonts w:ascii="Arial" w:hAnsi="Arial" w:cs="Arial"/>
                <w:sz w:val="20"/>
                <w:szCs w:val="20"/>
              </w:rPr>
            </w:pPr>
          </w:p>
        </w:tc>
        <w:tc>
          <w:tcPr>
            <w:tcW w:w="3402" w:type="dxa"/>
            <w:tcMar>
              <w:top w:w="28" w:type="dxa"/>
              <w:bottom w:w="28" w:type="dxa"/>
            </w:tcMar>
          </w:tcPr>
          <w:p w:rsidR="0027218C" w:rsidRPr="006F6D3E" w:rsidRDefault="0027218C" w:rsidP="007D7729">
            <w:pPr>
              <w:pStyle w:val="NormalWeb"/>
              <w:spacing w:before="0" w:beforeAutospacing="0" w:after="0" w:afterAutospacing="0"/>
              <w:contextualSpacing/>
              <w:jc w:val="right"/>
              <w:textAlignment w:val="baseline"/>
              <w:rPr>
                <w:rFonts w:ascii="Arial" w:hAnsi="Arial" w:cs="Arial"/>
                <w:sz w:val="20"/>
                <w:szCs w:val="20"/>
              </w:rPr>
            </w:pPr>
            <w:r w:rsidRPr="006F6D3E">
              <w:rPr>
                <w:rFonts w:ascii="Arial" w:hAnsi="Arial" w:cs="Arial"/>
                <w:sz w:val="20"/>
                <w:szCs w:val="20"/>
              </w:rPr>
              <w:t>Sponsor Comment:</w:t>
            </w:r>
          </w:p>
        </w:tc>
        <w:tc>
          <w:tcPr>
            <w:tcW w:w="7938" w:type="dxa"/>
          </w:tcPr>
          <w:p w:rsidR="0027218C" w:rsidRPr="007F10D0" w:rsidRDefault="007F10D0" w:rsidP="007D7729">
            <w:pPr>
              <w:pStyle w:val="ListParagraph"/>
              <w:ind w:left="0"/>
              <w:jc w:val="both"/>
              <w:rPr>
                <w:rFonts w:ascii="Arial" w:hAnsi="Arial" w:cs="Arial"/>
                <w:sz w:val="20"/>
                <w:szCs w:val="20"/>
              </w:rPr>
            </w:pPr>
            <w:r w:rsidRPr="007F10D0">
              <w:rPr>
                <w:rFonts w:ascii="Arial" w:hAnsi="Arial" w:cs="Arial"/>
                <w:sz w:val="20"/>
              </w:rPr>
              <w:t xml:space="preserve">The sponsor will be considering its position regarding any future course of action. </w:t>
            </w:r>
          </w:p>
        </w:tc>
      </w:tr>
      <w:tr w:rsidR="00511FF2" w:rsidRPr="006F6D3E" w:rsidTr="00B61B56">
        <w:trPr>
          <w:trHeight w:val="294"/>
        </w:trPr>
        <w:tc>
          <w:tcPr>
            <w:tcW w:w="2552" w:type="dxa"/>
            <w:vMerge w:val="restart"/>
            <w:tcMar>
              <w:top w:w="28" w:type="dxa"/>
              <w:bottom w:w="28" w:type="dxa"/>
            </w:tcMar>
          </w:tcPr>
          <w:p w:rsidR="00511FF2" w:rsidRPr="006F6D3E" w:rsidRDefault="00511FF2">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VORTIOXETINE, tablets, 5 mg 10 mg , 15 mg and 20 mg, Brintellix® </w:t>
            </w:r>
          </w:p>
          <w:p w:rsidR="00511FF2" w:rsidRPr="006F6D3E" w:rsidRDefault="00511FF2">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Lundbeck Australia Pty Ltd</w:t>
            </w:r>
          </w:p>
          <w:p w:rsidR="00511FF2" w:rsidRPr="006F6D3E" w:rsidRDefault="00511FF2">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New listing</w:t>
            </w:r>
          </w:p>
          <w:p w:rsidR="00511FF2" w:rsidRPr="006F6D3E" w:rsidRDefault="00511FF2">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(Major submission)</w:t>
            </w:r>
          </w:p>
        </w:tc>
        <w:tc>
          <w:tcPr>
            <w:tcW w:w="1701" w:type="dxa"/>
            <w:vMerge w:val="restart"/>
          </w:tcPr>
          <w:p w:rsidR="00511FF2" w:rsidRPr="006F6D3E" w:rsidRDefault="00511FF2">
            <w:pPr>
              <w:pStyle w:val="NormalWeb"/>
              <w:spacing w:before="240" w:beforeAutospacing="0" w:after="240" w:afterAutospacing="0"/>
              <w:textAlignment w:val="baseline"/>
              <w:rPr>
                <w:rFonts w:ascii="Arial" w:hAnsi="Arial" w:cs="Arial"/>
                <w:sz w:val="20"/>
                <w:szCs w:val="20"/>
              </w:rPr>
            </w:pPr>
            <w:r w:rsidRPr="006F6D3E">
              <w:rPr>
                <w:rFonts w:ascii="Arial" w:hAnsi="Arial" w:cs="Arial"/>
                <w:sz w:val="20"/>
                <w:szCs w:val="20"/>
              </w:rPr>
              <w:t>Major depressive disorders </w:t>
            </w:r>
          </w:p>
        </w:tc>
        <w:tc>
          <w:tcPr>
            <w:tcW w:w="3402" w:type="dxa"/>
            <w:tcMar>
              <w:top w:w="28" w:type="dxa"/>
              <w:bottom w:w="28" w:type="dxa"/>
            </w:tcMar>
          </w:tcPr>
          <w:p w:rsidR="00511FF2" w:rsidRPr="006F6D3E" w:rsidRDefault="00511FF2" w:rsidP="00511FF2">
            <w:pPr>
              <w:pStyle w:val="NormalWeb"/>
              <w:spacing w:before="240" w:beforeAutospacing="0" w:after="240" w:afterAutospacing="0"/>
              <w:jc w:val="both"/>
              <w:textAlignment w:val="baseline"/>
              <w:rPr>
                <w:rFonts w:ascii="Arial" w:hAnsi="Arial" w:cs="Arial"/>
                <w:sz w:val="20"/>
                <w:szCs w:val="20"/>
              </w:rPr>
            </w:pPr>
            <w:r w:rsidRPr="006F6D3E">
              <w:rPr>
                <w:rFonts w:ascii="Arial" w:hAnsi="Arial" w:cs="Arial"/>
                <w:sz w:val="20"/>
                <w:szCs w:val="20"/>
              </w:rPr>
              <w:t>Authority required listing for treatment of major depression disorder  in patients aged 18 years or older who have failed to respond to, or are intolerant/contraindicated to other antidepressant therapy</w:t>
            </w:r>
          </w:p>
        </w:tc>
        <w:tc>
          <w:tcPr>
            <w:tcW w:w="7938" w:type="dxa"/>
          </w:tcPr>
          <w:p w:rsidR="00511FF2" w:rsidRDefault="00511FF2" w:rsidP="00B32D08">
            <w:pPr>
              <w:jc w:val="both"/>
              <w:rPr>
                <w:rFonts w:ascii="Arial" w:hAnsi="Arial" w:cs="Arial"/>
              </w:rPr>
            </w:pPr>
            <w:r w:rsidRPr="006F6D3E">
              <w:rPr>
                <w:rFonts w:ascii="Arial" w:hAnsi="Arial" w:cs="Arial"/>
              </w:rPr>
              <w:t xml:space="preserve">The PBAC rejected the submission on the basis that the clinical place of vortioxetine relative to </w:t>
            </w:r>
            <w:r w:rsidR="00C90162" w:rsidRPr="00C90162">
              <w:rPr>
                <w:rFonts w:ascii="Arial" w:hAnsi="Arial" w:cs="Arial"/>
              </w:rPr>
              <w:t xml:space="preserve">Serotonin </w:t>
            </w:r>
            <w:r w:rsidR="00E730FA">
              <w:rPr>
                <w:rFonts w:ascii="Arial" w:hAnsi="Arial" w:cs="Arial"/>
              </w:rPr>
              <w:t>Serotonin</w:t>
            </w:r>
            <w:r w:rsidR="00C90162" w:rsidRPr="00C90162">
              <w:rPr>
                <w:rFonts w:ascii="Arial" w:hAnsi="Arial" w:cs="Arial"/>
              </w:rPr>
              <w:t xml:space="preserve"> Reuptake Inhibitors (S</w:t>
            </w:r>
            <w:r w:rsidR="00E730FA">
              <w:rPr>
                <w:rFonts w:ascii="Arial" w:hAnsi="Arial" w:cs="Arial"/>
              </w:rPr>
              <w:t>S</w:t>
            </w:r>
            <w:r w:rsidR="00C90162" w:rsidRPr="00C90162">
              <w:rPr>
                <w:rFonts w:ascii="Arial" w:hAnsi="Arial" w:cs="Arial"/>
              </w:rPr>
              <w:t>RIs)</w:t>
            </w:r>
            <w:r w:rsidRPr="006F6D3E">
              <w:rPr>
                <w:rFonts w:ascii="Arial" w:hAnsi="Arial" w:cs="Arial"/>
              </w:rPr>
              <w:t xml:space="preserve"> and </w:t>
            </w:r>
            <w:r w:rsidR="00C90162" w:rsidRPr="00C90162">
              <w:rPr>
                <w:rFonts w:ascii="Arial" w:hAnsi="Arial" w:cs="Arial"/>
              </w:rPr>
              <w:t xml:space="preserve">Serotonin </w:t>
            </w:r>
            <w:r w:rsidR="00C90162">
              <w:rPr>
                <w:rFonts w:ascii="Arial" w:hAnsi="Arial" w:cs="Arial"/>
              </w:rPr>
              <w:t>N</w:t>
            </w:r>
            <w:r w:rsidR="00C90162" w:rsidRPr="00C90162">
              <w:rPr>
                <w:rFonts w:ascii="Arial" w:hAnsi="Arial" w:cs="Arial"/>
              </w:rPr>
              <w:t xml:space="preserve">oradrenaline </w:t>
            </w:r>
            <w:r w:rsidR="00C90162">
              <w:rPr>
                <w:rFonts w:ascii="Arial" w:hAnsi="Arial" w:cs="Arial"/>
              </w:rPr>
              <w:t>R</w:t>
            </w:r>
            <w:r w:rsidR="00C90162" w:rsidRPr="00C90162">
              <w:rPr>
                <w:rFonts w:ascii="Arial" w:hAnsi="Arial" w:cs="Arial"/>
              </w:rPr>
              <w:t xml:space="preserve">euptake </w:t>
            </w:r>
            <w:r w:rsidR="00C90162">
              <w:rPr>
                <w:rFonts w:ascii="Arial" w:hAnsi="Arial" w:cs="Arial"/>
              </w:rPr>
              <w:t>I</w:t>
            </w:r>
            <w:r w:rsidR="00C90162" w:rsidRPr="00C90162">
              <w:rPr>
                <w:rFonts w:ascii="Arial" w:hAnsi="Arial" w:cs="Arial"/>
              </w:rPr>
              <w:t xml:space="preserve">nhibitors </w:t>
            </w:r>
            <w:r w:rsidR="00C90162">
              <w:rPr>
                <w:rFonts w:ascii="Arial" w:hAnsi="Arial" w:cs="Arial"/>
              </w:rPr>
              <w:t>(</w:t>
            </w:r>
            <w:r w:rsidRPr="006F6D3E">
              <w:rPr>
                <w:rFonts w:ascii="Arial" w:hAnsi="Arial" w:cs="Arial"/>
              </w:rPr>
              <w:t>SNRIs</w:t>
            </w:r>
            <w:r w:rsidR="00C90162">
              <w:rPr>
                <w:rFonts w:ascii="Arial" w:hAnsi="Arial" w:cs="Arial"/>
              </w:rPr>
              <w:t>)</w:t>
            </w:r>
            <w:r w:rsidRPr="006F6D3E">
              <w:rPr>
                <w:rFonts w:ascii="Arial" w:hAnsi="Arial" w:cs="Arial"/>
              </w:rPr>
              <w:t xml:space="preserve"> was unclear and on the basis that the PBAC did not accept the claim of non-inferiority of vortioxetine compared to duloxetine. Therefore, the cost-minimisation analysis against desvenlafaxine alone and the pre-PBAC response’s proposal to list vortioxetine on a cost-minimisation basis against a weighted SNRI </w:t>
            </w:r>
            <w:r w:rsidR="007977AD" w:rsidRPr="006F6D3E">
              <w:rPr>
                <w:rFonts w:ascii="Arial" w:hAnsi="Arial" w:cs="Arial"/>
              </w:rPr>
              <w:t>class</w:t>
            </w:r>
            <w:r w:rsidRPr="006F6D3E">
              <w:rPr>
                <w:rFonts w:ascii="Arial" w:hAnsi="Arial" w:cs="Arial"/>
              </w:rPr>
              <w:t xml:space="preserve"> were not accepted.  In its consideration of the relevant comparator, the PBAC was of the view that there was insufficient reason to exclude SSRIs from an economic comparison which consequently did not support a cost-minimisation analysis of vortioxetine against a weighted SNRI class of drugs. </w:t>
            </w:r>
          </w:p>
          <w:p w:rsidR="00C90162" w:rsidRDefault="00C90162" w:rsidP="00B32D08">
            <w:pPr>
              <w:jc w:val="both"/>
              <w:rPr>
                <w:rFonts w:ascii="Arial" w:hAnsi="Arial" w:cs="Arial"/>
              </w:rPr>
            </w:pPr>
          </w:p>
          <w:p w:rsidR="00C90162" w:rsidRPr="00D80605" w:rsidRDefault="00C90162" w:rsidP="00D80605">
            <w:pPr>
              <w:contextualSpacing/>
              <w:jc w:val="both"/>
              <w:rPr>
                <w:rFonts w:ascii="Arial" w:hAnsi="Arial" w:cs="Arial"/>
              </w:rPr>
            </w:pPr>
            <w:r w:rsidRPr="00D80605">
              <w:rPr>
                <w:rFonts w:ascii="Arial" w:hAnsi="Arial" w:cs="Arial"/>
              </w:rPr>
              <w:t>On the basis of direct evidence presented by the submission, the comparison of vortioxetine and venlafaxine resulted in:</w:t>
            </w:r>
          </w:p>
          <w:p w:rsidR="00C90162" w:rsidRPr="00D80605" w:rsidRDefault="00C90162" w:rsidP="00D80605">
            <w:pPr>
              <w:pStyle w:val="ListParagraph"/>
              <w:numPr>
                <w:ilvl w:val="0"/>
                <w:numId w:val="21"/>
              </w:numPr>
              <w:ind w:left="379" w:hanging="284"/>
              <w:jc w:val="both"/>
              <w:rPr>
                <w:rFonts w:ascii="Arial" w:hAnsi="Arial" w:cs="Arial"/>
                <w:sz w:val="20"/>
              </w:rPr>
            </w:pPr>
            <w:r w:rsidRPr="00D80605">
              <w:rPr>
                <w:rFonts w:ascii="Arial" w:eastAsia="Times New Roman" w:hAnsi="Arial" w:cs="Arial"/>
                <w:sz w:val="20"/>
                <w:szCs w:val="20"/>
              </w:rPr>
              <w:t xml:space="preserve">No statistically significant difference in change on the MADRS </w:t>
            </w:r>
            <w:r w:rsidR="00E730FA" w:rsidRPr="00D80605">
              <w:rPr>
                <w:rFonts w:ascii="Arial" w:eastAsia="Times New Roman" w:hAnsi="Arial" w:cs="Arial"/>
                <w:sz w:val="20"/>
                <w:szCs w:val="20"/>
              </w:rPr>
              <w:t xml:space="preserve">(Montgomery–Åsberg Depression Rating Scale </w:t>
            </w:r>
            <w:r w:rsidRPr="00D80605">
              <w:rPr>
                <w:rFonts w:ascii="Arial" w:eastAsia="Times New Roman" w:hAnsi="Arial" w:cs="Arial"/>
                <w:sz w:val="20"/>
                <w:szCs w:val="20"/>
              </w:rPr>
              <w:t>scale</w:t>
            </w:r>
            <w:r w:rsidR="00E730FA" w:rsidRPr="00D80605">
              <w:rPr>
                <w:rFonts w:ascii="Arial" w:eastAsia="Times New Roman" w:hAnsi="Arial" w:cs="Arial"/>
                <w:sz w:val="20"/>
                <w:szCs w:val="20"/>
              </w:rPr>
              <w:t>)</w:t>
            </w:r>
            <w:r w:rsidRPr="00D80605">
              <w:rPr>
                <w:rFonts w:ascii="Arial" w:eastAsia="Times New Roman" w:hAnsi="Arial" w:cs="Arial"/>
                <w:sz w:val="20"/>
                <w:szCs w:val="20"/>
              </w:rPr>
              <w:t xml:space="preserve"> over the trial period (six to eight weeks). It is considered that a reduction of 1.6 to 1.9 is clinically significant. </w:t>
            </w:r>
          </w:p>
          <w:p w:rsidR="00E730FA" w:rsidRPr="00D80605" w:rsidRDefault="00E730FA" w:rsidP="00D80605">
            <w:pPr>
              <w:jc w:val="both"/>
              <w:rPr>
                <w:rFonts w:ascii="Arial" w:hAnsi="Arial" w:cs="Arial"/>
              </w:rPr>
            </w:pPr>
          </w:p>
          <w:p w:rsidR="00C90162" w:rsidRPr="00D80605" w:rsidRDefault="00C90162" w:rsidP="00D80605">
            <w:pPr>
              <w:jc w:val="both"/>
              <w:rPr>
                <w:rFonts w:ascii="Arial" w:hAnsi="Arial" w:cs="Arial"/>
              </w:rPr>
            </w:pPr>
            <w:r w:rsidRPr="00D80605">
              <w:rPr>
                <w:rFonts w:ascii="Arial" w:hAnsi="Arial" w:cs="Arial"/>
              </w:rPr>
              <w:t>On the basis of direct evidence presented by the submission, the comparison of vortioxetine and duloxetine resulted in:</w:t>
            </w:r>
          </w:p>
          <w:p w:rsidR="00C90162" w:rsidRPr="00D80605" w:rsidRDefault="00C90162" w:rsidP="00D80605">
            <w:pPr>
              <w:pStyle w:val="ListParagraph"/>
              <w:numPr>
                <w:ilvl w:val="0"/>
                <w:numId w:val="21"/>
              </w:numPr>
              <w:ind w:left="379" w:hanging="284"/>
              <w:jc w:val="both"/>
              <w:rPr>
                <w:rFonts w:ascii="Arial" w:hAnsi="Arial" w:cs="Arial"/>
                <w:sz w:val="20"/>
              </w:rPr>
            </w:pPr>
            <w:r w:rsidRPr="00D80605">
              <w:rPr>
                <w:rFonts w:ascii="Arial" w:eastAsia="Times New Roman" w:hAnsi="Arial" w:cs="Arial"/>
                <w:sz w:val="20"/>
                <w:szCs w:val="20"/>
              </w:rPr>
              <w:t>A</w:t>
            </w:r>
            <w:r w:rsidR="00350EFF">
              <w:rPr>
                <w:rFonts w:ascii="Arial" w:eastAsia="Times New Roman" w:hAnsi="Arial" w:cs="Arial"/>
                <w:sz w:val="20"/>
                <w:szCs w:val="20"/>
              </w:rPr>
              <w:t xml:space="preserve">n </w:t>
            </w:r>
            <w:r w:rsidRPr="00D80605">
              <w:rPr>
                <w:rFonts w:ascii="Arial" w:eastAsia="Times New Roman" w:hAnsi="Arial" w:cs="Arial"/>
                <w:sz w:val="20"/>
                <w:szCs w:val="20"/>
              </w:rPr>
              <w:t>increase (favouring duloxetine) in baseline change on the MADRS scale over the trial period (six to eight weeks). It is considered that a change of 1.6 to 1.9 is clinically significant.</w:t>
            </w:r>
            <w:r w:rsidR="00F01B56">
              <w:rPr>
                <w:rFonts w:ascii="Arial" w:eastAsia="Times New Roman" w:hAnsi="Arial" w:cs="Arial"/>
                <w:sz w:val="20"/>
                <w:szCs w:val="20"/>
              </w:rPr>
              <w:t xml:space="preserve"> </w:t>
            </w:r>
          </w:p>
          <w:p w:rsidR="00C90162" w:rsidRPr="00D80605" w:rsidRDefault="00C90162" w:rsidP="00C90162">
            <w:pPr>
              <w:widowControl w:val="0"/>
              <w:ind w:left="1134"/>
              <w:contextualSpacing/>
              <w:jc w:val="both"/>
              <w:rPr>
                <w:rFonts w:ascii="Arial" w:hAnsi="Arial" w:cs="Arial"/>
              </w:rPr>
            </w:pPr>
          </w:p>
          <w:p w:rsidR="00C90162" w:rsidRPr="00D80605" w:rsidRDefault="00C90162" w:rsidP="00D80605">
            <w:pPr>
              <w:contextualSpacing/>
              <w:jc w:val="both"/>
              <w:rPr>
                <w:rFonts w:ascii="Arial" w:hAnsi="Arial" w:cs="Arial"/>
              </w:rPr>
            </w:pPr>
            <w:r w:rsidRPr="00D80605">
              <w:rPr>
                <w:rFonts w:ascii="Arial" w:hAnsi="Arial" w:cs="Arial"/>
              </w:rPr>
              <w:t xml:space="preserve">Based on these trials and the most favourable results for vortioxetine, for every </w:t>
            </w:r>
            <w:r w:rsidRPr="00D80605">
              <w:rPr>
                <w:rFonts w:ascii="Arial" w:hAnsi="Arial" w:cs="Arial"/>
              </w:rPr>
              <w:lastRenderedPageBreak/>
              <w:t>100 patients treated with vortioxetine compared to venlafaxine:</w:t>
            </w:r>
          </w:p>
          <w:p w:rsidR="00C90162" w:rsidRPr="00D80605" w:rsidRDefault="00C90162" w:rsidP="00D80605">
            <w:pPr>
              <w:pStyle w:val="ListParagraph"/>
              <w:numPr>
                <w:ilvl w:val="0"/>
                <w:numId w:val="21"/>
              </w:numPr>
              <w:ind w:left="379" w:hanging="284"/>
              <w:jc w:val="both"/>
              <w:rPr>
                <w:rFonts w:ascii="Arial" w:hAnsi="Arial" w:cs="Arial"/>
                <w:sz w:val="20"/>
                <w:szCs w:val="20"/>
              </w:rPr>
            </w:pPr>
            <w:r w:rsidRPr="00D80605">
              <w:rPr>
                <w:rFonts w:ascii="Arial" w:eastAsia="Times New Roman" w:hAnsi="Arial" w:cs="Arial"/>
                <w:sz w:val="20"/>
                <w:szCs w:val="20"/>
              </w:rPr>
              <w:t>Up to 3 fewer patients would experience a serious adverse event (based on Trial 13926A)</w:t>
            </w:r>
            <w:r w:rsidR="00E730FA" w:rsidRPr="00D80605">
              <w:rPr>
                <w:rFonts w:ascii="Arial" w:eastAsia="Times New Roman" w:hAnsi="Arial" w:cs="Arial"/>
                <w:sz w:val="20"/>
                <w:szCs w:val="20"/>
              </w:rPr>
              <w:t>;</w:t>
            </w:r>
          </w:p>
          <w:p w:rsidR="00C90162" w:rsidRPr="00D80605" w:rsidRDefault="00C90162" w:rsidP="00D80605">
            <w:pPr>
              <w:pStyle w:val="ListParagraph"/>
              <w:numPr>
                <w:ilvl w:val="0"/>
                <w:numId w:val="21"/>
              </w:numPr>
              <w:ind w:left="379" w:hanging="284"/>
              <w:jc w:val="both"/>
              <w:rPr>
                <w:rFonts w:ascii="Arial" w:hAnsi="Arial" w:cs="Arial"/>
                <w:sz w:val="20"/>
                <w:szCs w:val="20"/>
              </w:rPr>
            </w:pPr>
            <w:r w:rsidRPr="00D80605">
              <w:rPr>
                <w:rFonts w:ascii="Arial" w:eastAsia="Times New Roman" w:hAnsi="Arial" w:cs="Arial"/>
                <w:sz w:val="20"/>
                <w:szCs w:val="20"/>
              </w:rPr>
              <w:t>Up to 9 fewer patients would experience an adverse event leading to withdrawal from treatment (based on Trial 11492A)</w:t>
            </w:r>
            <w:r w:rsidR="00E730FA" w:rsidRPr="00D80605">
              <w:rPr>
                <w:rFonts w:ascii="Arial" w:eastAsia="Times New Roman" w:hAnsi="Arial" w:cs="Arial"/>
                <w:sz w:val="20"/>
                <w:szCs w:val="20"/>
              </w:rPr>
              <w:t>.</w:t>
            </w:r>
            <w:r w:rsidRPr="00D80605">
              <w:rPr>
                <w:rFonts w:ascii="Arial" w:eastAsia="Times New Roman" w:hAnsi="Arial" w:cs="Arial"/>
                <w:sz w:val="20"/>
                <w:szCs w:val="20"/>
              </w:rPr>
              <w:t xml:space="preserve"> </w:t>
            </w:r>
          </w:p>
          <w:p w:rsidR="00C90162" w:rsidRPr="00D80605" w:rsidRDefault="00C90162" w:rsidP="00C90162">
            <w:pPr>
              <w:rPr>
                <w:rFonts w:ascii="Arial" w:hAnsi="Arial" w:cs="Arial"/>
              </w:rPr>
            </w:pPr>
          </w:p>
          <w:p w:rsidR="00C90162" w:rsidRPr="00D80605" w:rsidRDefault="00C90162" w:rsidP="00D80605">
            <w:pPr>
              <w:contextualSpacing/>
              <w:jc w:val="both"/>
              <w:rPr>
                <w:rFonts w:ascii="Arial" w:hAnsi="Arial" w:cs="Arial"/>
              </w:rPr>
            </w:pPr>
            <w:r w:rsidRPr="00D80605">
              <w:rPr>
                <w:rFonts w:ascii="Arial" w:hAnsi="Arial" w:cs="Arial"/>
              </w:rPr>
              <w:t>Based on these trials and the most favourable results for vortioxetine, for every 100 patients treated with vortioxetine compared to duloxetine:</w:t>
            </w:r>
          </w:p>
          <w:p w:rsidR="00C90162" w:rsidRPr="00D80605" w:rsidRDefault="00C90162" w:rsidP="00D80605">
            <w:pPr>
              <w:pStyle w:val="ListParagraph"/>
              <w:numPr>
                <w:ilvl w:val="0"/>
                <w:numId w:val="21"/>
              </w:numPr>
              <w:ind w:left="379" w:hanging="284"/>
              <w:jc w:val="both"/>
              <w:rPr>
                <w:rFonts w:ascii="Arial" w:hAnsi="Arial" w:cs="Arial"/>
                <w:sz w:val="20"/>
                <w:szCs w:val="20"/>
              </w:rPr>
            </w:pPr>
            <w:r w:rsidRPr="00D80605">
              <w:rPr>
                <w:rFonts w:ascii="Arial" w:eastAsia="Times New Roman" w:hAnsi="Arial" w:cs="Arial"/>
                <w:sz w:val="20"/>
                <w:szCs w:val="20"/>
              </w:rPr>
              <w:t>Up to 2 less patients would experience a serious adverse event  (based on Trial 13267A)</w:t>
            </w:r>
            <w:r w:rsidR="00E730FA" w:rsidRPr="00D80605">
              <w:rPr>
                <w:rFonts w:ascii="Arial" w:eastAsia="Times New Roman" w:hAnsi="Arial" w:cs="Arial"/>
                <w:sz w:val="20"/>
                <w:szCs w:val="20"/>
              </w:rPr>
              <w:t>;</w:t>
            </w:r>
          </w:p>
          <w:p w:rsidR="00C90162" w:rsidRPr="00D80605" w:rsidRDefault="00C90162" w:rsidP="00D80605">
            <w:pPr>
              <w:pStyle w:val="ListParagraph"/>
              <w:numPr>
                <w:ilvl w:val="0"/>
                <w:numId w:val="21"/>
              </w:numPr>
              <w:ind w:left="379" w:hanging="284"/>
              <w:jc w:val="both"/>
              <w:rPr>
                <w:rFonts w:ascii="Arial" w:hAnsi="Arial" w:cs="Arial"/>
                <w:sz w:val="20"/>
                <w:szCs w:val="20"/>
              </w:rPr>
            </w:pPr>
            <w:r w:rsidRPr="00D80605">
              <w:rPr>
                <w:rFonts w:ascii="Arial" w:eastAsia="Times New Roman" w:hAnsi="Arial" w:cs="Arial"/>
                <w:sz w:val="20"/>
                <w:szCs w:val="20"/>
              </w:rPr>
              <w:t>Up to 4 less patients would experience an adverse event leading to withdrawal from treatment (based on Trial 12541A)</w:t>
            </w:r>
            <w:r w:rsidR="00E730FA" w:rsidRPr="00D80605">
              <w:rPr>
                <w:rFonts w:ascii="Arial" w:eastAsia="Times New Roman" w:hAnsi="Arial" w:cs="Arial"/>
                <w:sz w:val="20"/>
                <w:szCs w:val="20"/>
              </w:rPr>
              <w:t>.</w:t>
            </w:r>
            <w:r w:rsidRPr="00D80605">
              <w:rPr>
                <w:rFonts w:ascii="Arial" w:eastAsia="Times New Roman" w:hAnsi="Arial" w:cs="Arial"/>
                <w:sz w:val="20"/>
                <w:szCs w:val="20"/>
              </w:rPr>
              <w:t xml:space="preserve"> </w:t>
            </w:r>
          </w:p>
          <w:p w:rsidR="00511FF2" w:rsidRPr="006F6D3E" w:rsidRDefault="00511FF2" w:rsidP="00B34C35">
            <w:pPr>
              <w:pStyle w:val="ListParagraph"/>
              <w:ind w:left="0"/>
              <w:jc w:val="both"/>
              <w:rPr>
                <w:rFonts w:ascii="Arial" w:hAnsi="Arial" w:cs="Arial"/>
                <w:sz w:val="20"/>
                <w:szCs w:val="20"/>
              </w:rPr>
            </w:pPr>
          </w:p>
        </w:tc>
      </w:tr>
      <w:tr w:rsidR="00511FF2" w:rsidRPr="006F6D3E" w:rsidTr="00B61B56">
        <w:trPr>
          <w:trHeight w:val="260"/>
        </w:trPr>
        <w:tc>
          <w:tcPr>
            <w:tcW w:w="2552" w:type="dxa"/>
            <w:vMerge/>
            <w:tcMar>
              <w:top w:w="28" w:type="dxa"/>
              <w:bottom w:w="28" w:type="dxa"/>
            </w:tcMar>
          </w:tcPr>
          <w:p w:rsidR="00511FF2" w:rsidRPr="006F6D3E" w:rsidRDefault="00511FF2" w:rsidP="007D7729">
            <w:pPr>
              <w:pStyle w:val="NormalWeb"/>
              <w:spacing w:before="0" w:beforeAutospacing="0" w:after="0" w:afterAutospacing="0"/>
              <w:contextualSpacing/>
              <w:textAlignment w:val="baseline"/>
              <w:rPr>
                <w:rFonts w:ascii="Arial" w:hAnsi="Arial" w:cs="Arial"/>
                <w:sz w:val="20"/>
                <w:szCs w:val="20"/>
              </w:rPr>
            </w:pPr>
          </w:p>
        </w:tc>
        <w:tc>
          <w:tcPr>
            <w:tcW w:w="1701" w:type="dxa"/>
            <w:vMerge/>
          </w:tcPr>
          <w:p w:rsidR="00511FF2" w:rsidRPr="006F6D3E" w:rsidRDefault="00511FF2" w:rsidP="007D7729">
            <w:pPr>
              <w:pStyle w:val="NormalWeb"/>
              <w:spacing w:before="0" w:beforeAutospacing="0" w:after="0" w:afterAutospacing="0"/>
              <w:contextualSpacing/>
              <w:textAlignment w:val="baseline"/>
              <w:rPr>
                <w:rFonts w:ascii="Arial" w:hAnsi="Arial" w:cs="Arial"/>
                <w:sz w:val="20"/>
                <w:szCs w:val="20"/>
              </w:rPr>
            </w:pPr>
          </w:p>
        </w:tc>
        <w:tc>
          <w:tcPr>
            <w:tcW w:w="3402" w:type="dxa"/>
            <w:tcMar>
              <w:top w:w="28" w:type="dxa"/>
              <w:bottom w:w="28" w:type="dxa"/>
            </w:tcMar>
          </w:tcPr>
          <w:p w:rsidR="00511FF2" w:rsidRPr="006F6D3E" w:rsidRDefault="00511FF2" w:rsidP="007D7729">
            <w:pPr>
              <w:pStyle w:val="NormalWeb"/>
              <w:spacing w:before="0" w:beforeAutospacing="0" w:after="0" w:afterAutospacing="0"/>
              <w:contextualSpacing/>
              <w:jc w:val="right"/>
              <w:textAlignment w:val="baseline"/>
              <w:rPr>
                <w:rFonts w:ascii="Arial" w:hAnsi="Arial" w:cs="Arial"/>
                <w:sz w:val="20"/>
                <w:szCs w:val="20"/>
              </w:rPr>
            </w:pPr>
            <w:r w:rsidRPr="006F6D3E">
              <w:rPr>
                <w:rFonts w:ascii="Arial" w:hAnsi="Arial" w:cs="Arial"/>
                <w:sz w:val="20"/>
                <w:szCs w:val="20"/>
              </w:rPr>
              <w:t>Sponsor Comment:</w:t>
            </w:r>
          </w:p>
        </w:tc>
        <w:tc>
          <w:tcPr>
            <w:tcW w:w="7938" w:type="dxa"/>
          </w:tcPr>
          <w:p w:rsidR="00511FF2" w:rsidRPr="00AE448F" w:rsidRDefault="00AE448F" w:rsidP="007D7729">
            <w:pPr>
              <w:pStyle w:val="ListParagraph"/>
              <w:ind w:left="0"/>
              <w:jc w:val="both"/>
              <w:rPr>
                <w:rFonts w:ascii="Arial" w:hAnsi="Arial" w:cs="Arial"/>
                <w:sz w:val="20"/>
                <w:szCs w:val="20"/>
              </w:rPr>
            </w:pPr>
            <w:r w:rsidRPr="00AE448F">
              <w:rPr>
                <w:rFonts w:ascii="Arial" w:hAnsi="Arial" w:cs="Arial"/>
                <w:sz w:val="20"/>
                <w:szCs w:val="22"/>
              </w:rPr>
              <w:t>The sponsor disagrees with the decision and will be considering its position regarding any future course of action</w:t>
            </w:r>
            <w:r w:rsidR="007F10D0">
              <w:rPr>
                <w:rFonts w:ascii="Arial" w:hAnsi="Arial" w:cs="Arial"/>
                <w:sz w:val="20"/>
                <w:szCs w:val="22"/>
              </w:rPr>
              <w:t xml:space="preserve">. </w:t>
            </w:r>
          </w:p>
        </w:tc>
      </w:tr>
    </w:tbl>
    <w:p w:rsidR="00C26FE5" w:rsidRPr="006F6D3E" w:rsidRDefault="00C26FE5" w:rsidP="0065234B">
      <w:pPr>
        <w:tabs>
          <w:tab w:val="left" w:pos="5210"/>
        </w:tabs>
        <w:rPr>
          <w:rFonts w:ascii="Arial" w:hAnsi="Arial" w:cs="Arial"/>
          <w:lang w:val="en-US"/>
        </w:rPr>
      </w:pPr>
    </w:p>
    <w:sectPr w:rsidR="00C26FE5" w:rsidRPr="006F6D3E" w:rsidSect="007D408D">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021" w:bottom="1134"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7A4" w:rsidRDefault="004637A4">
      <w:r>
        <w:separator/>
      </w:r>
    </w:p>
  </w:endnote>
  <w:endnote w:type="continuationSeparator" w:id="0">
    <w:p w:rsidR="004637A4" w:rsidRDefault="0046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B61B56">
      <w:rPr>
        <w:rStyle w:val="PageNumber"/>
        <w:rFonts w:ascii="Arial" w:hAnsi="Arial" w:cs="Arial"/>
        <w:noProof/>
      </w:rPr>
      <w:t>10</w:t>
    </w:r>
    <w:r w:rsidRPr="00287C89">
      <w:rPr>
        <w:rStyle w:val="PageNumber"/>
        <w:rFonts w:ascii="Arial" w:hAnsi="Arial" w:cs="Arial"/>
      </w:rPr>
      <w:fldChar w:fldCharType="end"/>
    </w:r>
  </w:p>
  <w:p w:rsidR="005E1F3B" w:rsidRDefault="005E1F3B"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49" w:rsidRDefault="00F17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7A4" w:rsidRDefault="004637A4">
      <w:r>
        <w:separator/>
      </w:r>
    </w:p>
  </w:footnote>
  <w:footnote w:type="continuationSeparator" w:id="0">
    <w:p w:rsidR="004637A4" w:rsidRDefault="00463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49" w:rsidRDefault="00F17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49" w:rsidRDefault="00F17F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F49" w:rsidRDefault="00F17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3">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4"/>
  </w:num>
  <w:num w:numId="4">
    <w:abstractNumId w:val="18"/>
  </w:num>
  <w:num w:numId="5">
    <w:abstractNumId w:val="9"/>
  </w:num>
  <w:num w:numId="6">
    <w:abstractNumId w:val="4"/>
  </w:num>
  <w:num w:numId="7">
    <w:abstractNumId w:val="2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8"/>
  </w:num>
  <w:num w:numId="11">
    <w:abstractNumId w:val="20"/>
  </w:num>
  <w:num w:numId="12">
    <w:abstractNumId w:val="22"/>
  </w:num>
  <w:num w:numId="13">
    <w:abstractNumId w:val="5"/>
  </w:num>
  <w:num w:numId="14">
    <w:abstractNumId w:val="21"/>
  </w:num>
  <w:num w:numId="15">
    <w:abstractNumId w:val="23"/>
  </w:num>
  <w:num w:numId="16">
    <w:abstractNumId w:val="19"/>
  </w:num>
  <w:num w:numId="17">
    <w:abstractNumId w:val="32"/>
  </w:num>
  <w:num w:numId="18">
    <w:abstractNumId w:val="34"/>
  </w:num>
  <w:num w:numId="19">
    <w:abstractNumId w:val="3"/>
  </w:num>
  <w:num w:numId="20">
    <w:abstractNumId w:val="10"/>
  </w:num>
  <w:num w:numId="21">
    <w:abstractNumId w:val="12"/>
  </w:num>
  <w:num w:numId="22">
    <w:abstractNumId w:val="30"/>
  </w:num>
  <w:num w:numId="23">
    <w:abstractNumId w:val="2"/>
  </w:num>
  <w:num w:numId="24">
    <w:abstractNumId w:val="14"/>
  </w:num>
  <w:num w:numId="25">
    <w:abstractNumId w:val="8"/>
  </w:num>
  <w:num w:numId="26">
    <w:abstractNumId w:val="6"/>
  </w:num>
  <w:num w:numId="27">
    <w:abstractNumId w:val="16"/>
  </w:num>
  <w:num w:numId="28">
    <w:abstractNumId w:val="17"/>
  </w:num>
  <w:num w:numId="29">
    <w:abstractNumId w:val="15"/>
  </w:num>
  <w:num w:numId="30">
    <w:abstractNumId w:val="33"/>
  </w:num>
  <w:num w:numId="31">
    <w:abstractNumId w:val="13"/>
  </w:num>
  <w:num w:numId="32">
    <w:abstractNumId w:val="27"/>
  </w:num>
  <w:num w:numId="33">
    <w:abstractNumId w:val="31"/>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BA1"/>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68F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6049B"/>
    <w:rsid w:val="00260EFA"/>
    <w:rsid w:val="00261377"/>
    <w:rsid w:val="00261EFF"/>
    <w:rsid w:val="00262160"/>
    <w:rsid w:val="00262814"/>
    <w:rsid w:val="002629E0"/>
    <w:rsid w:val="00262E2E"/>
    <w:rsid w:val="00263457"/>
    <w:rsid w:val="00263EF4"/>
    <w:rsid w:val="00264A64"/>
    <w:rsid w:val="00265FE9"/>
    <w:rsid w:val="0026773E"/>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87C89"/>
    <w:rsid w:val="002905B5"/>
    <w:rsid w:val="002911D8"/>
    <w:rsid w:val="00293203"/>
    <w:rsid w:val="0029329A"/>
    <w:rsid w:val="00293A15"/>
    <w:rsid w:val="00295693"/>
    <w:rsid w:val="002969C0"/>
    <w:rsid w:val="002972D4"/>
    <w:rsid w:val="00297AEF"/>
    <w:rsid w:val="00297F02"/>
    <w:rsid w:val="002A06E1"/>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63D"/>
    <w:rsid w:val="00331DCA"/>
    <w:rsid w:val="00332129"/>
    <w:rsid w:val="0033322F"/>
    <w:rsid w:val="00334912"/>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0EFF"/>
    <w:rsid w:val="00351A7F"/>
    <w:rsid w:val="003525C0"/>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37A4"/>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85E"/>
    <w:rsid w:val="004D29F9"/>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1309"/>
    <w:rsid w:val="0055242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2FC"/>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48ED"/>
    <w:rsid w:val="00636A18"/>
    <w:rsid w:val="00636C52"/>
    <w:rsid w:val="0063771E"/>
    <w:rsid w:val="006406A6"/>
    <w:rsid w:val="00640A5A"/>
    <w:rsid w:val="00640E6C"/>
    <w:rsid w:val="00642351"/>
    <w:rsid w:val="006424F7"/>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6D3E"/>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1689"/>
    <w:rsid w:val="00782394"/>
    <w:rsid w:val="00782848"/>
    <w:rsid w:val="007829B1"/>
    <w:rsid w:val="00783873"/>
    <w:rsid w:val="007847D1"/>
    <w:rsid w:val="00784924"/>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359E"/>
    <w:rsid w:val="00923EA0"/>
    <w:rsid w:val="0092474D"/>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D66"/>
    <w:rsid w:val="00AC5C0E"/>
    <w:rsid w:val="00AC5FCE"/>
    <w:rsid w:val="00AC615E"/>
    <w:rsid w:val="00AC62B7"/>
    <w:rsid w:val="00AC6BDA"/>
    <w:rsid w:val="00AC6E20"/>
    <w:rsid w:val="00AC7A38"/>
    <w:rsid w:val="00AD07F1"/>
    <w:rsid w:val="00AD20E0"/>
    <w:rsid w:val="00AD2BE1"/>
    <w:rsid w:val="00AD3C49"/>
    <w:rsid w:val="00AD3D21"/>
    <w:rsid w:val="00AD68F8"/>
    <w:rsid w:val="00AD692B"/>
    <w:rsid w:val="00AE0B68"/>
    <w:rsid w:val="00AE10CD"/>
    <w:rsid w:val="00AE1499"/>
    <w:rsid w:val="00AE2D0A"/>
    <w:rsid w:val="00AE3725"/>
    <w:rsid w:val="00AE448F"/>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F83"/>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1B56"/>
    <w:rsid w:val="00B62014"/>
    <w:rsid w:val="00B629C9"/>
    <w:rsid w:val="00B6342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162"/>
    <w:rsid w:val="00C908A9"/>
    <w:rsid w:val="00C908BE"/>
    <w:rsid w:val="00C91507"/>
    <w:rsid w:val="00C940C2"/>
    <w:rsid w:val="00C952E9"/>
    <w:rsid w:val="00C95AC8"/>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E87"/>
    <w:rsid w:val="00D17335"/>
    <w:rsid w:val="00D2079E"/>
    <w:rsid w:val="00D21356"/>
    <w:rsid w:val="00D216EE"/>
    <w:rsid w:val="00D220B5"/>
    <w:rsid w:val="00D232D8"/>
    <w:rsid w:val="00D233CD"/>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3F8"/>
    <w:rsid w:val="00DB46DA"/>
    <w:rsid w:val="00DB5A7F"/>
    <w:rsid w:val="00DB640B"/>
    <w:rsid w:val="00DB656B"/>
    <w:rsid w:val="00DB6A23"/>
    <w:rsid w:val="00DB75BE"/>
    <w:rsid w:val="00DB7D6B"/>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B56"/>
    <w:rsid w:val="00F01F95"/>
    <w:rsid w:val="00F0256E"/>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17F49"/>
    <w:rsid w:val="00F2210C"/>
    <w:rsid w:val="00F231FB"/>
    <w:rsid w:val="00F243C4"/>
    <w:rsid w:val="00F243FF"/>
    <w:rsid w:val="00F25199"/>
    <w:rsid w:val="00F254D8"/>
    <w:rsid w:val="00F26A46"/>
    <w:rsid w:val="00F26F86"/>
    <w:rsid w:val="00F2780A"/>
    <w:rsid w:val="00F314EF"/>
    <w:rsid w:val="00F3167E"/>
    <w:rsid w:val="00F332B2"/>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206"/>
    <w:rsid w:val="00F435B6"/>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647"/>
    <w:rsid w:val="00F97A19"/>
    <w:rsid w:val="00FA068B"/>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43A4-B95D-4380-9A37-E7B1BCBC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3825</Words>
  <Characters>22354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2014-12-16T23:45:00Z</dcterms:created>
  <dcterms:modified xsi:type="dcterms:W3CDTF">2014-12-17T23:04:00Z</dcterms:modified>
</cp:coreProperties>
</file>