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939" w:rsidRPr="000172EE" w:rsidRDefault="00697FE1" w:rsidP="00DC6448">
      <w:pPr>
        <w:pStyle w:val="Title"/>
        <w:ind w:left="720" w:hanging="578"/>
        <w:rPr>
          <w:caps w:val="0"/>
        </w:rPr>
      </w:pPr>
      <w:bookmarkStart w:id="0" w:name="_Toc440294991"/>
      <w:bookmarkStart w:id="1" w:name="_Toc440981289"/>
      <w:r w:rsidRPr="000172EE">
        <w:t>5</w:t>
      </w:r>
      <w:r w:rsidR="00433044" w:rsidRPr="000172EE">
        <w:t>.</w:t>
      </w:r>
      <w:r w:rsidRPr="000172EE">
        <w:t>07</w:t>
      </w:r>
      <w:r w:rsidR="00B60939" w:rsidRPr="000172EE">
        <w:tab/>
      </w:r>
      <w:r w:rsidR="00DB4A79" w:rsidRPr="000172EE">
        <w:t>NIVOLUMAB</w:t>
      </w:r>
      <w:r w:rsidR="00B60939" w:rsidRPr="000172EE">
        <w:t xml:space="preserve">, </w:t>
      </w:r>
      <w:r w:rsidR="00DB4A79" w:rsidRPr="000172EE">
        <w:t>40</w:t>
      </w:r>
      <w:r w:rsidR="00B34A12" w:rsidRPr="000172EE">
        <w:rPr>
          <w:rFonts w:hint="eastAsia"/>
        </w:rPr>
        <w:t> </w:t>
      </w:r>
      <w:r w:rsidR="00DB4A79" w:rsidRPr="000172EE">
        <w:t>mg/4</w:t>
      </w:r>
      <w:r w:rsidR="00B34A12" w:rsidRPr="000172EE">
        <w:rPr>
          <w:rFonts w:hint="eastAsia"/>
        </w:rPr>
        <w:t> </w:t>
      </w:r>
      <w:r w:rsidR="00DB4A79" w:rsidRPr="000172EE">
        <w:t>mL vial</w:t>
      </w:r>
      <w:r w:rsidR="00B60939" w:rsidRPr="000172EE">
        <w:t xml:space="preserve">, </w:t>
      </w:r>
      <w:r w:rsidR="00DB4A79" w:rsidRPr="000172EE">
        <w:t>100</w:t>
      </w:r>
      <w:r w:rsidR="00B34A12" w:rsidRPr="000172EE">
        <w:rPr>
          <w:rFonts w:hint="eastAsia"/>
        </w:rPr>
        <w:t> </w:t>
      </w:r>
      <w:r w:rsidR="00DB4A79" w:rsidRPr="000172EE">
        <w:t>mg/10</w:t>
      </w:r>
      <w:r w:rsidR="00B34A12" w:rsidRPr="000172EE">
        <w:rPr>
          <w:rFonts w:hint="eastAsia"/>
        </w:rPr>
        <w:t> </w:t>
      </w:r>
      <w:r w:rsidR="00DB4A79" w:rsidRPr="000172EE">
        <w:t>mL vial</w:t>
      </w:r>
      <w:r w:rsidR="00B60939" w:rsidRPr="000172EE">
        <w:t xml:space="preserve">, </w:t>
      </w:r>
      <w:r w:rsidR="00DB4A79" w:rsidRPr="000172EE">
        <w:t>OPDIVO</w:t>
      </w:r>
      <w:r w:rsidR="00B60939" w:rsidRPr="00BE2600">
        <w:rPr>
          <w:vertAlign w:val="superscript"/>
        </w:rPr>
        <w:t>®</w:t>
      </w:r>
      <w:r w:rsidR="00B60939" w:rsidRPr="000172EE">
        <w:t xml:space="preserve">, </w:t>
      </w:r>
      <w:r w:rsidR="00DB4A79" w:rsidRPr="000172EE">
        <w:t>Bristol-Myers Squibb Australia Pty Ltd</w:t>
      </w:r>
      <w:r w:rsidR="00B60939" w:rsidRPr="000172EE">
        <w:t>.</w:t>
      </w:r>
      <w:bookmarkEnd w:id="0"/>
      <w:bookmarkEnd w:id="1"/>
    </w:p>
    <w:p w:rsidR="00DA3B39" w:rsidRPr="000172EE" w:rsidRDefault="00DA3B39" w:rsidP="00207D00"/>
    <w:p w:rsidR="00144D06" w:rsidRDefault="00144D06" w:rsidP="00144D06"/>
    <w:p w:rsidR="00144D06" w:rsidRPr="000172EE" w:rsidRDefault="00144D06" w:rsidP="000172EE">
      <w:pPr>
        <w:pStyle w:val="Heading1"/>
      </w:pPr>
      <w:bookmarkStart w:id="2" w:name="_Toc440981291"/>
      <w:r w:rsidRPr="000172EE">
        <w:t>Purpose of Application</w:t>
      </w:r>
      <w:bookmarkEnd w:id="2"/>
    </w:p>
    <w:p w:rsidR="00144D06" w:rsidRPr="00882085" w:rsidRDefault="00144D06" w:rsidP="00144D06">
      <w:pPr>
        <w:rPr>
          <w:szCs w:val="22"/>
        </w:rPr>
      </w:pPr>
    </w:p>
    <w:p w:rsidR="00144D06" w:rsidRPr="00B50DB8" w:rsidRDefault="00697FE1" w:rsidP="00C61ED5">
      <w:pPr>
        <w:pStyle w:val="ListParagraph"/>
        <w:widowControl/>
        <w:numPr>
          <w:ilvl w:val="1"/>
          <w:numId w:val="2"/>
        </w:numPr>
        <w:rPr>
          <w:szCs w:val="22"/>
        </w:rPr>
      </w:pPr>
      <w:r>
        <w:t xml:space="preserve">The submission requested a </w:t>
      </w:r>
      <w:r w:rsidR="00144D06" w:rsidRPr="00975A80">
        <w:t>Section 100</w:t>
      </w:r>
      <w:r>
        <w:t xml:space="preserve"> (Efficient Funding of Chemotherapy)</w:t>
      </w:r>
      <w:r w:rsidR="00144D06">
        <w:t xml:space="preserve"> </w:t>
      </w:r>
      <w:r w:rsidR="00144D06" w:rsidRPr="00975A80">
        <w:t>Authority Required listing for the treatment of locally advanced or metastatic non-squamous non-small cell lung cancer (NSCLC</w:t>
      </w:r>
      <w:r w:rsidR="00144D06">
        <w:t>)</w:t>
      </w:r>
      <w:r w:rsidR="00144D06" w:rsidRPr="004B3DDB">
        <w:t>.</w:t>
      </w:r>
      <w:r w:rsidR="00144D06">
        <w:t xml:space="preserve"> The PBAC also </w:t>
      </w:r>
      <w:r w:rsidR="00327EF8">
        <w:t xml:space="preserve">considered </w:t>
      </w:r>
      <w:r w:rsidR="00144D06">
        <w:t>a concurrent submission to list nivolumab for squamous NSCLC.</w:t>
      </w:r>
    </w:p>
    <w:p w:rsidR="00144D06" w:rsidRDefault="00144D06" w:rsidP="00144D06"/>
    <w:p w:rsidR="00144D06" w:rsidRPr="00882085" w:rsidRDefault="00144D06" w:rsidP="00144D06"/>
    <w:p w:rsidR="00144D06" w:rsidRPr="00407F2D" w:rsidRDefault="00144D06" w:rsidP="000172EE">
      <w:pPr>
        <w:pStyle w:val="Heading1"/>
      </w:pPr>
      <w:bookmarkStart w:id="3" w:name="_Toc440981292"/>
      <w:r w:rsidRPr="00407F2D">
        <w:t>Requested listing</w:t>
      </w:r>
      <w:bookmarkEnd w:id="3"/>
    </w:p>
    <w:p w:rsidR="00144D06" w:rsidRPr="005C22F2" w:rsidRDefault="00144D06" w:rsidP="00144D06"/>
    <w:p w:rsidR="005C22F2" w:rsidRPr="00AE71BA" w:rsidRDefault="005C22F2" w:rsidP="00C61ED5">
      <w:pPr>
        <w:pStyle w:val="ListParagraph"/>
        <w:widowControl/>
        <w:numPr>
          <w:ilvl w:val="1"/>
          <w:numId w:val="2"/>
        </w:numPr>
        <w:rPr>
          <w:snapToGrid/>
          <w:szCs w:val="22"/>
          <w:lang w:eastAsia="en-AU"/>
        </w:rPr>
      </w:pPr>
      <w:r w:rsidRPr="00AE71BA">
        <w:rPr>
          <w:snapToGrid/>
          <w:szCs w:val="22"/>
          <w:lang w:eastAsia="en-AU"/>
        </w:rPr>
        <w:t>The requested restriction is shown below.</w:t>
      </w:r>
      <w:r w:rsidRPr="00AE71BA">
        <w:rPr>
          <w:iCs/>
          <w:snapToGrid/>
          <w:szCs w:val="22"/>
          <w:lang w:eastAsia="en-AU"/>
        </w:rPr>
        <w:t>  </w:t>
      </w:r>
      <w:r w:rsidRPr="00AE71BA">
        <w:rPr>
          <w:iCs/>
          <w:snapToGrid/>
          <w:color w:val="000000"/>
          <w:szCs w:val="22"/>
          <w:lang w:eastAsia="en-AU"/>
        </w:rPr>
        <w:t>Suggestions and additions proposed by the Secretariat to the requested listing are added in italics and suggested deletions are crossed out with strikethrough.</w:t>
      </w:r>
    </w:p>
    <w:p w:rsidR="00DE4EC6" w:rsidRDefault="00DE4EC6">
      <w:pPr>
        <w:widowControl/>
        <w:jc w:val="left"/>
      </w:pPr>
      <w:r>
        <w:br w:type="page"/>
      </w:r>
    </w:p>
    <w:p w:rsidR="005C22F2" w:rsidRPr="005C22F2" w:rsidRDefault="005C22F2" w:rsidP="00144D06"/>
    <w:tbl>
      <w:tblPr>
        <w:tblW w:w="4604" w:type="pct"/>
        <w:tblInd w:w="737" w:type="dxa"/>
        <w:tblLayout w:type="fixed"/>
        <w:tblCellMar>
          <w:left w:w="28" w:type="dxa"/>
          <w:right w:w="28" w:type="dxa"/>
        </w:tblCellMar>
        <w:tblLook w:val="0000" w:firstRow="0" w:lastRow="0" w:firstColumn="0" w:lastColumn="0" w:noHBand="0" w:noVBand="0"/>
      </w:tblPr>
      <w:tblGrid>
        <w:gridCol w:w="2835"/>
        <w:gridCol w:w="851"/>
        <w:gridCol w:w="708"/>
        <w:gridCol w:w="2552"/>
        <w:gridCol w:w="1417"/>
      </w:tblGrid>
      <w:tr w:rsidR="00144D06" w:rsidRPr="00653ED9" w:rsidTr="00D25683">
        <w:trPr>
          <w:trHeight w:val="471"/>
        </w:trPr>
        <w:tc>
          <w:tcPr>
            <w:tcW w:w="1695" w:type="pct"/>
            <w:tcBorders>
              <w:bottom w:val="single" w:sz="4" w:space="0" w:color="auto"/>
            </w:tcBorders>
          </w:tcPr>
          <w:p w:rsidR="00144D06" w:rsidRPr="00653ED9" w:rsidRDefault="00144D06" w:rsidP="00144D06">
            <w:pPr>
              <w:keepNext/>
              <w:rPr>
                <w:rFonts w:ascii="Arial Narrow" w:hAnsi="Arial Narrow"/>
                <w:sz w:val="20"/>
                <w:szCs w:val="24"/>
              </w:rPr>
            </w:pPr>
            <w:r w:rsidRPr="00653ED9">
              <w:rPr>
                <w:rFonts w:ascii="Arial Narrow" w:hAnsi="Arial Narrow"/>
                <w:sz w:val="20"/>
                <w:szCs w:val="24"/>
              </w:rPr>
              <w:t>Name, Restriction,</w:t>
            </w:r>
          </w:p>
          <w:p w:rsidR="00144D06" w:rsidRPr="00653ED9" w:rsidRDefault="00144D06" w:rsidP="00144D06">
            <w:pPr>
              <w:keepNext/>
              <w:rPr>
                <w:rFonts w:ascii="Arial Narrow" w:hAnsi="Arial Narrow"/>
                <w:sz w:val="20"/>
                <w:szCs w:val="24"/>
              </w:rPr>
            </w:pPr>
            <w:r w:rsidRPr="00653ED9">
              <w:rPr>
                <w:rFonts w:ascii="Arial Narrow" w:hAnsi="Arial Narrow"/>
                <w:sz w:val="20"/>
                <w:szCs w:val="24"/>
              </w:rPr>
              <w:t>Manner of administration and form</w:t>
            </w:r>
          </w:p>
        </w:tc>
        <w:tc>
          <w:tcPr>
            <w:tcW w:w="509" w:type="pct"/>
            <w:tcBorders>
              <w:bottom w:val="single" w:sz="4" w:space="0" w:color="auto"/>
            </w:tcBorders>
          </w:tcPr>
          <w:p w:rsidR="00144D06" w:rsidRPr="00653ED9" w:rsidRDefault="00144D06" w:rsidP="00144D06">
            <w:pPr>
              <w:keepNext/>
              <w:jc w:val="center"/>
              <w:rPr>
                <w:rFonts w:ascii="Arial Narrow" w:hAnsi="Arial Narrow"/>
                <w:sz w:val="20"/>
                <w:szCs w:val="24"/>
              </w:rPr>
            </w:pPr>
            <w:r w:rsidRPr="00653ED9">
              <w:rPr>
                <w:rFonts w:ascii="Arial Narrow" w:hAnsi="Arial Narrow"/>
                <w:sz w:val="20"/>
                <w:szCs w:val="24"/>
              </w:rPr>
              <w:t>Max.</w:t>
            </w:r>
          </w:p>
          <w:p w:rsidR="00144D06" w:rsidRPr="00653ED9" w:rsidRDefault="001B6122" w:rsidP="00144D06">
            <w:pPr>
              <w:keepNext/>
              <w:jc w:val="center"/>
              <w:rPr>
                <w:rFonts w:ascii="Arial Narrow" w:hAnsi="Arial Narrow"/>
                <w:sz w:val="20"/>
                <w:szCs w:val="24"/>
              </w:rPr>
            </w:pPr>
            <w:r>
              <w:rPr>
                <w:rFonts w:ascii="Arial Narrow" w:hAnsi="Arial Narrow"/>
                <w:sz w:val="20"/>
                <w:szCs w:val="24"/>
              </w:rPr>
              <w:t>Amt</w:t>
            </w:r>
          </w:p>
        </w:tc>
        <w:tc>
          <w:tcPr>
            <w:tcW w:w="423" w:type="pct"/>
            <w:tcBorders>
              <w:bottom w:val="single" w:sz="4" w:space="0" w:color="auto"/>
            </w:tcBorders>
          </w:tcPr>
          <w:p w:rsidR="00144D06" w:rsidRPr="00653ED9" w:rsidRDefault="00144D06" w:rsidP="00144D06">
            <w:pPr>
              <w:keepNext/>
              <w:jc w:val="center"/>
              <w:rPr>
                <w:rFonts w:ascii="Arial Narrow" w:hAnsi="Arial Narrow"/>
                <w:sz w:val="20"/>
                <w:szCs w:val="24"/>
              </w:rPr>
            </w:pPr>
            <w:r w:rsidRPr="00653ED9">
              <w:rPr>
                <w:rFonts w:ascii="Arial Narrow" w:hAnsi="Arial Narrow"/>
                <w:sz w:val="20"/>
                <w:szCs w:val="24"/>
              </w:rPr>
              <w:t>Number of</w:t>
            </w:r>
          </w:p>
          <w:p w:rsidR="00144D06" w:rsidRPr="00653ED9" w:rsidRDefault="00144D06" w:rsidP="00144D06">
            <w:pPr>
              <w:keepNext/>
              <w:jc w:val="center"/>
              <w:rPr>
                <w:rFonts w:ascii="Arial Narrow" w:hAnsi="Arial Narrow"/>
                <w:sz w:val="20"/>
                <w:szCs w:val="24"/>
              </w:rPr>
            </w:pPr>
            <w:r w:rsidRPr="00653ED9">
              <w:rPr>
                <w:rFonts w:ascii="Arial Narrow" w:hAnsi="Arial Narrow"/>
                <w:sz w:val="20"/>
                <w:szCs w:val="24"/>
              </w:rPr>
              <w:t>Rpts</w:t>
            </w:r>
          </w:p>
        </w:tc>
        <w:tc>
          <w:tcPr>
            <w:tcW w:w="1526" w:type="pct"/>
            <w:tcBorders>
              <w:bottom w:val="single" w:sz="4" w:space="0" w:color="auto"/>
            </w:tcBorders>
          </w:tcPr>
          <w:p w:rsidR="00144D06" w:rsidRPr="00653ED9" w:rsidRDefault="00144D06" w:rsidP="001B6122">
            <w:pPr>
              <w:keepNext/>
              <w:jc w:val="center"/>
              <w:rPr>
                <w:rFonts w:ascii="Arial Narrow" w:hAnsi="Arial Narrow"/>
                <w:sz w:val="20"/>
                <w:szCs w:val="24"/>
              </w:rPr>
            </w:pPr>
            <w:r w:rsidRPr="00653ED9">
              <w:rPr>
                <w:rFonts w:ascii="Arial Narrow" w:hAnsi="Arial Narrow"/>
                <w:sz w:val="20"/>
                <w:szCs w:val="24"/>
              </w:rPr>
              <w:t xml:space="preserve">Dispensed Price for Max. </w:t>
            </w:r>
            <w:r w:rsidR="001B6122">
              <w:rPr>
                <w:rFonts w:ascii="Arial Narrow" w:hAnsi="Arial Narrow"/>
                <w:sz w:val="20"/>
                <w:szCs w:val="24"/>
              </w:rPr>
              <w:t>Amt</w:t>
            </w:r>
          </w:p>
        </w:tc>
        <w:tc>
          <w:tcPr>
            <w:tcW w:w="847" w:type="pct"/>
            <w:tcBorders>
              <w:bottom w:val="single" w:sz="4" w:space="0" w:color="auto"/>
            </w:tcBorders>
          </w:tcPr>
          <w:p w:rsidR="00144D06" w:rsidRPr="00653ED9" w:rsidRDefault="00144D06" w:rsidP="00144D06">
            <w:pPr>
              <w:keepNext/>
              <w:ind w:left="116" w:right="17" w:hanging="116"/>
              <w:jc w:val="center"/>
              <w:rPr>
                <w:rFonts w:ascii="Arial Narrow" w:hAnsi="Arial Narrow"/>
                <w:sz w:val="20"/>
                <w:szCs w:val="24"/>
                <w:lang w:val="fr-FR"/>
              </w:rPr>
            </w:pPr>
            <w:r w:rsidRPr="00653ED9">
              <w:rPr>
                <w:rFonts w:ascii="Arial Narrow" w:hAnsi="Arial Narrow"/>
                <w:sz w:val="20"/>
                <w:szCs w:val="24"/>
              </w:rPr>
              <w:t>Proprietary Name and Manufacturer</w:t>
            </w:r>
          </w:p>
        </w:tc>
      </w:tr>
      <w:tr w:rsidR="00144D06" w:rsidRPr="00653ED9" w:rsidTr="00D25683">
        <w:trPr>
          <w:trHeight w:val="577"/>
        </w:trPr>
        <w:tc>
          <w:tcPr>
            <w:tcW w:w="1695" w:type="pct"/>
          </w:tcPr>
          <w:p w:rsidR="00144D06" w:rsidRPr="00653ED9" w:rsidRDefault="00144D06" w:rsidP="00144D06">
            <w:pPr>
              <w:keepNext/>
              <w:rPr>
                <w:rFonts w:ascii="Arial Narrow" w:hAnsi="Arial Narrow"/>
                <w:smallCaps/>
                <w:sz w:val="20"/>
                <w:szCs w:val="24"/>
              </w:rPr>
            </w:pPr>
            <w:r w:rsidRPr="00653ED9">
              <w:rPr>
                <w:rFonts w:ascii="Arial Narrow" w:hAnsi="Arial Narrow"/>
                <w:smallCaps/>
                <w:sz w:val="20"/>
                <w:szCs w:val="24"/>
              </w:rPr>
              <w:t>NIVOLUMAB</w:t>
            </w:r>
          </w:p>
          <w:p w:rsidR="00144D06" w:rsidRPr="00653ED9" w:rsidRDefault="00144D06" w:rsidP="00144D06">
            <w:pPr>
              <w:keepNext/>
              <w:jc w:val="left"/>
              <w:rPr>
                <w:rFonts w:ascii="Arial Narrow" w:hAnsi="Arial Narrow"/>
                <w:sz w:val="20"/>
                <w:szCs w:val="24"/>
              </w:rPr>
            </w:pPr>
            <w:r w:rsidRPr="00653ED9">
              <w:rPr>
                <w:rFonts w:ascii="Arial Narrow" w:hAnsi="Arial Narrow"/>
                <w:sz w:val="20"/>
                <w:szCs w:val="24"/>
              </w:rPr>
              <w:t>40</w:t>
            </w:r>
            <w:r w:rsidR="00285936">
              <w:rPr>
                <w:rFonts w:ascii="Arial Narrow" w:hAnsi="Arial Narrow"/>
                <w:sz w:val="20"/>
                <w:szCs w:val="24"/>
              </w:rPr>
              <w:t> </w:t>
            </w:r>
            <w:r w:rsidRPr="00653ED9">
              <w:rPr>
                <w:rFonts w:ascii="Arial Narrow" w:hAnsi="Arial Narrow"/>
                <w:sz w:val="20"/>
                <w:szCs w:val="24"/>
              </w:rPr>
              <w:t>mg/4</w:t>
            </w:r>
            <w:r w:rsidR="00285936">
              <w:rPr>
                <w:rFonts w:ascii="Arial Narrow" w:hAnsi="Arial Narrow"/>
                <w:sz w:val="20"/>
                <w:szCs w:val="24"/>
              </w:rPr>
              <w:t> </w:t>
            </w:r>
            <w:r w:rsidRPr="00653ED9">
              <w:rPr>
                <w:rFonts w:ascii="Arial Narrow" w:hAnsi="Arial Narrow"/>
                <w:sz w:val="20"/>
                <w:szCs w:val="24"/>
              </w:rPr>
              <w:t>mL injection 1 × 4</w:t>
            </w:r>
            <w:r w:rsidR="00285936">
              <w:rPr>
                <w:rFonts w:ascii="Arial Narrow" w:hAnsi="Arial Narrow"/>
                <w:sz w:val="20"/>
                <w:szCs w:val="24"/>
              </w:rPr>
              <w:t> </w:t>
            </w:r>
            <w:r w:rsidRPr="00653ED9">
              <w:rPr>
                <w:rFonts w:ascii="Arial Narrow" w:hAnsi="Arial Narrow"/>
                <w:sz w:val="20"/>
                <w:szCs w:val="24"/>
              </w:rPr>
              <w:t>mL vial</w:t>
            </w:r>
          </w:p>
          <w:p w:rsidR="00144D06" w:rsidRPr="00653ED9" w:rsidRDefault="00144D06" w:rsidP="00144D06">
            <w:pPr>
              <w:keepNext/>
              <w:jc w:val="left"/>
              <w:rPr>
                <w:rFonts w:ascii="Arial Narrow" w:hAnsi="Arial Narrow"/>
                <w:sz w:val="20"/>
                <w:szCs w:val="24"/>
              </w:rPr>
            </w:pPr>
          </w:p>
          <w:p w:rsidR="00144D06" w:rsidRPr="00653ED9" w:rsidRDefault="00144D06" w:rsidP="00285936">
            <w:pPr>
              <w:keepNext/>
              <w:jc w:val="left"/>
              <w:rPr>
                <w:rFonts w:ascii="Arial Narrow" w:hAnsi="Arial Narrow"/>
                <w:sz w:val="20"/>
                <w:szCs w:val="24"/>
              </w:rPr>
            </w:pPr>
            <w:r w:rsidRPr="00653ED9">
              <w:rPr>
                <w:rFonts w:ascii="Arial Narrow" w:hAnsi="Arial Narrow"/>
                <w:sz w:val="20"/>
                <w:szCs w:val="24"/>
              </w:rPr>
              <w:t>100</w:t>
            </w:r>
            <w:r w:rsidR="00285936">
              <w:rPr>
                <w:rFonts w:ascii="Arial Narrow" w:hAnsi="Arial Narrow"/>
                <w:sz w:val="20"/>
                <w:szCs w:val="24"/>
              </w:rPr>
              <w:t> </w:t>
            </w:r>
            <w:r w:rsidRPr="00653ED9">
              <w:rPr>
                <w:rFonts w:ascii="Arial Narrow" w:hAnsi="Arial Narrow"/>
                <w:sz w:val="20"/>
                <w:szCs w:val="24"/>
              </w:rPr>
              <w:t>mg/10</w:t>
            </w:r>
            <w:r w:rsidR="00285936">
              <w:rPr>
                <w:rFonts w:ascii="Arial Narrow" w:hAnsi="Arial Narrow"/>
                <w:sz w:val="20"/>
                <w:szCs w:val="24"/>
              </w:rPr>
              <w:t> </w:t>
            </w:r>
            <w:r w:rsidRPr="00653ED9">
              <w:rPr>
                <w:rFonts w:ascii="Arial Narrow" w:hAnsi="Arial Narrow"/>
                <w:sz w:val="20"/>
                <w:szCs w:val="24"/>
              </w:rPr>
              <w:t>mL injection 1 × 10</w:t>
            </w:r>
            <w:r w:rsidR="00285936">
              <w:rPr>
                <w:rFonts w:ascii="Arial Narrow" w:hAnsi="Arial Narrow"/>
                <w:sz w:val="20"/>
                <w:szCs w:val="24"/>
              </w:rPr>
              <w:t> </w:t>
            </w:r>
            <w:r w:rsidRPr="00653ED9">
              <w:rPr>
                <w:rFonts w:ascii="Arial Narrow" w:hAnsi="Arial Narrow"/>
                <w:sz w:val="20"/>
                <w:szCs w:val="24"/>
              </w:rPr>
              <w:t>mL</w:t>
            </w:r>
            <w:r w:rsidR="00285936">
              <w:rPr>
                <w:rFonts w:ascii="Arial Narrow" w:hAnsi="Arial Narrow"/>
                <w:sz w:val="20"/>
                <w:szCs w:val="24"/>
              </w:rPr>
              <w:t xml:space="preserve"> vial</w:t>
            </w:r>
          </w:p>
        </w:tc>
        <w:tc>
          <w:tcPr>
            <w:tcW w:w="509" w:type="pct"/>
          </w:tcPr>
          <w:p w:rsidR="00144D06" w:rsidRPr="00653ED9" w:rsidRDefault="00144D06" w:rsidP="00144D06">
            <w:pPr>
              <w:keepNext/>
              <w:rPr>
                <w:rFonts w:ascii="Arial Narrow" w:hAnsi="Arial Narrow"/>
                <w:sz w:val="20"/>
                <w:szCs w:val="24"/>
              </w:rPr>
            </w:pPr>
          </w:p>
          <w:p w:rsidR="00144D06" w:rsidRPr="00653ED9" w:rsidRDefault="00144D06" w:rsidP="00144D06">
            <w:pPr>
              <w:keepNext/>
              <w:jc w:val="center"/>
              <w:rPr>
                <w:rFonts w:ascii="Arial Narrow" w:hAnsi="Arial Narrow"/>
                <w:sz w:val="20"/>
                <w:szCs w:val="24"/>
              </w:rPr>
            </w:pPr>
          </w:p>
          <w:p w:rsidR="00144D06" w:rsidRPr="00653ED9" w:rsidRDefault="00285936" w:rsidP="00285936">
            <w:pPr>
              <w:keepNext/>
              <w:jc w:val="center"/>
              <w:rPr>
                <w:rFonts w:ascii="Arial Narrow" w:hAnsi="Arial Narrow"/>
                <w:sz w:val="20"/>
                <w:szCs w:val="24"/>
              </w:rPr>
            </w:pPr>
            <w:r>
              <w:rPr>
                <w:rFonts w:ascii="Arial Narrow" w:hAnsi="Arial Narrow"/>
                <w:sz w:val="20"/>
                <w:szCs w:val="24"/>
              </w:rPr>
              <w:t>360 </w:t>
            </w:r>
            <w:r w:rsidR="00144D06" w:rsidRPr="00653ED9">
              <w:rPr>
                <w:rFonts w:ascii="Arial Narrow" w:hAnsi="Arial Narrow"/>
                <w:sz w:val="20"/>
                <w:szCs w:val="24"/>
              </w:rPr>
              <w:t>mg</w:t>
            </w:r>
          </w:p>
        </w:tc>
        <w:tc>
          <w:tcPr>
            <w:tcW w:w="423" w:type="pct"/>
          </w:tcPr>
          <w:p w:rsidR="00144D06" w:rsidRPr="00653ED9" w:rsidRDefault="00144D06" w:rsidP="00144D06">
            <w:pPr>
              <w:keepNext/>
              <w:rPr>
                <w:rFonts w:ascii="Arial Narrow" w:hAnsi="Arial Narrow"/>
                <w:sz w:val="20"/>
                <w:szCs w:val="24"/>
              </w:rPr>
            </w:pPr>
          </w:p>
          <w:p w:rsidR="00144D06" w:rsidRPr="00653ED9" w:rsidRDefault="00144D06" w:rsidP="00144D06">
            <w:pPr>
              <w:keepNext/>
              <w:jc w:val="center"/>
              <w:rPr>
                <w:rFonts w:ascii="Arial Narrow" w:hAnsi="Arial Narrow"/>
                <w:sz w:val="20"/>
                <w:szCs w:val="24"/>
              </w:rPr>
            </w:pPr>
          </w:p>
          <w:p w:rsidR="00144D06" w:rsidRPr="00653ED9" w:rsidRDefault="00144D06" w:rsidP="00285936">
            <w:pPr>
              <w:keepNext/>
              <w:jc w:val="center"/>
              <w:rPr>
                <w:rFonts w:ascii="Arial Narrow" w:hAnsi="Arial Narrow"/>
                <w:sz w:val="20"/>
                <w:szCs w:val="24"/>
              </w:rPr>
            </w:pPr>
            <w:r w:rsidRPr="00653ED9">
              <w:rPr>
                <w:rFonts w:ascii="Arial Narrow" w:hAnsi="Arial Narrow"/>
                <w:sz w:val="20"/>
                <w:szCs w:val="24"/>
              </w:rPr>
              <w:t>5</w:t>
            </w:r>
          </w:p>
        </w:tc>
        <w:tc>
          <w:tcPr>
            <w:tcW w:w="1526" w:type="pct"/>
            <w:vAlign w:val="center"/>
          </w:tcPr>
          <w:p w:rsidR="00144D06" w:rsidRPr="00F702DF" w:rsidRDefault="00B16A53" w:rsidP="00B16A53">
            <w:pPr>
              <w:keepNext/>
              <w:jc w:val="center"/>
              <w:rPr>
                <w:rFonts w:ascii="Arial Narrow" w:hAnsi="Arial Narrow"/>
                <w:sz w:val="20"/>
                <w:szCs w:val="24"/>
              </w:rPr>
            </w:pPr>
            <w:r w:rsidRPr="00F702DF">
              <w:rPr>
                <w:rFonts w:ascii="Arial Narrow" w:hAnsi="Arial Narrow"/>
                <w:sz w:val="20"/>
                <w:szCs w:val="24"/>
              </w:rPr>
              <w:t>Published Price</w:t>
            </w:r>
          </w:p>
          <w:p w:rsidR="00E51795" w:rsidRPr="00F702DF" w:rsidRDefault="00B16A53" w:rsidP="00144D06">
            <w:pPr>
              <w:keepNext/>
              <w:jc w:val="center"/>
              <w:rPr>
                <w:rFonts w:ascii="Arial Narrow" w:hAnsi="Arial Narrow"/>
                <w:sz w:val="20"/>
                <w:szCs w:val="24"/>
              </w:rPr>
            </w:pPr>
            <w:r w:rsidRPr="00F702DF">
              <w:rPr>
                <w:rFonts w:ascii="Arial Narrow" w:hAnsi="Arial Narrow"/>
                <w:sz w:val="20"/>
                <w:szCs w:val="24"/>
              </w:rPr>
              <w:t>$</w:t>
            </w:r>
            <w:r w:rsidR="003349A8">
              <w:rPr>
                <w:rFonts w:ascii="Arial Narrow" w:hAnsi="Arial Narrow"/>
                <w:noProof/>
                <w:color w:val="000000"/>
                <w:sz w:val="20"/>
                <w:szCs w:val="24"/>
                <w:highlight w:val="black"/>
              </w:rPr>
              <w:t>'''''''''''''''''''''''</w:t>
            </w:r>
            <w:r w:rsidRPr="00F702DF">
              <w:rPr>
                <w:rFonts w:ascii="Arial Narrow" w:hAnsi="Arial Narrow"/>
                <w:sz w:val="20"/>
                <w:szCs w:val="24"/>
              </w:rPr>
              <w:t xml:space="preserve"> (Private hospitals)</w:t>
            </w:r>
            <w:r w:rsidR="0014179C">
              <w:rPr>
                <w:rFonts w:ascii="Arial Narrow" w:hAnsi="Arial Narrow"/>
                <w:sz w:val="20"/>
                <w:szCs w:val="24"/>
                <w:vertAlign w:val="superscript"/>
              </w:rPr>
              <w:t>a</w:t>
            </w:r>
          </w:p>
          <w:p w:rsidR="00E51795" w:rsidRPr="00F702DF" w:rsidRDefault="00B16A53" w:rsidP="00144D06">
            <w:pPr>
              <w:keepNext/>
              <w:jc w:val="center"/>
              <w:rPr>
                <w:rFonts w:ascii="Arial Narrow" w:hAnsi="Arial Narrow"/>
                <w:sz w:val="20"/>
                <w:szCs w:val="24"/>
              </w:rPr>
            </w:pPr>
            <w:r w:rsidRPr="00F702DF">
              <w:rPr>
                <w:rFonts w:ascii="Arial Narrow" w:hAnsi="Arial Narrow"/>
                <w:sz w:val="20"/>
                <w:szCs w:val="24"/>
              </w:rPr>
              <w:t>$</w:t>
            </w:r>
            <w:r w:rsidR="003349A8">
              <w:rPr>
                <w:rFonts w:ascii="Arial Narrow" w:hAnsi="Arial Narrow"/>
                <w:noProof/>
                <w:color w:val="000000"/>
                <w:sz w:val="20"/>
                <w:szCs w:val="24"/>
                <w:highlight w:val="black"/>
              </w:rPr>
              <w:t>'''''''''''''''''''''''</w:t>
            </w:r>
            <w:r w:rsidRPr="00F702DF">
              <w:rPr>
                <w:rFonts w:ascii="Arial Narrow" w:hAnsi="Arial Narrow"/>
                <w:sz w:val="20"/>
                <w:szCs w:val="24"/>
              </w:rPr>
              <w:t xml:space="preserve"> (Public Hospitals)</w:t>
            </w:r>
            <w:r w:rsidR="0014179C">
              <w:rPr>
                <w:rFonts w:ascii="Arial Narrow" w:hAnsi="Arial Narrow"/>
                <w:sz w:val="20"/>
                <w:szCs w:val="24"/>
                <w:vertAlign w:val="superscript"/>
              </w:rPr>
              <w:t>a</w:t>
            </w:r>
          </w:p>
          <w:p w:rsidR="00B16A53" w:rsidRPr="00F702DF" w:rsidRDefault="00B16A53" w:rsidP="00144D06">
            <w:pPr>
              <w:keepNext/>
              <w:jc w:val="center"/>
              <w:rPr>
                <w:rFonts w:ascii="Arial Narrow" w:hAnsi="Arial Narrow"/>
                <w:sz w:val="20"/>
                <w:szCs w:val="24"/>
              </w:rPr>
            </w:pPr>
            <w:r w:rsidRPr="00F702DF">
              <w:rPr>
                <w:rFonts w:ascii="Arial Narrow" w:hAnsi="Arial Narrow"/>
                <w:sz w:val="20"/>
                <w:szCs w:val="24"/>
              </w:rPr>
              <w:t>Effective Price</w:t>
            </w:r>
          </w:p>
          <w:p w:rsidR="00144D06" w:rsidRPr="00F702DF" w:rsidRDefault="00144D06" w:rsidP="00144D06">
            <w:pPr>
              <w:keepNext/>
              <w:jc w:val="center"/>
              <w:rPr>
                <w:rFonts w:ascii="Arial Narrow" w:hAnsi="Arial Narrow"/>
                <w:sz w:val="20"/>
                <w:szCs w:val="24"/>
                <w:vertAlign w:val="superscript"/>
              </w:rPr>
            </w:pPr>
            <w:r w:rsidRPr="00F702DF">
              <w:rPr>
                <w:rFonts w:ascii="Arial Narrow" w:hAnsi="Arial Narrow"/>
                <w:sz w:val="20"/>
                <w:szCs w:val="24"/>
              </w:rPr>
              <w:t>$</w:t>
            </w:r>
            <w:r w:rsidR="003349A8">
              <w:rPr>
                <w:rFonts w:ascii="Arial Narrow" w:hAnsi="Arial Narrow"/>
                <w:noProof/>
                <w:color w:val="000000"/>
                <w:sz w:val="20"/>
                <w:szCs w:val="24"/>
                <w:highlight w:val="black"/>
              </w:rPr>
              <w:t>''''''''''''''''''''''</w:t>
            </w:r>
            <w:r w:rsidR="0021443D" w:rsidRPr="00F702DF">
              <w:rPr>
                <w:rFonts w:ascii="Arial Narrow" w:hAnsi="Arial Narrow"/>
                <w:sz w:val="20"/>
                <w:szCs w:val="24"/>
              </w:rPr>
              <w:t xml:space="preserve"> </w:t>
            </w:r>
            <w:r w:rsidRPr="00F702DF">
              <w:rPr>
                <w:rFonts w:ascii="Arial Narrow" w:hAnsi="Arial Narrow"/>
                <w:sz w:val="20"/>
                <w:szCs w:val="24"/>
              </w:rPr>
              <w:t>(</w:t>
            </w:r>
            <w:r w:rsidR="00305536" w:rsidRPr="00F702DF">
              <w:rPr>
                <w:rFonts w:ascii="Arial Narrow" w:hAnsi="Arial Narrow"/>
                <w:sz w:val="20"/>
                <w:szCs w:val="24"/>
              </w:rPr>
              <w:t>Private</w:t>
            </w:r>
            <w:r w:rsidR="001B6122" w:rsidRPr="00F702DF">
              <w:rPr>
                <w:rFonts w:ascii="Arial Narrow" w:hAnsi="Arial Narrow"/>
                <w:sz w:val="20"/>
                <w:szCs w:val="24"/>
              </w:rPr>
              <w:t xml:space="preserve"> hospitals</w:t>
            </w:r>
            <w:r w:rsidRPr="00F702DF">
              <w:rPr>
                <w:rFonts w:ascii="Arial Narrow" w:hAnsi="Arial Narrow"/>
                <w:sz w:val="20"/>
                <w:szCs w:val="24"/>
              </w:rPr>
              <w:t>)</w:t>
            </w:r>
            <w:r w:rsidR="0014179C">
              <w:rPr>
                <w:rFonts w:ascii="Arial Narrow" w:hAnsi="Arial Narrow"/>
                <w:sz w:val="20"/>
                <w:szCs w:val="24"/>
                <w:vertAlign w:val="superscript"/>
              </w:rPr>
              <w:t>a</w:t>
            </w:r>
          </w:p>
          <w:p w:rsidR="00144D06" w:rsidRPr="00F702DF" w:rsidRDefault="00144D06" w:rsidP="00144D06">
            <w:pPr>
              <w:keepNext/>
              <w:jc w:val="center"/>
              <w:rPr>
                <w:rFonts w:ascii="Arial Narrow" w:hAnsi="Arial Narrow"/>
                <w:sz w:val="20"/>
                <w:szCs w:val="24"/>
              </w:rPr>
            </w:pPr>
            <w:r w:rsidRPr="00F702DF">
              <w:rPr>
                <w:rFonts w:ascii="Arial Narrow" w:hAnsi="Arial Narrow"/>
                <w:sz w:val="20"/>
                <w:szCs w:val="24"/>
              </w:rPr>
              <w:t>$</w:t>
            </w:r>
            <w:r w:rsidR="003349A8">
              <w:rPr>
                <w:rFonts w:ascii="Arial Narrow" w:hAnsi="Arial Narrow"/>
                <w:noProof/>
                <w:color w:val="000000"/>
                <w:sz w:val="20"/>
                <w:szCs w:val="24"/>
                <w:highlight w:val="black"/>
              </w:rPr>
              <w:t>'''''''''''''''''''''''</w:t>
            </w:r>
            <w:r w:rsidRPr="00F702DF">
              <w:rPr>
                <w:rFonts w:ascii="Arial Narrow" w:hAnsi="Arial Narrow"/>
                <w:sz w:val="20"/>
                <w:szCs w:val="24"/>
              </w:rPr>
              <w:t xml:space="preserve"> (</w:t>
            </w:r>
            <w:r w:rsidR="001B6122" w:rsidRPr="00F702DF">
              <w:rPr>
                <w:rFonts w:ascii="Arial Narrow" w:hAnsi="Arial Narrow"/>
                <w:sz w:val="20"/>
                <w:szCs w:val="24"/>
              </w:rPr>
              <w:t>P</w:t>
            </w:r>
            <w:r w:rsidRPr="00F702DF">
              <w:rPr>
                <w:rFonts w:ascii="Arial Narrow" w:hAnsi="Arial Narrow"/>
                <w:sz w:val="20"/>
                <w:szCs w:val="24"/>
              </w:rPr>
              <w:t>ublic</w:t>
            </w:r>
            <w:r w:rsidR="001B6122" w:rsidRPr="00F702DF">
              <w:rPr>
                <w:rFonts w:ascii="Arial Narrow" w:hAnsi="Arial Narrow"/>
                <w:sz w:val="20"/>
                <w:szCs w:val="24"/>
              </w:rPr>
              <w:t xml:space="preserve"> hospitals</w:t>
            </w:r>
            <w:r w:rsidRPr="00F702DF">
              <w:rPr>
                <w:rFonts w:ascii="Arial Narrow" w:hAnsi="Arial Narrow"/>
                <w:sz w:val="20"/>
                <w:szCs w:val="24"/>
              </w:rPr>
              <w:t>)</w:t>
            </w:r>
            <w:r w:rsidR="0014179C">
              <w:rPr>
                <w:rFonts w:ascii="Arial Narrow" w:hAnsi="Arial Narrow"/>
                <w:sz w:val="20"/>
                <w:szCs w:val="24"/>
                <w:vertAlign w:val="superscript"/>
              </w:rPr>
              <w:t>a</w:t>
            </w:r>
          </w:p>
          <w:p w:rsidR="00144D06" w:rsidRPr="00653ED9" w:rsidRDefault="00144D06" w:rsidP="00144D06">
            <w:pPr>
              <w:keepNext/>
              <w:rPr>
                <w:rFonts w:ascii="Arial Narrow" w:hAnsi="Arial Narrow"/>
                <w:sz w:val="20"/>
                <w:szCs w:val="24"/>
              </w:rPr>
            </w:pPr>
          </w:p>
        </w:tc>
        <w:tc>
          <w:tcPr>
            <w:tcW w:w="847" w:type="pct"/>
          </w:tcPr>
          <w:p w:rsidR="00144D06" w:rsidRPr="00653ED9" w:rsidRDefault="00144D06" w:rsidP="00144D06">
            <w:pPr>
              <w:keepNext/>
              <w:ind w:right="17"/>
              <w:rPr>
                <w:rFonts w:ascii="Arial Narrow" w:hAnsi="Arial Narrow"/>
                <w:sz w:val="20"/>
                <w:szCs w:val="24"/>
              </w:rPr>
            </w:pPr>
          </w:p>
          <w:p w:rsidR="00144D06" w:rsidRPr="00653ED9" w:rsidRDefault="00144D06" w:rsidP="00144D06">
            <w:pPr>
              <w:keepNext/>
              <w:ind w:right="17"/>
              <w:rPr>
                <w:rFonts w:ascii="Arial Narrow" w:hAnsi="Arial Narrow"/>
                <w:sz w:val="20"/>
                <w:szCs w:val="24"/>
              </w:rPr>
            </w:pPr>
            <w:r w:rsidRPr="00653ED9">
              <w:rPr>
                <w:rFonts w:ascii="Arial Narrow" w:hAnsi="Arial Narrow"/>
                <w:sz w:val="20"/>
                <w:szCs w:val="24"/>
              </w:rPr>
              <w:t>Opdivo</w:t>
            </w:r>
            <w:r w:rsidRPr="00653ED9">
              <w:rPr>
                <w:rFonts w:ascii="Arial Narrow" w:hAnsi="Arial Narrow"/>
                <w:sz w:val="20"/>
                <w:szCs w:val="24"/>
                <w:vertAlign w:val="superscript"/>
              </w:rPr>
              <w:t>®</w:t>
            </w:r>
          </w:p>
          <w:p w:rsidR="00144D06" w:rsidRPr="00653ED9" w:rsidRDefault="00144D06" w:rsidP="000B4DF3">
            <w:pPr>
              <w:keepNext/>
              <w:ind w:left="116" w:right="17" w:hanging="116"/>
              <w:rPr>
                <w:rFonts w:ascii="Arial Narrow" w:hAnsi="Arial Narrow"/>
                <w:sz w:val="20"/>
                <w:szCs w:val="24"/>
              </w:rPr>
            </w:pPr>
            <w:r w:rsidRPr="00653ED9">
              <w:rPr>
                <w:rFonts w:ascii="Arial Narrow" w:hAnsi="Arial Narrow"/>
                <w:sz w:val="20"/>
                <w:szCs w:val="24"/>
              </w:rPr>
              <w:t>Bristol-Myers Squibb Australia Pty Ltd</w:t>
            </w:r>
            <w:r w:rsidR="000B4DF3">
              <w:rPr>
                <w:rFonts w:ascii="Arial Narrow" w:hAnsi="Arial Narrow"/>
                <w:sz w:val="20"/>
                <w:szCs w:val="24"/>
              </w:rPr>
              <w:t xml:space="preserve"> (BQ)</w:t>
            </w:r>
          </w:p>
        </w:tc>
      </w:tr>
    </w:tbl>
    <w:p w:rsidR="00144D06" w:rsidRPr="00F702DF" w:rsidRDefault="0014179C" w:rsidP="00280C77">
      <w:pPr>
        <w:pStyle w:val="TableFooter"/>
        <w:ind w:left="720"/>
        <w:rPr>
          <w:u w:val="single"/>
        </w:rPr>
      </w:pPr>
      <w:r>
        <w:rPr>
          <w:vertAlign w:val="superscript"/>
        </w:rPr>
        <w:t>a</w:t>
      </w:r>
      <w:r w:rsidRPr="00F702DF">
        <w:rPr>
          <w:vertAlign w:val="superscript"/>
        </w:rPr>
        <w:t xml:space="preserve"> </w:t>
      </w:r>
      <w:r w:rsidR="001B6122" w:rsidRPr="00F702DF">
        <w:t>The d</w:t>
      </w:r>
      <w:r w:rsidR="00144D06" w:rsidRPr="00F702DF">
        <w:t xml:space="preserve">ispensed prices </w:t>
      </w:r>
      <w:r w:rsidR="001B6122" w:rsidRPr="00F702DF">
        <w:t>for</w:t>
      </w:r>
      <w:r w:rsidR="00144D06" w:rsidRPr="00F702DF">
        <w:t xml:space="preserve"> the maximum amount of 360</w:t>
      </w:r>
      <w:r w:rsidR="00285936" w:rsidRPr="00F702DF">
        <w:t> </w:t>
      </w:r>
      <w:r w:rsidR="00144D06" w:rsidRPr="00F702DF">
        <w:t>mg have been calculated during the evaluation using the updated remuneration arrangements (from 1 July 2015)</w:t>
      </w:r>
      <w:r w:rsidR="001B6122" w:rsidRPr="00F702DF">
        <w:rPr>
          <w:rStyle w:val="FootnoteReference"/>
          <w:szCs w:val="24"/>
        </w:rPr>
        <w:footnoteReference w:id="1"/>
      </w:r>
      <w:r w:rsidR="00144D06" w:rsidRPr="00F702DF">
        <w:rPr>
          <w:szCs w:val="24"/>
        </w:rPr>
        <w:t>.</w:t>
      </w:r>
      <w:r w:rsidR="00144D06" w:rsidRPr="00F702DF">
        <w:t xml:space="preserve"> </w:t>
      </w:r>
      <w:r w:rsidR="00144D06" w:rsidRPr="00F702DF">
        <w:rPr>
          <w:u w:val="single"/>
        </w:rPr>
        <w:t>The submission propose</w:t>
      </w:r>
      <w:r w:rsidR="00B16A53" w:rsidRPr="00F702DF">
        <w:rPr>
          <w:u w:val="single"/>
        </w:rPr>
        <w:t>d</w:t>
      </w:r>
      <w:r w:rsidR="00144D06" w:rsidRPr="00F702DF">
        <w:rPr>
          <w:u w:val="single"/>
        </w:rPr>
        <w:t xml:space="preserve"> a special pricing arr</w:t>
      </w:r>
      <w:r w:rsidR="00144D06" w:rsidRPr="005C22F2">
        <w:rPr>
          <w:u w:val="single"/>
        </w:rPr>
        <w:t>angement.</w:t>
      </w:r>
    </w:p>
    <w:p w:rsidR="001B6122" w:rsidRPr="00285936" w:rsidRDefault="001B6122" w:rsidP="00144D06">
      <w:pPr>
        <w:rPr>
          <w:rFonts w:ascii="Arial Narrow" w:hAnsi="Arial Narrow"/>
          <w:color w:val="222222"/>
          <w:sz w:val="20"/>
          <w:lang w:eastAsia="en-AU"/>
        </w:rPr>
      </w:pPr>
    </w:p>
    <w:tbl>
      <w:tblPr>
        <w:tblW w:w="8363" w:type="dxa"/>
        <w:tblInd w:w="817" w:type="dxa"/>
        <w:tblLayout w:type="fixed"/>
        <w:tblLook w:val="0000" w:firstRow="0" w:lastRow="0" w:firstColumn="0" w:lastColumn="0" w:noHBand="0" w:noVBand="0"/>
      </w:tblPr>
      <w:tblGrid>
        <w:gridCol w:w="2552"/>
        <w:gridCol w:w="5811"/>
      </w:tblGrid>
      <w:tr w:rsidR="005C22F2" w:rsidRPr="007076D0" w:rsidTr="00F2545A">
        <w:trPr>
          <w:cantSplit/>
          <w:trHeight w:val="360"/>
        </w:trPr>
        <w:tc>
          <w:tcPr>
            <w:tcW w:w="2552"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rPr>
                <w:rFonts w:ascii="Arial Narrow" w:hAnsi="Arial Narrow"/>
                <w:b/>
                <w:snapToGrid/>
                <w:sz w:val="20"/>
                <w:lang w:eastAsia="en-AU"/>
              </w:rPr>
            </w:pPr>
            <w:r w:rsidRPr="007076D0">
              <w:rPr>
                <w:rFonts w:ascii="Arial Narrow" w:hAnsi="Arial Narrow"/>
                <w:b/>
                <w:snapToGrid/>
                <w:sz w:val="20"/>
                <w:lang w:eastAsia="en-AU"/>
              </w:rPr>
              <w:t>Category / Program:</w:t>
            </w:r>
          </w:p>
        </w:tc>
        <w:tc>
          <w:tcPr>
            <w:tcW w:w="5811"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t>Section 100 – Efficient Funding of Chemotherapy</w:t>
            </w:r>
          </w:p>
        </w:tc>
      </w:tr>
      <w:tr w:rsidR="005C22F2" w:rsidRPr="007076D0" w:rsidTr="00F2545A">
        <w:trPr>
          <w:cantSplit/>
          <w:trHeight w:val="360"/>
        </w:trPr>
        <w:tc>
          <w:tcPr>
            <w:tcW w:w="2552"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rPr>
                <w:rFonts w:ascii="Arial Narrow" w:hAnsi="Arial Narrow"/>
                <w:b/>
                <w:snapToGrid/>
                <w:sz w:val="20"/>
                <w:lang w:eastAsia="en-AU"/>
              </w:rPr>
            </w:pPr>
            <w:r w:rsidRPr="007076D0">
              <w:rPr>
                <w:rFonts w:ascii="Arial Narrow" w:hAnsi="Arial Narrow"/>
                <w:b/>
                <w:snapToGrid/>
                <w:sz w:val="20"/>
                <w:lang w:eastAsia="en-AU"/>
              </w:rPr>
              <w:t>Prescriber type:</w:t>
            </w:r>
          </w:p>
        </w:tc>
        <w:tc>
          <w:tcPr>
            <w:tcW w:w="5811"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fldChar w:fldCharType="begin">
                <w:ffData>
                  <w:name w:val="Check1"/>
                  <w:enabled/>
                  <w:calcOnExit w:val="0"/>
                  <w:checkBox>
                    <w:sizeAuto/>
                    <w:default w:val="0"/>
                  </w:checkBox>
                </w:ffData>
              </w:fldChar>
            </w:r>
            <w:r w:rsidRPr="007076D0">
              <w:rPr>
                <w:rFonts w:ascii="Arial Narrow" w:hAnsi="Arial Narrow"/>
                <w:snapToGrid/>
                <w:sz w:val="20"/>
                <w:lang w:eastAsia="en-AU"/>
              </w:rPr>
              <w:instrText xml:space="preserve"> FORMCHECKBOX </w:instrText>
            </w:r>
            <w:r w:rsidR="008F7EC7">
              <w:rPr>
                <w:rFonts w:ascii="Arial Narrow" w:hAnsi="Arial Narrow"/>
                <w:snapToGrid/>
                <w:sz w:val="20"/>
                <w:lang w:eastAsia="en-AU"/>
              </w:rPr>
            </w:r>
            <w:r w:rsidR="008F7EC7">
              <w:rPr>
                <w:rFonts w:ascii="Arial Narrow" w:hAnsi="Arial Narrow"/>
                <w:snapToGrid/>
                <w:sz w:val="20"/>
                <w:lang w:eastAsia="en-AU"/>
              </w:rPr>
              <w:fldChar w:fldCharType="separate"/>
            </w:r>
            <w:r w:rsidRPr="007076D0">
              <w:rPr>
                <w:rFonts w:ascii="Arial Narrow" w:hAnsi="Arial Narrow"/>
                <w:snapToGrid/>
                <w:sz w:val="20"/>
                <w:lang w:eastAsia="en-AU"/>
              </w:rPr>
              <w:fldChar w:fldCharType="end"/>
            </w:r>
            <w:r w:rsidRPr="007076D0">
              <w:rPr>
                <w:rFonts w:ascii="Arial Narrow" w:hAnsi="Arial Narrow"/>
                <w:snapToGrid/>
                <w:sz w:val="20"/>
                <w:lang w:eastAsia="en-AU"/>
              </w:rPr>
              <w:t xml:space="preserve">Dental  </w:t>
            </w:r>
            <w:r w:rsidRPr="007076D0">
              <w:rPr>
                <w:rFonts w:ascii="Arial Narrow" w:hAnsi="Arial Narrow"/>
                <w:snapToGrid/>
                <w:sz w:val="20"/>
                <w:lang w:eastAsia="en-AU"/>
              </w:rPr>
              <w:fldChar w:fldCharType="begin">
                <w:ffData>
                  <w:name w:val=""/>
                  <w:enabled/>
                  <w:calcOnExit w:val="0"/>
                  <w:checkBox>
                    <w:sizeAuto/>
                    <w:default w:val="1"/>
                  </w:checkBox>
                </w:ffData>
              </w:fldChar>
            </w:r>
            <w:r w:rsidRPr="007076D0">
              <w:rPr>
                <w:rFonts w:ascii="Arial Narrow" w:hAnsi="Arial Narrow"/>
                <w:snapToGrid/>
                <w:sz w:val="20"/>
                <w:lang w:eastAsia="en-AU"/>
              </w:rPr>
              <w:instrText xml:space="preserve"> FORMCHECKBOX </w:instrText>
            </w:r>
            <w:r w:rsidR="008F7EC7">
              <w:rPr>
                <w:rFonts w:ascii="Arial Narrow" w:hAnsi="Arial Narrow"/>
                <w:snapToGrid/>
                <w:sz w:val="20"/>
                <w:lang w:eastAsia="en-AU"/>
              </w:rPr>
            </w:r>
            <w:r w:rsidR="008F7EC7">
              <w:rPr>
                <w:rFonts w:ascii="Arial Narrow" w:hAnsi="Arial Narrow"/>
                <w:snapToGrid/>
                <w:sz w:val="20"/>
                <w:lang w:eastAsia="en-AU"/>
              </w:rPr>
              <w:fldChar w:fldCharType="separate"/>
            </w:r>
            <w:r w:rsidRPr="007076D0">
              <w:rPr>
                <w:rFonts w:ascii="Arial Narrow" w:hAnsi="Arial Narrow"/>
                <w:snapToGrid/>
                <w:sz w:val="20"/>
                <w:lang w:eastAsia="en-AU"/>
              </w:rPr>
              <w:fldChar w:fldCharType="end"/>
            </w:r>
            <w:r w:rsidRPr="007076D0">
              <w:rPr>
                <w:rFonts w:ascii="Arial Narrow" w:hAnsi="Arial Narrow"/>
                <w:snapToGrid/>
                <w:sz w:val="20"/>
                <w:lang w:eastAsia="en-AU"/>
              </w:rPr>
              <w:t xml:space="preserve">Medical Practitioners  </w:t>
            </w:r>
            <w:r w:rsidRPr="007076D0">
              <w:rPr>
                <w:rFonts w:ascii="Arial Narrow" w:hAnsi="Arial Narrow"/>
                <w:snapToGrid/>
                <w:sz w:val="20"/>
                <w:lang w:eastAsia="en-AU"/>
              </w:rPr>
              <w:fldChar w:fldCharType="begin">
                <w:ffData>
                  <w:name w:val="Check3"/>
                  <w:enabled/>
                  <w:calcOnExit w:val="0"/>
                  <w:checkBox>
                    <w:sizeAuto/>
                    <w:default w:val="0"/>
                  </w:checkBox>
                </w:ffData>
              </w:fldChar>
            </w:r>
            <w:r w:rsidRPr="007076D0">
              <w:rPr>
                <w:rFonts w:ascii="Arial Narrow" w:hAnsi="Arial Narrow"/>
                <w:snapToGrid/>
                <w:sz w:val="20"/>
                <w:lang w:eastAsia="en-AU"/>
              </w:rPr>
              <w:instrText xml:space="preserve"> FORMCHECKBOX </w:instrText>
            </w:r>
            <w:r w:rsidR="008F7EC7">
              <w:rPr>
                <w:rFonts w:ascii="Arial Narrow" w:hAnsi="Arial Narrow"/>
                <w:snapToGrid/>
                <w:sz w:val="20"/>
                <w:lang w:eastAsia="en-AU"/>
              </w:rPr>
            </w:r>
            <w:r w:rsidR="008F7EC7">
              <w:rPr>
                <w:rFonts w:ascii="Arial Narrow" w:hAnsi="Arial Narrow"/>
                <w:snapToGrid/>
                <w:sz w:val="20"/>
                <w:lang w:eastAsia="en-AU"/>
              </w:rPr>
              <w:fldChar w:fldCharType="separate"/>
            </w:r>
            <w:r w:rsidRPr="007076D0">
              <w:rPr>
                <w:rFonts w:ascii="Arial Narrow" w:hAnsi="Arial Narrow"/>
                <w:snapToGrid/>
                <w:sz w:val="20"/>
                <w:lang w:eastAsia="en-AU"/>
              </w:rPr>
              <w:fldChar w:fldCharType="end"/>
            </w:r>
            <w:r w:rsidRPr="007076D0">
              <w:rPr>
                <w:rFonts w:ascii="Arial Narrow" w:hAnsi="Arial Narrow"/>
                <w:snapToGrid/>
                <w:sz w:val="20"/>
                <w:lang w:eastAsia="en-AU"/>
              </w:rPr>
              <w:t xml:space="preserve">Nurse practitioners  </w:t>
            </w:r>
            <w:r w:rsidRPr="007076D0">
              <w:rPr>
                <w:rFonts w:ascii="Arial Narrow" w:hAnsi="Arial Narrow"/>
                <w:snapToGrid/>
                <w:sz w:val="20"/>
                <w:lang w:eastAsia="en-AU"/>
              </w:rPr>
              <w:fldChar w:fldCharType="begin">
                <w:ffData>
                  <w:name w:val=""/>
                  <w:enabled/>
                  <w:calcOnExit w:val="0"/>
                  <w:checkBox>
                    <w:sizeAuto/>
                    <w:default w:val="0"/>
                  </w:checkBox>
                </w:ffData>
              </w:fldChar>
            </w:r>
            <w:r w:rsidRPr="007076D0">
              <w:rPr>
                <w:rFonts w:ascii="Arial Narrow" w:hAnsi="Arial Narrow"/>
                <w:snapToGrid/>
                <w:sz w:val="20"/>
                <w:lang w:eastAsia="en-AU"/>
              </w:rPr>
              <w:instrText xml:space="preserve"> FORMCHECKBOX </w:instrText>
            </w:r>
            <w:r w:rsidR="008F7EC7">
              <w:rPr>
                <w:rFonts w:ascii="Arial Narrow" w:hAnsi="Arial Narrow"/>
                <w:snapToGrid/>
                <w:sz w:val="20"/>
                <w:lang w:eastAsia="en-AU"/>
              </w:rPr>
            </w:r>
            <w:r w:rsidR="008F7EC7">
              <w:rPr>
                <w:rFonts w:ascii="Arial Narrow" w:hAnsi="Arial Narrow"/>
                <w:snapToGrid/>
                <w:sz w:val="20"/>
                <w:lang w:eastAsia="en-AU"/>
              </w:rPr>
              <w:fldChar w:fldCharType="separate"/>
            </w:r>
            <w:r w:rsidRPr="007076D0">
              <w:rPr>
                <w:rFonts w:ascii="Arial Narrow" w:hAnsi="Arial Narrow"/>
                <w:snapToGrid/>
                <w:sz w:val="20"/>
                <w:lang w:eastAsia="en-AU"/>
              </w:rPr>
              <w:fldChar w:fldCharType="end"/>
            </w:r>
            <w:r w:rsidRPr="007076D0">
              <w:rPr>
                <w:rFonts w:ascii="Arial Narrow" w:hAnsi="Arial Narrow"/>
                <w:snapToGrid/>
                <w:sz w:val="20"/>
                <w:lang w:eastAsia="en-AU"/>
              </w:rPr>
              <w:t>Optometrists</w:t>
            </w:r>
          </w:p>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fldChar w:fldCharType="begin">
                <w:ffData>
                  <w:name w:val="Check5"/>
                  <w:enabled/>
                  <w:calcOnExit w:val="0"/>
                  <w:checkBox>
                    <w:sizeAuto/>
                    <w:default w:val="0"/>
                  </w:checkBox>
                </w:ffData>
              </w:fldChar>
            </w:r>
            <w:r w:rsidRPr="007076D0">
              <w:rPr>
                <w:rFonts w:ascii="Arial Narrow" w:hAnsi="Arial Narrow"/>
                <w:snapToGrid/>
                <w:sz w:val="20"/>
                <w:lang w:eastAsia="en-AU"/>
              </w:rPr>
              <w:instrText xml:space="preserve"> FORMCHECKBOX </w:instrText>
            </w:r>
            <w:r w:rsidR="008F7EC7">
              <w:rPr>
                <w:rFonts w:ascii="Arial Narrow" w:hAnsi="Arial Narrow"/>
                <w:snapToGrid/>
                <w:sz w:val="20"/>
                <w:lang w:eastAsia="en-AU"/>
              </w:rPr>
            </w:r>
            <w:r w:rsidR="008F7EC7">
              <w:rPr>
                <w:rFonts w:ascii="Arial Narrow" w:hAnsi="Arial Narrow"/>
                <w:snapToGrid/>
                <w:sz w:val="20"/>
                <w:lang w:eastAsia="en-AU"/>
              </w:rPr>
              <w:fldChar w:fldCharType="separate"/>
            </w:r>
            <w:r w:rsidRPr="007076D0">
              <w:rPr>
                <w:rFonts w:ascii="Arial Narrow" w:hAnsi="Arial Narrow"/>
                <w:snapToGrid/>
                <w:sz w:val="20"/>
                <w:lang w:eastAsia="en-AU"/>
              </w:rPr>
              <w:fldChar w:fldCharType="end"/>
            </w:r>
            <w:r w:rsidRPr="007076D0">
              <w:rPr>
                <w:rFonts w:ascii="Arial Narrow" w:hAnsi="Arial Narrow"/>
                <w:snapToGrid/>
                <w:sz w:val="20"/>
                <w:lang w:eastAsia="en-AU"/>
              </w:rPr>
              <w:t>Midwives</w:t>
            </w:r>
          </w:p>
        </w:tc>
      </w:tr>
      <w:tr w:rsidR="005C22F2" w:rsidRPr="007076D0" w:rsidTr="00F2545A">
        <w:trPr>
          <w:cantSplit/>
          <w:trHeight w:val="360"/>
        </w:trPr>
        <w:tc>
          <w:tcPr>
            <w:tcW w:w="2552"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rPr>
                <w:rFonts w:ascii="Arial Narrow" w:hAnsi="Arial Narrow"/>
                <w:b/>
                <w:snapToGrid/>
                <w:sz w:val="20"/>
                <w:lang w:eastAsia="en-AU"/>
              </w:rPr>
            </w:pPr>
            <w:r w:rsidRPr="007076D0">
              <w:rPr>
                <w:rFonts w:ascii="Arial Narrow" w:hAnsi="Arial Narrow"/>
                <w:b/>
                <w:snapToGrid/>
                <w:sz w:val="20"/>
                <w:lang w:eastAsia="en-AU"/>
              </w:rPr>
              <w:t>Episodicity:</w:t>
            </w:r>
          </w:p>
        </w:tc>
        <w:tc>
          <w:tcPr>
            <w:tcW w:w="5811"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t>-</w:t>
            </w:r>
          </w:p>
        </w:tc>
      </w:tr>
      <w:tr w:rsidR="005C22F2" w:rsidRPr="007076D0" w:rsidTr="00F2545A">
        <w:trPr>
          <w:cantSplit/>
          <w:trHeight w:val="360"/>
        </w:trPr>
        <w:tc>
          <w:tcPr>
            <w:tcW w:w="2552"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rPr>
                <w:rFonts w:ascii="Arial Narrow" w:hAnsi="Arial Narrow"/>
                <w:b/>
                <w:snapToGrid/>
                <w:sz w:val="20"/>
                <w:lang w:eastAsia="en-AU"/>
              </w:rPr>
            </w:pPr>
            <w:r w:rsidRPr="007076D0">
              <w:rPr>
                <w:rFonts w:ascii="Arial Narrow" w:hAnsi="Arial Narrow"/>
                <w:b/>
                <w:snapToGrid/>
                <w:sz w:val="20"/>
                <w:lang w:eastAsia="en-AU"/>
              </w:rPr>
              <w:t>Severity:</w:t>
            </w:r>
          </w:p>
        </w:tc>
        <w:tc>
          <w:tcPr>
            <w:tcW w:w="5811"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t>Locally advanced or metastatic</w:t>
            </w:r>
          </w:p>
        </w:tc>
      </w:tr>
      <w:tr w:rsidR="005C22F2" w:rsidRPr="007076D0" w:rsidTr="00F2545A">
        <w:trPr>
          <w:cantSplit/>
          <w:trHeight w:val="360"/>
        </w:trPr>
        <w:tc>
          <w:tcPr>
            <w:tcW w:w="2552"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rPr>
                <w:rFonts w:ascii="Arial Narrow" w:hAnsi="Arial Narrow"/>
                <w:b/>
                <w:snapToGrid/>
                <w:sz w:val="20"/>
                <w:lang w:eastAsia="en-AU"/>
              </w:rPr>
            </w:pPr>
            <w:r w:rsidRPr="007076D0">
              <w:rPr>
                <w:rFonts w:ascii="Arial Narrow" w:hAnsi="Arial Narrow"/>
                <w:b/>
                <w:snapToGrid/>
                <w:sz w:val="20"/>
                <w:lang w:eastAsia="en-AU"/>
              </w:rPr>
              <w:t>Condition:</w:t>
            </w:r>
          </w:p>
        </w:tc>
        <w:tc>
          <w:tcPr>
            <w:tcW w:w="5811"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trike/>
                <w:snapToGrid/>
                <w:sz w:val="20"/>
                <w:lang w:eastAsia="en-AU"/>
              </w:rPr>
              <w:t>Non-squamous</w:t>
            </w:r>
            <w:r w:rsidRPr="007076D0">
              <w:rPr>
                <w:rFonts w:ascii="Arial Narrow" w:hAnsi="Arial Narrow"/>
                <w:snapToGrid/>
                <w:sz w:val="20"/>
                <w:lang w:eastAsia="en-AU"/>
              </w:rPr>
              <w:t xml:space="preserve"> non-small cell lung cancer (NSCLC)</w:t>
            </w:r>
          </w:p>
        </w:tc>
      </w:tr>
      <w:tr w:rsidR="005C22F2" w:rsidRPr="007076D0" w:rsidTr="00F2545A">
        <w:trPr>
          <w:cantSplit/>
          <w:trHeight w:val="360"/>
        </w:trPr>
        <w:tc>
          <w:tcPr>
            <w:tcW w:w="2552"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rPr>
                <w:rFonts w:ascii="Arial Narrow" w:hAnsi="Arial Narrow"/>
                <w:b/>
                <w:snapToGrid/>
                <w:sz w:val="20"/>
                <w:lang w:eastAsia="en-AU"/>
              </w:rPr>
            </w:pPr>
            <w:r w:rsidRPr="007076D0">
              <w:rPr>
                <w:rFonts w:ascii="Arial Narrow" w:hAnsi="Arial Narrow"/>
                <w:b/>
                <w:snapToGrid/>
                <w:sz w:val="20"/>
                <w:lang w:eastAsia="en-AU"/>
              </w:rPr>
              <w:t>PBS Indication:</w:t>
            </w:r>
          </w:p>
        </w:tc>
        <w:tc>
          <w:tcPr>
            <w:tcW w:w="5811"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t xml:space="preserve">Locally advanced or metastatic </w:t>
            </w:r>
            <w:r w:rsidRPr="007076D0">
              <w:rPr>
                <w:rFonts w:ascii="Arial Narrow" w:hAnsi="Arial Narrow"/>
                <w:strike/>
                <w:snapToGrid/>
                <w:sz w:val="20"/>
                <w:lang w:eastAsia="en-AU"/>
              </w:rPr>
              <w:t>non-squamous</w:t>
            </w:r>
            <w:r w:rsidRPr="007076D0">
              <w:rPr>
                <w:rFonts w:ascii="Arial Narrow" w:hAnsi="Arial Narrow"/>
                <w:snapToGrid/>
                <w:sz w:val="20"/>
                <w:lang w:eastAsia="en-AU"/>
              </w:rPr>
              <w:t xml:space="preserve"> non-small cell lung cancer (NSCLC)</w:t>
            </w:r>
          </w:p>
        </w:tc>
      </w:tr>
      <w:tr w:rsidR="005C22F2" w:rsidRPr="007076D0" w:rsidTr="00F2545A">
        <w:trPr>
          <w:cantSplit/>
          <w:trHeight w:val="360"/>
        </w:trPr>
        <w:tc>
          <w:tcPr>
            <w:tcW w:w="2552"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rPr>
                <w:rFonts w:ascii="Arial Narrow" w:hAnsi="Arial Narrow"/>
                <w:b/>
                <w:snapToGrid/>
                <w:sz w:val="20"/>
                <w:lang w:eastAsia="en-AU"/>
              </w:rPr>
            </w:pPr>
            <w:r w:rsidRPr="007076D0">
              <w:rPr>
                <w:rFonts w:ascii="Arial Narrow" w:hAnsi="Arial Narrow"/>
                <w:b/>
                <w:snapToGrid/>
                <w:sz w:val="20"/>
                <w:lang w:eastAsia="en-AU"/>
              </w:rPr>
              <w:t>Treatment phase:</w:t>
            </w:r>
          </w:p>
        </w:tc>
        <w:tc>
          <w:tcPr>
            <w:tcW w:w="5811"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t>Initial treatment</w:t>
            </w:r>
          </w:p>
        </w:tc>
      </w:tr>
      <w:tr w:rsidR="005C22F2" w:rsidRPr="007076D0" w:rsidTr="00F2545A">
        <w:trPr>
          <w:cantSplit/>
          <w:trHeight w:val="360"/>
        </w:trPr>
        <w:tc>
          <w:tcPr>
            <w:tcW w:w="2552"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rPr>
                <w:rFonts w:ascii="Arial Narrow" w:hAnsi="Arial Narrow"/>
                <w:b/>
                <w:snapToGrid/>
                <w:sz w:val="20"/>
                <w:lang w:eastAsia="en-AU"/>
              </w:rPr>
            </w:pPr>
            <w:r w:rsidRPr="007076D0">
              <w:rPr>
                <w:rFonts w:ascii="Arial Narrow" w:hAnsi="Arial Narrow"/>
                <w:b/>
                <w:snapToGrid/>
                <w:sz w:val="20"/>
                <w:lang w:eastAsia="en-AU"/>
              </w:rPr>
              <w:t>Restriction Level / Method:</w:t>
            </w:r>
          </w:p>
        </w:tc>
        <w:tc>
          <w:tcPr>
            <w:tcW w:w="5811"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fldChar w:fldCharType="begin">
                <w:ffData>
                  <w:name w:val="Check1"/>
                  <w:enabled/>
                  <w:calcOnExit w:val="0"/>
                  <w:checkBox>
                    <w:sizeAuto/>
                    <w:default w:val="0"/>
                  </w:checkBox>
                </w:ffData>
              </w:fldChar>
            </w:r>
            <w:r w:rsidRPr="007076D0">
              <w:rPr>
                <w:rFonts w:ascii="Arial Narrow" w:hAnsi="Arial Narrow"/>
                <w:snapToGrid/>
                <w:sz w:val="20"/>
                <w:lang w:eastAsia="en-AU"/>
              </w:rPr>
              <w:instrText xml:space="preserve"> FORMCHECKBOX </w:instrText>
            </w:r>
            <w:r w:rsidR="008F7EC7">
              <w:rPr>
                <w:rFonts w:ascii="Arial Narrow" w:hAnsi="Arial Narrow"/>
                <w:snapToGrid/>
                <w:sz w:val="20"/>
                <w:lang w:eastAsia="en-AU"/>
              </w:rPr>
            </w:r>
            <w:r w:rsidR="008F7EC7">
              <w:rPr>
                <w:rFonts w:ascii="Arial Narrow" w:hAnsi="Arial Narrow"/>
                <w:snapToGrid/>
                <w:sz w:val="20"/>
                <w:lang w:eastAsia="en-AU"/>
              </w:rPr>
              <w:fldChar w:fldCharType="separate"/>
            </w:r>
            <w:r w:rsidRPr="007076D0">
              <w:rPr>
                <w:rFonts w:ascii="Arial Narrow" w:hAnsi="Arial Narrow"/>
                <w:snapToGrid/>
                <w:sz w:val="20"/>
                <w:lang w:eastAsia="en-AU"/>
              </w:rPr>
              <w:fldChar w:fldCharType="end"/>
            </w:r>
            <w:r w:rsidRPr="007076D0">
              <w:rPr>
                <w:rFonts w:ascii="Arial Narrow" w:hAnsi="Arial Narrow"/>
                <w:snapToGrid/>
                <w:sz w:val="20"/>
                <w:lang w:eastAsia="en-AU"/>
              </w:rPr>
              <w:t>Restricted benefit</w:t>
            </w:r>
          </w:p>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fldChar w:fldCharType="begin">
                <w:ffData>
                  <w:name w:val=""/>
                  <w:enabled/>
                  <w:calcOnExit w:val="0"/>
                  <w:checkBox>
                    <w:sizeAuto/>
                    <w:default w:val="0"/>
                  </w:checkBox>
                </w:ffData>
              </w:fldChar>
            </w:r>
            <w:r w:rsidRPr="007076D0">
              <w:rPr>
                <w:rFonts w:ascii="Arial Narrow" w:hAnsi="Arial Narrow"/>
                <w:snapToGrid/>
                <w:sz w:val="20"/>
                <w:lang w:eastAsia="en-AU"/>
              </w:rPr>
              <w:instrText xml:space="preserve"> FORMCHECKBOX </w:instrText>
            </w:r>
            <w:r w:rsidR="008F7EC7">
              <w:rPr>
                <w:rFonts w:ascii="Arial Narrow" w:hAnsi="Arial Narrow"/>
                <w:snapToGrid/>
                <w:sz w:val="20"/>
                <w:lang w:eastAsia="en-AU"/>
              </w:rPr>
            </w:r>
            <w:r w:rsidR="008F7EC7">
              <w:rPr>
                <w:rFonts w:ascii="Arial Narrow" w:hAnsi="Arial Narrow"/>
                <w:snapToGrid/>
                <w:sz w:val="20"/>
                <w:lang w:eastAsia="en-AU"/>
              </w:rPr>
              <w:fldChar w:fldCharType="separate"/>
            </w:r>
            <w:r w:rsidRPr="007076D0">
              <w:rPr>
                <w:rFonts w:ascii="Arial Narrow" w:hAnsi="Arial Narrow"/>
                <w:snapToGrid/>
                <w:sz w:val="20"/>
                <w:lang w:eastAsia="en-AU"/>
              </w:rPr>
              <w:fldChar w:fldCharType="end"/>
            </w:r>
            <w:r w:rsidRPr="007076D0">
              <w:rPr>
                <w:rFonts w:ascii="Arial Narrow" w:hAnsi="Arial Narrow"/>
                <w:snapToGrid/>
                <w:sz w:val="20"/>
                <w:lang w:eastAsia="en-AU"/>
              </w:rPr>
              <w:t>Authority Required - In Writing</w:t>
            </w:r>
          </w:p>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fldChar w:fldCharType="begin">
                <w:ffData>
                  <w:name w:val="Check3"/>
                  <w:enabled/>
                  <w:calcOnExit w:val="0"/>
                  <w:checkBox>
                    <w:sizeAuto/>
                    <w:default w:val="0"/>
                  </w:checkBox>
                </w:ffData>
              </w:fldChar>
            </w:r>
            <w:r w:rsidRPr="007076D0">
              <w:rPr>
                <w:rFonts w:ascii="Arial Narrow" w:hAnsi="Arial Narrow"/>
                <w:snapToGrid/>
                <w:sz w:val="20"/>
                <w:lang w:eastAsia="en-AU"/>
              </w:rPr>
              <w:instrText xml:space="preserve"> FORMCHECKBOX </w:instrText>
            </w:r>
            <w:r w:rsidR="008F7EC7">
              <w:rPr>
                <w:rFonts w:ascii="Arial Narrow" w:hAnsi="Arial Narrow"/>
                <w:snapToGrid/>
                <w:sz w:val="20"/>
                <w:lang w:eastAsia="en-AU"/>
              </w:rPr>
            </w:r>
            <w:r w:rsidR="008F7EC7">
              <w:rPr>
                <w:rFonts w:ascii="Arial Narrow" w:hAnsi="Arial Narrow"/>
                <w:snapToGrid/>
                <w:sz w:val="20"/>
                <w:lang w:eastAsia="en-AU"/>
              </w:rPr>
              <w:fldChar w:fldCharType="separate"/>
            </w:r>
            <w:r w:rsidRPr="007076D0">
              <w:rPr>
                <w:rFonts w:ascii="Arial Narrow" w:hAnsi="Arial Narrow"/>
                <w:snapToGrid/>
                <w:sz w:val="20"/>
                <w:lang w:eastAsia="en-AU"/>
              </w:rPr>
              <w:fldChar w:fldCharType="end"/>
            </w:r>
            <w:r w:rsidRPr="007076D0">
              <w:rPr>
                <w:rFonts w:ascii="Arial Narrow" w:hAnsi="Arial Narrow"/>
                <w:snapToGrid/>
                <w:sz w:val="20"/>
                <w:lang w:eastAsia="en-AU"/>
              </w:rPr>
              <w:t>Authority Required - Telephone</w:t>
            </w:r>
          </w:p>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fldChar w:fldCharType="begin">
                <w:ffData>
                  <w:name w:val=""/>
                  <w:enabled/>
                  <w:calcOnExit w:val="0"/>
                  <w:checkBox>
                    <w:sizeAuto/>
                    <w:default w:val="0"/>
                  </w:checkBox>
                </w:ffData>
              </w:fldChar>
            </w:r>
            <w:r w:rsidRPr="007076D0">
              <w:rPr>
                <w:rFonts w:ascii="Arial Narrow" w:hAnsi="Arial Narrow"/>
                <w:snapToGrid/>
                <w:sz w:val="20"/>
                <w:lang w:eastAsia="en-AU"/>
              </w:rPr>
              <w:instrText xml:space="preserve"> FORMCHECKBOX </w:instrText>
            </w:r>
            <w:r w:rsidR="008F7EC7">
              <w:rPr>
                <w:rFonts w:ascii="Arial Narrow" w:hAnsi="Arial Narrow"/>
                <w:snapToGrid/>
                <w:sz w:val="20"/>
                <w:lang w:eastAsia="en-AU"/>
              </w:rPr>
            </w:r>
            <w:r w:rsidR="008F7EC7">
              <w:rPr>
                <w:rFonts w:ascii="Arial Narrow" w:hAnsi="Arial Narrow"/>
                <w:snapToGrid/>
                <w:sz w:val="20"/>
                <w:lang w:eastAsia="en-AU"/>
              </w:rPr>
              <w:fldChar w:fldCharType="separate"/>
            </w:r>
            <w:r w:rsidRPr="007076D0">
              <w:rPr>
                <w:rFonts w:ascii="Arial Narrow" w:hAnsi="Arial Narrow"/>
                <w:snapToGrid/>
                <w:sz w:val="20"/>
                <w:lang w:eastAsia="en-AU"/>
              </w:rPr>
              <w:fldChar w:fldCharType="end"/>
            </w:r>
            <w:r w:rsidRPr="007076D0">
              <w:rPr>
                <w:rFonts w:ascii="Arial Narrow" w:hAnsi="Arial Narrow"/>
                <w:snapToGrid/>
                <w:sz w:val="20"/>
                <w:lang w:eastAsia="en-AU"/>
              </w:rPr>
              <w:t>Authority Required – Emergency</w:t>
            </w:r>
          </w:p>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fldChar w:fldCharType="begin">
                <w:ffData>
                  <w:name w:val="Check5"/>
                  <w:enabled/>
                  <w:calcOnExit w:val="0"/>
                  <w:checkBox>
                    <w:sizeAuto/>
                    <w:default w:val="0"/>
                  </w:checkBox>
                </w:ffData>
              </w:fldChar>
            </w:r>
            <w:r w:rsidRPr="007076D0">
              <w:rPr>
                <w:rFonts w:ascii="Arial Narrow" w:hAnsi="Arial Narrow"/>
                <w:snapToGrid/>
                <w:sz w:val="20"/>
                <w:lang w:eastAsia="en-AU"/>
              </w:rPr>
              <w:instrText xml:space="preserve"> FORMCHECKBOX </w:instrText>
            </w:r>
            <w:r w:rsidR="008F7EC7">
              <w:rPr>
                <w:rFonts w:ascii="Arial Narrow" w:hAnsi="Arial Narrow"/>
                <w:snapToGrid/>
                <w:sz w:val="20"/>
                <w:lang w:eastAsia="en-AU"/>
              </w:rPr>
            </w:r>
            <w:r w:rsidR="008F7EC7">
              <w:rPr>
                <w:rFonts w:ascii="Arial Narrow" w:hAnsi="Arial Narrow"/>
                <w:snapToGrid/>
                <w:sz w:val="20"/>
                <w:lang w:eastAsia="en-AU"/>
              </w:rPr>
              <w:fldChar w:fldCharType="separate"/>
            </w:r>
            <w:r w:rsidRPr="007076D0">
              <w:rPr>
                <w:rFonts w:ascii="Arial Narrow" w:hAnsi="Arial Narrow"/>
                <w:snapToGrid/>
                <w:sz w:val="20"/>
                <w:lang w:eastAsia="en-AU"/>
              </w:rPr>
              <w:fldChar w:fldCharType="end"/>
            </w:r>
            <w:r w:rsidRPr="007076D0">
              <w:rPr>
                <w:rFonts w:ascii="Arial Narrow" w:hAnsi="Arial Narrow"/>
                <w:snapToGrid/>
                <w:sz w:val="20"/>
                <w:lang w:eastAsia="en-AU"/>
              </w:rPr>
              <w:t>Authority Required - Electronic</w:t>
            </w:r>
          </w:p>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fldChar w:fldCharType="begin">
                <w:ffData>
                  <w:name w:val="Check5"/>
                  <w:enabled/>
                  <w:calcOnExit w:val="0"/>
                  <w:checkBox>
                    <w:sizeAuto/>
                    <w:default w:val="1"/>
                  </w:checkBox>
                </w:ffData>
              </w:fldChar>
            </w:r>
            <w:r w:rsidRPr="007076D0">
              <w:rPr>
                <w:rFonts w:ascii="Arial Narrow" w:hAnsi="Arial Narrow"/>
                <w:snapToGrid/>
                <w:sz w:val="20"/>
                <w:lang w:eastAsia="en-AU"/>
              </w:rPr>
              <w:instrText xml:space="preserve"> FORMCHECKBOX </w:instrText>
            </w:r>
            <w:r w:rsidR="008F7EC7">
              <w:rPr>
                <w:rFonts w:ascii="Arial Narrow" w:hAnsi="Arial Narrow"/>
                <w:snapToGrid/>
                <w:sz w:val="20"/>
                <w:lang w:eastAsia="en-AU"/>
              </w:rPr>
            </w:r>
            <w:r w:rsidR="008F7EC7">
              <w:rPr>
                <w:rFonts w:ascii="Arial Narrow" w:hAnsi="Arial Narrow"/>
                <w:snapToGrid/>
                <w:sz w:val="20"/>
                <w:lang w:eastAsia="en-AU"/>
              </w:rPr>
              <w:fldChar w:fldCharType="separate"/>
            </w:r>
            <w:r w:rsidRPr="007076D0">
              <w:rPr>
                <w:rFonts w:ascii="Arial Narrow" w:hAnsi="Arial Narrow"/>
                <w:snapToGrid/>
                <w:sz w:val="20"/>
                <w:lang w:eastAsia="en-AU"/>
              </w:rPr>
              <w:fldChar w:fldCharType="end"/>
            </w:r>
            <w:r w:rsidRPr="007076D0">
              <w:rPr>
                <w:rFonts w:ascii="Arial Narrow" w:hAnsi="Arial Narrow"/>
                <w:snapToGrid/>
                <w:sz w:val="20"/>
                <w:lang w:eastAsia="en-AU"/>
              </w:rPr>
              <w:t>Streamlined</w:t>
            </w:r>
          </w:p>
        </w:tc>
      </w:tr>
      <w:tr w:rsidR="005C22F2" w:rsidRPr="007076D0" w:rsidTr="00F2545A">
        <w:trPr>
          <w:cantSplit/>
          <w:trHeight w:val="360"/>
        </w:trPr>
        <w:tc>
          <w:tcPr>
            <w:tcW w:w="2552"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rPr>
                <w:rFonts w:ascii="Arial Narrow" w:hAnsi="Arial Narrow"/>
                <w:b/>
                <w:snapToGrid/>
                <w:sz w:val="20"/>
                <w:lang w:eastAsia="en-AU"/>
              </w:rPr>
            </w:pPr>
            <w:r w:rsidRPr="007076D0">
              <w:rPr>
                <w:rFonts w:ascii="Arial Narrow" w:hAnsi="Arial Narrow"/>
                <w:b/>
                <w:snapToGrid/>
                <w:sz w:val="20"/>
                <w:lang w:eastAsia="en-AU"/>
              </w:rPr>
              <w:t>Clinical criteria:</w:t>
            </w:r>
          </w:p>
        </w:tc>
        <w:tc>
          <w:tcPr>
            <w:tcW w:w="5811"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jc w:val="left"/>
              <w:rPr>
                <w:rFonts w:ascii="Arial Narrow" w:hAnsi="Arial Narrow"/>
                <w:i/>
                <w:snapToGrid/>
                <w:sz w:val="20"/>
                <w:lang w:eastAsia="en-AU"/>
              </w:rPr>
            </w:pPr>
            <w:r w:rsidRPr="007076D0">
              <w:rPr>
                <w:rFonts w:ascii="Arial Narrow" w:hAnsi="Arial Narrow"/>
                <w:i/>
                <w:snapToGrid/>
                <w:sz w:val="20"/>
                <w:lang w:eastAsia="en-AU"/>
              </w:rPr>
              <w:t>The condition must be non-squamous type non-small cell lung cancer (NSCLC) or not otherwise specified type NSCLC</w:t>
            </w:r>
          </w:p>
          <w:p w:rsidR="005C22F2" w:rsidRPr="007076D0" w:rsidRDefault="005C22F2" w:rsidP="00573C1A">
            <w:pPr>
              <w:widowControl/>
              <w:jc w:val="left"/>
              <w:rPr>
                <w:rFonts w:ascii="Arial Narrow" w:hAnsi="Arial Narrow"/>
                <w:i/>
                <w:snapToGrid/>
                <w:sz w:val="20"/>
                <w:lang w:eastAsia="en-AU"/>
              </w:rPr>
            </w:pPr>
          </w:p>
          <w:p w:rsidR="005C22F2" w:rsidRPr="007076D0" w:rsidRDefault="005C22F2" w:rsidP="00573C1A">
            <w:pPr>
              <w:widowControl/>
              <w:jc w:val="left"/>
              <w:rPr>
                <w:rFonts w:ascii="Arial Narrow" w:hAnsi="Arial Narrow"/>
                <w:i/>
                <w:snapToGrid/>
                <w:sz w:val="20"/>
                <w:lang w:eastAsia="en-AU"/>
              </w:rPr>
            </w:pPr>
            <w:r w:rsidRPr="007076D0">
              <w:rPr>
                <w:rFonts w:ascii="Arial Narrow" w:hAnsi="Arial Narrow"/>
                <w:i/>
                <w:snapToGrid/>
                <w:sz w:val="20"/>
                <w:lang w:eastAsia="en-AU"/>
              </w:rPr>
              <w:t>AND</w:t>
            </w:r>
          </w:p>
          <w:p w:rsidR="005C22F2" w:rsidRPr="007076D0" w:rsidRDefault="005C22F2" w:rsidP="00573C1A">
            <w:pPr>
              <w:widowControl/>
              <w:jc w:val="left"/>
              <w:rPr>
                <w:rFonts w:ascii="Arial Narrow" w:hAnsi="Arial Narrow"/>
                <w:snapToGrid/>
                <w:sz w:val="20"/>
                <w:lang w:eastAsia="en-AU"/>
              </w:rPr>
            </w:pPr>
          </w:p>
          <w:p w:rsidR="005C22F2" w:rsidRPr="007076D0" w:rsidRDefault="005C22F2" w:rsidP="00573C1A">
            <w:pPr>
              <w:widowControl/>
              <w:jc w:val="left"/>
              <w:rPr>
                <w:rFonts w:ascii="Arial Narrow" w:hAnsi="Arial Narrow"/>
                <w:i/>
                <w:snapToGrid/>
                <w:sz w:val="20"/>
                <w:lang w:eastAsia="en-AU"/>
              </w:rPr>
            </w:pPr>
            <w:r w:rsidRPr="007076D0">
              <w:rPr>
                <w:rFonts w:ascii="Arial Narrow" w:hAnsi="Arial Narrow"/>
                <w:i/>
                <w:snapToGrid/>
                <w:sz w:val="20"/>
                <w:lang w:eastAsia="en-AU"/>
              </w:rPr>
              <w:t>Patient must have a WHO performance status of 1 or less</w:t>
            </w:r>
          </w:p>
          <w:p w:rsidR="005C22F2" w:rsidRPr="007076D0" w:rsidRDefault="005C22F2" w:rsidP="00573C1A">
            <w:pPr>
              <w:widowControl/>
              <w:jc w:val="left"/>
              <w:rPr>
                <w:rFonts w:ascii="Arial Narrow" w:hAnsi="Arial Narrow"/>
                <w:i/>
                <w:snapToGrid/>
                <w:sz w:val="20"/>
                <w:lang w:eastAsia="en-AU"/>
              </w:rPr>
            </w:pPr>
          </w:p>
          <w:p w:rsidR="005C22F2" w:rsidRPr="007076D0" w:rsidRDefault="005C22F2" w:rsidP="00573C1A">
            <w:pPr>
              <w:widowControl/>
              <w:jc w:val="left"/>
              <w:rPr>
                <w:rFonts w:ascii="Arial Narrow" w:hAnsi="Arial Narrow"/>
                <w:i/>
                <w:snapToGrid/>
                <w:sz w:val="20"/>
                <w:lang w:eastAsia="en-AU"/>
              </w:rPr>
            </w:pPr>
            <w:r w:rsidRPr="007076D0">
              <w:rPr>
                <w:rFonts w:ascii="Arial Narrow" w:hAnsi="Arial Narrow"/>
                <w:i/>
                <w:snapToGrid/>
                <w:sz w:val="20"/>
                <w:lang w:eastAsia="en-AU"/>
              </w:rPr>
              <w:t>AND</w:t>
            </w:r>
          </w:p>
          <w:p w:rsidR="005C22F2" w:rsidRPr="007076D0" w:rsidRDefault="005C22F2" w:rsidP="00573C1A">
            <w:pPr>
              <w:widowControl/>
              <w:jc w:val="left"/>
              <w:rPr>
                <w:rFonts w:ascii="Arial Narrow" w:hAnsi="Arial Narrow"/>
                <w:snapToGrid/>
                <w:sz w:val="20"/>
                <w:lang w:eastAsia="en-AU"/>
              </w:rPr>
            </w:pPr>
          </w:p>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t>The treatment must be the sole PBS-subsidised therapy for this condition</w:t>
            </w:r>
          </w:p>
          <w:p w:rsidR="005C22F2" w:rsidRPr="007076D0" w:rsidRDefault="005C22F2" w:rsidP="00573C1A">
            <w:pPr>
              <w:widowControl/>
              <w:jc w:val="left"/>
              <w:rPr>
                <w:rFonts w:ascii="Arial Narrow" w:hAnsi="Arial Narrow"/>
                <w:snapToGrid/>
                <w:sz w:val="20"/>
                <w:lang w:eastAsia="en-AU"/>
              </w:rPr>
            </w:pPr>
          </w:p>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t>AND</w:t>
            </w:r>
          </w:p>
          <w:p w:rsidR="005C22F2" w:rsidRPr="007076D0" w:rsidRDefault="005C22F2" w:rsidP="00573C1A">
            <w:pPr>
              <w:widowControl/>
              <w:jc w:val="left"/>
              <w:rPr>
                <w:rFonts w:ascii="Arial Narrow" w:hAnsi="Arial Narrow"/>
                <w:snapToGrid/>
                <w:sz w:val="20"/>
                <w:lang w:eastAsia="en-AU"/>
              </w:rPr>
            </w:pPr>
          </w:p>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t>The condition must have progressed on or after prior platinum based chemotherapy.</w:t>
            </w:r>
          </w:p>
        </w:tc>
      </w:tr>
      <w:tr w:rsidR="005C22F2" w:rsidRPr="007076D0" w:rsidTr="00F2545A">
        <w:trPr>
          <w:cantSplit/>
          <w:trHeight w:val="360"/>
        </w:trPr>
        <w:tc>
          <w:tcPr>
            <w:tcW w:w="2552"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rPr>
                <w:rFonts w:ascii="Arial Narrow" w:hAnsi="Arial Narrow"/>
                <w:snapToGrid/>
                <w:sz w:val="20"/>
                <w:lang w:eastAsia="en-AU"/>
              </w:rPr>
            </w:pPr>
            <w:r w:rsidRPr="007076D0">
              <w:rPr>
                <w:rFonts w:ascii="Arial Narrow" w:hAnsi="Arial Narrow"/>
                <w:b/>
                <w:snapToGrid/>
                <w:sz w:val="20"/>
                <w:lang w:eastAsia="en-AU"/>
              </w:rPr>
              <w:t>Prescriber Instructions:</w:t>
            </w:r>
          </w:p>
        </w:tc>
        <w:tc>
          <w:tcPr>
            <w:tcW w:w="5811"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t>The patient’s body weight must be documented in the patient’s medical records at the time treatment is initiated.</w:t>
            </w:r>
          </w:p>
        </w:tc>
      </w:tr>
      <w:tr w:rsidR="005C22F2" w:rsidRPr="007076D0" w:rsidTr="00F2545A">
        <w:trPr>
          <w:cantSplit/>
          <w:trHeight w:val="360"/>
        </w:trPr>
        <w:tc>
          <w:tcPr>
            <w:tcW w:w="2552"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rPr>
                <w:rFonts w:ascii="Arial Narrow" w:hAnsi="Arial Narrow"/>
                <w:i/>
                <w:snapToGrid/>
                <w:sz w:val="20"/>
                <w:lang w:eastAsia="en-AU"/>
              </w:rPr>
            </w:pPr>
            <w:r w:rsidRPr="007076D0">
              <w:rPr>
                <w:rFonts w:ascii="Arial Narrow" w:hAnsi="Arial Narrow"/>
                <w:b/>
                <w:snapToGrid/>
                <w:sz w:val="20"/>
                <w:lang w:eastAsia="en-AU"/>
              </w:rPr>
              <w:t>Administrative Advice:</w:t>
            </w:r>
          </w:p>
        </w:tc>
        <w:tc>
          <w:tcPr>
            <w:tcW w:w="5811"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t>No increase in the maximum number of repeats may be authorised.</w:t>
            </w:r>
          </w:p>
          <w:p w:rsidR="005C22F2" w:rsidRPr="007076D0" w:rsidRDefault="005C22F2" w:rsidP="00573C1A">
            <w:pPr>
              <w:widowControl/>
              <w:jc w:val="left"/>
              <w:rPr>
                <w:rFonts w:ascii="Arial Narrow" w:hAnsi="Arial Narrow"/>
                <w:snapToGrid/>
                <w:sz w:val="20"/>
                <w:lang w:eastAsia="en-AU"/>
              </w:rPr>
            </w:pPr>
          </w:p>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t>Special Pricing Arrangements apply.</w:t>
            </w:r>
          </w:p>
        </w:tc>
      </w:tr>
    </w:tbl>
    <w:p w:rsidR="005C22F2" w:rsidRPr="007076D0" w:rsidRDefault="005C22F2" w:rsidP="005C22F2">
      <w:pPr>
        <w:widowControl/>
        <w:jc w:val="left"/>
        <w:rPr>
          <w:snapToGrid/>
          <w:szCs w:val="22"/>
          <w:lang w:eastAsia="en-AU"/>
        </w:rPr>
      </w:pPr>
    </w:p>
    <w:p w:rsidR="005C22F2" w:rsidRPr="007076D0" w:rsidRDefault="005C22F2" w:rsidP="005C22F2">
      <w:pPr>
        <w:widowControl/>
        <w:jc w:val="left"/>
        <w:rPr>
          <w:snapToGrid/>
          <w:szCs w:val="22"/>
          <w:lang w:eastAsia="en-AU"/>
        </w:rPr>
      </w:pPr>
    </w:p>
    <w:tbl>
      <w:tblPr>
        <w:tblW w:w="8363" w:type="dxa"/>
        <w:tblInd w:w="817" w:type="dxa"/>
        <w:tblLayout w:type="fixed"/>
        <w:tblLook w:val="0000" w:firstRow="0" w:lastRow="0" w:firstColumn="0" w:lastColumn="0" w:noHBand="0" w:noVBand="0"/>
      </w:tblPr>
      <w:tblGrid>
        <w:gridCol w:w="2552"/>
        <w:gridCol w:w="5811"/>
      </w:tblGrid>
      <w:tr w:rsidR="005C22F2" w:rsidRPr="007076D0" w:rsidTr="00F2545A">
        <w:trPr>
          <w:cantSplit/>
          <w:trHeight w:val="360"/>
        </w:trPr>
        <w:tc>
          <w:tcPr>
            <w:tcW w:w="2552"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rPr>
                <w:rFonts w:ascii="Arial Narrow" w:hAnsi="Arial Narrow"/>
                <w:b/>
                <w:snapToGrid/>
                <w:sz w:val="20"/>
                <w:lang w:eastAsia="en-AU"/>
              </w:rPr>
            </w:pPr>
            <w:r w:rsidRPr="007076D0">
              <w:rPr>
                <w:rFonts w:ascii="Arial Narrow" w:hAnsi="Arial Narrow"/>
                <w:b/>
                <w:snapToGrid/>
                <w:sz w:val="20"/>
                <w:lang w:eastAsia="en-AU"/>
              </w:rPr>
              <w:t>Category / Program</w:t>
            </w:r>
          </w:p>
        </w:tc>
        <w:tc>
          <w:tcPr>
            <w:tcW w:w="5811"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t>Section 100 – Efficient Funding of Chemotherapy</w:t>
            </w:r>
          </w:p>
        </w:tc>
      </w:tr>
      <w:tr w:rsidR="005C22F2" w:rsidRPr="007076D0" w:rsidTr="00F2545A">
        <w:trPr>
          <w:cantSplit/>
          <w:trHeight w:val="360"/>
        </w:trPr>
        <w:tc>
          <w:tcPr>
            <w:tcW w:w="2552"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rPr>
                <w:rFonts w:ascii="Arial Narrow" w:hAnsi="Arial Narrow"/>
                <w:b/>
                <w:snapToGrid/>
                <w:sz w:val="20"/>
                <w:lang w:eastAsia="en-AU"/>
              </w:rPr>
            </w:pPr>
            <w:r w:rsidRPr="007076D0">
              <w:rPr>
                <w:rFonts w:ascii="Arial Narrow" w:hAnsi="Arial Narrow"/>
                <w:b/>
                <w:snapToGrid/>
                <w:sz w:val="20"/>
                <w:lang w:eastAsia="en-AU"/>
              </w:rPr>
              <w:t>Prescriber type:</w:t>
            </w:r>
          </w:p>
        </w:tc>
        <w:tc>
          <w:tcPr>
            <w:tcW w:w="5811"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fldChar w:fldCharType="begin">
                <w:ffData>
                  <w:name w:val="Check1"/>
                  <w:enabled/>
                  <w:calcOnExit w:val="0"/>
                  <w:checkBox>
                    <w:sizeAuto/>
                    <w:default w:val="0"/>
                  </w:checkBox>
                </w:ffData>
              </w:fldChar>
            </w:r>
            <w:r w:rsidRPr="007076D0">
              <w:rPr>
                <w:rFonts w:ascii="Arial Narrow" w:hAnsi="Arial Narrow"/>
                <w:snapToGrid/>
                <w:sz w:val="20"/>
                <w:lang w:eastAsia="en-AU"/>
              </w:rPr>
              <w:instrText xml:space="preserve"> FORMCHECKBOX </w:instrText>
            </w:r>
            <w:r w:rsidR="008F7EC7">
              <w:rPr>
                <w:rFonts w:ascii="Arial Narrow" w:hAnsi="Arial Narrow"/>
                <w:snapToGrid/>
                <w:sz w:val="20"/>
                <w:lang w:eastAsia="en-AU"/>
              </w:rPr>
            </w:r>
            <w:r w:rsidR="008F7EC7">
              <w:rPr>
                <w:rFonts w:ascii="Arial Narrow" w:hAnsi="Arial Narrow"/>
                <w:snapToGrid/>
                <w:sz w:val="20"/>
                <w:lang w:eastAsia="en-AU"/>
              </w:rPr>
              <w:fldChar w:fldCharType="separate"/>
            </w:r>
            <w:r w:rsidRPr="007076D0">
              <w:rPr>
                <w:rFonts w:ascii="Arial Narrow" w:hAnsi="Arial Narrow"/>
                <w:snapToGrid/>
                <w:sz w:val="20"/>
                <w:lang w:eastAsia="en-AU"/>
              </w:rPr>
              <w:fldChar w:fldCharType="end"/>
            </w:r>
            <w:r w:rsidRPr="007076D0">
              <w:rPr>
                <w:rFonts w:ascii="Arial Narrow" w:hAnsi="Arial Narrow"/>
                <w:snapToGrid/>
                <w:sz w:val="20"/>
                <w:lang w:eastAsia="en-AU"/>
              </w:rPr>
              <w:t xml:space="preserve">Dental  </w:t>
            </w:r>
            <w:r w:rsidRPr="007076D0">
              <w:rPr>
                <w:rFonts w:ascii="Arial Narrow" w:hAnsi="Arial Narrow"/>
                <w:snapToGrid/>
                <w:sz w:val="20"/>
                <w:lang w:eastAsia="en-AU"/>
              </w:rPr>
              <w:fldChar w:fldCharType="begin">
                <w:ffData>
                  <w:name w:val=""/>
                  <w:enabled/>
                  <w:calcOnExit w:val="0"/>
                  <w:checkBox>
                    <w:sizeAuto/>
                    <w:default w:val="1"/>
                  </w:checkBox>
                </w:ffData>
              </w:fldChar>
            </w:r>
            <w:r w:rsidRPr="007076D0">
              <w:rPr>
                <w:rFonts w:ascii="Arial Narrow" w:hAnsi="Arial Narrow"/>
                <w:snapToGrid/>
                <w:sz w:val="20"/>
                <w:lang w:eastAsia="en-AU"/>
              </w:rPr>
              <w:instrText xml:space="preserve"> FORMCHECKBOX </w:instrText>
            </w:r>
            <w:r w:rsidR="008F7EC7">
              <w:rPr>
                <w:rFonts w:ascii="Arial Narrow" w:hAnsi="Arial Narrow"/>
                <w:snapToGrid/>
                <w:sz w:val="20"/>
                <w:lang w:eastAsia="en-AU"/>
              </w:rPr>
            </w:r>
            <w:r w:rsidR="008F7EC7">
              <w:rPr>
                <w:rFonts w:ascii="Arial Narrow" w:hAnsi="Arial Narrow"/>
                <w:snapToGrid/>
                <w:sz w:val="20"/>
                <w:lang w:eastAsia="en-AU"/>
              </w:rPr>
              <w:fldChar w:fldCharType="separate"/>
            </w:r>
            <w:r w:rsidRPr="007076D0">
              <w:rPr>
                <w:rFonts w:ascii="Arial Narrow" w:hAnsi="Arial Narrow"/>
                <w:snapToGrid/>
                <w:sz w:val="20"/>
                <w:lang w:eastAsia="en-AU"/>
              </w:rPr>
              <w:fldChar w:fldCharType="end"/>
            </w:r>
            <w:r w:rsidRPr="007076D0">
              <w:rPr>
                <w:rFonts w:ascii="Arial Narrow" w:hAnsi="Arial Narrow"/>
                <w:snapToGrid/>
                <w:sz w:val="20"/>
                <w:lang w:eastAsia="en-AU"/>
              </w:rPr>
              <w:t xml:space="preserve">Medical Practitioners  </w:t>
            </w:r>
            <w:r w:rsidRPr="007076D0">
              <w:rPr>
                <w:rFonts w:ascii="Arial Narrow" w:hAnsi="Arial Narrow"/>
                <w:snapToGrid/>
                <w:sz w:val="20"/>
                <w:lang w:eastAsia="en-AU"/>
              </w:rPr>
              <w:fldChar w:fldCharType="begin">
                <w:ffData>
                  <w:name w:val="Check3"/>
                  <w:enabled/>
                  <w:calcOnExit w:val="0"/>
                  <w:checkBox>
                    <w:sizeAuto/>
                    <w:default w:val="0"/>
                  </w:checkBox>
                </w:ffData>
              </w:fldChar>
            </w:r>
            <w:r w:rsidRPr="007076D0">
              <w:rPr>
                <w:rFonts w:ascii="Arial Narrow" w:hAnsi="Arial Narrow"/>
                <w:snapToGrid/>
                <w:sz w:val="20"/>
                <w:lang w:eastAsia="en-AU"/>
              </w:rPr>
              <w:instrText xml:space="preserve"> FORMCHECKBOX </w:instrText>
            </w:r>
            <w:r w:rsidR="008F7EC7">
              <w:rPr>
                <w:rFonts w:ascii="Arial Narrow" w:hAnsi="Arial Narrow"/>
                <w:snapToGrid/>
                <w:sz w:val="20"/>
                <w:lang w:eastAsia="en-AU"/>
              </w:rPr>
            </w:r>
            <w:r w:rsidR="008F7EC7">
              <w:rPr>
                <w:rFonts w:ascii="Arial Narrow" w:hAnsi="Arial Narrow"/>
                <w:snapToGrid/>
                <w:sz w:val="20"/>
                <w:lang w:eastAsia="en-AU"/>
              </w:rPr>
              <w:fldChar w:fldCharType="separate"/>
            </w:r>
            <w:r w:rsidRPr="007076D0">
              <w:rPr>
                <w:rFonts w:ascii="Arial Narrow" w:hAnsi="Arial Narrow"/>
                <w:snapToGrid/>
                <w:sz w:val="20"/>
                <w:lang w:eastAsia="en-AU"/>
              </w:rPr>
              <w:fldChar w:fldCharType="end"/>
            </w:r>
            <w:r w:rsidRPr="007076D0">
              <w:rPr>
                <w:rFonts w:ascii="Arial Narrow" w:hAnsi="Arial Narrow"/>
                <w:snapToGrid/>
                <w:sz w:val="20"/>
                <w:lang w:eastAsia="en-AU"/>
              </w:rPr>
              <w:t xml:space="preserve">Nurse practitioners  </w:t>
            </w:r>
            <w:r w:rsidRPr="007076D0">
              <w:rPr>
                <w:rFonts w:ascii="Arial Narrow" w:hAnsi="Arial Narrow"/>
                <w:snapToGrid/>
                <w:sz w:val="20"/>
                <w:lang w:eastAsia="en-AU"/>
              </w:rPr>
              <w:fldChar w:fldCharType="begin">
                <w:ffData>
                  <w:name w:val=""/>
                  <w:enabled/>
                  <w:calcOnExit w:val="0"/>
                  <w:checkBox>
                    <w:sizeAuto/>
                    <w:default w:val="0"/>
                  </w:checkBox>
                </w:ffData>
              </w:fldChar>
            </w:r>
            <w:r w:rsidRPr="007076D0">
              <w:rPr>
                <w:rFonts w:ascii="Arial Narrow" w:hAnsi="Arial Narrow"/>
                <w:snapToGrid/>
                <w:sz w:val="20"/>
                <w:lang w:eastAsia="en-AU"/>
              </w:rPr>
              <w:instrText xml:space="preserve"> FORMCHECKBOX </w:instrText>
            </w:r>
            <w:r w:rsidR="008F7EC7">
              <w:rPr>
                <w:rFonts w:ascii="Arial Narrow" w:hAnsi="Arial Narrow"/>
                <w:snapToGrid/>
                <w:sz w:val="20"/>
                <w:lang w:eastAsia="en-AU"/>
              </w:rPr>
            </w:r>
            <w:r w:rsidR="008F7EC7">
              <w:rPr>
                <w:rFonts w:ascii="Arial Narrow" w:hAnsi="Arial Narrow"/>
                <w:snapToGrid/>
                <w:sz w:val="20"/>
                <w:lang w:eastAsia="en-AU"/>
              </w:rPr>
              <w:fldChar w:fldCharType="separate"/>
            </w:r>
            <w:r w:rsidRPr="007076D0">
              <w:rPr>
                <w:rFonts w:ascii="Arial Narrow" w:hAnsi="Arial Narrow"/>
                <w:snapToGrid/>
                <w:sz w:val="20"/>
                <w:lang w:eastAsia="en-AU"/>
              </w:rPr>
              <w:fldChar w:fldCharType="end"/>
            </w:r>
            <w:r w:rsidRPr="007076D0">
              <w:rPr>
                <w:rFonts w:ascii="Arial Narrow" w:hAnsi="Arial Narrow"/>
                <w:snapToGrid/>
                <w:sz w:val="20"/>
                <w:lang w:eastAsia="en-AU"/>
              </w:rPr>
              <w:t>Optometrists</w:t>
            </w:r>
          </w:p>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fldChar w:fldCharType="begin">
                <w:ffData>
                  <w:name w:val="Check5"/>
                  <w:enabled/>
                  <w:calcOnExit w:val="0"/>
                  <w:checkBox>
                    <w:sizeAuto/>
                    <w:default w:val="0"/>
                  </w:checkBox>
                </w:ffData>
              </w:fldChar>
            </w:r>
            <w:r w:rsidRPr="007076D0">
              <w:rPr>
                <w:rFonts w:ascii="Arial Narrow" w:hAnsi="Arial Narrow"/>
                <w:snapToGrid/>
                <w:sz w:val="20"/>
                <w:lang w:eastAsia="en-AU"/>
              </w:rPr>
              <w:instrText xml:space="preserve"> FORMCHECKBOX </w:instrText>
            </w:r>
            <w:r w:rsidR="008F7EC7">
              <w:rPr>
                <w:rFonts w:ascii="Arial Narrow" w:hAnsi="Arial Narrow"/>
                <w:snapToGrid/>
                <w:sz w:val="20"/>
                <w:lang w:eastAsia="en-AU"/>
              </w:rPr>
            </w:r>
            <w:r w:rsidR="008F7EC7">
              <w:rPr>
                <w:rFonts w:ascii="Arial Narrow" w:hAnsi="Arial Narrow"/>
                <w:snapToGrid/>
                <w:sz w:val="20"/>
                <w:lang w:eastAsia="en-AU"/>
              </w:rPr>
              <w:fldChar w:fldCharType="separate"/>
            </w:r>
            <w:r w:rsidRPr="007076D0">
              <w:rPr>
                <w:rFonts w:ascii="Arial Narrow" w:hAnsi="Arial Narrow"/>
                <w:snapToGrid/>
                <w:sz w:val="20"/>
                <w:lang w:eastAsia="en-AU"/>
              </w:rPr>
              <w:fldChar w:fldCharType="end"/>
            </w:r>
            <w:r w:rsidRPr="007076D0">
              <w:rPr>
                <w:rFonts w:ascii="Arial Narrow" w:hAnsi="Arial Narrow"/>
                <w:snapToGrid/>
                <w:sz w:val="20"/>
                <w:lang w:eastAsia="en-AU"/>
              </w:rPr>
              <w:t>Midwives</w:t>
            </w:r>
          </w:p>
        </w:tc>
      </w:tr>
      <w:tr w:rsidR="005C22F2" w:rsidRPr="007076D0" w:rsidTr="00F2545A">
        <w:trPr>
          <w:cantSplit/>
          <w:trHeight w:val="360"/>
        </w:trPr>
        <w:tc>
          <w:tcPr>
            <w:tcW w:w="2552"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rPr>
                <w:rFonts w:ascii="Arial Narrow" w:hAnsi="Arial Narrow"/>
                <w:b/>
                <w:snapToGrid/>
                <w:sz w:val="20"/>
                <w:lang w:eastAsia="en-AU"/>
              </w:rPr>
            </w:pPr>
            <w:r w:rsidRPr="007076D0">
              <w:rPr>
                <w:rFonts w:ascii="Arial Narrow" w:hAnsi="Arial Narrow"/>
                <w:b/>
                <w:snapToGrid/>
                <w:sz w:val="20"/>
                <w:lang w:eastAsia="en-AU"/>
              </w:rPr>
              <w:t>Episodicity:</w:t>
            </w:r>
          </w:p>
        </w:tc>
        <w:tc>
          <w:tcPr>
            <w:tcW w:w="5811"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t>-</w:t>
            </w:r>
          </w:p>
        </w:tc>
      </w:tr>
      <w:tr w:rsidR="005C22F2" w:rsidRPr="007076D0" w:rsidTr="00F2545A">
        <w:trPr>
          <w:cantSplit/>
          <w:trHeight w:val="360"/>
        </w:trPr>
        <w:tc>
          <w:tcPr>
            <w:tcW w:w="2552"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rPr>
                <w:rFonts w:ascii="Arial Narrow" w:hAnsi="Arial Narrow"/>
                <w:b/>
                <w:snapToGrid/>
                <w:sz w:val="20"/>
                <w:lang w:eastAsia="en-AU"/>
              </w:rPr>
            </w:pPr>
            <w:r w:rsidRPr="007076D0">
              <w:rPr>
                <w:rFonts w:ascii="Arial Narrow" w:hAnsi="Arial Narrow"/>
                <w:b/>
                <w:snapToGrid/>
                <w:sz w:val="20"/>
                <w:lang w:eastAsia="en-AU"/>
              </w:rPr>
              <w:t>Severity:</w:t>
            </w:r>
          </w:p>
        </w:tc>
        <w:tc>
          <w:tcPr>
            <w:tcW w:w="5811"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t>Locally advanced or metastatic</w:t>
            </w:r>
          </w:p>
        </w:tc>
      </w:tr>
      <w:tr w:rsidR="005C22F2" w:rsidRPr="007076D0" w:rsidTr="00F2545A">
        <w:trPr>
          <w:cantSplit/>
          <w:trHeight w:val="360"/>
        </w:trPr>
        <w:tc>
          <w:tcPr>
            <w:tcW w:w="2552"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rPr>
                <w:rFonts w:ascii="Arial Narrow" w:hAnsi="Arial Narrow"/>
                <w:b/>
                <w:snapToGrid/>
                <w:sz w:val="20"/>
                <w:lang w:eastAsia="en-AU"/>
              </w:rPr>
            </w:pPr>
            <w:r w:rsidRPr="007076D0">
              <w:rPr>
                <w:rFonts w:ascii="Arial Narrow" w:hAnsi="Arial Narrow"/>
                <w:b/>
                <w:snapToGrid/>
                <w:sz w:val="20"/>
                <w:lang w:eastAsia="en-AU"/>
              </w:rPr>
              <w:t>Condition:</w:t>
            </w:r>
          </w:p>
        </w:tc>
        <w:tc>
          <w:tcPr>
            <w:tcW w:w="5811"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trike/>
                <w:snapToGrid/>
                <w:sz w:val="20"/>
                <w:lang w:eastAsia="en-AU"/>
              </w:rPr>
              <w:t>Non-squamous</w:t>
            </w:r>
            <w:r w:rsidRPr="007076D0">
              <w:rPr>
                <w:rFonts w:ascii="Arial Narrow" w:hAnsi="Arial Narrow"/>
                <w:snapToGrid/>
                <w:sz w:val="20"/>
                <w:lang w:eastAsia="en-AU"/>
              </w:rPr>
              <w:t xml:space="preserve"> non-small cell lung cancer (NSCLC)</w:t>
            </w:r>
          </w:p>
        </w:tc>
      </w:tr>
      <w:tr w:rsidR="005C22F2" w:rsidRPr="007076D0" w:rsidTr="00F2545A">
        <w:trPr>
          <w:cantSplit/>
          <w:trHeight w:val="360"/>
        </w:trPr>
        <w:tc>
          <w:tcPr>
            <w:tcW w:w="2552"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rPr>
                <w:rFonts w:ascii="Arial Narrow" w:hAnsi="Arial Narrow"/>
                <w:b/>
                <w:snapToGrid/>
                <w:sz w:val="20"/>
                <w:lang w:eastAsia="en-AU"/>
              </w:rPr>
            </w:pPr>
            <w:r w:rsidRPr="007076D0">
              <w:rPr>
                <w:rFonts w:ascii="Arial Narrow" w:hAnsi="Arial Narrow"/>
                <w:b/>
                <w:snapToGrid/>
                <w:sz w:val="20"/>
                <w:lang w:eastAsia="en-AU"/>
              </w:rPr>
              <w:t>PBS Indication:</w:t>
            </w:r>
          </w:p>
        </w:tc>
        <w:tc>
          <w:tcPr>
            <w:tcW w:w="5811"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t xml:space="preserve">Locally advanced or metastatic </w:t>
            </w:r>
            <w:r w:rsidRPr="007076D0">
              <w:rPr>
                <w:rFonts w:ascii="Arial Narrow" w:hAnsi="Arial Narrow"/>
                <w:strike/>
                <w:snapToGrid/>
                <w:sz w:val="20"/>
                <w:lang w:eastAsia="en-AU"/>
              </w:rPr>
              <w:t>non-squamous</w:t>
            </w:r>
            <w:r w:rsidRPr="007076D0">
              <w:rPr>
                <w:rFonts w:ascii="Arial Narrow" w:hAnsi="Arial Narrow"/>
                <w:snapToGrid/>
                <w:sz w:val="20"/>
                <w:lang w:eastAsia="en-AU"/>
              </w:rPr>
              <w:t xml:space="preserve"> non-small cell lung cancer (NSCLC)</w:t>
            </w:r>
          </w:p>
        </w:tc>
      </w:tr>
      <w:tr w:rsidR="005C22F2" w:rsidRPr="007076D0" w:rsidTr="00F2545A">
        <w:trPr>
          <w:cantSplit/>
          <w:trHeight w:val="360"/>
        </w:trPr>
        <w:tc>
          <w:tcPr>
            <w:tcW w:w="2552"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rPr>
                <w:rFonts w:ascii="Arial Narrow" w:hAnsi="Arial Narrow"/>
                <w:b/>
                <w:snapToGrid/>
                <w:sz w:val="20"/>
                <w:lang w:eastAsia="en-AU"/>
              </w:rPr>
            </w:pPr>
            <w:r w:rsidRPr="007076D0">
              <w:rPr>
                <w:rFonts w:ascii="Arial Narrow" w:hAnsi="Arial Narrow"/>
                <w:b/>
                <w:snapToGrid/>
                <w:sz w:val="20"/>
                <w:lang w:eastAsia="en-AU"/>
              </w:rPr>
              <w:t>Treatment phase:</w:t>
            </w:r>
          </w:p>
        </w:tc>
        <w:tc>
          <w:tcPr>
            <w:tcW w:w="5811"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t>Continuing treatment</w:t>
            </w:r>
          </w:p>
        </w:tc>
      </w:tr>
      <w:tr w:rsidR="005C22F2" w:rsidRPr="007076D0" w:rsidTr="00F2545A">
        <w:trPr>
          <w:cantSplit/>
          <w:trHeight w:val="360"/>
        </w:trPr>
        <w:tc>
          <w:tcPr>
            <w:tcW w:w="2552"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rPr>
                <w:rFonts w:ascii="Arial Narrow" w:hAnsi="Arial Narrow"/>
                <w:b/>
                <w:snapToGrid/>
                <w:sz w:val="20"/>
                <w:lang w:eastAsia="en-AU"/>
              </w:rPr>
            </w:pPr>
            <w:r w:rsidRPr="007076D0">
              <w:rPr>
                <w:rFonts w:ascii="Arial Narrow" w:hAnsi="Arial Narrow"/>
                <w:b/>
                <w:snapToGrid/>
                <w:sz w:val="20"/>
                <w:lang w:eastAsia="en-AU"/>
              </w:rPr>
              <w:t>Restriction Level / Method:</w:t>
            </w:r>
          </w:p>
        </w:tc>
        <w:tc>
          <w:tcPr>
            <w:tcW w:w="5811"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fldChar w:fldCharType="begin">
                <w:ffData>
                  <w:name w:val="Check1"/>
                  <w:enabled/>
                  <w:calcOnExit w:val="0"/>
                  <w:checkBox>
                    <w:sizeAuto/>
                    <w:default w:val="0"/>
                  </w:checkBox>
                </w:ffData>
              </w:fldChar>
            </w:r>
            <w:r w:rsidRPr="007076D0">
              <w:rPr>
                <w:rFonts w:ascii="Arial Narrow" w:hAnsi="Arial Narrow"/>
                <w:snapToGrid/>
                <w:sz w:val="20"/>
                <w:lang w:eastAsia="en-AU"/>
              </w:rPr>
              <w:instrText xml:space="preserve"> FORMCHECKBOX </w:instrText>
            </w:r>
            <w:r w:rsidR="008F7EC7">
              <w:rPr>
                <w:rFonts w:ascii="Arial Narrow" w:hAnsi="Arial Narrow"/>
                <w:snapToGrid/>
                <w:sz w:val="20"/>
                <w:lang w:eastAsia="en-AU"/>
              </w:rPr>
            </w:r>
            <w:r w:rsidR="008F7EC7">
              <w:rPr>
                <w:rFonts w:ascii="Arial Narrow" w:hAnsi="Arial Narrow"/>
                <w:snapToGrid/>
                <w:sz w:val="20"/>
                <w:lang w:eastAsia="en-AU"/>
              </w:rPr>
              <w:fldChar w:fldCharType="separate"/>
            </w:r>
            <w:r w:rsidRPr="007076D0">
              <w:rPr>
                <w:rFonts w:ascii="Arial Narrow" w:hAnsi="Arial Narrow"/>
                <w:snapToGrid/>
                <w:sz w:val="20"/>
                <w:lang w:eastAsia="en-AU"/>
              </w:rPr>
              <w:fldChar w:fldCharType="end"/>
            </w:r>
            <w:r w:rsidRPr="007076D0">
              <w:rPr>
                <w:rFonts w:ascii="Arial Narrow" w:hAnsi="Arial Narrow"/>
                <w:snapToGrid/>
                <w:sz w:val="20"/>
                <w:lang w:eastAsia="en-AU"/>
              </w:rPr>
              <w:t>Restricted benefit</w:t>
            </w:r>
          </w:p>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fldChar w:fldCharType="begin">
                <w:ffData>
                  <w:name w:val=""/>
                  <w:enabled/>
                  <w:calcOnExit w:val="0"/>
                  <w:checkBox>
                    <w:sizeAuto/>
                    <w:default w:val="0"/>
                  </w:checkBox>
                </w:ffData>
              </w:fldChar>
            </w:r>
            <w:r w:rsidRPr="007076D0">
              <w:rPr>
                <w:rFonts w:ascii="Arial Narrow" w:hAnsi="Arial Narrow"/>
                <w:snapToGrid/>
                <w:sz w:val="20"/>
                <w:lang w:eastAsia="en-AU"/>
              </w:rPr>
              <w:instrText xml:space="preserve"> FORMCHECKBOX </w:instrText>
            </w:r>
            <w:r w:rsidR="008F7EC7">
              <w:rPr>
                <w:rFonts w:ascii="Arial Narrow" w:hAnsi="Arial Narrow"/>
                <w:snapToGrid/>
                <w:sz w:val="20"/>
                <w:lang w:eastAsia="en-AU"/>
              </w:rPr>
            </w:r>
            <w:r w:rsidR="008F7EC7">
              <w:rPr>
                <w:rFonts w:ascii="Arial Narrow" w:hAnsi="Arial Narrow"/>
                <w:snapToGrid/>
                <w:sz w:val="20"/>
                <w:lang w:eastAsia="en-AU"/>
              </w:rPr>
              <w:fldChar w:fldCharType="separate"/>
            </w:r>
            <w:r w:rsidRPr="007076D0">
              <w:rPr>
                <w:rFonts w:ascii="Arial Narrow" w:hAnsi="Arial Narrow"/>
                <w:snapToGrid/>
                <w:sz w:val="20"/>
                <w:lang w:eastAsia="en-AU"/>
              </w:rPr>
              <w:fldChar w:fldCharType="end"/>
            </w:r>
            <w:r w:rsidRPr="007076D0">
              <w:rPr>
                <w:rFonts w:ascii="Arial Narrow" w:hAnsi="Arial Narrow"/>
                <w:snapToGrid/>
                <w:sz w:val="20"/>
                <w:lang w:eastAsia="en-AU"/>
              </w:rPr>
              <w:t>Authority Required - In Writing</w:t>
            </w:r>
          </w:p>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fldChar w:fldCharType="begin">
                <w:ffData>
                  <w:name w:val="Check3"/>
                  <w:enabled/>
                  <w:calcOnExit w:val="0"/>
                  <w:checkBox>
                    <w:sizeAuto/>
                    <w:default w:val="0"/>
                  </w:checkBox>
                </w:ffData>
              </w:fldChar>
            </w:r>
            <w:r w:rsidRPr="007076D0">
              <w:rPr>
                <w:rFonts w:ascii="Arial Narrow" w:hAnsi="Arial Narrow"/>
                <w:snapToGrid/>
                <w:sz w:val="20"/>
                <w:lang w:eastAsia="en-AU"/>
              </w:rPr>
              <w:instrText xml:space="preserve"> FORMCHECKBOX </w:instrText>
            </w:r>
            <w:r w:rsidR="008F7EC7">
              <w:rPr>
                <w:rFonts w:ascii="Arial Narrow" w:hAnsi="Arial Narrow"/>
                <w:snapToGrid/>
                <w:sz w:val="20"/>
                <w:lang w:eastAsia="en-AU"/>
              </w:rPr>
            </w:r>
            <w:r w:rsidR="008F7EC7">
              <w:rPr>
                <w:rFonts w:ascii="Arial Narrow" w:hAnsi="Arial Narrow"/>
                <w:snapToGrid/>
                <w:sz w:val="20"/>
                <w:lang w:eastAsia="en-AU"/>
              </w:rPr>
              <w:fldChar w:fldCharType="separate"/>
            </w:r>
            <w:r w:rsidRPr="007076D0">
              <w:rPr>
                <w:rFonts w:ascii="Arial Narrow" w:hAnsi="Arial Narrow"/>
                <w:snapToGrid/>
                <w:sz w:val="20"/>
                <w:lang w:eastAsia="en-AU"/>
              </w:rPr>
              <w:fldChar w:fldCharType="end"/>
            </w:r>
            <w:r w:rsidRPr="007076D0">
              <w:rPr>
                <w:rFonts w:ascii="Arial Narrow" w:hAnsi="Arial Narrow"/>
                <w:snapToGrid/>
                <w:sz w:val="20"/>
                <w:lang w:eastAsia="en-AU"/>
              </w:rPr>
              <w:t>Authority Required - Telephone</w:t>
            </w:r>
          </w:p>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fldChar w:fldCharType="begin">
                <w:ffData>
                  <w:name w:val=""/>
                  <w:enabled/>
                  <w:calcOnExit w:val="0"/>
                  <w:checkBox>
                    <w:sizeAuto/>
                    <w:default w:val="0"/>
                  </w:checkBox>
                </w:ffData>
              </w:fldChar>
            </w:r>
            <w:r w:rsidRPr="007076D0">
              <w:rPr>
                <w:rFonts w:ascii="Arial Narrow" w:hAnsi="Arial Narrow"/>
                <w:snapToGrid/>
                <w:sz w:val="20"/>
                <w:lang w:eastAsia="en-AU"/>
              </w:rPr>
              <w:instrText xml:space="preserve"> FORMCHECKBOX </w:instrText>
            </w:r>
            <w:r w:rsidR="008F7EC7">
              <w:rPr>
                <w:rFonts w:ascii="Arial Narrow" w:hAnsi="Arial Narrow"/>
                <w:snapToGrid/>
                <w:sz w:val="20"/>
                <w:lang w:eastAsia="en-AU"/>
              </w:rPr>
            </w:r>
            <w:r w:rsidR="008F7EC7">
              <w:rPr>
                <w:rFonts w:ascii="Arial Narrow" w:hAnsi="Arial Narrow"/>
                <w:snapToGrid/>
                <w:sz w:val="20"/>
                <w:lang w:eastAsia="en-AU"/>
              </w:rPr>
              <w:fldChar w:fldCharType="separate"/>
            </w:r>
            <w:r w:rsidRPr="007076D0">
              <w:rPr>
                <w:rFonts w:ascii="Arial Narrow" w:hAnsi="Arial Narrow"/>
                <w:snapToGrid/>
                <w:sz w:val="20"/>
                <w:lang w:eastAsia="en-AU"/>
              </w:rPr>
              <w:fldChar w:fldCharType="end"/>
            </w:r>
            <w:r w:rsidRPr="007076D0">
              <w:rPr>
                <w:rFonts w:ascii="Arial Narrow" w:hAnsi="Arial Narrow"/>
                <w:snapToGrid/>
                <w:sz w:val="20"/>
                <w:lang w:eastAsia="en-AU"/>
              </w:rPr>
              <w:t>Authority Required – Emergency</w:t>
            </w:r>
          </w:p>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fldChar w:fldCharType="begin">
                <w:ffData>
                  <w:name w:val="Check5"/>
                  <w:enabled/>
                  <w:calcOnExit w:val="0"/>
                  <w:checkBox>
                    <w:sizeAuto/>
                    <w:default w:val="0"/>
                  </w:checkBox>
                </w:ffData>
              </w:fldChar>
            </w:r>
            <w:r w:rsidRPr="007076D0">
              <w:rPr>
                <w:rFonts w:ascii="Arial Narrow" w:hAnsi="Arial Narrow"/>
                <w:snapToGrid/>
                <w:sz w:val="20"/>
                <w:lang w:eastAsia="en-AU"/>
              </w:rPr>
              <w:instrText xml:space="preserve"> FORMCHECKBOX </w:instrText>
            </w:r>
            <w:r w:rsidR="008F7EC7">
              <w:rPr>
                <w:rFonts w:ascii="Arial Narrow" w:hAnsi="Arial Narrow"/>
                <w:snapToGrid/>
                <w:sz w:val="20"/>
                <w:lang w:eastAsia="en-AU"/>
              </w:rPr>
            </w:r>
            <w:r w:rsidR="008F7EC7">
              <w:rPr>
                <w:rFonts w:ascii="Arial Narrow" w:hAnsi="Arial Narrow"/>
                <w:snapToGrid/>
                <w:sz w:val="20"/>
                <w:lang w:eastAsia="en-AU"/>
              </w:rPr>
              <w:fldChar w:fldCharType="separate"/>
            </w:r>
            <w:r w:rsidRPr="007076D0">
              <w:rPr>
                <w:rFonts w:ascii="Arial Narrow" w:hAnsi="Arial Narrow"/>
                <w:snapToGrid/>
                <w:sz w:val="20"/>
                <w:lang w:eastAsia="en-AU"/>
              </w:rPr>
              <w:fldChar w:fldCharType="end"/>
            </w:r>
            <w:r w:rsidRPr="007076D0">
              <w:rPr>
                <w:rFonts w:ascii="Arial Narrow" w:hAnsi="Arial Narrow"/>
                <w:snapToGrid/>
                <w:sz w:val="20"/>
                <w:lang w:eastAsia="en-AU"/>
              </w:rPr>
              <w:t>Authority Required - Electronic</w:t>
            </w:r>
          </w:p>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fldChar w:fldCharType="begin">
                <w:ffData>
                  <w:name w:val="Check5"/>
                  <w:enabled/>
                  <w:calcOnExit w:val="0"/>
                  <w:checkBox>
                    <w:sizeAuto/>
                    <w:default w:val="1"/>
                  </w:checkBox>
                </w:ffData>
              </w:fldChar>
            </w:r>
            <w:r w:rsidRPr="007076D0">
              <w:rPr>
                <w:rFonts w:ascii="Arial Narrow" w:hAnsi="Arial Narrow"/>
                <w:snapToGrid/>
                <w:sz w:val="20"/>
                <w:lang w:eastAsia="en-AU"/>
              </w:rPr>
              <w:instrText xml:space="preserve"> FORMCHECKBOX </w:instrText>
            </w:r>
            <w:r w:rsidR="008F7EC7">
              <w:rPr>
                <w:rFonts w:ascii="Arial Narrow" w:hAnsi="Arial Narrow"/>
                <w:snapToGrid/>
                <w:sz w:val="20"/>
                <w:lang w:eastAsia="en-AU"/>
              </w:rPr>
            </w:r>
            <w:r w:rsidR="008F7EC7">
              <w:rPr>
                <w:rFonts w:ascii="Arial Narrow" w:hAnsi="Arial Narrow"/>
                <w:snapToGrid/>
                <w:sz w:val="20"/>
                <w:lang w:eastAsia="en-AU"/>
              </w:rPr>
              <w:fldChar w:fldCharType="separate"/>
            </w:r>
            <w:r w:rsidRPr="007076D0">
              <w:rPr>
                <w:rFonts w:ascii="Arial Narrow" w:hAnsi="Arial Narrow"/>
                <w:snapToGrid/>
                <w:sz w:val="20"/>
                <w:lang w:eastAsia="en-AU"/>
              </w:rPr>
              <w:fldChar w:fldCharType="end"/>
            </w:r>
            <w:r w:rsidRPr="007076D0">
              <w:rPr>
                <w:rFonts w:ascii="Arial Narrow" w:hAnsi="Arial Narrow"/>
                <w:snapToGrid/>
                <w:sz w:val="20"/>
                <w:lang w:eastAsia="en-AU"/>
              </w:rPr>
              <w:t>Streamlined</w:t>
            </w:r>
          </w:p>
        </w:tc>
      </w:tr>
      <w:tr w:rsidR="005C22F2" w:rsidRPr="007076D0" w:rsidTr="00F2545A">
        <w:trPr>
          <w:cantSplit/>
          <w:trHeight w:val="360"/>
        </w:trPr>
        <w:tc>
          <w:tcPr>
            <w:tcW w:w="2552"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rPr>
                <w:rFonts w:ascii="Arial Narrow" w:hAnsi="Arial Narrow"/>
                <w:b/>
                <w:snapToGrid/>
                <w:sz w:val="20"/>
                <w:lang w:eastAsia="en-AU"/>
              </w:rPr>
            </w:pPr>
            <w:r w:rsidRPr="007076D0">
              <w:rPr>
                <w:rFonts w:ascii="Arial Narrow" w:hAnsi="Arial Narrow"/>
                <w:b/>
                <w:snapToGrid/>
                <w:sz w:val="20"/>
                <w:lang w:eastAsia="en-AU"/>
              </w:rPr>
              <w:t>Clinical criteria:</w:t>
            </w:r>
          </w:p>
        </w:tc>
        <w:tc>
          <w:tcPr>
            <w:tcW w:w="5811"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jc w:val="left"/>
              <w:rPr>
                <w:rFonts w:ascii="Arial Narrow" w:hAnsi="Arial Narrow"/>
                <w:i/>
                <w:snapToGrid/>
                <w:sz w:val="20"/>
                <w:lang w:eastAsia="en-AU"/>
              </w:rPr>
            </w:pPr>
            <w:r w:rsidRPr="007076D0">
              <w:rPr>
                <w:rFonts w:ascii="Arial Narrow" w:hAnsi="Arial Narrow"/>
                <w:snapToGrid/>
                <w:sz w:val="20"/>
                <w:lang w:eastAsia="en-AU"/>
              </w:rPr>
              <w:t xml:space="preserve">Patient must have previously been issued with an authority prescription for this drug </w:t>
            </w:r>
            <w:r w:rsidRPr="007076D0">
              <w:rPr>
                <w:rFonts w:ascii="Arial Narrow" w:hAnsi="Arial Narrow"/>
                <w:i/>
                <w:snapToGrid/>
                <w:sz w:val="20"/>
                <w:lang w:eastAsia="en-AU"/>
              </w:rPr>
              <w:t>for this condition</w:t>
            </w:r>
          </w:p>
          <w:p w:rsidR="005C22F2" w:rsidRPr="007076D0" w:rsidRDefault="005C22F2" w:rsidP="00573C1A">
            <w:pPr>
              <w:widowControl/>
              <w:jc w:val="left"/>
              <w:rPr>
                <w:rFonts w:ascii="Arial Narrow" w:hAnsi="Arial Narrow"/>
                <w:snapToGrid/>
                <w:sz w:val="20"/>
                <w:lang w:eastAsia="en-AU"/>
              </w:rPr>
            </w:pPr>
          </w:p>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t>AND</w:t>
            </w:r>
          </w:p>
          <w:p w:rsidR="005C22F2" w:rsidRPr="007076D0" w:rsidRDefault="005C22F2" w:rsidP="00573C1A">
            <w:pPr>
              <w:widowControl/>
              <w:jc w:val="left"/>
              <w:rPr>
                <w:rFonts w:ascii="Arial Narrow" w:hAnsi="Arial Narrow"/>
                <w:snapToGrid/>
                <w:sz w:val="20"/>
                <w:lang w:eastAsia="en-AU"/>
              </w:rPr>
            </w:pPr>
          </w:p>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t>The treatment must be the sole PBS-subsidised therapy for this condition</w:t>
            </w:r>
          </w:p>
          <w:p w:rsidR="005C22F2" w:rsidRPr="007076D0" w:rsidRDefault="005C22F2" w:rsidP="00573C1A">
            <w:pPr>
              <w:widowControl/>
              <w:jc w:val="left"/>
              <w:rPr>
                <w:rFonts w:ascii="Arial Narrow" w:hAnsi="Arial Narrow"/>
                <w:snapToGrid/>
                <w:sz w:val="20"/>
                <w:lang w:eastAsia="en-AU"/>
              </w:rPr>
            </w:pPr>
          </w:p>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t>AND</w:t>
            </w:r>
          </w:p>
          <w:p w:rsidR="005C22F2" w:rsidRPr="007076D0" w:rsidRDefault="005C22F2" w:rsidP="00573C1A">
            <w:pPr>
              <w:widowControl/>
              <w:rPr>
                <w:rFonts w:ascii="Arial Narrow" w:hAnsi="Arial Narrow"/>
                <w:snapToGrid/>
                <w:sz w:val="20"/>
                <w:lang w:eastAsia="en-AU"/>
              </w:rPr>
            </w:pPr>
          </w:p>
          <w:p w:rsidR="005C22F2" w:rsidRPr="007076D0" w:rsidRDefault="005C22F2" w:rsidP="00573C1A">
            <w:pPr>
              <w:widowControl/>
              <w:rPr>
                <w:rFonts w:ascii="Arial Narrow" w:hAnsi="Arial Narrow"/>
                <w:snapToGrid/>
                <w:sz w:val="20"/>
                <w:lang w:eastAsia="en-AU"/>
              </w:rPr>
            </w:pPr>
            <w:r w:rsidRPr="007076D0">
              <w:rPr>
                <w:rFonts w:ascii="Arial Narrow" w:hAnsi="Arial Narrow"/>
                <w:snapToGrid/>
                <w:sz w:val="20"/>
                <w:lang w:eastAsia="en-AU"/>
              </w:rPr>
              <w:t>Patient must be deriving clinical benefit and tolerating treatment</w:t>
            </w:r>
            <w:r w:rsidR="00BE2600">
              <w:rPr>
                <w:rFonts w:ascii="Arial Narrow" w:hAnsi="Arial Narrow"/>
                <w:snapToGrid/>
                <w:sz w:val="20"/>
                <w:lang w:eastAsia="en-AU"/>
              </w:rPr>
              <w:t>.</w:t>
            </w:r>
          </w:p>
        </w:tc>
      </w:tr>
      <w:tr w:rsidR="005C22F2" w:rsidRPr="007076D0" w:rsidTr="00F2545A">
        <w:trPr>
          <w:cantSplit/>
          <w:trHeight w:val="360"/>
        </w:trPr>
        <w:tc>
          <w:tcPr>
            <w:tcW w:w="2552"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rPr>
                <w:rFonts w:ascii="Arial Narrow" w:hAnsi="Arial Narrow"/>
                <w:snapToGrid/>
                <w:sz w:val="20"/>
                <w:lang w:eastAsia="en-AU"/>
              </w:rPr>
            </w:pPr>
            <w:r w:rsidRPr="007076D0">
              <w:rPr>
                <w:rFonts w:ascii="Arial Narrow" w:hAnsi="Arial Narrow"/>
                <w:b/>
                <w:snapToGrid/>
                <w:sz w:val="20"/>
                <w:lang w:eastAsia="en-AU"/>
              </w:rPr>
              <w:t>Prescriber Instructions:</w:t>
            </w:r>
          </w:p>
        </w:tc>
        <w:tc>
          <w:tcPr>
            <w:tcW w:w="5811"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jc w:val="left"/>
              <w:rPr>
                <w:rFonts w:ascii="Arial Narrow" w:hAnsi="Arial Narrow"/>
                <w:strike/>
                <w:snapToGrid/>
                <w:sz w:val="20"/>
                <w:lang w:eastAsia="en-AU"/>
              </w:rPr>
            </w:pPr>
            <w:r w:rsidRPr="007076D0">
              <w:rPr>
                <w:rFonts w:ascii="Arial Narrow" w:hAnsi="Arial Narrow"/>
                <w:strike/>
                <w:snapToGrid/>
                <w:sz w:val="20"/>
                <w:lang w:eastAsia="en-AU"/>
              </w:rPr>
              <w:t>The patient’s body weight must be documented in the patient’s medical records at the time treatment is initiated.</w:t>
            </w:r>
          </w:p>
        </w:tc>
      </w:tr>
      <w:tr w:rsidR="005C22F2" w:rsidRPr="007076D0" w:rsidTr="00F2545A">
        <w:trPr>
          <w:cantSplit/>
          <w:trHeight w:val="360"/>
        </w:trPr>
        <w:tc>
          <w:tcPr>
            <w:tcW w:w="2552"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rPr>
                <w:rFonts w:ascii="Arial Narrow" w:hAnsi="Arial Narrow"/>
                <w:i/>
                <w:snapToGrid/>
                <w:sz w:val="20"/>
                <w:lang w:eastAsia="en-AU"/>
              </w:rPr>
            </w:pPr>
            <w:r w:rsidRPr="007076D0">
              <w:rPr>
                <w:rFonts w:ascii="Arial Narrow" w:hAnsi="Arial Narrow"/>
                <w:b/>
                <w:snapToGrid/>
                <w:sz w:val="20"/>
                <w:lang w:eastAsia="en-AU"/>
              </w:rPr>
              <w:t>Administrative Advice:</w:t>
            </w:r>
          </w:p>
        </w:tc>
        <w:tc>
          <w:tcPr>
            <w:tcW w:w="5811" w:type="dxa"/>
            <w:tcBorders>
              <w:top w:val="single" w:sz="4" w:space="0" w:color="auto"/>
              <w:left w:val="single" w:sz="4" w:space="0" w:color="auto"/>
              <w:bottom w:val="single" w:sz="4" w:space="0" w:color="auto"/>
              <w:right w:val="single" w:sz="4" w:space="0" w:color="auto"/>
            </w:tcBorders>
          </w:tcPr>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t>No increase in the maximum number of repeats may be authorised.</w:t>
            </w:r>
          </w:p>
          <w:p w:rsidR="005C22F2" w:rsidRPr="007076D0" w:rsidRDefault="005C22F2" w:rsidP="00573C1A">
            <w:pPr>
              <w:widowControl/>
              <w:jc w:val="left"/>
              <w:rPr>
                <w:rFonts w:ascii="Arial Narrow" w:hAnsi="Arial Narrow"/>
                <w:snapToGrid/>
                <w:sz w:val="20"/>
                <w:lang w:eastAsia="en-AU"/>
              </w:rPr>
            </w:pPr>
          </w:p>
          <w:p w:rsidR="005C22F2" w:rsidRPr="007076D0" w:rsidRDefault="005C22F2" w:rsidP="00573C1A">
            <w:pPr>
              <w:widowControl/>
              <w:jc w:val="left"/>
              <w:rPr>
                <w:rFonts w:ascii="Arial Narrow" w:hAnsi="Arial Narrow"/>
                <w:snapToGrid/>
                <w:sz w:val="20"/>
                <w:lang w:eastAsia="en-AU"/>
              </w:rPr>
            </w:pPr>
            <w:r w:rsidRPr="007076D0">
              <w:rPr>
                <w:rFonts w:ascii="Arial Narrow" w:hAnsi="Arial Narrow"/>
                <w:snapToGrid/>
                <w:sz w:val="20"/>
                <w:lang w:eastAsia="en-AU"/>
              </w:rPr>
              <w:t>Special Pricing Arrangements apply.</w:t>
            </w:r>
          </w:p>
        </w:tc>
      </w:tr>
    </w:tbl>
    <w:p w:rsidR="005C22F2" w:rsidRPr="00882085" w:rsidRDefault="005C22F2" w:rsidP="00144D06"/>
    <w:p w:rsidR="00144D06" w:rsidRPr="00AE71BA" w:rsidRDefault="00144D06" w:rsidP="00C61ED5">
      <w:pPr>
        <w:pStyle w:val="ListParagraph"/>
        <w:widowControl/>
        <w:numPr>
          <w:ilvl w:val="1"/>
          <w:numId w:val="2"/>
        </w:numPr>
        <w:rPr>
          <w:szCs w:val="22"/>
        </w:rPr>
      </w:pPr>
      <w:r w:rsidRPr="00AE71BA">
        <w:rPr>
          <w:szCs w:val="22"/>
        </w:rPr>
        <w:t>The submission sought listing on the basis of a cost effectiveness analysis via a direct comparison with the main comparator, docetaxel. An indirect comparison with the minor comparator, pemetrexed</w:t>
      </w:r>
      <w:r w:rsidR="00CA320B">
        <w:rPr>
          <w:szCs w:val="22"/>
        </w:rPr>
        <w:t>,</w:t>
      </w:r>
      <w:r w:rsidRPr="00AE71BA">
        <w:rPr>
          <w:szCs w:val="22"/>
        </w:rPr>
        <w:t xml:space="preserve"> </w:t>
      </w:r>
      <w:r w:rsidR="00D61B4F" w:rsidRPr="00AE71BA">
        <w:rPr>
          <w:szCs w:val="22"/>
        </w:rPr>
        <w:t>wa</w:t>
      </w:r>
      <w:r w:rsidRPr="00AE71BA">
        <w:rPr>
          <w:szCs w:val="22"/>
        </w:rPr>
        <w:t>s also presented. No cost-effectiveness analysis was conducted versus pemetrexed</w:t>
      </w:r>
      <w:r w:rsidR="00285936" w:rsidRPr="00AE71BA">
        <w:rPr>
          <w:szCs w:val="22"/>
        </w:rPr>
        <w:t>,</w:t>
      </w:r>
      <w:r w:rsidRPr="00AE71BA">
        <w:rPr>
          <w:szCs w:val="22"/>
        </w:rPr>
        <w:t xml:space="preserve"> but the submission noted that pemetrexed was listed on the basis of non-inferiority to docetaxel.</w:t>
      </w:r>
    </w:p>
    <w:p w:rsidR="00144D06" w:rsidRPr="00AE71BA" w:rsidRDefault="00144D06" w:rsidP="00144D06">
      <w:pPr>
        <w:widowControl/>
        <w:rPr>
          <w:szCs w:val="22"/>
        </w:rPr>
      </w:pPr>
    </w:p>
    <w:p w:rsidR="002F5FB3" w:rsidRPr="00AE71BA" w:rsidRDefault="00144D06" w:rsidP="00C61ED5">
      <w:pPr>
        <w:pStyle w:val="ListParagraph"/>
        <w:numPr>
          <w:ilvl w:val="1"/>
          <w:numId w:val="2"/>
        </w:numPr>
        <w:rPr>
          <w:szCs w:val="22"/>
        </w:rPr>
      </w:pPr>
      <w:r w:rsidRPr="00AE71BA">
        <w:rPr>
          <w:szCs w:val="22"/>
        </w:rPr>
        <w:t>T</w:t>
      </w:r>
      <w:r w:rsidR="002F5FB3" w:rsidRPr="00AE71BA">
        <w:rPr>
          <w:szCs w:val="22"/>
        </w:rPr>
        <w:t>he requested restriction did not indicate the role of PD-L1 expression in patient eligibility for nivolumab. The presented evidence indicated there was significant treatment effect variation</w:t>
      </w:r>
      <w:r w:rsidR="00DC15A3">
        <w:rPr>
          <w:szCs w:val="22"/>
        </w:rPr>
        <w:t>,</w:t>
      </w:r>
      <w:r w:rsidR="002F5FB3" w:rsidRPr="00AE71BA">
        <w:rPr>
          <w:szCs w:val="22"/>
        </w:rPr>
        <w:t xml:space="preserve"> with no meaningful </w:t>
      </w:r>
      <w:r w:rsidR="000F708B">
        <w:rPr>
          <w:szCs w:val="22"/>
        </w:rPr>
        <w:t>overall survival (</w:t>
      </w:r>
      <w:r w:rsidR="002F5FB3" w:rsidRPr="00AE71BA">
        <w:rPr>
          <w:szCs w:val="22"/>
        </w:rPr>
        <w:t>OS</w:t>
      </w:r>
      <w:r w:rsidR="000F708B">
        <w:rPr>
          <w:szCs w:val="22"/>
        </w:rPr>
        <w:t>)</w:t>
      </w:r>
      <w:r w:rsidR="002F5FB3" w:rsidRPr="00AE71BA">
        <w:rPr>
          <w:szCs w:val="22"/>
        </w:rPr>
        <w:t xml:space="preserve"> benefit associated with nivolumab over docetaxel in PD-L1 negative patients</w:t>
      </w:r>
      <w:r w:rsidR="00DC15A3">
        <w:rPr>
          <w:szCs w:val="22"/>
        </w:rPr>
        <w:t>,</w:t>
      </w:r>
      <w:r w:rsidR="002F5FB3" w:rsidRPr="00AE71BA">
        <w:rPr>
          <w:szCs w:val="22"/>
        </w:rPr>
        <w:t xml:space="preserve"> and significant OS benefit in PD-L1 positive patients (see comparative effectiveness below).</w:t>
      </w:r>
      <w:r w:rsidR="00363E4C" w:rsidRPr="00AE71BA">
        <w:rPr>
          <w:szCs w:val="22"/>
        </w:rPr>
        <w:t xml:space="preserve"> </w:t>
      </w:r>
      <w:r w:rsidR="00363E4C" w:rsidRPr="00AE71BA">
        <w:t xml:space="preserve">The ESC </w:t>
      </w:r>
      <w:r w:rsidR="00D25683" w:rsidRPr="00AE71BA">
        <w:t>advised</w:t>
      </w:r>
      <w:r w:rsidR="00363E4C" w:rsidRPr="00AE71BA">
        <w:t xml:space="preserve"> that nivolumab should be restricted to patients with a positive PD-L1 status.</w:t>
      </w:r>
    </w:p>
    <w:p w:rsidR="002F5FB3" w:rsidRPr="00AE71BA" w:rsidRDefault="002F5FB3" w:rsidP="002F5FB3">
      <w:pPr>
        <w:rPr>
          <w:szCs w:val="22"/>
        </w:rPr>
      </w:pPr>
    </w:p>
    <w:p w:rsidR="00144D06" w:rsidRPr="00AE71BA" w:rsidRDefault="00144D06" w:rsidP="00C61ED5">
      <w:pPr>
        <w:pStyle w:val="ListParagraph"/>
        <w:widowControl/>
        <w:numPr>
          <w:ilvl w:val="1"/>
          <w:numId w:val="2"/>
        </w:numPr>
        <w:rPr>
          <w:szCs w:val="22"/>
        </w:rPr>
      </w:pPr>
      <w:r w:rsidRPr="00AE71BA">
        <w:rPr>
          <w:szCs w:val="22"/>
        </w:rPr>
        <w:t>The requested restriction does not specify performance status</w:t>
      </w:r>
      <w:r w:rsidR="000F708B">
        <w:rPr>
          <w:szCs w:val="22"/>
        </w:rPr>
        <w:t>,</w:t>
      </w:r>
      <w:r w:rsidRPr="00AE71BA">
        <w:rPr>
          <w:szCs w:val="22"/>
        </w:rPr>
        <w:t xml:space="preserve"> although the key trial only included patients with a performance status of 0 or 1.</w:t>
      </w:r>
    </w:p>
    <w:p w:rsidR="00144D06" w:rsidRPr="00AE71BA" w:rsidRDefault="00144D06" w:rsidP="00144D06">
      <w:pPr>
        <w:rPr>
          <w:szCs w:val="22"/>
        </w:rPr>
      </w:pPr>
    </w:p>
    <w:p w:rsidR="002F5FB3" w:rsidRPr="00AE71BA" w:rsidRDefault="00144D06" w:rsidP="00C61ED5">
      <w:pPr>
        <w:pStyle w:val="ListParagraph"/>
        <w:numPr>
          <w:ilvl w:val="1"/>
          <w:numId w:val="2"/>
        </w:numPr>
        <w:rPr>
          <w:szCs w:val="22"/>
        </w:rPr>
      </w:pPr>
      <w:r w:rsidRPr="00AE71BA">
        <w:rPr>
          <w:szCs w:val="22"/>
        </w:rPr>
        <w:t>T</w:t>
      </w:r>
      <w:r w:rsidR="002F5FB3" w:rsidRPr="00AE71BA">
        <w:rPr>
          <w:szCs w:val="22"/>
        </w:rPr>
        <w:t xml:space="preserve">he requested restriction </w:t>
      </w:r>
      <w:r w:rsidR="00327EF8">
        <w:rPr>
          <w:szCs w:val="22"/>
        </w:rPr>
        <w:t>did</w:t>
      </w:r>
      <w:r w:rsidR="00327EF8" w:rsidRPr="00AE71BA">
        <w:rPr>
          <w:szCs w:val="22"/>
        </w:rPr>
        <w:t xml:space="preserve"> </w:t>
      </w:r>
      <w:r w:rsidR="002F5FB3" w:rsidRPr="00AE71BA">
        <w:rPr>
          <w:szCs w:val="22"/>
        </w:rPr>
        <w:t xml:space="preserve">not refer to the inclusion or exclusion of the “not otherwise specified” (NOS) type NSCLC. NOS type NSCLC is included in the current </w:t>
      </w:r>
      <w:r w:rsidR="002F5FB3" w:rsidRPr="00AE71BA">
        <w:rPr>
          <w:szCs w:val="22"/>
        </w:rPr>
        <w:lastRenderedPageBreak/>
        <w:t>restrictions for tyrosine kinase inhibitors (TKIs), such as gefitinib and erlotinib, in NSCLC patients.</w:t>
      </w:r>
      <w:r w:rsidR="005C22F2" w:rsidRPr="00AE71BA">
        <w:rPr>
          <w:szCs w:val="22"/>
        </w:rPr>
        <w:t xml:space="preserve"> </w:t>
      </w:r>
      <w:r w:rsidR="000B70E4" w:rsidRPr="00AE71BA">
        <w:t>Th</w:t>
      </w:r>
      <w:r w:rsidR="00D25683" w:rsidRPr="00AE71BA">
        <w:t xml:space="preserve">e </w:t>
      </w:r>
      <w:r w:rsidR="000F708B" w:rsidRPr="00AE71BA">
        <w:t>Pre-Sub-Committee Response (</w:t>
      </w:r>
      <w:r w:rsidR="00D25683" w:rsidRPr="00AE71BA">
        <w:t>PSCR</w:t>
      </w:r>
      <w:r w:rsidR="000F708B">
        <w:t>)</w:t>
      </w:r>
      <w:r w:rsidR="00D25683" w:rsidRPr="00AE71BA">
        <w:t xml:space="preserve"> (p.3) clarified that it wa</w:t>
      </w:r>
      <w:r w:rsidR="000B70E4" w:rsidRPr="00AE71BA">
        <w:t xml:space="preserve">s the sponsor’s intention for patients with NOS NSCLC to be eligible for nivolumab under the non-squamous indication. </w:t>
      </w:r>
      <w:r w:rsidR="005C22F2" w:rsidRPr="00AE71BA">
        <w:rPr>
          <w:szCs w:val="22"/>
        </w:rPr>
        <w:t>The ESC considered that PD-L1 positive status</w:t>
      </w:r>
      <w:r w:rsidR="000B70E4" w:rsidRPr="00AE71BA">
        <w:rPr>
          <w:szCs w:val="22"/>
        </w:rPr>
        <w:t xml:space="preserve"> should</w:t>
      </w:r>
      <w:r w:rsidR="005C22F2" w:rsidRPr="00AE71BA">
        <w:rPr>
          <w:szCs w:val="22"/>
        </w:rPr>
        <w:t xml:space="preserve"> be used to define the eligible population, rather than a restriction based on whether the NSCLC is squamous, non-squamous, or not otherwise specified.</w:t>
      </w:r>
      <w:r w:rsidR="00A632C6" w:rsidRPr="00AE71BA">
        <w:t xml:space="preserve"> The ESC advised that this would involve determining an appropriate threshold of PD-L1 expression and a co-dependent consideration of PD-L1 testing involving the Medical Services Advisory Committee (MSAC). The ESC noted that MSAC Application 1414 will request MBS listing of PD-L1 expression testing in the context of pembrolizumab</w:t>
      </w:r>
      <w:r w:rsidR="00725315" w:rsidRPr="00AE71BA">
        <w:t xml:space="preserve"> in NSCLC</w:t>
      </w:r>
      <w:r w:rsidR="00A632C6" w:rsidRPr="00AE71BA">
        <w:t>.</w:t>
      </w:r>
    </w:p>
    <w:p w:rsidR="00144D06" w:rsidRPr="00AE71BA" w:rsidRDefault="00144D06" w:rsidP="002F5FB3">
      <w:pPr>
        <w:widowControl/>
        <w:rPr>
          <w:szCs w:val="22"/>
        </w:rPr>
      </w:pPr>
    </w:p>
    <w:p w:rsidR="00144D06" w:rsidRPr="00297861" w:rsidRDefault="00144D06" w:rsidP="00C61ED5">
      <w:pPr>
        <w:pStyle w:val="ListParagraph"/>
        <w:widowControl/>
        <w:numPr>
          <w:ilvl w:val="1"/>
          <w:numId w:val="2"/>
        </w:numPr>
        <w:rPr>
          <w:szCs w:val="22"/>
        </w:rPr>
      </w:pPr>
      <w:r w:rsidRPr="00AE71BA">
        <w:rPr>
          <w:szCs w:val="22"/>
        </w:rPr>
        <w:t>The continuation criteria specified that “patient must be deriving clinical benefit and tolerating treatment”. This is consistent with the nivolumab draft Product Information (PI)</w:t>
      </w:r>
      <w:r w:rsidR="00AF3BB6">
        <w:rPr>
          <w:szCs w:val="22"/>
        </w:rPr>
        <w:t>, however</w:t>
      </w:r>
      <w:r w:rsidRPr="00AE71BA">
        <w:rPr>
          <w:szCs w:val="22"/>
        </w:rPr>
        <w:t xml:space="preserve"> </w:t>
      </w:r>
      <w:r w:rsidR="00AF3BB6">
        <w:rPr>
          <w:szCs w:val="22"/>
        </w:rPr>
        <w:t>t</w:t>
      </w:r>
      <w:r w:rsidRPr="00AE71BA">
        <w:rPr>
          <w:szCs w:val="22"/>
        </w:rPr>
        <w:t>he recently approved Food and Drug Administration (FDA) prescribing information (9 October 2015) specifies that nivolumab treatment be continued until disease progression or unacceptable toxicity. In the key CA209-057 trial, 25% of nivolumab-treated patients were allowed to continue treatment beyond RECIST defined progression (progression in docetaxel-treated patients was based only on RECIST criteria) until further progression based on a 10% increase in tumour burden volume.</w:t>
      </w:r>
      <w:r w:rsidR="00E37A70" w:rsidRPr="00AE71BA">
        <w:rPr>
          <w:szCs w:val="22"/>
        </w:rPr>
        <w:t xml:space="preserve"> </w:t>
      </w:r>
      <w:r w:rsidR="00D86182" w:rsidRPr="00AE71BA">
        <w:t>The rationale for treatment bey</w:t>
      </w:r>
      <w:r w:rsidR="00BC4140" w:rsidRPr="00AE71BA">
        <w:t>ond RECIST defined progression wa</w:t>
      </w:r>
      <w:r w:rsidR="00D86182" w:rsidRPr="00AE71BA">
        <w:t>s that immunotherapeutic agents can cause treatment-induced inflammatory responses in tumours which can be mistaken for progression</w:t>
      </w:r>
      <w:r w:rsidR="00E37A70" w:rsidRPr="00AE71BA">
        <w:rPr>
          <w:szCs w:val="22"/>
        </w:rPr>
        <w:t>.</w:t>
      </w:r>
      <w:r w:rsidR="00837D28" w:rsidRPr="00AE71BA">
        <w:rPr>
          <w:szCs w:val="22"/>
        </w:rPr>
        <w:t xml:space="preserve"> </w:t>
      </w:r>
      <w:r w:rsidR="003C7863" w:rsidRPr="00AE71BA">
        <w:rPr>
          <w:szCs w:val="22"/>
        </w:rPr>
        <w:t xml:space="preserve">The PSCR (p.2) stated that the sponsor contacted three clinicians and asked for their interpretation of “deriving clinical benefit”. The clinicians agreed that “they would cease treatment if there is radiological progression AND the patient has a worsening of cancer related symptoms AND worsening of performance score.” </w:t>
      </w:r>
      <w:r w:rsidR="00837D28" w:rsidRPr="00AE71BA">
        <w:rPr>
          <w:szCs w:val="22"/>
        </w:rPr>
        <w:t xml:space="preserve">The ESC suggested that the continuing restriction include a criterion that “Patient must </w:t>
      </w:r>
      <w:r w:rsidR="008F08C2" w:rsidRPr="00AE71BA">
        <w:rPr>
          <w:szCs w:val="22"/>
        </w:rPr>
        <w:t>not have progressive</w:t>
      </w:r>
      <w:r w:rsidR="00837D28" w:rsidRPr="00AE71BA">
        <w:rPr>
          <w:szCs w:val="22"/>
        </w:rPr>
        <w:t xml:space="preserve"> disease”</w:t>
      </w:r>
      <w:r w:rsidR="00484440" w:rsidRPr="00AE71BA">
        <w:rPr>
          <w:szCs w:val="22"/>
        </w:rPr>
        <w:t xml:space="preserve"> and a note that “in the first few months after start of immunotherapy, some patients can have a transient tumour flare with subsequent disease response. When progression is suspected, this should be confirmed through a confirmatory scan, taken at least 4 weeks later.”</w:t>
      </w:r>
    </w:p>
    <w:p w:rsidR="00297861" w:rsidRPr="00BE2600" w:rsidRDefault="00297861" w:rsidP="00BE2600">
      <w:pPr>
        <w:rPr>
          <w:szCs w:val="22"/>
        </w:rPr>
      </w:pPr>
    </w:p>
    <w:p w:rsidR="00297861" w:rsidRPr="00297861" w:rsidRDefault="00297861" w:rsidP="007B1762">
      <w:pPr>
        <w:pStyle w:val="ListParagraph"/>
        <w:ind w:left="709"/>
        <w:rPr>
          <w:i/>
          <w:szCs w:val="22"/>
        </w:rPr>
      </w:pPr>
      <w:r w:rsidRPr="0038077E">
        <w:rPr>
          <w:i/>
          <w:szCs w:val="22"/>
        </w:rPr>
        <w:t>For more detail on PBAC’s view, see section 7 “PBAC outcome”</w:t>
      </w:r>
      <w:r w:rsidR="00BE2600">
        <w:rPr>
          <w:i/>
          <w:szCs w:val="22"/>
        </w:rPr>
        <w:t>.</w:t>
      </w:r>
    </w:p>
    <w:p w:rsidR="00E452CA" w:rsidRDefault="00E452CA" w:rsidP="00144D06"/>
    <w:p w:rsidR="00297861" w:rsidRPr="00882085" w:rsidRDefault="00297861" w:rsidP="00144D06"/>
    <w:p w:rsidR="00144D06" w:rsidRPr="00407F2D" w:rsidRDefault="00144D06" w:rsidP="000172EE">
      <w:pPr>
        <w:pStyle w:val="Heading1"/>
      </w:pPr>
      <w:bookmarkStart w:id="4" w:name="_Toc440981293"/>
      <w:r w:rsidRPr="00407F2D">
        <w:t>Background</w:t>
      </w:r>
      <w:bookmarkEnd w:id="4"/>
    </w:p>
    <w:p w:rsidR="00542EE0" w:rsidRPr="00AE71BA" w:rsidRDefault="00542EE0" w:rsidP="00542EE0">
      <w:pPr>
        <w:widowControl/>
        <w:rPr>
          <w:szCs w:val="22"/>
        </w:rPr>
      </w:pPr>
    </w:p>
    <w:p w:rsidR="00842670" w:rsidRPr="00AE71BA" w:rsidRDefault="00570A0B" w:rsidP="00C61ED5">
      <w:pPr>
        <w:pStyle w:val="ListParagraph"/>
        <w:widowControl/>
        <w:numPr>
          <w:ilvl w:val="1"/>
          <w:numId w:val="2"/>
        </w:numPr>
        <w:rPr>
          <w:szCs w:val="22"/>
        </w:rPr>
      </w:pPr>
      <w:r w:rsidRPr="00BE2600">
        <w:rPr>
          <w:szCs w:val="22"/>
        </w:rPr>
        <w:t>The submission was made under the TGA/PBAC Parallel Process. Nivolumab was submitted to the TGA for evaluation on 7 January 2015.</w:t>
      </w:r>
      <w:r w:rsidRPr="00AE71BA">
        <w:rPr>
          <w:szCs w:val="22"/>
        </w:rPr>
        <w:t xml:space="preserve"> The dossier included trial data in melanoma, squamous and non-squamous NSCLC. The proposed TGA indication, relevant for the current submission, is for the treatment of locally advanced or metastatic non-squamous NSCLC, with progression on or after prior chemotherapy. </w:t>
      </w:r>
      <w:r w:rsidR="00842670" w:rsidRPr="00AE71BA">
        <w:rPr>
          <w:szCs w:val="22"/>
        </w:rPr>
        <w:t xml:space="preserve">According to the TGA delegate’s overview dated </w:t>
      </w:r>
      <w:r w:rsidR="00A7267F" w:rsidRPr="00AE71BA">
        <w:rPr>
          <w:szCs w:val="22"/>
        </w:rPr>
        <w:t>5</w:t>
      </w:r>
      <w:r w:rsidR="00842670" w:rsidRPr="00AE71BA">
        <w:rPr>
          <w:szCs w:val="22"/>
        </w:rPr>
        <w:t xml:space="preserve"> January 2016</w:t>
      </w:r>
      <w:r w:rsidR="00EE3883" w:rsidRPr="00AE71BA">
        <w:rPr>
          <w:szCs w:val="22"/>
        </w:rPr>
        <w:t xml:space="preserve"> seeking the advice of the 5 February 2016 ACPM meeting</w:t>
      </w:r>
      <w:r w:rsidR="00842670" w:rsidRPr="00AE71BA">
        <w:rPr>
          <w:szCs w:val="22"/>
        </w:rPr>
        <w:t>, a registration d</w:t>
      </w:r>
      <w:r w:rsidR="00BE2600">
        <w:rPr>
          <w:szCs w:val="22"/>
        </w:rPr>
        <w:t>ecision for non-squamous NSCLC wa</w:t>
      </w:r>
      <w:r w:rsidR="00842670" w:rsidRPr="00AE71BA">
        <w:rPr>
          <w:szCs w:val="22"/>
        </w:rPr>
        <w:t>s still pending although the delegate:</w:t>
      </w:r>
    </w:p>
    <w:p w:rsidR="00842670" w:rsidRPr="00AE71BA" w:rsidRDefault="00842670" w:rsidP="00C61ED5">
      <w:pPr>
        <w:pStyle w:val="ListParagraph"/>
        <w:widowControl/>
        <w:numPr>
          <w:ilvl w:val="0"/>
          <w:numId w:val="5"/>
        </w:numPr>
        <w:rPr>
          <w:szCs w:val="22"/>
        </w:rPr>
      </w:pPr>
      <w:r w:rsidRPr="00AE71BA">
        <w:rPr>
          <w:szCs w:val="22"/>
        </w:rPr>
        <w:t>proposed the following indication for nivolumab: As monotherapy for the treatment of locally advanced or metastatic non-squamous NSCLC in patients with progression on or after chemotherapy. In patients with tumour EGFR or ALK genomic aberrations, nivolumab should be used after progression on or after targeted therapy; and</w:t>
      </w:r>
    </w:p>
    <w:p w:rsidR="00842670" w:rsidRPr="00AE71BA" w:rsidRDefault="00842670" w:rsidP="00C61ED5">
      <w:pPr>
        <w:pStyle w:val="ListParagraph"/>
        <w:widowControl/>
        <w:numPr>
          <w:ilvl w:val="0"/>
          <w:numId w:val="5"/>
        </w:numPr>
        <w:rPr>
          <w:szCs w:val="22"/>
        </w:rPr>
      </w:pPr>
      <w:r w:rsidRPr="00AE71BA">
        <w:rPr>
          <w:szCs w:val="22"/>
        </w:rPr>
        <w:lastRenderedPageBreak/>
        <w:t>noted that there is no currently registered PD-L1 assay in Australia.</w:t>
      </w:r>
    </w:p>
    <w:p w:rsidR="00570A0B" w:rsidRPr="00AE71BA" w:rsidRDefault="00570A0B" w:rsidP="00570A0B">
      <w:pPr>
        <w:widowControl/>
        <w:rPr>
          <w:szCs w:val="22"/>
        </w:rPr>
      </w:pPr>
    </w:p>
    <w:p w:rsidR="00570A0B" w:rsidRPr="00AE71BA" w:rsidRDefault="00570A0B" w:rsidP="00C61ED5">
      <w:pPr>
        <w:pStyle w:val="ListParagraph"/>
        <w:widowControl/>
        <w:numPr>
          <w:ilvl w:val="1"/>
          <w:numId w:val="2"/>
        </w:numPr>
        <w:rPr>
          <w:szCs w:val="22"/>
        </w:rPr>
      </w:pPr>
      <w:r w:rsidRPr="00AE71BA">
        <w:rPr>
          <w:szCs w:val="22"/>
        </w:rPr>
        <w:t xml:space="preserve">This </w:t>
      </w:r>
      <w:r w:rsidR="00327EF8">
        <w:rPr>
          <w:szCs w:val="22"/>
        </w:rPr>
        <w:t>wa</w:t>
      </w:r>
      <w:r w:rsidR="00327EF8" w:rsidRPr="00AE71BA">
        <w:rPr>
          <w:szCs w:val="22"/>
        </w:rPr>
        <w:t xml:space="preserve">s </w:t>
      </w:r>
      <w:r w:rsidRPr="00AE71BA">
        <w:rPr>
          <w:szCs w:val="22"/>
        </w:rPr>
        <w:t xml:space="preserve">the first consideration of nivolumab by the PBAC for NSCLC. A previous submission to list nivolumab monotherapy for Stage III/IV melanoma was rejected by the PBAC in July 2015 </w:t>
      </w:r>
      <w:r w:rsidR="00697FE1" w:rsidRPr="00AE71BA">
        <w:rPr>
          <w:szCs w:val="22"/>
        </w:rPr>
        <w:t>and subsequently recommended by the PBAC in November 2015. A</w:t>
      </w:r>
      <w:r w:rsidRPr="00AE71BA">
        <w:rPr>
          <w:szCs w:val="22"/>
        </w:rPr>
        <w:t xml:space="preserve"> submission</w:t>
      </w:r>
      <w:r w:rsidR="00697FE1" w:rsidRPr="00AE71BA">
        <w:rPr>
          <w:szCs w:val="22"/>
        </w:rPr>
        <w:t xml:space="preserve"> for nivolumab</w:t>
      </w:r>
      <w:r w:rsidRPr="00AE71BA">
        <w:rPr>
          <w:szCs w:val="22"/>
        </w:rPr>
        <w:t xml:space="preserve"> in combination with ipilimumab (also for Stage III/IV melanoma) was rejected by the </w:t>
      </w:r>
      <w:r w:rsidR="00E14764" w:rsidRPr="00AE71BA">
        <w:rPr>
          <w:szCs w:val="22"/>
        </w:rPr>
        <w:t xml:space="preserve">PBAC in November 2015. Another </w:t>
      </w:r>
      <w:r w:rsidRPr="00AE71BA">
        <w:rPr>
          <w:szCs w:val="22"/>
        </w:rPr>
        <w:t>PD-1 inhibitor, pembrolizumab, was recommended for mela</w:t>
      </w:r>
      <w:r w:rsidR="00BC4140" w:rsidRPr="00AE71BA">
        <w:rPr>
          <w:szCs w:val="22"/>
        </w:rPr>
        <w:t>noma by the PBAC in March 2015.</w:t>
      </w:r>
    </w:p>
    <w:p w:rsidR="00297861" w:rsidRPr="0038077E" w:rsidRDefault="00297861" w:rsidP="0038077E">
      <w:pPr>
        <w:rPr>
          <w:i/>
          <w:szCs w:val="22"/>
        </w:rPr>
      </w:pPr>
    </w:p>
    <w:p w:rsidR="00144D06" w:rsidRPr="00882085" w:rsidRDefault="00144D06" w:rsidP="00144D06"/>
    <w:p w:rsidR="00144D06" w:rsidRPr="00407F2D" w:rsidRDefault="00144D06" w:rsidP="000172EE">
      <w:pPr>
        <w:pStyle w:val="Heading1"/>
      </w:pPr>
      <w:bookmarkStart w:id="5" w:name="_Toc440981294"/>
      <w:r w:rsidRPr="00407F2D">
        <w:t>Clinical place for the proposed therapy</w:t>
      </w:r>
      <w:bookmarkEnd w:id="5"/>
    </w:p>
    <w:p w:rsidR="00144D06" w:rsidRPr="00882085" w:rsidRDefault="00144D06" w:rsidP="00144D06">
      <w:pPr>
        <w:rPr>
          <w:szCs w:val="22"/>
        </w:rPr>
      </w:pPr>
    </w:p>
    <w:p w:rsidR="00144D06" w:rsidRPr="00AE71BA" w:rsidRDefault="00BC4140" w:rsidP="00C61ED5">
      <w:pPr>
        <w:pStyle w:val="ListParagraph"/>
        <w:widowControl/>
        <w:numPr>
          <w:ilvl w:val="1"/>
          <w:numId w:val="2"/>
        </w:numPr>
        <w:rPr>
          <w:szCs w:val="22"/>
        </w:rPr>
      </w:pPr>
      <w:r w:rsidRPr="00AE71BA">
        <w:t xml:space="preserve">NSCLC comprises approximately </w:t>
      </w:r>
      <w:r w:rsidR="00144D06" w:rsidRPr="00AE71BA">
        <w:t>15%</w:t>
      </w:r>
      <w:r w:rsidRPr="00AE71BA">
        <w:t>-</w:t>
      </w:r>
      <w:r w:rsidR="00144D06" w:rsidRPr="00AE71BA">
        <w:t xml:space="preserve">25% of the squamous histologic subtype </w:t>
      </w:r>
      <w:r w:rsidR="00D30C8B">
        <w:t>and</w:t>
      </w:r>
      <w:r w:rsidR="00D30C8B" w:rsidRPr="00AE71BA">
        <w:t xml:space="preserve"> </w:t>
      </w:r>
      <w:r w:rsidR="00144D06" w:rsidRPr="00AE71BA">
        <w:t>75%</w:t>
      </w:r>
      <w:r w:rsidRPr="00AE71BA">
        <w:t>-</w:t>
      </w:r>
      <w:r w:rsidR="00144D06" w:rsidRPr="00AE71BA">
        <w:t>85% of the non-squamous histologic subtype. Approximately 20% of patients will receive TKIs first-line (</w:t>
      </w:r>
      <w:r w:rsidR="00E14764" w:rsidRPr="00AE71BA">
        <w:t xml:space="preserve">targeting </w:t>
      </w:r>
      <w:r w:rsidR="006D464A" w:rsidRPr="00AE71BA">
        <w:t>epidermal growth factor receptor (</w:t>
      </w:r>
      <w:r w:rsidR="00144D06" w:rsidRPr="00AE71BA">
        <w:t>EGFR</w:t>
      </w:r>
      <w:r w:rsidR="006D464A" w:rsidRPr="00AE71BA">
        <w:t>)</w:t>
      </w:r>
      <w:r w:rsidR="00144D06" w:rsidRPr="00AE71BA">
        <w:t xml:space="preserve"> gene mutations or </w:t>
      </w:r>
      <w:r w:rsidR="00F34BF7" w:rsidRPr="00AE71BA">
        <w:t>anaplastic lymphoma kinase (</w:t>
      </w:r>
      <w:r w:rsidR="00144D06" w:rsidRPr="00AE71BA">
        <w:t>ALK</w:t>
      </w:r>
      <w:r w:rsidR="00F34BF7" w:rsidRPr="00AE71BA">
        <w:t>)</w:t>
      </w:r>
      <w:r w:rsidR="00144D06" w:rsidRPr="00AE71BA">
        <w:t xml:space="preserve"> translocations)</w:t>
      </w:r>
      <w:r w:rsidR="00EB637B">
        <w:t>,</w:t>
      </w:r>
      <w:r w:rsidR="00144D06" w:rsidRPr="00AE71BA">
        <w:t xml:space="preserve"> </w:t>
      </w:r>
      <w:r w:rsidR="00EB637B">
        <w:t xml:space="preserve">followed by </w:t>
      </w:r>
      <w:r w:rsidR="00144D06" w:rsidRPr="00AE71BA">
        <w:t>platinum-based chemotherapy upon progression</w:t>
      </w:r>
      <w:r w:rsidR="00EB637B">
        <w:t>,</w:t>
      </w:r>
      <w:r w:rsidR="00144D06" w:rsidRPr="00AE71BA">
        <w:t xml:space="preserve"> and subsequent </w:t>
      </w:r>
      <w:r w:rsidR="005236D4">
        <w:t xml:space="preserve">pemetrexed or </w:t>
      </w:r>
      <w:r w:rsidR="000170FB">
        <w:t>d</w:t>
      </w:r>
      <w:r w:rsidR="00EB637B">
        <w:t>ocetaxel</w:t>
      </w:r>
      <w:r w:rsidR="00144D06" w:rsidRPr="00AE71BA">
        <w:t>. Patients with no EGFR mutations/translocations would initiate treatment with platinum-based chemotherapy</w:t>
      </w:r>
      <w:r w:rsidR="005236D4">
        <w:t>,</w:t>
      </w:r>
      <w:r w:rsidR="00144D06" w:rsidRPr="00AE71BA">
        <w:t xml:space="preserve"> and subsequent pemetrexed or doce</w:t>
      </w:r>
      <w:r w:rsidRPr="00AE71BA">
        <w:t>taxel.</w:t>
      </w:r>
    </w:p>
    <w:p w:rsidR="00144D06" w:rsidRPr="00AE71BA" w:rsidRDefault="00144D06" w:rsidP="00144D06">
      <w:pPr>
        <w:widowControl/>
        <w:rPr>
          <w:szCs w:val="22"/>
        </w:rPr>
      </w:pPr>
    </w:p>
    <w:p w:rsidR="00144D06" w:rsidRPr="00AE71BA" w:rsidRDefault="00144D06" w:rsidP="0095297D">
      <w:pPr>
        <w:pStyle w:val="ListParagraph"/>
        <w:widowControl/>
        <w:numPr>
          <w:ilvl w:val="1"/>
          <w:numId w:val="2"/>
        </w:numPr>
        <w:rPr>
          <w:szCs w:val="22"/>
        </w:rPr>
      </w:pPr>
      <w:r w:rsidRPr="00AE71BA">
        <w:t xml:space="preserve">The intended listing </w:t>
      </w:r>
      <w:r w:rsidR="00BE2600">
        <w:t>wa</w:t>
      </w:r>
      <w:r w:rsidRPr="00AE71BA">
        <w:t xml:space="preserve">s for patients who have failed platinum-based chemotherapy, thus displacing </w:t>
      </w:r>
      <w:r w:rsidR="00D90D23">
        <w:t xml:space="preserve">pemetrexed or </w:t>
      </w:r>
      <w:r w:rsidRPr="00AE71BA">
        <w:t xml:space="preserve">docetaxel further down the treatment </w:t>
      </w:r>
      <w:r w:rsidR="00E14764" w:rsidRPr="00AE71BA">
        <w:t>pathway</w:t>
      </w:r>
      <w:r w:rsidRPr="00AE71BA">
        <w:t xml:space="preserve">. The proposed mechanism of action of nivolumab </w:t>
      </w:r>
      <w:r w:rsidR="00BE2600">
        <w:t>wa</w:t>
      </w:r>
      <w:r w:rsidRPr="00AE71BA">
        <w:t>s that it blocks programmed cell death-1 (PD-1) inhibition of the immune system preventing ligand binding. However, the submission d</w:t>
      </w:r>
      <w:r w:rsidR="00BE2600">
        <w:t>id</w:t>
      </w:r>
      <w:r w:rsidRPr="00AE71BA">
        <w:t xml:space="preserve"> not propose </w:t>
      </w:r>
      <w:r w:rsidR="003C534A">
        <w:t xml:space="preserve">restricting the </w:t>
      </w:r>
      <w:r w:rsidRPr="00AE71BA">
        <w:t xml:space="preserve">listing of nivolumab </w:t>
      </w:r>
      <w:r w:rsidR="007743E7">
        <w:t xml:space="preserve">to patients with </w:t>
      </w:r>
      <w:r w:rsidRPr="00AE71BA">
        <w:t xml:space="preserve">non-squamous NSCLC </w:t>
      </w:r>
      <w:r w:rsidR="007743E7">
        <w:t xml:space="preserve">tumours that </w:t>
      </w:r>
      <w:r w:rsidRPr="00AE71BA">
        <w:t>express PD-L1 (PD</w:t>
      </w:r>
      <w:r w:rsidR="00E14764" w:rsidRPr="00AE71BA">
        <w:t>-L1 positive). The submission</w:t>
      </w:r>
      <w:r w:rsidRPr="00AE71BA">
        <w:t xml:space="preserve"> </w:t>
      </w:r>
      <w:r w:rsidR="00E14764" w:rsidRPr="00AE71BA">
        <w:t xml:space="preserve">argued that </w:t>
      </w:r>
      <w:r w:rsidRPr="00AE71BA">
        <w:t xml:space="preserve">PD-L1 expression is likely not an appropriate immune marker, interpretation of </w:t>
      </w:r>
      <w:r w:rsidR="00E14764" w:rsidRPr="00AE71BA">
        <w:t xml:space="preserve">PD-L1 expression </w:t>
      </w:r>
      <w:r w:rsidRPr="00AE71BA">
        <w:t>testing varies</w:t>
      </w:r>
      <w:r w:rsidR="00BC4140" w:rsidRPr="00AE71BA">
        <w:t>,</w:t>
      </w:r>
      <w:r w:rsidRPr="00AE71BA">
        <w:t xml:space="preserve"> and all patients </w:t>
      </w:r>
      <w:r w:rsidR="00E14764" w:rsidRPr="00AE71BA">
        <w:t xml:space="preserve">in the key trial (CA209-057) </w:t>
      </w:r>
      <w:r w:rsidRPr="00AE71BA">
        <w:t xml:space="preserve">benefited from nivolumab treatment over docetaxel regardless of PD-L1 status. </w:t>
      </w:r>
      <w:r w:rsidR="00803083" w:rsidRPr="00AE71BA">
        <w:t xml:space="preserve">The ESC </w:t>
      </w:r>
      <w:r w:rsidR="007E7C82">
        <w:t>proposed</w:t>
      </w:r>
      <w:r w:rsidR="00803083" w:rsidRPr="00AE71BA">
        <w:t xml:space="preserve"> that nivolumab should be restricted to patients with a positive PD-L1 status. </w:t>
      </w:r>
      <w:r w:rsidR="0095297D" w:rsidRPr="0095297D">
        <w:t>The Pre-PBAC Response (p.1) disagreed that PBS</w:t>
      </w:r>
      <w:r w:rsidR="00BE2600">
        <w:t>-</w:t>
      </w:r>
      <w:r w:rsidR="0095297D" w:rsidRPr="0095297D">
        <w:t xml:space="preserve">listed nivolumab should be restricted to patients who are PD-L1 expression positive, and claimed that this would be </w:t>
      </w:r>
      <w:r w:rsidR="0095297D">
        <w:t xml:space="preserve">misaligned with treatment guidelines and </w:t>
      </w:r>
      <w:r w:rsidR="0095297D" w:rsidRPr="0095297D">
        <w:t xml:space="preserve">inconsistent with </w:t>
      </w:r>
      <w:r w:rsidR="0095297D">
        <w:t>study conclusions from the key clinical trial</w:t>
      </w:r>
      <w:r w:rsidR="0095297D" w:rsidRPr="0095297D">
        <w:t xml:space="preserve">. </w:t>
      </w:r>
      <w:r w:rsidR="00803083" w:rsidRPr="00AE71BA">
        <w:t>The ESC further noted that</w:t>
      </w:r>
      <w:r w:rsidR="00A632C6" w:rsidRPr="00AE71BA">
        <w:t>,</w:t>
      </w:r>
      <w:r w:rsidR="00803083" w:rsidRPr="00AE71BA">
        <w:t xml:space="preserve"> in patients with tumour EGFR</w:t>
      </w:r>
      <w:r w:rsidR="007E7C82">
        <w:t xml:space="preserve"> mutations</w:t>
      </w:r>
      <w:r w:rsidR="00803083" w:rsidRPr="00AE71BA">
        <w:t xml:space="preserve"> or ALK genomic aberrations, although the proposed TGA indication is for nivolumab to be used after progression on or after targeted therapy, the </w:t>
      </w:r>
      <w:r w:rsidR="003B09B6" w:rsidRPr="00AE71BA">
        <w:t xml:space="preserve">sponsor’s </w:t>
      </w:r>
      <w:r w:rsidR="00803083" w:rsidRPr="00AE71BA">
        <w:t>advisory board</w:t>
      </w:r>
      <w:r w:rsidR="003B09B6" w:rsidRPr="00AE71BA">
        <w:t xml:space="preserve"> consider</w:t>
      </w:r>
      <w:r w:rsidR="00987224">
        <w:t>ed that</w:t>
      </w:r>
      <w:r w:rsidR="003B09B6" w:rsidRPr="00AE71BA">
        <w:t xml:space="preserve"> this group of patients </w:t>
      </w:r>
      <w:r w:rsidR="00987224">
        <w:t xml:space="preserve">were less likely to derive clinical benefit from </w:t>
      </w:r>
      <w:r w:rsidR="003B09B6" w:rsidRPr="00AE71BA">
        <w:t xml:space="preserve"> nivolumab.</w:t>
      </w:r>
    </w:p>
    <w:p w:rsidR="00297861" w:rsidRPr="00BE2600" w:rsidRDefault="00297861" w:rsidP="00BE2600">
      <w:pPr>
        <w:rPr>
          <w:szCs w:val="22"/>
        </w:rPr>
      </w:pPr>
    </w:p>
    <w:p w:rsidR="00297861" w:rsidRDefault="00297861" w:rsidP="007B1762">
      <w:pPr>
        <w:pStyle w:val="ListParagraph"/>
        <w:ind w:left="709"/>
        <w:rPr>
          <w:i/>
          <w:szCs w:val="22"/>
        </w:rPr>
      </w:pPr>
      <w:r w:rsidRPr="00237B8C">
        <w:rPr>
          <w:i/>
          <w:szCs w:val="22"/>
        </w:rPr>
        <w:t>For more detail on PBAC’s view, see section 7 “PBAC outcome”</w:t>
      </w:r>
      <w:r w:rsidR="00BE2600">
        <w:rPr>
          <w:i/>
          <w:szCs w:val="22"/>
        </w:rPr>
        <w:t>.</w:t>
      </w:r>
    </w:p>
    <w:p w:rsidR="00144D06" w:rsidRDefault="00144D06" w:rsidP="00144D06">
      <w:pPr>
        <w:pStyle w:val="Header"/>
        <w:rPr>
          <w:szCs w:val="22"/>
        </w:rPr>
      </w:pPr>
    </w:p>
    <w:p w:rsidR="00E452CA" w:rsidRPr="00882085" w:rsidRDefault="00DE4EC6" w:rsidP="00DE4EC6">
      <w:pPr>
        <w:widowControl/>
        <w:jc w:val="left"/>
        <w:rPr>
          <w:szCs w:val="22"/>
        </w:rPr>
      </w:pPr>
      <w:r>
        <w:rPr>
          <w:szCs w:val="22"/>
        </w:rPr>
        <w:br w:type="page"/>
      </w:r>
    </w:p>
    <w:p w:rsidR="00144D06" w:rsidRPr="00407F2D" w:rsidRDefault="00144D06" w:rsidP="000172EE">
      <w:pPr>
        <w:pStyle w:val="Heading1"/>
      </w:pPr>
      <w:bookmarkStart w:id="6" w:name="_Toc440981295"/>
      <w:r w:rsidRPr="00407F2D">
        <w:lastRenderedPageBreak/>
        <w:t>Comparator</w:t>
      </w:r>
      <w:bookmarkEnd w:id="6"/>
    </w:p>
    <w:p w:rsidR="00144D06" w:rsidRPr="00882085" w:rsidRDefault="00144D06" w:rsidP="00144D06"/>
    <w:p w:rsidR="00144D06" w:rsidRPr="00AE71BA" w:rsidRDefault="00697FE1" w:rsidP="00C61ED5">
      <w:pPr>
        <w:pStyle w:val="ListParagraph"/>
        <w:widowControl/>
        <w:numPr>
          <w:ilvl w:val="1"/>
          <w:numId w:val="2"/>
        </w:numPr>
        <w:rPr>
          <w:szCs w:val="22"/>
        </w:rPr>
      </w:pPr>
      <w:r w:rsidRPr="00AE71BA">
        <w:t>The submission nominated d</w:t>
      </w:r>
      <w:r w:rsidR="00144D06" w:rsidRPr="00AE71BA">
        <w:t>ocetaxel as the main comparator and pemetrexed as a minor comparator. The submission argue</w:t>
      </w:r>
      <w:r w:rsidR="00BC4140" w:rsidRPr="00AE71BA">
        <w:t>d that</w:t>
      </w:r>
      <w:r w:rsidR="00144D06" w:rsidRPr="00AE71BA">
        <w:t xml:space="preserve"> the majority of patients use pemetrexed as maintenance therapy </w:t>
      </w:r>
      <w:r w:rsidR="00BF6796" w:rsidRPr="00AE71BA">
        <w:t xml:space="preserve">with </w:t>
      </w:r>
      <w:r w:rsidR="00144D06" w:rsidRPr="00AE71BA">
        <w:t>platinum-based chemotherapy and thus would likely be treated with docetaxel upon progression.</w:t>
      </w:r>
      <w:r w:rsidR="00D25683" w:rsidRPr="00AE71BA">
        <w:t xml:space="preserve"> </w:t>
      </w:r>
      <w:r w:rsidR="00D21F73" w:rsidRPr="00AE71BA">
        <w:t>The ESC considered that both docetaxel and pemetrexed are relevant comparators</w:t>
      </w:r>
      <w:r w:rsidR="00144D06" w:rsidRPr="00AE71BA">
        <w:t>. Pemetrexed is used as maintenance therapy in practice</w:t>
      </w:r>
      <w:r w:rsidR="00BC4140" w:rsidRPr="00AE71BA">
        <w:t>,</w:t>
      </w:r>
      <w:r w:rsidR="00144D06" w:rsidRPr="00AE71BA">
        <w:t xml:space="preserve"> but the extent of such use and its cost-effectiveness is unknown</w:t>
      </w:r>
      <w:r w:rsidR="00BF6796" w:rsidRPr="00AE71BA">
        <w:t xml:space="preserve"> </w:t>
      </w:r>
      <w:r w:rsidR="00144D06" w:rsidRPr="00AE71BA">
        <w:t>(Public Summary Documents for gefitinib and erlotinib, PBAC Consideration: July 2013).</w:t>
      </w:r>
    </w:p>
    <w:p w:rsidR="00297861" w:rsidRPr="00BE2600" w:rsidRDefault="00297861" w:rsidP="00BE2600">
      <w:pPr>
        <w:rPr>
          <w:szCs w:val="22"/>
        </w:rPr>
      </w:pPr>
    </w:p>
    <w:p w:rsidR="00297861" w:rsidRDefault="00297861" w:rsidP="007B1762">
      <w:pPr>
        <w:pStyle w:val="ListParagraph"/>
        <w:ind w:left="709"/>
        <w:rPr>
          <w:i/>
          <w:szCs w:val="22"/>
        </w:rPr>
      </w:pPr>
      <w:r w:rsidRPr="0038077E">
        <w:rPr>
          <w:i/>
          <w:szCs w:val="22"/>
        </w:rPr>
        <w:t>For more detail on PBAC’s view, see section 7 “PBAC outcome”</w:t>
      </w:r>
      <w:r w:rsidR="00BE2600">
        <w:rPr>
          <w:i/>
          <w:szCs w:val="22"/>
        </w:rPr>
        <w:t>.</w:t>
      </w:r>
    </w:p>
    <w:p w:rsidR="00144D06" w:rsidRDefault="00144D06" w:rsidP="00144D06">
      <w:pPr>
        <w:rPr>
          <w:szCs w:val="22"/>
        </w:rPr>
      </w:pPr>
    </w:p>
    <w:p w:rsidR="00E452CA" w:rsidRPr="00DF5D2B" w:rsidRDefault="00E452CA" w:rsidP="00144D06">
      <w:pPr>
        <w:rPr>
          <w:szCs w:val="22"/>
        </w:rPr>
      </w:pPr>
    </w:p>
    <w:p w:rsidR="00297861" w:rsidRDefault="00144D06" w:rsidP="000172EE">
      <w:pPr>
        <w:pStyle w:val="Heading1"/>
      </w:pPr>
      <w:bookmarkStart w:id="7" w:name="_Toc440981296"/>
      <w:r>
        <w:t>C</w:t>
      </w:r>
      <w:r w:rsidRPr="00407F2D">
        <w:t>onsideration of the evidence</w:t>
      </w:r>
      <w:bookmarkEnd w:id="7"/>
    </w:p>
    <w:p w:rsidR="00297861" w:rsidRPr="00A159C9" w:rsidRDefault="00297861" w:rsidP="00A159C9">
      <w:pPr>
        <w:pStyle w:val="PBACHeading1"/>
        <w:numPr>
          <w:ilvl w:val="0"/>
          <w:numId w:val="0"/>
        </w:numPr>
        <w:rPr>
          <w:b w:val="0"/>
        </w:rPr>
      </w:pPr>
    </w:p>
    <w:p w:rsidR="0095297D" w:rsidRDefault="0095297D" w:rsidP="0095297D">
      <w:pPr>
        <w:pStyle w:val="Heading2"/>
        <w:rPr>
          <w:i/>
        </w:rPr>
      </w:pPr>
      <w:r w:rsidRPr="001B5243">
        <w:rPr>
          <w:i/>
        </w:rPr>
        <w:t>Sponsor hearing</w:t>
      </w:r>
    </w:p>
    <w:p w:rsidR="0095297D" w:rsidRPr="00773A86" w:rsidRDefault="0095297D" w:rsidP="0095297D"/>
    <w:p w:rsidR="0095297D" w:rsidRPr="002D0C16" w:rsidRDefault="0095297D" w:rsidP="0095297D">
      <w:pPr>
        <w:numPr>
          <w:ilvl w:val="1"/>
          <w:numId w:val="2"/>
        </w:numPr>
        <w:contextualSpacing/>
        <w:rPr>
          <w:bCs/>
          <w:szCs w:val="22"/>
        </w:rPr>
      </w:pPr>
      <w:r w:rsidRPr="002D0C16">
        <w:rPr>
          <w:bCs/>
          <w:szCs w:val="22"/>
        </w:rPr>
        <w:t xml:space="preserve">The sponsor requested a hearing for this item.  The clinician </w:t>
      </w:r>
      <w:r w:rsidR="00BE2600">
        <w:rPr>
          <w:bCs/>
          <w:szCs w:val="22"/>
        </w:rPr>
        <w:t xml:space="preserve">for the sponsor </w:t>
      </w:r>
      <w:r w:rsidRPr="002D0C16">
        <w:rPr>
          <w:bCs/>
          <w:szCs w:val="22"/>
        </w:rPr>
        <w:t>discussed how the drug would be used in practice, and addressed other matters in response to the Committee’s questions</w:t>
      </w:r>
      <w:r w:rsidR="00A159C9">
        <w:rPr>
          <w:bCs/>
          <w:szCs w:val="22"/>
        </w:rPr>
        <w:t xml:space="preserve"> about obtaining tissue for PD-L1 expression testing, what level of performance status would be suitable for nivolumab treatment, the likely role of nivolumab as monotherapy, sequential therapy or combination therapy</w:t>
      </w:r>
      <w:r w:rsidR="004C209F">
        <w:rPr>
          <w:bCs/>
          <w:szCs w:val="22"/>
        </w:rPr>
        <w:t>,</w:t>
      </w:r>
      <w:r w:rsidR="00A159C9">
        <w:rPr>
          <w:bCs/>
          <w:szCs w:val="22"/>
        </w:rPr>
        <w:t xml:space="preserve"> the </w:t>
      </w:r>
      <w:r w:rsidR="004C209F">
        <w:rPr>
          <w:bCs/>
          <w:szCs w:val="22"/>
        </w:rPr>
        <w:t xml:space="preserve">predictive value </w:t>
      </w:r>
      <w:r w:rsidR="00A159C9">
        <w:rPr>
          <w:bCs/>
          <w:szCs w:val="22"/>
        </w:rPr>
        <w:t>of PD-L1 expression status for NSCLC compared to its likely role in other cancers, and the likelihood of using nivolumab as first-line in NSCLC</w:t>
      </w:r>
      <w:r w:rsidRPr="002D0C16">
        <w:rPr>
          <w:bCs/>
          <w:szCs w:val="22"/>
        </w:rPr>
        <w:t>.</w:t>
      </w:r>
    </w:p>
    <w:p w:rsidR="0095297D" w:rsidRPr="002D0C16" w:rsidRDefault="0095297D" w:rsidP="0095297D">
      <w:pPr>
        <w:contextualSpacing/>
        <w:rPr>
          <w:bCs/>
          <w:szCs w:val="22"/>
          <w:highlight w:val="yellow"/>
        </w:rPr>
      </w:pPr>
    </w:p>
    <w:p w:rsidR="0095297D" w:rsidRDefault="0095297D" w:rsidP="0095297D">
      <w:pPr>
        <w:pStyle w:val="Heading2"/>
        <w:rPr>
          <w:i/>
        </w:rPr>
      </w:pPr>
      <w:r w:rsidRPr="001B5243">
        <w:rPr>
          <w:i/>
        </w:rPr>
        <w:t>Consumer comments</w:t>
      </w:r>
    </w:p>
    <w:p w:rsidR="0095297D" w:rsidRPr="001B5243" w:rsidRDefault="0095297D" w:rsidP="0095297D"/>
    <w:p w:rsidR="0095297D" w:rsidRPr="00FF76E0" w:rsidRDefault="0095297D" w:rsidP="0095297D">
      <w:pPr>
        <w:numPr>
          <w:ilvl w:val="1"/>
          <w:numId w:val="2"/>
        </w:numPr>
        <w:contextualSpacing/>
        <w:rPr>
          <w:bCs/>
          <w:szCs w:val="22"/>
        </w:rPr>
      </w:pPr>
      <w:r w:rsidRPr="00FF76E0">
        <w:rPr>
          <w:bCs/>
          <w:szCs w:val="22"/>
        </w:rPr>
        <w:t>The PBAC noted and welcomed the input from organisations (2) via the Consumer Comments facility on the PBS website. The comment from the Lung Foundation emphasised that effective, safe and well tolerated treatments for lung cancer in Australia remain limited</w:t>
      </w:r>
      <w:r>
        <w:rPr>
          <w:bCs/>
          <w:szCs w:val="22"/>
        </w:rPr>
        <w:t>,</w:t>
      </w:r>
      <w:r w:rsidRPr="00FF76E0">
        <w:rPr>
          <w:bCs/>
          <w:szCs w:val="22"/>
        </w:rPr>
        <w:t xml:space="preserve"> and supported early access to treatment where evidence shows benefit.</w:t>
      </w:r>
      <w:r>
        <w:rPr>
          <w:bCs/>
          <w:szCs w:val="22"/>
        </w:rPr>
        <w:t xml:space="preserve"> A comment from Merck Sharp and Dohme discussed the importance of PD-L1 testing and how the effectiveness of PD-L1 therapies correlates with levels of expression of PD-L1.</w:t>
      </w:r>
    </w:p>
    <w:p w:rsidR="00297861" w:rsidRPr="003A49F2" w:rsidRDefault="00297861" w:rsidP="001B5243">
      <w:pPr>
        <w:contextualSpacing/>
        <w:rPr>
          <w:bCs/>
          <w:szCs w:val="22"/>
          <w:highlight w:val="yellow"/>
        </w:rPr>
      </w:pPr>
    </w:p>
    <w:p w:rsidR="00144D06" w:rsidRPr="002C2775" w:rsidRDefault="00144D06" w:rsidP="00144D06">
      <w:pPr>
        <w:pStyle w:val="Heading2"/>
        <w:rPr>
          <w:i/>
        </w:rPr>
      </w:pPr>
      <w:bookmarkStart w:id="8" w:name="_Toc440294996"/>
      <w:bookmarkStart w:id="9" w:name="_Toc440981297"/>
      <w:r w:rsidRPr="002C2775">
        <w:rPr>
          <w:i/>
        </w:rPr>
        <w:t>Clinical trial</w:t>
      </w:r>
      <w:bookmarkEnd w:id="8"/>
      <w:bookmarkEnd w:id="9"/>
      <w:r w:rsidR="001B5243">
        <w:rPr>
          <w:i/>
        </w:rPr>
        <w:t>s</w:t>
      </w:r>
    </w:p>
    <w:p w:rsidR="00144D06" w:rsidRPr="00882085" w:rsidRDefault="00144D06" w:rsidP="00144D06">
      <w:pPr>
        <w:rPr>
          <w:szCs w:val="22"/>
        </w:rPr>
      </w:pPr>
    </w:p>
    <w:p w:rsidR="00144D06" w:rsidRPr="00AE71BA" w:rsidRDefault="00144D06" w:rsidP="00C61ED5">
      <w:pPr>
        <w:pStyle w:val="ListParagraph"/>
        <w:widowControl/>
        <w:numPr>
          <w:ilvl w:val="1"/>
          <w:numId w:val="2"/>
        </w:numPr>
        <w:rPr>
          <w:szCs w:val="22"/>
        </w:rPr>
      </w:pPr>
      <w:r w:rsidRPr="00AE71BA">
        <w:t xml:space="preserve">The submission </w:t>
      </w:r>
      <w:r w:rsidR="0002790C">
        <w:t>wa</w:t>
      </w:r>
      <w:r w:rsidR="0002790C" w:rsidRPr="00AE71BA">
        <w:t xml:space="preserve">s </w:t>
      </w:r>
      <w:r w:rsidRPr="00AE71BA">
        <w:t xml:space="preserve">based on one open-label head-to-head randomised controlled trial (CA209-057: N=582) comparing nivolumab with docetaxel in previously treated </w:t>
      </w:r>
      <w:r w:rsidR="00BF6796" w:rsidRPr="00AE71BA">
        <w:t xml:space="preserve">patients with </w:t>
      </w:r>
      <w:r w:rsidRPr="00AE71BA">
        <w:t>metastatic non-squamous NSCLC. An indirect comparison with pemetrexed using docetaxel as the common reference was also conducted based on CA209-057 and a retrospective non-squamous subgroup analysis (Scagliotti (2009: N=399) of a trial which compared pemetrexed with docetaxel in NSCLC (Hanna et al (2004): N=571)</w:t>
      </w:r>
      <w:r w:rsidR="007E7C82">
        <w:t>.</w:t>
      </w:r>
      <w:r w:rsidRPr="00AE71BA">
        <w:t xml:space="preserve"> The direct comparison with docetaxel formed the main basis of the submission.</w:t>
      </w:r>
      <w:r w:rsidR="007E7C82">
        <w:t xml:space="preserve"> No cost-effectiveness analysis was conducted versus pemetrexed.</w:t>
      </w:r>
    </w:p>
    <w:p w:rsidR="00DE4EC6" w:rsidRDefault="00DE4EC6">
      <w:pPr>
        <w:widowControl/>
        <w:jc w:val="left"/>
        <w:rPr>
          <w:szCs w:val="22"/>
        </w:rPr>
      </w:pPr>
      <w:r>
        <w:rPr>
          <w:szCs w:val="22"/>
        </w:rPr>
        <w:br w:type="page"/>
      </w:r>
    </w:p>
    <w:p w:rsidR="00144D06" w:rsidRPr="00AE71BA" w:rsidRDefault="00144D06" w:rsidP="00144D06">
      <w:pPr>
        <w:widowControl/>
        <w:rPr>
          <w:szCs w:val="22"/>
        </w:rPr>
      </w:pPr>
    </w:p>
    <w:p w:rsidR="00144D06" w:rsidRPr="00AE71BA" w:rsidRDefault="00BC4140" w:rsidP="00C61ED5">
      <w:pPr>
        <w:pStyle w:val="ListParagraph"/>
        <w:widowControl/>
        <w:numPr>
          <w:ilvl w:val="1"/>
          <w:numId w:val="2"/>
        </w:numPr>
        <w:rPr>
          <w:szCs w:val="22"/>
        </w:rPr>
      </w:pPr>
      <w:r w:rsidRPr="00AE71BA">
        <w:rPr>
          <w:szCs w:val="22"/>
        </w:rPr>
        <w:t>Details of the trial</w:t>
      </w:r>
      <w:r w:rsidR="00144D06" w:rsidRPr="00AE71BA">
        <w:rPr>
          <w:szCs w:val="22"/>
        </w:rPr>
        <w:t xml:space="preserve"> presented in the submission ar</w:t>
      </w:r>
      <w:r w:rsidRPr="00AE71BA">
        <w:rPr>
          <w:szCs w:val="22"/>
        </w:rPr>
        <w:t xml:space="preserve">e provided in </w:t>
      </w:r>
      <w:r w:rsidR="00BE2600">
        <w:rPr>
          <w:szCs w:val="22"/>
        </w:rPr>
        <w:t>T</w:t>
      </w:r>
      <w:r w:rsidRPr="00AE71BA">
        <w:rPr>
          <w:szCs w:val="22"/>
        </w:rPr>
        <w:t>able</w:t>
      </w:r>
      <w:r w:rsidR="00BE2600">
        <w:rPr>
          <w:szCs w:val="22"/>
        </w:rPr>
        <w:t xml:space="preserve"> 1</w:t>
      </w:r>
      <w:r w:rsidRPr="00AE71BA">
        <w:rPr>
          <w:szCs w:val="22"/>
        </w:rPr>
        <w:t>.</w:t>
      </w:r>
    </w:p>
    <w:p w:rsidR="00144D06" w:rsidRPr="00862502" w:rsidRDefault="00144D06" w:rsidP="00144D06">
      <w:pPr>
        <w:widowControl/>
        <w:rPr>
          <w:szCs w:val="22"/>
        </w:rPr>
      </w:pPr>
    </w:p>
    <w:p w:rsidR="00144D06" w:rsidRPr="005C7F65" w:rsidRDefault="00144D06" w:rsidP="00A90A8A">
      <w:pPr>
        <w:pStyle w:val="TableHeader"/>
        <w:ind w:left="709"/>
      </w:pPr>
      <w:r>
        <w:t xml:space="preserve">Table </w:t>
      </w:r>
      <w:r>
        <w:rPr>
          <w:noProof/>
        </w:rPr>
        <w:t>1</w:t>
      </w:r>
      <w:r>
        <w:t xml:space="preserve">: </w:t>
      </w:r>
      <w:r w:rsidRPr="005C7F65">
        <w:t>Trial and associated reports presented in the submission</w:t>
      </w:r>
      <w:r>
        <w:t xml:space="preserve"> to support the main clinical claim</w:t>
      </w:r>
    </w:p>
    <w:tbl>
      <w:tblPr>
        <w:tblW w:w="4594" w:type="pct"/>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92"/>
        <w:gridCol w:w="4394"/>
        <w:gridCol w:w="2959"/>
      </w:tblGrid>
      <w:tr w:rsidR="00144D06" w:rsidRPr="004E2ADC" w:rsidTr="00BC4140">
        <w:tc>
          <w:tcPr>
            <w:tcW w:w="594" w:type="pct"/>
          </w:tcPr>
          <w:p w:rsidR="00144D06" w:rsidRPr="004E2ADC" w:rsidRDefault="00144D06" w:rsidP="00144D06">
            <w:pPr>
              <w:jc w:val="left"/>
              <w:rPr>
                <w:rFonts w:ascii="Arial Narrow" w:hAnsi="Arial Narrow"/>
                <w:b/>
                <w:sz w:val="20"/>
              </w:rPr>
            </w:pPr>
            <w:r w:rsidRPr="004E2ADC">
              <w:rPr>
                <w:rFonts w:ascii="Arial Narrow" w:hAnsi="Arial Narrow"/>
                <w:b/>
                <w:sz w:val="20"/>
              </w:rPr>
              <w:t>Trial ID</w:t>
            </w:r>
          </w:p>
        </w:tc>
        <w:tc>
          <w:tcPr>
            <w:tcW w:w="2633" w:type="pct"/>
          </w:tcPr>
          <w:p w:rsidR="00144D06" w:rsidRPr="004E2ADC" w:rsidRDefault="00144D06" w:rsidP="00144D06">
            <w:pPr>
              <w:jc w:val="center"/>
              <w:rPr>
                <w:rFonts w:ascii="Arial Narrow" w:hAnsi="Arial Narrow"/>
                <w:b/>
                <w:sz w:val="20"/>
              </w:rPr>
            </w:pPr>
            <w:r w:rsidRPr="004E2ADC">
              <w:rPr>
                <w:rFonts w:ascii="Arial Narrow" w:hAnsi="Arial Narrow"/>
                <w:b/>
                <w:sz w:val="20"/>
              </w:rPr>
              <w:t>Protocol title/ Publication title</w:t>
            </w:r>
          </w:p>
        </w:tc>
        <w:tc>
          <w:tcPr>
            <w:tcW w:w="1773" w:type="pct"/>
          </w:tcPr>
          <w:p w:rsidR="00144D06" w:rsidRPr="004E2ADC" w:rsidRDefault="00144D06" w:rsidP="00144D06">
            <w:pPr>
              <w:jc w:val="center"/>
              <w:rPr>
                <w:rFonts w:ascii="Arial Narrow" w:hAnsi="Arial Narrow"/>
                <w:b/>
                <w:sz w:val="20"/>
              </w:rPr>
            </w:pPr>
            <w:r w:rsidRPr="004E2ADC">
              <w:rPr>
                <w:rFonts w:ascii="Arial Narrow" w:hAnsi="Arial Narrow"/>
                <w:b/>
                <w:sz w:val="20"/>
              </w:rPr>
              <w:t>Publication citation</w:t>
            </w:r>
          </w:p>
        </w:tc>
      </w:tr>
      <w:tr w:rsidR="00144D06" w:rsidRPr="004E2ADC" w:rsidTr="00BC4140">
        <w:tc>
          <w:tcPr>
            <w:tcW w:w="5000" w:type="pct"/>
            <w:gridSpan w:val="3"/>
          </w:tcPr>
          <w:p w:rsidR="00144D06" w:rsidRPr="004E2ADC" w:rsidRDefault="00144D06" w:rsidP="00144D06">
            <w:pPr>
              <w:jc w:val="left"/>
              <w:rPr>
                <w:rFonts w:ascii="Arial Narrow" w:hAnsi="Arial Narrow"/>
                <w:b/>
                <w:sz w:val="20"/>
              </w:rPr>
            </w:pPr>
            <w:r w:rsidRPr="004E2ADC">
              <w:rPr>
                <w:rFonts w:ascii="Arial Narrow" w:hAnsi="Arial Narrow"/>
                <w:b/>
                <w:sz w:val="20"/>
              </w:rPr>
              <w:t>Direct randomised trial</w:t>
            </w:r>
          </w:p>
        </w:tc>
      </w:tr>
      <w:tr w:rsidR="00144D06" w:rsidRPr="004E2ADC" w:rsidTr="00BC4140">
        <w:tc>
          <w:tcPr>
            <w:tcW w:w="594" w:type="pct"/>
          </w:tcPr>
          <w:p w:rsidR="00144D06" w:rsidRPr="004E2ADC" w:rsidRDefault="00144D06" w:rsidP="00BC4140">
            <w:pPr>
              <w:jc w:val="left"/>
              <w:rPr>
                <w:rFonts w:ascii="Arial Narrow" w:hAnsi="Arial Narrow"/>
                <w:sz w:val="20"/>
              </w:rPr>
            </w:pPr>
            <w:r>
              <w:rPr>
                <w:rFonts w:ascii="Arial Narrow" w:hAnsi="Arial Narrow"/>
                <w:sz w:val="20"/>
              </w:rPr>
              <w:t>CA209-057</w:t>
            </w:r>
          </w:p>
        </w:tc>
        <w:tc>
          <w:tcPr>
            <w:tcW w:w="2633" w:type="pct"/>
          </w:tcPr>
          <w:p w:rsidR="00144D06" w:rsidRPr="0082410A" w:rsidRDefault="00144D06" w:rsidP="00144D06">
            <w:pPr>
              <w:jc w:val="left"/>
              <w:rPr>
                <w:rFonts w:ascii="Arial Narrow" w:hAnsi="Arial Narrow"/>
                <w:sz w:val="20"/>
              </w:rPr>
            </w:pPr>
            <w:r w:rsidRPr="00351C71">
              <w:rPr>
                <w:rFonts w:ascii="Arial Narrow" w:hAnsi="Arial Narrow"/>
                <w:sz w:val="20"/>
              </w:rPr>
              <w:t xml:space="preserve">Primary clinical study report </w:t>
            </w:r>
            <w:r w:rsidRPr="006F5ECB">
              <w:rPr>
                <w:rFonts w:ascii="Arial Narrow" w:hAnsi="Arial Narrow"/>
                <w:sz w:val="20"/>
              </w:rPr>
              <w:t>CA209057</w:t>
            </w:r>
            <w:r>
              <w:rPr>
                <w:rFonts w:ascii="Arial Narrow" w:hAnsi="Arial Narrow"/>
                <w:sz w:val="20"/>
              </w:rPr>
              <w:t xml:space="preserve"> - </w:t>
            </w:r>
            <w:r w:rsidRPr="006F5ECB">
              <w:rPr>
                <w:rFonts w:ascii="Arial Narrow" w:hAnsi="Arial Narrow"/>
                <w:sz w:val="20"/>
              </w:rPr>
              <w:t xml:space="preserve">An open-label randomized phase </w:t>
            </w:r>
            <w:r>
              <w:rPr>
                <w:rFonts w:ascii="Arial Narrow" w:hAnsi="Arial Narrow"/>
                <w:sz w:val="20"/>
              </w:rPr>
              <w:t>III</w:t>
            </w:r>
            <w:r w:rsidRPr="006F5ECB">
              <w:rPr>
                <w:rFonts w:ascii="Arial Narrow" w:hAnsi="Arial Narrow"/>
                <w:sz w:val="20"/>
              </w:rPr>
              <w:t xml:space="preserve"> trial of BMS-936558 (nivolumab)</w:t>
            </w:r>
            <w:r>
              <w:rPr>
                <w:rFonts w:ascii="Arial Narrow" w:hAnsi="Arial Narrow"/>
                <w:sz w:val="20"/>
              </w:rPr>
              <w:t xml:space="preserve"> </w:t>
            </w:r>
            <w:r w:rsidRPr="006F5ECB">
              <w:rPr>
                <w:rFonts w:ascii="Arial Narrow" w:hAnsi="Arial Narrow"/>
                <w:sz w:val="20"/>
              </w:rPr>
              <w:t>versus docetaxel in previously treated metastatic non</w:t>
            </w:r>
            <w:r>
              <w:rPr>
                <w:rFonts w:ascii="Arial Narrow" w:hAnsi="Arial Narrow"/>
                <w:sz w:val="20"/>
              </w:rPr>
              <w:t>-</w:t>
            </w:r>
            <w:r w:rsidRPr="006F5ECB">
              <w:rPr>
                <w:rFonts w:ascii="Arial Narrow" w:hAnsi="Arial Narrow"/>
                <w:sz w:val="20"/>
              </w:rPr>
              <w:t>squamous</w:t>
            </w:r>
            <w:r w:rsidR="00BF6796">
              <w:rPr>
                <w:rFonts w:ascii="Arial Narrow" w:hAnsi="Arial Narrow"/>
                <w:sz w:val="20"/>
              </w:rPr>
              <w:t xml:space="preserve"> </w:t>
            </w:r>
            <w:r w:rsidRPr="006F5ECB">
              <w:rPr>
                <w:rFonts w:ascii="Arial Narrow" w:hAnsi="Arial Narrow"/>
                <w:sz w:val="20"/>
              </w:rPr>
              <w:t>non-small cell lung cancer (NSCLC)</w:t>
            </w:r>
            <w:r>
              <w:rPr>
                <w:rFonts w:ascii="Arial Narrow" w:hAnsi="Arial Narrow"/>
                <w:sz w:val="20"/>
              </w:rPr>
              <w:t>,</w:t>
            </w:r>
            <w:r w:rsidRPr="0082410A">
              <w:rPr>
                <w:rFonts w:ascii="Arial Narrow" w:hAnsi="Arial Narrow"/>
                <w:sz w:val="20"/>
              </w:rPr>
              <w:t xml:space="preserve"> (database lock March 2015).</w:t>
            </w:r>
          </w:p>
          <w:p w:rsidR="00144D06" w:rsidRPr="00351C71" w:rsidRDefault="00144D06" w:rsidP="00144D06">
            <w:pPr>
              <w:jc w:val="left"/>
              <w:rPr>
                <w:rFonts w:ascii="Arial Narrow" w:hAnsi="Arial Narrow"/>
                <w:sz w:val="20"/>
              </w:rPr>
            </w:pPr>
          </w:p>
          <w:p w:rsidR="00144D06" w:rsidRPr="0082410A" w:rsidRDefault="00144D06" w:rsidP="00144D06">
            <w:pPr>
              <w:jc w:val="left"/>
              <w:rPr>
                <w:rFonts w:ascii="Arial Narrow" w:hAnsi="Arial Narrow"/>
                <w:sz w:val="20"/>
                <w:u w:val="single"/>
              </w:rPr>
            </w:pPr>
            <w:r w:rsidRPr="0082410A">
              <w:rPr>
                <w:rFonts w:ascii="Arial Narrow" w:hAnsi="Arial Narrow"/>
                <w:sz w:val="20"/>
                <w:u w:val="single"/>
              </w:rPr>
              <w:t>Publication</w:t>
            </w:r>
          </w:p>
          <w:p w:rsidR="00144D06" w:rsidRPr="00493A90" w:rsidRDefault="00144D06" w:rsidP="00144D06">
            <w:pPr>
              <w:jc w:val="left"/>
              <w:rPr>
                <w:rFonts w:ascii="Arial Narrow" w:hAnsi="Arial Narrow"/>
                <w:sz w:val="20"/>
                <w:highlight w:val="yellow"/>
              </w:rPr>
            </w:pPr>
            <w:r w:rsidRPr="00BF65C4">
              <w:rPr>
                <w:rFonts w:ascii="Arial Narrow" w:hAnsi="Arial Narrow"/>
                <w:sz w:val="20"/>
              </w:rPr>
              <w:t>Borghaei H, Paz</w:t>
            </w:r>
            <w:r w:rsidRPr="00BF65C4">
              <w:rPr>
                <w:rFonts w:ascii="MS Gothic" w:eastAsia="MS Gothic" w:hAnsi="MS Gothic" w:cs="MS Gothic" w:hint="eastAsia"/>
                <w:sz w:val="20"/>
              </w:rPr>
              <w:t>‑</w:t>
            </w:r>
            <w:r w:rsidRPr="00BF65C4">
              <w:rPr>
                <w:rFonts w:ascii="Arial Narrow" w:hAnsi="Arial Narrow"/>
                <w:sz w:val="20"/>
              </w:rPr>
              <w:t>Ares, L. Horn L, et al. Nivolumab versus Docetaxel in Advanced Nonsquamous Non</w:t>
            </w:r>
            <w:r w:rsidRPr="00BF65C4">
              <w:rPr>
                <w:rFonts w:ascii="Arial Narrow" w:hAnsi="Arial Narrow" w:cs="Arial Narrow"/>
                <w:sz w:val="20"/>
              </w:rPr>
              <w:t>–</w:t>
            </w:r>
            <w:r w:rsidRPr="00BF65C4">
              <w:rPr>
                <w:rFonts w:ascii="Arial Narrow" w:hAnsi="Arial Narrow"/>
                <w:sz w:val="20"/>
              </w:rPr>
              <w:t xml:space="preserve">Small-Cell Lung Cancer. </w:t>
            </w:r>
          </w:p>
          <w:p w:rsidR="00144D06" w:rsidRDefault="00144D06" w:rsidP="00144D06">
            <w:pPr>
              <w:jc w:val="left"/>
              <w:rPr>
                <w:rFonts w:ascii="Arial Narrow" w:hAnsi="Arial Narrow"/>
                <w:sz w:val="20"/>
                <w:highlight w:val="yellow"/>
                <w:lang w:val="fr-FR"/>
              </w:rPr>
            </w:pPr>
          </w:p>
          <w:p w:rsidR="00144D06" w:rsidRDefault="00144D06" w:rsidP="00144D06">
            <w:pPr>
              <w:jc w:val="left"/>
              <w:rPr>
                <w:rFonts w:ascii="Arial Narrow" w:hAnsi="Arial Narrow"/>
                <w:sz w:val="20"/>
                <w:lang w:val="fr-FR"/>
              </w:rPr>
            </w:pPr>
            <w:r w:rsidRPr="0082410A">
              <w:rPr>
                <w:rFonts w:ascii="Arial Narrow" w:hAnsi="Arial Narrow"/>
                <w:sz w:val="20"/>
                <w:u w:val="single"/>
                <w:lang w:val="fr-FR"/>
              </w:rPr>
              <w:t>Abstract</w:t>
            </w:r>
            <w:r>
              <w:rPr>
                <w:rFonts w:ascii="Arial Narrow" w:hAnsi="Arial Narrow"/>
                <w:sz w:val="20"/>
                <w:lang w:val="fr-FR"/>
              </w:rPr>
              <w:t xml:space="preserve"> </w:t>
            </w:r>
          </w:p>
          <w:p w:rsidR="00144D06" w:rsidRPr="005768D0" w:rsidRDefault="00144D06" w:rsidP="00144D06">
            <w:pPr>
              <w:jc w:val="left"/>
              <w:rPr>
                <w:rFonts w:ascii="Arial Narrow" w:hAnsi="Arial Narrow"/>
                <w:i/>
                <w:sz w:val="20"/>
                <w:highlight w:val="yellow"/>
              </w:rPr>
            </w:pPr>
            <w:r w:rsidRPr="00BF65C4">
              <w:rPr>
                <w:rFonts w:ascii="Arial Narrow" w:hAnsi="Arial Narrow"/>
                <w:sz w:val="20"/>
                <w:lang w:val="fr-FR"/>
              </w:rPr>
              <w:t>Horn et al (2015) 30th ESMO European Cancer Congress</w:t>
            </w:r>
            <w:r>
              <w:rPr>
                <w:rFonts w:ascii="Arial Narrow" w:hAnsi="Arial Narrow"/>
                <w:sz w:val="20"/>
                <w:lang w:val="fr-FR"/>
              </w:rPr>
              <w:t xml:space="preserve"> </w:t>
            </w:r>
            <w:r w:rsidRPr="0082410A">
              <w:rPr>
                <w:rFonts w:ascii="Arial Narrow" w:hAnsi="Arial Narrow"/>
                <w:sz w:val="20"/>
                <w:lang w:val="fr-FR"/>
              </w:rPr>
              <w:t>(updated overall survival, database lock July 2015).</w:t>
            </w:r>
          </w:p>
        </w:tc>
        <w:tc>
          <w:tcPr>
            <w:tcW w:w="1773" w:type="pct"/>
          </w:tcPr>
          <w:p w:rsidR="00144D06" w:rsidRDefault="00144D06" w:rsidP="00144D06">
            <w:pPr>
              <w:jc w:val="left"/>
              <w:rPr>
                <w:rFonts w:ascii="Arial Narrow" w:hAnsi="Arial Narrow"/>
                <w:sz w:val="20"/>
              </w:rPr>
            </w:pPr>
            <w:r w:rsidRPr="00351C71">
              <w:rPr>
                <w:rFonts w:ascii="Arial Narrow" w:hAnsi="Arial Narrow"/>
                <w:sz w:val="20"/>
              </w:rPr>
              <w:t>M</w:t>
            </w:r>
            <w:r>
              <w:rPr>
                <w:rFonts w:ascii="Arial Narrow" w:hAnsi="Arial Narrow"/>
                <w:sz w:val="20"/>
              </w:rPr>
              <w:t>ay 2015</w:t>
            </w:r>
          </w:p>
          <w:p w:rsidR="00144D06" w:rsidRDefault="00144D06" w:rsidP="00144D06">
            <w:pPr>
              <w:jc w:val="left"/>
              <w:rPr>
                <w:rFonts w:ascii="Arial Narrow" w:hAnsi="Arial Narrow"/>
                <w:sz w:val="20"/>
              </w:rPr>
            </w:pPr>
          </w:p>
          <w:p w:rsidR="00144D06" w:rsidRDefault="00144D06" w:rsidP="00144D06">
            <w:pPr>
              <w:jc w:val="left"/>
              <w:rPr>
                <w:rFonts w:ascii="Arial Narrow" w:hAnsi="Arial Narrow"/>
                <w:sz w:val="20"/>
              </w:rPr>
            </w:pPr>
          </w:p>
          <w:p w:rsidR="00144D06" w:rsidRDefault="00144D06" w:rsidP="00144D06">
            <w:pPr>
              <w:jc w:val="left"/>
              <w:rPr>
                <w:rFonts w:ascii="Arial Narrow" w:hAnsi="Arial Narrow"/>
                <w:sz w:val="20"/>
              </w:rPr>
            </w:pPr>
          </w:p>
          <w:p w:rsidR="00144D06" w:rsidRDefault="00144D06" w:rsidP="00144D06">
            <w:pPr>
              <w:jc w:val="left"/>
              <w:rPr>
                <w:rFonts w:ascii="Arial Narrow" w:hAnsi="Arial Narrow"/>
                <w:sz w:val="20"/>
              </w:rPr>
            </w:pPr>
          </w:p>
          <w:p w:rsidR="00144D06" w:rsidRDefault="00144D06" w:rsidP="00144D06">
            <w:pPr>
              <w:jc w:val="left"/>
              <w:rPr>
                <w:rFonts w:ascii="Arial Narrow" w:hAnsi="Arial Narrow"/>
                <w:sz w:val="20"/>
              </w:rPr>
            </w:pPr>
          </w:p>
          <w:p w:rsidR="00144D06" w:rsidRDefault="00144D06" w:rsidP="00144D06">
            <w:pPr>
              <w:jc w:val="left"/>
              <w:rPr>
                <w:rFonts w:ascii="Arial Narrow" w:hAnsi="Arial Narrow"/>
                <w:sz w:val="20"/>
              </w:rPr>
            </w:pPr>
          </w:p>
          <w:p w:rsidR="00144D06" w:rsidRPr="004E2ADC" w:rsidRDefault="00144D06" w:rsidP="00144D06">
            <w:pPr>
              <w:jc w:val="left"/>
              <w:rPr>
                <w:rFonts w:ascii="Arial Narrow" w:hAnsi="Arial Narrow"/>
                <w:sz w:val="20"/>
              </w:rPr>
            </w:pPr>
            <w:r w:rsidRPr="00F30071">
              <w:rPr>
                <w:rFonts w:ascii="Arial Narrow" w:hAnsi="Arial Narrow"/>
                <w:i/>
                <w:sz w:val="20"/>
              </w:rPr>
              <w:t>New England Journal of Medicine</w:t>
            </w:r>
            <w:r w:rsidRPr="004E2ADC">
              <w:rPr>
                <w:rFonts w:ascii="Arial Narrow" w:hAnsi="Arial Narrow"/>
                <w:sz w:val="20"/>
              </w:rPr>
              <w:t xml:space="preserve"> </w:t>
            </w:r>
            <w:r w:rsidRPr="00F30071">
              <w:rPr>
                <w:rFonts w:ascii="Arial Narrow" w:hAnsi="Arial Narrow"/>
                <w:sz w:val="20"/>
              </w:rPr>
              <w:t>201</w:t>
            </w:r>
            <w:r>
              <w:rPr>
                <w:rFonts w:ascii="Arial Narrow" w:hAnsi="Arial Narrow"/>
                <w:sz w:val="20"/>
              </w:rPr>
              <w:t>5;</w:t>
            </w:r>
            <w:r w:rsidRPr="004E2ADC">
              <w:rPr>
                <w:rFonts w:ascii="Arial Narrow" w:hAnsi="Arial Narrow"/>
                <w:sz w:val="20"/>
              </w:rPr>
              <w:t xml:space="preserve"> </w:t>
            </w:r>
            <w:r w:rsidRPr="00F30071">
              <w:rPr>
                <w:rFonts w:ascii="Arial Narrow" w:hAnsi="Arial Narrow"/>
                <w:sz w:val="20"/>
              </w:rPr>
              <w:t>37</w:t>
            </w:r>
            <w:r>
              <w:rPr>
                <w:rFonts w:ascii="Arial Narrow" w:hAnsi="Arial Narrow"/>
                <w:sz w:val="20"/>
              </w:rPr>
              <w:t>3</w:t>
            </w:r>
            <w:r w:rsidRPr="00F30071">
              <w:rPr>
                <w:rFonts w:ascii="Arial Narrow" w:hAnsi="Arial Narrow"/>
                <w:sz w:val="20"/>
              </w:rPr>
              <w:t>:</w:t>
            </w:r>
            <w:r>
              <w:rPr>
                <w:rFonts w:ascii="Arial Narrow" w:hAnsi="Arial Narrow"/>
                <w:sz w:val="20"/>
              </w:rPr>
              <w:t>1627</w:t>
            </w:r>
            <w:r w:rsidRPr="00F30071">
              <w:rPr>
                <w:rFonts w:ascii="Arial Narrow" w:hAnsi="Arial Narrow"/>
                <w:sz w:val="20"/>
              </w:rPr>
              <w:t>-</w:t>
            </w:r>
            <w:r>
              <w:rPr>
                <w:rFonts w:ascii="Arial Narrow" w:hAnsi="Arial Narrow"/>
                <w:sz w:val="20"/>
              </w:rPr>
              <w:t>39</w:t>
            </w:r>
            <w:bookmarkStart w:id="10" w:name="_GoBack"/>
          </w:p>
          <w:p w:rsidR="00144D06" w:rsidRDefault="00144D06" w:rsidP="00144D06">
            <w:pPr>
              <w:jc w:val="left"/>
              <w:rPr>
                <w:rFonts w:ascii="Arial Narrow" w:hAnsi="Arial Narrow"/>
                <w:b/>
                <w:sz w:val="20"/>
              </w:rPr>
            </w:pPr>
          </w:p>
          <w:p w:rsidR="00144D06" w:rsidRDefault="00144D06" w:rsidP="00144D06">
            <w:pPr>
              <w:jc w:val="left"/>
              <w:rPr>
                <w:rFonts w:ascii="Arial Narrow" w:hAnsi="Arial Narrow"/>
                <w:sz w:val="20"/>
              </w:rPr>
            </w:pPr>
          </w:p>
          <w:p w:rsidR="00144D06" w:rsidRDefault="00144D06" w:rsidP="00144D06">
            <w:pPr>
              <w:jc w:val="left"/>
              <w:rPr>
                <w:rFonts w:ascii="Arial Narrow" w:hAnsi="Arial Narrow"/>
                <w:i/>
                <w:sz w:val="20"/>
              </w:rPr>
            </w:pPr>
          </w:p>
          <w:bookmarkEnd w:id="10"/>
          <w:p w:rsidR="00144D06" w:rsidRPr="00BF65C4" w:rsidRDefault="00144D06" w:rsidP="00A90A8A">
            <w:pPr>
              <w:jc w:val="left"/>
              <w:rPr>
                <w:rFonts w:ascii="Arial Narrow" w:hAnsi="Arial Narrow"/>
                <w:sz w:val="20"/>
              </w:rPr>
            </w:pPr>
            <w:r>
              <w:rPr>
                <w:rFonts w:ascii="Arial Narrow" w:hAnsi="Arial Narrow"/>
                <w:i/>
                <w:sz w:val="20"/>
              </w:rPr>
              <w:t>European Cancer Congress</w:t>
            </w:r>
            <w:r w:rsidRPr="00F30071">
              <w:rPr>
                <w:rFonts w:ascii="Arial Narrow" w:hAnsi="Arial Narrow"/>
                <w:sz w:val="20"/>
              </w:rPr>
              <w:t xml:space="preserve">; </w:t>
            </w:r>
            <w:r w:rsidRPr="00BF65C4">
              <w:rPr>
                <w:rFonts w:ascii="Arial Narrow" w:hAnsi="Arial Narrow"/>
                <w:sz w:val="20"/>
                <w:lang w:val="fr-FR"/>
              </w:rPr>
              <w:t>Vienna, Austri</w:t>
            </w:r>
            <w:r w:rsidRPr="00A90A8A">
              <w:rPr>
                <w:rFonts w:ascii="Arial Narrow" w:hAnsi="Arial Narrow"/>
                <w:sz w:val="20"/>
                <w:lang w:val="fr-FR"/>
              </w:rPr>
              <w:t>a</w:t>
            </w:r>
            <w:r w:rsidR="00A90A8A" w:rsidRPr="00A90A8A">
              <w:rPr>
                <w:rFonts w:ascii="Arial Narrow" w:hAnsi="Arial Narrow"/>
                <w:sz w:val="20"/>
                <w:lang w:val="fr-FR"/>
              </w:rPr>
              <w:t>,</w:t>
            </w:r>
            <w:r w:rsidRPr="00A90A8A">
              <w:rPr>
                <w:rFonts w:ascii="Arial Narrow" w:hAnsi="Arial Narrow"/>
                <w:sz w:val="20"/>
                <w:lang w:val="fr-FR"/>
              </w:rPr>
              <w:t xml:space="preserve"> S</w:t>
            </w:r>
            <w:r w:rsidR="00A90A8A">
              <w:rPr>
                <w:rFonts w:ascii="Arial Narrow" w:hAnsi="Arial Narrow"/>
                <w:sz w:val="20"/>
                <w:lang w:val="fr-FR"/>
              </w:rPr>
              <w:t>eptember 25</w:t>
            </w:r>
            <w:r w:rsidRPr="00BF65C4">
              <w:rPr>
                <w:rFonts w:ascii="Arial Narrow" w:hAnsi="Arial Narrow"/>
                <w:sz w:val="20"/>
                <w:lang w:val="fr-FR"/>
              </w:rPr>
              <w:t>-29</w:t>
            </w:r>
            <w:r w:rsidR="00A90A8A">
              <w:rPr>
                <w:rFonts w:ascii="Arial Narrow" w:hAnsi="Arial Narrow"/>
                <w:sz w:val="20"/>
                <w:lang w:val="fr-FR"/>
              </w:rPr>
              <w:t>,</w:t>
            </w:r>
            <w:r w:rsidRPr="00BF65C4">
              <w:rPr>
                <w:rFonts w:ascii="Arial Narrow" w:hAnsi="Arial Narrow"/>
                <w:sz w:val="20"/>
                <w:lang w:val="fr-FR"/>
              </w:rPr>
              <w:t xml:space="preserve"> 2015</w:t>
            </w:r>
            <w:r>
              <w:rPr>
                <w:rFonts w:ascii="Arial Narrow" w:hAnsi="Arial Narrow"/>
                <w:sz w:val="20"/>
                <w:lang w:val="fr-FR"/>
              </w:rPr>
              <w:t>.</w:t>
            </w:r>
          </w:p>
        </w:tc>
      </w:tr>
    </w:tbl>
    <w:p w:rsidR="00144D06" w:rsidRPr="00A90A8A" w:rsidRDefault="00144D06" w:rsidP="00A90A8A">
      <w:pPr>
        <w:pStyle w:val="TableHeader"/>
        <w:ind w:left="709"/>
        <w:rPr>
          <w:b w:val="0"/>
          <w:sz w:val="18"/>
          <w:szCs w:val="18"/>
        </w:rPr>
      </w:pPr>
      <w:r w:rsidRPr="00A90A8A">
        <w:rPr>
          <w:b w:val="0"/>
          <w:sz w:val="18"/>
          <w:szCs w:val="18"/>
        </w:rPr>
        <w:t>Source: Table 10, Section B.2 of the submission.</w:t>
      </w:r>
    </w:p>
    <w:p w:rsidR="00144D06" w:rsidRPr="008F120A" w:rsidRDefault="00144D06" w:rsidP="00144D06">
      <w:pPr>
        <w:widowControl/>
        <w:rPr>
          <w:szCs w:val="22"/>
        </w:rPr>
      </w:pPr>
    </w:p>
    <w:p w:rsidR="00144D06" w:rsidRPr="00B50DB8" w:rsidRDefault="00144D06" w:rsidP="00C61ED5">
      <w:pPr>
        <w:pStyle w:val="ListParagraph"/>
        <w:widowControl/>
        <w:numPr>
          <w:ilvl w:val="1"/>
          <w:numId w:val="2"/>
        </w:numPr>
        <w:rPr>
          <w:szCs w:val="22"/>
        </w:rPr>
      </w:pPr>
      <w:r w:rsidRPr="00B50DB8">
        <w:rPr>
          <w:szCs w:val="22"/>
        </w:rPr>
        <w:t xml:space="preserve">The key features of the direct randomised trial are </w:t>
      </w:r>
      <w:r w:rsidR="00A90A8A">
        <w:rPr>
          <w:szCs w:val="22"/>
        </w:rPr>
        <w:t>summarised in Table 2.</w:t>
      </w:r>
    </w:p>
    <w:p w:rsidR="00406CF4" w:rsidRPr="00D25683" w:rsidRDefault="00406CF4">
      <w:pPr>
        <w:widowControl/>
        <w:jc w:val="left"/>
        <w:rPr>
          <w:szCs w:val="22"/>
        </w:rPr>
      </w:pPr>
    </w:p>
    <w:p w:rsidR="00144D06" w:rsidRPr="005C7F65" w:rsidRDefault="00144D06" w:rsidP="00A90A8A">
      <w:pPr>
        <w:pStyle w:val="TableHeader"/>
        <w:ind w:left="709"/>
      </w:pPr>
      <w:r>
        <w:t xml:space="preserve">Table </w:t>
      </w:r>
      <w:r>
        <w:rPr>
          <w:noProof/>
        </w:rPr>
        <w:t>2</w:t>
      </w:r>
      <w:r>
        <w:t xml:space="preserve">: </w:t>
      </w:r>
      <w:r w:rsidRPr="005C7F65">
        <w:t>Key features of the included evidence</w:t>
      </w:r>
    </w:p>
    <w:tbl>
      <w:tblPr>
        <w:tblW w:w="4594" w:type="pct"/>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92"/>
        <w:gridCol w:w="428"/>
        <w:gridCol w:w="2410"/>
        <w:gridCol w:w="991"/>
        <w:gridCol w:w="1557"/>
        <w:gridCol w:w="991"/>
        <w:gridCol w:w="976"/>
      </w:tblGrid>
      <w:tr w:rsidR="00A90A8A" w:rsidRPr="00E2771E" w:rsidTr="00A90A8A">
        <w:tc>
          <w:tcPr>
            <w:tcW w:w="594" w:type="pct"/>
            <w:shd w:val="clear" w:color="auto" w:fill="auto"/>
            <w:vAlign w:val="center"/>
          </w:tcPr>
          <w:p w:rsidR="00144D06" w:rsidRPr="00E2771E" w:rsidRDefault="00144D06" w:rsidP="00144D06">
            <w:pPr>
              <w:jc w:val="left"/>
              <w:rPr>
                <w:rFonts w:ascii="Arial Narrow" w:hAnsi="Arial Narrow"/>
                <w:b/>
                <w:sz w:val="20"/>
                <w:lang w:val="en-US"/>
              </w:rPr>
            </w:pPr>
            <w:r w:rsidRPr="00E2771E">
              <w:rPr>
                <w:rFonts w:ascii="Arial Narrow" w:hAnsi="Arial Narrow"/>
                <w:b/>
                <w:sz w:val="20"/>
                <w:lang w:val="en-US"/>
              </w:rPr>
              <w:t>Trial</w:t>
            </w:r>
          </w:p>
        </w:tc>
        <w:tc>
          <w:tcPr>
            <w:tcW w:w="256" w:type="pct"/>
            <w:shd w:val="clear" w:color="auto" w:fill="auto"/>
            <w:vAlign w:val="center"/>
          </w:tcPr>
          <w:p w:rsidR="00144D06" w:rsidRPr="00E2771E" w:rsidRDefault="00144D06" w:rsidP="00144D06">
            <w:pPr>
              <w:jc w:val="center"/>
              <w:rPr>
                <w:rFonts w:ascii="Arial Narrow" w:hAnsi="Arial Narrow"/>
                <w:b/>
                <w:sz w:val="20"/>
                <w:lang w:val="en-US"/>
              </w:rPr>
            </w:pPr>
            <w:r w:rsidRPr="00E2771E">
              <w:rPr>
                <w:rFonts w:ascii="Arial Narrow" w:hAnsi="Arial Narrow"/>
                <w:b/>
                <w:sz w:val="20"/>
                <w:lang w:val="en-US"/>
              </w:rPr>
              <w:t>N</w:t>
            </w:r>
          </w:p>
        </w:tc>
        <w:tc>
          <w:tcPr>
            <w:tcW w:w="1444" w:type="pct"/>
            <w:shd w:val="clear" w:color="auto" w:fill="auto"/>
            <w:vAlign w:val="center"/>
          </w:tcPr>
          <w:p w:rsidR="00144D06" w:rsidRPr="00E2771E" w:rsidRDefault="00144D06" w:rsidP="00144D06">
            <w:pPr>
              <w:jc w:val="center"/>
              <w:rPr>
                <w:rFonts w:ascii="Arial Narrow" w:hAnsi="Arial Narrow"/>
                <w:b/>
                <w:sz w:val="20"/>
                <w:lang w:val="en-US"/>
              </w:rPr>
            </w:pPr>
            <w:r w:rsidRPr="00E2771E">
              <w:rPr>
                <w:rFonts w:ascii="Arial Narrow" w:hAnsi="Arial Narrow"/>
                <w:b/>
                <w:sz w:val="20"/>
                <w:lang w:val="en-US"/>
              </w:rPr>
              <w:t>Design/ duration</w:t>
            </w:r>
          </w:p>
        </w:tc>
        <w:tc>
          <w:tcPr>
            <w:tcW w:w="594" w:type="pct"/>
            <w:shd w:val="clear" w:color="auto" w:fill="auto"/>
            <w:vAlign w:val="center"/>
          </w:tcPr>
          <w:p w:rsidR="00144D06" w:rsidRPr="00E2771E" w:rsidRDefault="00144D06" w:rsidP="00144D06">
            <w:pPr>
              <w:jc w:val="center"/>
              <w:rPr>
                <w:rFonts w:ascii="Arial Narrow" w:hAnsi="Arial Narrow"/>
                <w:b/>
                <w:sz w:val="20"/>
                <w:lang w:val="en-US"/>
              </w:rPr>
            </w:pPr>
            <w:r w:rsidRPr="00E2771E">
              <w:rPr>
                <w:rFonts w:ascii="Arial Narrow" w:hAnsi="Arial Narrow"/>
                <w:b/>
                <w:sz w:val="20"/>
                <w:lang w:val="en-US"/>
              </w:rPr>
              <w:t>Risk of bias</w:t>
            </w:r>
          </w:p>
        </w:tc>
        <w:tc>
          <w:tcPr>
            <w:tcW w:w="933" w:type="pct"/>
            <w:shd w:val="clear" w:color="auto" w:fill="auto"/>
            <w:vAlign w:val="center"/>
          </w:tcPr>
          <w:p w:rsidR="00144D06" w:rsidRPr="00E2771E" w:rsidRDefault="00144D06" w:rsidP="00144D06">
            <w:pPr>
              <w:jc w:val="center"/>
              <w:rPr>
                <w:rFonts w:ascii="Arial Narrow" w:hAnsi="Arial Narrow"/>
                <w:b/>
                <w:sz w:val="20"/>
                <w:lang w:val="en-US"/>
              </w:rPr>
            </w:pPr>
            <w:r w:rsidRPr="00E2771E">
              <w:rPr>
                <w:rFonts w:ascii="Arial Narrow" w:hAnsi="Arial Narrow"/>
                <w:b/>
                <w:sz w:val="20"/>
                <w:lang w:val="en-US"/>
              </w:rPr>
              <w:t>Patient population</w:t>
            </w:r>
          </w:p>
        </w:tc>
        <w:tc>
          <w:tcPr>
            <w:tcW w:w="594" w:type="pct"/>
            <w:shd w:val="clear" w:color="auto" w:fill="auto"/>
            <w:vAlign w:val="center"/>
          </w:tcPr>
          <w:p w:rsidR="00144D06" w:rsidRPr="00E2771E" w:rsidRDefault="00144D06" w:rsidP="00144D06">
            <w:pPr>
              <w:jc w:val="center"/>
              <w:rPr>
                <w:rFonts w:ascii="Arial Narrow" w:hAnsi="Arial Narrow"/>
                <w:b/>
                <w:sz w:val="20"/>
                <w:lang w:val="en-US"/>
              </w:rPr>
            </w:pPr>
            <w:r w:rsidRPr="00E2771E">
              <w:rPr>
                <w:rFonts w:ascii="Arial Narrow" w:hAnsi="Arial Narrow"/>
                <w:b/>
                <w:sz w:val="20"/>
                <w:lang w:val="en-US"/>
              </w:rPr>
              <w:t>Outcome</w:t>
            </w:r>
          </w:p>
        </w:tc>
        <w:tc>
          <w:tcPr>
            <w:tcW w:w="584" w:type="pct"/>
            <w:shd w:val="clear" w:color="auto" w:fill="auto"/>
            <w:vAlign w:val="center"/>
          </w:tcPr>
          <w:p w:rsidR="00144D06" w:rsidRPr="00E2771E" w:rsidRDefault="00144D06" w:rsidP="00144D06">
            <w:pPr>
              <w:jc w:val="center"/>
              <w:rPr>
                <w:rFonts w:ascii="Arial Narrow" w:hAnsi="Arial Narrow"/>
                <w:b/>
                <w:sz w:val="20"/>
                <w:lang w:val="en-US"/>
              </w:rPr>
            </w:pPr>
            <w:r w:rsidRPr="00E2771E">
              <w:rPr>
                <w:rFonts w:ascii="Arial Narrow" w:hAnsi="Arial Narrow"/>
                <w:b/>
                <w:sz w:val="20"/>
                <w:lang w:val="en-US"/>
              </w:rPr>
              <w:t>Use in modelled evaluation</w:t>
            </w:r>
          </w:p>
        </w:tc>
      </w:tr>
      <w:tr w:rsidR="00144D06" w:rsidRPr="00E2771E" w:rsidTr="00A90A8A">
        <w:tc>
          <w:tcPr>
            <w:tcW w:w="5000" w:type="pct"/>
            <w:gridSpan w:val="7"/>
            <w:shd w:val="clear" w:color="auto" w:fill="auto"/>
            <w:vAlign w:val="center"/>
          </w:tcPr>
          <w:p w:rsidR="00144D06" w:rsidRPr="00E2771E" w:rsidRDefault="00144D06" w:rsidP="00A90A8A">
            <w:pPr>
              <w:jc w:val="left"/>
              <w:rPr>
                <w:rFonts w:ascii="Arial Narrow" w:hAnsi="Arial Narrow"/>
                <w:b/>
                <w:sz w:val="20"/>
                <w:lang w:val="en-US"/>
              </w:rPr>
            </w:pPr>
            <w:r>
              <w:rPr>
                <w:rFonts w:ascii="Arial Narrow" w:hAnsi="Arial Narrow"/>
                <w:b/>
                <w:sz w:val="20"/>
                <w:lang w:val="en-US"/>
              </w:rPr>
              <w:t xml:space="preserve">Nivolumab </w:t>
            </w:r>
            <w:r w:rsidRPr="007F55E3">
              <w:rPr>
                <w:rFonts w:ascii="Arial Narrow" w:hAnsi="Arial Narrow"/>
                <w:b/>
                <w:sz w:val="20"/>
                <w:lang w:val="en-US"/>
              </w:rPr>
              <w:t>3</w:t>
            </w:r>
            <w:r w:rsidR="00A90A8A">
              <w:rPr>
                <w:rFonts w:ascii="Arial Narrow" w:hAnsi="Arial Narrow"/>
                <w:b/>
                <w:sz w:val="20"/>
                <w:lang w:val="en-US"/>
              </w:rPr>
              <w:t> </w:t>
            </w:r>
            <w:r w:rsidRPr="007F55E3">
              <w:rPr>
                <w:rFonts w:ascii="Arial Narrow" w:hAnsi="Arial Narrow"/>
                <w:b/>
                <w:sz w:val="20"/>
                <w:lang w:val="en-US"/>
              </w:rPr>
              <w:t>mg/kg Q2W</w:t>
            </w:r>
            <w:r>
              <w:rPr>
                <w:rFonts w:ascii="Arial Narrow" w:hAnsi="Arial Narrow"/>
                <w:b/>
                <w:sz w:val="20"/>
                <w:lang w:val="en-US"/>
              </w:rPr>
              <w:t xml:space="preserve"> vs. docetaxel </w:t>
            </w:r>
            <w:r w:rsidRPr="007F55E3">
              <w:rPr>
                <w:rFonts w:ascii="Arial Narrow" w:hAnsi="Arial Narrow"/>
                <w:b/>
                <w:sz w:val="20"/>
                <w:lang w:val="en-US"/>
              </w:rPr>
              <w:t>75</w:t>
            </w:r>
            <w:r w:rsidR="00A90A8A">
              <w:rPr>
                <w:rFonts w:ascii="Arial Narrow" w:hAnsi="Arial Narrow"/>
                <w:b/>
                <w:sz w:val="20"/>
                <w:lang w:val="en-US"/>
              </w:rPr>
              <w:t> </w:t>
            </w:r>
            <w:r w:rsidRPr="007F55E3">
              <w:rPr>
                <w:rFonts w:ascii="Arial Narrow" w:hAnsi="Arial Narrow"/>
                <w:b/>
                <w:sz w:val="20"/>
                <w:lang w:val="en-US"/>
              </w:rPr>
              <w:t>mg/m</w:t>
            </w:r>
            <w:r w:rsidRPr="007F55E3">
              <w:rPr>
                <w:rFonts w:ascii="Arial Narrow" w:hAnsi="Arial Narrow"/>
                <w:b/>
                <w:sz w:val="20"/>
                <w:vertAlign w:val="superscript"/>
                <w:lang w:val="en-US"/>
              </w:rPr>
              <w:t>2</w:t>
            </w:r>
            <w:r w:rsidRPr="007F55E3">
              <w:rPr>
                <w:rFonts w:ascii="Arial Narrow" w:hAnsi="Arial Narrow"/>
                <w:b/>
                <w:sz w:val="20"/>
                <w:lang w:val="en-US"/>
              </w:rPr>
              <w:t xml:space="preserve"> Q3W</w:t>
            </w:r>
          </w:p>
        </w:tc>
      </w:tr>
      <w:tr w:rsidR="00A90A8A" w:rsidRPr="00E2771E" w:rsidTr="00A90A8A">
        <w:tc>
          <w:tcPr>
            <w:tcW w:w="594" w:type="pct"/>
            <w:shd w:val="clear" w:color="auto" w:fill="auto"/>
            <w:vAlign w:val="center"/>
          </w:tcPr>
          <w:p w:rsidR="00144D06" w:rsidRPr="00E2771E" w:rsidRDefault="00144D06" w:rsidP="00144D06">
            <w:pPr>
              <w:jc w:val="left"/>
              <w:rPr>
                <w:rFonts w:ascii="Arial Narrow" w:hAnsi="Arial Narrow"/>
                <w:sz w:val="20"/>
                <w:lang w:val="en-US"/>
              </w:rPr>
            </w:pPr>
            <w:r>
              <w:rPr>
                <w:rFonts w:ascii="Arial Narrow" w:hAnsi="Arial Narrow"/>
                <w:sz w:val="20"/>
                <w:lang w:val="en-US"/>
              </w:rPr>
              <w:t>CA209-057</w:t>
            </w:r>
          </w:p>
        </w:tc>
        <w:tc>
          <w:tcPr>
            <w:tcW w:w="256" w:type="pct"/>
            <w:shd w:val="clear" w:color="auto" w:fill="auto"/>
            <w:vAlign w:val="center"/>
          </w:tcPr>
          <w:p w:rsidR="00144D06" w:rsidRPr="00E2771E" w:rsidRDefault="00144D06" w:rsidP="00144D06">
            <w:pPr>
              <w:jc w:val="center"/>
              <w:rPr>
                <w:rFonts w:ascii="Arial Narrow" w:hAnsi="Arial Narrow"/>
                <w:sz w:val="20"/>
                <w:lang w:val="en-US"/>
              </w:rPr>
            </w:pPr>
            <w:r>
              <w:rPr>
                <w:rFonts w:ascii="Arial Narrow" w:hAnsi="Arial Narrow"/>
                <w:sz w:val="20"/>
                <w:lang w:val="en-US"/>
              </w:rPr>
              <w:t>582</w:t>
            </w:r>
          </w:p>
        </w:tc>
        <w:tc>
          <w:tcPr>
            <w:tcW w:w="1444" w:type="pct"/>
            <w:shd w:val="clear" w:color="auto" w:fill="auto"/>
            <w:vAlign w:val="center"/>
          </w:tcPr>
          <w:p w:rsidR="00144D06" w:rsidRPr="00E2771E" w:rsidRDefault="00144D06" w:rsidP="00144D06">
            <w:pPr>
              <w:jc w:val="center"/>
              <w:rPr>
                <w:rFonts w:ascii="Arial Narrow" w:hAnsi="Arial Narrow"/>
                <w:sz w:val="20"/>
                <w:lang w:val="en-US"/>
              </w:rPr>
            </w:pPr>
            <w:r w:rsidRPr="00E2771E">
              <w:rPr>
                <w:rFonts w:ascii="Arial Narrow" w:hAnsi="Arial Narrow"/>
                <w:sz w:val="20"/>
                <w:lang w:val="en-US"/>
              </w:rPr>
              <w:t xml:space="preserve">R, </w:t>
            </w:r>
            <w:r>
              <w:rPr>
                <w:rFonts w:ascii="Arial Narrow" w:hAnsi="Arial Narrow"/>
                <w:sz w:val="20"/>
                <w:lang w:val="en-US"/>
              </w:rPr>
              <w:t>OL</w:t>
            </w:r>
          </w:p>
          <w:p w:rsidR="00144D06" w:rsidRPr="00E2771E" w:rsidRDefault="00144D06" w:rsidP="00144D06">
            <w:pPr>
              <w:jc w:val="center"/>
              <w:rPr>
                <w:rFonts w:ascii="Arial Narrow" w:hAnsi="Arial Narrow"/>
                <w:sz w:val="20"/>
                <w:lang w:val="en-US"/>
              </w:rPr>
            </w:pPr>
            <w:r>
              <w:rPr>
                <w:rFonts w:ascii="Arial Narrow" w:hAnsi="Arial Narrow"/>
                <w:sz w:val="20"/>
                <w:lang w:val="en-US"/>
              </w:rPr>
              <w:t>D</w:t>
            </w:r>
            <w:r w:rsidRPr="007F55E3">
              <w:rPr>
                <w:rFonts w:ascii="Arial Narrow" w:hAnsi="Arial Narrow"/>
                <w:sz w:val="20"/>
                <w:lang w:val="en-US"/>
              </w:rPr>
              <w:t>atabase lock March 2015 (follow-up 13.2 months) and database lock July 2015 (most updated: follow-up 17.1 months)</w:t>
            </w:r>
          </w:p>
        </w:tc>
        <w:tc>
          <w:tcPr>
            <w:tcW w:w="594" w:type="pct"/>
            <w:shd w:val="clear" w:color="auto" w:fill="auto"/>
            <w:vAlign w:val="center"/>
          </w:tcPr>
          <w:p w:rsidR="00144D06" w:rsidRDefault="00144D06" w:rsidP="00144D06">
            <w:pPr>
              <w:jc w:val="center"/>
              <w:rPr>
                <w:rFonts w:ascii="Arial Narrow" w:hAnsi="Arial Narrow"/>
                <w:sz w:val="20"/>
                <w:lang w:val="en-US"/>
              </w:rPr>
            </w:pPr>
            <w:r w:rsidRPr="00E2771E">
              <w:rPr>
                <w:rFonts w:ascii="Arial Narrow" w:hAnsi="Arial Narrow"/>
                <w:sz w:val="20"/>
                <w:lang w:val="en-US"/>
              </w:rPr>
              <w:t>Low</w:t>
            </w:r>
            <w:r>
              <w:rPr>
                <w:rFonts w:ascii="Arial Narrow" w:hAnsi="Arial Narrow"/>
                <w:sz w:val="20"/>
                <w:lang w:val="en-US"/>
              </w:rPr>
              <w:t xml:space="preserve"> for OS</w:t>
            </w:r>
          </w:p>
          <w:p w:rsidR="00144D06" w:rsidRPr="00E2771E" w:rsidRDefault="00144D06" w:rsidP="00144D06">
            <w:pPr>
              <w:jc w:val="center"/>
              <w:rPr>
                <w:rFonts w:ascii="Arial Narrow" w:hAnsi="Arial Narrow"/>
                <w:sz w:val="20"/>
                <w:lang w:val="en-US"/>
              </w:rPr>
            </w:pPr>
            <w:r>
              <w:rPr>
                <w:rFonts w:ascii="Arial Narrow" w:hAnsi="Arial Narrow"/>
                <w:sz w:val="20"/>
                <w:lang w:val="en-US"/>
              </w:rPr>
              <w:t>High for AEs and QoL.</w:t>
            </w:r>
          </w:p>
        </w:tc>
        <w:tc>
          <w:tcPr>
            <w:tcW w:w="933" w:type="pct"/>
            <w:shd w:val="clear" w:color="auto" w:fill="auto"/>
            <w:vAlign w:val="center"/>
          </w:tcPr>
          <w:p w:rsidR="00144D06" w:rsidRPr="00E2771E" w:rsidRDefault="00144D06" w:rsidP="00A90A8A">
            <w:pPr>
              <w:jc w:val="center"/>
              <w:rPr>
                <w:rFonts w:ascii="Arial Narrow" w:hAnsi="Arial Narrow"/>
                <w:sz w:val="20"/>
                <w:lang w:val="en-US"/>
              </w:rPr>
            </w:pPr>
            <w:r>
              <w:rPr>
                <w:rFonts w:ascii="Arial Narrow" w:hAnsi="Arial Narrow"/>
                <w:sz w:val="20"/>
                <w:lang w:val="en-US"/>
              </w:rPr>
              <w:t>Patients (unselected for PD-L1 status) who had f</w:t>
            </w:r>
            <w:r w:rsidRPr="00E2771E">
              <w:rPr>
                <w:rFonts w:ascii="Arial Narrow" w:hAnsi="Arial Narrow"/>
                <w:sz w:val="20"/>
                <w:lang w:val="en-US"/>
              </w:rPr>
              <w:t xml:space="preserve">ailed </w:t>
            </w:r>
            <w:r>
              <w:rPr>
                <w:rFonts w:ascii="Arial Narrow" w:hAnsi="Arial Narrow"/>
                <w:sz w:val="20"/>
                <w:lang w:val="en-US"/>
              </w:rPr>
              <w:t>platinum</w:t>
            </w:r>
            <w:r w:rsidR="00A90A8A">
              <w:rPr>
                <w:rFonts w:ascii="Arial Narrow" w:hAnsi="Arial Narrow"/>
                <w:sz w:val="20"/>
                <w:lang w:val="en-US"/>
              </w:rPr>
              <w:t>-</w:t>
            </w:r>
            <w:r>
              <w:rPr>
                <w:rFonts w:ascii="Arial Narrow" w:hAnsi="Arial Narrow"/>
                <w:sz w:val="20"/>
                <w:lang w:val="en-US"/>
              </w:rPr>
              <w:t xml:space="preserve">based </w:t>
            </w:r>
            <w:r w:rsidRPr="00E2771E">
              <w:rPr>
                <w:rFonts w:ascii="Arial Narrow" w:hAnsi="Arial Narrow"/>
                <w:sz w:val="20"/>
                <w:lang w:val="en-US"/>
              </w:rPr>
              <w:t>chemo</w:t>
            </w:r>
            <w:r>
              <w:rPr>
                <w:rFonts w:ascii="Arial Narrow" w:hAnsi="Arial Narrow"/>
                <w:sz w:val="20"/>
                <w:lang w:val="en-US"/>
              </w:rPr>
              <w:t>therapy</w:t>
            </w:r>
          </w:p>
        </w:tc>
        <w:tc>
          <w:tcPr>
            <w:tcW w:w="594" w:type="pct"/>
            <w:shd w:val="clear" w:color="auto" w:fill="auto"/>
            <w:vAlign w:val="center"/>
          </w:tcPr>
          <w:p w:rsidR="00144D06" w:rsidRPr="00E2771E" w:rsidRDefault="00144D06" w:rsidP="00144D06">
            <w:pPr>
              <w:jc w:val="center"/>
              <w:rPr>
                <w:rFonts w:ascii="Arial Narrow" w:hAnsi="Arial Narrow"/>
                <w:sz w:val="20"/>
                <w:lang w:val="en-US"/>
              </w:rPr>
            </w:pPr>
            <w:r>
              <w:rPr>
                <w:rFonts w:ascii="Arial Narrow" w:hAnsi="Arial Narrow"/>
                <w:sz w:val="20"/>
                <w:lang w:val="en-US"/>
              </w:rPr>
              <w:t>Overall survival</w:t>
            </w:r>
          </w:p>
        </w:tc>
        <w:tc>
          <w:tcPr>
            <w:tcW w:w="584" w:type="pct"/>
            <w:shd w:val="clear" w:color="auto" w:fill="auto"/>
            <w:vAlign w:val="center"/>
          </w:tcPr>
          <w:p w:rsidR="00144D06" w:rsidRPr="00E2771E" w:rsidRDefault="00EE50C0" w:rsidP="00144D06">
            <w:pPr>
              <w:jc w:val="center"/>
              <w:rPr>
                <w:rFonts w:ascii="Arial Narrow" w:hAnsi="Arial Narrow"/>
                <w:sz w:val="20"/>
                <w:lang w:val="en-US"/>
              </w:rPr>
            </w:pPr>
            <w:r>
              <w:rPr>
                <w:rFonts w:ascii="Arial Narrow" w:hAnsi="Arial Narrow"/>
                <w:sz w:val="20"/>
                <w:lang w:val="en-US"/>
              </w:rPr>
              <w:t>Used</w:t>
            </w:r>
          </w:p>
        </w:tc>
      </w:tr>
    </w:tbl>
    <w:p w:rsidR="00144D06" w:rsidRPr="0072416F" w:rsidRDefault="00144D06" w:rsidP="00A90A8A">
      <w:pPr>
        <w:pStyle w:val="TableFooter"/>
        <w:ind w:left="709"/>
      </w:pPr>
      <w:r w:rsidRPr="007F55E3">
        <w:t>Q2W</w:t>
      </w:r>
      <w:r w:rsidR="00A90A8A">
        <w:t>=</w:t>
      </w:r>
      <w:r w:rsidRPr="007F55E3">
        <w:t>every 2 weeks</w:t>
      </w:r>
      <w:r w:rsidR="00BF6796">
        <w:t>;</w:t>
      </w:r>
      <w:r w:rsidRPr="007F55E3">
        <w:t xml:space="preserve"> Q3W</w:t>
      </w:r>
      <w:r w:rsidR="00A90A8A">
        <w:t>=</w:t>
      </w:r>
      <w:r w:rsidRPr="007F55E3">
        <w:t>every 3 weeks</w:t>
      </w:r>
      <w:r w:rsidR="00A90A8A">
        <w:t>;</w:t>
      </w:r>
      <w:r w:rsidRPr="007F55E3">
        <w:t xml:space="preserve"> </w:t>
      </w:r>
      <w:r w:rsidRPr="0072416F">
        <w:t xml:space="preserve">OL=open label; OS=overall survival; </w:t>
      </w:r>
      <w:r>
        <w:t>R=randomised; AEs=adve</w:t>
      </w:r>
      <w:r w:rsidR="00A90A8A">
        <w:t>rse events; QoL=quality of life</w:t>
      </w:r>
    </w:p>
    <w:p w:rsidR="00144D06" w:rsidRPr="0072416F" w:rsidRDefault="00144D06" w:rsidP="00A90A8A">
      <w:pPr>
        <w:pStyle w:val="TableFooter"/>
        <w:ind w:left="709"/>
      </w:pPr>
      <w:r w:rsidRPr="0072416F">
        <w:t>Source: compiled during the evaluation</w:t>
      </w:r>
      <w:r w:rsidR="00A90A8A">
        <w:t>.</w:t>
      </w:r>
    </w:p>
    <w:p w:rsidR="00144D06" w:rsidRPr="00200C65" w:rsidRDefault="00144D06" w:rsidP="00144D06"/>
    <w:p w:rsidR="00144D06" w:rsidRPr="00200C65" w:rsidRDefault="00BF6796" w:rsidP="00C61ED5">
      <w:pPr>
        <w:pStyle w:val="ListParagraph"/>
        <w:widowControl/>
        <w:numPr>
          <w:ilvl w:val="1"/>
          <w:numId w:val="2"/>
        </w:numPr>
      </w:pPr>
      <w:r w:rsidRPr="00200C65">
        <w:t>There was no confounding of OS by treatment switching at the first database lock (March 2015) and minimal confounding of OS at the second database lock (July 2015). Randomisation was fairly successful as the balance of baseline characteristics across treatment arms was reasonable. The open-label design of the trial may have affected reported incidence and severity of immune-related adverse events (AEs) and patient responses to quality of life questionnaires</w:t>
      </w:r>
      <w:r w:rsidR="00144D06" w:rsidRPr="00200C65">
        <w:t>.</w:t>
      </w:r>
    </w:p>
    <w:p w:rsidR="00E452CA" w:rsidRPr="00882085" w:rsidRDefault="00E452CA" w:rsidP="00144D06">
      <w:pPr>
        <w:rPr>
          <w:szCs w:val="22"/>
        </w:rPr>
      </w:pPr>
    </w:p>
    <w:p w:rsidR="00144D06" w:rsidRPr="00241233" w:rsidRDefault="00144D06" w:rsidP="00C74A42">
      <w:pPr>
        <w:pStyle w:val="Heading2"/>
        <w:rPr>
          <w:i/>
        </w:rPr>
      </w:pPr>
      <w:bookmarkStart w:id="11" w:name="_Toc440294997"/>
      <w:bookmarkStart w:id="12" w:name="_Toc440981298"/>
      <w:r w:rsidRPr="00241233">
        <w:rPr>
          <w:i/>
        </w:rPr>
        <w:t>Comparative effectiveness</w:t>
      </w:r>
      <w:bookmarkEnd w:id="11"/>
      <w:bookmarkEnd w:id="12"/>
    </w:p>
    <w:p w:rsidR="00144D06" w:rsidRDefault="00144D06" w:rsidP="00144D06">
      <w:pPr>
        <w:rPr>
          <w:smallCaps/>
          <w:szCs w:val="22"/>
        </w:rPr>
      </w:pPr>
    </w:p>
    <w:p w:rsidR="00C61ED5" w:rsidRDefault="00C61ED5" w:rsidP="00C61ED5">
      <w:pPr>
        <w:widowControl/>
        <w:rPr>
          <w:u w:val="single"/>
        </w:rPr>
      </w:pPr>
      <w:r w:rsidRPr="00C61ED5">
        <w:rPr>
          <w:u w:val="single"/>
        </w:rPr>
        <w:t>D</w:t>
      </w:r>
      <w:r w:rsidR="00BE2600">
        <w:rPr>
          <w:u w:val="single"/>
        </w:rPr>
        <w:t>irect comparison with docetaxel</w:t>
      </w:r>
    </w:p>
    <w:p w:rsidR="00C61ED5" w:rsidRPr="00C61ED5" w:rsidRDefault="00C61ED5" w:rsidP="00C61ED5">
      <w:pPr>
        <w:widowControl/>
        <w:rPr>
          <w:u w:val="single"/>
        </w:rPr>
      </w:pPr>
    </w:p>
    <w:p w:rsidR="00144D06" w:rsidRPr="003A3593" w:rsidRDefault="00144D06" w:rsidP="00C61ED5">
      <w:pPr>
        <w:pStyle w:val="ListParagraph"/>
        <w:widowControl/>
        <w:numPr>
          <w:ilvl w:val="1"/>
          <w:numId w:val="2"/>
        </w:numPr>
      </w:pPr>
      <w:r w:rsidRPr="003A3593">
        <w:t xml:space="preserve">Table 3 </w:t>
      </w:r>
      <w:r w:rsidRPr="00F60C4D">
        <w:t>summarises the OS results from database lock March 2015 and database lock July 2015 from CA209-057. Figure</w:t>
      </w:r>
      <w:r>
        <w:t>s</w:t>
      </w:r>
      <w:r w:rsidRPr="00F60C4D">
        <w:t xml:space="preserve"> </w:t>
      </w:r>
      <w:r w:rsidRPr="0020139A">
        <w:t>1-2</w:t>
      </w:r>
      <w:r w:rsidRPr="00F60C4D">
        <w:t xml:space="preserve"> </w:t>
      </w:r>
      <w:r w:rsidR="00241233">
        <w:t>present</w:t>
      </w:r>
      <w:r w:rsidRPr="00F60C4D">
        <w:t xml:space="preserve"> the Kaplan-Meier curves</w:t>
      </w:r>
      <w:r>
        <w:t xml:space="preserve"> for the different follow-up periods</w:t>
      </w:r>
      <w:r w:rsidRPr="00F60C4D">
        <w:t>.</w:t>
      </w:r>
    </w:p>
    <w:p w:rsidR="00144D06" w:rsidRPr="00F60C4D" w:rsidRDefault="00144D06" w:rsidP="00144D06">
      <w:pPr>
        <w:rPr>
          <w:smallCaps/>
          <w:szCs w:val="22"/>
        </w:rPr>
      </w:pPr>
    </w:p>
    <w:p w:rsidR="00144D06" w:rsidRPr="007B7287" w:rsidRDefault="00144D06" w:rsidP="00241233">
      <w:pPr>
        <w:keepNext/>
        <w:keepLines/>
        <w:tabs>
          <w:tab w:val="left" w:pos="1418"/>
        </w:tabs>
        <w:ind w:left="709"/>
        <w:rPr>
          <w:rFonts w:ascii="Arial Narrow" w:hAnsi="Arial Narrow"/>
          <w:b/>
          <w:bCs/>
          <w:sz w:val="20"/>
        </w:rPr>
      </w:pPr>
      <w:r w:rsidRPr="00CB7D02">
        <w:rPr>
          <w:rFonts w:ascii="Arial Narrow" w:hAnsi="Arial Narrow"/>
          <w:b/>
          <w:bCs/>
          <w:sz w:val="20"/>
        </w:rPr>
        <w:lastRenderedPageBreak/>
        <w:t xml:space="preserve">Table </w:t>
      </w:r>
      <w:r>
        <w:rPr>
          <w:rFonts w:ascii="Arial Narrow" w:hAnsi="Arial Narrow"/>
          <w:b/>
          <w:bCs/>
          <w:noProof/>
          <w:sz w:val="20"/>
        </w:rPr>
        <w:t>3</w:t>
      </w:r>
      <w:r>
        <w:rPr>
          <w:rFonts w:ascii="Arial Narrow" w:hAnsi="Arial Narrow"/>
          <w:b/>
          <w:bCs/>
          <w:sz w:val="20"/>
        </w:rPr>
        <w:t xml:space="preserve">: CA209-057 - </w:t>
      </w:r>
      <w:r w:rsidRPr="007B7287">
        <w:rPr>
          <w:rFonts w:ascii="Arial Narrow" w:hAnsi="Arial Narrow"/>
          <w:b/>
          <w:bCs/>
          <w:sz w:val="20"/>
        </w:rPr>
        <w:t xml:space="preserve">Overall </w:t>
      </w:r>
      <w:r>
        <w:rPr>
          <w:rFonts w:ascii="Arial Narrow" w:hAnsi="Arial Narrow"/>
          <w:b/>
          <w:bCs/>
          <w:sz w:val="20"/>
        </w:rPr>
        <w:t>s</w:t>
      </w:r>
      <w:r w:rsidRPr="007B7287">
        <w:rPr>
          <w:rFonts w:ascii="Arial Narrow" w:hAnsi="Arial Narrow"/>
          <w:b/>
          <w:bCs/>
          <w:sz w:val="20"/>
        </w:rPr>
        <w:t>urvival</w:t>
      </w:r>
      <w:r>
        <w:rPr>
          <w:rFonts w:ascii="Arial Narrow" w:hAnsi="Arial Narrow"/>
          <w:b/>
          <w:bCs/>
          <w:sz w:val="20"/>
        </w:rPr>
        <w:t xml:space="preserve"> results (Intention-to-treat: Unselected by PD-L1 status)</w:t>
      </w:r>
    </w:p>
    <w:tbl>
      <w:tblPr>
        <w:tblStyle w:val="TableGrid"/>
        <w:tblW w:w="4558" w:type="pct"/>
        <w:tblInd w:w="817" w:type="dxa"/>
        <w:tblLook w:val="04A0" w:firstRow="1" w:lastRow="0" w:firstColumn="1" w:lastColumn="0" w:noHBand="0" w:noVBand="1"/>
        <w:tblCaption w:val="Table 3: CA209-057 - Overall survival results (Intention-to-treat: Unselected by PD-L1 status)"/>
      </w:tblPr>
      <w:tblGrid>
        <w:gridCol w:w="2693"/>
        <w:gridCol w:w="1559"/>
        <w:gridCol w:w="1420"/>
        <w:gridCol w:w="1420"/>
        <w:gridCol w:w="1333"/>
      </w:tblGrid>
      <w:tr w:rsidR="00144D06" w:rsidRPr="007B7287" w:rsidTr="00D36062">
        <w:trPr>
          <w:trHeight w:val="385"/>
          <w:tblHeader/>
        </w:trPr>
        <w:tc>
          <w:tcPr>
            <w:tcW w:w="1598" w:type="pct"/>
            <w:tcBorders>
              <w:right w:val="single" w:sz="4" w:space="0" w:color="auto"/>
            </w:tcBorders>
            <w:shd w:val="clear" w:color="auto" w:fill="FFFFFF" w:themeFill="background1"/>
            <w:vAlign w:val="center"/>
          </w:tcPr>
          <w:p w:rsidR="00144D06" w:rsidRPr="007B7287" w:rsidRDefault="00144D06" w:rsidP="00144D06">
            <w:pPr>
              <w:jc w:val="left"/>
              <w:rPr>
                <w:rFonts w:ascii="Arial Narrow" w:hAnsi="Arial Narrow"/>
                <w:b/>
                <w:sz w:val="20"/>
              </w:rPr>
            </w:pPr>
          </w:p>
        </w:tc>
        <w:tc>
          <w:tcPr>
            <w:tcW w:w="1767" w:type="pct"/>
            <w:gridSpan w:val="2"/>
            <w:tcBorders>
              <w:left w:val="single" w:sz="4" w:space="0" w:color="auto"/>
              <w:right w:val="single" w:sz="4" w:space="0" w:color="auto"/>
            </w:tcBorders>
            <w:shd w:val="clear" w:color="auto" w:fill="FFFFFF" w:themeFill="background1"/>
            <w:vAlign w:val="center"/>
          </w:tcPr>
          <w:p w:rsidR="00144D06" w:rsidRDefault="00144D06" w:rsidP="00144D06">
            <w:pPr>
              <w:jc w:val="center"/>
              <w:rPr>
                <w:rFonts w:ascii="Arial Narrow" w:hAnsi="Arial Narrow"/>
                <w:b/>
                <w:sz w:val="20"/>
              </w:rPr>
            </w:pPr>
            <w:r w:rsidRPr="007B7287">
              <w:rPr>
                <w:rFonts w:ascii="Arial Narrow" w:hAnsi="Arial Narrow"/>
                <w:b/>
                <w:sz w:val="20"/>
              </w:rPr>
              <w:t>CA209-057 CSR</w:t>
            </w:r>
          </w:p>
          <w:p w:rsidR="008E69D4" w:rsidRDefault="00144D06" w:rsidP="00144D06">
            <w:pPr>
              <w:jc w:val="center"/>
              <w:rPr>
                <w:rFonts w:ascii="Arial Narrow" w:hAnsi="Arial Narrow"/>
                <w:sz w:val="20"/>
              </w:rPr>
            </w:pPr>
            <w:r w:rsidRPr="007B7287">
              <w:rPr>
                <w:rFonts w:ascii="Arial Narrow" w:hAnsi="Arial Narrow"/>
                <w:sz w:val="20"/>
              </w:rPr>
              <w:t>Database Lock March 2015</w:t>
            </w:r>
          </w:p>
          <w:p w:rsidR="00144D06" w:rsidRPr="00817A0E" w:rsidRDefault="00144D06" w:rsidP="00144D06">
            <w:pPr>
              <w:jc w:val="center"/>
              <w:rPr>
                <w:rFonts w:ascii="Arial Narrow" w:hAnsi="Arial Narrow"/>
                <w:sz w:val="20"/>
              </w:rPr>
            </w:pPr>
            <w:r>
              <w:rPr>
                <w:rFonts w:ascii="Arial Narrow" w:hAnsi="Arial Narrow"/>
                <w:sz w:val="20"/>
              </w:rPr>
              <w:t>(13.2 months minimum follow-up)</w:t>
            </w:r>
          </w:p>
        </w:tc>
        <w:tc>
          <w:tcPr>
            <w:tcW w:w="1635" w:type="pct"/>
            <w:gridSpan w:val="2"/>
            <w:tcBorders>
              <w:left w:val="single" w:sz="4" w:space="0" w:color="auto"/>
              <w:right w:val="single" w:sz="4" w:space="0" w:color="auto"/>
            </w:tcBorders>
            <w:shd w:val="clear" w:color="auto" w:fill="FFFFFF" w:themeFill="background1"/>
            <w:vAlign w:val="center"/>
          </w:tcPr>
          <w:p w:rsidR="00144D06" w:rsidRDefault="00144D06" w:rsidP="00144D06">
            <w:pPr>
              <w:jc w:val="center"/>
              <w:rPr>
                <w:rFonts w:ascii="Arial Narrow" w:hAnsi="Arial Narrow"/>
                <w:b/>
                <w:sz w:val="20"/>
                <w:vertAlign w:val="superscript"/>
              </w:rPr>
            </w:pPr>
            <w:r w:rsidRPr="003765C7">
              <w:rPr>
                <w:rFonts w:ascii="Arial Narrow" w:hAnsi="Arial Narrow"/>
                <w:b/>
                <w:sz w:val="20"/>
              </w:rPr>
              <w:t xml:space="preserve">Borghaei et al </w:t>
            </w:r>
            <w:r w:rsidRPr="007B7287">
              <w:rPr>
                <w:rFonts w:ascii="Arial Narrow" w:hAnsi="Arial Narrow"/>
                <w:b/>
                <w:sz w:val="20"/>
              </w:rPr>
              <w:t>(2015)</w:t>
            </w:r>
            <w:r>
              <w:rPr>
                <w:rFonts w:ascii="Arial Narrow" w:hAnsi="Arial Narrow"/>
                <w:b/>
                <w:sz w:val="20"/>
                <w:vertAlign w:val="superscript"/>
              </w:rPr>
              <w:t>a</w:t>
            </w:r>
          </w:p>
          <w:p w:rsidR="008E69D4" w:rsidRDefault="00144D06" w:rsidP="00144D06">
            <w:pPr>
              <w:jc w:val="center"/>
              <w:rPr>
                <w:rFonts w:ascii="Arial Narrow" w:hAnsi="Arial Narrow"/>
                <w:sz w:val="20"/>
              </w:rPr>
            </w:pPr>
            <w:r w:rsidRPr="007B7287">
              <w:rPr>
                <w:rFonts w:ascii="Arial Narrow" w:hAnsi="Arial Narrow"/>
                <w:sz w:val="20"/>
              </w:rPr>
              <w:t>Database Lock July 2015</w:t>
            </w:r>
          </w:p>
          <w:p w:rsidR="00144D06" w:rsidRPr="007B7287" w:rsidRDefault="00144D06" w:rsidP="00144D06">
            <w:pPr>
              <w:jc w:val="center"/>
              <w:rPr>
                <w:rFonts w:ascii="Arial Narrow" w:hAnsi="Arial Narrow"/>
                <w:b/>
                <w:sz w:val="20"/>
                <w:vertAlign w:val="superscript"/>
              </w:rPr>
            </w:pPr>
            <w:r>
              <w:rPr>
                <w:rFonts w:ascii="Arial Narrow" w:hAnsi="Arial Narrow"/>
                <w:sz w:val="20"/>
              </w:rPr>
              <w:t>(17.1 months minimum follow-up)</w:t>
            </w:r>
          </w:p>
        </w:tc>
      </w:tr>
      <w:tr w:rsidR="00241233" w:rsidRPr="007B7287" w:rsidTr="00241233">
        <w:trPr>
          <w:trHeight w:val="365"/>
        </w:trPr>
        <w:tc>
          <w:tcPr>
            <w:tcW w:w="1598" w:type="pct"/>
            <w:tcBorders>
              <w:right w:val="single" w:sz="4" w:space="0" w:color="auto"/>
            </w:tcBorders>
            <w:shd w:val="clear" w:color="auto" w:fill="F2F2F2" w:themeFill="background1" w:themeFillShade="F2"/>
            <w:vAlign w:val="center"/>
          </w:tcPr>
          <w:p w:rsidR="00144D06" w:rsidRPr="007B7287" w:rsidRDefault="00144D06" w:rsidP="00144D06">
            <w:pPr>
              <w:jc w:val="left"/>
              <w:rPr>
                <w:rFonts w:ascii="Arial Narrow" w:hAnsi="Arial Narrow"/>
                <w:b/>
                <w:sz w:val="20"/>
              </w:rPr>
            </w:pPr>
          </w:p>
        </w:tc>
        <w:tc>
          <w:tcPr>
            <w:tcW w:w="925" w:type="pct"/>
            <w:tcBorders>
              <w:left w:val="single" w:sz="4" w:space="0" w:color="auto"/>
              <w:right w:val="single" w:sz="4" w:space="0" w:color="auto"/>
            </w:tcBorders>
            <w:shd w:val="clear" w:color="auto" w:fill="F2F2F2" w:themeFill="background1" w:themeFillShade="F2"/>
            <w:vAlign w:val="center"/>
          </w:tcPr>
          <w:p w:rsidR="00144D06" w:rsidRPr="007B7287" w:rsidRDefault="00241233" w:rsidP="00144D06">
            <w:pPr>
              <w:jc w:val="center"/>
              <w:rPr>
                <w:rFonts w:ascii="Arial Narrow" w:hAnsi="Arial Narrow"/>
                <w:b/>
                <w:sz w:val="20"/>
              </w:rPr>
            </w:pPr>
            <w:r>
              <w:rPr>
                <w:rFonts w:ascii="Arial Narrow" w:hAnsi="Arial Narrow"/>
                <w:b/>
                <w:sz w:val="20"/>
              </w:rPr>
              <w:t>Nivolumab</w:t>
            </w:r>
          </w:p>
          <w:p w:rsidR="00144D06" w:rsidRPr="007B7287" w:rsidRDefault="00144D06" w:rsidP="00144D06">
            <w:pPr>
              <w:jc w:val="center"/>
              <w:rPr>
                <w:rFonts w:ascii="Arial Narrow" w:hAnsi="Arial Narrow"/>
                <w:b/>
                <w:sz w:val="20"/>
              </w:rPr>
            </w:pPr>
            <w:r w:rsidRPr="007B7287">
              <w:rPr>
                <w:rFonts w:ascii="Arial Narrow" w:hAnsi="Arial Narrow"/>
                <w:b/>
                <w:sz w:val="20"/>
              </w:rPr>
              <w:t>N=292</w:t>
            </w:r>
          </w:p>
        </w:tc>
        <w:tc>
          <w:tcPr>
            <w:tcW w:w="843" w:type="pct"/>
            <w:tcBorders>
              <w:left w:val="single" w:sz="4" w:space="0" w:color="auto"/>
              <w:right w:val="single" w:sz="4" w:space="0" w:color="auto"/>
            </w:tcBorders>
            <w:shd w:val="clear" w:color="auto" w:fill="F2F2F2" w:themeFill="background1" w:themeFillShade="F2"/>
            <w:vAlign w:val="center"/>
          </w:tcPr>
          <w:p w:rsidR="00144D06" w:rsidRPr="007B7287" w:rsidRDefault="00144D06" w:rsidP="00144D06">
            <w:pPr>
              <w:jc w:val="center"/>
              <w:rPr>
                <w:rFonts w:ascii="Arial Narrow" w:hAnsi="Arial Narrow"/>
                <w:b/>
                <w:sz w:val="20"/>
              </w:rPr>
            </w:pPr>
            <w:r w:rsidRPr="007B7287">
              <w:rPr>
                <w:rFonts w:ascii="Arial Narrow" w:hAnsi="Arial Narrow"/>
                <w:b/>
                <w:sz w:val="20"/>
              </w:rPr>
              <w:t>Docetaxel</w:t>
            </w:r>
          </w:p>
          <w:p w:rsidR="00144D06" w:rsidRPr="007B7287" w:rsidRDefault="00144D06" w:rsidP="00144D06">
            <w:pPr>
              <w:jc w:val="center"/>
              <w:rPr>
                <w:rFonts w:ascii="Arial Narrow" w:hAnsi="Arial Narrow"/>
                <w:b/>
                <w:sz w:val="20"/>
              </w:rPr>
            </w:pPr>
            <w:r>
              <w:rPr>
                <w:rFonts w:ascii="Arial Narrow" w:hAnsi="Arial Narrow"/>
                <w:b/>
                <w:sz w:val="20"/>
              </w:rPr>
              <w:t>N=</w:t>
            </w:r>
            <w:r w:rsidRPr="007B7287">
              <w:rPr>
                <w:rFonts w:ascii="Arial Narrow" w:hAnsi="Arial Narrow"/>
                <w:b/>
                <w:sz w:val="20"/>
              </w:rPr>
              <w:t>290</w:t>
            </w:r>
          </w:p>
        </w:tc>
        <w:tc>
          <w:tcPr>
            <w:tcW w:w="843" w:type="pct"/>
            <w:tcBorders>
              <w:left w:val="single" w:sz="4" w:space="0" w:color="auto"/>
              <w:right w:val="single" w:sz="4" w:space="0" w:color="auto"/>
            </w:tcBorders>
            <w:shd w:val="clear" w:color="auto" w:fill="F2F2F2" w:themeFill="background1" w:themeFillShade="F2"/>
            <w:vAlign w:val="center"/>
          </w:tcPr>
          <w:p w:rsidR="00144D06" w:rsidRPr="007B7287" w:rsidRDefault="00241233" w:rsidP="00144D06">
            <w:pPr>
              <w:jc w:val="center"/>
              <w:rPr>
                <w:rFonts w:ascii="Arial Narrow" w:hAnsi="Arial Narrow"/>
                <w:b/>
                <w:sz w:val="20"/>
              </w:rPr>
            </w:pPr>
            <w:r>
              <w:rPr>
                <w:rFonts w:ascii="Arial Narrow" w:hAnsi="Arial Narrow"/>
                <w:b/>
                <w:sz w:val="20"/>
              </w:rPr>
              <w:t>Nivolumab</w:t>
            </w:r>
          </w:p>
          <w:p w:rsidR="00144D06" w:rsidRPr="007B7287" w:rsidRDefault="00144D06" w:rsidP="00144D06">
            <w:pPr>
              <w:jc w:val="center"/>
              <w:rPr>
                <w:rFonts w:ascii="Arial Narrow" w:hAnsi="Arial Narrow"/>
                <w:b/>
                <w:sz w:val="20"/>
              </w:rPr>
            </w:pPr>
            <w:r w:rsidRPr="007B7287">
              <w:rPr>
                <w:rFonts w:ascii="Arial Narrow" w:hAnsi="Arial Narrow"/>
                <w:b/>
                <w:sz w:val="20"/>
              </w:rPr>
              <w:t>N=292</w:t>
            </w:r>
          </w:p>
        </w:tc>
        <w:tc>
          <w:tcPr>
            <w:tcW w:w="792" w:type="pct"/>
            <w:tcBorders>
              <w:left w:val="single" w:sz="4" w:space="0" w:color="auto"/>
              <w:right w:val="single" w:sz="4" w:space="0" w:color="auto"/>
            </w:tcBorders>
            <w:shd w:val="clear" w:color="auto" w:fill="F2F2F2" w:themeFill="background1" w:themeFillShade="F2"/>
            <w:vAlign w:val="center"/>
          </w:tcPr>
          <w:p w:rsidR="00144D06" w:rsidRPr="007B7287" w:rsidRDefault="00144D06" w:rsidP="00144D06">
            <w:pPr>
              <w:jc w:val="center"/>
              <w:rPr>
                <w:rFonts w:ascii="Arial Narrow" w:hAnsi="Arial Narrow"/>
                <w:b/>
                <w:sz w:val="20"/>
              </w:rPr>
            </w:pPr>
            <w:r w:rsidRPr="007B7287">
              <w:rPr>
                <w:rFonts w:ascii="Arial Narrow" w:hAnsi="Arial Narrow"/>
                <w:b/>
                <w:sz w:val="20"/>
              </w:rPr>
              <w:t>Docetaxel</w:t>
            </w:r>
          </w:p>
          <w:p w:rsidR="00144D06" w:rsidRPr="007B7287" w:rsidRDefault="00144D06" w:rsidP="00144D06">
            <w:pPr>
              <w:jc w:val="center"/>
              <w:rPr>
                <w:rFonts w:ascii="Arial Narrow" w:hAnsi="Arial Narrow"/>
                <w:b/>
                <w:sz w:val="20"/>
              </w:rPr>
            </w:pPr>
            <w:r>
              <w:rPr>
                <w:rFonts w:ascii="Arial Narrow" w:hAnsi="Arial Narrow"/>
                <w:b/>
                <w:sz w:val="20"/>
              </w:rPr>
              <w:t>N=</w:t>
            </w:r>
            <w:r w:rsidRPr="007B7287">
              <w:rPr>
                <w:rFonts w:ascii="Arial Narrow" w:hAnsi="Arial Narrow"/>
                <w:b/>
                <w:sz w:val="20"/>
              </w:rPr>
              <w:t>290</w:t>
            </w:r>
          </w:p>
        </w:tc>
      </w:tr>
      <w:tr w:rsidR="00241233" w:rsidRPr="007B7287" w:rsidTr="00241233">
        <w:trPr>
          <w:trHeight w:val="331"/>
        </w:trPr>
        <w:tc>
          <w:tcPr>
            <w:tcW w:w="1598" w:type="pct"/>
            <w:tcBorders>
              <w:right w:val="single" w:sz="4" w:space="0" w:color="auto"/>
            </w:tcBorders>
            <w:vAlign w:val="center"/>
          </w:tcPr>
          <w:p w:rsidR="00144D06" w:rsidRPr="007B7287" w:rsidRDefault="00144D06" w:rsidP="00144D06">
            <w:pPr>
              <w:jc w:val="left"/>
              <w:rPr>
                <w:rFonts w:ascii="Arial Narrow" w:hAnsi="Arial Narrow"/>
                <w:sz w:val="20"/>
              </w:rPr>
            </w:pPr>
            <w:r w:rsidRPr="007B7287">
              <w:rPr>
                <w:rFonts w:ascii="Arial Narrow" w:hAnsi="Arial Narrow"/>
                <w:sz w:val="20"/>
              </w:rPr>
              <w:t>Number of events, n (%)</w:t>
            </w:r>
          </w:p>
        </w:tc>
        <w:tc>
          <w:tcPr>
            <w:tcW w:w="925" w:type="pct"/>
            <w:tcBorders>
              <w:left w:val="single" w:sz="4" w:space="0" w:color="auto"/>
              <w:right w:val="single" w:sz="4" w:space="0" w:color="auto"/>
            </w:tcBorders>
            <w:vAlign w:val="center"/>
          </w:tcPr>
          <w:p w:rsidR="00144D06" w:rsidRPr="007B7287" w:rsidRDefault="00144D06" w:rsidP="00144D06">
            <w:pPr>
              <w:jc w:val="center"/>
              <w:rPr>
                <w:rFonts w:ascii="Arial Narrow" w:hAnsi="Arial Narrow"/>
                <w:sz w:val="20"/>
                <w:vertAlign w:val="superscript"/>
              </w:rPr>
            </w:pPr>
            <w:r w:rsidRPr="007B7287">
              <w:rPr>
                <w:rFonts w:ascii="Arial Narrow" w:hAnsi="Arial Narrow"/>
                <w:sz w:val="20"/>
              </w:rPr>
              <w:t>190 (65.1)</w:t>
            </w:r>
          </w:p>
        </w:tc>
        <w:tc>
          <w:tcPr>
            <w:tcW w:w="843" w:type="pct"/>
            <w:tcBorders>
              <w:left w:val="single" w:sz="4" w:space="0" w:color="auto"/>
              <w:right w:val="single" w:sz="4" w:space="0" w:color="auto"/>
            </w:tcBorders>
            <w:vAlign w:val="center"/>
          </w:tcPr>
          <w:p w:rsidR="00144D06" w:rsidRPr="007B7287" w:rsidRDefault="00144D06" w:rsidP="00144D06">
            <w:pPr>
              <w:jc w:val="center"/>
              <w:rPr>
                <w:rFonts w:ascii="Arial Narrow" w:hAnsi="Arial Narrow"/>
                <w:sz w:val="20"/>
                <w:vertAlign w:val="superscript"/>
              </w:rPr>
            </w:pPr>
            <w:r w:rsidRPr="007B7287">
              <w:rPr>
                <w:rFonts w:ascii="Arial Narrow" w:hAnsi="Arial Narrow"/>
                <w:sz w:val="20"/>
              </w:rPr>
              <w:t>223 (76.9)</w:t>
            </w:r>
          </w:p>
        </w:tc>
        <w:tc>
          <w:tcPr>
            <w:tcW w:w="843" w:type="pct"/>
            <w:tcBorders>
              <w:left w:val="single" w:sz="4" w:space="0" w:color="auto"/>
              <w:right w:val="single" w:sz="4" w:space="0" w:color="auto"/>
            </w:tcBorders>
            <w:shd w:val="clear" w:color="auto" w:fill="auto"/>
            <w:vAlign w:val="center"/>
          </w:tcPr>
          <w:p w:rsidR="00144D06" w:rsidRPr="007B7287" w:rsidRDefault="00144D06" w:rsidP="00144D06">
            <w:pPr>
              <w:jc w:val="center"/>
              <w:rPr>
                <w:rFonts w:ascii="Arial Narrow" w:hAnsi="Arial Narrow"/>
                <w:sz w:val="20"/>
              </w:rPr>
            </w:pPr>
            <w:r w:rsidRPr="007B7287">
              <w:rPr>
                <w:rFonts w:ascii="Arial Narrow" w:hAnsi="Arial Narrow"/>
                <w:sz w:val="20"/>
              </w:rPr>
              <w:t>206 (70.5)</w:t>
            </w:r>
          </w:p>
        </w:tc>
        <w:tc>
          <w:tcPr>
            <w:tcW w:w="792" w:type="pct"/>
            <w:tcBorders>
              <w:left w:val="single" w:sz="4" w:space="0" w:color="auto"/>
              <w:right w:val="single" w:sz="4" w:space="0" w:color="auto"/>
            </w:tcBorders>
            <w:shd w:val="clear" w:color="auto" w:fill="auto"/>
            <w:vAlign w:val="center"/>
          </w:tcPr>
          <w:p w:rsidR="00144D06" w:rsidRPr="007B7287" w:rsidRDefault="00144D06" w:rsidP="00144D06">
            <w:pPr>
              <w:jc w:val="center"/>
              <w:rPr>
                <w:rFonts w:ascii="Arial Narrow" w:hAnsi="Arial Narrow"/>
                <w:sz w:val="20"/>
              </w:rPr>
            </w:pPr>
            <w:r w:rsidRPr="007B7287">
              <w:rPr>
                <w:rFonts w:ascii="Arial Narrow" w:hAnsi="Arial Narrow"/>
                <w:sz w:val="20"/>
              </w:rPr>
              <w:t>236 (80.8)</w:t>
            </w:r>
          </w:p>
        </w:tc>
      </w:tr>
      <w:tr w:rsidR="00241233" w:rsidRPr="007B7287" w:rsidTr="00241233">
        <w:trPr>
          <w:trHeight w:val="345"/>
        </w:trPr>
        <w:tc>
          <w:tcPr>
            <w:tcW w:w="1598" w:type="pct"/>
            <w:tcBorders>
              <w:right w:val="single" w:sz="4" w:space="0" w:color="auto"/>
            </w:tcBorders>
            <w:vAlign w:val="center"/>
          </w:tcPr>
          <w:p w:rsidR="00144D06" w:rsidRPr="007B7287" w:rsidRDefault="00144D06" w:rsidP="00241233">
            <w:pPr>
              <w:jc w:val="left"/>
              <w:rPr>
                <w:rFonts w:ascii="Arial Narrow" w:hAnsi="Arial Narrow"/>
                <w:sz w:val="20"/>
              </w:rPr>
            </w:pPr>
            <w:r w:rsidRPr="007B7287">
              <w:rPr>
                <w:rFonts w:ascii="Arial Narrow" w:hAnsi="Arial Narrow"/>
                <w:sz w:val="20"/>
              </w:rPr>
              <w:t>Median(months) (95% CI)</w:t>
            </w:r>
          </w:p>
        </w:tc>
        <w:tc>
          <w:tcPr>
            <w:tcW w:w="925" w:type="pct"/>
            <w:tcBorders>
              <w:left w:val="single" w:sz="4" w:space="0" w:color="auto"/>
              <w:right w:val="single" w:sz="4" w:space="0" w:color="auto"/>
            </w:tcBorders>
            <w:vAlign w:val="center"/>
          </w:tcPr>
          <w:p w:rsidR="00144D06" w:rsidRPr="007B7287" w:rsidRDefault="00144D06" w:rsidP="00144D06">
            <w:pPr>
              <w:jc w:val="center"/>
              <w:rPr>
                <w:rFonts w:ascii="Arial Narrow" w:hAnsi="Arial Narrow"/>
                <w:sz w:val="20"/>
                <w:vertAlign w:val="superscript"/>
              </w:rPr>
            </w:pPr>
            <w:r w:rsidRPr="007B7287">
              <w:rPr>
                <w:rFonts w:ascii="Arial Narrow" w:hAnsi="Arial Narrow"/>
                <w:sz w:val="20"/>
              </w:rPr>
              <w:t>12.</w:t>
            </w:r>
            <w:r>
              <w:rPr>
                <w:rFonts w:ascii="Arial Narrow" w:hAnsi="Arial Narrow"/>
                <w:sz w:val="20"/>
              </w:rPr>
              <w:t>2</w:t>
            </w:r>
            <w:r w:rsidRPr="007B7287">
              <w:rPr>
                <w:rFonts w:ascii="Arial Narrow" w:hAnsi="Arial Narrow"/>
                <w:sz w:val="20"/>
              </w:rPr>
              <w:t xml:space="preserve"> (9.</w:t>
            </w:r>
            <w:r>
              <w:rPr>
                <w:rFonts w:ascii="Arial Narrow" w:hAnsi="Arial Narrow"/>
                <w:sz w:val="20"/>
              </w:rPr>
              <w:t>7</w:t>
            </w:r>
            <w:r w:rsidRPr="007B7287">
              <w:rPr>
                <w:rFonts w:ascii="Arial Narrow" w:hAnsi="Arial Narrow"/>
                <w:sz w:val="20"/>
              </w:rPr>
              <w:t>, 1</w:t>
            </w:r>
            <w:r>
              <w:rPr>
                <w:rFonts w:ascii="Arial Narrow" w:hAnsi="Arial Narrow"/>
                <w:sz w:val="20"/>
              </w:rPr>
              <w:t>5</w:t>
            </w:r>
            <w:r w:rsidRPr="007B7287">
              <w:rPr>
                <w:rFonts w:ascii="Arial Narrow" w:hAnsi="Arial Narrow"/>
                <w:sz w:val="20"/>
              </w:rPr>
              <w:t>.</w:t>
            </w:r>
            <w:r>
              <w:rPr>
                <w:rFonts w:ascii="Arial Narrow" w:hAnsi="Arial Narrow"/>
                <w:sz w:val="20"/>
              </w:rPr>
              <w:t>0</w:t>
            </w:r>
            <w:r w:rsidRPr="007B7287">
              <w:rPr>
                <w:rFonts w:ascii="Arial Narrow" w:hAnsi="Arial Narrow"/>
                <w:sz w:val="20"/>
              </w:rPr>
              <w:t>)</w:t>
            </w:r>
          </w:p>
        </w:tc>
        <w:tc>
          <w:tcPr>
            <w:tcW w:w="843" w:type="pct"/>
            <w:tcBorders>
              <w:left w:val="single" w:sz="4" w:space="0" w:color="auto"/>
              <w:right w:val="single" w:sz="4" w:space="0" w:color="auto"/>
            </w:tcBorders>
            <w:vAlign w:val="center"/>
          </w:tcPr>
          <w:p w:rsidR="00144D06" w:rsidRPr="007B7287" w:rsidRDefault="00144D06" w:rsidP="00144D06">
            <w:pPr>
              <w:jc w:val="center"/>
              <w:rPr>
                <w:rFonts w:ascii="Arial Narrow" w:hAnsi="Arial Narrow"/>
                <w:sz w:val="20"/>
                <w:vertAlign w:val="superscript"/>
              </w:rPr>
            </w:pPr>
            <w:r w:rsidRPr="007B7287">
              <w:rPr>
                <w:rFonts w:ascii="Arial Narrow" w:hAnsi="Arial Narrow"/>
                <w:sz w:val="20"/>
              </w:rPr>
              <w:t>9.</w:t>
            </w:r>
            <w:r>
              <w:rPr>
                <w:rFonts w:ascii="Arial Narrow" w:hAnsi="Arial Narrow"/>
                <w:sz w:val="20"/>
              </w:rPr>
              <w:t>4</w:t>
            </w:r>
            <w:r w:rsidRPr="007B7287">
              <w:rPr>
                <w:rFonts w:ascii="Arial Narrow" w:hAnsi="Arial Narrow"/>
                <w:sz w:val="20"/>
              </w:rPr>
              <w:t xml:space="preserve"> (8.</w:t>
            </w:r>
            <w:r>
              <w:rPr>
                <w:rFonts w:ascii="Arial Narrow" w:hAnsi="Arial Narrow"/>
                <w:sz w:val="20"/>
              </w:rPr>
              <w:t>1</w:t>
            </w:r>
            <w:r w:rsidRPr="007B7287">
              <w:rPr>
                <w:rFonts w:ascii="Arial Narrow" w:hAnsi="Arial Narrow"/>
                <w:sz w:val="20"/>
              </w:rPr>
              <w:t>, 10.</w:t>
            </w:r>
            <w:r>
              <w:rPr>
                <w:rFonts w:ascii="Arial Narrow" w:hAnsi="Arial Narrow"/>
                <w:sz w:val="20"/>
              </w:rPr>
              <w:t>7</w:t>
            </w:r>
            <w:r w:rsidRPr="007B7287">
              <w:rPr>
                <w:rFonts w:ascii="Arial Narrow" w:hAnsi="Arial Narrow"/>
                <w:sz w:val="20"/>
              </w:rPr>
              <w:t>)</w:t>
            </w:r>
          </w:p>
        </w:tc>
        <w:tc>
          <w:tcPr>
            <w:tcW w:w="843" w:type="pct"/>
            <w:tcBorders>
              <w:left w:val="single" w:sz="4" w:space="0" w:color="auto"/>
              <w:right w:val="single" w:sz="4" w:space="0" w:color="auto"/>
            </w:tcBorders>
            <w:shd w:val="clear" w:color="auto" w:fill="auto"/>
            <w:vAlign w:val="center"/>
          </w:tcPr>
          <w:p w:rsidR="00144D06" w:rsidRPr="007B7287" w:rsidRDefault="00144D06" w:rsidP="00144D06">
            <w:pPr>
              <w:jc w:val="center"/>
              <w:rPr>
                <w:rFonts w:ascii="Arial Narrow" w:hAnsi="Arial Narrow"/>
                <w:sz w:val="20"/>
              </w:rPr>
            </w:pPr>
            <w:r w:rsidRPr="007B7287">
              <w:rPr>
                <w:rFonts w:ascii="Arial Narrow" w:hAnsi="Arial Narrow"/>
                <w:sz w:val="20"/>
              </w:rPr>
              <w:t>12.2 (9.7, 15.1)</w:t>
            </w:r>
          </w:p>
        </w:tc>
        <w:tc>
          <w:tcPr>
            <w:tcW w:w="792" w:type="pct"/>
            <w:tcBorders>
              <w:left w:val="single" w:sz="4" w:space="0" w:color="auto"/>
              <w:right w:val="single" w:sz="4" w:space="0" w:color="auto"/>
            </w:tcBorders>
            <w:shd w:val="clear" w:color="auto" w:fill="auto"/>
            <w:vAlign w:val="center"/>
          </w:tcPr>
          <w:p w:rsidR="00144D06" w:rsidRPr="007B7287" w:rsidRDefault="00144D06" w:rsidP="00144D06">
            <w:pPr>
              <w:jc w:val="center"/>
              <w:rPr>
                <w:rFonts w:ascii="Arial Narrow" w:hAnsi="Arial Narrow"/>
                <w:sz w:val="20"/>
              </w:rPr>
            </w:pPr>
            <w:r w:rsidRPr="007B7287">
              <w:rPr>
                <w:rFonts w:ascii="Arial Narrow" w:hAnsi="Arial Narrow"/>
                <w:sz w:val="20"/>
              </w:rPr>
              <w:t>9.4 (8.1, 10.7)</w:t>
            </w:r>
          </w:p>
        </w:tc>
      </w:tr>
      <w:tr w:rsidR="00144D06" w:rsidRPr="007B7287" w:rsidTr="00241233">
        <w:trPr>
          <w:trHeight w:val="345"/>
        </w:trPr>
        <w:tc>
          <w:tcPr>
            <w:tcW w:w="1598" w:type="pct"/>
            <w:tcBorders>
              <w:right w:val="single" w:sz="4" w:space="0" w:color="auto"/>
            </w:tcBorders>
            <w:vAlign w:val="center"/>
          </w:tcPr>
          <w:p w:rsidR="00144D06" w:rsidRPr="007B7287" w:rsidRDefault="00144D06" w:rsidP="00241233">
            <w:pPr>
              <w:jc w:val="left"/>
              <w:rPr>
                <w:rFonts w:ascii="Arial Narrow" w:hAnsi="Arial Narrow"/>
                <w:sz w:val="20"/>
              </w:rPr>
            </w:pPr>
            <w:r>
              <w:rPr>
                <w:rFonts w:ascii="Arial Narrow" w:hAnsi="Arial Narrow"/>
                <w:sz w:val="20"/>
              </w:rPr>
              <w:t>Difference (</w:t>
            </w:r>
            <w:r w:rsidR="00241233">
              <w:rPr>
                <w:rFonts w:ascii="Arial Narrow" w:hAnsi="Arial Narrow"/>
                <w:sz w:val="20"/>
              </w:rPr>
              <w:t>n</w:t>
            </w:r>
            <w:r>
              <w:rPr>
                <w:rFonts w:ascii="Arial Narrow" w:hAnsi="Arial Narrow"/>
                <w:sz w:val="20"/>
              </w:rPr>
              <w:t>ivolumab minus docetaxel)</w:t>
            </w:r>
          </w:p>
        </w:tc>
        <w:tc>
          <w:tcPr>
            <w:tcW w:w="1767" w:type="pct"/>
            <w:gridSpan w:val="2"/>
            <w:tcBorders>
              <w:left w:val="single" w:sz="4" w:space="0" w:color="auto"/>
              <w:right w:val="single" w:sz="4" w:space="0" w:color="auto"/>
            </w:tcBorders>
            <w:vAlign w:val="center"/>
          </w:tcPr>
          <w:p w:rsidR="00144D06" w:rsidRPr="007B7287" w:rsidRDefault="00144D06" w:rsidP="00144D06">
            <w:pPr>
              <w:jc w:val="center"/>
              <w:rPr>
                <w:rFonts w:ascii="Arial Narrow" w:hAnsi="Arial Narrow"/>
                <w:sz w:val="20"/>
              </w:rPr>
            </w:pPr>
            <w:r>
              <w:rPr>
                <w:rFonts w:ascii="Arial Narrow" w:hAnsi="Arial Narrow"/>
                <w:sz w:val="20"/>
              </w:rPr>
              <w:t>2.8 months</w:t>
            </w:r>
          </w:p>
        </w:tc>
        <w:tc>
          <w:tcPr>
            <w:tcW w:w="1635" w:type="pct"/>
            <w:gridSpan w:val="2"/>
            <w:tcBorders>
              <w:left w:val="single" w:sz="4" w:space="0" w:color="auto"/>
              <w:right w:val="single" w:sz="4" w:space="0" w:color="auto"/>
            </w:tcBorders>
            <w:shd w:val="clear" w:color="auto" w:fill="auto"/>
            <w:vAlign w:val="center"/>
          </w:tcPr>
          <w:p w:rsidR="00144D06" w:rsidRPr="007B7287" w:rsidRDefault="00144D06" w:rsidP="00144D06">
            <w:pPr>
              <w:jc w:val="center"/>
              <w:rPr>
                <w:rFonts w:ascii="Arial Narrow" w:hAnsi="Arial Narrow"/>
                <w:sz w:val="20"/>
              </w:rPr>
            </w:pPr>
            <w:r>
              <w:rPr>
                <w:rFonts w:ascii="Arial Narrow" w:hAnsi="Arial Narrow"/>
                <w:sz w:val="20"/>
              </w:rPr>
              <w:t>2.8 months</w:t>
            </w:r>
          </w:p>
        </w:tc>
      </w:tr>
      <w:tr w:rsidR="00144D06" w:rsidRPr="007B7287" w:rsidTr="00241233">
        <w:trPr>
          <w:trHeight w:val="295"/>
        </w:trPr>
        <w:tc>
          <w:tcPr>
            <w:tcW w:w="1598" w:type="pct"/>
            <w:vMerge w:val="restart"/>
            <w:tcBorders>
              <w:right w:val="single" w:sz="4" w:space="0" w:color="auto"/>
            </w:tcBorders>
            <w:vAlign w:val="center"/>
          </w:tcPr>
          <w:p w:rsidR="00144D06" w:rsidRPr="007B7287" w:rsidRDefault="00144D06" w:rsidP="00144D06">
            <w:pPr>
              <w:jc w:val="left"/>
              <w:rPr>
                <w:rFonts w:ascii="Arial Narrow" w:hAnsi="Arial Narrow"/>
                <w:sz w:val="20"/>
              </w:rPr>
            </w:pPr>
            <w:r>
              <w:rPr>
                <w:rFonts w:ascii="Arial Narrow" w:hAnsi="Arial Narrow"/>
                <w:sz w:val="20"/>
              </w:rPr>
              <w:t xml:space="preserve">Kaplan-Meier </w:t>
            </w:r>
            <w:r w:rsidRPr="007B7287">
              <w:rPr>
                <w:rFonts w:ascii="Arial Narrow" w:hAnsi="Arial Narrow"/>
                <w:sz w:val="20"/>
              </w:rPr>
              <w:t>OS rate</w:t>
            </w:r>
            <w:r>
              <w:rPr>
                <w:rFonts w:ascii="Arial Narrow" w:hAnsi="Arial Narrow"/>
                <w:sz w:val="20"/>
              </w:rPr>
              <w:t xml:space="preserve">, % surviving at time point </w:t>
            </w:r>
            <w:r w:rsidRPr="007B7287">
              <w:rPr>
                <w:rFonts w:ascii="Arial Narrow" w:hAnsi="Arial Narrow"/>
                <w:sz w:val="20"/>
              </w:rPr>
              <w:t>(95%</w:t>
            </w:r>
            <w:r>
              <w:rPr>
                <w:rFonts w:ascii="Arial Narrow" w:hAnsi="Arial Narrow"/>
                <w:sz w:val="20"/>
              </w:rPr>
              <w:t xml:space="preserve"> </w:t>
            </w:r>
            <w:r w:rsidRPr="007B7287">
              <w:rPr>
                <w:rFonts w:ascii="Arial Narrow" w:hAnsi="Arial Narrow"/>
                <w:sz w:val="20"/>
              </w:rPr>
              <w:t>CI)</w:t>
            </w:r>
          </w:p>
        </w:tc>
        <w:tc>
          <w:tcPr>
            <w:tcW w:w="1767" w:type="pct"/>
            <w:gridSpan w:val="2"/>
            <w:tcBorders>
              <w:left w:val="single" w:sz="4" w:space="0" w:color="auto"/>
              <w:right w:val="single" w:sz="4" w:space="0" w:color="auto"/>
            </w:tcBorders>
            <w:vAlign w:val="center"/>
          </w:tcPr>
          <w:p w:rsidR="00144D06" w:rsidRPr="00F6635C" w:rsidRDefault="00144D06" w:rsidP="00144D06">
            <w:pPr>
              <w:jc w:val="center"/>
              <w:rPr>
                <w:rFonts w:ascii="Arial Narrow" w:hAnsi="Arial Narrow"/>
                <w:sz w:val="20"/>
              </w:rPr>
            </w:pPr>
            <w:r>
              <w:rPr>
                <w:rFonts w:ascii="Arial Narrow" w:hAnsi="Arial Narrow"/>
                <w:sz w:val="20"/>
              </w:rPr>
              <w:t>At 12 months</w:t>
            </w:r>
          </w:p>
        </w:tc>
        <w:tc>
          <w:tcPr>
            <w:tcW w:w="1635" w:type="pct"/>
            <w:gridSpan w:val="2"/>
            <w:tcBorders>
              <w:left w:val="single" w:sz="4" w:space="0" w:color="auto"/>
              <w:right w:val="single" w:sz="4" w:space="0" w:color="auto"/>
            </w:tcBorders>
            <w:shd w:val="clear" w:color="auto" w:fill="auto"/>
            <w:vAlign w:val="center"/>
          </w:tcPr>
          <w:p w:rsidR="00144D06" w:rsidRPr="007B7287" w:rsidRDefault="00144D06" w:rsidP="00144D06">
            <w:pPr>
              <w:jc w:val="center"/>
              <w:rPr>
                <w:rFonts w:ascii="Arial Narrow" w:hAnsi="Arial Narrow"/>
                <w:sz w:val="20"/>
              </w:rPr>
            </w:pPr>
            <w:r>
              <w:rPr>
                <w:rFonts w:ascii="Arial Narrow" w:hAnsi="Arial Narrow"/>
                <w:sz w:val="20"/>
              </w:rPr>
              <w:t>At 18 months</w:t>
            </w:r>
          </w:p>
        </w:tc>
      </w:tr>
      <w:tr w:rsidR="00241233" w:rsidRPr="007B7287" w:rsidTr="00241233">
        <w:trPr>
          <w:trHeight w:val="232"/>
        </w:trPr>
        <w:tc>
          <w:tcPr>
            <w:tcW w:w="1598" w:type="pct"/>
            <w:vMerge/>
            <w:tcBorders>
              <w:right w:val="single" w:sz="4" w:space="0" w:color="auto"/>
            </w:tcBorders>
            <w:vAlign w:val="center"/>
          </w:tcPr>
          <w:p w:rsidR="00144D06" w:rsidRPr="007B7287" w:rsidRDefault="00144D06" w:rsidP="00144D06">
            <w:pPr>
              <w:jc w:val="left"/>
              <w:rPr>
                <w:rFonts w:ascii="Arial Narrow" w:hAnsi="Arial Narrow"/>
                <w:sz w:val="20"/>
              </w:rPr>
            </w:pPr>
          </w:p>
        </w:tc>
        <w:tc>
          <w:tcPr>
            <w:tcW w:w="925" w:type="pct"/>
            <w:tcBorders>
              <w:left w:val="single" w:sz="4" w:space="0" w:color="auto"/>
              <w:right w:val="single" w:sz="4" w:space="0" w:color="auto"/>
            </w:tcBorders>
            <w:vAlign w:val="center"/>
          </w:tcPr>
          <w:p w:rsidR="00144D06" w:rsidRDefault="00144D06" w:rsidP="00144D06">
            <w:pPr>
              <w:jc w:val="center"/>
              <w:rPr>
                <w:rFonts w:ascii="Arial Narrow" w:hAnsi="Arial Narrow"/>
                <w:sz w:val="20"/>
              </w:rPr>
            </w:pPr>
            <w:r w:rsidRPr="007B7287">
              <w:rPr>
                <w:rFonts w:ascii="Arial Narrow" w:hAnsi="Arial Narrow"/>
                <w:sz w:val="20"/>
              </w:rPr>
              <w:t>50.5 (44.6, 56.1)</w:t>
            </w:r>
          </w:p>
        </w:tc>
        <w:tc>
          <w:tcPr>
            <w:tcW w:w="843" w:type="pct"/>
            <w:tcBorders>
              <w:left w:val="single" w:sz="4" w:space="0" w:color="auto"/>
              <w:right w:val="single" w:sz="4" w:space="0" w:color="auto"/>
            </w:tcBorders>
            <w:vAlign w:val="center"/>
          </w:tcPr>
          <w:p w:rsidR="00144D06" w:rsidRDefault="00241233" w:rsidP="00241233">
            <w:pPr>
              <w:jc w:val="center"/>
              <w:rPr>
                <w:rFonts w:ascii="Arial Narrow" w:hAnsi="Arial Narrow"/>
                <w:sz w:val="20"/>
              </w:rPr>
            </w:pPr>
            <w:r>
              <w:rPr>
                <w:rFonts w:ascii="Arial Narrow" w:hAnsi="Arial Narrow"/>
                <w:sz w:val="20"/>
              </w:rPr>
              <w:t>39</w:t>
            </w:r>
            <w:r w:rsidR="00144D06" w:rsidRPr="007B7287">
              <w:rPr>
                <w:rFonts w:ascii="Arial Narrow" w:hAnsi="Arial Narrow"/>
                <w:sz w:val="20"/>
              </w:rPr>
              <w:t xml:space="preserve"> (33.3, 44.6)</w:t>
            </w:r>
          </w:p>
        </w:tc>
        <w:tc>
          <w:tcPr>
            <w:tcW w:w="843" w:type="pct"/>
            <w:tcBorders>
              <w:left w:val="single" w:sz="4" w:space="0" w:color="auto"/>
              <w:right w:val="single" w:sz="4" w:space="0" w:color="auto"/>
            </w:tcBorders>
            <w:shd w:val="clear" w:color="auto" w:fill="auto"/>
            <w:vAlign w:val="center"/>
          </w:tcPr>
          <w:p w:rsidR="00144D06" w:rsidRPr="007B7287" w:rsidRDefault="00144D06" w:rsidP="00144D06">
            <w:pPr>
              <w:jc w:val="center"/>
              <w:rPr>
                <w:rFonts w:ascii="Arial Narrow" w:hAnsi="Arial Narrow"/>
                <w:sz w:val="20"/>
              </w:rPr>
            </w:pPr>
            <w:r w:rsidRPr="007B7287">
              <w:rPr>
                <w:rFonts w:ascii="Arial Narrow" w:hAnsi="Arial Narrow"/>
                <w:sz w:val="20"/>
              </w:rPr>
              <w:t>39 (34</w:t>
            </w:r>
            <w:r>
              <w:rPr>
                <w:rFonts w:ascii="Arial Narrow" w:hAnsi="Arial Narrow"/>
                <w:sz w:val="20"/>
              </w:rPr>
              <w:t>.0,</w:t>
            </w:r>
            <w:r w:rsidRPr="007B7287">
              <w:rPr>
                <w:rFonts w:ascii="Arial Narrow" w:hAnsi="Arial Narrow"/>
                <w:sz w:val="20"/>
              </w:rPr>
              <w:t xml:space="preserve"> 45</w:t>
            </w:r>
            <w:r>
              <w:rPr>
                <w:rFonts w:ascii="Arial Narrow" w:hAnsi="Arial Narrow"/>
                <w:sz w:val="20"/>
              </w:rPr>
              <w:t>.0</w:t>
            </w:r>
            <w:r w:rsidRPr="007B7287">
              <w:rPr>
                <w:rFonts w:ascii="Arial Narrow" w:hAnsi="Arial Narrow"/>
                <w:sz w:val="20"/>
              </w:rPr>
              <w:t>)</w:t>
            </w:r>
          </w:p>
        </w:tc>
        <w:tc>
          <w:tcPr>
            <w:tcW w:w="792" w:type="pct"/>
            <w:tcBorders>
              <w:left w:val="single" w:sz="4" w:space="0" w:color="auto"/>
              <w:right w:val="single" w:sz="4" w:space="0" w:color="auto"/>
            </w:tcBorders>
            <w:shd w:val="clear" w:color="auto" w:fill="auto"/>
            <w:vAlign w:val="center"/>
          </w:tcPr>
          <w:p w:rsidR="00144D06" w:rsidRPr="007B7287" w:rsidRDefault="00144D06" w:rsidP="00144D06">
            <w:pPr>
              <w:jc w:val="center"/>
              <w:rPr>
                <w:rFonts w:ascii="Arial Narrow" w:hAnsi="Arial Narrow"/>
                <w:sz w:val="20"/>
              </w:rPr>
            </w:pPr>
            <w:r w:rsidRPr="007B7287">
              <w:rPr>
                <w:rFonts w:ascii="Arial Narrow" w:hAnsi="Arial Narrow"/>
                <w:sz w:val="20"/>
              </w:rPr>
              <w:t>23 (19</w:t>
            </w:r>
            <w:r>
              <w:rPr>
                <w:rFonts w:ascii="Arial Narrow" w:hAnsi="Arial Narrow"/>
                <w:sz w:val="20"/>
              </w:rPr>
              <w:t>.0,</w:t>
            </w:r>
            <w:r w:rsidRPr="007B7287">
              <w:rPr>
                <w:rFonts w:ascii="Arial Narrow" w:hAnsi="Arial Narrow"/>
                <w:sz w:val="20"/>
              </w:rPr>
              <w:t xml:space="preserve"> 28</w:t>
            </w:r>
            <w:r>
              <w:rPr>
                <w:rFonts w:ascii="Arial Narrow" w:hAnsi="Arial Narrow"/>
                <w:sz w:val="20"/>
              </w:rPr>
              <w:t>.0</w:t>
            </w:r>
            <w:r w:rsidRPr="007B7287">
              <w:rPr>
                <w:rFonts w:ascii="Arial Narrow" w:hAnsi="Arial Narrow"/>
                <w:sz w:val="20"/>
              </w:rPr>
              <w:t>)</w:t>
            </w:r>
          </w:p>
        </w:tc>
      </w:tr>
      <w:tr w:rsidR="00144D06" w:rsidRPr="007B7287" w:rsidTr="00241233">
        <w:trPr>
          <w:trHeight w:val="274"/>
        </w:trPr>
        <w:tc>
          <w:tcPr>
            <w:tcW w:w="1598" w:type="pct"/>
            <w:tcBorders>
              <w:right w:val="single" w:sz="4" w:space="0" w:color="auto"/>
            </w:tcBorders>
            <w:vAlign w:val="center"/>
          </w:tcPr>
          <w:p w:rsidR="00144D06" w:rsidRPr="007B7287" w:rsidRDefault="00144D06" w:rsidP="00144D06">
            <w:pPr>
              <w:jc w:val="left"/>
              <w:rPr>
                <w:rFonts w:ascii="Arial Narrow" w:hAnsi="Arial Narrow"/>
                <w:sz w:val="20"/>
              </w:rPr>
            </w:pPr>
            <w:r w:rsidRPr="007B7287">
              <w:rPr>
                <w:rFonts w:ascii="Arial Narrow" w:hAnsi="Arial Narrow"/>
                <w:b/>
                <w:sz w:val="20"/>
              </w:rPr>
              <w:t>Nivolumab versus docetaxel</w:t>
            </w:r>
          </w:p>
          <w:p w:rsidR="008E69D4" w:rsidRDefault="00144D06" w:rsidP="00144D06">
            <w:pPr>
              <w:jc w:val="left"/>
              <w:rPr>
                <w:rFonts w:ascii="Arial Narrow" w:hAnsi="Arial Narrow"/>
                <w:sz w:val="20"/>
              </w:rPr>
            </w:pPr>
            <w:r w:rsidRPr="007B7287">
              <w:rPr>
                <w:rFonts w:ascii="Arial Narrow" w:hAnsi="Arial Narrow"/>
                <w:sz w:val="20"/>
              </w:rPr>
              <w:t>Stra</w:t>
            </w:r>
            <w:r>
              <w:rPr>
                <w:rFonts w:ascii="Arial Narrow" w:hAnsi="Arial Narrow"/>
                <w:sz w:val="20"/>
              </w:rPr>
              <w:t>tified HR;</w:t>
            </w:r>
          </w:p>
          <w:p w:rsidR="00144D06" w:rsidRPr="007B7287" w:rsidRDefault="00144D06" w:rsidP="00144D06">
            <w:pPr>
              <w:jc w:val="left"/>
              <w:rPr>
                <w:rFonts w:ascii="Arial Narrow" w:hAnsi="Arial Narrow"/>
                <w:sz w:val="20"/>
              </w:rPr>
            </w:pPr>
            <w:r>
              <w:rPr>
                <w:rFonts w:ascii="Arial Narrow" w:hAnsi="Arial Narrow"/>
                <w:sz w:val="20"/>
              </w:rPr>
              <w:t>stratified log-rank</w:t>
            </w:r>
            <w:r w:rsidRPr="00A869EA">
              <w:rPr>
                <w:rFonts w:ascii="Arial Narrow" w:hAnsi="Arial Narrow"/>
                <w:sz w:val="20"/>
              </w:rPr>
              <w:t>: p-value</w:t>
            </w:r>
            <w:r w:rsidRPr="007B7287">
              <w:rPr>
                <w:rFonts w:ascii="Arial Narrow" w:hAnsi="Arial Narrow"/>
                <w:sz w:val="20"/>
              </w:rPr>
              <w:t xml:space="preserve"> </w:t>
            </w:r>
          </w:p>
        </w:tc>
        <w:tc>
          <w:tcPr>
            <w:tcW w:w="1767" w:type="pct"/>
            <w:gridSpan w:val="2"/>
            <w:tcBorders>
              <w:left w:val="single" w:sz="4" w:space="0" w:color="auto"/>
              <w:right w:val="single" w:sz="4" w:space="0" w:color="auto"/>
            </w:tcBorders>
            <w:vAlign w:val="center"/>
          </w:tcPr>
          <w:p w:rsidR="00241233" w:rsidRDefault="00241233" w:rsidP="00144D06">
            <w:pPr>
              <w:jc w:val="center"/>
              <w:rPr>
                <w:rFonts w:ascii="Arial Narrow" w:hAnsi="Arial Narrow"/>
                <w:sz w:val="20"/>
              </w:rPr>
            </w:pPr>
          </w:p>
          <w:p w:rsidR="00144D06" w:rsidRPr="007B7287" w:rsidRDefault="00144D06" w:rsidP="00144D06">
            <w:pPr>
              <w:jc w:val="center"/>
              <w:rPr>
                <w:rFonts w:ascii="Arial Narrow" w:hAnsi="Arial Narrow"/>
                <w:sz w:val="20"/>
              </w:rPr>
            </w:pPr>
            <w:r w:rsidRPr="007B7287">
              <w:rPr>
                <w:rFonts w:ascii="Arial Narrow" w:hAnsi="Arial Narrow"/>
                <w:sz w:val="20"/>
              </w:rPr>
              <w:t>0.73</w:t>
            </w:r>
            <w:r>
              <w:rPr>
                <w:rFonts w:ascii="Arial Narrow" w:hAnsi="Arial Narrow"/>
                <w:sz w:val="20"/>
              </w:rPr>
              <w:t xml:space="preserve"> </w:t>
            </w:r>
            <w:r w:rsidRPr="007B7287">
              <w:rPr>
                <w:rFonts w:ascii="Arial Narrow" w:hAnsi="Arial Narrow"/>
                <w:sz w:val="20"/>
              </w:rPr>
              <w:t>(95.92%CI: 0.59, 0.89)</w:t>
            </w:r>
            <w:r w:rsidRPr="00A869EA">
              <w:rPr>
                <w:rFonts w:ascii="Arial Narrow" w:hAnsi="Arial Narrow"/>
                <w:sz w:val="20"/>
                <w:vertAlign w:val="superscript"/>
              </w:rPr>
              <w:t>b</w:t>
            </w:r>
            <w:r w:rsidRPr="007B7287">
              <w:rPr>
                <w:rFonts w:ascii="Arial Narrow" w:hAnsi="Arial Narrow"/>
                <w:sz w:val="20"/>
              </w:rPr>
              <w:t xml:space="preserve">; </w:t>
            </w:r>
          </w:p>
          <w:p w:rsidR="00144D06" w:rsidRPr="007B7287" w:rsidRDefault="00144D06" w:rsidP="00144D06">
            <w:pPr>
              <w:jc w:val="center"/>
              <w:rPr>
                <w:rFonts w:ascii="Arial Narrow" w:hAnsi="Arial Narrow"/>
                <w:sz w:val="20"/>
                <w:vertAlign w:val="superscript"/>
              </w:rPr>
            </w:pPr>
            <w:r w:rsidRPr="007B7287">
              <w:rPr>
                <w:rFonts w:ascii="Arial Narrow" w:hAnsi="Arial Narrow"/>
                <w:sz w:val="20"/>
              </w:rPr>
              <w:t>p=0.0015</w:t>
            </w:r>
          </w:p>
        </w:tc>
        <w:tc>
          <w:tcPr>
            <w:tcW w:w="1635" w:type="pct"/>
            <w:gridSpan w:val="2"/>
            <w:tcBorders>
              <w:left w:val="single" w:sz="4" w:space="0" w:color="auto"/>
              <w:right w:val="single" w:sz="4" w:space="0" w:color="auto"/>
            </w:tcBorders>
            <w:vAlign w:val="center"/>
          </w:tcPr>
          <w:p w:rsidR="00241233" w:rsidRDefault="00241233" w:rsidP="00144D06">
            <w:pPr>
              <w:jc w:val="center"/>
              <w:rPr>
                <w:rFonts w:ascii="Arial Narrow" w:hAnsi="Arial Narrow"/>
                <w:sz w:val="20"/>
              </w:rPr>
            </w:pPr>
          </w:p>
          <w:p w:rsidR="00144D06" w:rsidRPr="007B7287" w:rsidRDefault="00144D06" w:rsidP="00144D06">
            <w:pPr>
              <w:jc w:val="center"/>
              <w:rPr>
                <w:rFonts w:ascii="Arial Narrow" w:hAnsi="Arial Narrow"/>
                <w:sz w:val="20"/>
              </w:rPr>
            </w:pPr>
            <w:r w:rsidRPr="007B7287">
              <w:rPr>
                <w:rFonts w:ascii="Arial Narrow" w:hAnsi="Arial Narrow"/>
                <w:sz w:val="20"/>
              </w:rPr>
              <w:t>0.72 (95%CI:</w:t>
            </w:r>
            <w:r w:rsidR="008E69D4">
              <w:rPr>
                <w:rFonts w:ascii="Arial Narrow" w:hAnsi="Arial Narrow"/>
                <w:sz w:val="20"/>
              </w:rPr>
              <w:t xml:space="preserve"> </w:t>
            </w:r>
            <w:r w:rsidRPr="007B7287">
              <w:rPr>
                <w:rFonts w:ascii="Arial Narrow" w:hAnsi="Arial Narrow"/>
                <w:sz w:val="20"/>
              </w:rPr>
              <w:t>0.60, 0.88)</w:t>
            </w:r>
            <w:r>
              <w:rPr>
                <w:rFonts w:ascii="Arial Narrow" w:hAnsi="Arial Narrow"/>
                <w:sz w:val="20"/>
                <w:vertAlign w:val="superscript"/>
              </w:rPr>
              <w:t>b</w:t>
            </w:r>
            <w:r w:rsidRPr="007B7287">
              <w:rPr>
                <w:rFonts w:ascii="Arial Narrow" w:hAnsi="Arial Narrow"/>
                <w:sz w:val="20"/>
              </w:rPr>
              <w:t xml:space="preserve">; </w:t>
            </w:r>
          </w:p>
          <w:p w:rsidR="00144D06" w:rsidRPr="007B7287" w:rsidRDefault="00144D06" w:rsidP="00144D06">
            <w:pPr>
              <w:jc w:val="center"/>
              <w:rPr>
                <w:rFonts w:ascii="Arial Narrow" w:hAnsi="Arial Narrow"/>
                <w:sz w:val="20"/>
                <w:vertAlign w:val="superscript"/>
              </w:rPr>
            </w:pPr>
            <w:r w:rsidRPr="007B7287">
              <w:rPr>
                <w:rFonts w:ascii="Arial Narrow" w:hAnsi="Arial Narrow"/>
                <w:sz w:val="20"/>
              </w:rPr>
              <w:t>p = 0.0009</w:t>
            </w:r>
          </w:p>
        </w:tc>
      </w:tr>
    </w:tbl>
    <w:p w:rsidR="00144D06" w:rsidRPr="00A869EA" w:rsidRDefault="00241233" w:rsidP="00241233">
      <w:pPr>
        <w:keepLines/>
        <w:ind w:left="709"/>
        <w:contextualSpacing/>
        <w:rPr>
          <w:rFonts w:ascii="Arial Narrow" w:hAnsi="Arial Narrow"/>
          <w:sz w:val="18"/>
          <w:szCs w:val="18"/>
          <w:lang w:eastAsia="en-AU"/>
        </w:rPr>
      </w:pPr>
      <w:r>
        <w:rPr>
          <w:rFonts w:ascii="Arial Narrow" w:hAnsi="Arial Narrow"/>
          <w:sz w:val="18"/>
          <w:szCs w:val="18"/>
          <w:lang w:eastAsia="en-AU"/>
        </w:rPr>
        <w:t>CI=confidence interval; HR=hazard ratio; CSR=clinical study report; NR</w:t>
      </w:r>
      <w:r w:rsidR="005905AB">
        <w:rPr>
          <w:rFonts w:ascii="Arial Narrow" w:hAnsi="Arial Narrow"/>
          <w:sz w:val="18"/>
          <w:szCs w:val="18"/>
          <w:lang w:eastAsia="en-AU"/>
        </w:rPr>
        <w:t>=</w:t>
      </w:r>
      <w:r>
        <w:rPr>
          <w:rFonts w:ascii="Arial Narrow" w:hAnsi="Arial Narrow"/>
          <w:sz w:val="18"/>
          <w:szCs w:val="18"/>
          <w:lang w:eastAsia="en-AU"/>
        </w:rPr>
        <w:t>not reported</w:t>
      </w:r>
    </w:p>
    <w:p w:rsidR="00144D06" w:rsidRPr="00A869EA" w:rsidRDefault="00144D06" w:rsidP="00241233">
      <w:pPr>
        <w:widowControl/>
        <w:ind w:left="709"/>
        <w:jc w:val="left"/>
        <w:rPr>
          <w:rFonts w:ascii="Arial Narrow" w:hAnsi="Arial Narrow"/>
          <w:sz w:val="18"/>
          <w:szCs w:val="18"/>
          <w:lang w:eastAsia="en-AU"/>
        </w:rPr>
      </w:pPr>
      <w:r w:rsidRPr="00A869EA">
        <w:rPr>
          <w:rFonts w:ascii="Arial Narrow" w:hAnsi="Arial Narrow"/>
          <w:sz w:val="18"/>
          <w:szCs w:val="18"/>
          <w:vertAlign w:val="superscript"/>
          <w:lang w:eastAsia="en-AU"/>
        </w:rPr>
        <w:t>a</w:t>
      </w:r>
      <w:r w:rsidR="00241233">
        <w:rPr>
          <w:rFonts w:ascii="Arial Narrow" w:hAnsi="Arial Narrow"/>
          <w:sz w:val="18"/>
          <w:szCs w:val="18"/>
          <w:vertAlign w:val="superscript"/>
          <w:lang w:eastAsia="en-AU"/>
        </w:rPr>
        <w:t xml:space="preserve"> </w:t>
      </w:r>
      <w:r w:rsidRPr="00A869EA">
        <w:rPr>
          <w:rFonts w:ascii="Arial Narrow" w:hAnsi="Arial Narrow"/>
          <w:sz w:val="18"/>
          <w:szCs w:val="18"/>
          <w:lang w:eastAsia="en-AU"/>
        </w:rPr>
        <w:t>Publication by Borghaei et al</w:t>
      </w:r>
      <w:r w:rsidR="00F07323" w:rsidRPr="00F07323">
        <w:rPr>
          <w:rFonts w:ascii="Arial Narrow" w:hAnsi="Arial Narrow"/>
          <w:sz w:val="18"/>
          <w:szCs w:val="18"/>
          <w:lang w:eastAsia="en-AU"/>
        </w:rPr>
        <w:t>. Nivolumab versus Docetaxel in Advanced Nonsquamous Non–Small-Cell Lung Cancer</w:t>
      </w:r>
      <w:r w:rsidR="00F07323">
        <w:rPr>
          <w:rFonts w:ascii="Arial Narrow" w:hAnsi="Arial Narrow"/>
          <w:sz w:val="18"/>
          <w:szCs w:val="18"/>
          <w:lang w:eastAsia="en-AU"/>
        </w:rPr>
        <w:t xml:space="preserve">. </w:t>
      </w:r>
      <w:r w:rsidR="00F07323" w:rsidRPr="00F07323">
        <w:rPr>
          <w:rFonts w:ascii="Arial Narrow" w:hAnsi="Arial Narrow"/>
          <w:sz w:val="18"/>
          <w:szCs w:val="18"/>
          <w:lang w:eastAsia="en-AU"/>
        </w:rPr>
        <w:t xml:space="preserve">New </w:t>
      </w:r>
      <w:r w:rsidR="00F07323" w:rsidRPr="00F07323">
        <w:rPr>
          <w:rFonts w:ascii="Arial Narrow" w:hAnsi="Arial Narrow"/>
          <w:i/>
          <w:sz w:val="18"/>
          <w:szCs w:val="18"/>
          <w:lang w:eastAsia="en-AU"/>
        </w:rPr>
        <w:t>England Journal of Medicine</w:t>
      </w:r>
      <w:r w:rsidR="00F07323" w:rsidRPr="00F07323">
        <w:rPr>
          <w:rFonts w:ascii="Arial Narrow" w:hAnsi="Arial Narrow"/>
          <w:sz w:val="18"/>
          <w:szCs w:val="18"/>
          <w:lang w:eastAsia="en-AU"/>
        </w:rPr>
        <w:t xml:space="preserve"> 2015; 373:1627-39</w:t>
      </w:r>
      <w:r w:rsidR="00F07323">
        <w:rPr>
          <w:rFonts w:ascii="Arial Narrow" w:hAnsi="Arial Narrow"/>
          <w:sz w:val="18"/>
          <w:szCs w:val="18"/>
          <w:lang w:eastAsia="en-AU"/>
        </w:rPr>
        <w:t>.</w:t>
      </w:r>
    </w:p>
    <w:p w:rsidR="00144D06" w:rsidRPr="00A869EA" w:rsidRDefault="00144D06" w:rsidP="00241233">
      <w:pPr>
        <w:widowControl/>
        <w:ind w:left="709"/>
        <w:jc w:val="left"/>
        <w:rPr>
          <w:rFonts w:ascii="Arial Narrow" w:hAnsi="Arial Narrow"/>
          <w:sz w:val="18"/>
          <w:szCs w:val="18"/>
          <w:lang w:eastAsia="en-AU"/>
        </w:rPr>
      </w:pPr>
      <w:r w:rsidRPr="00A869EA">
        <w:rPr>
          <w:rFonts w:ascii="Arial Narrow" w:hAnsi="Arial Narrow"/>
          <w:sz w:val="18"/>
          <w:szCs w:val="18"/>
          <w:vertAlign w:val="superscript"/>
          <w:lang w:eastAsia="en-AU"/>
        </w:rPr>
        <w:t>b</w:t>
      </w:r>
      <w:r w:rsidRPr="00A869EA">
        <w:rPr>
          <w:rFonts w:ascii="Arial Narrow" w:hAnsi="Arial Narrow"/>
          <w:sz w:val="18"/>
          <w:szCs w:val="18"/>
          <w:lang w:eastAsia="en-AU"/>
        </w:rPr>
        <w:t xml:space="preserve"> Proportional hazards assumption </w:t>
      </w:r>
      <w:r>
        <w:rPr>
          <w:rFonts w:ascii="Arial Narrow" w:hAnsi="Arial Narrow"/>
          <w:sz w:val="18"/>
          <w:szCs w:val="18"/>
          <w:lang w:eastAsia="en-AU"/>
        </w:rPr>
        <w:t xml:space="preserve">was </w:t>
      </w:r>
      <w:r w:rsidRPr="00A869EA">
        <w:rPr>
          <w:rFonts w:ascii="Arial Narrow" w:hAnsi="Arial Narrow"/>
          <w:sz w:val="18"/>
          <w:szCs w:val="18"/>
          <w:lang w:eastAsia="en-AU"/>
        </w:rPr>
        <w:t>not met</w:t>
      </w:r>
      <w:r>
        <w:rPr>
          <w:rFonts w:ascii="Arial Narrow" w:hAnsi="Arial Narrow"/>
          <w:sz w:val="18"/>
          <w:szCs w:val="18"/>
          <w:lang w:eastAsia="en-AU"/>
        </w:rPr>
        <w:t xml:space="preserve">. </w:t>
      </w:r>
      <w:r w:rsidRPr="00F208F6">
        <w:rPr>
          <w:rFonts w:ascii="Arial Narrow" w:hAnsi="Arial Narrow"/>
          <w:sz w:val="18"/>
          <w:szCs w:val="18"/>
          <w:lang w:eastAsia="en-AU"/>
        </w:rPr>
        <w:t>95.92% confidence intervals are reflective of the adjustment for interim analysis</w:t>
      </w:r>
      <w:r>
        <w:rPr>
          <w:rFonts w:ascii="Arial Narrow" w:hAnsi="Arial Narrow"/>
          <w:sz w:val="18"/>
          <w:szCs w:val="18"/>
          <w:lang w:eastAsia="en-AU"/>
        </w:rPr>
        <w:t>.</w:t>
      </w:r>
    </w:p>
    <w:p w:rsidR="00144D06" w:rsidRPr="00A869EA" w:rsidRDefault="00144D06" w:rsidP="00241233">
      <w:pPr>
        <w:ind w:left="709"/>
        <w:rPr>
          <w:rFonts w:ascii="Arial Narrow" w:hAnsi="Arial Narrow"/>
          <w:sz w:val="18"/>
          <w:szCs w:val="18"/>
          <w:lang w:eastAsia="ja-JP"/>
        </w:rPr>
      </w:pPr>
      <w:r w:rsidRPr="00A869EA">
        <w:rPr>
          <w:rFonts w:ascii="Arial Narrow" w:hAnsi="Arial Narrow"/>
          <w:sz w:val="18"/>
          <w:szCs w:val="18"/>
          <w:lang w:eastAsia="en-AU"/>
        </w:rPr>
        <w:t xml:space="preserve">Source: </w:t>
      </w:r>
      <w:r w:rsidRPr="00A869EA">
        <w:rPr>
          <w:rFonts w:ascii="Arial Narrow" w:hAnsi="Arial Narrow"/>
          <w:sz w:val="18"/>
          <w:szCs w:val="18"/>
          <w:lang w:eastAsia="ja-JP"/>
        </w:rPr>
        <w:t>Table 25, Section B.6.1 of the submission.</w:t>
      </w:r>
    </w:p>
    <w:p w:rsidR="00144D06" w:rsidRPr="003A4386" w:rsidRDefault="00144D06" w:rsidP="00144D06"/>
    <w:p w:rsidR="00144D06" w:rsidRPr="0055364D" w:rsidRDefault="00144D06" w:rsidP="00A33F64">
      <w:pPr>
        <w:pStyle w:val="Caption"/>
        <w:keepNext/>
        <w:ind w:left="709"/>
        <w:jc w:val="left"/>
      </w:pPr>
      <w:r>
        <w:t xml:space="preserve">Figure </w:t>
      </w:r>
      <w:r>
        <w:rPr>
          <w:noProof/>
        </w:rPr>
        <w:t>1</w:t>
      </w:r>
      <w:r>
        <w:t xml:space="preserve">: </w:t>
      </w:r>
      <w:r w:rsidRPr="0055364D">
        <w:t>CA209-057 - Kaplan-Meier Overall Survival (Database Lock Mar</w:t>
      </w:r>
      <w:r w:rsidR="008E69D4">
        <w:t>ch 2015: 13.2 months follow-up)</w:t>
      </w:r>
    </w:p>
    <w:p w:rsidR="00144D06" w:rsidRPr="003A4386" w:rsidRDefault="00144D06" w:rsidP="00144D06">
      <w:pPr>
        <w:rPr>
          <w:rFonts w:ascii="Arial Narrow" w:hAnsi="Arial Narrow"/>
          <w:sz w:val="20"/>
          <w:lang w:eastAsia="ja-JP"/>
        </w:rPr>
      </w:pPr>
      <w:r w:rsidRPr="003A4386">
        <w:rPr>
          <w:rFonts w:ascii="Arial Narrow" w:hAnsi="Arial Narrow"/>
          <w:noProof/>
          <w:sz w:val="20"/>
          <w:lang w:eastAsia="en-AU"/>
        </w:rPr>
        <w:drawing>
          <wp:inline distT="0" distB="0" distL="0" distR="0" wp14:anchorId="696FA0DC" wp14:editId="7A7B1726">
            <wp:extent cx="5844757" cy="3807229"/>
            <wp:effectExtent l="0" t="0" r="3810" b="3175"/>
            <wp:docPr id="11" name="Picture 1" title="Figure 1: CA209-057 - Kaplan-Meier Overall Survival (Database Lock March 2015: 13.2 months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20000" contrast="40000"/>
                    </a:blip>
                    <a:srcRect/>
                    <a:stretch>
                      <a:fillRect/>
                    </a:stretch>
                  </pic:blipFill>
                  <pic:spPr bwMode="auto">
                    <a:xfrm>
                      <a:off x="0" y="0"/>
                      <a:ext cx="5858593" cy="3816241"/>
                    </a:xfrm>
                    <a:prstGeom prst="rect">
                      <a:avLst/>
                    </a:prstGeom>
                    <a:noFill/>
                    <a:ln w="9525">
                      <a:noFill/>
                      <a:miter lim="800000"/>
                      <a:headEnd/>
                      <a:tailEnd/>
                    </a:ln>
                  </pic:spPr>
                </pic:pic>
              </a:graphicData>
            </a:graphic>
          </wp:inline>
        </w:drawing>
      </w:r>
    </w:p>
    <w:p w:rsidR="00144D06" w:rsidRPr="003A4386" w:rsidRDefault="00144D06" w:rsidP="008E69D4">
      <w:pPr>
        <w:ind w:left="709"/>
        <w:rPr>
          <w:rFonts w:ascii="Arial Narrow" w:hAnsi="Arial Narrow"/>
          <w:sz w:val="18"/>
          <w:szCs w:val="18"/>
          <w:lang w:eastAsia="ja-JP"/>
        </w:rPr>
      </w:pPr>
      <w:r>
        <w:rPr>
          <w:rFonts w:ascii="Arial Narrow" w:hAnsi="Arial Narrow"/>
          <w:sz w:val="18"/>
          <w:szCs w:val="18"/>
          <w:lang w:eastAsia="ja-JP"/>
        </w:rPr>
        <w:t>Source: Figure 9, Section B.6.1 of the submission.</w:t>
      </w:r>
    </w:p>
    <w:p w:rsidR="00144D06" w:rsidRPr="003A4386" w:rsidRDefault="00144D06" w:rsidP="00144D06"/>
    <w:p w:rsidR="00144D06" w:rsidRDefault="00144D06" w:rsidP="00A33F64">
      <w:pPr>
        <w:pStyle w:val="Caption"/>
        <w:keepNext/>
        <w:ind w:left="709"/>
        <w:jc w:val="left"/>
      </w:pPr>
      <w:r>
        <w:lastRenderedPageBreak/>
        <w:t xml:space="preserve">Figure </w:t>
      </w:r>
      <w:r>
        <w:rPr>
          <w:noProof/>
        </w:rPr>
        <w:t>2</w:t>
      </w:r>
      <w:r>
        <w:t xml:space="preserve">: </w:t>
      </w:r>
      <w:r w:rsidRPr="00017A54">
        <w:t>CA209-057</w:t>
      </w:r>
      <w:r>
        <w:t xml:space="preserve"> -</w:t>
      </w:r>
      <w:r w:rsidRPr="00017A54">
        <w:t xml:space="preserve"> Kaplan-Meier Overall Survival </w:t>
      </w:r>
      <w:r w:rsidR="008E69D4">
        <w:t>(</w:t>
      </w:r>
      <w:r w:rsidRPr="004C2347">
        <w:t xml:space="preserve">Database Lock </w:t>
      </w:r>
      <w:r>
        <w:t>July</w:t>
      </w:r>
      <w:r w:rsidRPr="004C2347">
        <w:t xml:space="preserve"> 2015: </w:t>
      </w:r>
      <w:r w:rsidRPr="00017A54">
        <w:t>17.1 months follow-up</w:t>
      </w:r>
      <w:r w:rsidR="008E69D4">
        <w:t>)</w:t>
      </w:r>
    </w:p>
    <w:p w:rsidR="00144D06" w:rsidRPr="003A4386" w:rsidRDefault="00144D06" w:rsidP="00144D06">
      <w:pPr>
        <w:keepLines/>
        <w:spacing w:after="360"/>
        <w:contextualSpacing/>
        <w:rPr>
          <w:rFonts w:ascii="Arial Narrow" w:hAnsi="Arial Narrow"/>
          <w:sz w:val="20"/>
          <w:lang w:eastAsia="en-AU"/>
        </w:rPr>
      </w:pPr>
      <w:r w:rsidRPr="003A4386">
        <w:rPr>
          <w:rFonts w:ascii="Arial Narrow" w:hAnsi="Arial Narrow"/>
          <w:noProof/>
          <w:sz w:val="20"/>
          <w:lang w:eastAsia="en-AU"/>
        </w:rPr>
        <w:drawing>
          <wp:inline distT="0" distB="0" distL="0" distR="0" wp14:anchorId="5F33F6FA" wp14:editId="6796BD7E">
            <wp:extent cx="5728568" cy="3291840"/>
            <wp:effectExtent l="0" t="0" r="5715" b="3810"/>
            <wp:docPr id="13" name="Picture 1" descr="cid:image003.png@01D110CD.49A9A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10CD.49A9A610"/>
                    <pic:cNvPicPr>
                      <a:picLocks noChangeAspect="1" noChangeArrowheads="1"/>
                    </pic:cNvPicPr>
                  </pic:nvPicPr>
                  <pic:blipFill>
                    <a:blip r:link="rId10" cstate="print">
                      <a:extLst>
                        <a:ext uri="{BEBA8EAE-BF5A-486C-A8C5-ECC9F3942E4B}">
                          <a14:imgProps xmlns:a14="http://schemas.microsoft.com/office/drawing/2010/main">
                            <a14:imgLayer r:embed="rId11">
                              <a14:imgEffect>
                                <a14:brightnessContrast bright="-20000" contrast="40000"/>
                              </a14:imgEffect>
                            </a14:imgLayer>
                          </a14:imgProps>
                        </a:ext>
                      </a:extLst>
                    </a:blip>
                    <a:srcRect/>
                    <a:stretch>
                      <a:fillRect/>
                    </a:stretch>
                  </pic:blipFill>
                  <pic:spPr bwMode="auto">
                    <a:xfrm>
                      <a:off x="0" y="0"/>
                      <a:ext cx="5728568" cy="3291840"/>
                    </a:xfrm>
                    <a:prstGeom prst="rect">
                      <a:avLst/>
                    </a:prstGeom>
                    <a:noFill/>
                    <a:ln w="9525">
                      <a:noFill/>
                      <a:miter lim="800000"/>
                      <a:headEnd/>
                      <a:tailEnd/>
                    </a:ln>
                  </pic:spPr>
                </pic:pic>
              </a:graphicData>
            </a:graphic>
          </wp:inline>
        </w:drawing>
      </w:r>
    </w:p>
    <w:p w:rsidR="00144D06" w:rsidRPr="003A4386" w:rsidRDefault="00144D06" w:rsidP="00062870">
      <w:pPr>
        <w:ind w:left="709"/>
        <w:rPr>
          <w:rFonts w:ascii="Arial Narrow" w:hAnsi="Arial Narrow"/>
          <w:sz w:val="18"/>
          <w:szCs w:val="18"/>
          <w:lang w:eastAsia="ja-JP"/>
        </w:rPr>
      </w:pPr>
      <w:r w:rsidRPr="003A4386">
        <w:rPr>
          <w:rFonts w:ascii="Arial Narrow" w:hAnsi="Arial Narrow"/>
          <w:sz w:val="18"/>
          <w:szCs w:val="18"/>
          <w:lang w:eastAsia="en-AU"/>
        </w:rPr>
        <w:t xml:space="preserve">Source: </w:t>
      </w:r>
      <w:r>
        <w:rPr>
          <w:rFonts w:ascii="Arial Narrow" w:hAnsi="Arial Narrow"/>
          <w:sz w:val="18"/>
          <w:szCs w:val="18"/>
          <w:lang w:eastAsia="ja-JP"/>
        </w:rPr>
        <w:t>Source: Figure 10, Section B.6.1 of the submission.</w:t>
      </w:r>
    </w:p>
    <w:p w:rsidR="00144D06" w:rsidRDefault="00144D06" w:rsidP="00144D06">
      <w:pPr>
        <w:rPr>
          <w:szCs w:val="22"/>
        </w:rPr>
      </w:pPr>
    </w:p>
    <w:p w:rsidR="00144D06" w:rsidRPr="00AE71BA" w:rsidRDefault="00144D06" w:rsidP="00C61ED5">
      <w:pPr>
        <w:pStyle w:val="ListParagraph"/>
        <w:numPr>
          <w:ilvl w:val="1"/>
          <w:numId w:val="2"/>
        </w:numPr>
      </w:pPr>
      <w:r w:rsidRPr="00AE71BA">
        <w:rPr>
          <w:szCs w:val="22"/>
        </w:rPr>
        <w:t xml:space="preserve">Intention-to-treat analysis: The results were similar for both follow-up periods and indicated a difference of approximately 3 months in median OS and a statistically significant 28% reduction in risk of death favouring nivolumab over docetaxel. From the updated </w:t>
      </w:r>
      <w:r w:rsidR="004E6452" w:rsidRPr="00F60C4D">
        <w:t xml:space="preserve">database lock July 2015 </w:t>
      </w:r>
      <w:r w:rsidR="004E6452">
        <w:t xml:space="preserve">with </w:t>
      </w:r>
      <w:r w:rsidRPr="00AE71BA">
        <w:rPr>
          <w:szCs w:val="22"/>
        </w:rPr>
        <w:t xml:space="preserve">17.1 month minimum follow-up analysis, the OS rate at 18 months was 39% (95%CI, 34%, 45%) in the nivolumab treatment arm compared with 23% (95%CI 19%, 28%) in the docetaxel treatment arm. </w:t>
      </w:r>
      <w:r w:rsidR="00F07323" w:rsidRPr="00AE71BA">
        <w:rPr>
          <w:szCs w:val="22"/>
        </w:rPr>
        <w:t>Interpretation of these results was hindered by the apparent non-constant relative hazard over time. Statistical tests demonstrated that the proportional hazards assumption was not met and this is consistent with the visual observation of the Kaplan-Meier curves. The survival curves crossed with an initial increase and a subsequent decrease in hazard of death associated with nivolumab compared with docetaxel. The observed change in relative hazards over time might have been due to the biological action of the drug or also possibly to differentially responsive sub-populations. Thus the estimated HR, as a measure of the relative treatment effect or reduction in risk, was misleading given the measure’s dependency on follow-up time. Alternatively, one could rely on the log rank test and restricted mean survival times (Royston (2013))</w:t>
      </w:r>
      <w:r w:rsidR="00F07323" w:rsidRPr="00AE71BA">
        <w:rPr>
          <w:rStyle w:val="FootnoteReference"/>
          <w:szCs w:val="22"/>
        </w:rPr>
        <w:footnoteReference w:id="2"/>
      </w:r>
      <w:r w:rsidR="00F07323" w:rsidRPr="00AE71BA">
        <w:rPr>
          <w:szCs w:val="22"/>
        </w:rPr>
        <w:t>. Restricted means were not provided in the submission. The log-rank p-values were statistically significant favouring nivolumab in both the original and updated analyses</w:t>
      </w:r>
      <w:r w:rsidRPr="00AE71BA">
        <w:t>.</w:t>
      </w:r>
      <w:r w:rsidR="00A632C6" w:rsidRPr="00AE71BA">
        <w:t xml:space="preserve"> The </w:t>
      </w:r>
      <w:r w:rsidR="000F708B">
        <w:t>PSCR</w:t>
      </w:r>
      <w:r w:rsidR="00A632C6" w:rsidRPr="00AE71BA">
        <w:t xml:space="preserve"> </w:t>
      </w:r>
      <w:r w:rsidR="000F708B">
        <w:t>(</w:t>
      </w:r>
      <w:r w:rsidR="00A632C6" w:rsidRPr="00AE71BA">
        <w:t>p.6) provided Kaplan-Meier OS curves from a sensitivity analysis of all randomised subjects alive at month 3, showing separation of curves, improved hazard ratios, and larger median OS differences favouring nivolumab.</w:t>
      </w:r>
    </w:p>
    <w:p w:rsidR="00144D06" w:rsidRPr="0020538D" w:rsidRDefault="00144D06" w:rsidP="00144D06"/>
    <w:p w:rsidR="008B0035" w:rsidRDefault="00144D06" w:rsidP="00062870">
      <w:r w:rsidRPr="00062870">
        <w:rPr>
          <w:u w:val="single"/>
        </w:rPr>
        <w:t>Treatment effect variation of nivolumab by PD-L1 status</w:t>
      </w:r>
    </w:p>
    <w:p w:rsidR="008B0035" w:rsidRDefault="008B0035" w:rsidP="008B0035"/>
    <w:p w:rsidR="008B0035" w:rsidRPr="00AE71BA" w:rsidRDefault="008B0035" w:rsidP="00C61ED5">
      <w:pPr>
        <w:pStyle w:val="ListParagraph"/>
        <w:numPr>
          <w:ilvl w:val="1"/>
          <w:numId w:val="2"/>
        </w:numPr>
      </w:pPr>
      <w:r w:rsidRPr="00AE71BA">
        <w:t>Analyses of treatment effect variation were conducted on the following PD-L1 expression subsets:</w:t>
      </w:r>
      <w:r w:rsidR="0036264C" w:rsidRPr="00AE71BA">
        <w:t xml:space="preserve"> &lt;1% vs. ≥1%, &lt;5% vs. ≥5%, and &lt;</w:t>
      </w:r>
      <w:r w:rsidRPr="00AE71BA">
        <w:t>10% vs. ≥10%. Analyses based on mutually exclusive expression subsets, such as &lt;1% vs. ≥1% to &lt;5% vs. ≥5% to &lt;10% vs. ≥10%, would have been more informative.</w:t>
      </w:r>
    </w:p>
    <w:p w:rsidR="008B0035" w:rsidRPr="00AE71BA" w:rsidRDefault="008B0035" w:rsidP="00062870"/>
    <w:p w:rsidR="00144D06" w:rsidRPr="00AE71BA" w:rsidRDefault="00144D06" w:rsidP="00C61ED5">
      <w:pPr>
        <w:pStyle w:val="ListParagraph"/>
        <w:numPr>
          <w:ilvl w:val="1"/>
          <w:numId w:val="2"/>
        </w:numPr>
      </w:pPr>
      <w:r w:rsidRPr="00AE71BA">
        <w:t xml:space="preserve">The submission did not request testing for PD-L1 positivity as an eligibility criterion for nivolumab. The argument presented in the submission was that all patients benefited from nivolumab treatment over docetaxel regardless of PD-L1 status with at least a superior safety profile. </w:t>
      </w:r>
      <w:r w:rsidR="008B0035" w:rsidRPr="00AE71BA">
        <w:t xml:space="preserve">The </w:t>
      </w:r>
      <w:r w:rsidR="0036264C" w:rsidRPr="00AE71BA">
        <w:t xml:space="preserve">Protocol Advisory Sub-Committee of the </w:t>
      </w:r>
      <w:r w:rsidR="008B0035" w:rsidRPr="00AE71BA">
        <w:t xml:space="preserve">Medical Services Advisory Committee (MSAC) </w:t>
      </w:r>
      <w:r w:rsidR="0036264C" w:rsidRPr="00AE71BA">
        <w:t xml:space="preserve">has recently </w:t>
      </w:r>
      <w:r w:rsidRPr="00AE71BA">
        <w:t>consider</w:t>
      </w:r>
      <w:r w:rsidR="0036264C" w:rsidRPr="00AE71BA">
        <w:t xml:space="preserve">ed </w:t>
      </w:r>
      <w:r w:rsidRPr="00AE71BA">
        <w:t>a</w:t>
      </w:r>
      <w:r w:rsidR="0036264C" w:rsidRPr="00AE71BA">
        <w:t xml:space="preserve"> Protocol </w:t>
      </w:r>
      <w:r w:rsidRPr="00AE71BA">
        <w:t>requesting a Medicare Benefits Schedule (MBS) listing for testing of PD-L1 expression in advanced NSCLC</w:t>
      </w:r>
      <w:r w:rsidR="0036264C" w:rsidRPr="00AE71BA">
        <w:t xml:space="preserve"> in the contex</w:t>
      </w:r>
      <w:r w:rsidR="006E3415">
        <w:t>t of pembrolizumab (another PD-</w:t>
      </w:r>
      <w:r w:rsidR="0036264C" w:rsidRPr="00AE71BA">
        <w:t>1 inhibitor)</w:t>
      </w:r>
      <w:r w:rsidRPr="00AE71BA">
        <w:rPr>
          <w:rStyle w:val="FootnoteReference"/>
        </w:rPr>
        <w:footnoteReference w:id="3"/>
      </w:r>
      <w:r w:rsidRPr="00AE71BA">
        <w:t>.</w:t>
      </w:r>
    </w:p>
    <w:p w:rsidR="00144D06" w:rsidRPr="00AE71BA" w:rsidRDefault="00144D06" w:rsidP="0036264C"/>
    <w:p w:rsidR="00144D06" w:rsidRPr="00AE71BA" w:rsidRDefault="00D0643E" w:rsidP="00C61ED5">
      <w:pPr>
        <w:pStyle w:val="ListParagraph"/>
        <w:numPr>
          <w:ilvl w:val="1"/>
          <w:numId w:val="2"/>
        </w:numPr>
      </w:pPr>
      <w:r w:rsidRPr="00AE71BA">
        <w:t xml:space="preserve">The OS HR from the CA209-057 ITT analysis (unselected for PD-L1 positivity) was difficult to interpret due to </w:t>
      </w:r>
      <w:r w:rsidR="0036264C" w:rsidRPr="00AE71BA">
        <w:t xml:space="preserve">a </w:t>
      </w:r>
      <w:r w:rsidRPr="00AE71BA">
        <w:t>breach of the proportional hazards assumption</w:t>
      </w:r>
      <w:r w:rsidR="008B0035" w:rsidRPr="00AE71BA">
        <w:t>.</w:t>
      </w:r>
    </w:p>
    <w:p w:rsidR="00144D06" w:rsidRPr="00AE71BA" w:rsidRDefault="00144D06" w:rsidP="0036264C"/>
    <w:p w:rsidR="00144D06" w:rsidRPr="00AE71BA" w:rsidRDefault="00144D06" w:rsidP="00C61ED5">
      <w:pPr>
        <w:pStyle w:val="ListParagraph"/>
        <w:numPr>
          <w:ilvl w:val="1"/>
          <w:numId w:val="2"/>
        </w:numPr>
      </w:pPr>
      <w:r w:rsidRPr="00AE71BA">
        <w:t>The Kaplan-Meier OS curves, by PD-L1 status, are presented in Figure 3</w:t>
      </w:r>
      <w:r w:rsidR="00D0643E" w:rsidRPr="00AE71BA">
        <w:t xml:space="preserve"> (updated July 2015 database lock)</w:t>
      </w:r>
      <w:r w:rsidRPr="00AE71BA">
        <w:t xml:space="preserve">. </w:t>
      </w:r>
      <w:r w:rsidR="00D0643E" w:rsidRPr="00AE71BA">
        <w:t xml:space="preserve">PD-L1 status was balanced across the nivolumab and docetaxel treatment arms. </w:t>
      </w:r>
      <w:r w:rsidRPr="00AE71BA">
        <w:t>Median OS times were similar between nivolumab and docetaxel (approximately 10 months) in patients with PD-L1 negative expression levels (&lt;1%, &lt;5% and &lt;10%). In contrast, in patien</w:t>
      </w:r>
      <w:r w:rsidR="0091567E" w:rsidRPr="00AE71BA">
        <w:t>t</w:t>
      </w:r>
      <w:r w:rsidRPr="00AE71BA">
        <w:t xml:space="preserve">s with PD-L1 positive expression levels patients (≥1%, ≥5%, and ≥10%), nivolumab was associated with median OS </w:t>
      </w:r>
      <w:r w:rsidR="00D0643E" w:rsidRPr="00AE71BA">
        <w:t xml:space="preserve">times </w:t>
      </w:r>
      <w:r w:rsidRPr="00AE71BA">
        <w:t>almost twice those observed for docetaxel (18-20 months vs.8-9 months).</w:t>
      </w:r>
      <w:r w:rsidR="00F71706" w:rsidRPr="00AE71BA">
        <w:t xml:space="preserve"> In the PD-L1 negative populations, the Kaplan-Meier curves similarly crossed over. It would therefore be incorrect and misleading to interpret the non-statistical</w:t>
      </w:r>
      <w:r w:rsidR="00A33F64" w:rsidRPr="00AE71BA">
        <w:t>ly</w:t>
      </w:r>
      <w:r w:rsidR="00F71706" w:rsidRPr="00AE71BA">
        <w:t xml:space="preserve"> significant HRs observed in the negative PD-L1 expression populations (for example in &lt;5% PD-L1 patients: 0.96 (95% CI: 0.73, 1.27)) as indicative of a lack of meaningful difference. Such an interpretation ignores the possibility that some patients may be experiencing harm with nivolumab.</w:t>
      </w:r>
    </w:p>
    <w:p w:rsidR="005D79C3" w:rsidRPr="00BE2600" w:rsidRDefault="005D79C3">
      <w:pPr>
        <w:widowControl/>
        <w:jc w:val="left"/>
        <w:rPr>
          <w:szCs w:val="22"/>
        </w:rPr>
      </w:pPr>
    </w:p>
    <w:p w:rsidR="006E3415" w:rsidRDefault="00144D06" w:rsidP="006E3415">
      <w:pPr>
        <w:pStyle w:val="TableHeader"/>
        <w:keepNext/>
        <w:ind w:left="709"/>
        <w:jc w:val="left"/>
      </w:pPr>
      <w:r w:rsidRPr="00BA0ACB">
        <w:lastRenderedPageBreak/>
        <w:t>Figure 3: CA209-057 - Kaplan-Meier plots of OS at the 1%, 5% and 10% PD-L1 expression levels</w:t>
      </w:r>
    </w:p>
    <w:p w:rsidR="00144D06" w:rsidRPr="00622244" w:rsidRDefault="00144D06" w:rsidP="006E3415">
      <w:pPr>
        <w:pStyle w:val="TableHeader"/>
        <w:keepNext/>
        <w:ind w:left="709"/>
        <w:jc w:val="left"/>
      </w:pPr>
      <w:r w:rsidRPr="00622244">
        <w:rPr>
          <w:noProof/>
          <w:lang w:eastAsia="en-AU"/>
        </w:rPr>
        <w:drawing>
          <wp:inline distT="0" distB="0" distL="0" distR="0" wp14:anchorId="1CF08176" wp14:editId="51A35AEA">
            <wp:extent cx="5328458" cy="4372494"/>
            <wp:effectExtent l="0" t="0" r="5715" b="9525"/>
            <wp:docPr id="14" name="Picture 14" title="Figure 3: CA209-057 - Kaplan-Meier plots of OS at the 1%, 5% and 10% PD-L1 expression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Lst>
                    </a:blip>
                    <a:stretch>
                      <a:fillRect/>
                    </a:stretch>
                  </pic:blipFill>
                  <pic:spPr>
                    <a:xfrm>
                      <a:off x="0" y="0"/>
                      <a:ext cx="5337082" cy="4379571"/>
                    </a:xfrm>
                    <a:prstGeom prst="rect">
                      <a:avLst/>
                    </a:prstGeom>
                  </pic:spPr>
                </pic:pic>
              </a:graphicData>
            </a:graphic>
          </wp:inline>
        </w:drawing>
      </w:r>
    </w:p>
    <w:p w:rsidR="00144D06" w:rsidRPr="008A0DC9" w:rsidRDefault="00144D06" w:rsidP="005905AB">
      <w:pPr>
        <w:pStyle w:val="TableNotes"/>
        <w:ind w:left="709"/>
      </w:pPr>
      <w:r w:rsidRPr="008A0DC9">
        <w:t>CI=</w:t>
      </w:r>
      <w:r w:rsidR="005905AB">
        <w:t>confidence interval; HR=hazard ratio; mo=months; mOS=median overall survival; PD-L1=</w:t>
      </w:r>
      <w:r w:rsidRPr="008A0DC9">
        <w:t>programmed-cell death ligand-1.</w:t>
      </w:r>
    </w:p>
    <w:p w:rsidR="00144D06" w:rsidRPr="008F76A6" w:rsidRDefault="00144D06" w:rsidP="005905AB">
      <w:pPr>
        <w:pStyle w:val="TableNotes"/>
        <w:spacing w:after="0"/>
        <w:ind w:left="709"/>
      </w:pPr>
      <w:r w:rsidRPr="008A0DC9">
        <w:t xml:space="preserve">Source: Figure S.8B, Appendix to </w:t>
      </w:r>
      <w:r w:rsidR="008F76A6">
        <w:t>p</w:t>
      </w:r>
      <w:r w:rsidR="008F76A6" w:rsidRPr="008F76A6">
        <w:t>ublication by Borghaei et al. Nivolumab versus Docetaxel in Advanced Non</w:t>
      </w:r>
      <w:r w:rsidR="008F76A6">
        <w:t>-</w:t>
      </w:r>
      <w:r w:rsidR="008F76A6" w:rsidRPr="008F76A6">
        <w:t>squamous Non–Small-Cell Lung Cancer. New England Journal of Medicine 2015; 373:1627-39</w:t>
      </w:r>
      <w:r w:rsidR="008F76A6">
        <w:t>.</w:t>
      </w:r>
    </w:p>
    <w:p w:rsidR="00A33F64" w:rsidRPr="00A33F64" w:rsidRDefault="00A33F64" w:rsidP="00A33F64"/>
    <w:p w:rsidR="00144D06" w:rsidRPr="00200C65" w:rsidRDefault="00D0643E" w:rsidP="00C61ED5">
      <w:pPr>
        <w:pStyle w:val="ListParagraph"/>
        <w:numPr>
          <w:ilvl w:val="1"/>
          <w:numId w:val="2"/>
        </w:numPr>
      </w:pPr>
      <w:r w:rsidRPr="00200C65">
        <w:t>Figure 4 indicates a clear treatment effect variation with the majority of the tests for interaction statistically significant for both OS and progression-free survival (PFS).</w:t>
      </w:r>
    </w:p>
    <w:p w:rsidR="00144D06" w:rsidRPr="005905AB" w:rsidRDefault="00144D06" w:rsidP="005905AB"/>
    <w:p w:rsidR="00144D06" w:rsidRDefault="00144D06" w:rsidP="00144D06">
      <w:pPr>
        <w:pStyle w:val="Caption"/>
        <w:keepNext/>
        <w:ind w:firstLine="720"/>
      </w:pPr>
      <w:r>
        <w:lastRenderedPageBreak/>
        <w:t xml:space="preserve">Figure 4: CA209-057 - </w:t>
      </w:r>
      <w:r w:rsidRPr="00B0348F">
        <w:t>Plot of OS and PFS HRs by PD-L1 expression levels</w:t>
      </w:r>
      <w:r w:rsidR="00D65BA6">
        <w:t xml:space="preserve"> (March 2015 database lock)</w:t>
      </w:r>
    </w:p>
    <w:p w:rsidR="00144D06" w:rsidRPr="00622244" w:rsidRDefault="00144D06" w:rsidP="00144D06">
      <w:pPr>
        <w:ind w:firstLine="709"/>
        <w:rPr>
          <w:i/>
        </w:rPr>
      </w:pPr>
      <w:r w:rsidRPr="00622244">
        <w:rPr>
          <w:i/>
          <w:noProof/>
          <w:lang w:eastAsia="en-AU"/>
        </w:rPr>
        <w:drawing>
          <wp:inline distT="0" distB="0" distL="0" distR="0" wp14:anchorId="02E3B50D" wp14:editId="74A578BB">
            <wp:extent cx="5336771" cy="2801389"/>
            <wp:effectExtent l="0" t="0" r="0" b="0"/>
            <wp:docPr id="15" name="Picture 15" title="Figure 4: CA209-057 - Plot of OS and PFS HRs by PD-L1 expression levels (March 2015 database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Lst>
                    </a:blip>
                    <a:stretch>
                      <a:fillRect/>
                    </a:stretch>
                  </pic:blipFill>
                  <pic:spPr>
                    <a:xfrm>
                      <a:off x="0" y="0"/>
                      <a:ext cx="5337514" cy="2801779"/>
                    </a:xfrm>
                    <a:prstGeom prst="rect">
                      <a:avLst/>
                    </a:prstGeom>
                  </pic:spPr>
                </pic:pic>
              </a:graphicData>
            </a:graphic>
          </wp:inline>
        </w:drawing>
      </w:r>
    </w:p>
    <w:p w:rsidR="005905AB" w:rsidRPr="005905AB" w:rsidRDefault="00144D06" w:rsidP="00144D06">
      <w:pPr>
        <w:ind w:left="709"/>
        <w:rPr>
          <w:rFonts w:ascii="Arial Narrow" w:hAnsi="Arial Narrow"/>
          <w:sz w:val="18"/>
          <w:szCs w:val="18"/>
        </w:rPr>
      </w:pPr>
      <w:r w:rsidRPr="005905AB">
        <w:rPr>
          <w:rFonts w:ascii="Arial Narrow" w:hAnsi="Arial Narrow"/>
          <w:sz w:val="18"/>
          <w:szCs w:val="18"/>
        </w:rPr>
        <w:t>Interaction p-values from Cox proportional hazard model with treatment, PD-L1 expression and treatment by PD-L1 expression interaction.</w:t>
      </w:r>
    </w:p>
    <w:p w:rsidR="00144D06" w:rsidRPr="005905AB" w:rsidRDefault="005905AB" w:rsidP="00144D06">
      <w:pPr>
        <w:ind w:left="709"/>
        <w:rPr>
          <w:rFonts w:ascii="Arial Narrow" w:hAnsi="Arial Narrow"/>
          <w:sz w:val="18"/>
          <w:szCs w:val="18"/>
        </w:rPr>
      </w:pPr>
      <w:r w:rsidRPr="005905AB">
        <w:rPr>
          <w:rFonts w:ascii="Arial Narrow" w:hAnsi="Arial Narrow"/>
          <w:sz w:val="18"/>
          <w:szCs w:val="18"/>
        </w:rPr>
        <w:t>CI=confidence interval; HR=hazard ratio; OS=overall survival; PD-L1=</w:t>
      </w:r>
      <w:r w:rsidR="00144D06" w:rsidRPr="005905AB">
        <w:rPr>
          <w:rFonts w:ascii="Arial Narrow" w:hAnsi="Arial Narrow"/>
          <w:sz w:val="18"/>
          <w:szCs w:val="18"/>
        </w:rPr>
        <w:t>prog</w:t>
      </w:r>
      <w:r w:rsidRPr="005905AB">
        <w:rPr>
          <w:rFonts w:ascii="Arial Narrow" w:hAnsi="Arial Narrow"/>
          <w:sz w:val="18"/>
          <w:szCs w:val="18"/>
        </w:rPr>
        <w:t>rammed-cell death ligand-1; PFS=progression-free survival</w:t>
      </w:r>
    </w:p>
    <w:p w:rsidR="00144D06" w:rsidRPr="005905AB" w:rsidRDefault="00144D06" w:rsidP="008F76A6">
      <w:pPr>
        <w:ind w:left="709"/>
        <w:rPr>
          <w:rFonts w:ascii="Arial Narrow" w:hAnsi="Arial Narrow"/>
          <w:sz w:val="18"/>
          <w:szCs w:val="18"/>
        </w:rPr>
      </w:pPr>
      <w:r w:rsidRPr="005905AB">
        <w:rPr>
          <w:rFonts w:ascii="Arial Narrow" w:hAnsi="Arial Narrow"/>
          <w:sz w:val="18"/>
          <w:szCs w:val="18"/>
        </w:rPr>
        <w:t xml:space="preserve">Source: Figure S.7, </w:t>
      </w:r>
      <w:r w:rsidR="008F76A6" w:rsidRPr="005905AB">
        <w:rPr>
          <w:rFonts w:ascii="Arial Narrow" w:hAnsi="Arial Narrow"/>
          <w:sz w:val="18"/>
          <w:szCs w:val="18"/>
        </w:rPr>
        <w:t>Appendix to publication by Borghaei et al. Nivolumab versus Docetaxel in Advanced Non-squamous Non–Small-Cell Lung Cancer. New England Journal of Medicine 2015; 373:1627-39.</w:t>
      </w:r>
    </w:p>
    <w:p w:rsidR="008F76A6" w:rsidRPr="008F76A6" w:rsidRDefault="008F76A6" w:rsidP="005905AB"/>
    <w:p w:rsidR="00144D06" w:rsidRPr="00200C65" w:rsidRDefault="00D65BA6" w:rsidP="00C61ED5">
      <w:pPr>
        <w:pStyle w:val="ListParagraph"/>
        <w:numPr>
          <w:ilvl w:val="1"/>
          <w:numId w:val="2"/>
        </w:numPr>
        <w:rPr>
          <w:szCs w:val="22"/>
        </w:rPr>
      </w:pPr>
      <w:r>
        <w:t xml:space="preserve">“EGFR-mutation status positive” and “Third-line treatment” subgroup analyses: </w:t>
      </w:r>
      <w:r w:rsidRPr="00200C65">
        <w:t>Maintenance therapy (yes/no) and line of therapy (second/third) were stratification variables for randomisation in CA209-057. In the OS analysis, the HR favoured nivolumab over docetaxel in the majority of exploratory subgroup analyses</w:t>
      </w:r>
      <w:r w:rsidR="005905AB" w:rsidRPr="00200C65">
        <w:t>,</w:t>
      </w:r>
      <w:r w:rsidRPr="00200C65">
        <w:t xml:space="preserve"> although the results were not statistically significant. The exceptions to the direction of effect were the following subgroup analyses: 1) “Third line” therapy (N=66, HR=1.34; 95% CI: 0.73, 2.43), </w:t>
      </w:r>
      <w:r w:rsidR="005905AB" w:rsidRPr="00200C65">
        <w:t xml:space="preserve">2) </w:t>
      </w:r>
      <w:r w:rsidRPr="00200C65">
        <w:t>“Rest of world” region which included Asia and Australia (N=98, HR=1.49; 95% CI: 0.91, 2.45)</w:t>
      </w:r>
      <w:r w:rsidR="005905AB" w:rsidRPr="00200C65">
        <w:t>,</w:t>
      </w:r>
      <w:r w:rsidRPr="00200C65">
        <w:t xml:space="preserve"> and 3) “EGFR mutation status positive” (N=82, HR=1.18; 95% CI: 0.69, 2.00). These subgroup analyses </w:t>
      </w:r>
      <w:r w:rsidR="005905AB" w:rsidRPr="00200C65">
        <w:t>we</w:t>
      </w:r>
      <w:r w:rsidRPr="00200C65">
        <w:t>re problematic due to small patient numbers and potential imbalances across treatment arms which could not be assessed due to lack of baseline data by treatment arm. However, a preliminary TGA clinical evaluation report (which became a</w:t>
      </w:r>
      <w:r w:rsidR="005905AB" w:rsidRPr="00200C65">
        <w:t>vailable during the evaluation)</w:t>
      </w:r>
      <w:r w:rsidRPr="00200C65">
        <w:t xml:space="preserve"> concluded there was clear evidence of good efficacy (relative to docetaxel) for nivolumab in non-squamous NSCLC patients who have failed initial platinum-based therapy and whose tumours are PD-L1 positive </w:t>
      </w:r>
      <w:r w:rsidRPr="00200C65">
        <w:rPr>
          <w:u w:val="single"/>
        </w:rPr>
        <w:t>and whose tumours are not EGFR mutation positive</w:t>
      </w:r>
      <w:r w:rsidRPr="00200C65">
        <w:t>. In other subgroups, the evidence for efficacy was stated to be “less clear-cut”.</w:t>
      </w:r>
    </w:p>
    <w:p w:rsidR="00E452CA" w:rsidRPr="00882085" w:rsidRDefault="00E452CA" w:rsidP="00144D06">
      <w:pPr>
        <w:rPr>
          <w:szCs w:val="22"/>
        </w:rPr>
      </w:pPr>
    </w:p>
    <w:p w:rsidR="00144D06" w:rsidRPr="002C2775" w:rsidRDefault="00144D06" w:rsidP="00144D06">
      <w:pPr>
        <w:pStyle w:val="Heading2"/>
        <w:rPr>
          <w:i/>
        </w:rPr>
      </w:pPr>
      <w:bookmarkStart w:id="13" w:name="_Toc440294998"/>
      <w:bookmarkStart w:id="14" w:name="_Toc440981299"/>
      <w:r w:rsidRPr="002C2775">
        <w:rPr>
          <w:i/>
        </w:rPr>
        <w:t>Comparative harms</w:t>
      </w:r>
      <w:bookmarkEnd w:id="13"/>
      <w:bookmarkEnd w:id="14"/>
    </w:p>
    <w:p w:rsidR="00144D06" w:rsidRPr="00882085" w:rsidRDefault="00144D06" w:rsidP="00144D06">
      <w:pPr>
        <w:ind w:left="720" w:hanging="720"/>
        <w:rPr>
          <w:szCs w:val="22"/>
        </w:rPr>
      </w:pPr>
    </w:p>
    <w:p w:rsidR="00144D06" w:rsidRDefault="00144D06" w:rsidP="00C61ED5">
      <w:pPr>
        <w:pStyle w:val="ListParagraph"/>
        <w:numPr>
          <w:ilvl w:val="1"/>
          <w:numId w:val="2"/>
        </w:numPr>
      </w:pPr>
      <w:r w:rsidRPr="00780755">
        <w:t>The tables below provide a summary of adverse events (AEs) from CA209-057.</w:t>
      </w:r>
    </w:p>
    <w:p w:rsidR="00144D06" w:rsidRPr="005905AB" w:rsidRDefault="00144D06" w:rsidP="00144D06"/>
    <w:p w:rsidR="00B1388E" w:rsidRPr="00200C65" w:rsidRDefault="00B1388E" w:rsidP="00C61ED5">
      <w:pPr>
        <w:pStyle w:val="ListParagraph"/>
        <w:numPr>
          <w:ilvl w:val="1"/>
          <w:numId w:val="2"/>
        </w:numPr>
      </w:pPr>
      <w:r w:rsidRPr="00200C65">
        <w:t xml:space="preserve">The submission conducted numerous statistical comparisons between nivolumab and docetaxel. It was not apparent from the submission whether there was any adjustment for multiplicity to minimise the risk of a Type I error. Putative statistically significant findings need to be cautiously interpreted when there is no adjustment for </w:t>
      </w:r>
      <w:r w:rsidRPr="00200C65">
        <w:lastRenderedPageBreak/>
        <w:t>multiple comparisons</w:t>
      </w:r>
      <w:r w:rsidRPr="00200C65">
        <w:rPr>
          <w:rStyle w:val="FootnoteReference"/>
        </w:rPr>
        <w:footnoteReference w:id="4"/>
      </w:r>
      <w:r w:rsidRPr="00200C65">
        <w:t>. There were no statistically significant differences in “any</w:t>
      </w:r>
      <w:r>
        <w:t xml:space="preserve"> cause” AEs between the nivolumab and docetaxel treatment arms although for drug-related severe (Grade </w:t>
      </w:r>
      <w:r w:rsidR="000F0B31">
        <w:t>≥</w:t>
      </w:r>
      <w:r>
        <w:t xml:space="preserve">3) AEs and AEs leading to discontinuation, the statistically significant differences favoured nivolumab. </w:t>
      </w:r>
      <w:r w:rsidRPr="00253240">
        <w:t xml:space="preserve">Significantly more severe </w:t>
      </w:r>
      <w:r>
        <w:t>AEs</w:t>
      </w:r>
      <w:r w:rsidRPr="00253240">
        <w:t xml:space="preserve"> were reported in the docetaxel treatment arm as compared </w:t>
      </w:r>
      <w:r>
        <w:t>with</w:t>
      </w:r>
      <w:r w:rsidRPr="00253240">
        <w:t xml:space="preserve"> the nivolumab treatment arm (46% versus 67%), </w:t>
      </w:r>
      <w:r>
        <w:t xml:space="preserve">specifically for </w:t>
      </w:r>
      <w:r w:rsidRPr="00253240">
        <w:t xml:space="preserve">neutropenia (27% versus 0%) </w:t>
      </w:r>
      <w:r>
        <w:t xml:space="preserve">which was considered </w:t>
      </w:r>
      <w:r w:rsidRPr="00253240">
        <w:t>to be study-drug related.</w:t>
      </w:r>
      <w:r w:rsidR="00B952E6" w:rsidRPr="00B952E6">
        <w:rPr>
          <w:i/>
        </w:rPr>
        <w:t xml:space="preserve"> </w:t>
      </w:r>
      <w:r w:rsidR="00B952E6" w:rsidRPr="00200C65">
        <w:t>These data need to be interpreted in the context of the open-label design of the CA209-057 trial.</w:t>
      </w:r>
    </w:p>
    <w:p w:rsidR="00144D06" w:rsidRPr="000F0B31" w:rsidRDefault="00144D06" w:rsidP="00144D06">
      <w:pPr>
        <w:widowControl/>
        <w:rPr>
          <w:szCs w:val="22"/>
        </w:rPr>
      </w:pPr>
    </w:p>
    <w:p w:rsidR="00144D06" w:rsidRDefault="00144D06" w:rsidP="00144D06">
      <w:pPr>
        <w:pStyle w:val="Caption"/>
        <w:keepNext/>
        <w:ind w:firstLine="720"/>
      </w:pPr>
      <w:r>
        <w:t xml:space="preserve">Table </w:t>
      </w:r>
      <w:r>
        <w:rPr>
          <w:noProof/>
        </w:rPr>
        <w:t>4</w:t>
      </w:r>
      <w:r>
        <w:t>:</w:t>
      </w:r>
      <w:r w:rsidRPr="00780755">
        <w:t xml:space="preserve"> </w:t>
      </w:r>
      <w:r w:rsidRPr="00B0348F">
        <w:t xml:space="preserve">CA209-057: Summary of overall </w:t>
      </w:r>
      <w:r w:rsidR="00BE2600">
        <w:t>adverse events</w:t>
      </w:r>
    </w:p>
    <w:tbl>
      <w:tblPr>
        <w:tblStyle w:val="TableGrid"/>
        <w:tblW w:w="4524" w:type="pct"/>
        <w:tblInd w:w="817" w:type="dxa"/>
        <w:tblLayout w:type="fixed"/>
        <w:tblLook w:val="04A0" w:firstRow="1" w:lastRow="0" w:firstColumn="1" w:lastColumn="0" w:noHBand="0" w:noVBand="1"/>
        <w:tblCaption w:val="Table 4: CA209-057: Summary of overall AEs"/>
      </w:tblPr>
      <w:tblGrid>
        <w:gridCol w:w="2267"/>
        <w:gridCol w:w="1417"/>
        <w:gridCol w:w="1136"/>
        <w:gridCol w:w="1841"/>
        <w:gridCol w:w="1701"/>
      </w:tblGrid>
      <w:tr w:rsidR="00144D06" w:rsidRPr="00E11BD4" w:rsidTr="00D36062">
        <w:trPr>
          <w:tblHeader/>
        </w:trPr>
        <w:tc>
          <w:tcPr>
            <w:tcW w:w="1356" w:type="pct"/>
          </w:tcPr>
          <w:p w:rsidR="00144D06" w:rsidRPr="00E11BD4" w:rsidRDefault="00144D06" w:rsidP="00144D06">
            <w:pPr>
              <w:keepNext/>
              <w:rPr>
                <w:rFonts w:ascii="Arial Narrow" w:hAnsi="Arial Narrow" w:cs="Arial Narrow"/>
                <w:sz w:val="20"/>
              </w:rPr>
            </w:pPr>
            <w:r w:rsidRPr="00E11BD4">
              <w:rPr>
                <w:rFonts w:ascii="Arial Narrow" w:hAnsi="Arial Narrow" w:cs="Arial Narrow"/>
                <w:b/>
                <w:sz w:val="20"/>
              </w:rPr>
              <w:t>Treatment arm</w:t>
            </w:r>
          </w:p>
        </w:tc>
        <w:tc>
          <w:tcPr>
            <w:tcW w:w="847" w:type="pct"/>
            <w:vAlign w:val="center"/>
          </w:tcPr>
          <w:p w:rsidR="00144D06" w:rsidRPr="00E11BD4" w:rsidRDefault="00144D06" w:rsidP="00144D06">
            <w:pPr>
              <w:keepNext/>
              <w:jc w:val="center"/>
              <w:rPr>
                <w:rFonts w:ascii="Arial Narrow" w:hAnsi="Arial Narrow" w:cs="Arial Narrow"/>
                <w:b/>
                <w:sz w:val="20"/>
              </w:rPr>
            </w:pPr>
            <w:r w:rsidRPr="00FC114D">
              <w:rPr>
                <w:rFonts w:ascii="Arial Narrow" w:hAnsi="Arial Narrow" w:cs="Arial Narrow"/>
                <w:b/>
                <w:color w:val="000000" w:themeColor="text1"/>
                <w:sz w:val="20"/>
              </w:rPr>
              <w:t>N</w:t>
            </w:r>
            <w:r w:rsidRPr="00FC114D">
              <w:rPr>
                <w:rFonts w:ascii="Arial Narrow" w:hAnsi="Arial Narrow" w:cs="Arial Narrow"/>
                <w:b/>
                <w:color w:val="000000" w:themeColor="text1"/>
              </w:rPr>
              <w:t>ivo</w:t>
            </w:r>
          </w:p>
        </w:tc>
        <w:tc>
          <w:tcPr>
            <w:tcW w:w="679" w:type="pct"/>
            <w:vAlign w:val="center"/>
          </w:tcPr>
          <w:p w:rsidR="00144D06" w:rsidRPr="00E11BD4" w:rsidRDefault="00144D06" w:rsidP="006C701F">
            <w:pPr>
              <w:keepNext/>
              <w:jc w:val="center"/>
              <w:rPr>
                <w:rFonts w:ascii="Arial Narrow" w:hAnsi="Arial Narrow" w:cs="Arial Narrow"/>
                <w:b/>
                <w:sz w:val="20"/>
              </w:rPr>
            </w:pPr>
            <w:r w:rsidRPr="00FC114D">
              <w:rPr>
                <w:rFonts w:ascii="Arial Narrow" w:hAnsi="Arial Narrow" w:cs="Arial Narrow"/>
                <w:b/>
                <w:color w:val="000000" w:themeColor="text1"/>
                <w:sz w:val="20"/>
              </w:rPr>
              <w:t>D</w:t>
            </w:r>
            <w:r w:rsidR="006C701F">
              <w:rPr>
                <w:rFonts w:ascii="Arial Narrow" w:hAnsi="Arial Narrow" w:cs="Arial Narrow"/>
                <w:b/>
                <w:color w:val="000000" w:themeColor="text1"/>
              </w:rPr>
              <w:t>oc</w:t>
            </w:r>
          </w:p>
        </w:tc>
        <w:tc>
          <w:tcPr>
            <w:tcW w:w="1101" w:type="pct"/>
            <w:vMerge w:val="restart"/>
          </w:tcPr>
          <w:p w:rsidR="00144D06" w:rsidRPr="00E11BD4" w:rsidRDefault="00144D06" w:rsidP="00144D06">
            <w:pPr>
              <w:keepNext/>
              <w:jc w:val="center"/>
              <w:rPr>
                <w:rFonts w:ascii="Arial Narrow" w:hAnsi="Arial Narrow" w:cs="Arial Narrow"/>
                <w:b/>
                <w:sz w:val="20"/>
              </w:rPr>
            </w:pPr>
            <w:r w:rsidRPr="00E11BD4">
              <w:rPr>
                <w:rFonts w:ascii="Arial Narrow" w:hAnsi="Arial Narrow" w:cs="Arial Narrow"/>
                <w:b/>
                <w:sz w:val="20"/>
              </w:rPr>
              <w:t>RR (95% CI)</w:t>
            </w:r>
          </w:p>
          <w:p w:rsidR="00144D06" w:rsidRPr="00E11BD4" w:rsidRDefault="00144D06" w:rsidP="00144D06">
            <w:pPr>
              <w:keepNext/>
              <w:jc w:val="center"/>
              <w:rPr>
                <w:rFonts w:ascii="Arial Narrow" w:hAnsi="Arial Narrow" w:cs="Arial Narrow"/>
                <w:b/>
                <w:sz w:val="20"/>
              </w:rPr>
            </w:pPr>
            <w:r w:rsidRPr="00E11BD4">
              <w:rPr>
                <w:rFonts w:ascii="Arial Narrow" w:hAnsi="Arial Narrow" w:cs="Arial Narrow"/>
                <w:b/>
                <w:sz w:val="20"/>
              </w:rPr>
              <w:t>Nivo vs. Doc</w:t>
            </w:r>
          </w:p>
        </w:tc>
        <w:tc>
          <w:tcPr>
            <w:tcW w:w="1018" w:type="pct"/>
            <w:vMerge w:val="restart"/>
          </w:tcPr>
          <w:p w:rsidR="00144D06" w:rsidRPr="00E11BD4" w:rsidRDefault="00144D06" w:rsidP="00144D06">
            <w:pPr>
              <w:keepNext/>
              <w:jc w:val="center"/>
              <w:rPr>
                <w:rFonts w:ascii="Arial Narrow" w:hAnsi="Arial Narrow" w:cs="Arial Narrow"/>
                <w:b/>
                <w:sz w:val="20"/>
              </w:rPr>
            </w:pPr>
            <w:r w:rsidRPr="00E11BD4">
              <w:rPr>
                <w:rFonts w:ascii="Arial Narrow" w:hAnsi="Arial Narrow" w:cs="Arial Narrow"/>
                <w:b/>
                <w:sz w:val="20"/>
              </w:rPr>
              <w:t>RD (95% CI)</w:t>
            </w:r>
          </w:p>
          <w:p w:rsidR="00144D06" w:rsidRPr="00E11BD4" w:rsidRDefault="00144D06" w:rsidP="00144D06">
            <w:pPr>
              <w:keepNext/>
              <w:jc w:val="center"/>
              <w:rPr>
                <w:rFonts w:ascii="Arial Narrow" w:hAnsi="Arial Narrow" w:cs="Arial Narrow"/>
                <w:b/>
                <w:sz w:val="20"/>
              </w:rPr>
            </w:pPr>
            <w:r w:rsidRPr="00E11BD4">
              <w:rPr>
                <w:rFonts w:ascii="Arial Narrow" w:hAnsi="Arial Narrow" w:cs="Arial Narrow"/>
                <w:b/>
                <w:sz w:val="20"/>
              </w:rPr>
              <w:t>Nivo vs. Doc</w:t>
            </w:r>
          </w:p>
        </w:tc>
      </w:tr>
      <w:tr w:rsidR="00144D06" w:rsidRPr="00E11BD4" w:rsidTr="00D36062">
        <w:trPr>
          <w:tblHeader/>
        </w:trPr>
        <w:tc>
          <w:tcPr>
            <w:tcW w:w="1356" w:type="pct"/>
          </w:tcPr>
          <w:p w:rsidR="00144D06" w:rsidRPr="00E11BD4" w:rsidRDefault="00144D06" w:rsidP="00144D06">
            <w:pPr>
              <w:keepNext/>
              <w:rPr>
                <w:rFonts w:ascii="Arial Narrow" w:hAnsi="Arial Narrow" w:cs="Arial Narrow"/>
                <w:sz w:val="20"/>
              </w:rPr>
            </w:pPr>
            <w:r w:rsidRPr="00E11BD4">
              <w:rPr>
                <w:rFonts w:ascii="Arial Narrow" w:hAnsi="Arial Narrow" w:cs="Arial Narrow"/>
                <w:sz w:val="20"/>
              </w:rPr>
              <w:t>N</w:t>
            </w:r>
          </w:p>
        </w:tc>
        <w:tc>
          <w:tcPr>
            <w:tcW w:w="847" w:type="pct"/>
          </w:tcPr>
          <w:p w:rsidR="00144D06" w:rsidRPr="00E11BD4" w:rsidRDefault="00144D06" w:rsidP="00144D06">
            <w:pPr>
              <w:keepNext/>
              <w:jc w:val="center"/>
              <w:rPr>
                <w:rFonts w:ascii="Arial Narrow" w:hAnsi="Arial Narrow" w:cs="Arial Narrow"/>
                <w:sz w:val="20"/>
              </w:rPr>
            </w:pPr>
            <w:r w:rsidRPr="00E11BD4">
              <w:rPr>
                <w:rFonts w:ascii="Arial Narrow" w:hAnsi="Arial Narrow" w:cs="Arial Narrow"/>
                <w:sz w:val="20"/>
              </w:rPr>
              <w:t>287</w:t>
            </w:r>
          </w:p>
        </w:tc>
        <w:tc>
          <w:tcPr>
            <w:tcW w:w="679" w:type="pct"/>
          </w:tcPr>
          <w:p w:rsidR="00144D06" w:rsidRPr="00E11BD4" w:rsidRDefault="00144D06" w:rsidP="00144D06">
            <w:pPr>
              <w:keepNext/>
              <w:jc w:val="center"/>
              <w:rPr>
                <w:rFonts w:ascii="Arial Narrow" w:hAnsi="Arial Narrow" w:cs="Arial Narrow"/>
                <w:sz w:val="20"/>
              </w:rPr>
            </w:pPr>
            <w:r w:rsidRPr="00E11BD4">
              <w:rPr>
                <w:rFonts w:ascii="Arial Narrow" w:hAnsi="Arial Narrow" w:cs="Arial Narrow"/>
                <w:sz w:val="20"/>
              </w:rPr>
              <w:t>268</w:t>
            </w:r>
          </w:p>
        </w:tc>
        <w:tc>
          <w:tcPr>
            <w:tcW w:w="1101" w:type="pct"/>
            <w:vMerge/>
          </w:tcPr>
          <w:p w:rsidR="00144D06" w:rsidRPr="00E11BD4" w:rsidRDefault="00144D06" w:rsidP="00144D06">
            <w:pPr>
              <w:keepNext/>
              <w:jc w:val="center"/>
              <w:rPr>
                <w:rFonts w:ascii="Arial Narrow" w:hAnsi="Arial Narrow" w:cs="Arial Narrow"/>
                <w:sz w:val="20"/>
              </w:rPr>
            </w:pPr>
          </w:p>
        </w:tc>
        <w:tc>
          <w:tcPr>
            <w:tcW w:w="1018" w:type="pct"/>
            <w:vMerge/>
          </w:tcPr>
          <w:p w:rsidR="00144D06" w:rsidRPr="00E11BD4" w:rsidRDefault="00144D06" w:rsidP="00144D06">
            <w:pPr>
              <w:keepNext/>
              <w:jc w:val="center"/>
              <w:rPr>
                <w:rFonts w:ascii="Arial Narrow" w:hAnsi="Arial Narrow" w:cs="Arial Narrow"/>
                <w:sz w:val="20"/>
              </w:rPr>
            </w:pPr>
          </w:p>
        </w:tc>
      </w:tr>
      <w:tr w:rsidR="00144D06" w:rsidRPr="00E11BD4" w:rsidTr="00144D06">
        <w:tc>
          <w:tcPr>
            <w:tcW w:w="5000" w:type="pct"/>
            <w:gridSpan w:val="5"/>
            <w:shd w:val="clear" w:color="auto" w:fill="auto"/>
          </w:tcPr>
          <w:p w:rsidR="00144D06" w:rsidRPr="003D4787" w:rsidRDefault="00144D06" w:rsidP="00144D06">
            <w:pPr>
              <w:keepNext/>
              <w:jc w:val="left"/>
              <w:rPr>
                <w:rFonts w:ascii="Arial Narrow" w:hAnsi="Arial Narrow" w:cs="Arial Narrow"/>
                <w:b/>
                <w:sz w:val="20"/>
              </w:rPr>
            </w:pPr>
            <w:r w:rsidRPr="003D4787">
              <w:rPr>
                <w:rFonts w:ascii="Arial Narrow" w:hAnsi="Arial Narrow" w:cs="Arial Narrow"/>
                <w:b/>
                <w:sz w:val="20"/>
              </w:rPr>
              <w:t>One or more AE - n (%)</w:t>
            </w:r>
          </w:p>
        </w:tc>
      </w:tr>
      <w:tr w:rsidR="00144D06" w:rsidRPr="00E11BD4" w:rsidTr="00144D06">
        <w:tc>
          <w:tcPr>
            <w:tcW w:w="1356" w:type="pct"/>
          </w:tcPr>
          <w:p w:rsidR="00144D06" w:rsidRPr="00E11BD4" w:rsidRDefault="00144D06" w:rsidP="00144D06">
            <w:pPr>
              <w:keepNext/>
              <w:rPr>
                <w:rFonts w:ascii="Arial Narrow" w:hAnsi="Arial Narrow" w:cs="Arial Narrow"/>
                <w:sz w:val="20"/>
                <w:lang w:eastAsia="en-AU"/>
              </w:rPr>
            </w:pPr>
            <w:r w:rsidRPr="00E11BD4">
              <w:rPr>
                <w:rFonts w:ascii="Arial Narrow" w:hAnsi="Arial Narrow" w:cs="Arial Narrow"/>
                <w:sz w:val="20"/>
                <w:lang w:eastAsia="en-AU"/>
              </w:rPr>
              <w:t>Any cause</w:t>
            </w:r>
          </w:p>
        </w:tc>
        <w:tc>
          <w:tcPr>
            <w:tcW w:w="847" w:type="pct"/>
          </w:tcPr>
          <w:p w:rsidR="00144D06" w:rsidRPr="00E11BD4" w:rsidRDefault="00144D06" w:rsidP="00144D06">
            <w:pPr>
              <w:keepNext/>
              <w:jc w:val="center"/>
              <w:rPr>
                <w:rFonts w:ascii="Arial Narrow" w:hAnsi="Arial Narrow" w:cs="Arial Narrow"/>
                <w:sz w:val="20"/>
              </w:rPr>
            </w:pPr>
            <w:r w:rsidRPr="00E11BD4">
              <w:rPr>
                <w:rFonts w:ascii="Arial Narrow" w:hAnsi="Arial Narrow" w:cs="Arial Narrow"/>
                <w:sz w:val="20"/>
              </w:rPr>
              <w:t>280 (97.6)</w:t>
            </w:r>
          </w:p>
        </w:tc>
        <w:tc>
          <w:tcPr>
            <w:tcW w:w="679" w:type="pct"/>
          </w:tcPr>
          <w:p w:rsidR="00144D06" w:rsidRPr="00E11BD4" w:rsidRDefault="00144D06" w:rsidP="00144D06">
            <w:pPr>
              <w:keepNext/>
              <w:jc w:val="center"/>
              <w:rPr>
                <w:rFonts w:ascii="Arial Narrow" w:hAnsi="Arial Narrow" w:cs="Arial Narrow"/>
                <w:sz w:val="20"/>
              </w:rPr>
            </w:pPr>
            <w:r w:rsidRPr="00E11BD4">
              <w:rPr>
                <w:rFonts w:ascii="Arial Narrow" w:hAnsi="Arial Narrow" w:cs="Arial Narrow"/>
                <w:sz w:val="20"/>
              </w:rPr>
              <w:t>265 (98.9)</w:t>
            </w:r>
          </w:p>
        </w:tc>
        <w:tc>
          <w:tcPr>
            <w:tcW w:w="1101" w:type="pct"/>
          </w:tcPr>
          <w:p w:rsidR="00144D06" w:rsidRPr="00E11BD4" w:rsidRDefault="00144D06" w:rsidP="00144D06">
            <w:pPr>
              <w:keepNext/>
              <w:jc w:val="center"/>
              <w:rPr>
                <w:rFonts w:ascii="Arial Narrow" w:hAnsi="Arial Narrow" w:cs="Arial Narrow"/>
                <w:sz w:val="20"/>
              </w:rPr>
            </w:pPr>
            <w:r w:rsidRPr="00E11BD4">
              <w:rPr>
                <w:rFonts w:ascii="Arial Narrow" w:hAnsi="Arial Narrow" w:cs="Arial Narrow"/>
                <w:sz w:val="20"/>
              </w:rPr>
              <w:t>0.99 (0.96, 1.01)</w:t>
            </w:r>
          </w:p>
        </w:tc>
        <w:tc>
          <w:tcPr>
            <w:tcW w:w="1018" w:type="pct"/>
          </w:tcPr>
          <w:p w:rsidR="00144D06" w:rsidRPr="00E11BD4" w:rsidRDefault="00144D06" w:rsidP="00144D06">
            <w:pPr>
              <w:keepNext/>
              <w:jc w:val="center"/>
              <w:rPr>
                <w:rFonts w:ascii="Arial Narrow" w:hAnsi="Arial Narrow" w:cs="Arial Narrow"/>
                <w:sz w:val="20"/>
              </w:rPr>
            </w:pPr>
            <w:r w:rsidRPr="00E11BD4">
              <w:rPr>
                <w:rFonts w:ascii="Arial Narrow" w:hAnsi="Arial Narrow" w:cs="Arial Narrow"/>
                <w:sz w:val="20"/>
              </w:rPr>
              <w:t>-0.01 (-0.04,0.01)</w:t>
            </w:r>
          </w:p>
        </w:tc>
      </w:tr>
      <w:tr w:rsidR="00144D06" w:rsidRPr="00E11BD4" w:rsidTr="00144D06">
        <w:tc>
          <w:tcPr>
            <w:tcW w:w="1356" w:type="pct"/>
          </w:tcPr>
          <w:p w:rsidR="00144D06" w:rsidRPr="00E11BD4" w:rsidRDefault="00144D06" w:rsidP="00144D06">
            <w:pPr>
              <w:keepNext/>
              <w:rPr>
                <w:rFonts w:ascii="Arial Narrow" w:hAnsi="Arial Narrow" w:cs="Arial Narrow"/>
                <w:sz w:val="20"/>
                <w:lang w:eastAsia="en-AU"/>
              </w:rPr>
            </w:pPr>
            <w:r w:rsidRPr="00E11BD4">
              <w:rPr>
                <w:rFonts w:ascii="Arial Narrow" w:hAnsi="Arial Narrow" w:cs="Arial Narrow"/>
                <w:sz w:val="20"/>
                <w:lang w:eastAsia="en-AU"/>
              </w:rPr>
              <w:t>Study drug related</w:t>
            </w:r>
          </w:p>
        </w:tc>
        <w:tc>
          <w:tcPr>
            <w:tcW w:w="847" w:type="pct"/>
          </w:tcPr>
          <w:p w:rsidR="00144D06" w:rsidRPr="00E11BD4" w:rsidRDefault="00144D06" w:rsidP="00144D06">
            <w:pPr>
              <w:keepNext/>
              <w:jc w:val="center"/>
              <w:rPr>
                <w:rFonts w:ascii="Arial Narrow" w:hAnsi="Arial Narrow" w:cs="Arial Narrow"/>
                <w:b/>
                <w:sz w:val="20"/>
              </w:rPr>
            </w:pPr>
            <w:r w:rsidRPr="00E11BD4">
              <w:rPr>
                <w:rFonts w:ascii="Arial Narrow" w:hAnsi="Arial Narrow" w:cs="Arial Narrow"/>
                <w:b/>
                <w:sz w:val="20"/>
              </w:rPr>
              <w:t>199 (69.3)</w:t>
            </w:r>
          </w:p>
        </w:tc>
        <w:tc>
          <w:tcPr>
            <w:tcW w:w="679" w:type="pct"/>
          </w:tcPr>
          <w:p w:rsidR="00144D06" w:rsidRPr="00E11BD4" w:rsidRDefault="00144D06" w:rsidP="00144D06">
            <w:pPr>
              <w:keepNext/>
              <w:jc w:val="center"/>
              <w:rPr>
                <w:rFonts w:ascii="Arial Narrow" w:hAnsi="Arial Narrow" w:cs="Arial Narrow"/>
                <w:b/>
                <w:sz w:val="20"/>
              </w:rPr>
            </w:pPr>
            <w:r w:rsidRPr="00E11BD4">
              <w:rPr>
                <w:rFonts w:ascii="Arial Narrow" w:hAnsi="Arial Narrow" w:cs="Arial Narrow"/>
                <w:b/>
                <w:sz w:val="20"/>
              </w:rPr>
              <w:t>236 (88.1)</w:t>
            </w:r>
          </w:p>
        </w:tc>
        <w:tc>
          <w:tcPr>
            <w:tcW w:w="1101" w:type="pct"/>
          </w:tcPr>
          <w:p w:rsidR="00144D06" w:rsidRPr="00E11BD4" w:rsidRDefault="00144D06" w:rsidP="00144D06">
            <w:pPr>
              <w:keepNext/>
              <w:jc w:val="center"/>
              <w:rPr>
                <w:rFonts w:ascii="Arial Narrow" w:hAnsi="Arial Narrow" w:cs="Arial Narrow"/>
                <w:b/>
                <w:sz w:val="20"/>
              </w:rPr>
            </w:pPr>
            <w:r w:rsidRPr="00E11BD4">
              <w:rPr>
                <w:rFonts w:ascii="Arial Narrow" w:hAnsi="Arial Narrow" w:cs="Arial Narrow"/>
                <w:b/>
                <w:sz w:val="20"/>
              </w:rPr>
              <w:t>0.79 (0.72, 0.86)</w:t>
            </w:r>
          </w:p>
        </w:tc>
        <w:tc>
          <w:tcPr>
            <w:tcW w:w="1018" w:type="pct"/>
          </w:tcPr>
          <w:p w:rsidR="00144D06" w:rsidRPr="00E11BD4" w:rsidRDefault="00144D06" w:rsidP="00144D06">
            <w:pPr>
              <w:keepNext/>
              <w:jc w:val="center"/>
              <w:rPr>
                <w:rFonts w:ascii="Arial Narrow" w:hAnsi="Arial Narrow" w:cs="Arial Narrow"/>
                <w:b/>
                <w:sz w:val="20"/>
              </w:rPr>
            </w:pPr>
            <w:r w:rsidRPr="00E11BD4">
              <w:rPr>
                <w:rFonts w:ascii="Arial Narrow" w:hAnsi="Arial Narrow" w:cs="Arial Narrow"/>
                <w:b/>
                <w:sz w:val="20"/>
              </w:rPr>
              <w:t>-0.19 (-0.25, -0.12)</w:t>
            </w:r>
          </w:p>
        </w:tc>
      </w:tr>
      <w:tr w:rsidR="00144D06" w:rsidRPr="00E11BD4" w:rsidTr="00144D06">
        <w:trPr>
          <w:trHeight w:val="124"/>
        </w:trPr>
        <w:tc>
          <w:tcPr>
            <w:tcW w:w="5000" w:type="pct"/>
            <w:gridSpan w:val="5"/>
            <w:shd w:val="clear" w:color="auto" w:fill="auto"/>
          </w:tcPr>
          <w:p w:rsidR="00144D06" w:rsidRPr="003D4787" w:rsidRDefault="00144D06" w:rsidP="00144D06">
            <w:pPr>
              <w:keepNext/>
              <w:jc w:val="left"/>
              <w:rPr>
                <w:rFonts w:ascii="Arial Narrow" w:hAnsi="Arial Narrow" w:cs="Arial Narrow"/>
                <w:b/>
                <w:sz w:val="20"/>
              </w:rPr>
            </w:pPr>
            <w:r w:rsidRPr="003D4787">
              <w:rPr>
                <w:rFonts w:ascii="Arial Narrow" w:hAnsi="Arial Narrow" w:cs="Arial Narrow"/>
                <w:b/>
                <w:sz w:val="20"/>
              </w:rPr>
              <w:t>SAE -n (%)</w:t>
            </w:r>
          </w:p>
        </w:tc>
      </w:tr>
      <w:tr w:rsidR="00144D06" w:rsidRPr="00E11BD4" w:rsidTr="00144D06">
        <w:tc>
          <w:tcPr>
            <w:tcW w:w="1356" w:type="pct"/>
          </w:tcPr>
          <w:p w:rsidR="00144D06" w:rsidRPr="00E11BD4" w:rsidRDefault="00144D06" w:rsidP="00144D06">
            <w:pPr>
              <w:keepNext/>
              <w:rPr>
                <w:rFonts w:ascii="Arial Narrow" w:hAnsi="Arial Narrow" w:cs="Arial Narrow"/>
                <w:sz w:val="20"/>
                <w:lang w:eastAsia="en-AU"/>
              </w:rPr>
            </w:pPr>
            <w:r w:rsidRPr="00E11BD4">
              <w:rPr>
                <w:rFonts w:ascii="Arial Narrow" w:hAnsi="Arial Narrow" w:cs="Arial Narrow"/>
                <w:sz w:val="20"/>
                <w:lang w:eastAsia="en-AU"/>
              </w:rPr>
              <w:t>Any cause</w:t>
            </w:r>
          </w:p>
        </w:tc>
        <w:tc>
          <w:tcPr>
            <w:tcW w:w="847" w:type="pct"/>
          </w:tcPr>
          <w:p w:rsidR="00144D06" w:rsidRPr="00E11BD4" w:rsidRDefault="00144D06" w:rsidP="00144D06">
            <w:pPr>
              <w:keepNext/>
              <w:jc w:val="center"/>
              <w:rPr>
                <w:rFonts w:ascii="Arial Narrow" w:hAnsi="Arial Narrow" w:cs="Arial Narrow"/>
                <w:sz w:val="20"/>
              </w:rPr>
            </w:pPr>
            <w:r w:rsidRPr="00E11BD4">
              <w:rPr>
                <w:rFonts w:ascii="Arial Narrow" w:hAnsi="Arial Narrow" w:cs="Arial Narrow"/>
                <w:sz w:val="20"/>
              </w:rPr>
              <w:t>134 (46.7)</w:t>
            </w:r>
          </w:p>
        </w:tc>
        <w:tc>
          <w:tcPr>
            <w:tcW w:w="679" w:type="pct"/>
          </w:tcPr>
          <w:p w:rsidR="00144D06" w:rsidRPr="00E11BD4" w:rsidRDefault="00144D06" w:rsidP="00144D06">
            <w:pPr>
              <w:keepNext/>
              <w:jc w:val="center"/>
              <w:rPr>
                <w:rFonts w:ascii="Arial Narrow" w:hAnsi="Arial Narrow" w:cs="Arial Narrow"/>
                <w:sz w:val="20"/>
              </w:rPr>
            </w:pPr>
            <w:r w:rsidRPr="00E11BD4">
              <w:rPr>
                <w:rFonts w:ascii="Arial Narrow" w:hAnsi="Arial Narrow" w:cs="Arial Narrow"/>
                <w:sz w:val="20"/>
              </w:rPr>
              <w:t>111 (41.4)</w:t>
            </w:r>
          </w:p>
        </w:tc>
        <w:tc>
          <w:tcPr>
            <w:tcW w:w="1101" w:type="pct"/>
          </w:tcPr>
          <w:p w:rsidR="00144D06" w:rsidRPr="00E11BD4" w:rsidRDefault="00144D06" w:rsidP="00144D06">
            <w:pPr>
              <w:keepNext/>
              <w:jc w:val="center"/>
              <w:rPr>
                <w:rFonts w:ascii="Arial Narrow" w:hAnsi="Arial Narrow" w:cs="Arial Narrow"/>
                <w:sz w:val="20"/>
              </w:rPr>
            </w:pPr>
            <w:r w:rsidRPr="00E11BD4">
              <w:rPr>
                <w:rFonts w:ascii="Arial Narrow" w:hAnsi="Arial Narrow" w:cs="Arial Narrow"/>
                <w:sz w:val="20"/>
              </w:rPr>
              <w:t>1.13 (0.93, 1.36)</w:t>
            </w:r>
          </w:p>
        </w:tc>
        <w:tc>
          <w:tcPr>
            <w:tcW w:w="1018" w:type="pct"/>
          </w:tcPr>
          <w:p w:rsidR="00144D06" w:rsidRPr="00E11BD4" w:rsidRDefault="00144D06" w:rsidP="00144D06">
            <w:pPr>
              <w:keepNext/>
              <w:jc w:val="center"/>
              <w:rPr>
                <w:rFonts w:ascii="Arial Narrow" w:hAnsi="Arial Narrow" w:cs="Arial Narrow"/>
                <w:sz w:val="20"/>
              </w:rPr>
            </w:pPr>
            <w:r w:rsidRPr="00E11BD4">
              <w:rPr>
                <w:rFonts w:ascii="Arial Narrow" w:hAnsi="Arial Narrow" w:cs="Arial Narrow"/>
                <w:sz w:val="20"/>
              </w:rPr>
              <w:t>0.05 (-0.03,0.14)</w:t>
            </w:r>
          </w:p>
        </w:tc>
      </w:tr>
      <w:tr w:rsidR="00144D06" w:rsidRPr="00E11BD4" w:rsidTr="00144D06">
        <w:tc>
          <w:tcPr>
            <w:tcW w:w="1356" w:type="pct"/>
          </w:tcPr>
          <w:p w:rsidR="00144D06" w:rsidRPr="00E11BD4" w:rsidRDefault="00144D06" w:rsidP="00144D06">
            <w:pPr>
              <w:keepNext/>
              <w:rPr>
                <w:rFonts w:ascii="Arial Narrow" w:hAnsi="Arial Narrow" w:cs="Arial Narrow"/>
                <w:sz w:val="20"/>
                <w:lang w:eastAsia="en-AU"/>
              </w:rPr>
            </w:pPr>
            <w:r w:rsidRPr="00E11BD4">
              <w:rPr>
                <w:rFonts w:ascii="Arial Narrow" w:hAnsi="Arial Narrow" w:cs="Arial Narrow"/>
                <w:sz w:val="20"/>
                <w:lang w:eastAsia="en-AU"/>
              </w:rPr>
              <w:t>Study drug related</w:t>
            </w:r>
          </w:p>
        </w:tc>
        <w:tc>
          <w:tcPr>
            <w:tcW w:w="847" w:type="pct"/>
          </w:tcPr>
          <w:p w:rsidR="00144D06" w:rsidRPr="00E11BD4" w:rsidRDefault="00144D06" w:rsidP="00144D06">
            <w:pPr>
              <w:keepNext/>
              <w:jc w:val="center"/>
              <w:rPr>
                <w:rFonts w:ascii="Arial Narrow" w:hAnsi="Arial Narrow" w:cs="Arial Narrow"/>
                <w:sz w:val="20"/>
              </w:rPr>
            </w:pPr>
            <w:r w:rsidRPr="00E11BD4">
              <w:rPr>
                <w:rFonts w:ascii="Arial Narrow" w:hAnsi="Arial Narrow" w:cs="Arial Narrow"/>
                <w:sz w:val="20"/>
              </w:rPr>
              <w:t>21 (7.3)</w:t>
            </w:r>
          </w:p>
        </w:tc>
        <w:tc>
          <w:tcPr>
            <w:tcW w:w="679" w:type="pct"/>
          </w:tcPr>
          <w:p w:rsidR="00144D06" w:rsidRPr="00E11BD4" w:rsidRDefault="00144D06" w:rsidP="00144D06">
            <w:pPr>
              <w:keepNext/>
              <w:jc w:val="center"/>
              <w:rPr>
                <w:rFonts w:ascii="Arial Narrow" w:hAnsi="Arial Narrow" w:cs="Arial Narrow"/>
                <w:sz w:val="20"/>
              </w:rPr>
            </w:pPr>
            <w:r w:rsidRPr="00E11BD4">
              <w:rPr>
                <w:rFonts w:ascii="Arial Narrow" w:hAnsi="Arial Narrow" w:cs="Arial Narrow"/>
                <w:sz w:val="20"/>
              </w:rPr>
              <w:t>15 (5.2)</w:t>
            </w:r>
          </w:p>
        </w:tc>
        <w:tc>
          <w:tcPr>
            <w:tcW w:w="1101" w:type="pct"/>
          </w:tcPr>
          <w:p w:rsidR="00144D06" w:rsidRPr="00E11BD4" w:rsidRDefault="00144D06" w:rsidP="00144D06">
            <w:pPr>
              <w:keepNext/>
              <w:jc w:val="center"/>
              <w:rPr>
                <w:rFonts w:ascii="Arial Narrow" w:hAnsi="Arial Narrow" w:cs="Arial Narrow"/>
                <w:sz w:val="20"/>
              </w:rPr>
            </w:pPr>
            <w:r w:rsidRPr="00E11BD4">
              <w:rPr>
                <w:rFonts w:ascii="Arial Narrow" w:hAnsi="Arial Narrow" w:cs="Arial Narrow"/>
                <w:sz w:val="20"/>
              </w:rPr>
              <w:t>1.31 (0.69, 2.48)</w:t>
            </w:r>
          </w:p>
        </w:tc>
        <w:tc>
          <w:tcPr>
            <w:tcW w:w="1018" w:type="pct"/>
          </w:tcPr>
          <w:p w:rsidR="00144D06" w:rsidRPr="00E11BD4" w:rsidRDefault="00144D06" w:rsidP="00144D06">
            <w:pPr>
              <w:keepNext/>
              <w:jc w:val="center"/>
              <w:rPr>
                <w:rFonts w:ascii="Arial Narrow" w:hAnsi="Arial Narrow" w:cs="Arial Narrow"/>
                <w:sz w:val="20"/>
              </w:rPr>
            </w:pPr>
            <w:r w:rsidRPr="00E11BD4">
              <w:rPr>
                <w:rFonts w:ascii="Arial Narrow" w:hAnsi="Arial Narrow" w:cs="Arial Narrow"/>
                <w:sz w:val="20"/>
              </w:rPr>
              <w:t>0.02 (-0.02, 0.06)</w:t>
            </w:r>
          </w:p>
        </w:tc>
      </w:tr>
      <w:tr w:rsidR="00144D06" w:rsidRPr="00E11BD4" w:rsidTr="00144D06">
        <w:tc>
          <w:tcPr>
            <w:tcW w:w="5000" w:type="pct"/>
            <w:gridSpan w:val="5"/>
            <w:shd w:val="clear" w:color="auto" w:fill="auto"/>
          </w:tcPr>
          <w:p w:rsidR="00144D06" w:rsidRPr="003D4787" w:rsidRDefault="00144D06" w:rsidP="00144D06">
            <w:pPr>
              <w:keepNext/>
              <w:jc w:val="left"/>
              <w:rPr>
                <w:rFonts w:ascii="Arial Narrow" w:hAnsi="Arial Narrow" w:cs="Arial Narrow"/>
                <w:b/>
                <w:sz w:val="20"/>
              </w:rPr>
            </w:pPr>
            <w:r w:rsidRPr="003D4787">
              <w:rPr>
                <w:rFonts w:ascii="Arial Narrow" w:hAnsi="Arial Narrow" w:cs="Arial Narrow"/>
                <w:b/>
                <w:sz w:val="20"/>
                <w:lang w:eastAsia="en-AU"/>
              </w:rPr>
              <w:t>Severe AE (Grade ≥3) n (%)</w:t>
            </w:r>
          </w:p>
        </w:tc>
      </w:tr>
      <w:tr w:rsidR="00144D06" w:rsidRPr="00E11BD4" w:rsidTr="00144D06">
        <w:tc>
          <w:tcPr>
            <w:tcW w:w="1356" w:type="pct"/>
          </w:tcPr>
          <w:p w:rsidR="00144D06" w:rsidRPr="006B0F3A" w:rsidRDefault="00144D06" w:rsidP="00144D06">
            <w:pPr>
              <w:keepNext/>
              <w:rPr>
                <w:rFonts w:ascii="Arial Narrow" w:hAnsi="Arial Narrow" w:cs="Arial Narrow"/>
                <w:b/>
                <w:sz w:val="20"/>
              </w:rPr>
            </w:pPr>
            <w:r w:rsidRPr="006B0F3A">
              <w:rPr>
                <w:rFonts w:ascii="Arial Narrow" w:hAnsi="Arial Narrow" w:cs="Arial Narrow"/>
                <w:b/>
                <w:sz w:val="20"/>
              </w:rPr>
              <w:t>Any cause</w:t>
            </w:r>
          </w:p>
        </w:tc>
        <w:tc>
          <w:tcPr>
            <w:tcW w:w="847" w:type="pct"/>
          </w:tcPr>
          <w:p w:rsidR="00144D06" w:rsidRPr="006B0F3A" w:rsidRDefault="00144D06" w:rsidP="00144D06">
            <w:pPr>
              <w:keepNext/>
              <w:jc w:val="center"/>
              <w:rPr>
                <w:rFonts w:ascii="Arial Narrow" w:hAnsi="Arial Narrow" w:cs="Arial Narrow"/>
                <w:b/>
                <w:sz w:val="20"/>
              </w:rPr>
            </w:pPr>
            <w:r w:rsidRPr="006B0F3A">
              <w:rPr>
                <w:rFonts w:ascii="Arial Narrow" w:hAnsi="Arial Narrow" w:cs="Arial Narrow"/>
                <w:b/>
                <w:sz w:val="20"/>
              </w:rPr>
              <w:t>132 (46.0)</w:t>
            </w:r>
          </w:p>
        </w:tc>
        <w:tc>
          <w:tcPr>
            <w:tcW w:w="679" w:type="pct"/>
          </w:tcPr>
          <w:p w:rsidR="00144D06" w:rsidRPr="006B0F3A" w:rsidRDefault="00144D06" w:rsidP="00144D06">
            <w:pPr>
              <w:keepNext/>
              <w:jc w:val="center"/>
              <w:rPr>
                <w:rFonts w:ascii="Arial Narrow" w:hAnsi="Arial Narrow" w:cs="Arial Narrow"/>
                <w:b/>
                <w:sz w:val="20"/>
              </w:rPr>
            </w:pPr>
            <w:r w:rsidRPr="006B0F3A">
              <w:rPr>
                <w:rFonts w:ascii="Arial Narrow" w:hAnsi="Arial Narrow" w:cs="Arial Narrow"/>
                <w:b/>
                <w:sz w:val="20"/>
              </w:rPr>
              <w:t>180 (67.2)</w:t>
            </w:r>
          </w:p>
        </w:tc>
        <w:tc>
          <w:tcPr>
            <w:tcW w:w="1101" w:type="pct"/>
          </w:tcPr>
          <w:p w:rsidR="00144D06" w:rsidRPr="006B0F3A" w:rsidRDefault="00144D06" w:rsidP="00144D06">
            <w:pPr>
              <w:keepNext/>
              <w:jc w:val="center"/>
              <w:rPr>
                <w:rFonts w:ascii="Arial Narrow" w:hAnsi="Arial Narrow" w:cs="Arial Narrow"/>
                <w:b/>
                <w:sz w:val="20"/>
              </w:rPr>
            </w:pPr>
            <w:r w:rsidRPr="006B0F3A">
              <w:rPr>
                <w:rFonts w:ascii="Arial Narrow" w:hAnsi="Arial Narrow" w:cs="Arial Narrow"/>
                <w:b/>
                <w:sz w:val="20"/>
              </w:rPr>
              <w:t>0.68 (0.59,0.80)</w:t>
            </w:r>
          </w:p>
        </w:tc>
        <w:tc>
          <w:tcPr>
            <w:tcW w:w="1018" w:type="pct"/>
          </w:tcPr>
          <w:p w:rsidR="00144D06" w:rsidRPr="006B0F3A" w:rsidRDefault="00144D06" w:rsidP="00144D06">
            <w:pPr>
              <w:keepNext/>
              <w:jc w:val="center"/>
              <w:rPr>
                <w:rFonts w:ascii="Arial Narrow" w:hAnsi="Arial Narrow" w:cs="Arial Narrow"/>
                <w:b/>
                <w:sz w:val="20"/>
              </w:rPr>
            </w:pPr>
            <w:r w:rsidRPr="006B0F3A">
              <w:rPr>
                <w:rFonts w:ascii="Arial Narrow" w:hAnsi="Arial Narrow" w:cs="Arial Narrow"/>
                <w:b/>
                <w:sz w:val="20"/>
              </w:rPr>
              <w:t>-0.21 (-0.29,-0.13)</w:t>
            </w:r>
          </w:p>
        </w:tc>
      </w:tr>
      <w:tr w:rsidR="00144D06" w:rsidRPr="00E11BD4" w:rsidTr="00144D06">
        <w:tc>
          <w:tcPr>
            <w:tcW w:w="1356" w:type="pct"/>
          </w:tcPr>
          <w:p w:rsidR="00144D06" w:rsidRPr="00E11BD4" w:rsidRDefault="00144D06" w:rsidP="00144D06">
            <w:pPr>
              <w:keepNext/>
              <w:rPr>
                <w:rFonts w:ascii="Arial Narrow" w:hAnsi="Arial Narrow" w:cs="Arial Narrow"/>
                <w:sz w:val="20"/>
              </w:rPr>
            </w:pPr>
            <w:r w:rsidRPr="00E11BD4">
              <w:rPr>
                <w:rFonts w:ascii="Arial Narrow" w:hAnsi="Arial Narrow" w:cs="Arial Narrow"/>
                <w:sz w:val="20"/>
              </w:rPr>
              <w:t>Study drug related</w:t>
            </w:r>
          </w:p>
        </w:tc>
        <w:tc>
          <w:tcPr>
            <w:tcW w:w="847" w:type="pct"/>
          </w:tcPr>
          <w:p w:rsidR="00144D06" w:rsidRPr="00E11BD4" w:rsidRDefault="00144D06" w:rsidP="00144D06">
            <w:pPr>
              <w:keepNext/>
              <w:jc w:val="center"/>
              <w:rPr>
                <w:rFonts w:ascii="Arial Narrow" w:hAnsi="Arial Narrow" w:cs="Arial Narrow"/>
                <w:b/>
                <w:sz w:val="20"/>
              </w:rPr>
            </w:pPr>
            <w:r w:rsidRPr="00E11BD4">
              <w:rPr>
                <w:rFonts w:ascii="Arial Narrow" w:hAnsi="Arial Narrow" w:cs="Arial Narrow"/>
                <w:b/>
                <w:sz w:val="20"/>
              </w:rPr>
              <w:t>30 (10.5)</w:t>
            </w:r>
          </w:p>
        </w:tc>
        <w:tc>
          <w:tcPr>
            <w:tcW w:w="679" w:type="pct"/>
          </w:tcPr>
          <w:p w:rsidR="00144D06" w:rsidRPr="00E11BD4" w:rsidRDefault="00144D06" w:rsidP="00144D06">
            <w:pPr>
              <w:keepNext/>
              <w:jc w:val="center"/>
              <w:rPr>
                <w:rFonts w:ascii="Arial Narrow" w:hAnsi="Arial Narrow" w:cs="Arial Narrow"/>
                <w:b/>
                <w:sz w:val="20"/>
              </w:rPr>
            </w:pPr>
            <w:r w:rsidRPr="00E11BD4">
              <w:rPr>
                <w:rFonts w:ascii="Arial Narrow" w:hAnsi="Arial Narrow" w:cs="Arial Narrow"/>
                <w:b/>
                <w:sz w:val="20"/>
              </w:rPr>
              <w:t>144 (53.7)</w:t>
            </w:r>
          </w:p>
        </w:tc>
        <w:tc>
          <w:tcPr>
            <w:tcW w:w="1101" w:type="pct"/>
          </w:tcPr>
          <w:p w:rsidR="00144D06" w:rsidRPr="00E11BD4" w:rsidRDefault="00144D06" w:rsidP="00144D06">
            <w:pPr>
              <w:keepNext/>
              <w:jc w:val="center"/>
              <w:rPr>
                <w:rFonts w:ascii="Arial Narrow" w:hAnsi="Arial Narrow" w:cs="Arial Narrow"/>
                <w:b/>
                <w:sz w:val="20"/>
              </w:rPr>
            </w:pPr>
            <w:r w:rsidRPr="00E11BD4">
              <w:rPr>
                <w:rFonts w:ascii="Arial Narrow" w:hAnsi="Arial Narrow" w:cs="Arial Narrow"/>
                <w:b/>
                <w:sz w:val="20"/>
              </w:rPr>
              <w:t>0.19 (0.14, 0.28)</w:t>
            </w:r>
          </w:p>
        </w:tc>
        <w:tc>
          <w:tcPr>
            <w:tcW w:w="1018" w:type="pct"/>
          </w:tcPr>
          <w:p w:rsidR="00144D06" w:rsidRPr="00E11BD4" w:rsidRDefault="00144D06" w:rsidP="00144D06">
            <w:pPr>
              <w:keepNext/>
              <w:jc w:val="center"/>
              <w:rPr>
                <w:rFonts w:ascii="Arial Narrow" w:hAnsi="Arial Narrow" w:cs="Arial Narrow"/>
                <w:b/>
                <w:sz w:val="20"/>
              </w:rPr>
            </w:pPr>
            <w:r w:rsidRPr="00E11BD4">
              <w:rPr>
                <w:rFonts w:ascii="Arial Narrow" w:hAnsi="Arial Narrow" w:cs="Arial Narrow"/>
                <w:b/>
                <w:sz w:val="20"/>
              </w:rPr>
              <w:t>-0.43 (-0.50,-0.36)</w:t>
            </w:r>
          </w:p>
        </w:tc>
      </w:tr>
      <w:tr w:rsidR="00144D06" w:rsidRPr="00E11BD4" w:rsidTr="00144D06">
        <w:tc>
          <w:tcPr>
            <w:tcW w:w="5000" w:type="pct"/>
            <w:gridSpan w:val="5"/>
            <w:shd w:val="clear" w:color="auto" w:fill="auto"/>
          </w:tcPr>
          <w:p w:rsidR="00144D06" w:rsidRPr="003D4787" w:rsidRDefault="00144D06" w:rsidP="00144D06">
            <w:pPr>
              <w:keepNext/>
              <w:jc w:val="left"/>
              <w:rPr>
                <w:rFonts w:ascii="Arial Narrow" w:hAnsi="Arial Narrow" w:cs="Arial Narrow"/>
                <w:b/>
                <w:sz w:val="20"/>
              </w:rPr>
            </w:pPr>
            <w:r w:rsidRPr="003D4787">
              <w:rPr>
                <w:rFonts w:ascii="Arial Narrow" w:hAnsi="Arial Narrow" w:cs="Arial Narrow"/>
                <w:b/>
                <w:sz w:val="20"/>
              </w:rPr>
              <w:t>AE leading to discontinuation - n (%)</w:t>
            </w:r>
          </w:p>
        </w:tc>
      </w:tr>
      <w:tr w:rsidR="00144D06" w:rsidRPr="00E11BD4" w:rsidTr="00144D06">
        <w:tc>
          <w:tcPr>
            <w:tcW w:w="1356" w:type="pct"/>
          </w:tcPr>
          <w:p w:rsidR="00144D06" w:rsidRPr="00E11BD4" w:rsidRDefault="00144D06" w:rsidP="00144D06">
            <w:pPr>
              <w:keepNext/>
              <w:rPr>
                <w:rFonts w:ascii="Arial Narrow" w:hAnsi="Arial Narrow" w:cs="Arial Narrow"/>
                <w:sz w:val="20"/>
              </w:rPr>
            </w:pPr>
            <w:r w:rsidRPr="00E11BD4">
              <w:rPr>
                <w:rFonts w:ascii="Arial Narrow" w:hAnsi="Arial Narrow" w:cs="Arial Narrow"/>
                <w:sz w:val="20"/>
              </w:rPr>
              <w:t>Any cause</w:t>
            </w:r>
          </w:p>
        </w:tc>
        <w:tc>
          <w:tcPr>
            <w:tcW w:w="847" w:type="pct"/>
          </w:tcPr>
          <w:p w:rsidR="00144D06" w:rsidRPr="00E11BD4" w:rsidRDefault="00144D06" w:rsidP="00144D06">
            <w:pPr>
              <w:keepNext/>
              <w:jc w:val="center"/>
              <w:rPr>
                <w:rFonts w:ascii="Arial Narrow" w:hAnsi="Arial Narrow" w:cs="Arial Narrow"/>
                <w:sz w:val="20"/>
              </w:rPr>
            </w:pPr>
            <w:r w:rsidRPr="00E11BD4">
              <w:rPr>
                <w:rFonts w:ascii="Arial Narrow" w:hAnsi="Arial Narrow" w:cs="Arial Narrow"/>
                <w:sz w:val="20"/>
              </w:rPr>
              <w:t>48 (16.7)</w:t>
            </w:r>
          </w:p>
        </w:tc>
        <w:tc>
          <w:tcPr>
            <w:tcW w:w="679" w:type="pct"/>
          </w:tcPr>
          <w:p w:rsidR="00144D06" w:rsidRPr="00E11BD4" w:rsidRDefault="00144D06" w:rsidP="00144D06">
            <w:pPr>
              <w:keepNext/>
              <w:jc w:val="center"/>
              <w:rPr>
                <w:rFonts w:ascii="Arial Narrow" w:hAnsi="Arial Narrow" w:cs="Arial Narrow"/>
                <w:sz w:val="20"/>
              </w:rPr>
            </w:pPr>
            <w:r w:rsidRPr="00E11BD4">
              <w:rPr>
                <w:rFonts w:ascii="Arial Narrow" w:hAnsi="Arial Narrow" w:cs="Arial Narrow"/>
                <w:sz w:val="20"/>
              </w:rPr>
              <w:t>58 (21.6)</w:t>
            </w:r>
          </w:p>
        </w:tc>
        <w:tc>
          <w:tcPr>
            <w:tcW w:w="1101" w:type="pct"/>
          </w:tcPr>
          <w:p w:rsidR="00144D06" w:rsidRPr="00E11BD4" w:rsidRDefault="00144D06" w:rsidP="00144D06">
            <w:pPr>
              <w:keepNext/>
              <w:jc w:val="center"/>
              <w:rPr>
                <w:rFonts w:ascii="Arial Narrow" w:hAnsi="Arial Narrow" w:cs="Arial Narrow"/>
                <w:sz w:val="20"/>
              </w:rPr>
            </w:pPr>
            <w:r w:rsidRPr="00E11BD4">
              <w:rPr>
                <w:rFonts w:ascii="Arial Narrow" w:hAnsi="Arial Narrow" w:cs="Arial Narrow"/>
                <w:sz w:val="20"/>
              </w:rPr>
              <w:t>0.77 (0.55, 1.09)</w:t>
            </w:r>
          </w:p>
        </w:tc>
        <w:tc>
          <w:tcPr>
            <w:tcW w:w="1018" w:type="pct"/>
          </w:tcPr>
          <w:p w:rsidR="00144D06" w:rsidRPr="00E11BD4" w:rsidRDefault="00144D06" w:rsidP="00144D06">
            <w:pPr>
              <w:keepNext/>
              <w:jc w:val="center"/>
              <w:rPr>
                <w:rFonts w:ascii="Arial Narrow" w:hAnsi="Arial Narrow" w:cs="Arial Narrow"/>
                <w:sz w:val="20"/>
              </w:rPr>
            </w:pPr>
            <w:r w:rsidRPr="00E11BD4">
              <w:rPr>
                <w:rFonts w:ascii="Arial Narrow" w:hAnsi="Arial Narrow" w:cs="Arial Narrow"/>
                <w:sz w:val="20"/>
              </w:rPr>
              <w:t>-0.05 (-0.11, 0.02)</w:t>
            </w:r>
          </w:p>
        </w:tc>
      </w:tr>
      <w:tr w:rsidR="00144D06" w:rsidRPr="00E11BD4" w:rsidTr="00144D06">
        <w:tc>
          <w:tcPr>
            <w:tcW w:w="1356" w:type="pct"/>
          </w:tcPr>
          <w:p w:rsidR="00144D06" w:rsidRPr="00E11BD4" w:rsidRDefault="00144D06" w:rsidP="00144D06">
            <w:pPr>
              <w:keepNext/>
              <w:rPr>
                <w:rFonts w:ascii="Arial Narrow" w:hAnsi="Arial Narrow" w:cs="Arial Narrow"/>
                <w:sz w:val="20"/>
              </w:rPr>
            </w:pPr>
            <w:r w:rsidRPr="00E11BD4">
              <w:rPr>
                <w:rFonts w:ascii="Arial Narrow" w:hAnsi="Arial Narrow" w:cs="Arial Narrow"/>
                <w:sz w:val="20"/>
              </w:rPr>
              <w:t>Study drug related</w:t>
            </w:r>
          </w:p>
        </w:tc>
        <w:tc>
          <w:tcPr>
            <w:tcW w:w="847" w:type="pct"/>
          </w:tcPr>
          <w:p w:rsidR="00144D06" w:rsidRPr="00E11BD4" w:rsidRDefault="00144D06" w:rsidP="00144D06">
            <w:pPr>
              <w:keepNext/>
              <w:jc w:val="center"/>
              <w:rPr>
                <w:rFonts w:ascii="Arial Narrow" w:hAnsi="Arial Narrow" w:cs="Arial Narrow"/>
                <w:b/>
                <w:sz w:val="20"/>
              </w:rPr>
            </w:pPr>
            <w:r w:rsidRPr="00E11BD4">
              <w:rPr>
                <w:rFonts w:ascii="Arial Narrow" w:hAnsi="Arial Narrow" w:cs="Arial Narrow"/>
                <w:b/>
                <w:sz w:val="20"/>
              </w:rPr>
              <w:t>14 (4.9)</w:t>
            </w:r>
          </w:p>
        </w:tc>
        <w:tc>
          <w:tcPr>
            <w:tcW w:w="679" w:type="pct"/>
          </w:tcPr>
          <w:p w:rsidR="00144D06" w:rsidRPr="00E11BD4" w:rsidRDefault="00144D06" w:rsidP="00144D06">
            <w:pPr>
              <w:keepNext/>
              <w:jc w:val="center"/>
              <w:rPr>
                <w:rFonts w:ascii="Arial Narrow" w:hAnsi="Arial Narrow" w:cs="Arial Narrow"/>
                <w:b/>
                <w:sz w:val="20"/>
              </w:rPr>
            </w:pPr>
            <w:r w:rsidRPr="00E11BD4">
              <w:rPr>
                <w:rFonts w:ascii="Arial Narrow" w:hAnsi="Arial Narrow" w:cs="Arial Narrow"/>
                <w:b/>
                <w:sz w:val="20"/>
              </w:rPr>
              <w:t>40 (14.9)</w:t>
            </w:r>
          </w:p>
        </w:tc>
        <w:tc>
          <w:tcPr>
            <w:tcW w:w="1101" w:type="pct"/>
          </w:tcPr>
          <w:p w:rsidR="00144D06" w:rsidRPr="00E11BD4" w:rsidRDefault="00144D06" w:rsidP="00144D06">
            <w:pPr>
              <w:keepNext/>
              <w:jc w:val="center"/>
              <w:rPr>
                <w:rFonts w:ascii="Arial Narrow" w:hAnsi="Arial Narrow" w:cs="Arial Narrow"/>
                <w:b/>
                <w:sz w:val="20"/>
              </w:rPr>
            </w:pPr>
            <w:r w:rsidRPr="00E11BD4">
              <w:rPr>
                <w:rFonts w:ascii="Arial Narrow" w:hAnsi="Arial Narrow" w:cs="Arial Narrow"/>
                <w:b/>
                <w:sz w:val="20"/>
              </w:rPr>
              <w:t>0.33 (0.18, 0.59)</w:t>
            </w:r>
          </w:p>
        </w:tc>
        <w:tc>
          <w:tcPr>
            <w:tcW w:w="1018" w:type="pct"/>
          </w:tcPr>
          <w:p w:rsidR="00144D06" w:rsidRPr="00E11BD4" w:rsidRDefault="00144D06" w:rsidP="00144D06">
            <w:pPr>
              <w:keepNext/>
              <w:jc w:val="center"/>
              <w:rPr>
                <w:rFonts w:ascii="Arial Narrow" w:hAnsi="Arial Narrow" w:cs="Arial Narrow"/>
                <w:b/>
                <w:sz w:val="20"/>
              </w:rPr>
            </w:pPr>
            <w:r w:rsidRPr="00E11BD4">
              <w:rPr>
                <w:rFonts w:ascii="Arial Narrow" w:hAnsi="Arial Narrow" w:cs="Arial Narrow"/>
                <w:b/>
                <w:sz w:val="20"/>
              </w:rPr>
              <w:t>-0.10 (-0.15, -0.05)</w:t>
            </w:r>
          </w:p>
        </w:tc>
      </w:tr>
      <w:tr w:rsidR="00144D06" w:rsidRPr="00E11BD4" w:rsidTr="00144D06">
        <w:tc>
          <w:tcPr>
            <w:tcW w:w="1356" w:type="pct"/>
            <w:shd w:val="clear" w:color="auto" w:fill="auto"/>
          </w:tcPr>
          <w:p w:rsidR="00144D06" w:rsidRPr="003D4787" w:rsidRDefault="00144D06" w:rsidP="00144D06">
            <w:pPr>
              <w:keepNext/>
              <w:rPr>
                <w:rFonts w:ascii="Arial Narrow" w:hAnsi="Arial Narrow" w:cs="Arial Narrow"/>
                <w:b/>
                <w:sz w:val="20"/>
              </w:rPr>
            </w:pPr>
            <w:r w:rsidRPr="003D4787">
              <w:rPr>
                <w:rFonts w:ascii="Arial Narrow" w:hAnsi="Arial Narrow" w:cs="Arial Narrow"/>
                <w:b/>
                <w:sz w:val="20"/>
              </w:rPr>
              <w:t>Death - n (%)</w:t>
            </w:r>
          </w:p>
        </w:tc>
        <w:tc>
          <w:tcPr>
            <w:tcW w:w="847" w:type="pct"/>
            <w:shd w:val="clear" w:color="auto" w:fill="auto"/>
          </w:tcPr>
          <w:p w:rsidR="00144D06" w:rsidRPr="00E11BD4" w:rsidRDefault="00144D06" w:rsidP="00144D06">
            <w:pPr>
              <w:keepNext/>
              <w:jc w:val="center"/>
              <w:rPr>
                <w:rFonts w:ascii="Arial Narrow" w:hAnsi="Arial Narrow" w:cs="Arial Narrow"/>
                <w:b/>
                <w:sz w:val="20"/>
              </w:rPr>
            </w:pPr>
            <w:r w:rsidRPr="00E11BD4">
              <w:rPr>
                <w:rFonts w:ascii="Arial Narrow" w:hAnsi="Arial Narrow" w:cs="Arial Narrow"/>
                <w:b/>
                <w:sz w:val="20"/>
              </w:rPr>
              <w:t>185 (64.5)</w:t>
            </w:r>
          </w:p>
        </w:tc>
        <w:tc>
          <w:tcPr>
            <w:tcW w:w="679" w:type="pct"/>
            <w:shd w:val="clear" w:color="auto" w:fill="auto"/>
          </w:tcPr>
          <w:p w:rsidR="00144D06" w:rsidRPr="00E11BD4" w:rsidRDefault="00144D06" w:rsidP="00144D06">
            <w:pPr>
              <w:keepNext/>
              <w:jc w:val="center"/>
              <w:rPr>
                <w:rFonts w:ascii="Arial Narrow" w:hAnsi="Arial Narrow" w:cs="Arial Narrow"/>
                <w:b/>
                <w:sz w:val="20"/>
              </w:rPr>
            </w:pPr>
            <w:r w:rsidRPr="00E11BD4">
              <w:rPr>
                <w:rFonts w:ascii="Arial Narrow" w:hAnsi="Arial Narrow" w:cs="Arial Narrow"/>
                <w:b/>
                <w:sz w:val="20"/>
              </w:rPr>
              <w:t>204 (76.1)</w:t>
            </w:r>
          </w:p>
        </w:tc>
        <w:tc>
          <w:tcPr>
            <w:tcW w:w="1101" w:type="pct"/>
            <w:shd w:val="clear" w:color="auto" w:fill="auto"/>
          </w:tcPr>
          <w:p w:rsidR="00144D06" w:rsidRPr="00E11BD4" w:rsidRDefault="00144D06" w:rsidP="00144D06">
            <w:pPr>
              <w:keepNext/>
              <w:jc w:val="center"/>
              <w:rPr>
                <w:rFonts w:ascii="Arial Narrow" w:hAnsi="Arial Narrow" w:cs="Arial Narrow"/>
                <w:b/>
                <w:sz w:val="20"/>
              </w:rPr>
            </w:pPr>
            <w:r w:rsidRPr="00E11BD4">
              <w:rPr>
                <w:rFonts w:ascii="Arial Narrow" w:hAnsi="Arial Narrow" w:cs="Arial Narrow"/>
                <w:b/>
                <w:sz w:val="20"/>
              </w:rPr>
              <w:t>0.85 (0.76, 0.94)</w:t>
            </w:r>
          </w:p>
        </w:tc>
        <w:tc>
          <w:tcPr>
            <w:tcW w:w="1018" w:type="pct"/>
            <w:shd w:val="clear" w:color="auto" w:fill="auto"/>
          </w:tcPr>
          <w:p w:rsidR="00144D06" w:rsidRPr="00E11BD4" w:rsidRDefault="00144D06" w:rsidP="00144D06">
            <w:pPr>
              <w:keepNext/>
              <w:jc w:val="center"/>
              <w:rPr>
                <w:rFonts w:ascii="Arial Narrow" w:hAnsi="Arial Narrow" w:cs="Arial Narrow"/>
                <w:b/>
                <w:sz w:val="20"/>
              </w:rPr>
            </w:pPr>
            <w:r w:rsidRPr="00E11BD4">
              <w:rPr>
                <w:rFonts w:ascii="Arial Narrow" w:hAnsi="Arial Narrow" w:cs="Arial Narrow"/>
                <w:b/>
                <w:sz w:val="20"/>
              </w:rPr>
              <w:t>-0.12 (-0.19,-0.04)</w:t>
            </w:r>
          </w:p>
        </w:tc>
      </w:tr>
    </w:tbl>
    <w:p w:rsidR="00144D06" w:rsidRPr="008D703A" w:rsidRDefault="00144D06" w:rsidP="00144D06">
      <w:pPr>
        <w:keepLines/>
        <w:ind w:left="720"/>
        <w:contextualSpacing/>
        <w:rPr>
          <w:rFonts w:ascii="Arial Narrow" w:hAnsi="Arial Narrow"/>
          <w:b/>
          <w:sz w:val="18"/>
          <w:szCs w:val="18"/>
          <w:lang w:eastAsia="en-AU"/>
        </w:rPr>
      </w:pPr>
      <w:r w:rsidRPr="008D703A">
        <w:rPr>
          <w:rFonts w:ascii="Arial Narrow" w:hAnsi="Arial Narrow"/>
          <w:b/>
          <w:sz w:val="18"/>
          <w:szCs w:val="18"/>
          <w:lang w:eastAsia="en-AU"/>
        </w:rPr>
        <w:t>Statistical significant results bolded.</w:t>
      </w:r>
    </w:p>
    <w:p w:rsidR="00144D06" w:rsidRPr="00E11BD4" w:rsidRDefault="00144D06" w:rsidP="00144D06">
      <w:pPr>
        <w:keepLines/>
        <w:ind w:left="720"/>
        <w:contextualSpacing/>
        <w:rPr>
          <w:rFonts w:ascii="Arial Narrow" w:hAnsi="Arial Narrow"/>
          <w:sz w:val="18"/>
          <w:szCs w:val="18"/>
          <w:lang w:eastAsia="en-AU"/>
        </w:rPr>
      </w:pPr>
      <w:r w:rsidRPr="00E11BD4">
        <w:rPr>
          <w:rFonts w:ascii="Arial Narrow" w:hAnsi="Arial Narrow"/>
          <w:sz w:val="18"/>
          <w:szCs w:val="18"/>
          <w:lang w:eastAsia="en-AU"/>
        </w:rPr>
        <w:t>AE = adverse event; DC = discontinuation; Doc = docetaxel; Nivo = nivolumab;</w:t>
      </w:r>
      <w:r w:rsidRPr="00E11BD4">
        <w:rPr>
          <w:rFonts w:ascii="Arial Narrow" w:hAnsi="Arial Narrow"/>
          <w:color w:val="000000" w:themeColor="text1"/>
          <w:sz w:val="18"/>
          <w:szCs w:val="18"/>
          <w:lang w:eastAsia="en-AU"/>
        </w:rPr>
        <w:t xml:space="preserve"> RD = risk difference; RR = relative risk</w:t>
      </w:r>
      <w:r>
        <w:rPr>
          <w:rFonts w:ascii="Arial Narrow" w:hAnsi="Arial Narrow"/>
          <w:color w:val="000000" w:themeColor="text1"/>
          <w:sz w:val="18"/>
          <w:szCs w:val="18"/>
          <w:lang w:eastAsia="en-AU"/>
        </w:rPr>
        <w:t>; CI = confidence interval;</w:t>
      </w:r>
      <w:r w:rsidRPr="00E11BD4">
        <w:rPr>
          <w:rFonts w:ascii="Arial Narrow" w:hAnsi="Arial Narrow"/>
          <w:sz w:val="18"/>
          <w:szCs w:val="18"/>
          <w:lang w:eastAsia="en-AU"/>
        </w:rPr>
        <w:t xml:space="preserve"> SAE = serious adverse event.</w:t>
      </w:r>
    </w:p>
    <w:p w:rsidR="00144D06" w:rsidRPr="00E11BD4" w:rsidRDefault="00144D06" w:rsidP="00144D06">
      <w:pPr>
        <w:keepLines/>
        <w:ind w:left="720"/>
        <w:contextualSpacing/>
        <w:rPr>
          <w:rFonts w:ascii="Arial Narrow" w:hAnsi="Arial Narrow"/>
          <w:sz w:val="18"/>
          <w:szCs w:val="18"/>
          <w:lang w:eastAsia="en-AU"/>
        </w:rPr>
      </w:pPr>
      <w:r w:rsidRPr="00E11BD4">
        <w:rPr>
          <w:rFonts w:ascii="Arial Narrow" w:hAnsi="Arial Narrow"/>
          <w:sz w:val="18"/>
          <w:szCs w:val="18"/>
          <w:vertAlign w:val="superscript"/>
          <w:lang w:eastAsia="en-AU"/>
        </w:rPr>
        <w:t>a</w:t>
      </w:r>
      <w:r w:rsidRPr="00E11BD4">
        <w:rPr>
          <w:rFonts w:ascii="Arial Narrow" w:hAnsi="Arial Narrow"/>
          <w:sz w:val="18"/>
          <w:szCs w:val="18"/>
          <w:lang w:eastAsia="en-AU"/>
        </w:rPr>
        <w:t xml:space="preserve"> One death was attributed to nivolumab (encephalitis); association to nivolumab was changed after database lock</w:t>
      </w:r>
    </w:p>
    <w:p w:rsidR="00144D06" w:rsidRPr="00E11BD4" w:rsidRDefault="00144D06" w:rsidP="00144D06">
      <w:pPr>
        <w:keepNext/>
        <w:keepLines/>
        <w:ind w:left="720"/>
        <w:rPr>
          <w:rFonts w:ascii="Arial Narrow" w:hAnsi="Arial Narrow"/>
          <w:sz w:val="18"/>
          <w:szCs w:val="18"/>
          <w:lang w:eastAsia="en-AU"/>
        </w:rPr>
      </w:pPr>
      <w:r w:rsidRPr="00E11BD4">
        <w:rPr>
          <w:rFonts w:ascii="Arial Narrow" w:hAnsi="Arial Narrow"/>
          <w:sz w:val="18"/>
          <w:szCs w:val="18"/>
          <w:lang w:eastAsia="en-AU"/>
        </w:rPr>
        <w:t xml:space="preserve">Source: Table 31, Section B.6.2 of the submission. </w:t>
      </w:r>
    </w:p>
    <w:p w:rsidR="00144D06" w:rsidRDefault="00144D06" w:rsidP="00144D06"/>
    <w:p w:rsidR="00144D06" w:rsidRDefault="00144D06" w:rsidP="00144D06">
      <w:pPr>
        <w:pStyle w:val="Caption"/>
        <w:keepNext/>
        <w:ind w:firstLine="720"/>
      </w:pPr>
      <w:r>
        <w:lastRenderedPageBreak/>
        <w:t xml:space="preserve">Table </w:t>
      </w:r>
      <w:r>
        <w:rPr>
          <w:noProof/>
        </w:rPr>
        <w:t>5</w:t>
      </w:r>
      <w:r>
        <w:t>:</w:t>
      </w:r>
      <w:r w:rsidRPr="00FA381A">
        <w:t xml:space="preserve"> </w:t>
      </w:r>
      <w:r w:rsidRPr="005B7176">
        <w:t xml:space="preserve">CA209-057: Most frequent severe (Grade≥3) </w:t>
      </w:r>
      <w:r w:rsidR="00BE2600">
        <w:t>adverse event</w:t>
      </w:r>
      <w:r w:rsidRPr="005B7176">
        <w:t>s</w:t>
      </w:r>
    </w:p>
    <w:tbl>
      <w:tblPr>
        <w:tblStyle w:val="TableGrid"/>
        <w:tblW w:w="4558" w:type="pct"/>
        <w:tblInd w:w="817" w:type="dxa"/>
        <w:tblLook w:val="04A0" w:firstRow="1" w:lastRow="0" w:firstColumn="1" w:lastColumn="0" w:noHBand="0" w:noVBand="1"/>
        <w:tblCaption w:val="Table 5: CA209-057: Most frequent severe (Grade≥3) adverse events"/>
      </w:tblPr>
      <w:tblGrid>
        <w:gridCol w:w="1700"/>
        <w:gridCol w:w="1311"/>
        <w:gridCol w:w="1235"/>
        <w:gridCol w:w="1987"/>
        <w:gridCol w:w="2192"/>
      </w:tblGrid>
      <w:tr w:rsidR="00144D06" w:rsidRPr="00221ECD" w:rsidTr="00D36062">
        <w:trPr>
          <w:tblHeader/>
        </w:trPr>
        <w:tc>
          <w:tcPr>
            <w:tcW w:w="1009" w:type="pct"/>
          </w:tcPr>
          <w:p w:rsidR="00144D06" w:rsidRPr="00221ECD" w:rsidRDefault="00144D06" w:rsidP="00144D06">
            <w:pPr>
              <w:keepNext/>
              <w:rPr>
                <w:rFonts w:ascii="Arial Narrow" w:hAnsi="Arial Narrow" w:cs="Arial Narrow"/>
                <w:sz w:val="20"/>
              </w:rPr>
            </w:pPr>
            <w:r w:rsidRPr="00221ECD">
              <w:rPr>
                <w:rFonts w:ascii="Arial Narrow" w:hAnsi="Arial Narrow" w:cs="Arial Narrow"/>
                <w:b/>
                <w:sz w:val="20"/>
              </w:rPr>
              <w:t>Treatment arm</w:t>
            </w:r>
          </w:p>
        </w:tc>
        <w:tc>
          <w:tcPr>
            <w:tcW w:w="778" w:type="pct"/>
            <w:vAlign w:val="center"/>
          </w:tcPr>
          <w:p w:rsidR="00144D06" w:rsidRPr="00221ECD" w:rsidRDefault="00144D06" w:rsidP="00144D06">
            <w:pPr>
              <w:keepNext/>
              <w:jc w:val="center"/>
              <w:rPr>
                <w:rFonts w:ascii="Arial Narrow" w:hAnsi="Arial Narrow" w:cs="Arial Narrow"/>
                <w:b/>
                <w:sz w:val="20"/>
              </w:rPr>
            </w:pPr>
            <w:r w:rsidRPr="00FC114D">
              <w:rPr>
                <w:rFonts w:ascii="Arial Narrow" w:hAnsi="Arial Narrow" w:cs="Arial Narrow"/>
                <w:b/>
                <w:color w:val="000000" w:themeColor="text1"/>
                <w:sz w:val="20"/>
              </w:rPr>
              <w:t>N</w:t>
            </w:r>
            <w:r w:rsidRPr="00FC114D">
              <w:rPr>
                <w:rFonts w:ascii="Arial Narrow" w:hAnsi="Arial Narrow" w:cs="Arial Narrow"/>
                <w:b/>
                <w:color w:val="000000" w:themeColor="text1"/>
              </w:rPr>
              <w:t>ivo</w:t>
            </w:r>
          </w:p>
        </w:tc>
        <w:tc>
          <w:tcPr>
            <w:tcW w:w="733" w:type="pct"/>
            <w:vAlign w:val="center"/>
          </w:tcPr>
          <w:p w:rsidR="00144D06" w:rsidRPr="00221ECD" w:rsidRDefault="00144D06" w:rsidP="00144D06">
            <w:pPr>
              <w:keepNext/>
              <w:jc w:val="center"/>
              <w:rPr>
                <w:rFonts w:ascii="Arial Narrow" w:hAnsi="Arial Narrow" w:cs="Arial Narrow"/>
                <w:b/>
                <w:sz w:val="20"/>
              </w:rPr>
            </w:pPr>
            <w:r w:rsidRPr="00FC114D">
              <w:rPr>
                <w:rFonts w:ascii="Arial Narrow" w:hAnsi="Arial Narrow" w:cs="Arial Narrow"/>
                <w:b/>
                <w:color w:val="000000" w:themeColor="text1"/>
                <w:sz w:val="20"/>
              </w:rPr>
              <w:t>D</w:t>
            </w:r>
            <w:r w:rsidRPr="00FC114D">
              <w:rPr>
                <w:rFonts w:ascii="Arial Narrow" w:hAnsi="Arial Narrow" w:cs="Arial Narrow"/>
                <w:b/>
                <w:color w:val="000000" w:themeColor="text1"/>
              </w:rPr>
              <w:t>oc</w:t>
            </w:r>
          </w:p>
        </w:tc>
        <w:tc>
          <w:tcPr>
            <w:tcW w:w="1179" w:type="pct"/>
            <w:vMerge w:val="restart"/>
          </w:tcPr>
          <w:p w:rsidR="00144D06" w:rsidRPr="00E11BD4" w:rsidRDefault="00144D06" w:rsidP="00144D06">
            <w:pPr>
              <w:keepNext/>
              <w:jc w:val="center"/>
              <w:rPr>
                <w:rFonts w:ascii="Arial Narrow" w:hAnsi="Arial Narrow" w:cs="Arial Narrow"/>
                <w:b/>
                <w:sz w:val="20"/>
              </w:rPr>
            </w:pPr>
            <w:r w:rsidRPr="00E11BD4">
              <w:rPr>
                <w:rFonts w:ascii="Arial Narrow" w:hAnsi="Arial Narrow" w:cs="Arial Narrow"/>
                <w:b/>
                <w:sz w:val="20"/>
              </w:rPr>
              <w:t>RR (95% CI)</w:t>
            </w:r>
          </w:p>
          <w:p w:rsidR="00144D06" w:rsidRPr="00E11BD4" w:rsidRDefault="00144D06" w:rsidP="00144D06">
            <w:pPr>
              <w:keepNext/>
              <w:jc w:val="center"/>
              <w:rPr>
                <w:rFonts w:ascii="Arial Narrow" w:hAnsi="Arial Narrow" w:cs="Arial Narrow"/>
                <w:b/>
                <w:sz w:val="20"/>
              </w:rPr>
            </w:pPr>
            <w:r w:rsidRPr="00E11BD4">
              <w:rPr>
                <w:rFonts w:ascii="Arial Narrow" w:hAnsi="Arial Narrow" w:cs="Arial Narrow"/>
                <w:b/>
                <w:sz w:val="20"/>
              </w:rPr>
              <w:t>Nivo vs. Doc</w:t>
            </w:r>
          </w:p>
        </w:tc>
        <w:tc>
          <w:tcPr>
            <w:tcW w:w="1300" w:type="pct"/>
            <w:vMerge w:val="restart"/>
          </w:tcPr>
          <w:p w:rsidR="00144D06" w:rsidRPr="00E11BD4" w:rsidRDefault="00144D06" w:rsidP="00144D06">
            <w:pPr>
              <w:keepNext/>
              <w:jc w:val="center"/>
              <w:rPr>
                <w:rFonts w:ascii="Arial Narrow" w:hAnsi="Arial Narrow" w:cs="Arial Narrow"/>
                <w:b/>
                <w:sz w:val="20"/>
              </w:rPr>
            </w:pPr>
            <w:r w:rsidRPr="00E11BD4">
              <w:rPr>
                <w:rFonts w:ascii="Arial Narrow" w:hAnsi="Arial Narrow" w:cs="Arial Narrow"/>
                <w:b/>
                <w:sz w:val="20"/>
              </w:rPr>
              <w:t>RD (95% CI)</w:t>
            </w:r>
          </w:p>
          <w:p w:rsidR="00144D06" w:rsidRPr="00E11BD4" w:rsidRDefault="00144D06" w:rsidP="00144D06">
            <w:pPr>
              <w:keepNext/>
              <w:jc w:val="center"/>
              <w:rPr>
                <w:rFonts w:ascii="Arial Narrow" w:hAnsi="Arial Narrow" w:cs="Arial Narrow"/>
                <w:b/>
                <w:sz w:val="20"/>
              </w:rPr>
            </w:pPr>
            <w:r w:rsidRPr="00E11BD4">
              <w:rPr>
                <w:rFonts w:ascii="Arial Narrow" w:hAnsi="Arial Narrow" w:cs="Arial Narrow"/>
                <w:b/>
                <w:sz w:val="20"/>
              </w:rPr>
              <w:t>Nivo vs. Doc</w:t>
            </w:r>
          </w:p>
        </w:tc>
      </w:tr>
      <w:tr w:rsidR="00144D06" w:rsidRPr="00221ECD" w:rsidTr="00D36062">
        <w:trPr>
          <w:tblHeader/>
        </w:trPr>
        <w:tc>
          <w:tcPr>
            <w:tcW w:w="1009" w:type="pct"/>
          </w:tcPr>
          <w:p w:rsidR="00144D06" w:rsidRPr="00221ECD" w:rsidRDefault="00144D06" w:rsidP="00144D06">
            <w:pPr>
              <w:keepNext/>
              <w:rPr>
                <w:rFonts w:ascii="Arial Narrow" w:hAnsi="Arial Narrow" w:cs="Arial Narrow"/>
                <w:sz w:val="20"/>
              </w:rPr>
            </w:pPr>
            <w:r w:rsidRPr="00221ECD">
              <w:rPr>
                <w:rFonts w:ascii="Arial Narrow" w:hAnsi="Arial Narrow" w:cs="Arial Narrow"/>
                <w:sz w:val="20"/>
              </w:rPr>
              <w:t>N</w:t>
            </w:r>
          </w:p>
        </w:tc>
        <w:tc>
          <w:tcPr>
            <w:tcW w:w="778"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287</w:t>
            </w:r>
          </w:p>
        </w:tc>
        <w:tc>
          <w:tcPr>
            <w:tcW w:w="733"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268</w:t>
            </w:r>
          </w:p>
        </w:tc>
        <w:tc>
          <w:tcPr>
            <w:tcW w:w="1179" w:type="pct"/>
            <w:vMerge/>
          </w:tcPr>
          <w:p w:rsidR="00144D06" w:rsidRPr="00221ECD" w:rsidRDefault="00144D06" w:rsidP="00144D06">
            <w:pPr>
              <w:keepNext/>
              <w:jc w:val="center"/>
              <w:rPr>
                <w:rFonts w:ascii="Arial Narrow" w:hAnsi="Arial Narrow" w:cs="Arial Narrow"/>
                <w:sz w:val="20"/>
              </w:rPr>
            </w:pPr>
          </w:p>
        </w:tc>
        <w:tc>
          <w:tcPr>
            <w:tcW w:w="1300" w:type="pct"/>
            <w:vMerge/>
          </w:tcPr>
          <w:p w:rsidR="00144D06" w:rsidRPr="00221ECD" w:rsidRDefault="00144D06" w:rsidP="00144D06">
            <w:pPr>
              <w:keepNext/>
              <w:jc w:val="center"/>
              <w:rPr>
                <w:rFonts w:ascii="Arial Narrow" w:hAnsi="Arial Narrow" w:cs="Arial Narrow"/>
                <w:sz w:val="20"/>
              </w:rPr>
            </w:pPr>
          </w:p>
        </w:tc>
      </w:tr>
      <w:tr w:rsidR="00144D06" w:rsidRPr="00221ECD" w:rsidTr="00144D06">
        <w:tc>
          <w:tcPr>
            <w:tcW w:w="5000" w:type="pct"/>
            <w:gridSpan w:val="5"/>
            <w:shd w:val="clear" w:color="auto" w:fill="auto"/>
          </w:tcPr>
          <w:p w:rsidR="00144D06" w:rsidRPr="003D4787" w:rsidRDefault="00144D06" w:rsidP="00144D06">
            <w:pPr>
              <w:keepNext/>
              <w:jc w:val="left"/>
              <w:rPr>
                <w:rFonts w:ascii="Arial Narrow" w:hAnsi="Arial Narrow" w:cs="Arial Narrow"/>
                <w:b/>
                <w:sz w:val="20"/>
              </w:rPr>
            </w:pPr>
            <w:r w:rsidRPr="003D4787">
              <w:rPr>
                <w:rFonts w:ascii="Arial Narrow" w:hAnsi="Arial Narrow" w:cs="Arial Narrow"/>
                <w:b/>
                <w:sz w:val="20"/>
              </w:rPr>
              <w:t>Regardless of causality -n (%)</w:t>
            </w:r>
          </w:p>
        </w:tc>
      </w:tr>
      <w:tr w:rsidR="00144D06" w:rsidRPr="00221ECD" w:rsidTr="003645F5">
        <w:tc>
          <w:tcPr>
            <w:tcW w:w="1009" w:type="pct"/>
          </w:tcPr>
          <w:p w:rsidR="00144D06" w:rsidRPr="00221ECD" w:rsidRDefault="00144D06" w:rsidP="003645F5">
            <w:pPr>
              <w:keepNext/>
              <w:rPr>
                <w:rFonts w:ascii="Arial Narrow" w:hAnsi="Arial Narrow" w:cs="Arial Narrow"/>
                <w:sz w:val="20"/>
              </w:rPr>
            </w:pPr>
            <w:r w:rsidRPr="00221ECD">
              <w:rPr>
                <w:rFonts w:ascii="Arial Narrow" w:hAnsi="Arial Narrow" w:cs="Arial Narrow"/>
                <w:sz w:val="20"/>
              </w:rPr>
              <w:t>One or more AE</w:t>
            </w:r>
          </w:p>
        </w:tc>
        <w:tc>
          <w:tcPr>
            <w:tcW w:w="778" w:type="pct"/>
          </w:tcPr>
          <w:p w:rsidR="00144D06" w:rsidRPr="00221ECD" w:rsidRDefault="00144D06" w:rsidP="00144D06">
            <w:pPr>
              <w:keepNext/>
              <w:jc w:val="center"/>
              <w:rPr>
                <w:rFonts w:ascii="Arial Narrow" w:hAnsi="Arial Narrow" w:cs="Arial Narrow"/>
                <w:b/>
                <w:sz w:val="20"/>
              </w:rPr>
            </w:pPr>
            <w:r w:rsidRPr="00221ECD">
              <w:rPr>
                <w:rFonts w:ascii="Arial Narrow" w:hAnsi="Arial Narrow" w:cs="Arial Narrow"/>
                <w:b/>
                <w:sz w:val="20"/>
              </w:rPr>
              <w:t>132 (46.0)</w:t>
            </w:r>
          </w:p>
        </w:tc>
        <w:tc>
          <w:tcPr>
            <w:tcW w:w="733" w:type="pct"/>
          </w:tcPr>
          <w:p w:rsidR="00144D06" w:rsidRPr="00221ECD" w:rsidRDefault="00144D06" w:rsidP="00144D06">
            <w:pPr>
              <w:keepNext/>
              <w:jc w:val="center"/>
              <w:rPr>
                <w:rFonts w:ascii="Arial Narrow" w:hAnsi="Arial Narrow" w:cs="Arial Narrow"/>
                <w:b/>
                <w:sz w:val="20"/>
              </w:rPr>
            </w:pPr>
            <w:r w:rsidRPr="00221ECD">
              <w:rPr>
                <w:rFonts w:ascii="Arial Narrow" w:hAnsi="Arial Narrow" w:cs="Arial Narrow"/>
                <w:b/>
                <w:sz w:val="20"/>
              </w:rPr>
              <w:t>180 (67.2)</w:t>
            </w:r>
          </w:p>
        </w:tc>
        <w:tc>
          <w:tcPr>
            <w:tcW w:w="1179" w:type="pct"/>
          </w:tcPr>
          <w:p w:rsidR="00144D06" w:rsidRPr="00221ECD" w:rsidRDefault="00144D06" w:rsidP="00144D06">
            <w:pPr>
              <w:keepNext/>
              <w:jc w:val="center"/>
              <w:rPr>
                <w:rFonts w:ascii="Arial Narrow" w:hAnsi="Arial Narrow" w:cs="Arial Narrow"/>
                <w:b/>
                <w:sz w:val="20"/>
              </w:rPr>
            </w:pPr>
            <w:r w:rsidRPr="00221ECD">
              <w:rPr>
                <w:rFonts w:ascii="Arial Narrow" w:hAnsi="Arial Narrow" w:cs="Arial Narrow"/>
                <w:b/>
                <w:sz w:val="20"/>
              </w:rPr>
              <w:t>0.68 (0.59,0.80)</w:t>
            </w:r>
          </w:p>
        </w:tc>
        <w:tc>
          <w:tcPr>
            <w:tcW w:w="1300" w:type="pct"/>
          </w:tcPr>
          <w:p w:rsidR="00144D06" w:rsidRPr="00221ECD" w:rsidRDefault="00144D06" w:rsidP="00144D06">
            <w:pPr>
              <w:keepNext/>
              <w:jc w:val="center"/>
              <w:rPr>
                <w:rFonts w:ascii="Arial Narrow" w:hAnsi="Arial Narrow" w:cs="Arial Narrow"/>
                <w:b/>
                <w:sz w:val="20"/>
              </w:rPr>
            </w:pPr>
            <w:r w:rsidRPr="00221ECD">
              <w:rPr>
                <w:rFonts w:ascii="Arial Narrow" w:hAnsi="Arial Narrow" w:cs="Arial Narrow"/>
                <w:b/>
                <w:sz w:val="20"/>
              </w:rPr>
              <w:t>-0.21 (-0.29, -0.13)</w:t>
            </w:r>
          </w:p>
        </w:tc>
      </w:tr>
      <w:tr w:rsidR="00144D06" w:rsidRPr="00221ECD" w:rsidTr="003645F5">
        <w:tc>
          <w:tcPr>
            <w:tcW w:w="1009" w:type="pct"/>
          </w:tcPr>
          <w:p w:rsidR="00144D06" w:rsidRPr="00221ECD" w:rsidRDefault="00144D06" w:rsidP="00144D06">
            <w:pPr>
              <w:keepNext/>
              <w:rPr>
                <w:rFonts w:ascii="Arial Narrow" w:hAnsi="Arial Narrow" w:cs="Arial Narrow"/>
                <w:sz w:val="20"/>
              </w:rPr>
            </w:pPr>
            <w:r w:rsidRPr="00221ECD">
              <w:rPr>
                <w:rFonts w:ascii="Arial Narrow" w:hAnsi="Arial Narrow" w:cs="Arial Narrow"/>
                <w:sz w:val="20"/>
              </w:rPr>
              <w:t>Fatigue</w:t>
            </w:r>
          </w:p>
        </w:tc>
        <w:tc>
          <w:tcPr>
            <w:tcW w:w="778"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9 (3.1)</w:t>
            </w:r>
          </w:p>
        </w:tc>
        <w:tc>
          <w:tcPr>
            <w:tcW w:w="733"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18 (6.7)</w:t>
            </w:r>
          </w:p>
        </w:tc>
        <w:tc>
          <w:tcPr>
            <w:tcW w:w="1179"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0.47 (0.21, 1.02)</w:t>
            </w:r>
          </w:p>
        </w:tc>
        <w:tc>
          <w:tcPr>
            <w:tcW w:w="1300"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-0.04 (-0.07, 0.00)</w:t>
            </w:r>
          </w:p>
        </w:tc>
      </w:tr>
      <w:tr w:rsidR="00144D06" w:rsidRPr="00221ECD" w:rsidTr="003645F5">
        <w:tc>
          <w:tcPr>
            <w:tcW w:w="1009" w:type="pct"/>
          </w:tcPr>
          <w:p w:rsidR="00144D06" w:rsidRPr="00221ECD" w:rsidRDefault="00144D06" w:rsidP="00144D06">
            <w:pPr>
              <w:keepNext/>
              <w:rPr>
                <w:rFonts w:ascii="Arial Narrow" w:hAnsi="Arial Narrow" w:cs="Arial Narrow"/>
                <w:sz w:val="20"/>
              </w:rPr>
            </w:pPr>
            <w:r w:rsidRPr="00221ECD">
              <w:rPr>
                <w:rFonts w:ascii="Arial Narrow" w:hAnsi="Arial Narrow" w:cs="Arial Narrow"/>
                <w:sz w:val="20"/>
              </w:rPr>
              <w:t>Decreased appetite</w:t>
            </w:r>
          </w:p>
        </w:tc>
        <w:tc>
          <w:tcPr>
            <w:tcW w:w="778"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5 (1.7)</w:t>
            </w:r>
          </w:p>
        </w:tc>
        <w:tc>
          <w:tcPr>
            <w:tcW w:w="733"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4 (1.5)</w:t>
            </w:r>
          </w:p>
        </w:tc>
        <w:tc>
          <w:tcPr>
            <w:tcW w:w="1179"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1.17 (0.32, 4.30)</w:t>
            </w:r>
          </w:p>
        </w:tc>
        <w:tc>
          <w:tcPr>
            <w:tcW w:w="1300"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0.00 (-0.02, 0.02)</w:t>
            </w:r>
          </w:p>
        </w:tc>
      </w:tr>
      <w:tr w:rsidR="00144D06" w:rsidRPr="00221ECD" w:rsidTr="003645F5">
        <w:tc>
          <w:tcPr>
            <w:tcW w:w="1009" w:type="pct"/>
          </w:tcPr>
          <w:p w:rsidR="00144D06" w:rsidRPr="00221ECD" w:rsidRDefault="00144D06" w:rsidP="00144D06">
            <w:pPr>
              <w:keepNext/>
              <w:rPr>
                <w:rFonts w:ascii="Arial Narrow" w:hAnsi="Arial Narrow" w:cs="Arial Narrow"/>
                <w:sz w:val="20"/>
              </w:rPr>
            </w:pPr>
            <w:r w:rsidRPr="00221ECD">
              <w:rPr>
                <w:rFonts w:ascii="Arial Narrow" w:hAnsi="Arial Narrow" w:cs="Arial Narrow"/>
                <w:sz w:val="20"/>
              </w:rPr>
              <w:t>Cough</w:t>
            </w:r>
          </w:p>
        </w:tc>
        <w:tc>
          <w:tcPr>
            <w:tcW w:w="778"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1 (0.3)</w:t>
            </w:r>
          </w:p>
        </w:tc>
        <w:tc>
          <w:tcPr>
            <w:tcW w:w="733"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w:t>
            </w:r>
          </w:p>
        </w:tc>
        <w:tc>
          <w:tcPr>
            <w:tcW w:w="1179"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0.00</w:t>
            </w:r>
          </w:p>
        </w:tc>
        <w:tc>
          <w:tcPr>
            <w:tcW w:w="1300"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0.00 (0.00, 0.01)</w:t>
            </w:r>
          </w:p>
        </w:tc>
      </w:tr>
      <w:tr w:rsidR="00144D06" w:rsidRPr="00221ECD" w:rsidTr="003645F5">
        <w:tc>
          <w:tcPr>
            <w:tcW w:w="1009" w:type="pct"/>
          </w:tcPr>
          <w:p w:rsidR="00144D06" w:rsidRPr="00221ECD" w:rsidRDefault="00144D06" w:rsidP="00144D06">
            <w:pPr>
              <w:keepNext/>
              <w:rPr>
                <w:rFonts w:ascii="Arial Narrow" w:hAnsi="Arial Narrow" w:cs="Arial Narrow"/>
                <w:sz w:val="20"/>
              </w:rPr>
            </w:pPr>
            <w:r w:rsidRPr="00221ECD">
              <w:rPr>
                <w:rFonts w:ascii="Arial Narrow" w:hAnsi="Arial Narrow" w:cs="Arial Narrow"/>
                <w:sz w:val="20"/>
              </w:rPr>
              <w:t>Constipation</w:t>
            </w:r>
          </w:p>
        </w:tc>
        <w:tc>
          <w:tcPr>
            <w:tcW w:w="778"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2 (0.7)</w:t>
            </w:r>
          </w:p>
        </w:tc>
        <w:tc>
          <w:tcPr>
            <w:tcW w:w="733"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2 (0.7)</w:t>
            </w:r>
          </w:p>
        </w:tc>
        <w:tc>
          <w:tcPr>
            <w:tcW w:w="1179"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0.93 (0.13,6.58)</w:t>
            </w:r>
          </w:p>
        </w:tc>
        <w:tc>
          <w:tcPr>
            <w:tcW w:w="1300"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0.00 (-0.01,0.01)</w:t>
            </w:r>
          </w:p>
        </w:tc>
      </w:tr>
      <w:tr w:rsidR="00144D06" w:rsidRPr="00221ECD" w:rsidTr="003645F5">
        <w:tc>
          <w:tcPr>
            <w:tcW w:w="1009" w:type="pct"/>
          </w:tcPr>
          <w:p w:rsidR="00144D06" w:rsidRPr="00221ECD" w:rsidRDefault="00144D06" w:rsidP="00144D06">
            <w:pPr>
              <w:keepNext/>
              <w:rPr>
                <w:rFonts w:ascii="Arial Narrow" w:hAnsi="Arial Narrow" w:cs="Arial Narrow"/>
                <w:sz w:val="20"/>
              </w:rPr>
            </w:pPr>
            <w:r w:rsidRPr="00221ECD">
              <w:rPr>
                <w:rFonts w:ascii="Arial Narrow" w:hAnsi="Arial Narrow" w:cs="Arial Narrow"/>
                <w:sz w:val="20"/>
              </w:rPr>
              <w:t>Dyspn</w:t>
            </w:r>
            <w:r>
              <w:rPr>
                <w:rFonts w:ascii="Arial Narrow" w:hAnsi="Arial Narrow" w:cs="Arial Narrow"/>
                <w:sz w:val="20"/>
              </w:rPr>
              <w:t>o</w:t>
            </w:r>
            <w:r w:rsidRPr="00221ECD">
              <w:rPr>
                <w:rFonts w:ascii="Arial Narrow" w:hAnsi="Arial Narrow" w:cs="Arial Narrow"/>
                <w:sz w:val="20"/>
              </w:rPr>
              <w:t>ea</w:t>
            </w:r>
          </w:p>
        </w:tc>
        <w:tc>
          <w:tcPr>
            <w:tcW w:w="778"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14 (4.9)</w:t>
            </w:r>
          </w:p>
        </w:tc>
        <w:tc>
          <w:tcPr>
            <w:tcW w:w="733"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10 (3.7)</w:t>
            </w:r>
          </w:p>
        </w:tc>
        <w:tc>
          <w:tcPr>
            <w:tcW w:w="1179"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1.31 (0.59,2.89)</w:t>
            </w:r>
          </w:p>
        </w:tc>
        <w:tc>
          <w:tcPr>
            <w:tcW w:w="1300"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0.01 (-0.02,0.05)</w:t>
            </w:r>
          </w:p>
        </w:tc>
      </w:tr>
      <w:tr w:rsidR="00144D06" w:rsidRPr="00221ECD" w:rsidTr="003645F5">
        <w:tc>
          <w:tcPr>
            <w:tcW w:w="1009" w:type="pct"/>
          </w:tcPr>
          <w:p w:rsidR="00144D06" w:rsidRPr="00221ECD" w:rsidRDefault="00144D06" w:rsidP="00144D06">
            <w:pPr>
              <w:keepNext/>
              <w:rPr>
                <w:rFonts w:ascii="Arial Narrow" w:hAnsi="Arial Narrow" w:cs="Arial Narrow"/>
                <w:sz w:val="20"/>
              </w:rPr>
            </w:pPr>
            <w:r w:rsidRPr="00221ECD">
              <w:rPr>
                <w:rFonts w:ascii="Arial Narrow" w:hAnsi="Arial Narrow" w:cs="Arial Narrow"/>
                <w:sz w:val="20"/>
              </w:rPr>
              <w:t>Nausea</w:t>
            </w:r>
          </w:p>
        </w:tc>
        <w:tc>
          <w:tcPr>
            <w:tcW w:w="778"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5 (1.7)</w:t>
            </w:r>
          </w:p>
        </w:tc>
        <w:tc>
          <w:tcPr>
            <w:tcW w:w="733"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2 (0.7)</w:t>
            </w:r>
          </w:p>
        </w:tc>
        <w:tc>
          <w:tcPr>
            <w:tcW w:w="1179"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2.33 (0.46,11.93)</w:t>
            </w:r>
          </w:p>
        </w:tc>
        <w:tc>
          <w:tcPr>
            <w:tcW w:w="1300"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0.01 (-0.01,0.03)</w:t>
            </w:r>
          </w:p>
        </w:tc>
      </w:tr>
      <w:tr w:rsidR="00144D06" w:rsidRPr="00221ECD" w:rsidTr="003645F5">
        <w:tc>
          <w:tcPr>
            <w:tcW w:w="1009" w:type="pct"/>
          </w:tcPr>
          <w:p w:rsidR="00144D06" w:rsidRPr="00221ECD" w:rsidRDefault="00144D06" w:rsidP="00144D06">
            <w:pPr>
              <w:keepNext/>
              <w:rPr>
                <w:rFonts w:ascii="Arial Narrow" w:hAnsi="Arial Narrow" w:cs="Arial Narrow"/>
                <w:sz w:val="20"/>
              </w:rPr>
            </w:pPr>
            <w:r w:rsidRPr="00221ECD">
              <w:rPr>
                <w:rFonts w:ascii="Arial Narrow" w:hAnsi="Arial Narrow" w:cs="Arial Narrow"/>
                <w:sz w:val="20"/>
              </w:rPr>
              <w:t>Asthenia</w:t>
            </w:r>
          </w:p>
        </w:tc>
        <w:tc>
          <w:tcPr>
            <w:tcW w:w="778"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10 (3.5)</w:t>
            </w:r>
          </w:p>
        </w:tc>
        <w:tc>
          <w:tcPr>
            <w:tcW w:w="733"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11 (4.1)</w:t>
            </w:r>
          </w:p>
        </w:tc>
        <w:tc>
          <w:tcPr>
            <w:tcW w:w="1179"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0.85 (0.37, 1.97)</w:t>
            </w:r>
          </w:p>
        </w:tc>
        <w:tc>
          <w:tcPr>
            <w:tcW w:w="1300"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-0.01 (-0.04, 0.03)</w:t>
            </w:r>
          </w:p>
        </w:tc>
      </w:tr>
      <w:tr w:rsidR="00144D06" w:rsidRPr="00221ECD" w:rsidTr="003645F5">
        <w:tc>
          <w:tcPr>
            <w:tcW w:w="1009" w:type="pct"/>
          </w:tcPr>
          <w:p w:rsidR="00144D06" w:rsidRPr="00221ECD" w:rsidRDefault="00144D06" w:rsidP="00144D06">
            <w:pPr>
              <w:keepNext/>
              <w:rPr>
                <w:rFonts w:ascii="Arial Narrow" w:hAnsi="Arial Narrow" w:cs="Arial Narrow"/>
                <w:sz w:val="20"/>
              </w:rPr>
            </w:pPr>
            <w:r w:rsidRPr="00221ECD">
              <w:rPr>
                <w:rFonts w:ascii="Arial Narrow" w:hAnsi="Arial Narrow" w:cs="Arial Narrow"/>
                <w:sz w:val="20"/>
              </w:rPr>
              <w:t>Diarrhoea</w:t>
            </w:r>
          </w:p>
        </w:tc>
        <w:tc>
          <w:tcPr>
            <w:tcW w:w="778"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3 (1.0)</w:t>
            </w:r>
          </w:p>
        </w:tc>
        <w:tc>
          <w:tcPr>
            <w:tcW w:w="733"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3 (1.1)</w:t>
            </w:r>
          </w:p>
        </w:tc>
        <w:tc>
          <w:tcPr>
            <w:tcW w:w="1179"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0.93 (0.19, 4.59)</w:t>
            </w:r>
          </w:p>
        </w:tc>
        <w:tc>
          <w:tcPr>
            <w:tcW w:w="1300"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0.00 (-0.02, 0.02)</w:t>
            </w:r>
          </w:p>
        </w:tc>
      </w:tr>
      <w:tr w:rsidR="00144D06" w:rsidRPr="00221ECD" w:rsidTr="003645F5">
        <w:tc>
          <w:tcPr>
            <w:tcW w:w="1009" w:type="pct"/>
          </w:tcPr>
          <w:p w:rsidR="00144D06" w:rsidRPr="00221ECD" w:rsidRDefault="00144D06" w:rsidP="00144D06">
            <w:pPr>
              <w:keepNext/>
              <w:rPr>
                <w:rFonts w:ascii="Arial Narrow" w:hAnsi="Arial Narrow" w:cs="Arial Narrow"/>
                <w:sz w:val="20"/>
              </w:rPr>
            </w:pPr>
            <w:r w:rsidRPr="00221ECD">
              <w:rPr>
                <w:rFonts w:ascii="Arial Narrow" w:hAnsi="Arial Narrow" w:cs="Arial Narrow"/>
                <w:sz w:val="20"/>
              </w:rPr>
              <w:t>An</w:t>
            </w:r>
            <w:r>
              <w:rPr>
                <w:rFonts w:ascii="Arial Narrow" w:hAnsi="Arial Narrow" w:cs="Arial Narrow"/>
                <w:sz w:val="20"/>
              </w:rPr>
              <w:t>a</w:t>
            </w:r>
            <w:r w:rsidRPr="00221ECD">
              <w:rPr>
                <w:rFonts w:ascii="Arial Narrow" w:hAnsi="Arial Narrow" w:cs="Arial Narrow"/>
                <w:sz w:val="20"/>
              </w:rPr>
              <w:t>emia</w:t>
            </w:r>
          </w:p>
        </w:tc>
        <w:tc>
          <w:tcPr>
            <w:tcW w:w="778"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5 (1.7)</w:t>
            </w:r>
          </w:p>
        </w:tc>
        <w:tc>
          <w:tcPr>
            <w:tcW w:w="733"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12 (4.5)</w:t>
            </w:r>
          </w:p>
        </w:tc>
        <w:tc>
          <w:tcPr>
            <w:tcW w:w="1179"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0.39 (0.14,1.09)</w:t>
            </w:r>
          </w:p>
        </w:tc>
        <w:tc>
          <w:tcPr>
            <w:tcW w:w="1300"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-0.03 (-0.06, 0.00)</w:t>
            </w:r>
          </w:p>
        </w:tc>
      </w:tr>
      <w:tr w:rsidR="00144D06" w:rsidRPr="00221ECD" w:rsidTr="003645F5">
        <w:tc>
          <w:tcPr>
            <w:tcW w:w="1009" w:type="pct"/>
          </w:tcPr>
          <w:p w:rsidR="00144D06" w:rsidRPr="00427BF8" w:rsidRDefault="00144D06" w:rsidP="00144D06">
            <w:pPr>
              <w:keepNext/>
              <w:rPr>
                <w:rFonts w:ascii="Arial Narrow" w:hAnsi="Arial Narrow" w:cs="Arial Narrow"/>
                <w:sz w:val="20"/>
              </w:rPr>
            </w:pPr>
            <w:r w:rsidRPr="00427BF8">
              <w:rPr>
                <w:rFonts w:ascii="Arial Narrow" w:hAnsi="Arial Narrow" w:cs="Arial Narrow"/>
                <w:sz w:val="20"/>
              </w:rPr>
              <w:t>Neutropenia</w:t>
            </w:r>
          </w:p>
        </w:tc>
        <w:tc>
          <w:tcPr>
            <w:tcW w:w="778" w:type="pct"/>
          </w:tcPr>
          <w:p w:rsidR="00144D06" w:rsidRPr="00221ECD" w:rsidRDefault="00144D06" w:rsidP="00144D06">
            <w:pPr>
              <w:keepNext/>
              <w:jc w:val="center"/>
              <w:rPr>
                <w:rFonts w:ascii="Arial Narrow" w:hAnsi="Arial Narrow" w:cs="Arial Narrow"/>
                <w:b/>
                <w:sz w:val="20"/>
              </w:rPr>
            </w:pPr>
            <w:r w:rsidRPr="00221ECD">
              <w:rPr>
                <w:rFonts w:ascii="Arial Narrow" w:hAnsi="Arial Narrow" w:cs="Arial Narrow"/>
                <w:b/>
                <w:sz w:val="20"/>
              </w:rPr>
              <w:t>1(0.3)</w:t>
            </w:r>
          </w:p>
        </w:tc>
        <w:tc>
          <w:tcPr>
            <w:tcW w:w="733" w:type="pct"/>
          </w:tcPr>
          <w:p w:rsidR="00144D06" w:rsidRPr="00221ECD" w:rsidRDefault="00144D06" w:rsidP="00144D06">
            <w:pPr>
              <w:keepNext/>
              <w:jc w:val="center"/>
              <w:rPr>
                <w:rFonts w:ascii="Arial Narrow" w:hAnsi="Arial Narrow" w:cs="Arial Narrow"/>
                <w:b/>
                <w:sz w:val="20"/>
              </w:rPr>
            </w:pPr>
            <w:r w:rsidRPr="00221ECD">
              <w:rPr>
                <w:rFonts w:ascii="Arial Narrow" w:hAnsi="Arial Narrow" w:cs="Arial Narrow"/>
                <w:b/>
                <w:sz w:val="20"/>
              </w:rPr>
              <w:t>75 (28.0)</w:t>
            </w:r>
          </w:p>
        </w:tc>
        <w:tc>
          <w:tcPr>
            <w:tcW w:w="1179" w:type="pct"/>
          </w:tcPr>
          <w:p w:rsidR="00144D06" w:rsidRPr="00221ECD" w:rsidRDefault="00144D06" w:rsidP="00144D06">
            <w:pPr>
              <w:keepNext/>
              <w:jc w:val="center"/>
              <w:rPr>
                <w:rFonts w:ascii="Arial Narrow" w:hAnsi="Arial Narrow" w:cs="Arial Narrow"/>
                <w:b/>
                <w:sz w:val="20"/>
              </w:rPr>
            </w:pPr>
            <w:r w:rsidRPr="00221ECD">
              <w:rPr>
                <w:rFonts w:ascii="Arial Narrow" w:hAnsi="Arial Narrow" w:cs="Arial Narrow"/>
                <w:b/>
                <w:sz w:val="20"/>
              </w:rPr>
              <w:t xml:space="preserve">0.01 (0.00,0.09) </w:t>
            </w:r>
          </w:p>
        </w:tc>
        <w:tc>
          <w:tcPr>
            <w:tcW w:w="1300" w:type="pct"/>
          </w:tcPr>
          <w:p w:rsidR="00144D06" w:rsidRPr="00221ECD" w:rsidRDefault="00144D06" w:rsidP="00144D06">
            <w:pPr>
              <w:keepNext/>
              <w:jc w:val="center"/>
              <w:rPr>
                <w:rFonts w:ascii="Arial Narrow" w:hAnsi="Arial Narrow" w:cs="Arial Narrow"/>
                <w:b/>
                <w:sz w:val="20"/>
              </w:rPr>
            </w:pPr>
            <w:r w:rsidRPr="00221ECD">
              <w:rPr>
                <w:rFonts w:ascii="Arial Narrow" w:hAnsi="Arial Narrow" w:cs="Arial Narrow"/>
                <w:b/>
                <w:sz w:val="20"/>
              </w:rPr>
              <w:t>-0.28 (-0.33, -0.22)</w:t>
            </w:r>
          </w:p>
        </w:tc>
      </w:tr>
      <w:tr w:rsidR="00144D06" w:rsidRPr="00221ECD" w:rsidTr="00144D06">
        <w:tc>
          <w:tcPr>
            <w:tcW w:w="5000" w:type="pct"/>
            <w:gridSpan w:val="5"/>
            <w:shd w:val="clear" w:color="auto" w:fill="auto"/>
          </w:tcPr>
          <w:p w:rsidR="00144D06" w:rsidRPr="003D4787" w:rsidRDefault="00144D06" w:rsidP="00144D06">
            <w:pPr>
              <w:keepNext/>
              <w:jc w:val="left"/>
              <w:rPr>
                <w:rFonts w:ascii="Arial Narrow" w:hAnsi="Arial Narrow" w:cs="Arial Narrow"/>
                <w:b/>
                <w:sz w:val="20"/>
              </w:rPr>
            </w:pPr>
            <w:r w:rsidRPr="003D4787">
              <w:rPr>
                <w:rFonts w:ascii="Arial Narrow" w:hAnsi="Arial Narrow" w:cs="Arial Narrow"/>
                <w:b/>
                <w:sz w:val="20"/>
              </w:rPr>
              <w:t>Study drug related - n (%)</w:t>
            </w:r>
          </w:p>
        </w:tc>
      </w:tr>
      <w:tr w:rsidR="00144D06" w:rsidRPr="00221ECD" w:rsidTr="003645F5">
        <w:tc>
          <w:tcPr>
            <w:tcW w:w="1009" w:type="pct"/>
          </w:tcPr>
          <w:p w:rsidR="00144D06" w:rsidRPr="00427BF8" w:rsidRDefault="00144D06" w:rsidP="00144D06">
            <w:pPr>
              <w:keepNext/>
              <w:rPr>
                <w:rFonts w:ascii="Arial Narrow" w:hAnsi="Arial Narrow" w:cs="Arial Narrow"/>
                <w:sz w:val="20"/>
              </w:rPr>
            </w:pPr>
            <w:r w:rsidRPr="00427BF8">
              <w:rPr>
                <w:rFonts w:ascii="Arial Narrow" w:hAnsi="Arial Narrow" w:cs="Arial Narrow"/>
                <w:sz w:val="20"/>
              </w:rPr>
              <w:t>One or more AE</w:t>
            </w:r>
          </w:p>
        </w:tc>
        <w:tc>
          <w:tcPr>
            <w:tcW w:w="778" w:type="pct"/>
          </w:tcPr>
          <w:p w:rsidR="00144D06" w:rsidRPr="00221ECD" w:rsidRDefault="00144D06" w:rsidP="00144D06">
            <w:pPr>
              <w:keepNext/>
              <w:jc w:val="center"/>
              <w:rPr>
                <w:rFonts w:ascii="Arial Narrow" w:hAnsi="Arial Narrow" w:cs="Arial Narrow"/>
                <w:b/>
                <w:sz w:val="20"/>
              </w:rPr>
            </w:pPr>
            <w:r w:rsidRPr="00221ECD">
              <w:rPr>
                <w:rFonts w:ascii="Arial Narrow" w:hAnsi="Arial Narrow" w:cs="Arial Narrow"/>
                <w:b/>
                <w:sz w:val="20"/>
              </w:rPr>
              <w:t>30 (10.5)</w:t>
            </w:r>
          </w:p>
        </w:tc>
        <w:tc>
          <w:tcPr>
            <w:tcW w:w="733" w:type="pct"/>
          </w:tcPr>
          <w:p w:rsidR="00144D06" w:rsidRPr="00221ECD" w:rsidRDefault="00144D06" w:rsidP="00144D06">
            <w:pPr>
              <w:keepNext/>
              <w:jc w:val="center"/>
              <w:rPr>
                <w:rFonts w:ascii="Arial Narrow" w:hAnsi="Arial Narrow" w:cs="Arial Narrow"/>
                <w:b/>
                <w:sz w:val="20"/>
              </w:rPr>
            </w:pPr>
            <w:r w:rsidRPr="00221ECD">
              <w:rPr>
                <w:rFonts w:ascii="Arial Narrow" w:hAnsi="Arial Narrow" w:cs="Arial Narrow"/>
                <w:b/>
                <w:sz w:val="20"/>
              </w:rPr>
              <w:t>144 (53.7)</w:t>
            </w:r>
          </w:p>
        </w:tc>
        <w:tc>
          <w:tcPr>
            <w:tcW w:w="1179" w:type="pct"/>
          </w:tcPr>
          <w:p w:rsidR="00144D06" w:rsidRPr="00221ECD" w:rsidRDefault="00144D06" w:rsidP="00144D06">
            <w:pPr>
              <w:keepNext/>
              <w:jc w:val="center"/>
              <w:rPr>
                <w:rFonts w:ascii="Arial Narrow" w:hAnsi="Arial Narrow" w:cs="Arial Narrow"/>
                <w:b/>
                <w:sz w:val="20"/>
              </w:rPr>
            </w:pPr>
            <w:r w:rsidRPr="00221ECD">
              <w:rPr>
                <w:rFonts w:ascii="Arial Narrow" w:hAnsi="Arial Narrow" w:cs="Arial Narrow"/>
                <w:b/>
                <w:sz w:val="20"/>
              </w:rPr>
              <w:t>0.19 (0.14, 0.28)</w:t>
            </w:r>
          </w:p>
        </w:tc>
        <w:tc>
          <w:tcPr>
            <w:tcW w:w="1300" w:type="pct"/>
          </w:tcPr>
          <w:p w:rsidR="00144D06" w:rsidRPr="00221ECD" w:rsidRDefault="00144D06" w:rsidP="00144D06">
            <w:pPr>
              <w:keepNext/>
              <w:jc w:val="center"/>
              <w:rPr>
                <w:rFonts w:ascii="Arial Narrow" w:hAnsi="Arial Narrow" w:cs="Arial Narrow"/>
                <w:b/>
                <w:sz w:val="20"/>
              </w:rPr>
            </w:pPr>
            <w:r w:rsidRPr="00221ECD">
              <w:rPr>
                <w:rFonts w:ascii="Arial Narrow" w:hAnsi="Arial Narrow" w:cs="Arial Narrow"/>
                <w:b/>
                <w:sz w:val="20"/>
              </w:rPr>
              <w:t>-0.43 (-0.50, -0.36)</w:t>
            </w:r>
          </w:p>
        </w:tc>
      </w:tr>
      <w:tr w:rsidR="00144D06" w:rsidRPr="00221ECD" w:rsidTr="003645F5">
        <w:tc>
          <w:tcPr>
            <w:tcW w:w="1009" w:type="pct"/>
          </w:tcPr>
          <w:p w:rsidR="00144D06" w:rsidRPr="00427BF8" w:rsidRDefault="00144D06" w:rsidP="00144D06">
            <w:pPr>
              <w:keepNext/>
              <w:rPr>
                <w:rFonts w:ascii="Arial Narrow" w:hAnsi="Arial Narrow" w:cs="Arial Narrow"/>
                <w:sz w:val="20"/>
              </w:rPr>
            </w:pPr>
            <w:r w:rsidRPr="00427BF8">
              <w:rPr>
                <w:rFonts w:ascii="Arial Narrow" w:hAnsi="Arial Narrow" w:cs="Arial Narrow"/>
                <w:sz w:val="20"/>
              </w:rPr>
              <w:t>Fatigue</w:t>
            </w:r>
          </w:p>
        </w:tc>
        <w:tc>
          <w:tcPr>
            <w:tcW w:w="778" w:type="pct"/>
          </w:tcPr>
          <w:p w:rsidR="00144D06" w:rsidRPr="00221ECD" w:rsidRDefault="00144D06" w:rsidP="00144D06">
            <w:pPr>
              <w:keepNext/>
              <w:jc w:val="center"/>
              <w:rPr>
                <w:rFonts w:ascii="Arial Narrow" w:hAnsi="Arial Narrow" w:cs="Arial Narrow"/>
                <w:b/>
                <w:sz w:val="20"/>
              </w:rPr>
            </w:pPr>
            <w:r w:rsidRPr="00221ECD">
              <w:rPr>
                <w:rFonts w:ascii="Arial Narrow" w:hAnsi="Arial Narrow" w:cs="Arial Narrow"/>
                <w:b/>
                <w:sz w:val="20"/>
              </w:rPr>
              <w:t>3 (1.0)</w:t>
            </w:r>
          </w:p>
        </w:tc>
        <w:tc>
          <w:tcPr>
            <w:tcW w:w="733" w:type="pct"/>
          </w:tcPr>
          <w:p w:rsidR="00144D06" w:rsidRPr="00221ECD" w:rsidRDefault="00144D06" w:rsidP="00144D06">
            <w:pPr>
              <w:keepNext/>
              <w:jc w:val="center"/>
              <w:rPr>
                <w:rFonts w:ascii="Arial Narrow" w:hAnsi="Arial Narrow" w:cs="Arial Narrow"/>
                <w:b/>
                <w:sz w:val="20"/>
              </w:rPr>
            </w:pPr>
            <w:r w:rsidRPr="00221ECD">
              <w:rPr>
                <w:rFonts w:ascii="Arial Narrow" w:hAnsi="Arial Narrow" w:cs="Arial Narrow"/>
                <w:b/>
                <w:sz w:val="20"/>
              </w:rPr>
              <w:t>13 (4.9)</w:t>
            </w:r>
          </w:p>
        </w:tc>
        <w:tc>
          <w:tcPr>
            <w:tcW w:w="1179" w:type="pct"/>
          </w:tcPr>
          <w:p w:rsidR="00144D06" w:rsidRPr="00221ECD" w:rsidRDefault="00144D06" w:rsidP="00144D06">
            <w:pPr>
              <w:keepNext/>
              <w:jc w:val="center"/>
              <w:rPr>
                <w:rFonts w:ascii="Arial Narrow" w:hAnsi="Arial Narrow" w:cs="Arial Narrow"/>
                <w:b/>
                <w:sz w:val="20"/>
              </w:rPr>
            </w:pPr>
            <w:r w:rsidRPr="00221ECD">
              <w:rPr>
                <w:rFonts w:ascii="Arial Narrow" w:hAnsi="Arial Narrow" w:cs="Arial Narrow"/>
                <w:b/>
                <w:sz w:val="20"/>
              </w:rPr>
              <w:t>0.22 (0.06,0.75)</w:t>
            </w:r>
          </w:p>
        </w:tc>
        <w:tc>
          <w:tcPr>
            <w:tcW w:w="1300" w:type="pct"/>
          </w:tcPr>
          <w:p w:rsidR="00144D06" w:rsidRPr="00221ECD" w:rsidRDefault="00144D06" w:rsidP="00144D06">
            <w:pPr>
              <w:keepNext/>
              <w:jc w:val="center"/>
              <w:rPr>
                <w:rFonts w:ascii="Arial Narrow" w:hAnsi="Arial Narrow" w:cs="Arial Narrow"/>
                <w:b/>
                <w:sz w:val="20"/>
              </w:rPr>
            </w:pPr>
            <w:r w:rsidRPr="00221ECD">
              <w:rPr>
                <w:rFonts w:ascii="Arial Narrow" w:hAnsi="Arial Narrow" w:cs="Arial Narrow"/>
                <w:b/>
                <w:sz w:val="20"/>
              </w:rPr>
              <w:t>-0.04 (-0.07, -0.01)</w:t>
            </w:r>
          </w:p>
        </w:tc>
      </w:tr>
      <w:tr w:rsidR="00144D06" w:rsidRPr="00221ECD" w:rsidTr="003645F5">
        <w:tc>
          <w:tcPr>
            <w:tcW w:w="1009" w:type="pct"/>
          </w:tcPr>
          <w:p w:rsidR="00144D06" w:rsidRPr="00221ECD" w:rsidRDefault="00144D06" w:rsidP="00144D06">
            <w:pPr>
              <w:keepNext/>
              <w:rPr>
                <w:rFonts w:ascii="Arial Narrow" w:hAnsi="Arial Narrow" w:cs="Arial Narrow"/>
                <w:sz w:val="20"/>
              </w:rPr>
            </w:pPr>
            <w:r w:rsidRPr="00221ECD">
              <w:rPr>
                <w:rFonts w:ascii="Arial Narrow" w:hAnsi="Arial Narrow" w:cs="Arial Narrow"/>
                <w:sz w:val="20"/>
              </w:rPr>
              <w:t>Nausea</w:t>
            </w:r>
          </w:p>
        </w:tc>
        <w:tc>
          <w:tcPr>
            <w:tcW w:w="778"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2 (0.7)</w:t>
            </w:r>
          </w:p>
        </w:tc>
        <w:tc>
          <w:tcPr>
            <w:tcW w:w="733"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2 (0.7)</w:t>
            </w:r>
          </w:p>
        </w:tc>
        <w:tc>
          <w:tcPr>
            <w:tcW w:w="1179"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0.93 (0.13, 6.58)</w:t>
            </w:r>
          </w:p>
        </w:tc>
        <w:tc>
          <w:tcPr>
            <w:tcW w:w="1300"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0.00 (-0.01, 0.01)</w:t>
            </w:r>
          </w:p>
        </w:tc>
      </w:tr>
      <w:tr w:rsidR="00144D06" w:rsidRPr="00221ECD" w:rsidTr="003645F5">
        <w:tc>
          <w:tcPr>
            <w:tcW w:w="1009" w:type="pct"/>
          </w:tcPr>
          <w:p w:rsidR="00144D06" w:rsidRPr="00221ECD" w:rsidRDefault="00144D06" w:rsidP="00144D06">
            <w:pPr>
              <w:keepNext/>
              <w:rPr>
                <w:rFonts w:ascii="Arial Narrow" w:hAnsi="Arial Narrow" w:cs="Arial Narrow"/>
                <w:sz w:val="20"/>
              </w:rPr>
            </w:pPr>
            <w:r w:rsidRPr="00221ECD">
              <w:rPr>
                <w:rFonts w:ascii="Arial Narrow" w:hAnsi="Arial Narrow" w:cs="Arial Narrow"/>
                <w:sz w:val="20"/>
              </w:rPr>
              <w:t>Decreased appetite</w:t>
            </w:r>
          </w:p>
        </w:tc>
        <w:tc>
          <w:tcPr>
            <w:tcW w:w="778"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w:t>
            </w:r>
          </w:p>
        </w:tc>
        <w:tc>
          <w:tcPr>
            <w:tcW w:w="733"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3 (1.1)</w:t>
            </w:r>
          </w:p>
        </w:tc>
        <w:tc>
          <w:tcPr>
            <w:tcW w:w="1179"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0.00</w:t>
            </w:r>
          </w:p>
        </w:tc>
        <w:tc>
          <w:tcPr>
            <w:tcW w:w="1300"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-0.01 (-0.02, 0.00)</w:t>
            </w:r>
          </w:p>
        </w:tc>
      </w:tr>
      <w:tr w:rsidR="00144D06" w:rsidRPr="00221ECD" w:rsidTr="003645F5">
        <w:tc>
          <w:tcPr>
            <w:tcW w:w="1009" w:type="pct"/>
          </w:tcPr>
          <w:p w:rsidR="00144D06" w:rsidRPr="00221ECD" w:rsidRDefault="00144D06" w:rsidP="00144D06">
            <w:pPr>
              <w:keepNext/>
              <w:rPr>
                <w:rFonts w:ascii="Arial Narrow" w:hAnsi="Arial Narrow" w:cs="Arial Narrow"/>
                <w:sz w:val="20"/>
              </w:rPr>
            </w:pPr>
            <w:r w:rsidRPr="00221ECD">
              <w:rPr>
                <w:rFonts w:ascii="Arial Narrow" w:hAnsi="Arial Narrow" w:cs="Arial Narrow"/>
                <w:sz w:val="20"/>
              </w:rPr>
              <w:t>Asthenia</w:t>
            </w:r>
          </w:p>
        </w:tc>
        <w:tc>
          <w:tcPr>
            <w:tcW w:w="778"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1 (0.3)</w:t>
            </w:r>
          </w:p>
        </w:tc>
        <w:tc>
          <w:tcPr>
            <w:tcW w:w="733"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6 (2.2)</w:t>
            </w:r>
          </w:p>
        </w:tc>
        <w:tc>
          <w:tcPr>
            <w:tcW w:w="1179"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0.16 (0.02, 1.28)</w:t>
            </w:r>
          </w:p>
        </w:tc>
        <w:tc>
          <w:tcPr>
            <w:tcW w:w="1300"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-0.02 (-0.04, 0.00)</w:t>
            </w:r>
          </w:p>
        </w:tc>
      </w:tr>
      <w:tr w:rsidR="00144D06" w:rsidRPr="00221ECD" w:rsidTr="003645F5">
        <w:tc>
          <w:tcPr>
            <w:tcW w:w="1009" w:type="pct"/>
          </w:tcPr>
          <w:p w:rsidR="00144D06" w:rsidRPr="00221ECD" w:rsidRDefault="00144D06" w:rsidP="00144D06">
            <w:pPr>
              <w:keepNext/>
              <w:rPr>
                <w:rFonts w:ascii="Arial Narrow" w:hAnsi="Arial Narrow" w:cs="Arial Narrow"/>
                <w:sz w:val="20"/>
              </w:rPr>
            </w:pPr>
            <w:r w:rsidRPr="00221ECD">
              <w:rPr>
                <w:rFonts w:ascii="Arial Narrow" w:hAnsi="Arial Narrow" w:cs="Arial Narrow"/>
                <w:sz w:val="20"/>
              </w:rPr>
              <w:t>Diarrhoea</w:t>
            </w:r>
          </w:p>
        </w:tc>
        <w:tc>
          <w:tcPr>
            <w:tcW w:w="778"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2 (0.7)</w:t>
            </w:r>
          </w:p>
        </w:tc>
        <w:tc>
          <w:tcPr>
            <w:tcW w:w="733"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3 (1.1)</w:t>
            </w:r>
          </w:p>
        </w:tc>
        <w:tc>
          <w:tcPr>
            <w:tcW w:w="1179"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0.62 (0.10, 3.70)</w:t>
            </w:r>
          </w:p>
        </w:tc>
        <w:tc>
          <w:tcPr>
            <w:tcW w:w="1300"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0.00 (-0.02, 0.01)</w:t>
            </w:r>
          </w:p>
        </w:tc>
      </w:tr>
      <w:tr w:rsidR="00144D06" w:rsidRPr="00221ECD" w:rsidTr="003645F5">
        <w:tc>
          <w:tcPr>
            <w:tcW w:w="1009" w:type="pct"/>
          </w:tcPr>
          <w:p w:rsidR="00144D06" w:rsidRPr="00221ECD" w:rsidRDefault="00144D06" w:rsidP="006C701F">
            <w:pPr>
              <w:keepNext/>
              <w:rPr>
                <w:rFonts w:ascii="Arial Narrow" w:hAnsi="Arial Narrow" w:cs="Arial Narrow"/>
                <w:sz w:val="20"/>
              </w:rPr>
            </w:pPr>
            <w:r w:rsidRPr="00221ECD">
              <w:rPr>
                <w:rFonts w:ascii="Arial Narrow" w:hAnsi="Arial Narrow" w:cs="Arial Narrow"/>
                <w:sz w:val="20"/>
              </w:rPr>
              <w:t>An</w:t>
            </w:r>
            <w:r w:rsidR="006C701F">
              <w:rPr>
                <w:rFonts w:ascii="Arial Narrow" w:hAnsi="Arial Narrow" w:cs="Arial Narrow"/>
                <w:sz w:val="20"/>
              </w:rPr>
              <w:t>a</w:t>
            </w:r>
            <w:r w:rsidRPr="00221ECD">
              <w:rPr>
                <w:rFonts w:ascii="Arial Narrow" w:hAnsi="Arial Narrow" w:cs="Arial Narrow"/>
                <w:sz w:val="20"/>
              </w:rPr>
              <w:t>emia</w:t>
            </w:r>
          </w:p>
        </w:tc>
        <w:tc>
          <w:tcPr>
            <w:tcW w:w="778"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1(0.3)</w:t>
            </w:r>
          </w:p>
        </w:tc>
        <w:tc>
          <w:tcPr>
            <w:tcW w:w="733"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7 (2.6)</w:t>
            </w:r>
          </w:p>
        </w:tc>
        <w:tc>
          <w:tcPr>
            <w:tcW w:w="1179"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0.13 (0.02, 1.08)</w:t>
            </w:r>
          </w:p>
        </w:tc>
        <w:tc>
          <w:tcPr>
            <w:tcW w:w="1300" w:type="pct"/>
          </w:tcPr>
          <w:p w:rsidR="00144D06" w:rsidRPr="00221ECD" w:rsidRDefault="00144D06" w:rsidP="00144D06">
            <w:pPr>
              <w:keepNext/>
              <w:jc w:val="center"/>
              <w:rPr>
                <w:rFonts w:ascii="Arial Narrow" w:hAnsi="Arial Narrow" w:cs="Arial Narrow"/>
                <w:sz w:val="20"/>
              </w:rPr>
            </w:pPr>
            <w:r w:rsidRPr="00221ECD">
              <w:rPr>
                <w:rFonts w:ascii="Arial Narrow" w:hAnsi="Arial Narrow" w:cs="Arial Narrow"/>
                <w:sz w:val="20"/>
              </w:rPr>
              <w:t>-0.02 (-0.04, 0.00)</w:t>
            </w:r>
          </w:p>
        </w:tc>
      </w:tr>
      <w:tr w:rsidR="00144D06" w:rsidRPr="00221ECD" w:rsidTr="003645F5">
        <w:tc>
          <w:tcPr>
            <w:tcW w:w="1009" w:type="pct"/>
          </w:tcPr>
          <w:p w:rsidR="00144D06" w:rsidRPr="00427BF8" w:rsidRDefault="00144D06" w:rsidP="00144D06">
            <w:pPr>
              <w:keepNext/>
              <w:rPr>
                <w:rFonts w:ascii="Arial Narrow" w:hAnsi="Arial Narrow" w:cs="Arial Narrow"/>
                <w:sz w:val="20"/>
              </w:rPr>
            </w:pPr>
            <w:r w:rsidRPr="00427BF8">
              <w:rPr>
                <w:rFonts w:ascii="Arial Narrow" w:hAnsi="Arial Narrow" w:cs="Arial Narrow"/>
                <w:sz w:val="20"/>
              </w:rPr>
              <w:t>Neutropenia</w:t>
            </w:r>
          </w:p>
        </w:tc>
        <w:tc>
          <w:tcPr>
            <w:tcW w:w="778" w:type="pct"/>
          </w:tcPr>
          <w:p w:rsidR="00144D06" w:rsidRPr="00221ECD" w:rsidRDefault="00144D06" w:rsidP="00144D06">
            <w:pPr>
              <w:keepNext/>
              <w:jc w:val="center"/>
              <w:rPr>
                <w:rFonts w:ascii="Arial Narrow" w:hAnsi="Arial Narrow" w:cs="Arial Narrow"/>
                <w:b/>
                <w:sz w:val="20"/>
              </w:rPr>
            </w:pPr>
            <w:r w:rsidRPr="00221ECD">
              <w:rPr>
                <w:rFonts w:ascii="Arial Narrow" w:hAnsi="Arial Narrow" w:cs="Arial Narrow"/>
                <w:b/>
                <w:sz w:val="20"/>
              </w:rPr>
              <w:t>0</w:t>
            </w:r>
          </w:p>
        </w:tc>
        <w:tc>
          <w:tcPr>
            <w:tcW w:w="733" w:type="pct"/>
          </w:tcPr>
          <w:p w:rsidR="00144D06" w:rsidRPr="00221ECD" w:rsidRDefault="00144D06" w:rsidP="00144D06">
            <w:pPr>
              <w:keepNext/>
              <w:jc w:val="center"/>
              <w:rPr>
                <w:rFonts w:ascii="Arial Narrow" w:hAnsi="Arial Narrow" w:cs="Arial Narrow"/>
                <w:b/>
                <w:sz w:val="20"/>
              </w:rPr>
            </w:pPr>
            <w:r w:rsidRPr="00221ECD">
              <w:rPr>
                <w:rFonts w:ascii="Arial Narrow" w:hAnsi="Arial Narrow" w:cs="Arial Narrow"/>
                <w:b/>
                <w:sz w:val="20"/>
              </w:rPr>
              <w:t>73 (27.2)</w:t>
            </w:r>
          </w:p>
        </w:tc>
        <w:tc>
          <w:tcPr>
            <w:tcW w:w="1179" w:type="pct"/>
          </w:tcPr>
          <w:p w:rsidR="00144D06" w:rsidRPr="00221ECD" w:rsidRDefault="00144D06" w:rsidP="00144D06">
            <w:pPr>
              <w:keepNext/>
              <w:jc w:val="center"/>
              <w:rPr>
                <w:rFonts w:ascii="Arial Narrow" w:hAnsi="Arial Narrow" w:cs="Arial Narrow"/>
                <w:b/>
                <w:sz w:val="20"/>
              </w:rPr>
            </w:pPr>
            <w:r w:rsidRPr="00221ECD">
              <w:rPr>
                <w:rFonts w:ascii="Arial Narrow" w:hAnsi="Arial Narrow" w:cs="Arial Narrow"/>
                <w:b/>
                <w:sz w:val="20"/>
              </w:rPr>
              <w:t>0.00</w:t>
            </w:r>
          </w:p>
        </w:tc>
        <w:tc>
          <w:tcPr>
            <w:tcW w:w="1300" w:type="pct"/>
          </w:tcPr>
          <w:p w:rsidR="00144D06" w:rsidRPr="00221ECD" w:rsidRDefault="00144D06" w:rsidP="00144D06">
            <w:pPr>
              <w:keepNext/>
              <w:jc w:val="center"/>
              <w:rPr>
                <w:rFonts w:ascii="Arial Narrow" w:hAnsi="Arial Narrow" w:cs="Arial Narrow"/>
                <w:b/>
                <w:sz w:val="20"/>
              </w:rPr>
            </w:pPr>
            <w:r w:rsidRPr="00221ECD">
              <w:rPr>
                <w:rFonts w:ascii="Arial Narrow" w:hAnsi="Arial Narrow" w:cs="Arial Narrow"/>
                <w:b/>
                <w:sz w:val="20"/>
              </w:rPr>
              <w:t>-0.27 (-0.33, -0.22)</w:t>
            </w:r>
          </w:p>
        </w:tc>
      </w:tr>
    </w:tbl>
    <w:p w:rsidR="00144D06" w:rsidRPr="008D703A" w:rsidRDefault="00144D06" w:rsidP="00144D06">
      <w:pPr>
        <w:keepLines/>
        <w:ind w:left="720"/>
        <w:contextualSpacing/>
        <w:rPr>
          <w:rFonts w:ascii="Arial Narrow" w:hAnsi="Arial Narrow"/>
          <w:b/>
          <w:sz w:val="18"/>
          <w:szCs w:val="18"/>
          <w:lang w:eastAsia="en-AU"/>
        </w:rPr>
      </w:pPr>
      <w:r w:rsidRPr="008D703A">
        <w:rPr>
          <w:rFonts w:ascii="Arial Narrow" w:hAnsi="Arial Narrow"/>
          <w:b/>
          <w:sz w:val="18"/>
          <w:szCs w:val="18"/>
          <w:lang w:eastAsia="en-AU"/>
        </w:rPr>
        <w:t>Statistical significant results bolded.</w:t>
      </w:r>
    </w:p>
    <w:p w:rsidR="00144D06" w:rsidRPr="00221ECD" w:rsidRDefault="00144D06" w:rsidP="00144D06">
      <w:pPr>
        <w:keepLines/>
        <w:ind w:left="720"/>
        <w:contextualSpacing/>
        <w:rPr>
          <w:rFonts w:ascii="Arial Narrow" w:hAnsi="Arial Narrow"/>
          <w:sz w:val="20"/>
          <w:lang w:eastAsia="en-AU"/>
        </w:rPr>
      </w:pPr>
      <w:r w:rsidRPr="00E11BD4">
        <w:rPr>
          <w:rFonts w:ascii="Arial Narrow" w:hAnsi="Arial Narrow"/>
          <w:sz w:val="18"/>
          <w:szCs w:val="18"/>
          <w:lang w:eastAsia="en-AU"/>
        </w:rPr>
        <w:t>AE = adverse event; Doc = docetaxel; Nivo = nivolumab;</w:t>
      </w:r>
      <w:r w:rsidRPr="00E11BD4">
        <w:rPr>
          <w:rFonts w:ascii="Arial Narrow" w:hAnsi="Arial Narrow"/>
          <w:color w:val="000000" w:themeColor="text1"/>
          <w:sz w:val="18"/>
          <w:szCs w:val="18"/>
          <w:lang w:eastAsia="en-AU"/>
        </w:rPr>
        <w:t xml:space="preserve"> RD = risk difference; RR = relative risk</w:t>
      </w:r>
      <w:r>
        <w:rPr>
          <w:rFonts w:ascii="Arial Narrow" w:hAnsi="Arial Narrow"/>
          <w:color w:val="000000" w:themeColor="text1"/>
          <w:sz w:val="18"/>
          <w:szCs w:val="18"/>
          <w:lang w:eastAsia="en-AU"/>
        </w:rPr>
        <w:t>; CI = confidence interval</w:t>
      </w:r>
    </w:p>
    <w:p w:rsidR="00144D06" w:rsidRPr="00E11BD4" w:rsidRDefault="00144D06" w:rsidP="00144D06">
      <w:pPr>
        <w:keepNext/>
        <w:keepLines/>
        <w:ind w:left="720"/>
        <w:rPr>
          <w:rFonts w:ascii="Arial Narrow" w:hAnsi="Arial Narrow"/>
          <w:sz w:val="18"/>
          <w:szCs w:val="18"/>
          <w:lang w:eastAsia="en-AU"/>
        </w:rPr>
      </w:pPr>
      <w:r w:rsidRPr="00E11BD4">
        <w:rPr>
          <w:rFonts w:ascii="Arial Narrow" w:hAnsi="Arial Narrow"/>
          <w:sz w:val="18"/>
          <w:szCs w:val="18"/>
          <w:lang w:eastAsia="en-AU"/>
        </w:rPr>
        <w:t>Source: Table 3</w:t>
      </w:r>
      <w:r>
        <w:rPr>
          <w:rFonts w:ascii="Arial Narrow" w:hAnsi="Arial Narrow"/>
          <w:sz w:val="18"/>
          <w:szCs w:val="18"/>
          <w:lang w:eastAsia="en-AU"/>
        </w:rPr>
        <w:t>3</w:t>
      </w:r>
      <w:r w:rsidRPr="00E11BD4">
        <w:rPr>
          <w:rFonts w:ascii="Arial Narrow" w:hAnsi="Arial Narrow"/>
          <w:sz w:val="18"/>
          <w:szCs w:val="18"/>
          <w:lang w:eastAsia="en-AU"/>
        </w:rPr>
        <w:t xml:space="preserve">, Section B.6.2 of the submission. </w:t>
      </w:r>
    </w:p>
    <w:p w:rsidR="00144D06" w:rsidRDefault="00144D06" w:rsidP="003645F5">
      <w:pPr>
        <w:widowControl/>
      </w:pPr>
    </w:p>
    <w:p w:rsidR="00144D06" w:rsidRPr="00AE71BA" w:rsidRDefault="006B0F3A" w:rsidP="00C61ED5">
      <w:pPr>
        <w:pStyle w:val="ListParagraph"/>
        <w:widowControl/>
        <w:numPr>
          <w:ilvl w:val="1"/>
          <w:numId w:val="2"/>
        </w:numPr>
      </w:pPr>
      <w:r w:rsidRPr="00200C65">
        <w:t xml:space="preserve">The CSR for the CA209-057 trial presented data on Grade 3-4 “Select AEs” (potentially associated with the use of nivolumab). Statistical comparisons were conducted during the evaluation of the proportion of these AEs. Nivolumab was associated with a significantly higher proportion of Grade 3-4 endocrine AEs compared with docetaxel (27/287 (9.4%) vs. 1/268 (0.4%); RR= 25.12 (95% CI: 6.9, 92.8); RD=9.0% (95% CI: 5.4%, 12.7%) and with a significantly lower proportion of </w:t>
      </w:r>
      <w:r w:rsidRPr="00AE71BA">
        <w:t>Grade 3-4 gastrointestinal AEs (22/287 (7.7%) vs. 62/268 (23.1%); RR= 0.33 (95% CI: 0.22, 0.51); RD=-15.5% (95% CI: -21.4%, -9.5%).</w:t>
      </w:r>
    </w:p>
    <w:p w:rsidR="00456D56" w:rsidRPr="00AE71BA" w:rsidRDefault="00456D56" w:rsidP="00456D56">
      <w:pPr>
        <w:widowControl/>
      </w:pPr>
    </w:p>
    <w:p w:rsidR="00456D56" w:rsidRPr="00AE71BA" w:rsidRDefault="00456D56" w:rsidP="00C61ED5">
      <w:pPr>
        <w:pStyle w:val="ListParagraph"/>
        <w:widowControl/>
        <w:numPr>
          <w:ilvl w:val="1"/>
          <w:numId w:val="2"/>
        </w:numPr>
      </w:pPr>
      <w:r w:rsidRPr="00AE71BA">
        <w:t xml:space="preserve">The ESC noted that the adverse event of </w:t>
      </w:r>
      <w:r w:rsidR="00D105F5" w:rsidRPr="00AE71BA">
        <w:t xml:space="preserve">fatal </w:t>
      </w:r>
      <w:r w:rsidRPr="00AE71BA">
        <w:t xml:space="preserve">encephalitis is linked to nivolumab, and that a TGA condition of registration is provision of the results of the </w:t>
      </w:r>
      <w:r w:rsidR="00D105F5" w:rsidRPr="00AE71BA">
        <w:t>e</w:t>
      </w:r>
      <w:r w:rsidRPr="00AE71BA">
        <w:t>nhanced pharmacovigilance study of immune-related encephalitis, mandated by the FDA.</w:t>
      </w:r>
    </w:p>
    <w:p w:rsidR="00E452CA" w:rsidRDefault="00E452CA" w:rsidP="00144D06">
      <w:pPr>
        <w:pStyle w:val="ListParagraph"/>
        <w:ind w:left="0"/>
        <w:rPr>
          <w:szCs w:val="22"/>
        </w:rPr>
      </w:pPr>
    </w:p>
    <w:p w:rsidR="00144D06" w:rsidRPr="002C2775" w:rsidRDefault="00144D06" w:rsidP="00144D06">
      <w:pPr>
        <w:pStyle w:val="Heading2"/>
        <w:rPr>
          <w:i/>
          <w:szCs w:val="22"/>
        </w:rPr>
      </w:pPr>
      <w:bookmarkStart w:id="15" w:name="_Toc440294999"/>
      <w:bookmarkStart w:id="16" w:name="_Toc440981300"/>
      <w:r w:rsidRPr="002C2775">
        <w:rPr>
          <w:i/>
        </w:rPr>
        <w:t>Benefits/harms</w:t>
      </w:r>
      <w:bookmarkEnd w:id="15"/>
      <w:bookmarkEnd w:id="16"/>
    </w:p>
    <w:p w:rsidR="00144D06" w:rsidRPr="007F1017" w:rsidRDefault="00144D06" w:rsidP="00144D06">
      <w:pPr>
        <w:pStyle w:val="ListParagraph"/>
        <w:ind w:left="0"/>
        <w:rPr>
          <w:szCs w:val="22"/>
        </w:rPr>
      </w:pPr>
    </w:p>
    <w:p w:rsidR="00144D06" w:rsidRPr="00200C65" w:rsidRDefault="00144D06" w:rsidP="00C61ED5">
      <w:pPr>
        <w:pStyle w:val="ListParagraph"/>
        <w:widowControl/>
        <w:numPr>
          <w:ilvl w:val="1"/>
          <w:numId w:val="2"/>
        </w:numPr>
        <w:rPr>
          <w:szCs w:val="22"/>
        </w:rPr>
      </w:pPr>
      <w:r w:rsidRPr="00B50DB8">
        <w:rPr>
          <w:szCs w:val="22"/>
        </w:rPr>
        <w:t xml:space="preserve">A </w:t>
      </w:r>
      <w:r w:rsidR="006B0F3A" w:rsidRPr="00B50DB8">
        <w:rPr>
          <w:szCs w:val="22"/>
        </w:rPr>
        <w:t xml:space="preserve">summary of the comparative benefits and harms for </w:t>
      </w:r>
      <w:r w:rsidR="006B0F3A">
        <w:rPr>
          <w:szCs w:val="22"/>
        </w:rPr>
        <w:t xml:space="preserve">nivolumab </w:t>
      </w:r>
      <w:r w:rsidR="006B0F3A" w:rsidRPr="00B50DB8">
        <w:rPr>
          <w:szCs w:val="22"/>
        </w:rPr>
        <w:t xml:space="preserve">versus </w:t>
      </w:r>
      <w:r w:rsidR="006B0F3A">
        <w:rPr>
          <w:szCs w:val="22"/>
        </w:rPr>
        <w:t xml:space="preserve">docetaxel in an unselected </w:t>
      </w:r>
      <w:r w:rsidR="006B0F3A" w:rsidRPr="00661CD7">
        <w:rPr>
          <w:szCs w:val="22"/>
        </w:rPr>
        <w:t>ITT non-squamous NSCLC population is</w:t>
      </w:r>
      <w:r w:rsidR="006B0F3A" w:rsidRPr="00B50DB8">
        <w:rPr>
          <w:szCs w:val="22"/>
        </w:rPr>
        <w:t xml:space="preserve"> presented in the table below. </w:t>
      </w:r>
      <w:r w:rsidR="006B0F3A" w:rsidRPr="00200C65">
        <w:rPr>
          <w:szCs w:val="22"/>
        </w:rPr>
        <w:t>The OS curves cross for patients receiving the two drugs, making it difficult to interpret the HR as the proportional hazards assumption was not met. Comparative benefits were also presented by PD-L1 status (PD-L1 ≥ 5% vs. PD-L1 &lt; 5%) as the data indicated significant variation in treatment effect. Safety data by PD-L1 status were not presented as the AEs across PD-L1 subsets were not substantially different.</w:t>
      </w:r>
    </w:p>
    <w:p w:rsidR="00A5365C" w:rsidRDefault="00A5365C">
      <w:pPr>
        <w:widowControl/>
        <w:jc w:val="left"/>
        <w:rPr>
          <w:szCs w:val="22"/>
        </w:rPr>
      </w:pPr>
      <w:r>
        <w:rPr>
          <w:szCs w:val="22"/>
        </w:rPr>
        <w:br w:type="page"/>
      </w:r>
    </w:p>
    <w:p w:rsidR="00406CF4" w:rsidRPr="001E5EBD" w:rsidRDefault="00406CF4">
      <w:pPr>
        <w:widowControl/>
        <w:jc w:val="left"/>
        <w:rPr>
          <w:szCs w:val="22"/>
        </w:rPr>
      </w:pPr>
    </w:p>
    <w:p w:rsidR="00144D06" w:rsidRPr="00200C65" w:rsidRDefault="00144D06" w:rsidP="003645F5">
      <w:pPr>
        <w:pStyle w:val="TableHeader"/>
        <w:ind w:left="709"/>
      </w:pPr>
      <w:r w:rsidRPr="00200C65">
        <w:t xml:space="preserve">Table </w:t>
      </w:r>
      <w:r w:rsidRPr="00200C65">
        <w:rPr>
          <w:noProof/>
        </w:rPr>
        <w:t>6</w:t>
      </w:r>
      <w:r w:rsidRPr="00200C65">
        <w:t xml:space="preserve">: </w:t>
      </w:r>
      <w:r w:rsidR="003645F5" w:rsidRPr="00200C65">
        <w:t>CA209-057:</w:t>
      </w:r>
      <w:r w:rsidRPr="00200C65">
        <w:t xml:space="preserve"> Summary of comparative benefits and harms for nivolumab and docetaxel</w:t>
      </w:r>
    </w:p>
    <w:tbl>
      <w:tblPr>
        <w:tblStyle w:val="TableGrid"/>
        <w:tblW w:w="4604" w:type="pct"/>
        <w:tblInd w:w="737" w:type="dxa"/>
        <w:tblLayout w:type="fixed"/>
        <w:tblCellMar>
          <w:left w:w="28" w:type="dxa"/>
          <w:right w:w="28" w:type="dxa"/>
        </w:tblCellMar>
        <w:tblLook w:val="04A0" w:firstRow="1" w:lastRow="0" w:firstColumn="1" w:lastColumn="0" w:noHBand="0" w:noVBand="1"/>
        <w:tblCaption w:val="Table 6: CA209-057: Summary of comparative benefits and harms for nivolumab and docetaxel"/>
      </w:tblPr>
      <w:tblGrid>
        <w:gridCol w:w="1981"/>
        <w:gridCol w:w="992"/>
        <w:gridCol w:w="708"/>
        <w:gridCol w:w="7"/>
        <w:gridCol w:w="279"/>
        <w:gridCol w:w="1139"/>
        <w:gridCol w:w="1137"/>
        <w:gridCol w:w="990"/>
        <w:gridCol w:w="8"/>
        <w:gridCol w:w="1122"/>
      </w:tblGrid>
      <w:tr w:rsidR="00667E83" w:rsidRPr="00A05BDE" w:rsidTr="00D36062">
        <w:trPr>
          <w:trHeight w:val="150"/>
          <w:tblHeader/>
        </w:trPr>
        <w:tc>
          <w:tcPr>
            <w:tcW w:w="1184" w:type="pct"/>
            <w:vMerge w:val="restart"/>
            <w:shd w:val="clear" w:color="auto" w:fill="auto"/>
            <w:vAlign w:val="center"/>
          </w:tcPr>
          <w:p w:rsidR="00144D06" w:rsidRPr="00A05BDE" w:rsidRDefault="00144D06" w:rsidP="00144D06">
            <w:pPr>
              <w:rPr>
                <w:rFonts w:ascii="Arial Narrow" w:hAnsi="Arial Narrow"/>
                <w:b/>
                <w:i/>
                <w:color w:val="000000"/>
                <w:sz w:val="20"/>
              </w:rPr>
            </w:pPr>
          </w:p>
        </w:tc>
        <w:tc>
          <w:tcPr>
            <w:tcW w:w="1016" w:type="pct"/>
            <w:gridSpan w:val="2"/>
            <w:vMerge w:val="restart"/>
            <w:vAlign w:val="center"/>
          </w:tcPr>
          <w:p w:rsidR="00144D06" w:rsidRPr="00200C65" w:rsidRDefault="00144D06" w:rsidP="00144D06">
            <w:pPr>
              <w:jc w:val="center"/>
              <w:rPr>
                <w:rFonts w:ascii="Arial Narrow" w:hAnsi="Arial Narrow"/>
                <w:b/>
                <w:color w:val="000000"/>
                <w:sz w:val="20"/>
              </w:rPr>
            </w:pPr>
            <w:r w:rsidRPr="00200C65">
              <w:rPr>
                <w:rFonts w:ascii="Arial Narrow" w:hAnsi="Arial Narrow"/>
                <w:b/>
                <w:color w:val="000000"/>
                <w:sz w:val="20"/>
              </w:rPr>
              <w:t>Nivolumab</w:t>
            </w:r>
          </w:p>
        </w:tc>
        <w:tc>
          <w:tcPr>
            <w:tcW w:w="851" w:type="pct"/>
            <w:gridSpan w:val="3"/>
            <w:vMerge w:val="restart"/>
            <w:vAlign w:val="center"/>
          </w:tcPr>
          <w:p w:rsidR="00144D06" w:rsidRPr="00200C65" w:rsidRDefault="00144D06" w:rsidP="00144D06">
            <w:pPr>
              <w:jc w:val="center"/>
              <w:rPr>
                <w:rFonts w:ascii="Arial Narrow" w:hAnsi="Arial Narrow"/>
                <w:b/>
                <w:color w:val="000000"/>
                <w:sz w:val="20"/>
              </w:rPr>
            </w:pPr>
            <w:r w:rsidRPr="00200C65">
              <w:rPr>
                <w:rFonts w:ascii="Arial Narrow" w:hAnsi="Arial Narrow"/>
                <w:b/>
                <w:color w:val="000000"/>
                <w:sz w:val="20"/>
              </w:rPr>
              <w:t>Docetaxel</w:t>
            </w:r>
          </w:p>
        </w:tc>
        <w:tc>
          <w:tcPr>
            <w:tcW w:w="1277" w:type="pct"/>
            <w:gridSpan w:val="3"/>
            <w:vAlign w:val="center"/>
          </w:tcPr>
          <w:p w:rsidR="00144D06" w:rsidRPr="00200C65" w:rsidRDefault="00144D06" w:rsidP="00144D06">
            <w:pPr>
              <w:jc w:val="center"/>
              <w:rPr>
                <w:rFonts w:ascii="Arial Narrow" w:hAnsi="Arial Narrow"/>
                <w:b/>
                <w:color w:val="000000"/>
                <w:sz w:val="20"/>
              </w:rPr>
            </w:pPr>
            <w:r w:rsidRPr="00200C65">
              <w:rPr>
                <w:rFonts w:ascii="Arial Narrow" w:hAnsi="Arial Narrow"/>
                <w:b/>
                <w:color w:val="000000"/>
                <w:sz w:val="20"/>
              </w:rPr>
              <w:t>Event rate/100 patients</w:t>
            </w:r>
          </w:p>
          <w:p w:rsidR="00144D06" w:rsidRPr="00200C65" w:rsidRDefault="00144D06" w:rsidP="003645F5">
            <w:pPr>
              <w:jc w:val="center"/>
              <w:rPr>
                <w:rFonts w:ascii="Arial Narrow" w:hAnsi="Arial Narrow"/>
                <w:b/>
                <w:color w:val="000000"/>
                <w:sz w:val="20"/>
              </w:rPr>
            </w:pPr>
            <w:r w:rsidRPr="00200C65">
              <w:rPr>
                <w:rFonts w:ascii="Arial Narrow" w:hAnsi="Arial Narrow"/>
                <w:b/>
                <w:color w:val="000000"/>
                <w:sz w:val="20"/>
              </w:rPr>
              <w:t>(95% CI)</w:t>
            </w:r>
          </w:p>
        </w:tc>
        <w:tc>
          <w:tcPr>
            <w:tcW w:w="671" w:type="pct"/>
            <w:vMerge w:val="restart"/>
            <w:vAlign w:val="center"/>
          </w:tcPr>
          <w:p w:rsidR="00144D06" w:rsidRPr="00200C65" w:rsidRDefault="00144D06" w:rsidP="00144D06">
            <w:pPr>
              <w:jc w:val="center"/>
              <w:rPr>
                <w:rFonts w:ascii="Arial Narrow" w:hAnsi="Arial Narrow"/>
                <w:b/>
                <w:color w:val="000000"/>
                <w:sz w:val="20"/>
              </w:rPr>
            </w:pPr>
            <w:r w:rsidRPr="00200C65">
              <w:rPr>
                <w:rFonts w:ascii="Arial Narrow" w:hAnsi="Arial Narrow"/>
                <w:b/>
                <w:color w:val="000000"/>
                <w:sz w:val="20"/>
              </w:rPr>
              <w:t>RD/100 patients</w:t>
            </w:r>
          </w:p>
          <w:p w:rsidR="00144D06" w:rsidRPr="00200C65" w:rsidRDefault="00144D06" w:rsidP="003645F5">
            <w:pPr>
              <w:jc w:val="center"/>
              <w:rPr>
                <w:rFonts w:ascii="Arial Narrow" w:hAnsi="Arial Narrow"/>
                <w:b/>
                <w:color w:val="000000"/>
                <w:sz w:val="20"/>
              </w:rPr>
            </w:pPr>
            <w:r w:rsidRPr="00200C65">
              <w:rPr>
                <w:rFonts w:ascii="Arial Narrow" w:hAnsi="Arial Narrow"/>
                <w:b/>
                <w:color w:val="000000"/>
                <w:sz w:val="20"/>
              </w:rPr>
              <w:t>(95% CI)</w:t>
            </w:r>
          </w:p>
        </w:tc>
      </w:tr>
      <w:tr w:rsidR="00667E83" w:rsidRPr="00A05BDE" w:rsidTr="00D36062">
        <w:trPr>
          <w:trHeight w:val="315"/>
          <w:tblHeader/>
        </w:trPr>
        <w:tc>
          <w:tcPr>
            <w:tcW w:w="1184" w:type="pct"/>
            <w:vMerge/>
            <w:shd w:val="clear" w:color="auto" w:fill="auto"/>
            <w:vAlign w:val="center"/>
          </w:tcPr>
          <w:p w:rsidR="00144D06" w:rsidRPr="00A05BDE" w:rsidRDefault="00144D06" w:rsidP="00144D06">
            <w:pPr>
              <w:rPr>
                <w:rFonts w:ascii="Arial Narrow" w:hAnsi="Arial Narrow"/>
                <w:b/>
                <w:i/>
                <w:color w:val="000000"/>
                <w:sz w:val="20"/>
              </w:rPr>
            </w:pPr>
          </w:p>
        </w:tc>
        <w:tc>
          <w:tcPr>
            <w:tcW w:w="1016" w:type="pct"/>
            <w:gridSpan w:val="2"/>
            <w:vMerge/>
            <w:vAlign w:val="center"/>
          </w:tcPr>
          <w:p w:rsidR="00144D06" w:rsidRPr="00200C65" w:rsidRDefault="00144D06" w:rsidP="00144D06">
            <w:pPr>
              <w:jc w:val="center"/>
              <w:rPr>
                <w:rFonts w:ascii="Arial Narrow" w:hAnsi="Arial Narrow"/>
                <w:b/>
                <w:color w:val="000000"/>
                <w:sz w:val="20"/>
              </w:rPr>
            </w:pPr>
          </w:p>
        </w:tc>
        <w:tc>
          <w:tcPr>
            <w:tcW w:w="851" w:type="pct"/>
            <w:gridSpan w:val="3"/>
            <w:vMerge/>
            <w:vAlign w:val="center"/>
          </w:tcPr>
          <w:p w:rsidR="00144D06" w:rsidRPr="00200C65" w:rsidRDefault="00144D06" w:rsidP="00144D06">
            <w:pPr>
              <w:jc w:val="center"/>
              <w:rPr>
                <w:rFonts w:ascii="Arial Narrow" w:hAnsi="Arial Narrow"/>
                <w:b/>
                <w:color w:val="000000"/>
                <w:sz w:val="20"/>
              </w:rPr>
            </w:pPr>
          </w:p>
        </w:tc>
        <w:tc>
          <w:tcPr>
            <w:tcW w:w="680" w:type="pct"/>
            <w:vAlign w:val="center"/>
          </w:tcPr>
          <w:p w:rsidR="00144D06" w:rsidRPr="00200C65" w:rsidRDefault="00144D06" w:rsidP="00144D06">
            <w:pPr>
              <w:jc w:val="center"/>
              <w:rPr>
                <w:rFonts w:ascii="Arial Narrow" w:hAnsi="Arial Narrow"/>
                <w:b/>
                <w:color w:val="000000"/>
                <w:sz w:val="20"/>
              </w:rPr>
            </w:pPr>
            <w:r w:rsidRPr="00200C65">
              <w:rPr>
                <w:rFonts w:ascii="Arial Narrow" w:hAnsi="Arial Narrow"/>
                <w:b/>
                <w:color w:val="000000"/>
                <w:sz w:val="20"/>
              </w:rPr>
              <w:t>Nivolumab</w:t>
            </w:r>
          </w:p>
        </w:tc>
        <w:tc>
          <w:tcPr>
            <w:tcW w:w="597" w:type="pct"/>
            <w:gridSpan w:val="2"/>
            <w:vAlign w:val="center"/>
          </w:tcPr>
          <w:p w:rsidR="00144D06" w:rsidRPr="00200C65" w:rsidRDefault="00144D06" w:rsidP="00144D06">
            <w:pPr>
              <w:jc w:val="center"/>
              <w:rPr>
                <w:rFonts w:ascii="Arial Narrow" w:hAnsi="Arial Narrow"/>
                <w:b/>
                <w:color w:val="000000"/>
                <w:sz w:val="20"/>
              </w:rPr>
            </w:pPr>
            <w:r w:rsidRPr="00200C65">
              <w:rPr>
                <w:rFonts w:ascii="Arial Narrow" w:hAnsi="Arial Narrow"/>
                <w:b/>
                <w:color w:val="000000"/>
                <w:sz w:val="20"/>
              </w:rPr>
              <w:t>Docetaxel</w:t>
            </w:r>
          </w:p>
        </w:tc>
        <w:tc>
          <w:tcPr>
            <w:tcW w:w="671" w:type="pct"/>
            <w:vMerge/>
            <w:vAlign w:val="center"/>
          </w:tcPr>
          <w:p w:rsidR="00144D06" w:rsidRPr="00200C65" w:rsidRDefault="00144D06" w:rsidP="00144D06">
            <w:pPr>
              <w:jc w:val="center"/>
              <w:rPr>
                <w:rFonts w:ascii="Arial Narrow" w:hAnsi="Arial Narrow"/>
                <w:b/>
                <w:color w:val="000000"/>
                <w:sz w:val="20"/>
              </w:rPr>
            </w:pPr>
          </w:p>
        </w:tc>
      </w:tr>
      <w:tr w:rsidR="00144D06" w:rsidRPr="00A05BDE" w:rsidTr="00667E83">
        <w:tc>
          <w:tcPr>
            <w:tcW w:w="5000" w:type="pct"/>
            <w:gridSpan w:val="10"/>
            <w:shd w:val="clear" w:color="auto" w:fill="D9D9D9" w:themeFill="background1" w:themeFillShade="D9"/>
            <w:vAlign w:val="center"/>
          </w:tcPr>
          <w:p w:rsidR="00144D06" w:rsidRPr="00200C65" w:rsidRDefault="00144D06" w:rsidP="00144D06">
            <w:pPr>
              <w:rPr>
                <w:rFonts w:ascii="Arial Narrow" w:hAnsi="Arial Narrow"/>
                <w:b/>
                <w:color w:val="000000"/>
                <w:sz w:val="20"/>
              </w:rPr>
            </w:pPr>
            <w:r w:rsidRPr="00200C65">
              <w:rPr>
                <w:rFonts w:ascii="Arial Narrow" w:hAnsi="Arial Narrow"/>
                <w:b/>
                <w:color w:val="000000"/>
                <w:sz w:val="20"/>
              </w:rPr>
              <w:t>ITT-Unselected for PD-L1 status</w:t>
            </w:r>
          </w:p>
        </w:tc>
      </w:tr>
      <w:tr w:rsidR="00144D06" w:rsidRPr="00A05BDE" w:rsidTr="00667E83">
        <w:tc>
          <w:tcPr>
            <w:tcW w:w="5000" w:type="pct"/>
            <w:gridSpan w:val="10"/>
            <w:shd w:val="clear" w:color="auto" w:fill="FFFFFF" w:themeFill="background1"/>
            <w:vAlign w:val="center"/>
          </w:tcPr>
          <w:p w:rsidR="00144D06" w:rsidRPr="00200C65" w:rsidRDefault="00144D06" w:rsidP="00144D06">
            <w:pPr>
              <w:rPr>
                <w:rFonts w:ascii="Arial Narrow" w:hAnsi="Arial Narrow"/>
                <w:b/>
                <w:color w:val="000000"/>
                <w:sz w:val="20"/>
              </w:rPr>
            </w:pPr>
            <w:r w:rsidRPr="00200C65">
              <w:rPr>
                <w:rFonts w:ascii="Arial Narrow" w:hAnsi="Arial Narrow"/>
                <w:b/>
                <w:color w:val="000000"/>
                <w:sz w:val="20"/>
              </w:rPr>
              <w:t>Benefits</w:t>
            </w:r>
          </w:p>
        </w:tc>
      </w:tr>
      <w:tr w:rsidR="00144D06" w:rsidRPr="00A05BDE" w:rsidTr="00667E83">
        <w:tc>
          <w:tcPr>
            <w:tcW w:w="5000" w:type="pct"/>
            <w:gridSpan w:val="10"/>
            <w:shd w:val="clear" w:color="auto" w:fill="auto"/>
            <w:vAlign w:val="center"/>
          </w:tcPr>
          <w:p w:rsidR="00144D06" w:rsidRPr="00200C65" w:rsidRDefault="00144D06" w:rsidP="00144D06">
            <w:pPr>
              <w:rPr>
                <w:rFonts w:ascii="Arial Narrow" w:hAnsi="Arial Narrow"/>
                <w:color w:val="000000"/>
                <w:sz w:val="20"/>
              </w:rPr>
            </w:pPr>
            <w:r w:rsidRPr="00200C65">
              <w:rPr>
                <w:rFonts w:ascii="Arial Narrow" w:hAnsi="Arial Narrow"/>
                <w:color w:val="000000"/>
                <w:sz w:val="20"/>
              </w:rPr>
              <w:t>Overall survival (OS)</w:t>
            </w:r>
          </w:p>
        </w:tc>
      </w:tr>
      <w:tr w:rsidR="00667E83" w:rsidRPr="00A05BDE" w:rsidTr="008D7821">
        <w:tc>
          <w:tcPr>
            <w:tcW w:w="1184" w:type="pct"/>
            <w:shd w:val="clear" w:color="auto" w:fill="auto"/>
            <w:vAlign w:val="center"/>
          </w:tcPr>
          <w:p w:rsidR="00144D06" w:rsidRPr="00200C65" w:rsidRDefault="00144D06" w:rsidP="00667E83">
            <w:pPr>
              <w:jc w:val="left"/>
              <w:rPr>
                <w:rFonts w:ascii="Arial Narrow" w:hAnsi="Arial Narrow"/>
                <w:color w:val="000000"/>
                <w:sz w:val="20"/>
              </w:rPr>
            </w:pPr>
            <w:r w:rsidRPr="00200C65">
              <w:rPr>
                <w:rFonts w:ascii="Arial Narrow" w:hAnsi="Arial Narrow"/>
                <w:sz w:val="20"/>
              </w:rPr>
              <w:t>Kaplan-Meir OS rate</w:t>
            </w:r>
            <w:r w:rsidRPr="00200C65">
              <w:rPr>
                <w:rFonts w:ascii="Arial Narrow" w:hAnsi="Arial Narrow"/>
                <w:sz w:val="20"/>
                <w:vertAlign w:val="superscript"/>
              </w:rPr>
              <w:t>a</w:t>
            </w:r>
            <w:r w:rsidRPr="00200C65">
              <w:rPr>
                <w:rFonts w:ascii="Arial Narrow" w:hAnsi="Arial Narrow"/>
                <w:color w:val="000000"/>
                <w:sz w:val="20"/>
              </w:rPr>
              <w:t xml:space="preserve"> at 12 months (Database lock: March 2015)</w:t>
            </w:r>
          </w:p>
        </w:tc>
        <w:tc>
          <w:tcPr>
            <w:tcW w:w="1016" w:type="pct"/>
            <w:gridSpan w:val="2"/>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147/292</w:t>
            </w:r>
          </w:p>
        </w:tc>
        <w:tc>
          <w:tcPr>
            <w:tcW w:w="851" w:type="pct"/>
            <w:gridSpan w:val="3"/>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113/290</w:t>
            </w:r>
          </w:p>
        </w:tc>
        <w:tc>
          <w:tcPr>
            <w:tcW w:w="680" w:type="pct"/>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51</w:t>
            </w:r>
          </w:p>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(45, 56)</w:t>
            </w:r>
          </w:p>
        </w:tc>
        <w:tc>
          <w:tcPr>
            <w:tcW w:w="597" w:type="pct"/>
            <w:gridSpan w:val="2"/>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39.0</w:t>
            </w:r>
          </w:p>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(33, 45)</w:t>
            </w:r>
          </w:p>
        </w:tc>
        <w:tc>
          <w:tcPr>
            <w:tcW w:w="671" w:type="pct"/>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12</w:t>
            </w:r>
          </w:p>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(3, 19)</w:t>
            </w:r>
          </w:p>
        </w:tc>
      </w:tr>
      <w:tr w:rsidR="00667E83" w:rsidRPr="00A05BDE" w:rsidTr="008D7821">
        <w:tc>
          <w:tcPr>
            <w:tcW w:w="1184" w:type="pct"/>
            <w:shd w:val="clear" w:color="auto" w:fill="auto"/>
            <w:vAlign w:val="center"/>
          </w:tcPr>
          <w:p w:rsidR="00144D06" w:rsidRPr="00200C65" w:rsidRDefault="00144D06" w:rsidP="00667E83">
            <w:pPr>
              <w:jc w:val="left"/>
              <w:rPr>
                <w:rFonts w:ascii="Arial Narrow" w:hAnsi="Arial Narrow"/>
                <w:color w:val="000000"/>
                <w:sz w:val="20"/>
              </w:rPr>
            </w:pPr>
            <w:r w:rsidRPr="00200C65">
              <w:rPr>
                <w:rFonts w:ascii="Arial Narrow" w:hAnsi="Arial Narrow"/>
                <w:sz w:val="20"/>
              </w:rPr>
              <w:t>Kaplan-Meir OS rate</w:t>
            </w:r>
            <w:r w:rsidRPr="00200C65">
              <w:rPr>
                <w:rFonts w:ascii="Arial Narrow" w:hAnsi="Arial Narrow"/>
                <w:sz w:val="20"/>
                <w:vertAlign w:val="superscript"/>
              </w:rPr>
              <w:t>a</w:t>
            </w:r>
            <w:r w:rsidRPr="00200C65">
              <w:rPr>
                <w:rFonts w:ascii="Arial Narrow" w:hAnsi="Arial Narrow"/>
                <w:color w:val="000000"/>
                <w:sz w:val="20"/>
              </w:rPr>
              <w:t xml:space="preserve"> at 18 months</w:t>
            </w:r>
            <w:r w:rsidRPr="00200C65">
              <w:rPr>
                <w:rFonts w:ascii="Arial Narrow" w:hAnsi="Arial Narrow"/>
                <w:color w:val="000000"/>
                <w:sz w:val="20"/>
                <w:vertAlign w:val="superscript"/>
              </w:rPr>
              <w:t xml:space="preserve">b </w:t>
            </w:r>
            <w:r w:rsidRPr="00200C65">
              <w:rPr>
                <w:rFonts w:ascii="Arial Narrow" w:hAnsi="Arial Narrow"/>
                <w:color w:val="000000"/>
                <w:sz w:val="20"/>
              </w:rPr>
              <w:t>(Database lock: July 2015)</w:t>
            </w:r>
          </w:p>
        </w:tc>
        <w:tc>
          <w:tcPr>
            <w:tcW w:w="1016" w:type="pct"/>
            <w:gridSpan w:val="2"/>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114/292</w:t>
            </w:r>
          </w:p>
        </w:tc>
        <w:tc>
          <w:tcPr>
            <w:tcW w:w="851" w:type="pct"/>
            <w:gridSpan w:val="3"/>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67/290</w:t>
            </w:r>
          </w:p>
        </w:tc>
        <w:tc>
          <w:tcPr>
            <w:tcW w:w="680" w:type="pct"/>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39</w:t>
            </w:r>
          </w:p>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(34, 45)</w:t>
            </w:r>
          </w:p>
        </w:tc>
        <w:tc>
          <w:tcPr>
            <w:tcW w:w="597" w:type="pct"/>
            <w:gridSpan w:val="2"/>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23</w:t>
            </w:r>
          </w:p>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(19, 28)</w:t>
            </w:r>
          </w:p>
        </w:tc>
        <w:tc>
          <w:tcPr>
            <w:tcW w:w="671" w:type="pct"/>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16</w:t>
            </w:r>
          </w:p>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(8, 23)</w:t>
            </w:r>
          </w:p>
        </w:tc>
      </w:tr>
      <w:tr w:rsidR="00667E83" w:rsidRPr="00A05BDE" w:rsidTr="00667E83">
        <w:tc>
          <w:tcPr>
            <w:tcW w:w="1184" w:type="pct"/>
            <w:shd w:val="clear" w:color="auto" w:fill="auto"/>
            <w:vAlign w:val="center"/>
          </w:tcPr>
          <w:p w:rsidR="00144D06" w:rsidRPr="00200C65" w:rsidRDefault="00144D06" w:rsidP="00667E83">
            <w:pPr>
              <w:jc w:val="left"/>
              <w:rPr>
                <w:rFonts w:ascii="Arial Narrow" w:hAnsi="Arial Narrow"/>
                <w:color w:val="000000"/>
                <w:sz w:val="20"/>
              </w:rPr>
            </w:pPr>
          </w:p>
        </w:tc>
        <w:tc>
          <w:tcPr>
            <w:tcW w:w="1016" w:type="pct"/>
            <w:gridSpan w:val="2"/>
          </w:tcPr>
          <w:p w:rsidR="00144D06" w:rsidRPr="00200C65" w:rsidRDefault="00144D06" w:rsidP="00144D06">
            <w:pPr>
              <w:jc w:val="center"/>
              <w:rPr>
                <w:rFonts w:ascii="Arial Narrow" w:hAnsi="Arial Narrow"/>
                <w:b/>
                <w:color w:val="000000"/>
                <w:sz w:val="20"/>
              </w:rPr>
            </w:pPr>
            <w:r w:rsidRPr="00200C65">
              <w:rPr>
                <w:rFonts w:ascii="Arial Narrow" w:hAnsi="Arial Narrow"/>
                <w:b/>
                <w:color w:val="000000"/>
                <w:sz w:val="20"/>
              </w:rPr>
              <w:t>Nivolumab</w:t>
            </w:r>
          </w:p>
        </w:tc>
        <w:tc>
          <w:tcPr>
            <w:tcW w:w="851" w:type="pct"/>
            <w:gridSpan w:val="3"/>
          </w:tcPr>
          <w:p w:rsidR="00144D06" w:rsidRPr="00200C65" w:rsidRDefault="00144D06" w:rsidP="00144D06">
            <w:pPr>
              <w:jc w:val="center"/>
              <w:rPr>
                <w:rFonts w:ascii="Arial Narrow" w:hAnsi="Arial Narrow"/>
                <w:b/>
                <w:color w:val="000000"/>
                <w:sz w:val="20"/>
              </w:rPr>
            </w:pPr>
            <w:r w:rsidRPr="00200C65">
              <w:rPr>
                <w:rFonts w:ascii="Arial Narrow" w:hAnsi="Arial Narrow"/>
                <w:b/>
                <w:color w:val="000000"/>
                <w:sz w:val="20"/>
              </w:rPr>
              <w:t>Docetaxel</w:t>
            </w:r>
          </w:p>
        </w:tc>
        <w:tc>
          <w:tcPr>
            <w:tcW w:w="1277" w:type="pct"/>
            <w:gridSpan w:val="3"/>
          </w:tcPr>
          <w:p w:rsidR="00144D06" w:rsidRPr="00200C65" w:rsidRDefault="00144D06" w:rsidP="00144D06">
            <w:pPr>
              <w:jc w:val="center"/>
              <w:rPr>
                <w:rFonts w:ascii="Arial Narrow" w:hAnsi="Arial Narrow"/>
                <w:b/>
                <w:color w:val="000000"/>
                <w:sz w:val="20"/>
              </w:rPr>
            </w:pPr>
            <w:r w:rsidRPr="00200C65">
              <w:rPr>
                <w:rFonts w:ascii="Arial Narrow" w:hAnsi="Arial Narrow"/>
                <w:b/>
                <w:color w:val="000000"/>
                <w:sz w:val="20"/>
              </w:rPr>
              <w:t xml:space="preserve">Absolute </w:t>
            </w:r>
            <w:r w:rsidR="00667E83" w:rsidRPr="00200C65">
              <w:rPr>
                <w:rFonts w:ascii="Arial Narrow" w:hAnsi="Arial Narrow"/>
                <w:b/>
                <w:color w:val="000000"/>
                <w:sz w:val="20"/>
              </w:rPr>
              <w:t>d</w:t>
            </w:r>
            <w:r w:rsidRPr="00200C65">
              <w:rPr>
                <w:rFonts w:ascii="Arial Narrow" w:hAnsi="Arial Narrow"/>
                <w:b/>
                <w:color w:val="000000"/>
                <w:sz w:val="20"/>
              </w:rPr>
              <w:t>ifference</w:t>
            </w:r>
          </w:p>
        </w:tc>
        <w:tc>
          <w:tcPr>
            <w:tcW w:w="671" w:type="pct"/>
          </w:tcPr>
          <w:p w:rsidR="00144D06" w:rsidRPr="00200C65" w:rsidRDefault="00144D06" w:rsidP="00144D06">
            <w:pPr>
              <w:jc w:val="center"/>
              <w:rPr>
                <w:rFonts w:ascii="Arial Narrow" w:hAnsi="Arial Narrow"/>
                <w:b/>
                <w:color w:val="000000"/>
                <w:sz w:val="20"/>
              </w:rPr>
            </w:pPr>
            <w:r w:rsidRPr="00200C65">
              <w:rPr>
                <w:rFonts w:ascii="Arial Narrow" w:hAnsi="Arial Narrow"/>
                <w:b/>
                <w:color w:val="000000"/>
                <w:sz w:val="20"/>
              </w:rPr>
              <w:t>HR (95% CI)</w:t>
            </w:r>
          </w:p>
        </w:tc>
      </w:tr>
      <w:tr w:rsidR="00667E83" w:rsidRPr="00A05BDE" w:rsidTr="008D7821">
        <w:tc>
          <w:tcPr>
            <w:tcW w:w="1184" w:type="pct"/>
            <w:shd w:val="clear" w:color="auto" w:fill="auto"/>
            <w:vAlign w:val="center"/>
          </w:tcPr>
          <w:p w:rsidR="00144D06" w:rsidRPr="00200C65" w:rsidRDefault="00144D06" w:rsidP="008D7821">
            <w:pPr>
              <w:jc w:val="left"/>
              <w:rPr>
                <w:rFonts w:ascii="Arial Narrow" w:hAnsi="Arial Narrow"/>
                <w:color w:val="000000"/>
                <w:sz w:val="20"/>
              </w:rPr>
            </w:pPr>
            <w:r w:rsidRPr="00200C65">
              <w:rPr>
                <w:rFonts w:ascii="Arial Narrow" w:hAnsi="Arial Narrow"/>
                <w:color w:val="000000"/>
                <w:sz w:val="20"/>
              </w:rPr>
              <w:t>Median OS</w:t>
            </w:r>
            <w:r w:rsidR="00667E83" w:rsidRPr="00200C65">
              <w:rPr>
                <w:rFonts w:ascii="Arial Narrow" w:hAnsi="Arial Narrow"/>
                <w:color w:val="000000"/>
                <w:sz w:val="20"/>
              </w:rPr>
              <w:t>,</w:t>
            </w:r>
            <w:r w:rsidRPr="00200C65">
              <w:rPr>
                <w:rFonts w:ascii="Arial Narrow" w:hAnsi="Arial Narrow"/>
                <w:color w:val="000000"/>
                <w:sz w:val="20"/>
              </w:rPr>
              <w:t xml:space="preserve"> months</w:t>
            </w:r>
            <w:r w:rsidR="00667E83" w:rsidRPr="00200C65">
              <w:rPr>
                <w:rFonts w:ascii="Arial Narrow" w:hAnsi="Arial Narrow"/>
                <w:color w:val="000000"/>
                <w:sz w:val="20"/>
              </w:rPr>
              <w:t xml:space="preserve"> (95% CI</w:t>
            </w:r>
            <w:r w:rsidRPr="00200C65">
              <w:rPr>
                <w:rFonts w:ascii="Arial Narrow" w:hAnsi="Arial Narrow"/>
                <w:color w:val="000000"/>
                <w:sz w:val="20"/>
              </w:rPr>
              <w:t>)</w:t>
            </w:r>
            <w:r w:rsidRPr="00200C65">
              <w:rPr>
                <w:rFonts w:ascii="Arial Narrow" w:hAnsi="Arial Narrow"/>
                <w:color w:val="000000"/>
                <w:sz w:val="20"/>
                <w:vertAlign w:val="superscript"/>
              </w:rPr>
              <w:t>c</w:t>
            </w:r>
            <w:r w:rsidR="00667E83" w:rsidRPr="00200C65">
              <w:rPr>
                <w:rFonts w:ascii="Arial Narrow" w:hAnsi="Arial Narrow"/>
                <w:color w:val="000000"/>
                <w:sz w:val="20"/>
              </w:rPr>
              <w:t xml:space="preserve"> (</w:t>
            </w:r>
            <w:r w:rsidRPr="00200C65">
              <w:rPr>
                <w:rFonts w:ascii="Arial Narrow" w:hAnsi="Arial Narrow"/>
                <w:color w:val="000000"/>
                <w:sz w:val="20"/>
              </w:rPr>
              <w:t xml:space="preserve">July 2015 </w:t>
            </w:r>
            <w:r w:rsidR="00667E83" w:rsidRPr="00200C65">
              <w:rPr>
                <w:rFonts w:ascii="Arial Narrow" w:hAnsi="Arial Narrow"/>
                <w:color w:val="000000"/>
                <w:sz w:val="20"/>
              </w:rPr>
              <w:t>Database Lock</w:t>
            </w:r>
            <w:r w:rsidR="008D7821" w:rsidRPr="00200C65">
              <w:rPr>
                <w:rFonts w:ascii="Arial Narrow" w:hAnsi="Arial Narrow"/>
                <w:color w:val="000000"/>
                <w:sz w:val="20"/>
              </w:rPr>
              <w:t>,</w:t>
            </w:r>
            <w:r w:rsidR="00667E83" w:rsidRPr="00200C65">
              <w:rPr>
                <w:rFonts w:ascii="Arial Narrow" w:hAnsi="Arial Narrow"/>
                <w:color w:val="000000"/>
                <w:sz w:val="20"/>
              </w:rPr>
              <w:t xml:space="preserve"> </w:t>
            </w:r>
            <w:r w:rsidRPr="00200C65">
              <w:rPr>
                <w:rFonts w:ascii="Arial Narrow" w:hAnsi="Arial Narrow"/>
                <w:color w:val="000000"/>
                <w:sz w:val="20"/>
              </w:rPr>
              <w:t>17.1 months minimum follow-up)</w:t>
            </w:r>
          </w:p>
        </w:tc>
        <w:tc>
          <w:tcPr>
            <w:tcW w:w="1016" w:type="pct"/>
            <w:gridSpan w:val="2"/>
            <w:vAlign w:val="center"/>
          </w:tcPr>
          <w:p w:rsidR="00667E83" w:rsidRPr="00200C65" w:rsidRDefault="00144D06" w:rsidP="008D7821">
            <w:pPr>
              <w:jc w:val="center"/>
              <w:rPr>
                <w:rFonts w:ascii="Arial Narrow" w:hAnsi="Arial Narrow"/>
                <w:sz w:val="20"/>
              </w:rPr>
            </w:pPr>
            <w:r w:rsidRPr="00200C65">
              <w:rPr>
                <w:rFonts w:ascii="Arial Narrow" w:hAnsi="Arial Narrow"/>
                <w:sz w:val="20"/>
              </w:rPr>
              <w:t>12.2</w:t>
            </w:r>
          </w:p>
          <w:p w:rsidR="00144D06" w:rsidRPr="00200C65" w:rsidRDefault="00144D06" w:rsidP="008D7821">
            <w:pPr>
              <w:jc w:val="center"/>
              <w:rPr>
                <w:rFonts w:ascii="Arial Narrow" w:hAnsi="Arial Narrow"/>
                <w:sz w:val="20"/>
              </w:rPr>
            </w:pPr>
            <w:r w:rsidRPr="00200C65">
              <w:rPr>
                <w:rFonts w:ascii="Arial Narrow" w:hAnsi="Arial Narrow"/>
                <w:sz w:val="20"/>
              </w:rPr>
              <w:t>(9.7, 15.0)</w:t>
            </w:r>
          </w:p>
        </w:tc>
        <w:tc>
          <w:tcPr>
            <w:tcW w:w="851" w:type="pct"/>
            <w:gridSpan w:val="3"/>
            <w:vAlign w:val="center"/>
          </w:tcPr>
          <w:p w:rsidR="00667E83" w:rsidRPr="00200C65" w:rsidRDefault="00144D06" w:rsidP="008D7821">
            <w:pPr>
              <w:jc w:val="center"/>
              <w:rPr>
                <w:rFonts w:ascii="Arial Narrow" w:hAnsi="Arial Narrow"/>
                <w:sz w:val="20"/>
              </w:rPr>
            </w:pPr>
            <w:r w:rsidRPr="00200C65">
              <w:rPr>
                <w:rFonts w:ascii="Arial Narrow" w:hAnsi="Arial Narrow"/>
                <w:sz w:val="20"/>
              </w:rPr>
              <w:t>9.4</w:t>
            </w:r>
          </w:p>
          <w:p w:rsidR="00144D06" w:rsidRPr="00200C65" w:rsidRDefault="00144D06" w:rsidP="008D7821">
            <w:pPr>
              <w:jc w:val="center"/>
              <w:rPr>
                <w:rFonts w:ascii="Arial Narrow" w:hAnsi="Arial Narrow"/>
                <w:sz w:val="20"/>
              </w:rPr>
            </w:pPr>
            <w:r w:rsidRPr="00200C65">
              <w:rPr>
                <w:rFonts w:ascii="Arial Narrow" w:hAnsi="Arial Narrow"/>
                <w:sz w:val="20"/>
              </w:rPr>
              <w:t>(8.1, 10.7)</w:t>
            </w:r>
          </w:p>
        </w:tc>
        <w:tc>
          <w:tcPr>
            <w:tcW w:w="1277" w:type="pct"/>
            <w:gridSpan w:val="3"/>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2.8</w:t>
            </w:r>
          </w:p>
        </w:tc>
        <w:tc>
          <w:tcPr>
            <w:tcW w:w="671" w:type="pct"/>
            <w:vAlign w:val="center"/>
          </w:tcPr>
          <w:p w:rsidR="00667E83" w:rsidRPr="00200C65" w:rsidRDefault="00144D06" w:rsidP="008D7821">
            <w:pPr>
              <w:jc w:val="center"/>
              <w:rPr>
                <w:rFonts w:ascii="Arial Narrow" w:hAnsi="Arial Narrow"/>
                <w:sz w:val="20"/>
              </w:rPr>
            </w:pPr>
            <w:r w:rsidRPr="00200C65">
              <w:rPr>
                <w:rFonts w:ascii="Arial Narrow" w:hAnsi="Arial Narrow"/>
                <w:sz w:val="20"/>
              </w:rPr>
              <w:t>0.72</w:t>
            </w:r>
          </w:p>
          <w:p w:rsidR="00144D06" w:rsidRPr="00200C65" w:rsidRDefault="00144D06" w:rsidP="008D7821">
            <w:pPr>
              <w:jc w:val="center"/>
              <w:rPr>
                <w:rFonts w:ascii="Arial Narrow" w:hAnsi="Arial Narrow"/>
                <w:sz w:val="20"/>
              </w:rPr>
            </w:pPr>
            <w:r w:rsidRPr="00200C65">
              <w:rPr>
                <w:rFonts w:ascii="Arial Narrow" w:hAnsi="Arial Narrow"/>
                <w:sz w:val="20"/>
              </w:rPr>
              <w:t>(0.60, 0.88)</w:t>
            </w:r>
          </w:p>
        </w:tc>
      </w:tr>
      <w:tr w:rsidR="00144D06" w:rsidRPr="00A05BDE" w:rsidTr="00667E83">
        <w:tc>
          <w:tcPr>
            <w:tcW w:w="5000" w:type="pct"/>
            <w:gridSpan w:val="10"/>
            <w:tcBorders>
              <w:top w:val="double" w:sz="4" w:space="0" w:color="auto"/>
            </w:tcBorders>
            <w:shd w:val="clear" w:color="auto" w:fill="FFFFFF" w:themeFill="background1"/>
            <w:vAlign w:val="center"/>
          </w:tcPr>
          <w:p w:rsidR="00144D06" w:rsidRPr="00200C65" w:rsidRDefault="00144D06" w:rsidP="00144D06">
            <w:pPr>
              <w:rPr>
                <w:rFonts w:ascii="Arial Narrow" w:hAnsi="Arial Narrow"/>
                <w:b/>
                <w:color w:val="000000"/>
                <w:sz w:val="20"/>
              </w:rPr>
            </w:pPr>
            <w:r w:rsidRPr="00200C65">
              <w:rPr>
                <w:rFonts w:ascii="Arial Narrow" w:hAnsi="Arial Narrow"/>
                <w:b/>
                <w:color w:val="000000"/>
                <w:sz w:val="20"/>
              </w:rPr>
              <w:t xml:space="preserve">Harms (Safety set) </w:t>
            </w:r>
          </w:p>
        </w:tc>
      </w:tr>
      <w:tr w:rsidR="00667E83" w:rsidRPr="00A05BDE" w:rsidTr="00667E83">
        <w:trPr>
          <w:trHeight w:val="70"/>
        </w:trPr>
        <w:tc>
          <w:tcPr>
            <w:tcW w:w="1184" w:type="pct"/>
            <w:vMerge w:val="restart"/>
            <w:shd w:val="clear" w:color="auto" w:fill="auto"/>
            <w:vAlign w:val="center"/>
          </w:tcPr>
          <w:p w:rsidR="00144D06" w:rsidRPr="00ED0284" w:rsidRDefault="00144D06" w:rsidP="00144D06">
            <w:pPr>
              <w:rPr>
                <w:rFonts w:ascii="Arial Narrow" w:hAnsi="Arial Narrow"/>
                <w:b/>
                <w:i/>
                <w:color w:val="000000"/>
                <w:sz w:val="20"/>
              </w:rPr>
            </w:pPr>
          </w:p>
        </w:tc>
        <w:tc>
          <w:tcPr>
            <w:tcW w:w="593" w:type="pct"/>
            <w:vMerge w:val="restart"/>
            <w:vAlign w:val="center"/>
          </w:tcPr>
          <w:p w:rsidR="00144D06" w:rsidRPr="00200C65" w:rsidRDefault="00144D06" w:rsidP="00144D06">
            <w:pPr>
              <w:jc w:val="center"/>
              <w:rPr>
                <w:rFonts w:ascii="Arial Narrow" w:hAnsi="Arial Narrow"/>
                <w:b/>
                <w:color w:val="000000"/>
                <w:sz w:val="20"/>
              </w:rPr>
            </w:pPr>
            <w:r w:rsidRPr="00200C65">
              <w:rPr>
                <w:rFonts w:ascii="Arial Narrow" w:hAnsi="Arial Narrow"/>
                <w:b/>
                <w:color w:val="000000"/>
                <w:sz w:val="20"/>
              </w:rPr>
              <w:t>Nivolumab</w:t>
            </w:r>
          </w:p>
        </w:tc>
        <w:tc>
          <w:tcPr>
            <w:tcW w:w="594" w:type="pct"/>
            <w:gridSpan w:val="3"/>
            <w:vMerge w:val="restart"/>
            <w:vAlign w:val="center"/>
          </w:tcPr>
          <w:p w:rsidR="00144D06" w:rsidRPr="00200C65" w:rsidRDefault="00144D06" w:rsidP="00144D06">
            <w:pPr>
              <w:jc w:val="center"/>
              <w:rPr>
                <w:rFonts w:ascii="Arial Narrow" w:hAnsi="Arial Narrow"/>
                <w:b/>
                <w:color w:val="000000"/>
                <w:sz w:val="20"/>
              </w:rPr>
            </w:pPr>
            <w:r w:rsidRPr="00200C65">
              <w:rPr>
                <w:rFonts w:ascii="Arial Narrow" w:hAnsi="Arial Narrow"/>
                <w:b/>
                <w:color w:val="000000"/>
                <w:sz w:val="20"/>
              </w:rPr>
              <w:t>Docetaxel</w:t>
            </w:r>
          </w:p>
        </w:tc>
        <w:tc>
          <w:tcPr>
            <w:tcW w:w="681" w:type="pct"/>
            <w:vMerge w:val="restart"/>
            <w:vAlign w:val="center"/>
          </w:tcPr>
          <w:p w:rsidR="00144D06" w:rsidRPr="00200C65" w:rsidRDefault="00144D06" w:rsidP="00144D06">
            <w:pPr>
              <w:jc w:val="center"/>
              <w:rPr>
                <w:rFonts w:ascii="Arial Narrow" w:hAnsi="Arial Narrow"/>
                <w:b/>
                <w:color w:val="000000"/>
                <w:sz w:val="20"/>
              </w:rPr>
            </w:pPr>
            <w:r w:rsidRPr="00200C65">
              <w:rPr>
                <w:rFonts w:ascii="Arial Narrow" w:hAnsi="Arial Narrow"/>
                <w:b/>
                <w:color w:val="000000"/>
                <w:sz w:val="20"/>
              </w:rPr>
              <w:t>RR</w:t>
            </w:r>
          </w:p>
          <w:p w:rsidR="00144D06" w:rsidRPr="00200C65" w:rsidRDefault="00144D06" w:rsidP="00144D06">
            <w:pPr>
              <w:jc w:val="center"/>
              <w:rPr>
                <w:rFonts w:ascii="Arial Narrow" w:hAnsi="Arial Narrow"/>
                <w:b/>
                <w:color w:val="000000"/>
                <w:sz w:val="20"/>
              </w:rPr>
            </w:pPr>
            <w:r w:rsidRPr="00200C65">
              <w:rPr>
                <w:rFonts w:ascii="Arial Narrow" w:hAnsi="Arial Narrow"/>
                <w:b/>
                <w:color w:val="000000"/>
                <w:sz w:val="20"/>
              </w:rPr>
              <w:t>(95% CI)</w:t>
            </w:r>
          </w:p>
        </w:tc>
        <w:tc>
          <w:tcPr>
            <w:tcW w:w="1277" w:type="pct"/>
            <w:gridSpan w:val="3"/>
            <w:vAlign w:val="center"/>
          </w:tcPr>
          <w:p w:rsidR="00144D06" w:rsidRPr="00200C65" w:rsidRDefault="00144D06" w:rsidP="00667E83">
            <w:pPr>
              <w:jc w:val="center"/>
              <w:rPr>
                <w:rFonts w:ascii="Arial Narrow" w:hAnsi="Arial Narrow"/>
                <w:b/>
                <w:color w:val="000000"/>
                <w:sz w:val="20"/>
              </w:rPr>
            </w:pPr>
            <w:r w:rsidRPr="00200C65">
              <w:rPr>
                <w:rFonts w:ascii="Arial Narrow" w:hAnsi="Arial Narrow"/>
                <w:b/>
                <w:color w:val="000000"/>
                <w:sz w:val="20"/>
              </w:rPr>
              <w:t>Event rate/100 patients*</w:t>
            </w:r>
          </w:p>
        </w:tc>
        <w:tc>
          <w:tcPr>
            <w:tcW w:w="671" w:type="pct"/>
            <w:vMerge w:val="restart"/>
            <w:vAlign w:val="center"/>
          </w:tcPr>
          <w:p w:rsidR="00144D06" w:rsidRPr="00200C65" w:rsidRDefault="00144D06" w:rsidP="00144D06">
            <w:pPr>
              <w:jc w:val="center"/>
              <w:rPr>
                <w:rFonts w:ascii="Arial Narrow" w:hAnsi="Arial Narrow"/>
                <w:b/>
                <w:color w:val="000000"/>
                <w:sz w:val="20"/>
              </w:rPr>
            </w:pPr>
            <w:r w:rsidRPr="00200C65">
              <w:rPr>
                <w:rFonts w:ascii="Arial Narrow" w:hAnsi="Arial Narrow"/>
                <w:b/>
                <w:color w:val="000000"/>
                <w:sz w:val="20"/>
              </w:rPr>
              <w:t>RD</w:t>
            </w:r>
          </w:p>
          <w:p w:rsidR="00144D06" w:rsidRPr="00200C65" w:rsidRDefault="00144D06" w:rsidP="00144D06">
            <w:pPr>
              <w:jc w:val="center"/>
              <w:rPr>
                <w:rFonts w:ascii="Arial Narrow" w:hAnsi="Arial Narrow"/>
                <w:b/>
                <w:color w:val="000000"/>
                <w:sz w:val="20"/>
              </w:rPr>
            </w:pPr>
            <w:r w:rsidRPr="00200C65">
              <w:rPr>
                <w:rFonts w:ascii="Arial Narrow" w:hAnsi="Arial Narrow"/>
                <w:b/>
                <w:color w:val="000000"/>
                <w:sz w:val="20"/>
              </w:rPr>
              <w:t>(95% CI)</w:t>
            </w:r>
          </w:p>
        </w:tc>
      </w:tr>
      <w:tr w:rsidR="00667E83" w:rsidRPr="00A05BDE" w:rsidTr="00667E83">
        <w:trPr>
          <w:trHeight w:val="390"/>
        </w:trPr>
        <w:tc>
          <w:tcPr>
            <w:tcW w:w="1184" w:type="pct"/>
            <w:vMerge/>
            <w:shd w:val="clear" w:color="auto" w:fill="auto"/>
            <w:vAlign w:val="center"/>
          </w:tcPr>
          <w:p w:rsidR="00144D06" w:rsidRPr="00ED0284" w:rsidRDefault="00144D06" w:rsidP="00144D06">
            <w:pPr>
              <w:rPr>
                <w:rFonts w:ascii="Arial Narrow" w:hAnsi="Arial Narrow"/>
                <w:b/>
                <w:i/>
                <w:color w:val="000000"/>
                <w:sz w:val="20"/>
              </w:rPr>
            </w:pPr>
          </w:p>
        </w:tc>
        <w:tc>
          <w:tcPr>
            <w:tcW w:w="593" w:type="pct"/>
            <w:vMerge/>
            <w:vAlign w:val="center"/>
          </w:tcPr>
          <w:p w:rsidR="00144D06" w:rsidRPr="00200C65" w:rsidRDefault="00144D06" w:rsidP="00144D06">
            <w:pPr>
              <w:jc w:val="center"/>
              <w:rPr>
                <w:rFonts w:ascii="Arial Narrow" w:hAnsi="Arial Narrow"/>
                <w:b/>
                <w:color w:val="000000"/>
                <w:sz w:val="20"/>
              </w:rPr>
            </w:pPr>
          </w:p>
        </w:tc>
        <w:tc>
          <w:tcPr>
            <w:tcW w:w="594" w:type="pct"/>
            <w:gridSpan w:val="3"/>
            <w:vMerge/>
            <w:vAlign w:val="center"/>
          </w:tcPr>
          <w:p w:rsidR="00144D06" w:rsidRPr="00200C65" w:rsidRDefault="00144D06" w:rsidP="00144D06">
            <w:pPr>
              <w:jc w:val="center"/>
              <w:rPr>
                <w:rFonts w:ascii="Arial Narrow" w:hAnsi="Arial Narrow"/>
                <w:b/>
                <w:color w:val="000000"/>
                <w:sz w:val="20"/>
              </w:rPr>
            </w:pPr>
          </w:p>
        </w:tc>
        <w:tc>
          <w:tcPr>
            <w:tcW w:w="681" w:type="pct"/>
            <w:vMerge/>
            <w:vAlign w:val="center"/>
          </w:tcPr>
          <w:p w:rsidR="00144D06" w:rsidRPr="00200C65" w:rsidRDefault="00144D06" w:rsidP="00144D06">
            <w:pPr>
              <w:jc w:val="center"/>
              <w:rPr>
                <w:rFonts w:ascii="Arial Narrow" w:hAnsi="Arial Narrow"/>
                <w:b/>
                <w:color w:val="000000"/>
                <w:sz w:val="20"/>
              </w:rPr>
            </w:pPr>
          </w:p>
        </w:tc>
        <w:tc>
          <w:tcPr>
            <w:tcW w:w="680" w:type="pct"/>
            <w:vAlign w:val="center"/>
          </w:tcPr>
          <w:p w:rsidR="00144D06" w:rsidRPr="00200C65" w:rsidRDefault="00144D06" w:rsidP="00144D06">
            <w:pPr>
              <w:jc w:val="center"/>
              <w:rPr>
                <w:rFonts w:ascii="Arial Narrow" w:hAnsi="Arial Narrow"/>
                <w:b/>
                <w:color w:val="000000"/>
                <w:sz w:val="20"/>
              </w:rPr>
            </w:pPr>
            <w:r w:rsidRPr="00200C65">
              <w:rPr>
                <w:rFonts w:ascii="Arial Narrow" w:hAnsi="Arial Narrow"/>
                <w:b/>
                <w:color w:val="000000"/>
                <w:sz w:val="20"/>
              </w:rPr>
              <w:t>Nivolumab</w:t>
            </w:r>
          </w:p>
        </w:tc>
        <w:tc>
          <w:tcPr>
            <w:tcW w:w="597" w:type="pct"/>
            <w:gridSpan w:val="2"/>
            <w:vAlign w:val="center"/>
          </w:tcPr>
          <w:p w:rsidR="00144D06" w:rsidRPr="00200C65" w:rsidRDefault="00144D06" w:rsidP="00144D06">
            <w:pPr>
              <w:jc w:val="center"/>
              <w:rPr>
                <w:rFonts w:ascii="Arial Narrow" w:hAnsi="Arial Narrow"/>
                <w:b/>
                <w:color w:val="000000"/>
                <w:sz w:val="20"/>
              </w:rPr>
            </w:pPr>
            <w:r w:rsidRPr="00200C65">
              <w:rPr>
                <w:rFonts w:ascii="Arial Narrow" w:hAnsi="Arial Narrow"/>
                <w:b/>
                <w:color w:val="000000"/>
                <w:sz w:val="20"/>
              </w:rPr>
              <w:t>Docetaxel</w:t>
            </w:r>
          </w:p>
        </w:tc>
        <w:tc>
          <w:tcPr>
            <w:tcW w:w="671" w:type="pct"/>
            <w:vMerge/>
            <w:vAlign w:val="center"/>
          </w:tcPr>
          <w:p w:rsidR="00144D06" w:rsidRPr="00200C65" w:rsidRDefault="00144D06" w:rsidP="00144D06">
            <w:pPr>
              <w:jc w:val="center"/>
              <w:rPr>
                <w:rFonts w:ascii="Arial Narrow" w:hAnsi="Arial Narrow"/>
                <w:b/>
                <w:color w:val="000000"/>
                <w:sz w:val="20"/>
              </w:rPr>
            </w:pPr>
          </w:p>
        </w:tc>
      </w:tr>
      <w:tr w:rsidR="00667E83" w:rsidRPr="00A05BDE" w:rsidTr="008D7821">
        <w:tc>
          <w:tcPr>
            <w:tcW w:w="1184" w:type="pct"/>
            <w:shd w:val="clear" w:color="auto" w:fill="auto"/>
            <w:vAlign w:val="center"/>
          </w:tcPr>
          <w:p w:rsidR="00144D06" w:rsidRPr="00200C65" w:rsidRDefault="00144D06" w:rsidP="00667E83">
            <w:pPr>
              <w:jc w:val="left"/>
              <w:rPr>
                <w:rFonts w:ascii="Arial Narrow" w:hAnsi="Arial Narrow"/>
                <w:color w:val="000000"/>
                <w:sz w:val="20"/>
                <w:vertAlign w:val="superscript"/>
              </w:rPr>
            </w:pPr>
            <w:r w:rsidRPr="00200C65">
              <w:rPr>
                <w:rFonts w:ascii="Arial Narrow" w:hAnsi="Arial Narrow"/>
                <w:color w:val="000000"/>
                <w:sz w:val="20"/>
              </w:rPr>
              <w:t>Drug related severe AEs (Grade ≥3)</w:t>
            </w:r>
            <w:r w:rsidRPr="00200C65">
              <w:rPr>
                <w:rFonts w:ascii="Arial Narrow" w:hAnsi="Arial Narrow"/>
                <w:color w:val="000000"/>
                <w:sz w:val="20"/>
                <w:vertAlign w:val="superscript"/>
              </w:rPr>
              <w:t>d</w:t>
            </w:r>
          </w:p>
        </w:tc>
        <w:tc>
          <w:tcPr>
            <w:tcW w:w="593" w:type="pct"/>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30/287</w:t>
            </w:r>
          </w:p>
        </w:tc>
        <w:tc>
          <w:tcPr>
            <w:tcW w:w="594" w:type="pct"/>
            <w:gridSpan w:val="3"/>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144/268</w:t>
            </w:r>
          </w:p>
        </w:tc>
        <w:tc>
          <w:tcPr>
            <w:tcW w:w="681" w:type="pct"/>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0.19</w:t>
            </w:r>
          </w:p>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(0.14, 0.28)</w:t>
            </w:r>
          </w:p>
        </w:tc>
        <w:tc>
          <w:tcPr>
            <w:tcW w:w="680" w:type="pct"/>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10.5</w:t>
            </w:r>
          </w:p>
        </w:tc>
        <w:tc>
          <w:tcPr>
            <w:tcW w:w="597" w:type="pct"/>
            <w:gridSpan w:val="2"/>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53.7</w:t>
            </w:r>
          </w:p>
        </w:tc>
        <w:tc>
          <w:tcPr>
            <w:tcW w:w="671" w:type="pct"/>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-0.43</w:t>
            </w:r>
          </w:p>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(-0.50, -0.36)</w:t>
            </w:r>
          </w:p>
        </w:tc>
      </w:tr>
      <w:tr w:rsidR="00667E83" w:rsidRPr="00A05BDE" w:rsidTr="008D7821">
        <w:tc>
          <w:tcPr>
            <w:tcW w:w="1184" w:type="pct"/>
            <w:shd w:val="clear" w:color="auto" w:fill="auto"/>
            <w:vAlign w:val="center"/>
          </w:tcPr>
          <w:p w:rsidR="00144D06" w:rsidRPr="00200C65" w:rsidRDefault="00144D06" w:rsidP="00667E83">
            <w:pPr>
              <w:jc w:val="left"/>
              <w:rPr>
                <w:rFonts w:ascii="Arial Narrow" w:hAnsi="Arial Narrow"/>
                <w:color w:val="000000"/>
                <w:sz w:val="20"/>
              </w:rPr>
            </w:pPr>
            <w:r w:rsidRPr="00200C65">
              <w:rPr>
                <w:rFonts w:ascii="Arial Narrow" w:hAnsi="Arial Narrow"/>
                <w:color w:val="000000"/>
                <w:sz w:val="20"/>
              </w:rPr>
              <w:t>Grade ≥3 drug-related neutropenia</w:t>
            </w:r>
          </w:p>
        </w:tc>
        <w:tc>
          <w:tcPr>
            <w:tcW w:w="593" w:type="pct"/>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0/287</w:t>
            </w:r>
          </w:p>
        </w:tc>
        <w:tc>
          <w:tcPr>
            <w:tcW w:w="594" w:type="pct"/>
            <w:gridSpan w:val="3"/>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73/268</w:t>
            </w:r>
          </w:p>
        </w:tc>
        <w:tc>
          <w:tcPr>
            <w:tcW w:w="681" w:type="pct"/>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0.00</w:t>
            </w:r>
          </w:p>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(0.00)</w:t>
            </w:r>
          </w:p>
        </w:tc>
        <w:tc>
          <w:tcPr>
            <w:tcW w:w="680" w:type="pct"/>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0.0</w:t>
            </w:r>
          </w:p>
        </w:tc>
        <w:tc>
          <w:tcPr>
            <w:tcW w:w="597" w:type="pct"/>
            <w:gridSpan w:val="2"/>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27.2</w:t>
            </w:r>
          </w:p>
        </w:tc>
        <w:tc>
          <w:tcPr>
            <w:tcW w:w="671" w:type="pct"/>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-0.27</w:t>
            </w:r>
          </w:p>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(-0.33</w:t>
            </w:r>
            <w:r w:rsidR="006B0F3A" w:rsidRPr="00200C65">
              <w:rPr>
                <w:rFonts w:ascii="Arial Narrow" w:hAnsi="Arial Narrow"/>
                <w:color w:val="000000"/>
                <w:sz w:val="20"/>
              </w:rPr>
              <w:t>,-</w:t>
            </w:r>
            <w:r w:rsidRPr="00200C65">
              <w:rPr>
                <w:rFonts w:ascii="Arial Narrow" w:hAnsi="Arial Narrow"/>
                <w:color w:val="000000"/>
                <w:sz w:val="20"/>
              </w:rPr>
              <w:t>0.22)</w:t>
            </w:r>
          </w:p>
        </w:tc>
      </w:tr>
      <w:tr w:rsidR="00667E83" w:rsidRPr="00A05BDE" w:rsidTr="008D7821">
        <w:trPr>
          <w:trHeight w:val="121"/>
        </w:trPr>
        <w:tc>
          <w:tcPr>
            <w:tcW w:w="1184" w:type="pct"/>
            <w:shd w:val="clear" w:color="auto" w:fill="auto"/>
            <w:vAlign w:val="center"/>
          </w:tcPr>
          <w:p w:rsidR="00144D06" w:rsidRPr="00200C65" w:rsidRDefault="00144D06" w:rsidP="00667E83">
            <w:pPr>
              <w:jc w:val="left"/>
              <w:rPr>
                <w:rFonts w:ascii="Arial Narrow" w:hAnsi="Arial Narrow"/>
                <w:color w:val="000000"/>
                <w:sz w:val="20"/>
                <w:highlight w:val="yellow"/>
              </w:rPr>
            </w:pPr>
            <w:r w:rsidRPr="00200C65">
              <w:rPr>
                <w:rFonts w:ascii="Arial Narrow" w:hAnsi="Arial Narrow"/>
                <w:color w:val="000000"/>
                <w:sz w:val="20"/>
              </w:rPr>
              <w:t>“Select”</w:t>
            </w:r>
            <w:r w:rsidRPr="00200C65">
              <w:rPr>
                <w:rFonts w:ascii="Arial Narrow" w:hAnsi="Arial Narrow"/>
                <w:color w:val="000000"/>
                <w:sz w:val="20"/>
                <w:vertAlign w:val="superscript"/>
              </w:rPr>
              <w:t>e</w:t>
            </w:r>
            <w:r w:rsidRPr="00200C65">
              <w:rPr>
                <w:rFonts w:ascii="Arial Narrow" w:hAnsi="Arial Narrow"/>
                <w:color w:val="000000"/>
                <w:sz w:val="20"/>
              </w:rPr>
              <w:t xml:space="preserve"> Grade 3-4 endocrine related AEs</w:t>
            </w:r>
          </w:p>
        </w:tc>
        <w:tc>
          <w:tcPr>
            <w:tcW w:w="593" w:type="pct"/>
            <w:vAlign w:val="center"/>
          </w:tcPr>
          <w:p w:rsidR="00144D06" w:rsidRPr="00200C65" w:rsidRDefault="00144D06" w:rsidP="008D7821">
            <w:pPr>
              <w:jc w:val="center"/>
              <w:rPr>
                <w:rFonts w:ascii="Arial Narrow" w:hAnsi="Arial Narrow"/>
                <w:color w:val="000000"/>
                <w:sz w:val="20"/>
                <w:highlight w:val="yellow"/>
              </w:rPr>
            </w:pPr>
            <w:r w:rsidRPr="00200C65">
              <w:rPr>
                <w:rFonts w:ascii="Arial Narrow" w:hAnsi="Arial Narrow"/>
                <w:color w:val="000000"/>
                <w:sz w:val="20"/>
              </w:rPr>
              <w:t>27/287</w:t>
            </w:r>
          </w:p>
        </w:tc>
        <w:tc>
          <w:tcPr>
            <w:tcW w:w="594" w:type="pct"/>
            <w:gridSpan w:val="3"/>
            <w:vAlign w:val="center"/>
          </w:tcPr>
          <w:p w:rsidR="00144D06" w:rsidRPr="00200C65" w:rsidRDefault="00144D06" w:rsidP="008D7821">
            <w:pPr>
              <w:jc w:val="center"/>
              <w:rPr>
                <w:rFonts w:ascii="Arial Narrow" w:hAnsi="Arial Narrow"/>
                <w:color w:val="000000"/>
                <w:sz w:val="20"/>
                <w:highlight w:val="yellow"/>
              </w:rPr>
            </w:pPr>
            <w:r w:rsidRPr="00200C65">
              <w:rPr>
                <w:rFonts w:ascii="Arial Narrow" w:hAnsi="Arial Narrow"/>
                <w:color w:val="000000"/>
                <w:sz w:val="20"/>
              </w:rPr>
              <w:t>1/268</w:t>
            </w:r>
          </w:p>
        </w:tc>
        <w:tc>
          <w:tcPr>
            <w:tcW w:w="681" w:type="pct"/>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25.12</w:t>
            </w:r>
          </w:p>
          <w:p w:rsidR="00144D06" w:rsidRPr="00200C65" w:rsidRDefault="00144D06" w:rsidP="008D7821">
            <w:pPr>
              <w:jc w:val="center"/>
              <w:rPr>
                <w:rFonts w:ascii="Arial Narrow" w:hAnsi="Arial Narrow"/>
                <w:color w:val="000000"/>
                <w:sz w:val="20"/>
                <w:highlight w:val="yellow"/>
              </w:rPr>
            </w:pPr>
            <w:r w:rsidRPr="00200C65">
              <w:rPr>
                <w:rFonts w:ascii="Arial Narrow" w:hAnsi="Arial Narrow"/>
                <w:color w:val="000000"/>
                <w:sz w:val="20"/>
              </w:rPr>
              <w:t>(6.90, 92.80)</w:t>
            </w:r>
          </w:p>
        </w:tc>
        <w:tc>
          <w:tcPr>
            <w:tcW w:w="680" w:type="pct"/>
            <w:vAlign w:val="center"/>
          </w:tcPr>
          <w:p w:rsidR="00144D06" w:rsidRPr="00200C65" w:rsidRDefault="00144D06" w:rsidP="008D7821">
            <w:pPr>
              <w:jc w:val="center"/>
              <w:rPr>
                <w:rFonts w:ascii="Arial Narrow" w:hAnsi="Arial Narrow"/>
                <w:color w:val="000000"/>
                <w:sz w:val="20"/>
                <w:highlight w:val="yellow"/>
              </w:rPr>
            </w:pPr>
            <w:r w:rsidRPr="00200C65">
              <w:rPr>
                <w:rFonts w:ascii="Arial Narrow" w:hAnsi="Arial Narrow"/>
                <w:color w:val="000000"/>
                <w:sz w:val="20"/>
              </w:rPr>
              <w:t>9.4</w:t>
            </w:r>
          </w:p>
        </w:tc>
        <w:tc>
          <w:tcPr>
            <w:tcW w:w="597" w:type="pct"/>
            <w:gridSpan w:val="2"/>
            <w:vAlign w:val="center"/>
          </w:tcPr>
          <w:p w:rsidR="00144D06" w:rsidRPr="00200C65" w:rsidRDefault="00144D06" w:rsidP="008D7821">
            <w:pPr>
              <w:jc w:val="center"/>
              <w:rPr>
                <w:rFonts w:ascii="Arial Narrow" w:hAnsi="Arial Narrow"/>
                <w:color w:val="000000"/>
                <w:sz w:val="20"/>
                <w:highlight w:val="yellow"/>
              </w:rPr>
            </w:pPr>
            <w:r w:rsidRPr="00200C65">
              <w:rPr>
                <w:rFonts w:ascii="Arial Narrow" w:hAnsi="Arial Narrow"/>
                <w:color w:val="000000"/>
                <w:sz w:val="20"/>
              </w:rPr>
              <w:t>0.4</w:t>
            </w:r>
          </w:p>
        </w:tc>
        <w:tc>
          <w:tcPr>
            <w:tcW w:w="671" w:type="pct"/>
            <w:vAlign w:val="center"/>
          </w:tcPr>
          <w:p w:rsidR="00144D06" w:rsidRPr="00200C65" w:rsidRDefault="00144D06" w:rsidP="008D7821">
            <w:pPr>
              <w:jc w:val="center"/>
              <w:rPr>
                <w:rFonts w:ascii="Arial Narrow" w:hAnsi="Arial Narrow"/>
                <w:color w:val="000000"/>
                <w:sz w:val="20"/>
              </w:rPr>
            </w:pPr>
            <w:r w:rsidRPr="00200C65">
              <w:rPr>
                <w:rFonts w:ascii="Arial Narrow" w:hAnsi="Arial Narrow"/>
                <w:color w:val="000000"/>
                <w:sz w:val="20"/>
              </w:rPr>
              <w:t>0.09</w:t>
            </w:r>
          </w:p>
          <w:p w:rsidR="00144D06" w:rsidRPr="00200C65" w:rsidRDefault="00144D06" w:rsidP="008D7821">
            <w:pPr>
              <w:jc w:val="center"/>
              <w:rPr>
                <w:rFonts w:ascii="Arial Narrow" w:hAnsi="Arial Narrow"/>
                <w:color w:val="000000"/>
                <w:sz w:val="20"/>
                <w:highlight w:val="yellow"/>
              </w:rPr>
            </w:pPr>
            <w:r w:rsidRPr="00200C65">
              <w:rPr>
                <w:rFonts w:ascii="Arial Narrow" w:hAnsi="Arial Narrow"/>
                <w:color w:val="000000"/>
                <w:sz w:val="20"/>
              </w:rPr>
              <w:t>(0.05, 0.13)</w:t>
            </w:r>
          </w:p>
        </w:tc>
      </w:tr>
      <w:tr w:rsidR="00144D06" w:rsidRPr="00A05BDE" w:rsidTr="00667E83">
        <w:tc>
          <w:tcPr>
            <w:tcW w:w="5000" w:type="pct"/>
            <w:gridSpan w:val="10"/>
            <w:shd w:val="clear" w:color="auto" w:fill="BFBFBF" w:themeFill="background1" w:themeFillShade="BF"/>
            <w:vAlign w:val="center"/>
          </w:tcPr>
          <w:p w:rsidR="00144D06" w:rsidRPr="00200C65" w:rsidRDefault="00144D06" w:rsidP="00144D06">
            <w:pPr>
              <w:jc w:val="left"/>
              <w:rPr>
                <w:rFonts w:ascii="Arial Narrow" w:hAnsi="Arial Narrow"/>
                <w:color w:val="000000"/>
                <w:sz w:val="20"/>
                <w:vertAlign w:val="superscript"/>
              </w:rPr>
            </w:pPr>
            <w:r w:rsidRPr="00200C65">
              <w:rPr>
                <w:rFonts w:ascii="Arial Narrow" w:hAnsi="Arial Narrow"/>
                <w:b/>
                <w:color w:val="000000"/>
                <w:sz w:val="20"/>
              </w:rPr>
              <w:t>PD-L1 positive (≥5%)</w:t>
            </w:r>
          </w:p>
        </w:tc>
      </w:tr>
      <w:tr w:rsidR="00144D06" w:rsidRPr="00A05BDE" w:rsidTr="00667E83">
        <w:tc>
          <w:tcPr>
            <w:tcW w:w="5000" w:type="pct"/>
            <w:gridSpan w:val="10"/>
            <w:shd w:val="clear" w:color="auto" w:fill="auto"/>
            <w:vAlign w:val="center"/>
          </w:tcPr>
          <w:p w:rsidR="00144D06" w:rsidRPr="00200C65" w:rsidRDefault="00144D06" w:rsidP="00144D06">
            <w:pPr>
              <w:jc w:val="left"/>
              <w:rPr>
                <w:rFonts w:ascii="Arial Narrow" w:hAnsi="Arial Narrow"/>
                <w:color w:val="000000"/>
                <w:sz w:val="20"/>
              </w:rPr>
            </w:pPr>
            <w:r w:rsidRPr="00200C65">
              <w:rPr>
                <w:rFonts w:ascii="Arial Narrow" w:hAnsi="Arial Narrow"/>
                <w:b/>
                <w:color w:val="000000"/>
                <w:sz w:val="20"/>
              </w:rPr>
              <w:t>Benefits</w:t>
            </w:r>
            <w:r w:rsidRPr="00200C65">
              <w:rPr>
                <w:rFonts w:ascii="Arial Narrow" w:hAnsi="Arial Narrow"/>
                <w:b/>
                <w:color w:val="000000"/>
                <w:sz w:val="20"/>
                <w:vertAlign w:val="superscript"/>
              </w:rPr>
              <w:t xml:space="preserve"> f</w:t>
            </w:r>
          </w:p>
        </w:tc>
      </w:tr>
      <w:tr w:rsidR="00144D06" w:rsidRPr="00A05BDE" w:rsidTr="00667E83">
        <w:tc>
          <w:tcPr>
            <w:tcW w:w="5000" w:type="pct"/>
            <w:gridSpan w:val="10"/>
            <w:shd w:val="clear" w:color="auto" w:fill="auto"/>
            <w:vAlign w:val="center"/>
          </w:tcPr>
          <w:p w:rsidR="00144D06" w:rsidRPr="00200C65" w:rsidRDefault="00144D06" w:rsidP="00144D06">
            <w:pPr>
              <w:jc w:val="left"/>
              <w:rPr>
                <w:rFonts w:ascii="Arial Narrow" w:hAnsi="Arial Narrow"/>
                <w:color w:val="000000"/>
                <w:sz w:val="20"/>
              </w:rPr>
            </w:pPr>
            <w:r w:rsidRPr="00200C65">
              <w:rPr>
                <w:rFonts w:ascii="Arial Narrow" w:hAnsi="Arial Narrow"/>
                <w:color w:val="000000"/>
                <w:sz w:val="20"/>
              </w:rPr>
              <w:t>Overall survival (OS)</w:t>
            </w:r>
          </w:p>
        </w:tc>
      </w:tr>
      <w:tr w:rsidR="00667E83" w:rsidRPr="00A05BDE" w:rsidTr="00667E83">
        <w:tc>
          <w:tcPr>
            <w:tcW w:w="1184" w:type="pct"/>
            <w:shd w:val="clear" w:color="auto" w:fill="auto"/>
            <w:vAlign w:val="center"/>
          </w:tcPr>
          <w:p w:rsidR="00144D06" w:rsidRPr="002B4B06" w:rsidRDefault="00144D06" w:rsidP="00144D06">
            <w:pPr>
              <w:rPr>
                <w:rFonts w:ascii="Arial Narrow" w:hAnsi="Arial Narrow"/>
                <w:i/>
                <w:color w:val="000000"/>
                <w:sz w:val="20"/>
              </w:rPr>
            </w:pPr>
          </w:p>
        </w:tc>
        <w:tc>
          <w:tcPr>
            <w:tcW w:w="1020" w:type="pct"/>
            <w:gridSpan w:val="3"/>
            <w:vAlign w:val="center"/>
          </w:tcPr>
          <w:p w:rsidR="00144D06" w:rsidRPr="00200C65" w:rsidRDefault="00144D06" w:rsidP="00144D06">
            <w:pPr>
              <w:jc w:val="center"/>
              <w:rPr>
                <w:rFonts w:ascii="Arial Narrow" w:hAnsi="Arial Narrow"/>
                <w:color w:val="000000"/>
                <w:sz w:val="20"/>
              </w:rPr>
            </w:pPr>
            <w:r w:rsidRPr="00200C65">
              <w:rPr>
                <w:rFonts w:ascii="Arial Narrow" w:hAnsi="Arial Narrow"/>
                <w:b/>
                <w:color w:val="000000"/>
                <w:sz w:val="20"/>
              </w:rPr>
              <w:t>Nivolumab</w:t>
            </w:r>
          </w:p>
        </w:tc>
        <w:tc>
          <w:tcPr>
            <w:tcW w:w="847" w:type="pct"/>
            <w:gridSpan w:val="2"/>
            <w:vAlign w:val="center"/>
          </w:tcPr>
          <w:p w:rsidR="00144D06" w:rsidRPr="00200C65" w:rsidRDefault="00144D06" w:rsidP="00144D06">
            <w:pPr>
              <w:jc w:val="center"/>
              <w:rPr>
                <w:rFonts w:ascii="Arial Narrow" w:hAnsi="Arial Narrow"/>
                <w:color w:val="000000"/>
                <w:sz w:val="20"/>
              </w:rPr>
            </w:pPr>
            <w:r w:rsidRPr="00200C65">
              <w:rPr>
                <w:rFonts w:ascii="Arial Narrow" w:hAnsi="Arial Narrow"/>
                <w:b/>
                <w:color w:val="000000"/>
                <w:sz w:val="20"/>
              </w:rPr>
              <w:t>Docetaxel</w:t>
            </w:r>
          </w:p>
        </w:tc>
        <w:tc>
          <w:tcPr>
            <w:tcW w:w="1272" w:type="pct"/>
            <w:gridSpan w:val="2"/>
            <w:vAlign w:val="center"/>
          </w:tcPr>
          <w:p w:rsidR="00144D06" w:rsidRPr="00200C65" w:rsidRDefault="00144D06" w:rsidP="00144D06">
            <w:pPr>
              <w:jc w:val="center"/>
              <w:rPr>
                <w:rFonts w:ascii="Arial Narrow" w:hAnsi="Arial Narrow"/>
                <w:color w:val="000000"/>
                <w:sz w:val="20"/>
              </w:rPr>
            </w:pPr>
            <w:r w:rsidRPr="00200C65">
              <w:rPr>
                <w:rFonts w:ascii="Arial Narrow" w:hAnsi="Arial Narrow"/>
                <w:b/>
                <w:color w:val="000000"/>
                <w:sz w:val="20"/>
              </w:rPr>
              <w:t xml:space="preserve">Absolute </w:t>
            </w:r>
            <w:r w:rsidR="00667E83" w:rsidRPr="00200C65">
              <w:rPr>
                <w:rFonts w:ascii="Arial Narrow" w:hAnsi="Arial Narrow"/>
                <w:b/>
                <w:color w:val="000000"/>
                <w:sz w:val="20"/>
              </w:rPr>
              <w:t>d</w:t>
            </w:r>
            <w:r w:rsidRPr="00200C65">
              <w:rPr>
                <w:rFonts w:ascii="Arial Narrow" w:hAnsi="Arial Narrow"/>
                <w:b/>
                <w:color w:val="000000"/>
                <w:sz w:val="20"/>
              </w:rPr>
              <w:t>ifference</w:t>
            </w:r>
          </w:p>
        </w:tc>
        <w:tc>
          <w:tcPr>
            <w:tcW w:w="677" w:type="pct"/>
            <w:gridSpan w:val="2"/>
            <w:vAlign w:val="center"/>
          </w:tcPr>
          <w:p w:rsidR="00144D06" w:rsidRPr="00200C65" w:rsidRDefault="00144D06" w:rsidP="00144D06">
            <w:pPr>
              <w:jc w:val="center"/>
              <w:rPr>
                <w:rFonts w:ascii="Arial Narrow" w:hAnsi="Arial Narrow"/>
                <w:color w:val="000000"/>
                <w:sz w:val="20"/>
              </w:rPr>
            </w:pPr>
            <w:r w:rsidRPr="00200C65">
              <w:rPr>
                <w:rFonts w:ascii="Arial Narrow" w:hAnsi="Arial Narrow"/>
                <w:b/>
                <w:color w:val="000000"/>
                <w:sz w:val="20"/>
              </w:rPr>
              <w:t>HR (95% CI)</w:t>
            </w:r>
          </w:p>
        </w:tc>
      </w:tr>
      <w:tr w:rsidR="00667E83" w:rsidRPr="00A05BDE" w:rsidTr="00667E83">
        <w:tc>
          <w:tcPr>
            <w:tcW w:w="1184" w:type="pct"/>
            <w:shd w:val="clear" w:color="auto" w:fill="auto"/>
          </w:tcPr>
          <w:p w:rsidR="008D7821" w:rsidRPr="00200C65" w:rsidRDefault="00144D06" w:rsidP="00667E83">
            <w:pPr>
              <w:jc w:val="left"/>
              <w:rPr>
                <w:rFonts w:ascii="Arial Narrow" w:hAnsi="Arial Narrow"/>
                <w:color w:val="000000"/>
                <w:sz w:val="20"/>
              </w:rPr>
            </w:pPr>
            <w:r w:rsidRPr="00200C65">
              <w:rPr>
                <w:rFonts w:ascii="Arial Narrow" w:hAnsi="Arial Narrow"/>
                <w:color w:val="000000"/>
                <w:sz w:val="20"/>
              </w:rPr>
              <w:t>Median OS</w:t>
            </w:r>
            <w:r w:rsidR="00667E83" w:rsidRPr="00200C65">
              <w:rPr>
                <w:rFonts w:ascii="Arial Narrow" w:hAnsi="Arial Narrow"/>
                <w:color w:val="000000"/>
                <w:sz w:val="20"/>
              </w:rPr>
              <w:t>,</w:t>
            </w:r>
            <w:r w:rsidRPr="00200C65">
              <w:rPr>
                <w:rFonts w:ascii="Arial Narrow" w:hAnsi="Arial Narrow"/>
                <w:color w:val="000000"/>
                <w:sz w:val="20"/>
              </w:rPr>
              <w:t xml:space="preserve"> months</w:t>
            </w:r>
          </w:p>
          <w:p w:rsidR="00144D06" w:rsidRPr="002B4B06" w:rsidRDefault="00667E83" w:rsidP="00667E83">
            <w:pPr>
              <w:jc w:val="left"/>
              <w:rPr>
                <w:rFonts w:ascii="Arial Narrow" w:hAnsi="Arial Narrow"/>
                <w:i/>
                <w:color w:val="000000"/>
                <w:sz w:val="20"/>
              </w:rPr>
            </w:pPr>
            <w:r w:rsidRPr="00200C65">
              <w:rPr>
                <w:rFonts w:ascii="Arial Narrow" w:hAnsi="Arial Narrow"/>
                <w:color w:val="000000"/>
                <w:sz w:val="20"/>
              </w:rPr>
              <w:t>(95% CI</w:t>
            </w:r>
            <w:r w:rsidR="00144D06" w:rsidRPr="00200C65">
              <w:rPr>
                <w:rFonts w:ascii="Arial Narrow" w:hAnsi="Arial Narrow"/>
                <w:color w:val="000000"/>
                <w:sz w:val="20"/>
              </w:rPr>
              <w:t>)</w:t>
            </w:r>
          </w:p>
        </w:tc>
        <w:tc>
          <w:tcPr>
            <w:tcW w:w="1020" w:type="pct"/>
            <w:gridSpan w:val="3"/>
          </w:tcPr>
          <w:p w:rsidR="00144D06" w:rsidRPr="00200C65" w:rsidRDefault="00144D06" w:rsidP="00144D06">
            <w:pPr>
              <w:jc w:val="center"/>
              <w:rPr>
                <w:rFonts w:ascii="Arial Narrow" w:hAnsi="Arial Narrow"/>
                <w:sz w:val="20"/>
              </w:rPr>
            </w:pPr>
            <w:r w:rsidRPr="00200C65">
              <w:rPr>
                <w:rFonts w:ascii="Arial Narrow" w:hAnsi="Arial Narrow"/>
                <w:sz w:val="20"/>
              </w:rPr>
              <w:t xml:space="preserve">19.4 </w:t>
            </w:r>
          </w:p>
          <w:p w:rsidR="00144D06" w:rsidRPr="00200C65" w:rsidRDefault="00144D06" w:rsidP="00144D06">
            <w:pPr>
              <w:jc w:val="center"/>
              <w:rPr>
                <w:rFonts w:ascii="Arial Narrow" w:hAnsi="Arial Narrow"/>
                <w:color w:val="000000"/>
                <w:sz w:val="20"/>
              </w:rPr>
            </w:pPr>
            <w:r w:rsidRPr="00200C65">
              <w:rPr>
                <w:rFonts w:ascii="Arial Narrow" w:hAnsi="Arial Narrow"/>
                <w:sz w:val="20"/>
              </w:rPr>
              <w:t>(NR)</w:t>
            </w:r>
          </w:p>
        </w:tc>
        <w:tc>
          <w:tcPr>
            <w:tcW w:w="847" w:type="pct"/>
            <w:gridSpan w:val="2"/>
          </w:tcPr>
          <w:p w:rsidR="00144D06" w:rsidRPr="00200C65" w:rsidRDefault="00144D06" w:rsidP="00144D06">
            <w:pPr>
              <w:jc w:val="center"/>
              <w:rPr>
                <w:rFonts w:ascii="Arial Narrow" w:hAnsi="Arial Narrow"/>
                <w:sz w:val="20"/>
              </w:rPr>
            </w:pPr>
            <w:r w:rsidRPr="00200C65">
              <w:rPr>
                <w:rFonts w:ascii="Arial Narrow" w:hAnsi="Arial Narrow"/>
                <w:sz w:val="20"/>
              </w:rPr>
              <w:t>8.1</w:t>
            </w:r>
          </w:p>
          <w:p w:rsidR="00144D06" w:rsidRPr="00200C65" w:rsidRDefault="00144D06" w:rsidP="00144D06">
            <w:pPr>
              <w:jc w:val="center"/>
              <w:rPr>
                <w:rFonts w:ascii="Arial Narrow" w:hAnsi="Arial Narrow"/>
                <w:color w:val="000000"/>
                <w:sz w:val="20"/>
              </w:rPr>
            </w:pPr>
            <w:r w:rsidRPr="00200C65">
              <w:rPr>
                <w:rFonts w:ascii="Arial Narrow" w:hAnsi="Arial Narrow"/>
                <w:sz w:val="20"/>
              </w:rPr>
              <w:t>(NR)</w:t>
            </w:r>
          </w:p>
        </w:tc>
        <w:tc>
          <w:tcPr>
            <w:tcW w:w="1272" w:type="pct"/>
            <w:gridSpan w:val="2"/>
            <w:vAlign w:val="center"/>
          </w:tcPr>
          <w:p w:rsidR="00144D06" w:rsidRPr="00200C65" w:rsidRDefault="00144D06" w:rsidP="00144D06">
            <w:pPr>
              <w:jc w:val="center"/>
              <w:rPr>
                <w:rFonts w:ascii="Arial Narrow" w:hAnsi="Arial Narrow"/>
                <w:color w:val="000000"/>
                <w:sz w:val="20"/>
              </w:rPr>
            </w:pPr>
            <w:r w:rsidRPr="00200C65">
              <w:rPr>
                <w:rFonts w:ascii="Arial Narrow" w:hAnsi="Arial Narrow"/>
                <w:color w:val="000000"/>
                <w:sz w:val="20"/>
              </w:rPr>
              <w:t>11.3</w:t>
            </w:r>
          </w:p>
        </w:tc>
        <w:tc>
          <w:tcPr>
            <w:tcW w:w="677" w:type="pct"/>
            <w:gridSpan w:val="2"/>
            <w:vAlign w:val="center"/>
          </w:tcPr>
          <w:p w:rsidR="008D7821" w:rsidRPr="00200C65" w:rsidRDefault="00144D06" w:rsidP="00144D06">
            <w:pPr>
              <w:jc w:val="center"/>
              <w:rPr>
                <w:rFonts w:ascii="Arial Narrow" w:hAnsi="Arial Narrow"/>
                <w:sz w:val="20"/>
              </w:rPr>
            </w:pPr>
            <w:r w:rsidRPr="00200C65">
              <w:rPr>
                <w:rFonts w:ascii="Arial Narrow" w:hAnsi="Arial Narrow"/>
                <w:sz w:val="20"/>
              </w:rPr>
              <w:t>0.43</w:t>
            </w:r>
          </w:p>
          <w:p w:rsidR="00144D06" w:rsidRPr="00200C65" w:rsidRDefault="00144D06" w:rsidP="00144D06">
            <w:pPr>
              <w:jc w:val="center"/>
              <w:rPr>
                <w:rFonts w:ascii="Arial Narrow" w:hAnsi="Arial Narrow"/>
                <w:color w:val="000000"/>
                <w:sz w:val="20"/>
              </w:rPr>
            </w:pPr>
            <w:r w:rsidRPr="00200C65">
              <w:rPr>
                <w:rFonts w:ascii="Arial Narrow" w:hAnsi="Arial Narrow"/>
                <w:sz w:val="20"/>
              </w:rPr>
              <w:t>(0.30, 0.63)</w:t>
            </w:r>
          </w:p>
        </w:tc>
      </w:tr>
      <w:tr w:rsidR="00144D06" w:rsidRPr="00A05BDE" w:rsidTr="00667E83">
        <w:tc>
          <w:tcPr>
            <w:tcW w:w="5000" w:type="pct"/>
            <w:gridSpan w:val="10"/>
            <w:shd w:val="clear" w:color="auto" w:fill="BFBFBF" w:themeFill="background1" w:themeFillShade="BF"/>
            <w:vAlign w:val="center"/>
          </w:tcPr>
          <w:p w:rsidR="00144D06" w:rsidRPr="00200C65" w:rsidRDefault="00144D06" w:rsidP="00144D06">
            <w:pPr>
              <w:jc w:val="left"/>
              <w:rPr>
                <w:rFonts w:ascii="Arial Narrow" w:hAnsi="Arial Narrow"/>
                <w:color w:val="000000"/>
                <w:sz w:val="20"/>
              </w:rPr>
            </w:pPr>
            <w:r w:rsidRPr="00200C65">
              <w:rPr>
                <w:rFonts w:ascii="Arial Narrow" w:hAnsi="Arial Narrow"/>
                <w:b/>
                <w:color w:val="000000"/>
                <w:sz w:val="20"/>
              </w:rPr>
              <w:t>PD-L1 negative (&lt;5%)</w:t>
            </w:r>
            <w:r w:rsidRPr="00200C65">
              <w:rPr>
                <w:rFonts w:ascii="Arial Narrow" w:hAnsi="Arial Narrow"/>
                <w:b/>
                <w:color w:val="000000"/>
                <w:sz w:val="20"/>
                <w:vertAlign w:val="superscript"/>
              </w:rPr>
              <w:t>f</w:t>
            </w:r>
          </w:p>
        </w:tc>
      </w:tr>
      <w:tr w:rsidR="00144D06" w:rsidRPr="00A05BDE" w:rsidTr="00667E83">
        <w:tc>
          <w:tcPr>
            <w:tcW w:w="5000" w:type="pct"/>
            <w:gridSpan w:val="10"/>
            <w:shd w:val="clear" w:color="auto" w:fill="auto"/>
            <w:vAlign w:val="center"/>
          </w:tcPr>
          <w:p w:rsidR="00144D06" w:rsidRPr="00200C65" w:rsidRDefault="00144D06" w:rsidP="00144D06">
            <w:pPr>
              <w:jc w:val="left"/>
              <w:rPr>
                <w:rFonts w:ascii="Arial Narrow" w:hAnsi="Arial Narrow"/>
                <w:color w:val="000000"/>
                <w:sz w:val="20"/>
              </w:rPr>
            </w:pPr>
            <w:r w:rsidRPr="00200C65">
              <w:rPr>
                <w:rFonts w:ascii="Arial Narrow" w:hAnsi="Arial Narrow"/>
                <w:b/>
                <w:color w:val="000000"/>
                <w:sz w:val="20"/>
              </w:rPr>
              <w:t>Benefits</w:t>
            </w:r>
            <w:r w:rsidRPr="00200C65">
              <w:rPr>
                <w:rFonts w:ascii="Arial Narrow" w:hAnsi="Arial Narrow"/>
                <w:b/>
                <w:color w:val="000000"/>
                <w:sz w:val="20"/>
                <w:vertAlign w:val="superscript"/>
              </w:rPr>
              <w:t xml:space="preserve"> f</w:t>
            </w:r>
          </w:p>
        </w:tc>
      </w:tr>
      <w:tr w:rsidR="00144D06" w:rsidRPr="00A05BDE" w:rsidTr="00667E83">
        <w:tc>
          <w:tcPr>
            <w:tcW w:w="5000" w:type="pct"/>
            <w:gridSpan w:val="10"/>
            <w:shd w:val="clear" w:color="auto" w:fill="auto"/>
            <w:vAlign w:val="center"/>
          </w:tcPr>
          <w:p w:rsidR="00144D06" w:rsidRPr="00200C65" w:rsidRDefault="00144D06" w:rsidP="00144D06">
            <w:pPr>
              <w:jc w:val="left"/>
              <w:rPr>
                <w:rFonts w:ascii="Arial Narrow" w:hAnsi="Arial Narrow"/>
                <w:color w:val="000000"/>
                <w:sz w:val="20"/>
              </w:rPr>
            </w:pPr>
            <w:r w:rsidRPr="00200C65">
              <w:rPr>
                <w:rFonts w:ascii="Arial Narrow" w:hAnsi="Arial Narrow"/>
                <w:color w:val="000000"/>
                <w:sz w:val="20"/>
              </w:rPr>
              <w:t>Overall survival (OS)</w:t>
            </w:r>
          </w:p>
        </w:tc>
      </w:tr>
      <w:tr w:rsidR="00667E83" w:rsidRPr="00A05BDE" w:rsidTr="00667E83">
        <w:tc>
          <w:tcPr>
            <w:tcW w:w="1184" w:type="pct"/>
            <w:shd w:val="clear" w:color="auto" w:fill="auto"/>
            <w:vAlign w:val="center"/>
          </w:tcPr>
          <w:p w:rsidR="00144D06" w:rsidRPr="002B4B06" w:rsidRDefault="00144D06" w:rsidP="00144D06">
            <w:pPr>
              <w:rPr>
                <w:rFonts w:ascii="Arial Narrow" w:hAnsi="Arial Narrow"/>
                <w:i/>
                <w:color w:val="000000"/>
                <w:sz w:val="20"/>
              </w:rPr>
            </w:pPr>
          </w:p>
        </w:tc>
        <w:tc>
          <w:tcPr>
            <w:tcW w:w="1020" w:type="pct"/>
            <w:gridSpan w:val="3"/>
            <w:vAlign w:val="center"/>
          </w:tcPr>
          <w:p w:rsidR="00144D06" w:rsidRPr="00200C65" w:rsidRDefault="00144D06" w:rsidP="00144D06">
            <w:pPr>
              <w:jc w:val="center"/>
              <w:rPr>
                <w:rFonts w:ascii="Arial Narrow" w:hAnsi="Arial Narrow"/>
                <w:color w:val="000000"/>
                <w:sz w:val="20"/>
              </w:rPr>
            </w:pPr>
            <w:r w:rsidRPr="00200C65">
              <w:rPr>
                <w:rFonts w:ascii="Arial Narrow" w:hAnsi="Arial Narrow"/>
                <w:b/>
                <w:color w:val="000000"/>
                <w:sz w:val="20"/>
              </w:rPr>
              <w:t>Nivolumab</w:t>
            </w:r>
          </w:p>
        </w:tc>
        <w:tc>
          <w:tcPr>
            <w:tcW w:w="847" w:type="pct"/>
            <w:gridSpan w:val="2"/>
            <w:vAlign w:val="center"/>
          </w:tcPr>
          <w:p w:rsidR="00144D06" w:rsidRPr="00200C65" w:rsidRDefault="00144D06" w:rsidP="00144D06">
            <w:pPr>
              <w:jc w:val="center"/>
              <w:rPr>
                <w:rFonts w:ascii="Arial Narrow" w:hAnsi="Arial Narrow"/>
                <w:color w:val="000000"/>
                <w:sz w:val="20"/>
              </w:rPr>
            </w:pPr>
            <w:r w:rsidRPr="00200C65">
              <w:rPr>
                <w:rFonts w:ascii="Arial Narrow" w:hAnsi="Arial Narrow"/>
                <w:b/>
                <w:color w:val="000000"/>
                <w:sz w:val="20"/>
              </w:rPr>
              <w:t>Docetaxel</w:t>
            </w:r>
          </w:p>
        </w:tc>
        <w:tc>
          <w:tcPr>
            <w:tcW w:w="1272" w:type="pct"/>
            <w:gridSpan w:val="2"/>
            <w:vAlign w:val="center"/>
          </w:tcPr>
          <w:p w:rsidR="00144D06" w:rsidRPr="00200C65" w:rsidRDefault="00144D06" w:rsidP="00144D06">
            <w:pPr>
              <w:jc w:val="center"/>
              <w:rPr>
                <w:rFonts w:ascii="Arial Narrow" w:hAnsi="Arial Narrow"/>
                <w:color w:val="000000"/>
                <w:sz w:val="20"/>
              </w:rPr>
            </w:pPr>
            <w:r w:rsidRPr="00200C65">
              <w:rPr>
                <w:rFonts w:ascii="Arial Narrow" w:hAnsi="Arial Narrow"/>
                <w:b/>
                <w:color w:val="000000"/>
                <w:sz w:val="20"/>
              </w:rPr>
              <w:t xml:space="preserve">Absolute </w:t>
            </w:r>
            <w:r w:rsidR="00667E83" w:rsidRPr="00200C65">
              <w:rPr>
                <w:rFonts w:ascii="Arial Narrow" w:hAnsi="Arial Narrow"/>
                <w:b/>
                <w:color w:val="000000"/>
                <w:sz w:val="20"/>
              </w:rPr>
              <w:t>d</w:t>
            </w:r>
            <w:r w:rsidRPr="00200C65">
              <w:rPr>
                <w:rFonts w:ascii="Arial Narrow" w:hAnsi="Arial Narrow"/>
                <w:b/>
                <w:color w:val="000000"/>
                <w:sz w:val="20"/>
              </w:rPr>
              <w:t>ifference</w:t>
            </w:r>
          </w:p>
        </w:tc>
        <w:tc>
          <w:tcPr>
            <w:tcW w:w="677" w:type="pct"/>
            <w:gridSpan w:val="2"/>
            <w:vAlign w:val="center"/>
          </w:tcPr>
          <w:p w:rsidR="00144D06" w:rsidRPr="00200C65" w:rsidRDefault="00144D06" w:rsidP="00144D06">
            <w:pPr>
              <w:jc w:val="center"/>
              <w:rPr>
                <w:rFonts w:ascii="Arial Narrow" w:hAnsi="Arial Narrow"/>
                <w:color w:val="000000"/>
                <w:sz w:val="20"/>
              </w:rPr>
            </w:pPr>
            <w:r w:rsidRPr="00200C65">
              <w:rPr>
                <w:rFonts w:ascii="Arial Narrow" w:hAnsi="Arial Narrow"/>
                <w:b/>
                <w:color w:val="000000"/>
                <w:sz w:val="20"/>
              </w:rPr>
              <w:t>HR (95% CI)</w:t>
            </w:r>
          </w:p>
        </w:tc>
      </w:tr>
      <w:tr w:rsidR="00667E83" w:rsidRPr="00A05BDE" w:rsidTr="00667E83">
        <w:tc>
          <w:tcPr>
            <w:tcW w:w="1184" w:type="pct"/>
            <w:shd w:val="clear" w:color="auto" w:fill="auto"/>
          </w:tcPr>
          <w:p w:rsidR="008D7821" w:rsidRPr="00200C65" w:rsidRDefault="00144D06" w:rsidP="00667E83">
            <w:pPr>
              <w:jc w:val="left"/>
              <w:rPr>
                <w:rFonts w:ascii="Arial Narrow" w:hAnsi="Arial Narrow"/>
                <w:color w:val="000000"/>
                <w:sz w:val="20"/>
              </w:rPr>
            </w:pPr>
            <w:r w:rsidRPr="00200C65">
              <w:rPr>
                <w:rFonts w:ascii="Arial Narrow" w:hAnsi="Arial Narrow"/>
                <w:color w:val="000000"/>
                <w:sz w:val="20"/>
              </w:rPr>
              <w:t>Median OS</w:t>
            </w:r>
            <w:r w:rsidR="00667E83" w:rsidRPr="00200C65">
              <w:rPr>
                <w:rFonts w:ascii="Arial Narrow" w:hAnsi="Arial Narrow"/>
                <w:color w:val="000000"/>
                <w:sz w:val="20"/>
              </w:rPr>
              <w:t>,</w:t>
            </w:r>
            <w:r w:rsidRPr="00200C65">
              <w:rPr>
                <w:rFonts w:ascii="Arial Narrow" w:hAnsi="Arial Narrow"/>
                <w:color w:val="000000"/>
                <w:sz w:val="20"/>
              </w:rPr>
              <w:t xml:space="preserve"> months</w:t>
            </w:r>
          </w:p>
          <w:p w:rsidR="00144D06" w:rsidRPr="002B4B06" w:rsidRDefault="00667E83" w:rsidP="00667E83">
            <w:pPr>
              <w:jc w:val="left"/>
              <w:rPr>
                <w:rFonts w:ascii="Arial Narrow" w:hAnsi="Arial Narrow"/>
                <w:i/>
                <w:color w:val="000000"/>
                <w:sz w:val="20"/>
              </w:rPr>
            </w:pPr>
            <w:r w:rsidRPr="00200C65">
              <w:rPr>
                <w:rFonts w:ascii="Arial Narrow" w:hAnsi="Arial Narrow"/>
                <w:color w:val="000000"/>
                <w:sz w:val="20"/>
              </w:rPr>
              <w:t>(95% CI</w:t>
            </w:r>
            <w:r w:rsidR="00144D06" w:rsidRPr="00200C65">
              <w:rPr>
                <w:rFonts w:ascii="Arial Narrow" w:hAnsi="Arial Narrow"/>
                <w:color w:val="000000"/>
                <w:sz w:val="20"/>
              </w:rPr>
              <w:t>)</w:t>
            </w:r>
          </w:p>
        </w:tc>
        <w:tc>
          <w:tcPr>
            <w:tcW w:w="1020" w:type="pct"/>
            <w:gridSpan w:val="3"/>
          </w:tcPr>
          <w:p w:rsidR="00144D06" w:rsidRPr="00200C65" w:rsidRDefault="00144D06" w:rsidP="00144D06">
            <w:pPr>
              <w:jc w:val="center"/>
              <w:rPr>
                <w:rFonts w:ascii="Arial Narrow" w:hAnsi="Arial Narrow"/>
                <w:sz w:val="20"/>
              </w:rPr>
            </w:pPr>
            <w:r w:rsidRPr="00200C65">
              <w:rPr>
                <w:rFonts w:ascii="Arial Narrow" w:hAnsi="Arial Narrow"/>
                <w:sz w:val="20"/>
              </w:rPr>
              <w:t>9.8</w:t>
            </w:r>
          </w:p>
          <w:p w:rsidR="00144D06" w:rsidRPr="00200C65" w:rsidRDefault="00144D06" w:rsidP="00144D06">
            <w:pPr>
              <w:jc w:val="center"/>
              <w:rPr>
                <w:rFonts w:ascii="Arial Narrow" w:hAnsi="Arial Narrow"/>
                <w:color w:val="000000"/>
                <w:sz w:val="20"/>
              </w:rPr>
            </w:pPr>
            <w:r w:rsidRPr="00200C65">
              <w:rPr>
                <w:rFonts w:ascii="Arial Narrow" w:hAnsi="Arial Narrow"/>
                <w:sz w:val="20"/>
              </w:rPr>
              <w:t>(NR)</w:t>
            </w:r>
          </w:p>
        </w:tc>
        <w:tc>
          <w:tcPr>
            <w:tcW w:w="847" w:type="pct"/>
            <w:gridSpan w:val="2"/>
          </w:tcPr>
          <w:p w:rsidR="00144D06" w:rsidRPr="00200C65" w:rsidRDefault="00144D06" w:rsidP="00144D06">
            <w:pPr>
              <w:jc w:val="center"/>
              <w:rPr>
                <w:rFonts w:ascii="Arial Narrow" w:hAnsi="Arial Narrow"/>
                <w:sz w:val="20"/>
              </w:rPr>
            </w:pPr>
            <w:r w:rsidRPr="00200C65">
              <w:rPr>
                <w:rFonts w:ascii="Arial Narrow" w:hAnsi="Arial Narrow"/>
                <w:sz w:val="20"/>
              </w:rPr>
              <w:t>10.1</w:t>
            </w:r>
          </w:p>
          <w:p w:rsidR="00144D06" w:rsidRPr="00200C65" w:rsidRDefault="00144D06" w:rsidP="00144D06">
            <w:pPr>
              <w:jc w:val="center"/>
              <w:rPr>
                <w:rFonts w:ascii="Arial Narrow" w:hAnsi="Arial Narrow"/>
                <w:color w:val="000000"/>
                <w:sz w:val="20"/>
              </w:rPr>
            </w:pPr>
            <w:r w:rsidRPr="00200C65">
              <w:rPr>
                <w:rFonts w:ascii="Arial Narrow" w:hAnsi="Arial Narrow"/>
                <w:sz w:val="20"/>
              </w:rPr>
              <w:t>(NR)</w:t>
            </w:r>
          </w:p>
        </w:tc>
        <w:tc>
          <w:tcPr>
            <w:tcW w:w="1272" w:type="pct"/>
            <w:gridSpan w:val="2"/>
            <w:vAlign w:val="center"/>
          </w:tcPr>
          <w:p w:rsidR="00144D06" w:rsidRPr="00200C65" w:rsidRDefault="00144D06" w:rsidP="00144D06">
            <w:pPr>
              <w:jc w:val="center"/>
              <w:rPr>
                <w:rFonts w:ascii="Arial Narrow" w:hAnsi="Arial Narrow"/>
                <w:color w:val="000000"/>
                <w:sz w:val="20"/>
              </w:rPr>
            </w:pPr>
            <w:r w:rsidRPr="00200C65">
              <w:rPr>
                <w:rFonts w:ascii="Arial Narrow" w:hAnsi="Arial Narrow"/>
                <w:color w:val="000000"/>
                <w:sz w:val="20"/>
              </w:rPr>
              <w:t>-0.3</w:t>
            </w:r>
          </w:p>
        </w:tc>
        <w:tc>
          <w:tcPr>
            <w:tcW w:w="677" w:type="pct"/>
            <w:gridSpan w:val="2"/>
            <w:vAlign w:val="center"/>
          </w:tcPr>
          <w:p w:rsidR="008D7821" w:rsidRPr="00200C65" w:rsidRDefault="00144D06" w:rsidP="00144D06">
            <w:pPr>
              <w:jc w:val="center"/>
              <w:rPr>
                <w:rFonts w:ascii="Arial Narrow" w:hAnsi="Arial Narrow"/>
                <w:sz w:val="20"/>
              </w:rPr>
            </w:pPr>
            <w:r w:rsidRPr="00200C65">
              <w:rPr>
                <w:rFonts w:ascii="Arial Narrow" w:hAnsi="Arial Narrow"/>
                <w:sz w:val="20"/>
              </w:rPr>
              <w:t>0.96</w:t>
            </w:r>
          </w:p>
          <w:p w:rsidR="00144D06" w:rsidRPr="00200C65" w:rsidRDefault="00144D06" w:rsidP="00144D06">
            <w:pPr>
              <w:jc w:val="center"/>
              <w:rPr>
                <w:rFonts w:ascii="Arial Narrow" w:hAnsi="Arial Narrow"/>
                <w:color w:val="000000"/>
                <w:sz w:val="20"/>
              </w:rPr>
            </w:pPr>
            <w:r w:rsidRPr="00200C65">
              <w:rPr>
                <w:rFonts w:ascii="Arial Narrow" w:hAnsi="Arial Narrow"/>
                <w:sz w:val="20"/>
              </w:rPr>
              <w:t>(0.73, 1.27)</w:t>
            </w:r>
          </w:p>
        </w:tc>
      </w:tr>
    </w:tbl>
    <w:p w:rsidR="00144D06" w:rsidRPr="00200C65" w:rsidRDefault="00144D06" w:rsidP="008D7821">
      <w:pPr>
        <w:pStyle w:val="TableFooter"/>
        <w:ind w:left="709"/>
        <w:rPr>
          <w:szCs w:val="18"/>
        </w:rPr>
      </w:pPr>
      <w:r w:rsidRPr="00200C65">
        <w:rPr>
          <w:szCs w:val="18"/>
          <w:vertAlign w:val="superscript"/>
        </w:rPr>
        <w:t>a</w:t>
      </w:r>
      <w:r w:rsidR="00667E83" w:rsidRPr="00200C65">
        <w:rPr>
          <w:szCs w:val="18"/>
          <w:vertAlign w:val="superscript"/>
        </w:rPr>
        <w:t xml:space="preserve"> </w:t>
      </w:r>
      <w:r w:rsidRPr="00200C65">
        <w:rPr>
          <w:szCs w:val="18"/>
        </w:rPr>
        <w:t>Numerator calculated from proportions provided and total number of patients randomised to treatment arm.</w:t>
      </w:r>
    </w:p>
    <w:p w:rsidR="00144D06" w:rsidRPr="00200C65" w:rsidRDefault="00144D06" w:rsidP="008D7821">
      <w:pPr>
        <w:pStyle w:val="TableFooter"/>
        <w:ind w:left="709"/>
        <w:rPr>
          <w:szCs w:val="18"/>
        </w:rPr>
      </w:pPr>
      <w:r w:rsidRPr="00200C65">
        <w:rPr>
          <w:szCs w:val="18"/>
          <w:vertAlign w:val="superscript"/>
        </w:rPr>
        <w:t>b</w:t>
      </w:r>
      <w:r w:rsidR="00667E83" w:rsidRPr="00200C65">
        <w:rPr>
          <w:szCs w:val="18"/>
          <w:vertAlign w:val="superscript"/>
        </w:rPr>
        <w:t xml:space="preserve"> </w:t>
      </w:r>
      <w:r w:rsidRPr="00200C65">
        <w:rPr>
          <w:szCs w:val="18"/>
        </w:rPr>
        <w:t>Data sourced from Horn et al 2015.</w:t>
      </w:r>
    </w:p>
    <w:p w:rsidR="00144D06" w:rsidRPr="00200C65" w:rsidRDefault="00144D06" w:rsidP="008D7821">
      <w:pPr>
        <w:pStyle w:val="TableFooter"/>
        <w:ind w:left="709"/>
        <w:rPr>
          <w:szCs w:val="18"/>
        </w:rPr>
      </w:pPr>
      <w:r w:rsidRPr="00200C65">
        <w:rPr>
          <w:szCs w:val="18"/>
          <w:vertAlign w:val="superscript"/>
        </w:rPr>
        <w:t>c</w:t>
      </w:r>
      <w:r w:rsidR="00667E83" w:rsidRPr="00200C65">
        <w:rPr>
          <w:szCs w:val="18"/>
          <w:vertAlign w:val="superscript"/>
        </w:rPr>
        <w:t xml:space="preserve"> </w:t>
      </w:r>
      <w:r w:rsidRPr="00200C65">
        <w:rPr>
          <w:szCs w:val="18"/>
        </w:rPr>
        <w:t>Median OS and HRs were similar for both the March 2015 (13.2 months minimum follow up) and July 2015 (17.1 months minimum follow up) database locks.</w:t>
      </w:r>
      <w:r w:rsidR="00667E83" w:rsidRPr="00200C65">
        <w:rPr>
          <w:szCs w:val="18"/>
        </w:rPr>
        <w:t xml:space="preserve"> NOTE: Proportional hazards assumption NOT met.</w:t>
      </w:r>
    </w:p>
    <w:p w:rsidR="00144D06" w:rsidRPr="00200C65" w:rsidRDefault="00144D06" w:rsidP="008D7821">
      <w:pPr>
        <w:pStyle w:val="TableFooter"/>
        <w:ind w:left="709"/>
        <w:rPr>
          <w:szCs w:val="18"/>
        </w:rPr>
      </w:pPr>
      <w:r w:rsidRPr="00200C65">
        <w:rPr>
          <w:szCs w:val="18"/>
          <w:vertAlign w:val="superscript"/>
        </w:rPr>
        <w:t>d</w:t>
      </w:r>
      <w:r w:rsidR="00667E83" w:rsidRPr="00200C65">
        <w:rPr>
          <w:szCs w:val="18"/>
          <w:vertAlign w:val="superscript"/>
        </w:rPr>
        <w:t xml:space="preserve"> </w:t>
      </w:r>
      <w:r w:rsidRPr="00200C65">
        <w:rPr>
          <w:szCs w:val="18"/>
        </w:rPr>
        <w:t>Drug-related serious AEs (SAEs) were similar across treatment arms.</w:t>
      </w:r>
    </w:p>
    <w:p w:rsidR="00144D06" w:rsidRPr="00200C65" w:rsidRDefault="00144D06" w:rsidP="008D7821">
      <w:pPr>
        <w:pStyle w:val="TableFooter"/>
        <w:ind w:left="709"/>
        <w:rPr>
          <w:szCs w:val="18"/>
        </w:rPr>
      </w:pPr>
      <w:r w:rsidRPr="00200C65">
        <w:rPr>
          <w:szCs w:val="18"/>
          <w:vertAlign w:val="superscript"/>
        </w:rPr>
        <w:t>e</w:t>
      </w:r>
      <w:r w:rsidR="00667E83" w:rsidRPr="00200C65">
        <w:rPr>
          <w:szCs w:val="18"/>
          <w:vertAlign w:val="superscript"/>
        </w:rPr>
        <w:t xml:space="preserve"> </w:t>
      </w:r>
      <w:r w:rsidRPr="00200C65">
        <w:rPr>
          <w:szCs w:val="18"/>
        </w:rPr>
        <w:t>Select AEs were AEs of special interest that were potentially associated with the use of nivolumab (sourced from the CA209-057 clinical study report)</w:t>
      </w:r>
    </w:p>
    <w:p w:rsidR="00144D06" w:rsidRPr="00200C65" w:rsidRDefault="00144D06" w:rsidP="008D7821">
      <w:pPr>
        <w:pStyle w:val="TableFooter"/>
        <w:ind w:left="709"/>
        <w:rPr>
          <w:szCs w:val="18"/>
        </w:rPr>
      </w:pPr>
      <w:r w:rsidRPr="00200C65">
        <w:rPr>
          <w:szCs w:val="18"/>
          <w:vertAlign w:val="superscript"/>
        </w:rPr>
        <w:t>f</w:t>
      </w:r>
      <w:r w:rsidR="00667E83" w:rsidRPr="00200C65">
        <w:rPr>
          <w:szCs w:val="18"/>
          <w:vertAlign w:val="superscript"/>
        </w:rPr>
        <w:t xml:space="preserve"> </w:t>
      </w:r>
      <w:r w:rsidRPr="00200C65">
        <w:rPr>
          <w:szCs w:val="18"/>
        </w:rPr>
        <w:t>Median OS times for nivolumab arm were also double that for docetaxel for positive PD-L1 ≥ 1% and PD-L1 ≥ 10% subgroups (18 months vs. 9 months and 20 months vs. 8 months, respectively) whereas the median OS was the same for nivolumab and docetaxel for the complement negative PD-L1 &lt; 1% and PD-L1&lt; 10% subgroups (10.5 months vs. 10 months and 9.9 months vs. 10 .3 months, respectively)</w:t>
      </w:r>
    </w:p>
    <w:p w:rsidR="00144D06" w:rsidRPr="00200C65" w:rsidRDefault="00144D06" w:rsidP="008D7821">
      <w:pPr>
        <w:pStyle w:val="TableFooter"/>
        <w:ind w:left="709"/>
        <w:rPr>
          <w:szCs w:val="18"/>
        </w:rPr>
      </w:pPr>
      <w:r w:rsidRPr="00200C65">
        <w:rPr>
          <w:szCs w:val="18"/>
        </w:rPr>
        <w:t>AEs</w:t>
      </w:r>
      <w:r w:rsidR="008D7821" w:rsidRPr="00200C65">
        <w:rPr>
          <w:szCs w:val="18"/>
        </w:rPr>
        <w:t>=</w:t>
      </w:r>
      <w:r w:rsidRPr="00200C65">
        <w:rPr>
          <w:szCs w:val="18"/>
        </w:rPr>
        <w:t xml:space="preserve">adverse events; </w:t>
      </w:r>
      <w:r w:rsidR="008D7821" w:rsidRPr="00200C65">
        <w:rPr>
          <w:szCs w:val="18"/>
        </w:rPr>
        <w:t>RD</w:t>
      </w:r>
      <w:r w:rsidRPr="00200C65">
        <w:rPr>
          <w:szCs w:val="18"/>
        </w:rPr>
        <w:t>=</w:t>
      </w:r>
      <w:r w:rsidR="008D7821" w:rsidRPr="00200C65">
        <w:rPr>
          <w:szCs w:val="18"/>
        </w:rPr>
        <w:t>risk difference; RR</w:t>
      </w:r>
      <w:r w:rsidRPr="00200C65">
        <w:rPr>
          <w:szCs w:val="18"/>
        </w:rPr>
        <w:t xml:space="preserve">=risk ratio; </w:t>
      </w:r>
      <w:r w:rsidR="008D7821" w:rsidRPr="00200C65">
        <w:rPr>
          <w:szCs w:val="18"/>
        </w:rPr>
        <w:t>CI</w:t>
      </w:r>
      <w:r w:rsidRPr="00200C65">
        <w:rPr>
          <w:szCs w:val="18"/>
        </w:rPr>
        <w:t xml:space="preserve">=confidence interval; </w:t>
      </w:r>
      <w:r w:rsidR="008D7821" w:rsidRPr="00200C65">
        <w:rPr>
          <w:szCs w:val="18"/>
        </w:rPr>
        <w:t>PD-L1</w:t>
      </w:r>
      <w:r w:rsidRPr="00200C65">
        <w:rPr>
          <w:szCs w:val="18"/>
        </w:rPr>
        <w:t>=programmed-cell death ligand-1</w:t>
      </w:r>
    </w:p>
    <w:p w:rsidR="00144D06" w:rsidRPr="00200C65" w:rsidRDefault="00144D06" w:rsidP="008D7821">
      <w:pPr>
        <w:pStyle w:val="TableFooter"/>
        <w:ind w:left="709"/>
        <w:rPr>
          <w:szCs w:val="18"/>
        </w:rPr>
      </w:pPr>
      <w:r w:rsidRPr="00200C65">
        <w:rPr>
          <w:szCs w:val="18"/>
        </w:rPr>
        <w:t>Source: Compiled during the evaluation and Table 3 of the Executive Summary of the submission.</w:t>
      </w:r>
    </w:p>
    <w:p w:rsidR="00144D06" w:rsidRPr="00882085" w:rsidRDefault="00144D06" w:rsidP="00144D06"/>
    <w:p w:rsidR="00144D06" w:rsidRPr="00200C65" w:rsidRDefault="00144D06" w:rsidP="00C61ED5">
      <w:pPr>
        <w:pStyle w:val="ListParagraph"/>
        <w:widowControl/>
        <w:numPr>
          <w:ilvl w:val="1"/>
          <w:numId w:val="2"/>
        </w:numPr>
        <w:rPr>
          <w:szCs w:val="22"/>
        </w:rPr>
      </w:pPr>
      <w:r w:rsidRPr="00200C65">
        <w:lastRenderedPageBreak/>
        <w:t xml:space="preserve">On the basis of </w:t>
      </w:r>
      <w:r w:rsidR="006B0F3A" w:rsidRPr="00200C65">
        <w:t xml:space="preserve">the </w:t>
      </w:r>
      <w:r w:rsidRPr="00200C65">
        <w:t>direct evidence presented by the submission, for every 100 non-squamous NSCLC patients (unselected for PD-L1 expression) treated with nivolumab in comparison to docetaxel:</w:t>
      </w:r>
    </w:p>
    <w:p w:rsidR="00144D06" w:rsidRPr="00200C65" w:rsidRDefault="00144D06" w:rsidP="00C61ED5">
      <w:pPr>
        <w:pStyle w:val="ListParagraph"/>
        <w:widowControl/>
        <w:numPr>
          <w:ilvl w:val="0"/>
          <w:numId w:val="4"/>
        </w:numPr>
      </w:pPr>
      <w:r w:rsidRPr="00200C65">
        <w:t>Approximately 16 additional patients would be expected to be alive at 18 months. However, whilst nivolumab doubled median OS compared to docetaxel in PD-L1 positive patients</w:t>
      </w:r>
      <w:r w:rsidR="006B0F3A" w:rsidRPr="00200C65">
        <w:t>,</w:t>
      </w:r>
      <w:r w:rsidRPr="00200C65">
        <w:t xml:space="preserve"> </w:t>
      </w:r>
      <w:r w:rsidR="006B0F3A" w:rsidRPr="00200C65">
        <w:t>t</w:t>
      </w:r>
      <w:r w:rsidRPr="00200C65">
        <w:t>here was no meaningful median OS difference between nivolumab and docetaxel in PD-L1 negative patients;</w:t>
      </w:r>
    </w:p>
    <w:p w:rsidR="00144D06" w:rsidRPr="00200C65" w:rsidRDefault="00144D06" w:rsidP="00C61ED5">
      <w:pPr>
        <w:pStyle w:val="ListParagraph"/>
        <w:numPr>
          <w:ilvl w:val="0"/>
          <w:numId w:val="4"/>
        </w:numPr>
      </w:pPr>
      <w:r w:rsidRPr="00200C65">
        <w:t>Approximately 43 fewer patients would experience a drug-related Grade 3 / 4 AE, 27 fewer patients would experience drug-related neutropenia, but an additional 9 patients would experience a Grade 3-4 endocrine AE. These differences would be expected to be fairly similar for both PD-L1 positive and negative patients.</w:t>
      </w:r>
    </w:p>
    <w:p w:rsidR="00144D06" w:rsidRDefault="00144D06" w:rsidP="00144D06"/>
    <w:p w:rsidR="00144D06" w:rsidRPr="002C2775" w:rsidRDefault="00144D06" w:rsidP="00144D06">
      <w:pPr>
        <w:pStyle w:val="Heading2"/>
        <w:rPr>
          <w:i/>
        </w:rPr>
      </w:pPr>
      <w:bookmarkStart w:id="17" w:name="_Toc440295000"/>
      <w:bookmarkStart w:id="18" w:name="_Toc440981301"/>
      <w:r w:rsidRPr="002C2775">
        <w:rPr>
          <w:i/>
        </w:rPr>
        <w:t>Clinical claim</w:t>
      </w:r>
      <w:bookmarkEnd w:id="17"/>
      <w:bookmarkEnd w:id="18"/>
    </w:p>
    <w:p w:rsidR="00144D06" w:rsidRPr="007A5477" w:rsidRDefault="00144D06" w:rsidP="00144D06">
      <w:pPr>
        <w:ind w:left="720" w:hanging="720"/>
        <w:rPr>
          <w:szCs w:val="22"/>
        </w:rPr>
      </w:pPr>
    </w:p>
    <w:p w:rsidR="006B0F3A" w:rsidRPr="00AE71BA" w:rsidRDefault="007A5477" w:rsidP="00C61ED5">
      <w:pPr>
        <w:pStyle w:val="ListParagraph"/>
        <w:numPr>
          <w:ilvl w:val="1"/>
          <w:numId w:val="2"/>
        </w:numPr>
        <w:ind w:right="164"/>
      </w:pPr>
      <w:r w:rsidRPr="007A5477">
        <w:t>T</w:t>
      </w:r>
      <w:r w:rsidR="006B0F3A" w:rsidRPr="007A5477">
        <w:t>he submission describe</w:t>
      </w:r>
      <w:r w:rsidR="008D7821">
        <w:t>d</w:t>
      </w:r>
      <w:r w:rsidR="006B0F3A" w:rsidRPr="007A5477">
        <w:t xml:space="preserve"> nivolumab as superior in terms of comparative effectiveness and superior in terms of comparative safety over docetaxel for the treatment </w:t>
      </w:r>
      <w:r w:rsidR="006B0F3A" w:rsidRPr="002319EB">
        <w:t xml:space="preserve">of Stage III/Stage IV non-squamous NSCLC after progression on or after </w:t>
      </w:r>
      <w:r w:rsidR="006B0F3A" w:rsidRPr="00AE71BA">
        <w:t>platinum doublet chemotherapy. Analyses by PD-L1 status indicated that nivolumab was not superior, in terms of OS, to docetaxel in patients who were PD-L1 expression negative. In terms of safety, lower rates of Grade</w:t>
      </w:r>
      <w:r w:rsidR="008D7821" w:rsidRPr="00AE71BA">
        <w:t xml:space="preserve"> </w:t>
      </w:r>
      <w:r w:rsidR="006B0F3A" w:rsidRPr="00AE71BA">
        <w:t xml:space="preserve">≥3 immuno-related AEs were associated with nivolumab compared to docetaxel in CA209-057. </w:t>
      </w:r>
      <w:r w:rsidR="008D7821" w:rsidRPr="00AE71BA">
        <w:t>Another</w:t>
      </w:r>
      <w:r w:rsidR="006B0F3A" w:rsidRPr="00AE71BA">
        <w:t xml:space="preserve"> possible reason for the low frequency of these severe AEs could have been the open-label nature of the trial.</w:t>
      </w:r>
    </w:p>
    <w:p w:rsidR="00C25913" w:rsidRPr="00AE71BA" w:rsidRDefault="00C25913" w:rsidP="00C25913">
      <w:pPr>
        <w:ind w:right="164"/>
      </w:pPr>
    </w:p>
    <w:p w:rsidR="00C25913" w:rsidRDefault="00C25913" w:rsidP="00C61ED5">
      <w:pPr>
        <w:pStyle w:val="ListParagraph"/>
        <w:numPr>
          <w:ilvl w:val="1"/>
          <w:numId w:val="2"/>
        </w:numPr>
        <w:ind w:right="164"/>
      </w:pPr>
      <w:r w:rsidRPr="00AE71BA">
        <w:t>The ESC considered that the submission</w:t>
      </w:r>
      <w:r w:rsidR="00184150" w:rsidRPr="00AE71BA">
        <w:t>’s</w:t>
      </w:r>
      <w:r w:rsidRPr="00AE71BA">
        <w:t xml:space="preserve"> claim of superior comparative effectiveness and superior comparative safety over docetaxel was reasonable in patients who are PD-L1 positive.</w:t>
      </w:r>
    </w:p>
    <w:p w:rsidR="00861A12" w:rsidRPr="00AE71BA" w:rsidRDefault="00861A12" w:rsidP="00861A12">
      <w:pPr>
        <w:ind w:right="164"/>
      </w:pPr>
    </w:p>
    <w:p w:rsidR="00861A12" w:rsidRPr="00861A12" w:rsidRDefault="00861A12" w:rsidP="001E5EBD">
      <w:pPr>
        <w:pStyle w:val="ListParagraph"/>
        <w:widowControl/>
        <w:numPr>
          <w:ilvl w:val="1"/>
          <w:numId w:val="2"/>
        </w:numPr>
        <w:rPr>
          <w:bCs/>
          <w:szCs w:val="22"/>
        </w:rPr>
      </w:pPr>
      <w:r w:rsidRPr="00861A12">
        <w:rPr>
          <w:bCs/>
          <w:szCs w:val="22"/>
        </w:rPr>
        <w:t>The PBAC considered that the incremental survival benefit of nivolumab appeared to be limited to patients who were PD-L1 positive</w:t>
      </w:r>
      <w:r w:rsidR="00823BAF">
        <w:rPr>
          <w:bCs/>
          <w:szCs w:val="22"/>
        </w:rPr>
        <w:t>,</w:t>
      </w:r>
      <w:r w:rsidRPr="00861A12">
        <w:rPr>
          <w:bCs/>
          <w:szCs w:val="22"/>
        </w:rPr>
        <w:t xml:space="preserve"> and that the claim of superior comparative effectiveness of nivolumab over docetaxel was </w:t>
      </w:r>
      <w:r w:rsidR="00823BAF">
        <w:rPr>
          <w:bCs/>
          <w:szCs w:val="22"/>
        </w:rPr>
        <w:t xml:space="preserve">strongest </w:t>
      </w:r>
      <w:r w:rsidRPr="00861A12">
        <w:rPr>
          <w:bCs/>
          <w:szCs w:val="22"/>
        </w:rPr>
        <w:t>in patients who are PD-L1 positive.</w:t>
      </w:r>
    </w:p>
    <w:p w:rsidR="00861A12" w:rsidRPr="00091975" w:rsidRDefault="00861A12" w:rsidP="001E5EBD">
      <w:pPr>
        <w:widowControl/>
        <w:rPr>
          <w:bCs/>
          <w:szCs w:val="22"/>
        </w:rPr>
      </w:pPr>
    </w:p>
    <w:p w:rsidR="00861A12" w:rsidRPr="00091975" w:rsidRDefault="00861A12" w:rsidP="00861A12">
      <w:pPr>
        <w:pStyle w:val="ListParagraph"/>
        <w:widowControl/>
        <w:numPr>
          <w:ilvl w:val="1"/>
          <w:numId w:val="2"/>
        </w:numPr>
        <w:rPr>
          <w:szCs w:val="22"/>
        </w:rPr>
      </w:pPr>
      <w:r w:rsidRPr="00091975">
        <w:rPr>
          <w:szCs w:val="22"/>
        </w:rPr>
        <w:t xml:space="preserve">The PBAC considered that the claim of superior comparative safety was reasonable, however </w:t>
      </w:r>
      <w:r w:rsidR="008E5714">
        <w:rPr>
          <w:szCs w:val="22"/>
        </w:rPr>
        <w:t xml:space="preserve">also </w:t>
      </w:r>
      <w:r w:rsidRPr="00091975">
        <w:rPr>
          <w:szCs w:val="22"/>
        </w:rPr>
        <w:t xml:space="preserve">noted that nivolumab was associated with a significantly higher proportion of </w:t>
      </w:r>
      <w:r w:rsidR="008E5714">
        <w:rPr>
          <w:szCs w:val="22"/>
        </w:rPr>
        <w:t xml:space="preserve">patients with </w:t>
      </w:r>
      <w:r w:rsidRPr="00091975">
        <w:rPr>
          <w:szCs w:val="22"/>
        </w:rPr>
        <w:t>Grade 3 and 4 endocrine adverse events than docetaxel.</w:t>
      </w:r>
    </w:p>
    <w:p w:rsidR="00CA62C6" w:rsidRPr="007A5477" w:rsidRDefault="00CA62C6" w:rsidP="007A5477">
      <w:pPr>
        <w:widowControl/>
        <w:rPr>
          <w:szCs w:val="22"/>
        </w:rPr>
      </w:pPr>
    </w:p>
    <w:p w:rsidR="00144D06" w:rsidRPr="002C2775" w:rsidRDefault="00144D06" w:rsidP="00144D06">
      <w:pPr>
        <w:pStyle w:val="Heading2"/>
        <w:rPr>
          <w:i/>
        </w:rPr>
      </w:pPr>
      <w:bookmarkStart w:id="19" w:name="_Toc440295001"/>
      <w:bookmarkStart w:id="20" w:name="_Toc440981302"/>
      <w:r w:rsidRPr="002C2775">
        <w:rPr>
          <w:i/>
        </w:rPr>
        <w:t>Economic analysis</w:t>
      </w:r>
      <w:bookmarkEnd w:id="19"/>
      <w:bookmarkEnd w:id="20"/>
    </w:p>
    <w:p w:rsidR="00144D06" w:rsidRPr="00882085" w:rsidRDefault="00144D06" w:rsidP="00144D06">
      <w:pPr>
        <w:ind w:left="720" w:hanging="720"/>
        <w:rPr>
          <w:szCs w:val="22"/>
        </w:rPr>
      </w:pPr>
    </w:p>
    <w:p w:rsidR="00144D06" w:rsidRPr="00B50DB8" w:rsidRDefault="00144D06" w:rsidP="00C61ED5">
      <w:pPr>
        <w:pStyle w:val="ListParagraph"/>
        <w:widowControl/>
        <w:numPr>
          <w:ilvl w:val="1"/>
          <w:numId w:val="2"/>
        </w:numPr>
        <w:rPr>
          <w:szCs w:val="22"/>
        </w:rPr>
      </w:pPr>
      <w:r>
        <w:t xml:space="preserve">The economic evaluation </w:t>
      </w:r>
      <w:r w:rsidR="008D7821">
        <w:t>wa</w:t>
      </w:r>
      <w:r>
        <w:t xml:space="preserve">s a </w:t>
      </w:r>
      <w:r w:rsidR="00CC5819">
        <w:t xml:space="preserve">Markov model with </w:t>
      </w:r>
      <w:r>
        <w:t xml:space="preserve">three health states – progression-free, post-progression </w:t>
      </w:r>
      <w:r w:rsidR="00CC5819">
        <w:t>and</w:t>
      </w:r>
      <w:r>
        <w:t xml:space="preserve"> death. In the model, patients are treated either by nivolumab or docetaxel and enter the progression-free health state in the first cycle. In the subsequent cycles, patients can remain in </w:t>
      </w:r>
      <w:r w:rsidR="00CC5819">
        <w:t xml:space="preserve">the </w:t>
      </w:r>
      <w:r>
        <w:t xml:space="preserve">progression-free state, transit to </w:t>
      </w:r>
      <w:r w:rsidR="00CC5819">
        <w:t xml:space="preserve">the </w:t>
      </w:r>
      <w:r>
        <w:t xml:space="preserve">post-progression state or die. </w:t>
      </w:r>
      <w:r w:rsidRPr="004C2986">
        <w:t xml:space="preserve">Transition probabilities </w:t>
      </w:r>
      <w:r w:rsidR="008D7821">
        <w:t>we</w:t>
      </w:r>
      <w:r w:rsidRPr="004C2986">
        <w:t xml:space="preserve">re not explicitly calculated </w:t>
      </w:r>
      <w:r w:rsidR="0070337A">
        <w:t>or</w:t>
      </w:r>
      <w:r w:rsidR="008D7821">
        <w:t xml:space="preserve"> used in the model. </w:t>
      </w:r>
      <w:r w:rsidRPr="004C2986">
        <w:t xml:space="preserve">Instead, the </w:t>
      </w:r>
      <w:r>
        <w:t>proportion</w:t>
      </w:r>
      <w:r w:rsidRPr="004C2986">
        <w:t xml:space="preserve"> of patients in the progression-free state at each model cycle </w:t>
      </w:r>
      <w:r w:rsidR="008D7821">
        <w:t>wa</w:t>
      </w:r>
      <w:r w:rsidRPr="004C2986">
        <w:t xml:space="preserve">s obtained directly from patient level </w:t>
      </w:r>
      <w:r>
        <w:t xml:space="preserve">progression-free </w:t>
      </w:r>
      <w:r w:rsidRPr="004C2986">
        <w:t>data of the CA209-057 trial</w:t>
      </w:r>
      <w:r>
        <w:t xml:space="preserve"> and the extrapolated PFS curves</w:t>
      </w:r>
      <w:r w:rsidR="008D7821">
        <w:t xml:space="preserve">. </w:t>
      </w:r>
      <w:r w:rsidRPr="004C2986">
        <w:t xml:space="preserve">The </w:t>
      </w:r>
      <w:r>
        <w:t>proportion</w:t>
      </w:r>
      <w:r w:rsidRPr="004C2986">
        <w:t xml:space="preserve"> of patients who </w:t>
      </w:r>
      <w:r w:rsidR="00CC5819">
        <w:t>died</w:t>
      </w:r>
      <w:r w:rsidRPr="004C2986">
        <w:t xml:space="preserve"> </w:t>
      </w:r>
      <w:r w:rsidR="008D7821">
        <w:t>wa</w:t>
      </w:r>
      <w:r>
        <w:t>s</w:t>
      </w:r>
      <w:r w:rsidRPr="004C2986">
        <w:t xml:space="preserve"> calculated from the OS da</w:t>
      </w:r>
      <w:r w:rsidR="008D7821">
        <w:t xml:space="preserve">ta (1-OS) at each model cycle. </w:t>
      </w:r>
      <w:r w:rsidRPr="004C2986">
        <w:t xml:space="preserve">The proportion of patients in the </w:t>
      </w:r>
      <w:r>
        <w:t xml:space="preserve">post-progression </w:t>
      </w:r>
      <w:r w:rsidRPr="004C2986">
        <w:t xml:space="preserve">state </w:t>
      </w:r>
      <w:r w:rsidR="008D7821">
        <w:t>wa</w:t>
      </w:r>
      <w:r w:rsidRPr="004C2986">
        <w:t>s the difference between those in the OS health state and the PFS state at each time point in the modelled economic evaluation.</w:t>
      </w:r>
    </w:p>
    <w:p w:rsidR="00144D06" w:rsidRDefault="00144D06" w:rsidP="00144D06">
      <w:pPr>
        <w:widowControl/>
        <w:rPr>
          <w:szCs w:val="22"/>
        </w:rPr>
      </w:pPr>
    </w:p>
    <w:p w:rsidR="00144D06" w:rsidRDefault="00144D06" w:rsidP="00144D06">
      <w:pPr>
        <w:pStyle w:val="TableHeader"/>
        <w:ind w:firstLine="720"/>
      </w:pPr>
      <w:r w:rsidRPr="005C7F65">
        <w:t xml:space="preserve">Table </w:t>
      </w:r>
      <w:r w:rsidR="00EE50C0">
        <w:t>7</w:t>
      </w:r>
      <w:r w:rsidRPr="005C7F65">
        <w:t>: Summary of model structure and rationale</w:t>
      </w:r>
    </w:p>
    <w:tbl>
      <w:tblPr>
        <w:tblW w:w="8330" w:type="dxa"/>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86"/>
        <w:gridCol w:w="6744"/>
      </w:tblGrid>
      <w:tr w:rsidR="00144D06" w:rsidRPr="004E2ADC" w:rsidTr="00144D06">
        <w:trPr>
          <w:trHeight w:val="240"/>
        </w:trPr>
        <w:tc>
          <w:tcPr>
            <w:tcW w:w="1586" w:type="dxa"/>
            <w:shd w:val="clear" w:color="auto" w:fill="auto"/>
          </w:tcPr>
          <w:p w:rsidR="00144D06" w:rsidRPr="004E2ADC" w:rsidRDefault="00144D06" w:rsidP="00144D06">
            <w:pPr>
              <w:rPr>
                <w:rFonts w:ascii="Arial Narrow" w:hAnsi="Arial Narrow"/>
                <w:sz w:val="20"/>
              </w:rPr>
            </w:pPr>
            <w:r w:rsidRPr="004E2ADC">
              <w:rPr>
                <w:rFonts w:ascii="Arial Narrow" w:hAnsi="Arial Narrow"/>
                <w:sz w:val="20"/>
              </w:rPr>
              <w:t>Time horizon</w:t>
            </w:r>
          </w:p>
        </w:tc>
        <w:tc>
          <w:tcPr>
            <w:tcW w:w="6744" w:type="dxa"/>
            <w:shd w:val="clear" w:color="auto" w:fill="auto"/>
          </w:tcPr>
          <w:p w:rsidR="00144D06" w:rsidRPr="00EF2C20" w:rsidRDefault="00144D06" w:rsidP="00144D06">
            <w:pPr>
              <w:rPr>
                <w:rFonts w:ascii="Arial Narrow" w:hAnsi="Arial Narrow"/>
                <w:sz w:val="20"/>
              </w:rPr>
            </w:pPr>
            <w:r>
              <w:rPr>
                <w:rFonts w:ascii="Arial Narrow" w:hAnsi="Arial Narrow"/>
                <w:sz w:val="20"/>
              </w:rPr>
              <w:t>10</w:t>
            </w:r>
            <w:r w:rsidRPr="00EF2C20">
              <w:rPr>
                <w:rFonts w:ascii="Arial Narrow" w:hAnsi="Arial Narrow"/>
                <w:sz w:val="20"/>
              </w:rPr>
              <w:t xml:space="preserve"> years in the model base case versus </w:t>
            </w:r>
            <w:r>
              <w:rPr>
                <w:rFonts w:ascii="Arial Narrow" w:hAnsi="Arial Narrow"/>
                <w:sz w:val="20"/>
              </w:rPr>
              <w:t>18 months</w:t>
            </w:r>
            <w:r w:rsidRPr="00EF2C20">
              <w:rPr>
                <w:rFonts w:ascii="Arial Narrow" w:hAnsi="Arial Narrow"/>
                <w:sz w:val="20"/>
              </w:rPr>
              <w:t xml:space="preserve"> in </w:t>
            </w:r>
            <w:r>
              <w:rPr>
                <w:rFonts w:ascii="Arial Narrow" w:hAnsi="Arial Narrow"/>
                <w:sz w:val="20"/>
              </w:rPr>
              <w:t xml:space="preserve">the </w:t>
            </w:r>
            <w:r w:rsidRPr="00EF2C20">
              <w:rPr>
                <w:rFonts w:ascii="Arial Narrow" w:hAnsi="Arial Narrow"/>
                <w:sz w:val="20"/>
              </w:rPr>
              <w:t>trial</w:t>
            </w:r>
          </w:p>
        </w:tc>
      </w:tr>
      <w:tr w:rsidR="00144D06" w:rsidRPr="004E2ADC" w:rsidTr="008D7821">
        <w:trPr>
          <w:trHeight w:val="105"/>
        </w:trPr>
        <w:tc>
          <w:tcPr>
            <w:tcW w:w="1586" w:type="dxa"/>
            <w:shd w:val="clear" w:color="auto" w:fill="auto"/>
          </w:tcPr>
          <w:p w:rsidR="00144D06" w:rsidRPr="004E2ADC" w:rsidRDefault="00144D06" w:rsidP="00144D06">
            <w:pPr>
              <w:rPr>
                <w:rFonts w:ascii="Arial Narrow" w:hAnsi="Arial Narrow"/>
                <w:sz w:val="20"/>
              </w:rPr>
            </w:pPr>
            <w:r w:rsidRPr="004E2ADC">
              <w:rPr>
                <w:rFonts w:ascii="Arial Narrow" w:hAnsi="Arial Narrow"/>
                <w:sz w:val="20"/>
              </w:rPr>
              <w:t>Outcomes</w:t>
            </w:r>
          </w:p>
        </w:tc>
        <w:tc>
          <w:tcPr>
            <w:tcW w:w="6744" w:type="dxa"/>
            <w:shd w:val="clear" w:color="auto" w:fill="auto"/>
          </w:tcPr>
          <w:p w:rsidR="00144D06" w:rsidRPr="00EF2C20" w:rsidRDefault="00144D06" w:rsidP="00144D06">
            <w:pPr>
              <w:rPr>
                <w:rFonts w:ascii="Arial Narrow" w:hAnsi="Arial Narrow"/>
                <w:sz w:val="20"/>
              </w:rPr>
            </w:pPr>
            <w:r>
              <w:rPr>
                <w:rFonts w:ascii="Arial Narrow" w:hAnsi="Arial Narrow"/>
                <w:sz w:val="20"/>
              </w:rPr>
              <w:t>LYG and QALYs</w:t>
            </w:r>
          </w:p>
        </w:tc>
      </w:tr>
      <w:tr w:rsidR="00144D06" w:rsidRPr="004E2ADC" w:rsidTr="008D7821">
        <w:trPr>
          <w:trHeight w:val="434"/>
        </w:trPr>
        <w:tc>
          <w:tcPr>
            <w:tcW w:w="1586" w:type="dxa"/>
            <w:shd w:val="clear" w:color="auto" w:fill="auto"/>
          </w:tcPr>
          <w:p w:rsidR="00144D06" w:rsidRPr="004E2ADC" w:rsidRDefault="00144D06" w:rsidP="00144D06">
            <w:pPr>
              <w:rPr>
                <w:rFonts w:ascii="Arial Narrow" w:hAnsi="Arial Narrow"/>
                <w:sz w:val="20"/>
              </w:rPr>
            </w:pPr>
            <w:r w:rsidRPr="004E2ADC">
              <w:rPr>
                <w:rFonts w:ascii="Arial Narrow" w:hAnsi="Arial Narrow"/>
                <w:sz w:val="20"/>
              </w:rPr>
              <w:t>Methods used to generate results</w:t>
            </w:r>
          </w:p>
        </w:tc>
        <w:tc>
          <w:tcPr>
            <w:tcW w:w="6744" w:type="dxa"/>
            <w:shd w:val="clear" w:color="auto" w:fill="auto"/>
          </w:tcPr>
          <w:p w:rsidR="00144D06" w:rsidRPr="00EF2C20" w:rsidRDefault="00144D06" w:rsidP="00144D06">
            <w:pPr>
              <w:rPr>
                <w:rFonts w:ascii="Arial Narrow" w:hAnsi="Arial Narrow"/>
                <w:sz w:val="20"/>
              </w:rPr>
            </w:pPr>
            <w:r>
              <w:rPr>
                <w:rFonts w:ascii="Arial Narrow" w:hAnsi="Arial Narrow"/>
                <w:sz w:val="20"/>
              </w:rPr>
              <w:t>Three states (progression-free, progressed and death) Markov model. Co</w:t>
            </w:r>
            <w:r w:rsidRPr="00EF2C20">
              <w:rPr>
                <w:rFonts w:ascii="Arial Narrow" w:hAnsi="Arial Narrow"/>
                <w:sz w:val="20"/>
              </w:rPr>
              <w:t>hort expected value analysis</w:t>
            </w:r>
          </w:p>
        </w:tc>
      </w:tr>
      <w:tr w:rsidR="00144D06" w:rsidRPr="004E2ADC" w:rsidTr="00144D06">
        <w:trPr>
          <w:trHeight w:val="225"/>
        </w:trPr>
        <w:tc>
          <w:tcPr>
            <w:tcW w:w="1586" w:type="dxa"/>
            <w:shd w:val="clear" w:color="auto" w:fill="auto"/>
          </w:tcPr>
          <w:p w:rsidR="00144D06" w:rsidRPr="004E2ADC" w:rsidRDefault="00144D06" w:rsidP="00144D06">
            <w:pPr>
              <w:rPr>
                <w:rFonts w:ascii="Arial Narrow" w:hAnsi="Arial Narrow"/>
                <w:sz w:val="20"/>
              </w:rPr>
            </w:pPr>
            <w:r w:rsidRPr="004E2ADC">
              <w:rPr>
                <w:rFonts w:ascii="Arial Narrow" w:hAnsi="Arial Narrow"/>
                <w:sz w:val="20"/>
              </w:rPr>
              <w:t>Cycle length</w:t>
            </w:r>
          </w:p>
        </w:tc>
        <w:tc>
          <w:tcPr>
            <w:tcW w:w="6744" w:type="dxa"/>
            <w:shd w:val="clear" w:color="auto" w:fill="auto"/>
          </w:tcPr>
          <w:p w:rsidR="00144D06" w:rsidRPr="00EF2C20" w:rsidRDefault="00144D06" w:rsidP="00144D06">
            <w:pPr>
              <w:rPr>
                <w:rFonts w:ascii="Arial Narrow" w:hAnsi="Arial Narrow"/>
                <w:sz w:val="20"/>
              </w:rPr>
            </w:pPr>
            <w:r>
              <w:rPr>
                <w:rFonts w:ascii="Arial Narrow" w:hAnsi="Arial Narrow"/>
                <w:sz w:val="20"/>
              </w:rPr>
              <w:t>Three</w:t>
            </w:r>
            <w:r w:rsidRPr="00EF2C20">
              <w:rPr>
                <w:rFonts w:ascii="Arial Narrow" w:hAnsi="Arial Narrow"/>
                <w:sz w:val="20"/>
              </w:rPr>
              <w:t xml:space="preserve"> weeks</w:t>
            </w:r>
          </w:p>
        </w:tc>
      </w:tr>
      <w:tr w:rsidR="00144D06" w:rsidRPr="004E2ADC" w:rsidTr="00144D06">
        <w:trPr>
          <w:trHeight w:val="448"/>
        </w:trPr>
        <w:tc>
          <w:tcPr>
            <w:tcW w:w="1586" w:type="dxa"/>
            <w:shd w:val="clear" w:color="auto" w:fill="auto"/>
          </w:tcPr>
          <w:p w:rsidR="00144D06" w:rsidRPr="004E2ADC" w:rsidRDefault="00144D06" w:rsidP="00144D06">
            <w:pPr>
              <w:rPr>
                <w:rFonts w:ascii="Arial Narrow" w:hAnsi="Arial Narrow"/>
                <w:sz w:val="20"/>
              </w:rPr>
            </w:pPr>
            <w:r w:rsidRPr="004E2ADC">
              <w:rPr>
                <w:rFonts w:ascii="Arial Narrow" w:hAnsi="Arial Narrow"/>
                <w:sz w:val="20"/>
              </w:rPr>
              <w:t>Transition probabilities</w:t>
            </w:r>
          </w:p>
        </w:tc>
        <w:tc>
          <w:tcPr>
            <w:tcW w:w="6744" w:type="dxa"/>
            <w:shd w:val="clear" w:color="auto" w:fill="auto"/>
          </w:tcPr>
          <w:p w:rsidR="00144D06" w:rsidRPr="00EF2C20" w:rsidRDefault="00144D06" w:rsidP="00144D06">
            <w:pPr>
              <w:rPr>
                <w:rFonts w:ascii="Arial Narrow" w:hAnsi="Arial Narrow"/>
                <w:sz w:val="20"/>
              </w:rPr>
            </w:pPr>
            <w:r>
              <w:rPr>
                <w:rFonts w:ascii="Arial Narrow" w:hAnsi="Arial Narrow"/>
                <w:sz w:val="20"/>
              </w:rPr>
              <w:t>Trial-based Kaplan-Meier PFS and OS curves as well as extrapolated PFS and OS curves</w:t>
            </w:r>
          </w:p>
        </w:tc>
      </w:tr>
      <w:tr w:rsidR="00144D06" w:rsidRPr="004E2ADC" w:rsidTr="00144D06">
        <w:trPr>
          <w:trHeight w:val="240"/>
        </w:trPr>
        <w:tc>
          <w:tcPr>
            <w:tcW w:w="1586" w:type="dxa"/>
            <w:shd w:val="clear" w:color="auto" w:fill="auto"/>
          </w:tcPr>
          <w:p w:rsidR="00144D06" w:rsidRPr="004E2ADC" w:rsidRDefault="00144D06" w:rsidP="00144D06">
            <w:pPr>
              <w:rPr>
                <w:rFonts w:ascii="Arial Narrow" w:hAnsi="Arial Narrow"/>
                <w:sz w:val="20"/>
              </w:rPr>
            </w:pPr>
            <w:r w:rsidRPr="004E2ADC">
              <w:rPr>
                <w:rFonts w:ascii="Arial Narrow" w:hAnsi="Arial Narrow"/>
                <w:sz w:val="20"/>
              </w:rPr>
              <w:t>Discount rate</w:t>
            </w:r>
          </w:p>
        </w:tc>
        <w:tc>
          <w:tcPr>
            <w:tcW w:w="6744" w:type="dxa"/>
            <w:shd w:val="clear" w:color="auto" w:fill="auto"/>
          </w:tcPr>
          <w:p w:rsidR="00144D06" w:rsidRPr="00EF2C20" w:rsidRDefault="00144D06" w:rsidP="00144D06">
            <w:pPr>
              <w:rPr>
                <w:rFonts w:ascii="Arial Narrow" w:hAnsi="Arial Narrow"/>
                <w:sz w:val="20"/>
              </w:rPr>
            </w:pPr>
            <w:r>
              <w:rPr>
                <w:rFonts w:ascii="Arial Narrow" w:hAnsi="Arial Narrow"/>
                <w:sz w:val="20"/>
              </w:rPr>
              <w:t>5</w:t>
            </w:r>
            <w:r w:rsidRPr="00EF2C20">
              <w:rPr>
                <w:rFonts w:ascii="Arial Narrow" w:hAnsi="Arial Narrow"/>
                <w:sz w:val="20"/>
              </w:rPr>
              <w:t xml:space="preserve">% </w:t>
            </w:r>
            <w:r>
              <w:rPr>
                <w:rFonts w:ascii="Arial Narrow" w:hAnsi="Arial Narrow"/>
                <w:sz w:val="20"/>
              </w:rPr>
              <w:t xml:space="preserve">per annum </w:t>
            </w:r>
            <w:r w:rsidRPr="00EF2C20">
              <w:rPr>
                <w:rFonts w:ascii="Arial Narrow" w:hAnsi="Arial Narrow"/>
                <w:sz w:val="20"/>
              </w:rPr>
              <w:t>for costs and outcomes</w:t>
            </w:r>
          </w:p>
        </w:tc>
      </w:tr>
      <w:tr w:rsidR="00144D06" w:rsidRPr="004E2ADC" w:rsidTr="00144D06">
        <w:trPr>
          <w:trHeight w:val="225"/>
        </w:trPr>
        <w:tc>
          <w:tcPr>
            <w:tcW w:w="1586" w:type="dxa"/>
            <w:shd w:val="clear" w:color="auto" w:fill="auto"/>
          </w:tcPr>
          <w:p w:rsidR="00144D06" w:rsidRPr="004E2ADC" w:rsidRDefault="00144D06" w:rsidP="00144D06">
            <w:pPr>
              <w:rPr>
                <w:rFonts w:ascii="Arial Narrow" w:hAnsi="Arial Narrow"/>
                <w:sz w:val="20"/>
              </w:rPr>
            </w:pPr>
            <w:r w:rsidRPr="004E2ADC">
              <w:rPr>
                <w:rFonts w:ascii="Arial Narrow" w:hAnsi="Arial Narrow"/>
                <w:sz w:val="20"/>
              </w:rPr>
              <w:t>Software package</w:t>
            </w:r>
          </w:p>
        </w:tc>
        <w:tc>
          <w:tcPr>
            <w:tcW w:w="6744" w:type="dxa"/>
            <w:shd w:val="clear" w:color="auto" w:fill="auto"/>
          </w:tcPr>
          <w:p w:rsidR="00144D06" w:rsidRPr="00EF2C20" w:rsidRDefault="00144D06" w:rsidP="00144D06">
            <w:pPr>
              <w:rPr>
                <w:rFonts w:ascii="Arial Narrow" w:hAnsi="Arial Narrow"/>
                <w:sz w:val="20"/>
              </w:rPr>
            </w:pPr>
            <w:r w:rsidRPr="00EF2C20">
              <w:rPr>
                <w:rFonts w:ascii="Arial Narrow" w:hAnsi="Arial Narrow"/>
                <w:sz w:val="20"/>
              </w:rPr>
              <w:t>Excel 2010</w:t>
            </w:r>
          </w:p>
        </w:tc>
      </w:tr>
    </w:tbl>
    <w:p w:rsidR="00144D06" w:rsidRDefault="000F708B" w:rsidP="008D7821">
      <w:pPr>
        <w:pStyle w:val="TableFooter"/>
        <w:ind w:left="709"/>
      </w:pPr>
      <w:r>
        <w:t>LYG=life-</w:t>
      </w:r>
      <w:r w:rsidR="008D7821">
        <w:t>year gained; QALY=quality-adju</w:t>
      </w:r>
      <w:r w:rsidR="009A3FB5">
        <w:t>sted life year; PFS=progression-</w:t>
      </w:r>
      <w:r w:rsidR="008D7821">
        <w:t>free survival; OS=</w:t>
      </w:r>
      <w:r w:rsidR="004E6727">
        <w:t>overall survival</w:t>
      </w:r>
    </w:p>
    <w:p w:rsidR="00144D06" w:rsidRDefault="00144D06" w:rsidP="00144D06">
      <w:pPr>
        <w:pStyle w:val="TableFooter"/>
        <w:ind w:firstLine="720"/>
      </w:pPr>
      <w:r w:rsidRPr="00D13A3E">
        <w:t>Source: constructed during the evaluation</w:t>
      </w:r>
      <w:r w:rsidR="004E6727">
        <w:t>.</w:t>
      </w:r>
    </w:p>
    <w:p w:rsidR="00144D06" w:rsidRDefault="00144D06" w:rsidP="00144D06"/>
    <w:p w:rsidR="00144D06" w:rsidRPr="00B50DB8" w:rsidRDefault="00144D06" w:rsidP="00C61ED5">
      <w:pPr>
        <w:pStyle w:val="ListParagraph"/>
        <w:widowControl/>
        <w:numPr>
          <w:ilvl w:val="1"/>
          <w:numId w:val="2"/>
        </w:numPr>
        <w:rPr>
          <w:szCs w:val="22"/>
        </w:rPr>
      </w:pPr>
      <w:r>
        <w:t>The key drivers of the model are summarised below.</w:t>
      </w:r>
    </w:p>
    <w:p w:rsidR="00144D06" w:rsidRDefault="00144D06" w:rsidP="00144D06">
      <w:pPr>
        <w:widowControl/>
        <w:rPr>
          <w:szCs w:val="22"/>
        </w:rPr>
      </w:pPr>
    </w:p>
    <w:p w:rsidR="00144D06" w:rsidRPr="008F2AD7" w:rsidRDefault="00144D06" w:rsidP="00144D06">
      <w:pPr>
        <w:pStyle w:val="TableHeader"/>
        <w:ind w:firstLine="720"/>
      </w:pPr>
      <w:r w:rsidRPr="008F2AD7">
        <w:t xml:space="preserve">Table </w:t>
      </w:r>
      <w:r w:rsidR="00EE50C0" w:rsidRPr="008F2AD7">
        <w:t>8</w:t>
      </w:r>
      <w:r w:rsidRPr="008F2AD7">
        <w:t>: Key drivers of the model</w:t>
      </w:r>
    </w:p>
    <w:tbl>
      <w:tblPr>
        <w:tblW w:w="4594" w:type="pct"/>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52"/>
        <w:gridCol w:w="3543"/>
        <w:gridCol w:w="2250"/>
      </w:tblGrid>
      <w:tr w:rsidR="00144D06" w:rsidRPr="008F2AD7" w:rsidTr="00144D06">
        <w:trPr>
          <w:tblHeader/>
        </w:trPr>
        <w:tc>
          <w:tcPr>
            <w:tcW w:w="1529" w:type="pct"/>
            <w:shd w:val="clear" w:color="auto" w:fill="auto"/>
            <w:vAlign w:val="center"/>
          </w:tcPr>
          <w:p w:rsidR="00144D06" w:rsidRPr="008F2AD7" w:rsidRDefault="00144D06" w:rsidP="00144D06">
            <w:pPr>
              <w:jc w:val="left"/>
              <w:rPr>
                <w:rFonts w:ascii="Arial Narrow" w:hAnsi="Arial Narrow"/>
                <w:b/>
                <w:sz w:val="20"/>
                <w:lang w:val="en-US"/>
              </w:rPr>
            </w:pPr>
            <w:r w:rsidRPr="008F2AD7">
              <w:rPr>
                <w:rFonts w:ascii="Arial Narrow" w:hAnsi="Arial Narrow"/>
                <w:b/>
                <w:sz w:val="20"/>
                <w:lang w:val="en-US"/>
              </w:rPr>
              <w:t>Description</w:t>
            </w:r>
          </w:p>
        </w:tc>
        <w:tc>
          <w:tcPr>
            <w:tcW w:w="2123" w:type="pct"/>
            <w:shd w:val="clear" w:color="auto" w:fill="auto"/>
            <w:vAlign w:val="center"/>
          </w:tcPr>
          <w:p w:rsidR="00144D06" w:rsidRPr="008F2AD7" w:rsidRDefault="00144D06" w:rsidP="00144D06">
            <w:pPr>
              <w:jc w:val="center"/>
              <w:rPr>
                <w:rFonts w:ascii="Arial Narrow" w:hAnsi="Arial Narrow"/>
                <w:b/>
                <w:sz w:val="20"/>
                <w:lang w:val="en-US"/>
              </w:rPr>
            </w:pPr>
            <w:r w:rsidRPr="008F2AD7">
              <w:rPr>
                <w:rFonts w:ascii="Arial Narrow" w:hAnsi="Arial Narrow"/>
                <w:b/>
                <w:sz w:val="20"/>
                <w:lang w:val="en-US"/>
              </w:rPr>
              <w:t>Method/Value</w:t>
            </w:r>
          </w:p>
        </w:tc>
        <w:tc>
          <w:tcPr>
            <w:tcW w:w="1348" w:type="pct"/>
            <w:shd w:val="clear" w:color="auto" w:fill="auto"/>
            <w:vAlign w:val="center"/>
          </w:tcPr>
          <w:p w:rsidR="00144D06" w:rsidRPr="008F2AD7" w:rsidRDefault="00144D06" w:rsidP="00144D06">
            <w:pPr>
              <w:jc w:val="center"/>
              <w:rPr>
                <w:rFonts w:ascii="Arial Narrow" w:hAnsi="Arial Narrow"/>
                <w:b/>
                <w:sz w:val="20"/>
                <w:lang w:val="en-US"/>
              </w:rPr>
            </w:pPr>
            <w:r w:rsidRPr="008F2AD7">
              <w:rPr>
                <w:rFonts w:ascii="Arial Narrow" w:hAnsi="Arial Narrow"/>
                <w:b/>
                <w:sz w:val="20"/>
                <w:lang w:val="en-US"/>
              </w:rPr>
              <w:t>Impact</w:t>
            </w:r>
          </w:p>
        </w:tc>
      </w:tr>
      <w:tr w:rsidR="00144D06" w:rsidRPr="008F2AD7" w:rsidTr="00144D06">
        <w:tc>
          <w:tcPr>
            <w:tcW w:w="1529" w:type="pct"/>
            <w:shd w:val="clear" w:color="auto" w:fill="auto"/>
            <w:vAlign w:val="center"/>
          </w:tcPr>
          <w:p w:rsidR="00144D06" w:rsidRPr="008F2AD7" w:rsidRDefault="00144D06" w:rsidP="00144D06">
            <w:pPr>
              <w:jc w:val="left"/>
              <w:rPr>
                <w:rFonts w:ascii="Arial Narrow" w:hAnsi="Arial Narrow"/>
                <w:sz w:val="20"/>
                <w:lang w:val="en-US"/>
              </w:rPr>
            </w:pPr>
            <w:r w:rsidRPr="008F2AD7">
              <w:rPr>
                <w:rFonts w:ascii="Arial Narrow" w:hAnsi="Arial Narrow"/>
                <w:sz w:val="20"/>
                <w:lang w:val="en-US"/>
              </w:rPr>
              <w:t>Time horizon</w:t>
            </w:r>
          </w:p>
        </w:tc>
        <w:tc>
          <w:tcPr>
            <w:tcW w:w="2123" w:type="pct"/>
            <w:shd w:val="clear" w:color="auto" w:fill="auto"/>
            <w:vAlign w:val="center"/>
          </w:tcPr>
          <w:p w:rsidR="00144D06" w:rsidRPr="008F2AD7" w:rsidRDefault="00144D06" w:rsidP="00AD0F17">
            <w:pPr>
              <w:jc w:val="left"/>
              <w:rPr>
                <w:rFonts w:ascii="Arial Narrow" w:hAnsi="Arial Narrow"/>
                <w:sz w:val="20"/>
                <w:lang w:val="en-US"/>
              </w:rPr>
            </w:pPr>
            <w:r w:rsidRPr="008F2AD7">
              <w:rPr>
                <w:rFonts w:ascii="Arial Narrow" w:hAnsi="Arial Narrow"/>
                <w:sz w:val="20"/>
                <w:lang w:val="en-US"/>
              </w:rPr>
              <w:t xml:space="preserve">10 years; assumed from 18 month trial </w:t>
            </w:r>
            <w:r w:rsidR="00AD0F17" w:rsidRPr="008F2AD7">
              <w:rPr>
                <w:rFonts w:ascii="Arial Narrow" w:hAnsi="Arial Narrow"/>
                <w:sz w:val="20"/>
                <w:lang w:val="en-US"/>
              </w:rPr>
              <w:t>duration</w:t>
            </w:r>
          </w:p>
        </w:tc>
        <w:tc>
          <w:tcPr>
            <w:tcW w:w="1348" w:type="pct"/>
            <w:shd w:val="clear" w:color="auto" w:fill="auto"/>
            <w:vAlign w:val="center"/>
          </w:tcPr>
          <w:p w:rsidR="00144D06" w:rsidRPr="008F2AD7" w:rsidRDefault="00144D06" w:rsidP="00144D06">
            <w:pPr>
              <w:jc w:val="center"/>
              <w:rPr>
                <w:rFonts w:ascii="Arial Narrow" w:hAnsi="Arial Narrow"/>
                <w:sz w:val="20"/>
                <w:lang w:val="en-US"/>
              </w:rPr>
            </w:pPr>
            <w:r w:rsidRPr="008F2AD7">
              <w:rPr>
                <w:rFonts w:ascii="Arial Narrow" w:hAnsi="Arial Narrow"/>
                <w:sz w:val="20"/>
                <w:lang w:val="en-US"/>
              </w:rPr>
              <w:t>High, favours nivolumab</w:t>
            </w:r>
          </w:p>
        </w:tc>
      </w:tr>
      <w:tr w:rsidR="00144D06" w:rsidRPr="006C7CD9" w:rsidTr="00144D06">
        <w:tc>
          <w:tcPr>
            <w:tcW w:w="1529" w:type="pct"/>
            <w:shd w:val="clear" w:color="auto" w:fill="auto"/>
            <w:vAlign w:val="center"/>
          </w:tcPr>
          <w:p w:rsidR="00144D06" w:rsidRPr="00200C65" w:rsidRDefault="00144D06" w:rsidP="00144D06">
            <w:pPr>
              <w:jc w:val="left"/>
              <w:rPr>
                <w:rFonts w:ascii="Arial Narrow" w:hAnsi="Arial Narrow"/>
                <w:sz w:val="20"/>
                <w:lang w:val="en-US"/>
              </w:rPr>
            </w:pPr>
            <w:r w:rsidRPr="00200C65">
              <w:rPr>
                <w:rFonts w:ascii="Arial Narrow" w:hAnsi="Arial Narrow"/>
                <w:sz w:val="20"/>
                <w:lang w:val="en-US"/>
              </w:rPr>
              <w:t>Method of extrapolation</w:t>
            </w:r>
          </w:p>
        </w:tc>
        <w:tc>
          <w:tcPr>
            <w:tcW w:w="2123" w:type="pct"/>
            <w:shd w:val="clear" w:color="auto" w:fill="auto"/>
            <w:vAlign w:val="center"/>
          </w:tcPr>
          <w:p w:rsidR="00144D06" w:rsidRPr="00200C65" w:rsidRDefault="00144D06" w:rsidP="00AD0F17">
            <w:pPr>
              <w:jc w:val="left"/>
              <w:rPr>
                <w:rFonts w:ascii="Arial Narrow" w:hAnsi="Arial Narrow"/>
                <w:sz w:val="20"/>
                <w:lang w:val="en-US"/>
              </w:rPr>
            </w:pPr>
            <w:r w:rsidRPr="00200C65">
              <w:rPr>
                <w:rFonts w:ascii="Arial Narrow" w:hAnsi="Arial Narrow"/>
                <w:sz w:val="20"/>
                <w:lang w:val="en-US"/>
              </w:rPr>
              <w:t xml:space="preserve">Log-logistic distribution for PFS and OS </w:t>
            </w:r>
            <w:r w:rsidR="00CC5819" w:rsidRPr="00200C65">
              <w:rPr>
                <w:rFonts w:ascii="Arial Narrow" w:hAnsi="Arial Narrow"/>
                <w:sz w:val="20"/>
                <w:lang w:val="en-US"/>
              </w:rPr>
              <w:t xml:space="preserve">in the </w:t>
            </w:r>
            <w:r w:rsidRPr="00200C65">
              <w:rPr>
                <w:rFonts w:ascii="Arial Narrow" w:hAnsi="Arial Narrow"/>
                <w:sz w:val="20"/>
                <w:lang w:val="en-US"/>
              </w:rPr>
              <w:t>nivolumab</w:t>
            </w:r>
            <w:r w:rsidR="00CC5819" w:rsidRPr="00200C65">
              <w:rPr>
                <w:rFonts w:ascii="Arial Narrow" w:hAnsi="Arial Narrow"/>
                <w:sz w:val="20"/>
                <w:lang w:val="en-US"/>
              </w:rPr>
              <w:t xml:space="preserve"> arm</w:t>
            </w:r>
            <w:r w:rsidRPr="00200C65">
              <w:rPr>
                <w:rFonts w:ascii="Arial Narrow" w:hAnsi="Arial Narrow"/>
                <w:sz w:val="20"/>
                <w:lang w:val="en-US"/>
              </w:rPr>
              <w:t xml:space="preserve">, log-logistic distribution for PFS </w:t>
            </w:r>
            <w:r w:rsidR="00CC5819" w:rsidRPr="00200C65">
              <w:rPr>
                <w:rFonts w:ascii="Arial Narrow" w:hAnsi="Arial Narrow"/>
                <w:sz w:val="20"/>
                <w:lang w:val="en-US"/>
              </w:rPr>
              <w:t xml:space="preserve">in the </w:t>
            </w:r>
            <w:r w:rsidRPr="00200C65">
              <w:rPr>
                <w:rFonts w:ascii="Arial Narrow" w:hAnsi="Arial Narrow"/>
                <w:sz w:val="20"/>
                <w:lang w:val="en-US"/>
              </w:rPr>
              <w:t xml:space="preserve">docetaxel </w:t>
            </w:r>
            <w:r w:rsidR="00CC5819" w:rsidRPr="00200C65">
              <w:rPr>
                <w:rFonts w:ascii="Arial Narrow" w:hAnsi="Arial Narrow"/>
                <w:sz w:val="20"/>
                <w:lang w:val="en-US"/>
              </w:rPr>
              <w:t xml:space="preserve">arm </w:t>
            </w:r>
            <w:r w:rsidRPr="00200C65">
              <w:rPr>
                <w:rFonts w:ascii="Arial Narrow" w:hAnsi="Arial Narrow"/>
                <w:sz w:val="20"/>
                <w:lang w:val="en-US"/>
              </w:rPr>
              <w:t xml:space="preserve">and Weibull distribution for OS </w:t>
            </w:r>
            <w:r w:rsidR="00CC5819" w:rsidRPr="00200C65">
              <w:rPr>
                <w:rFonts w:ascii="Arial Narrow" w:hAnsi="Arial Narrow"/>
                <w:sz w:val="20"/>
                <w:lang w:val="en-US"/>
              </w:rPr>
              <w:t xml:space="preserve">in the </w:t>
            </w:r>
            <w:r w:rsidRPr="00200C65">
              <w:rPr>
                <w:rFonts w:ascii="Arial Narrow" w:hAnsi="Arial Narrow"/>
                <w:sz w:val="20"/>
                <w:lang w:val="en-US"/>
              </w:rPr>
              <w:t>docetaxel</w:t>
            </w:r>
            <w:r w:rsidR="00CC5819" w:rsidRPr="00200C65">
              <w:rPr>
                <w:rFonts w:ascii="Arial Narrow" w:hAnsi="Arial Narrow"/>
                <w:sz w:val="20"/>
                <w:lang w:val="en-US"/>
              </w:rPr>
              <w:t xml:space="preserve"> arm</w:t>
            </w:r>
            <w:r w:rsidR="00AD0F17" w:rsidRPr="00200C65">
              <w:rPr>
                <w:rFonts w:ascii="Arial Narrow" w:hAnsi="Arial Narrow"/>
                <w:sz w:val="20"/>
                <w:lang w:val="en-US"/>
              </w:rPr>
              <w:t>, a</w:t>
            </w:r>
            <w:r w:rsidR="00CC5819" w:rsidRPr="00200C65">
              <w:rPr>
                <w:rFonts w:ascii="Arial Narrow" w:hAnsi="Arial Narrow"/>
                <w:sz w:val="20"/>
                <w:lang w:val="en-US"/>
              </w:rPr>
              <w:t>ssum</w:t>
            </w:r>
            <w:r w:rsidR="00AD0F17" w:rsidRPr="00200C65">
              <w:rPr>
                <w:rFonts w:ascii="Arial Narrow" w:hAnsi="Arial Narrow"/>
                <w:sz w:val="20"/>
                <w:lang w:val="en-US"/>
              </w:rPr>
              <w:t>ing</w:t>
            </w:r>
            <w:r w:rsidR="00CC5819" w:rsidRPr="00200C65">
              <w:rPr>
                <w:rFonts w:ascii="Arial Narrow" w:hAnsi="Arial Narrow"/>
                <w:sz w:val="20"/>
                <w:lang w:val="en-US"/>
              </w:rPr>
              <w:t xml:space="preserve"> </w:t>
            </w:r>
            <w:r w:rsidRPr="00200C65">
              <w:rPr>
                <w:rFonts w:ascii="Arial Narrow" w:hAnsi="Arial Narrow"/>
                <w:sz w:val="20"/>
                <w:lang w:val="en-US"/>
              </w:rPr>
              <w:t>continued treatment effect</w:t>
            </w:r>
          </w:p>
        </w:tc>
        <w:tc>
          <w:tcPr>
            <w:tcW w:w="1348" w:type="pct"/>
            <w:shd w:val="clear" w:color="auto" w:fill="auto"/>
            <w:vAlign w:val="center"/>
          </w:tcPr>
          <w:p w:rsidR="00144D06" w:rsidRPr="00200C65" w:rsidRDefault="00144D06" w:rsidP="00144D06">
            <w:pPr>
              <w:jc w:val="center"/>
              <w:rPr>
                <w:rFonts w:ascii="Arial Narrow" w:hAnsi="Arial Narrow"/>
                <w:sz w:val="20"/>
                <w:lang w:val="en-US"/>
              </w:rPr>
            </w:pPr>
            <w:r w:rsidRPr="00200C65">
              <w:rPr>
                <w:rFonts w:ascii="Arial Narrow" w:hAnsi="Arial Narrow"/>
                <w:sz w:val="20"/>
                <w:lang w:val="en-US"/>
              </w:rPr>
              <w:t>High, favours nivolumab</w:t>
            </w:r>
          </w:p>
        </w:tc>
      </w:tr>
      <w:tr w:rsidR="00144D06" w:rsidRPr="006C7CD9" w:rsidTr="00144D06">
        <w:tc>
          <w:tcPr>
            <w:tcW w:w="1529" w:type="pct"/>
            <w:shd w:val="clear" w:color="auto" w:fill="auto"/>
            <w:vAlign w:val="center"/>
          </w:tcPr>
          <w:p w:rsidR="00144D06" w:rsidRPr="00200C65" w:rsidRDefault="00144D06" w:rsidP="00144D06">
            <w:pPr>
              <w:jc w:val="left"/>
              <w:rPr>
                <w:rFonts w:ascii="Arial Narrow" w:hAnsi="Arial Narrow"/>
                <w:sz w:val="20"/>
                <w:lang w:val="en-US"/>
              </w:rPr>
            </w:pPr>
            <w:r w:rsidRPr="00200C65">
              <w:rPr>
                <w:rFonts w:ascii="Arial Narrow" w:hAnsi="Arial Narrow"/>
                <w:sz w:val="20"/>
                <w:lang w:val="en-US"/>
              </w:rPr>
              <w:t>Duration of nivolumab treatment</w:t>
            </w:r>
          </w:p>
        </w:tc>
        <w:tc>
          <w:tcPr>
            <w:tcW w:w="2123" w:type="pct"/>
            <w:shd w:val="clear" w:color="auto" w:fill="auto"/>
            <w:vAlign w:val="center"/>
          </w:tcPr>
          <w:p w:rsidR="00144D06" w:rsidRPr="00200C65" w:rsidRDefault="00144D06" w:rsidP="00144D06">
            <w:pPr>
              <w:jc w:val="left"/>
              <w:rPr>
                <w:rFonts w:ascii="Arial Narrow" w:hAnsi="Arial Narrow"/>
                <w:sz w:val="20"/>
                <w:lang w:val="en-US"/>
              </w:rPr>
            </w:pPr>
            <w:r w:rsidRPr="00200C65">
              <w:rPr>
                <w:rFonts w:ascii="Arial Narrow" w:hAnsi="Arial Narrow"/>
                <w:sz w:val="20"/>
                <w:lang w:val="en-US"/>
              </w:rPr>
              <w:t xml:space="preserve">CA209-057 </w:t>
            </w:r>
            <w:r w:rsidR="00967FD7" w:rsidRPr="00200C65">
              <w:rPr>
                <w:rFonts w:ascii="Arial Narrow" w:hAnsi="Arial Narrow"/>
                <w:sz w:val="20"/>
                <w:lang w:val="en-US"/>
              </w:rPr>
              <w:t xml:space="preserve">mean </w:t>
            </w:r>
            <w:r w:rsidRPr="00200C65">
              <w:rPr>
                <w:rFonts w:ascii="Arial Narrow" w:hAnsi="Arial Narrow"/>
                <w:sz w:val="20"/>
                <w:lang w:val="en-US"/>
              </w:rPr>
              <w:t>trial-based treatment duration</w:t>
            </w:r>
            <w:r w:rsidR="00967FD7" w:rsidRPr="00200C65">
              <w:rPr>
                <w:rFonts w:ascii="Arial Narrow" w:hAnsi="Arial Narrow"/>
                <w:sz w:val="20"/>
                <w:lang w:val="en-US"/>
              </w:rPr>
              <w:t xml:space="preserve"> – i.e. truncated with respect to resource use</w:t>
            </w:r>
          </w:p>
        </w:tc>
        <w:tc>
          <w:tcPr>
            <w:tcW w:w="1348" w:type="pct"/>
            <w:shd w:val="clear" w:color="auto" w:fill="auto"/>
            <w:vAlign w:val="center"/>
          </w:tcPr>
          <w:p w:rsidR="00144D06" w:rsidRPr="00200C65" w:rsidRDefault="00144D06" w:rsidP="00144D06">
            <w:pPr>
              <w:jc w:val="center"/>
              <w:rPr>
                <w:rFonts w:ascii="Arial Narrow" w:hAnsi="Arial Narrow"/>
                <w:sz w:val="20"/>
                <w:lang w:val="en-US"/>
              </w:rPr>
            </w:pPr>
            <w:r w:rsidRPr="00200C65">
              <w:rPr>
                <w:rFonts w:ascii="Arial Narrow" w:hAnsi="Arial Narrow"/>
                <w:sz w:val="20"/>
                <w:lang w:val="en-US"/>
              </w:rPr>
              <w:t>High, favours nivolumab</w:t>
            </w:r>
          </w:p>
        </w:tc>
      </w:tr>
      <w:tr w:rsidR="00144D06" w:rsidRPr="006C7CD9" w:rsidTr="00144D06">
        <w:tc>
          <w:tcPr>
            <w:tcW w:w="1529" w:type="pct"/>
            <w:shd w:val="clear" w:color="auto" w:fill="auto"/>
            <w:vAlign w:val="center"/>
          </w:tcPr>
          <w:p w:rsidR="00144D06" w:rsidRPr="00200C65" w:rsidRDefault="00144D06" w:rsidP="00144D06">
            <w:pPr>
              <w:jc w:val="left"/>
              <w:rPr>
                <w:rFonts w:ascii="Arial Narrow" w:hAnsi="Arial Narrow"/>
                <w:sz w:val="20"/>
                <w:lang w:val="en-US"/>
              </w:rPr>
            </w:pPr>
            <w:r w:rsidRPr="00200C65">
              <w:rPr>
                <w:rFonts w:ascii="Arial Narrow" w:hAnsi="Arial Narrow"/>
                <w:sz w:val="20"/>
                <w:lang w:val="en-US"/>
              </w:rPr>
              <w:t>Ongoing disease management costs for progressive disease</w:t>
            </w:r>
          </w:p>
        </w:tc>
        <w:tc>
          <w:tcPr>
            <w:tcW w:w="2123" w:type="pct"/>
            <w:shd w:val="clear" w:color="auto" w:fill="auto"/>
            <w:vAlign w:val="center"/>
          </w:tcPr>
          <w:p w:rsidR="00144D06" w:rsidRPr="00200C65" w:rsidRDefault="00144D06" w:rsidP="00967FD7">
            <w:pPr>
              <w:jc w:val="left"/>
              <w:rPr>
                <w:rFonts w:ascii="Arial Narrow" w:hAnsi="Arial Narrow"/>
                <w:sz w:val="20"/>
                <w:lang w:val="en-US"/>
              </w:rPr>
            </w:pPr>
            <w:r w:rsidRPr="00200C65">
              <w:rPr>
                <w:rFonts w:ascii="Arial Narrow" w:hAnsi="Arial Narrow"/>
                <w:sz w:val="20"/>
                <w:lang w:val="en-US"/>
              </w:rPr>
              <w:t xml:space="preserve">The costs of ongoing disease management post-progression </w:t>
            </w:r>
            <w:r w:rsidR="00967FD7" w:rsidRPr="00200C65">
              <w:rPr>
                <w:rFonts w:ascii="Arial Narrow" w:hAnsi="Arial Narrow"/>
                <w:sz w:val="20"/>
                <w:lang w:val="en-US"/>
              </w:rPr>
              <w:t xml:space="preserve">for years </w:t>
            </w:r>
            <w:r w:rsidRPr="00200C65">
              <w:rPr>
                <w:rFonts w:ascii="Arial Narrow" w:hAnsi="Arial Narrow"/>
                <w:sz w:val="20"/>
                <w:lang w:val="en-US"/>
              </w:rPr>
              <w:t>2-5 and beyond 5 years were assumed to be halved and quartered respectively compared with the costs in the first two years.</w:t>
            </w:r>
          </w:p>
        </w:tc>
        <w:tc>
          <w:tcPr>
            <w:tcW w:w="1348" w:type="pct"/>
            <w:shd w:val="clear" w:color="auto" w:fill="auto"/>
            <w:vAlign w:val="center"/>
          </w:tcPr>
          <w:p w:rsidR="00144D06" w:rsidRPr="00200C65" w:rsidRDefault="00144D06" w:rsidP="00144D06">
            <w:pPr>
              <w:jc w:val="center"/>
              <w:rPr>
                <w:rFonts w:ascii="Arial Narrow" w:hAnsi="Arial Narrow"/>
                <w:sz w:val="20"/>
                <w:lang w:val="en-US"/>
              </w:rPr>
            </w:pPr>
            <w:r w:rsidRPr="00200C65">
              <w:rPr>
                <w:rFonts w:ascii="Arial Narrow" w:hAnsi="Arial Narrow"/>
                <w:sz w:val="20"/>
                <w:lang w:val="en-US"/>
              </w:rPr>
              <w:t>High, favours nivolumab</w:t>
            </w:r>
          </w:p>
        </w:tc>
      </w:tr>
      <w:tr w:rsidR="00144D06" w:rsidRPr="006C7CD9" w:rsidTr="00144D06">
        <w:tc>
          <w:tcPr>
            <w:tcW w:w="1529" w:type="pct"/>
            <w:shd w:val="clear" w:color="auto" w:fill="auto"/>
            <w:vAlign w:val="center"/>
          </w:tcPr>
          <w:p w:rsidR="00144D06" w:rsidRPr="00200C65" w:rsidRDefault="00144D06" w:rsidP="00144D06">
            <w:pPr>
              <w:jc w:val="left"/>
              <w:rPr>
                <w:rFonts w:ascii="Arial Narrow" w:hAnsi="Arial Narrow"/>
                <w:sz w:val="20"/>
                <w:lang w:val="en-US"/>
              </w:rPr>
            </w:pPr>
            <w:r w:rsidRPr="00200C65">
              <w:rPr>
                <w:rFonts w:ascii="Arial Narrow" w:hAnsi="Arial Narrow"/>
                <w:sz w:val="20"/>
                <w:lang w:val="en-US"/>
              </w:rPr>
              <w:t>Time point of extrapolation</w:t>
            </w:r>
          </w:p>
        </w:tc>
        <w:tc>
          <w:tcPr>
            <w:tcW w:w="2123" w:type="pct"/>
            <w:shd w:val="clear" w:color="auto" w:fill="auto"/>
            <w:vAlign w:val="center"/>
          </w:tcPr>
          <w:p w:rsidR="00144D06" w:rsidRPr="00200C65" w:rsidRDefault="00144D06" w:rsidP="00144D06">
            <w:pPr>
              <w:jc w:val="left"/>
              <w:rPr>
                <w:rFonts w:ascii="Arial Narrow" w:hAnsi="Arial Narrow"/>
                <w:sz w:val="20"/>
                <w:lang w:val="en-US"/>
              </w:rPr>
            </w:pPr>
            <w:r w:rsidRPr="00200C65">
              <w:rPr>
                <w:rFonts w:ascii="Arial Narrow" w:hAnsi="Arial Narrow"/>
                <w:sz w:val="20"/>
                <w:lang w:val="en-US"/>
              </w:rPr>
              <w:t>Median time to follow-up</w:t>
            </w:r>
          </w:p>
        </w:tc>
        <w:tc>
          <w:tcPr>
            <w:tcW w:w="1348" w:type="pct"/>
            <w:shd w:val="clear" w:color="auto" w:fill="auto"/>
            <w:vAlign w:val="center"/>
          </w:tcPr>
          <w:p w:rsidR="00144D06" w:rsidRPr="00200C65" w:rsidRDefault="00144D06" w:rsidP="00144D06">
            <w:pPr>
              <w:jc w:val="center"/>
              <w:rPr>
                <w:rFonts w:ascii="Arial Narrow" w:hAnsi="Arial Narrow"/>
                <w:sz w:val="20"/>
                <w:lang w:val="en-US"/>
              </w:rPr>
            </w:pPr>
            <w:r w:rsidRPr="00200C65">
              <w:rPr>
                <w:rFonts w:ascii="Arial Narrow" w:hAnsi="Arial Narrow"/>
                <w:sz w:val="20"/>
                <w:lang w:val="en-US"/>
              </w:rPr>
              <w:t>High, favours nivolumab</w:t>
            </w:r>
          </w:p>
        </w:tc>
      </w:tr>
      <w:tr w:rsidR="00144D06" w:rsidRPr="006C7CD9" w:rsidTr="00144D06">
        <w:tc>
          <w:tcPr>
            <w:tcW w:w="1529" w:type="pct"/>
            <w:shd w:val="clear" w:color="auto" w:fill="auto"/>
            <w:vAlign w:val="center"/>
          </w:tcPr>
          <w:p w:rsidR="00144D06" w:rsidRPr="00200C65" w:rsidRDefault="00144D06" w:rsidP="00144D06">
            <w:pPr>
              <w:jc w:val="left"/>
              <w:rPr>
                <w:rFonts w:ascii="Arial Narrow" w:hAnsi="Arial Narrow"/>
                <w:sz w:val="20"/>
                <w:lang w:val="en-US"/>
              </w:rPr>
            </w:pPr>
            <w:r w:rsidRPr="00200C65">
              <w:rPr>
                <w:rFonts w:ascii="Arial Narrow" w:hAnsi="Arial Narrow"/>
                <w:sz w:val="20"/>
                <w:lang w:val="en-US"/>
              </w:rPr>
              <w:t>Utility value</w:t>
            </w:r>
          </w:p>
        </w:tc>
        <w:tc>
          <w:tcPr>
            <w:tcW w:w="2123" w:type="pct"/>
            <w:shd w:val="clear" w:color="auto" w:fill="auto"/>
            <w:vAlign w:val="center"/>
          </w:tcPr>
          <w:p w:rsidR="00144D06" w:rsidRPr="00200C65" w:rsidRDefault="00144D06" w:rsidP="00144D06">
            <w:pPr>
              <w:jc w:val="left"/>
              <w:rPr>
                <w:rFonts w:ascii="Arial Narrow" w:hAnsi="Arial Narrow"/>
                <w:sz w:val="20"/>
                <w:lang w:val="en-US"/>
              </w:rPr>
            </w:pPr>
            <w:r w:rsidRPr="00200C65">
              <w:rPr>
                <w:rFonts w:ascii="Arial Narrow" w:hAnsi="Arial Narrow"/>
                <w:sz w:val="20"/>
                <w:lang w:val="en-US"/>
              </w:rPr>
              <w:t>CA209-057 trial-based utility data</w:t>
            </w:r>
          </w:p>
        </w:tc>
        <w:tc>
          <w:tcPr>
            <w:tcW w:w="1348" w:type="pct"/>
            <w:shd w:val="clear" w:color="auto" w:fill="auto"/>
            <w:vAlign w:val="center"/>
          </w:tcPr>
          <w:p w:rsidR="00144D06" w:rsidRPr="00200C65" w:rsidRDefault="00144D06" w:rsidP="00144D06">
            <w:pPr>
              <w:jc w:val="center"/>
              <w:rPr>
                <w:rFonts w:ascii="Arial Narrow" w:hAnsi="Arial Narrow"/>
                <w:sz w:val="20"/>
                <w:lang w:val="en-US"/>
              </w:rPr>
            </w:pPr>
            <w:r w:rsidRPr="00200C65">
              <w:rPr>
                <w:rFonts w:ascii="Arial Narrow" w:hAnsi="Arial Narrow"/>
                <w:sz w:val="20"/>
                <w:lang w:val="en-US"/>
              </w:rPr>
              <w:t>Moderate, favours nivolumab</w:t>
            </w:r>
          </w:p>
        </w:tc>
      </w:tr>
      <w:tr w:rsidR="00144D06" w:rsidRPr="006C7CD9" w:rsidTr="00144D06">
        <w:tc>
          <w:tcPr>
            <w:tcW w:w="1529" w:type="pct"/>
            <w:shd w:val="clear" w:color="auto" w:fill="auto"/>
            <w:vAlign w:val="center"/>
          </w:tcPr>
          <w:p w:rsidR="00144D06" w:rsidRPr="00200C65" w:rsidRDefault="00144D06" w:rsidP="00144D06">
            <w:pPr>
              <w:jc w:val="left"/>
              <w:rPr>
                <w:rFonts w:ascii="Arial Narrow" w:hAnsi="Arial Narrow"/>
                <w:sz w:val="20"/>
                <w:lang w:val="en-US"/>
              </w:rPr>
            </w:pPr>
            <w:r w:rsidRPr="00200C65">
              <w:rPr>
                <w:rFonts w:ascii="Arial Narrow" w:hAnsi="Arial Narrow"/>
                <w:sz w:val="20"/>
                <w:lang w:val="en-US"/>
              </w:rPr>
              <w:t>Ongoing disease management costs for pre-progression disease</w:t>
            </w:r>
          </w:p>
        </w:tc>
        <w:tc>
          <w:tcPr>
            <w:tcW w:w="2123" w:type="pct"/>
            <w:shd w:val="clear" w:color="auto" w:fill="auto"/>
            <w:vAlign w:val="center"/>
          </w:tcPr>
          <w:p w:rsidR="00144D06" w:rsidRPr="00200C65" w:rsidRDefault="00144D06" w:rsidP="00F97054">
            <w:pPr>
              <w:jc w:val="left"/>
              <w:rPr>
                <w:rFonts w:ascii="Arial Narrow" w:hAnsi="Arial Narrow"/>
                <w:sz w:val="20"/>
                <w:lang w:val="en-US"/>
              </w:rPr>
            </w:pPr>
            <w:r w:rsidRPr="00200C65">
              <w:rPr>
                <w:rFonts w:ascii="Arial Narrow" w:hAnsi="Arial Narrow"/>
                <w:sz w:val="20"/>
                <w:lang w:val="en-US"/>
              </w:rPr>
              <w:t xml:space="preserve">The submission assumed that during </w:t>
            </w:r>
            <w:r w:rsidR="00967FD7" w:rsidRPr="00200C65">
              <w:rPr>
                <w:rFonts w:ascii="Arial Narrow" w:hAnsi="Arial Narrow"/>
                <w:sz w:val="20"/>
                <w:lang w:val="en-US"/>
              </w:rPr>
              <w:t xml:space="preserve">the </w:t>
            </w:r>
            <w:r w:rsidRPr="00200C65">
              <w:rPr>
                <w:rFonts w:ascii="Arial Narrow" w:hAnsi="Arial Narrow"/>
                <w:sz w:val="20"/>
                <w:lang w:val="en-US"/>
              </w:rPr>
              <w:t xml:space="preserve">pre-progression period, patients treated with nivolumab would require 80% of the </w:t>
            </w:r>
            <w:r w:rsidR="00F97054" w:rsidRPr="00200C65">
              <w:rPr>
                <w:rFonts w:ascii="Arial Narrow" w:hAnsi="Arial Narrow"/>
                <w:sz w:val="20"/>
                <w:lang w:val="en-US"/>
              </w:rPr>
              <w:t xml:space="preserve">disease management </w:t>
            </w:r>
            <w:r w:rsidRPr="00200C65">
              <w:rPr>
                <w:rFonts w:ascii="Arial Narrow" w:hAnsi="Arial Narrow"/>
                <w:sz w:val="20"/>
                <w:lang w:val="en-US"/>
              </w:rPr>
              <w:t>costs of those treated with docetaxel, based on one clinician’s opinion.</w:t>
            </w:r>
          </w:p>
        </w:tc>
        <w:tc>
          <w:tcPr>
            <w:tcW w:w="1348" w:type="pct"/>
            <w:shd w:val="clear" w:color="auto" w:fill="auto"/>
            <w:vAlign w:val="center"/>
          </w:tcPr>
          <w:p w:rsidR="00144D06" w:rsidRPr="00200C65" w:rsidRDefault="00144D06" w:rsidP="00144D06">
            <w:pPr>
              <w:jc w:val="center"/>
              <w:rPr>
                <w:rFonts w:ascii="Arial Narrow" w:hAnsi="Arial Narrow"/>
                <w:sz w:val="20"/>
                <w:lang w:val="en-US"/>
              </w:rPr>
            </w:pPr>
            <w:r w:rsidRPr="00200C65">
              <w:rPr>
                <w:rFonts w:ascii="Arial Narrow" w:hAnsi="Arial Narrow"/>
                <w:sz w:val="20"/>
                <w:lang w:val="en-US"/>
              </w:rPr>
              <w:t>Low, favours nivolumab</w:t>
            </w:r>
          </w:p>
        </w:tc>
      </w:tr>
    </w:tbl>
    <w:p w:rsidR="00144D06" w:rsidRPr="004E6727" w:rsidRDefault="004E6727" w:rsidP="00144D06">
      <w:pPr>
        <w:pStyle w:val="TableFooter"/>
        <w:ind w:firstLine="720"/>
      </w:pPr>
      <w:r w:rsidRPr="004E6727">
        <w:t>PFS=</w:t>
      </w:r>
      <w:r w:rsidR="00144D06" w:rsidRPr="004E6727">
        <w:t xml:space="preserve">progression-free </w:t>
      </w:r>
      <w:r w:rsidRPr="004E6727">
        <w:t>survival; OS=overall survival</w:t>
      </w:r>
    </w:p>
    <w:p w:rsidR="00144D06" w:rsidRPr="004E6727" w:rsidRDefault="00144D06" w:rsidP="00144D06">
      <w:pPr>
        <w:pStyle w:val="TableFooter"/>
        <w:ind w:firstLine="720"/>
      </w:pPr>
      <w:r w:rsidRPr="004E6727">
        <w:t>Source: compiled during the evaluation</w:t>
      </w:r>
      <w:r w:rsidR="004E6727" w:rsidRPr="004E6727">
        <w:t>.</w:t>
      </w:r>
    </w:p>
    <w:p w:rsidR="00144D06" w:rsidRPr="00275C5A" w:rsidRDefault="00144D06" w:rsidP="00144D06">
      <w:pPr>
        <w:widowControl/>
        <w:rPr>
          <w:szCs w:val="22"/>
        </w:rPr>
      </w:pPr>
    </w:p>
    <w:p w:rsidR="00144D06" w:rsidRPr="00AE71BA" w:rsidRDefault="00144D06" w:rsidP="00C61ED5">
      <w:pPr>
        <w:pStyle w:val="ListParagraph"/>
        <w:widowControl/>
        <w:numPr>
          <w:ilvl w:val="1"/>
          <w:numId w:val="2"/>
        </w:numPr>
        <w:rPr>
          <w:szCs w:val="22"/>
        </w:rPr>
      </w:pPr>
      <w:r w:rsidRPr="00AE71BA">
        <w:rPr>
          <w:szCs w:val="22"/>
        </w:rPr>
        <w:t xml:space="preserve">In the base case of the model, the submission used a 10-year time horizon. </w:t>
      </w:r>
      <w:r w:rsidR="004E6727" w:rsidRPr="00AE71BA">
        <w:rPr>
          <w:szCs w:val="22"/>
        </w:rPr>
        <w:t>This wa</w:t>
      </w:r>
      <w:r w:rsidRPr="00AE71BA">
        <w:rPr>
          <w:szCs w:val="22"/>
        </w:rPr>
        <w:t xml:space="preserve">s not reasonable, given that the proposed population is advanced or metastatic non-squamous NSCLC patients who have progressed on first-line treatment. </w:t>
      </w:r>
      <w:r w:rsidR="00F97054" w:rsidRPr="00AE71BA">
        <w:rPr>
          <w:szCs w:val="22"/>
        </w:rPr>
        <w:t>Previous submissions to the PBAC for other NSCLC treatments used a 5-year time horizon.</w:t>
      </w:r>
      <w:r w:rsidR="00211D4E" w:rsidRPr="00AE71BA">
        <w:rPr>
          <w:szCs w:val="22"/>
        </w:rPr>
        <w:t xml:space="preserve"> The PSCR (p.3) maintained that 10 years was an appropriate time horizon, citing data from Gettinger et al (2015). The ESC noted</w:t>
      </w:r>
      <w:r w:rsidR="00D105F5" w:rsidRPr="00AE71BA">
        <w:rPr>
          <w:szCs w:val="22"/>
        </w:rPr>
        <w:t>,</w:t>
      </w:r>
      <w:r w:rsidR="00211D4E" w:rsidRPr="00AE71BA">
        <w:rPr>
          <w:szCs w:val="22"/>
        </w:rPr>
        <w:t xml:space="preserve"> however</w:t>
      </w:r>
      <w:r w:rsidR="00D105F5" w:rsidRPr="00AE71BA">
        <w:rPr>
          <w:szCs w:val="22"/>
        </w:rPr>
        <w:t>,</w:t>
      </w:r>
      <w:r w:rsidR="00211D4E" w:rsidRPr="00AE71BA">
        <w:rPr>
          <w:szCs w:val="22"/>
        </w:rPr>
        <w:t xml:space="preserve"> that the updated 4-year OS rate presented is </w:t>
      </w:r>
      <w:r w:rsidR="003349A8">
        <w:rPr>
          <w:noProof/>
          <w:color w:val="000000"/>
          <w:szCs w:val="22"/>
          <w:highlight w:val="black"/>
        </w:rPr>
        <w:t>''''''</w:t>
      </w:r>
      <w:r w:rsidR="00211D4E" w:rsidRPr="00AE71BA">
        <w:rPr>
          <w:szCs w:val="22"/>
        </w:rPr>
        <w:t>%, and considered t</w:t>
      </w:r>
      <w:r w:rsidR="00D105F5" w:rsidRPr="00AE71BA">
        <w:rPr>
          <w:szCs w:val="22"/>
        </w:rPr>
        <w:t>hat this data would support a 5-year rather than a 10-</w:t>
      </w:r>
      <w:r w:rsidR="00211D4E" w:rsidRPr="00AE71BA">
        <w:rPr>
          <w:szCs w:val="22"/>
        </w:rPr>
        <w:t xml:space="preserve">year time </w:t>
      </w:r>
      <w:r w:rsidR="00D105F5" w:rsidRPr="00AE71BA">
        <w:rPr>
          <w:szCs w:val="22"/>
        </w:rPr>
        <w:t>horizon. The PSCR further stated</w:t>
      </w:r>
      <w:r w:rsidR="00211D4E" w:rsidRPr="00AE71BA">
        <w:rPr>
          <w:szCs w:val="22"/>
        </w:rPr>
        <w:t xml:space="preserve"> that age at entry of patients in CA209-057 ranged between 37 and 8</w:t>
      </w:r>
      <w:r w:rsidR="00A82270">
        <w:rPr>
          <w:szCs w:val="22"/>
        </w:rPr>
        <w:t>5</w:t>
      </w:r>
      <w:r w:rsidR="00211D4E" w:rsidRPr="00AE71BA">
        <w:rPr>
          <w:szCs w:val="22"/>
        </w:rPr>
        <w:t xml:space="preserve"> years of age, and that it was clinically plausible, primarily for the younger patients, to expect a proportion of this cohort to </w:t>
      </w:r>
      <w:r w:rsidR="00D105F5" w:rsidRPr="00AE71BA">
        <w:rPr>
          <w:szCs w:val="22"/>
        </w:rPr>
        <w:t xml:space="preserve">still </w:t>
      </w:r>
      <w:r w:rsidR="00211D4E" w:rsidRPr="00AE71BA">
        <w:rPr>
          <w:szCs w:val="22"/>
        </w:rPr>
        <w:t>be alive at 10 years of follow-up. The ESC considered that younger patients would generally have a poorer prognosis</w:t>
      </w:r>
      <w:r w:rsidR="006E4B1F" w:rsidRPr="00AE71BA">
        <w:rPr>
          <w:szCs w:val="22"/>
        </w:rPr>
        <w:t>,</w:t>
      </w:r>
      <w:r w:rsidR="00211D4E" w:rsidRPr="00AE71BA">
        <w:rPr>
          <w:szCs w:val="22"/>
        </w:rPr>
        <w:t xml:space="preserve"> and </w:t>
      </w:r>
      <w:r w:rsidR="00D105F5" w:rsidRPr="00AE71BA">
        <w:rPr>
          <w:szCs w:val="22"/>
        </w:rPr>
        <w:t>so a 10-</w:t>
      </w:r>
      <w:r w:rsidR="00211D4E" w:rsidRPr="00AE71BA">
        <w:rPr>
          <w:szCs w:val="22"/>
        </w:rPr>
        <w:t>year time horizon would not be appropriate.</w:t>
      </w:r>
    </w:p>
    <w:p w:rsidR="00144D06" w:rsidRPr="00AE71BA" w:rsidRDefault="00144D06" w:rsidP="00144D06">
      <w:pPr>
        <w:widowControl/>
        <w:rPr>
          <w:szCs w:val="22"/>
        </w:rPr>
      </w:pPr>
    </w:p>
    <w:p w:rsidR="00144D06" w:rsidRPr="00AE71BA" w:rsidRDefault="00144D06" w:rsidP="00C61ED5">
      <w:pPr>
        <w:pStyle w:val="ListParagraph"/>
        <w:widowControl/>
        <w:numPr>
          <w:ilvl w:val="1"/>
          <w:numId w:val="2"/>
        </w:numPr>
        <w:rPr>
          <w:szCs w:val="22"/>
        </w:rPr>
      </w:pPr>
      <w:r w:rsidRPr="00AE71BA">
        <w:rPr>
          <w:szCs w:val="22"/>
        </w:rPr>
        <w:t>The submission used three methods to deriv</w:t>
      </w:r>
      <w:r w:rsidR="00100001" w:rsidRPr="00AE71BA">
        <w:rPr>
          <w:szCs w:val="22"/>
        </w:rPr>
        <w:t>e</w:t>
      </w:r>
      <w:r w:rsidRPr="00AE71BA">
        <w:rPr>
          <w:szCs w:val="22"/>
        </w:rPr>
        <w:t xml:space="preserve"> the time point from which to extrapolate the Kaplan-Meier OS and PFS curves of the CA209-057 trial. In the base case of the model, the submission used median time to follow-up based on the reverse Kaplan-Meier methodology (Schemper and Smith 1996, provided in the submission). Median duration of follow-up and the end of available Kaplan-Meier curves wer</w:t>
      </w:r>
      <w:r w:rsidR="004E6727" w:rsidRPr="00AE71BA">
        <w:rPr>
          <w:szCs w:val="22"/>
        </w:rPr>
        <w:t>e used in sensitivity analyses.</w:t>
      </w:r>
    </w:p>
    <w:p w:rsidR="00144D06" w:rsidRPr="00AE71BA" w:rsidRDefault="00144D06" w:rsidP="00144D06">
      <w:pPr>
        <w:rPr>
          <w:szCs w:val="22"/>
        </w:rPr>
      </w:pPr>
    </w:p>
    <w:p w:rsidR="00144D06" w:rsidRPr="00AE71BA" w:rsidRDefault="00144D06" w:rsidP="001C516C">
      <w:pPr>
        <w:pStyle w:val="ListParagraph"/>
        <w:widowControl/>
        <w:numPr>
          <w:ilvl w:val="1"/>
          <w:numId w:val="2"/>
        </w:numPr>
        <w:rPr>
          <w:szCs w:val="22"/>
        </w:rPr>
      </w:pPr>
      <w:r w:rsidRPr="00AE71BA">
        <w:t xml:space="preserve">The submission </w:t>
      </w:r>
      <w:r w:rsidR="004E6727" w:rsidRPr="00AE71BA">
        <w:t>chose</w:t>
      </w:r>
      <w:r w:rsidRPr="00AE71BA">
        <w:t xml:space="preserve"> the log-logistic parametric distributions for extrapolation of both OS and PFS of nivolumab, log-logistic curve for docetaxel PFS and Weibull parametric distribution for docetaxel OS. The submission stated that these selections were based on both face validity and goodness of fit statistics. There </w:t>
      </w:r>
      <w:r w:rsidR="004E6727" w:rsidRPr="00AE71BA">
        <w:t>wa</w:t>
      </w:r>
      <w:r w:rsidRPr="00AE71BA">
        <w:t xml:space="preserve">s minimal difference in Akaike’s Information Criterion (AIC) values between </w:t>
      </w:r>
      <w:r w:rsidR="00123AEA" w:rsidRPr="00AE71BA">
        <w:t>l</w:t>
      </w:r>
      <w:r w:rsidRPr="00AE71BA">
        <w:t xml:space="preserve">og-logistic and Weibull models, with AIC for </w:t>
      </w:r>
      <w:r w:rsidR="004E6727" w:rsidRPr="00AE71BA">
        <w:t>l</w:t>
      </w:r>
      <w:r w:rsidRPr="00AE71BA">
        <w:t xml:space="preserve">og-logistic model being slightly lower than that for Weibull model. Visual inspection of the curves indicates that the extrapolation using </w:t>
      </w:r>
      <w:r w:rsidR="004E6727" w:rsidRPr="00AE71BA">
        <w:t>l</w:t>
      </w:r>
      <w:r w:rsidRPr="00AE71BA">
        <w:t xml:space="preserve">og-logistic models is more optimistic in predicting OS than that using Weibull model for both treatment arms. The selection of </w:t>
      </w:r>
      <w:r w:rsidR="00693132" w:rsidRPr="00AE71BA">
        <w:t xml:space="preserve">a </w:t>
      </w:r>
      <w:r w:rsidRPr="00AE71BA">
        <w:t xml:space="preserve">log-logistic model for OS in the nivolumab arm and </w:t>
      </w:r>
      <w:r w:rsidR="00693132" w:rsidRPr="00AE71BA">
        <w:t xml:space="preserve">a </w:t>
      </w:r>
      <w:r w:rsidRPr="00AE71BA">
        <w:t>Weibull model in the docetaxel arm resulted in a more favourable OS prediction in the nivolumab arm</w:t>
      </w:r>
      <w:r w:rsidR="004E6727" w:rsidRPr="00AE71BA">
        <w:t>,</w:t>
      </w:r>
      <w:r w:rsidRPr="00AE71BA">
        <w:t xml:space="preserve"> but a less favourable prediction in the docetaxel arm. Therefore the </w:t>
      </w:r>
      <w:r w:rsidR="004B56A4" w:rsidRPr="00AE71BA">
        <w:t>incremental cost-effectiveness ratio (</w:t>
      </w:r>
      <w:r w:rsidRPr="00AE71BA">
        <w:t>ICER</w:t>
      </w:r>
      <w:r w:rsidR="004B56A4" w:rsidRPr="00AE71BA">
        <w:t>)</w:t>
      </w:r>
      <w:r w:rsidRPr="00AE71BA">
        <w:t xml:space="preserve"> </w:t>
      </w:r>
      <w:r w:rsidR="00123AEA" w:rsidRPr="00AE71BA">
        <w:t>w</w:t>
      </w:r>
      <w:r w:rsidRPr="00AE71BA">
        <w:t>as biased favouring nivolumab.</w:t>
      </w:r>
      <w:r w:rsidR="001358EE" w:rsidRPr="00AE71BA">
        <w:t xml:space="preserve"> The PSCR (p.4) ma</w:t>
      </w:r>
      <w:r w:rsidR="00D105F5" w:rsidRPr="00AE71BA">
        <w:t>intained that the log-logistic function wa</w:t>
      </w:r>
      <w:r w:rsidR="001358EE" w:rsidRPr="00AE71BA">
        <w:t xml:space="preserve">s the most appropriate. The ESC considered that the selection of the log-logistic function for nivolumab (most favourable to nivolumab) and </w:t>
      </w:r>
      <w:r w:rsidR="00D105F5" w:rsidRPr="00AE71BA">
        <w:t xml:space="preserve">the </w:t>
      </w:r>
      <w:r w:rsidR="001358EE" w:rsidRPr="00AE71BA">
        <w:t xml:space="preserve">Weibull </w:t>
      </w:r>
      <w:r w:rsidR="00D105F5" w:rsidRPr="00AE71BA">
        <w:t xml:space="preserve">function for </w:t>
      </w:r>
      <w:r w:rsidR="001358EE" w:rsidRPr="00AE71BA">
        <w:t>docetaxel (least favourable to docetaxel), overestimated the increment</w:t>
      </w:r>
      <w:r w:rsidR="00D105F5" w:rsidRPr="00AE71BA">
        <w:t>s for both</w:t>
      </w:r>
      <w:r w:rsidR="001358EE" w:rsidRPr="00AE71BA">
        <w:t xml:space="preserve"> PFS and OS.</w:t>
      </w:r>
      <w:r w:rsidR="001C516C">
        <w:t xml:space="preserve"> The Pre-PBAC Response (p.3) acknowledged the sensitivity of the modelled economic evaluation to the parametric functions, however argued that “t</w:t>
      </w:r>
      <w:r w:rsidR="001C516C" w:rsidRPr="001C516C">
        <w:t>he log-logistic OS curve predicts 23% of patients will still be alive at 3 years, whereas the Weibull OS curve predicts 2.4% of patients will be alive at 3 years. Results from CA209-003, which reported data specific to non-squamous NSCLC patients demonstrated that 24% of patients are still alive at 3 years – thereby illustrating that application of the log-logistic function is clinically appropriate.</w:t>
      </w:r>
      <w:r w:rsidR="001C516C">
        <w:t>”</w:t>
      </w:r>
    </w:p>
    <w:p w:rsidR="00144D06" w:rsidRDefault="00144D06" w:rsidP="00144D06">
      <w:pPr>
        <w:rPr>
          <w:szCs w:val="22"/>
        </w:rPr>
      </w:pPr>
    </w:p>
    <w:p w:rsidR="008F2AD7" w:rsidRPr="00C0126B" w:rsidRDefault="008F2AD7" w:rsidP="001E5EBD">
      <w:pPr>
        <w:keepNext/>
        <w:ind w:firstLine="720"/>
        <w:rPr>
          <w:szCs w:val="22"/>
        </w:rPr>
      </w:pPr>
      <w:r w:rsidRPr="00C0126B">
        <w:rPr>
          <w:rFonts w:ascii="Arial Narrow" w:hAnsi="Arial Narrow"/>
          <w:b/>
          <w:sz w:val="20"/>
        </w:rPr>
        <w:t xml:space="preserve">Figure </w:t>
      </w:r>
      <w:r w:rsidR="008944E8" w:rsidRPr="00C0126B">
        <w:rPr>
          <w:rFonts w:ascii="Arial Narrow" w:hAnsi="Arial Narrow"/>
          <w:b/>
          <w:sz w:val="20"/>
        </w:rPr>
        <w:t>5</w:t>
      </w:r>
      <w:r w:rsidRPr="00C0126B">
        <w:rPr>
          <w:rFonts w:ascii="Arial Narrow" w:hAnsi="Arial Narrow"/>
          <w:b/>
          <w:sz w:val="20"/>
        </w:rPr>
        <w:t>: Overall survival extrapolation models</w:t>
      </w:r>
    </w:p>
    <w:p w:rsidR="008F2AD7" w:rsidRPr="003349A8" w:rsidRDefault="003349A8" w:rsidP="008F2AD7">
      <w:pPr>
        <w:ind w:firstLine="709"/>
        <w:rPr>
          <w:szCs w:val="22"/>
        </w:rPr>
      </w:pPr>
      <w:r>
        <w:rPr>
          <w:noProof/>
          <w:snapToGrid/>
          <w:szCs w:val="22"/>
          <w:lang w:eastAsia="en-AU"/>
        </w:rPr>
        <w:drawing>
          <wp:inline distT="0" distB="0" distL="0" distR="0" wp14:anchorId="7E355DE0" wp14:editId="605F6477">
            <wp:extent cx="5235575" cy="2414905"/>
            <wp:effectExtent l="0" t="0" r="3175" b="4445"/>
            <wp:docPr id="2" name="Picture 2" title="Figure 5: Overall survival extrapolation model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35575" cy="2414905"/>
                    </a:xfrm>
                    <a:prstGeom prst="rect">
                      <a:avLst/>
                    </a:prstGeom>
                  </pic:spPr>
                </pic:pic>
              </a:graphicData>
            </a:graphic>
          </wp:inline>
        </w:drawing>
      </w:r>
    </w:p>
    <w:p w:rsidR="008F2AD7" w:rsidRPr="00B27B2A" w:rsidRDefault="008F2AD7" w:rsidP="008F2AD7">
      <w:pPr>
        <w:ind w:firstLine="709"/>
        <w:rPr>
          <w:rFonts w:ascii="Arial Narrow" w:hAnsi="Arial Narrow"/>
          <w:sz w:val="18"/>
        </w:rPr>
      </w:pPr>
      <w:r w:rsidRPr="00B27B2A">
        <w:rPr>
          <w:rFonts w:ascii="Arial Narrow" w:hAnsi="Arial Narrow"/>
          <w:sz w:val="18"/>
        </w:rPr>
        <w:t>Source: Figure 24, Section C.3.3 of the submission.</w:t>
      </w:r>
    </w:p>
    <w:p w:rsidR="008F2AD7" w:rsidRDefault="008F2AD7" w:rsidP="00144D06">
      <w:pPr>
        <w:rPr>
          <w:szCs w:val="22"/>
        </w:rPr>
      </w:pPr>
    </w:p>
    <w:p w:rsidR="008F2AD7" w:rsidRPr="00C0126B" w:rsidRDefault="008F2AD7" w:rsidP="001E5EBD">
      <w:pPr>
        <w:keepNext/>
        <w:ind w:firstLine="709"/>
        <w:rPr>
          <w:szCs w:val="22"/>
        </w:rPr>
      </w:pPr>
      <w:r w:rsidRPr="00C0126B">
        <w:rPr>
          <w:rFonts w:ascii="Arial Narrow" w:hAnsi="Arial Narrow"/>
          <w:b/>
          <w:sz w:val="20"/>
        </w:rPr>
        <w:lastRenderedPageBreak/>
        <w:t xml:space="preserve">Figure </w:t>
      </w:r>
      <w:r w:rsidR="008944E8" w:rsidRPr="00C0126B">
        <w:rPr>
          <w:rFonts w:ascii="Arial Narrow" w:hAnsi="Arial Narrow"/>
          <w:b/>
          <w:sz w:val="20"/>
        </w:rPr>
        <w:t>6</w:t>
      </w:r>
      <w:r w:rsidRPr="00C0126B">
        <w:rPr>
          <w:rFonts w:ascii="Arial Narrow" w:hAnsi="Arial Narrow"/>
          <w:b/>
          <w:sz w:val="20"/>
        </w:rPr>
        <w:t>: Progression</w:t>
      </w:r>
      <w:r w:rsidR="009A3FB5" w:rsidRPr="00C0126B">
        <w:rPr>
          <w:rFonts w:ascii="Arial Narrow" w:hAnsi="Arial Narrow"/>
          <w:b/>
          <w:sz w:val="20"/>
        </w:rPr>
        <w:t>-</w:t>
      </w:r>
      <w:r w:rsidRPr="00C0126B">
        <w:rPr>
          <w:rFonts w:ascii="Arial Narrow" w:hAnsi="Arial Narrow"/>
          <w:b/>
          <w:sz w:val="20"/>
        </w:rPr>
        <w:t>free survival extrapolation models</w:t>
      </w:r>
    </w:p>
    <w:p w:rsidR="008F2AD7" w:rsidRPr="003349A8" w:rsidRDefault="003349A8" w:rsidP="008F2AD7">
      <w:pPr>
        <w:ind w:firstLine="709"/>
        <w:rPr>
          <w:szCs w:val="22"/>
        </w:rPr>
      </w:pPr>
      <w:r>
        <w:rPr>
          <w:noProof/>
          <w:snapToGrid/>
          <w:szCs w:val="22"/>
          <w:lang w:eastAsia="en-AU"/>
        </w:rPr>
        <w:drawing>
          <wp:inline distT="0" distB="0" distL="0" distR="0" wp14:anchorId="469E2071" wp14:editId="3B4F6884">
            <wp:extent cx="5270500" cy="2842260"/>
            <wp:effectExtent l="0" t="0" r="6350" b="0"/>
            <wp:docPr id="1" name="Picture 1" title="Figure 6: Progression-free survival extrapolation model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0500" cy="2842260"/>
                    </a:xfrm>
                    <a:prstGeom prst="rect">
                      <a:avLst/>
                    </a:prstGeom>
                  </pic:spPr>
                </pic:pic>
              </a:graphicData>
            </a:graphic>
          </wp:inline>
        </w:drawing>
      </w:r>
    </w:p>
    <w:p w:rsidR="008F2AD7" w:rsidRPr="00B27B2A" w:rsidRDefault="008F2AD7" w:rsidP="008F2AD7">
      <w:pPr>
        <w:ind w:firstLine="709"/>
        <w:rPr>
          <w:rFonts w:ascii="Arial Narrow" w:hAnsi="Arial Narrow"/>
          <w:sz w:val="18"/>
        </w:rPr>
      </w:pPr>
      <w:r w:rsidRPr="00B27B2A">
        <w:rPr>
          <w:rFonts w:ascii="Arial Narrow" w:hAnsi="Arial Narrow"/>
          <w:sz w:val="18"/>
        </w:rPr>
        <w:t>Source: Figure 25, Section C.3.3 of the submission.</w:t>
      </w:r>
    </w:p>
    <w:p w:rsidR="008F2AD7" w:rsidRPr="004E6727" w:rsidRDefault="008F2AD7" w:rsidP="00144D06">
      <w:pPr>
        <w:rPr>
          <w:szCs w:val="22"/>
        </w:rPr>
      </w:pPr>
    </w:p>
    <w:p w:rsidR="00144D06" w:rsidRPr="00AE71BA" w:rsidRDefault="00144D06" w:rsidP="00C61ED5">
      <w:pPr>
        <w:pStyle w:val="ListParagraph"/>
        <w:widowControl/>
        <w:numPr>
          <w:ilvl w:val="1"/>
          <w:numId w:val="2"/>
        </w:numPr>
        <w:rPr>
          <w:szCs w:val="22"/>
        </w:rPr>
      </w:pPr>
      <w:r w:rsidRPr="00AE71BA">
        <w:rPr>
          <w:szCs w:val="22"/>
        </w:rPr>
        <w:t>The model assumed that, after the truncation point, the PFS and OS curves would follow the chosen parametric functions continually until the end of the model.</w:t>
      </w:r>
      <w:r w:rsidR="00123AEA" w:rsidRPr="00AE71BA">
        <w:rPr>
          <w:szCs w:val="22"/>
        </w:rPr>
        <w:t xml:space="preserve"> This wa</w:t>
      </w:r>
      <w:r w:rsidRPr="00AE71BA">
        <w:rPr>
          <w:szCs w:val="22"/>
        </w:rPr>
        <w:t xml:space="preserve">s not reasonable in the absence of robust long term survival data from the patients treated with nivolumab. </w:t>
      </w:r>
      <w:r w:rsidR="00693132" w:rsidRPr="00AE71BA">
        <w:rPr>
          <w:szCs w:val="22"/>
        </w:rPr>
        <w:t>The submission should have provided a conservative modelling approach assuming the two OS curves converging within the time horizon.</w:t>
      </w:r>
      <w:r w:rsidR="00125717" w:rsidRPr="00AE71BA">
        <w:rPr>
          <w:szCs w:val="22"/>
        </w:rPr>
        <w:t xml:space="preserve"> The PSCR (p.4)</w:t>
      </w:r>
      <w:r w:rsidR="00D105F5" w:rsidRPr="00AE71BA">
        <w:rPr>
          <w:szCs w:val="22"/>
        </w:rPr>
        <w:t xml:space="preserve"> claimed that ‘</w:t>
      </w:r>
      <w:r w:rsidR="00125717" w:rsidRPr="00AE71BA">
        <w:rPr>
          <w:szCs w:val="22"/>
        </w:rPr>
        <w:t>the durable survival associated with nivolumab as reflected in the survival curve as “flattening” does not favour this approach</w:t>
      </w:r>
      <w:r w:rsidR="00D105F5" w:rsidRPr="00AE71BA">
        <w:rPr>
          <w:szCs w:val="22"/>
        </w:rPr>
        <w:t>’</w:t>
      </w:r>
      <w:r w:rsidR="00125717" w:rsidRPr="00AE71BA">
        <w:rPr>
          <w:szCs w:val="22"/>
        </w:rPr>
        <w:t>. The ESC considered the base case assumption to be implausible, particularly when combined with the 10</w:t>
      </w:r>
      <w:r w:rsidR="00D105F5" w:rsidRPr="00AE71BA">
        <w:rPr>
          <w:szCs w:val="22"/>
        </w:rPr>
        <w:t>-</w:t>
      </w:r>
      <w:r w:rsidR="00125717" w:rsidRPr="00AE71BA">
        <w:rPr>
          <w:szCs w:val="22"/>
        </w:rPr>
        <w:t xml:space="preserve">year </w:t>
      </w:r>
      <w:r w:rsidR="00D105F5" w:rsidRPr="00AE71BA">
        <w:rPr>
          <w:szCs w:val="22"/>
        </w:rPr>
        <w:t xml:space="preserve">time </w:t>
      </w:r>
      <w:r w:rsidR="00125717" w:rsidRPr="00AE71BA">
        <w:rPr>
          <w:szCs w:val="22"/>
        </w:rPr>
        <w:t>horizon.</w:t>
      </w:r>
    </w:p>
    <w:p w:rsidR="00144D06" w:rsidRPr="00AE71BA" w:rsidRDefault="00144D06" w:rsidP="00144D06">
      <w:pPr>
        <w:rPr>
          <w:szCs w:val="22"/>
        </w:rPr>
      </w:pPr>
    </w:p>
    <w:p w:rsidR="00144D06" w:rsidRPr="00AE71BA" w:rsidRDefault="00144D06" w:rsidP="00C61ED5">
      <w:pPr>
        <w:pStyle w:val="ListParagraph"/>
        <w:widowControl/>
        <w:numPr>
          <w:ilvl w:val="1"/>
          <w:numId w:val="2"/>
        </w:numPr>
        <w:rPr>
          <w:szCs w:val="22"/>
        </w:rPr>
      </w:pPr>
      <w:r w:rsidRPr="00AE71BA">
        <w:rPr>
          <w:szCs w:val="22"/>
        </w:rPr>
        <w:t xml:space="preserve">Utilities were derived from CA209-057. </w:t>
      </w:r>
      <w:r w:rsidRPr="00AE71BA">
        <w:t xml:space="preserve">The sample of respondents to the </w:t>
      </w:r>
      <w:r w:rsidR="00572163" w:rsidRPr="00AE71BA">
        <w:t>European quality of life 5-dimensions 3-levels (</w:t>
      </w:r>
      <w:r w:rsidRPr="00AE71BA">
        <w:t>EQ-5D-3L</w:t>
      </w:r>
      <w:r w:rsidR="00572163" w:rsidRPr="00AE71BA">
        <w:t>)</w:t>
      </w:r>
      <w:r w:rsidRPr="00AE71BA">
        <w:t xml:space="preserve"> questionnaires </w:t>
      </w:r>
      <w:r w:rsidR="00123AEA" w:rsidRPr="00AE71BA">
        <w:t>wa</w:t>
      </w:r>
      <w:r w:rsidRPr="00AE71BA">
        <w:t>s small, especially at the later stage</w:t>
      </w:r>
      <w:r w:rsidR="00123AEA" w:rsidRPr="00AE71BA">
        <w:t>s</w:t>
      </w:r>
      <w:r w:rsidRPr="00AE71BA">
        <w:t xml:space="preserve"> of the trial. </w:t>
      </w:r>
      <w:r w:rsidR="00D05669" w:rsidRPr="00AE71BA">
        <w:t>The effect of a healthier cohort providing quality of life data (and sicker patients not responding)</w:t>
      </w:r>
      <w:r w:rsidR="00572163" w:rsidRPr="00AE71BA">
        <w:t xml:space="preserve"> may </w:t>
      </w:r>
      <w:r w:rsidR="00D05669" w:rsidRPr="00AE71BA">
        <w:t xml:space="preserve">be present and </w:t>
      </w:r>
      <w:r w:rsidRPr="00AE71BA">
        <w:t>the utility</w:t>
      </w:r>
      <w:r w:rsidR="00572163" w:rsidRPr="00AE71BA">
        <w:t xml:space="preserve"> values, </w:t>
      </w:r>
      <w:r w:rsidRPr="00AE71BA">
        <w:t xml:space="preserve">particularly for progressive disease, </w:t>
      </w:r>
      <w:r w:rsidR="00D05669" w:rsidRPr="00AE71BA">
        <w:t xml:space="preserve">may be </w:t>
      </w:r>
      <w:r w:rsidRPr="00AE71BA">
        <w:t>overestimated.</w:t>
      </w:r>
    </w:p>
    <w:p w:rsidR="00144D06" w:rsidRPr="00AE71BA" w:rsidRDefault="00144D06" w:rsidP="00144D06">
      <w:pPr>
        <w:rPr>
          <w:szCs w:val="22"/>
        </w:rPr>
      </w:pPr>
    </w:p>
    <w:p w:rsidR="00144D06" w:rsidRPr="00AE71BA" w:rsidRDefault="00144D06" w:rsidP="00C61ED5">
      <w:pPr>
        <w:pStyle w:val="ListParagraph"/>
        <w:widowControl/>
        <w:numPr>
          <w:ilvl w:val="1"/>
          <w:numId w:val="2"/>
        </w:numPr>
        <w:rPr>
          <w:szCs w:val="22"/>
        </w:rPr>
      </w:pPr>
      <w:r w:rsidRPr="00AE71BA">
        <w:rPr>
          <w:szCs w:val="22"/>
        </w:rPr>
        <w:t xml:space="preserve">Ongoing disease management costs were obtained from a Health Resource Utilisation (HRU) survey of 15 oncologists. </w:t>
      </w:r>
      <w:r w:rsidRPr="00AE71BA">
        <w:t xml:space="preserve">The response rate was low (7/15 = 46.7%). Therefore the representativeness of the responses </w:t>
      </w:r>
      <w:r w:rsidR="008443B7" w:rsidRPr="00AE71BA">
        <w:t>wa</w:t>
      </w:r>
      <w:r w:rsidRPr="00AE71BA">
        <w:t xml:space="preserve">s </w:t>
      </w:r>
      <w:r w:rsidR="008443B7" w:rsidRPr="00AE71BA">
        <w:t>uncertain</w:t>
      </w:r>
      <w:r w:rsidRPr="00AE71BA">
        <w:t xml:space="preserve">. In the base case of the model, </w:t>
      </w:r>
      <w:r w:rsidR="00700381" w:rsidRPr="00AE71BA">
        <w:t xml:space="preserve">based on one clinician’s opinion, </w:t>
      </w:r>
      <w:r w:rsidRPr="00AE71BA">
        <w:t xml:space="preserve">the submission assumed that during </w:t>
      </w:r>
      <w:r w:rsidR="00700381" w:rsidRPr="00AE71BA">
        <w:t xml:space="preserve">the </w:t>
      </w:r>
      <w:r w:rsidRPr="00AE71BA">
        <w:t xml:space="preserve">pre-progression period, patients treated with nivolumab would </w:t>
      </w:r>
      <w:r w:rsidR="00700381" w:rsidRPr="00AE71BA">
        <w:t xml:space="preserve">only use </w:t>
      </w:r>
      <w:r w:rsidRPr="00AE71BA">
        <w:t>80% of the costs of health care resources of those treated with docetaxel, on the ground</w:t>
      </w:r>
      <w:r w:rsidR="008443B7" w:rsidRPr="00AE71BA">
        <w:t>s</w:t>
      </w:r>
      <w:r w:rsidRPr="00AE71BA">
        <w:t xml:space="preserve"> of nivolumab’s </w:t>
      </w:r>
      <w:r w:rsidR="00700381" w:rsidRPr="00AE71BA">
        <w:t xml:space="preserve">better </w:t>
      </w:r>
      <w:r w:rsidRPr="00AE71BA">
        <w:t>tolerability.</w:t>
      </w:r>
      <w:r w:rsidR="00CF1061" w:rsidRPr="00AE71BA">
        <w:t xml:space="preserve"> The ESC agreed that</w:t>
      </w:r>
      <w:r w:rsidRPr="00AE71BA">
        <w:t xml:space="preserve"> </w:t>
      </w:r>
      <w:r w:rsidR="00CF1061" w:rsidRPr="00AE71BA">
        <w:t>r</w:t>
      </w:r>
      <w:r w:rsidRPr="00AE71BA">
        <w:t>elying on only one clinician’s opinion in deciding the pre-progression res</w:t>
      </w:r>
      <w:r w:rsidR="008443B7" w:rsidRPr="00AE71BA">
        <w:t>ource use in the nivolumab arm was inappropriate and biased</w:t>
      </w:r>
      <w:r w:rsidRPr="00AE71BA">
        <w:t xml:space="preserve"> the result of economic model in favour of nivolumab, although the impact on the ICER </w:t>
      </w:r>
      <w:r w:rsidR="008443B7" w:rsidRPr="00AE71BA">
        <w:t>wa</w:t>
      </w:r>
      <w:r w:rsidRPr="00AE71BA">
        <w:t>s low.</w:t>
      </w:r>
    </w:p>
    <w:p w:rsidR="00144D06" w:rsidRPr="00AE71BA" w:rsidRDefault="00144D06" w:rsidP="00144D06"/>
    <w:p w:rsidR="00144D06" w:rsidRPr="00AE71BA" w:rsidRDefault="00144D06" w:rsidP="00C61ED5">
      <w:pPr>
        <w:pStyle w:val="ListParagraph"/>
        <w:widowControl/>
        <w:numPr>
          <w:ilvl w:val="1"/>
          <w:numId w:val="2"/>
        </w:numPr>
        <w:rPr>
          <w:szCs w:val="22"/>
        </w:rPr>
      </w:pPr>
      <w:r w:rsidRPr="00AE71BA">
        <w:t xml:space="preserve">The submission also </w:t>
      </w:r>
      <w:r w:rsidR="00902499" w:rsidRPr="00AE71BA">
        <w:t xml:space="preserve">made arbitrary assumptions regarding pre-progression and post-progression resource use. The submission </w:t>
      </w:r>
      <w:r w:rsidR="008443B7" w:rsidRPr="00AE71BA">
        <w:t>assumed</w:t>
      </w:r>
      <w:r w:rsidRPr="00AE71BA">
        <w:t xml:space="preserve"> that</w:t>
      </w:r>
      <w:r w:rsidR="004B56A4" w:rsidRPr="00AE71BA">
        <w:t>,</w:t>
      </w:r>
      <w:r w:rsidRPr="00AE71BA">
        <w:t xml:space="preserve"> during </w:t>
      </w:r>
      <w:r w:rsidR="00700381" w:rsidRPr="00AE71BA">
        <w:t xml:space="preserve">the </w:t>
      </w:r>
      <w:r w:rsidRPr="00AE71BA">
        <w:t xml:space="preserve">post-progression period, the resource use generated from survey results </w:t>
      </w:r>
      <w:r w:rsidR="00700381" w:rsidRPr="00AE71BA">
        <w:t>was</w:t>
      </w:r>
      <w:r w:rsidRPr="00AE71BA">
        <w:t xml:space="preserve"> only </w:t>
      </w:r>
      <w:r w:rsidRPr="00AE71BA">
        <w:lastRenderedPageBreak/>
        <w:t xml:space="preserve">applicable to the first two years. </w:t>
      </w:r>
      <w:r w:rsidR="00700381" w:rsidRPr="00AE71BA">
        <w:t>In years</w:t>
      </w:r>
      <w:r w:rsidRPr="00AE71BA">
        <w:t xml:space="preserve"> </w:t>
      </w:r>
      <w:r w:rsidR="008443B7" w:rsidRPr="00AE71BA">
        <w:t>2-5 post-progression, the cost wa</w:t>
      </w:r>
      <w:r w:rsidRPr="00AE71BA">
        <w:t xml:space="preserve">s halved and beyond 5 years, the cost </w:t>
      </w:r>
      <w:r w:rsidR="008443B7" w:rsidRPr="00AE71BA">
        <w:t>wa</w:t>
      </w:r>
      <w:r w:rsidRPr="00AE71BA">
        <w:t>s quartered. In the economic model, since patients treated with nivolumab ha</w:t>
      </w:r>
      <w:r w:rsidR="00D97D37" w:rsidRPr="00AE71BA">
        <w:t>d</w:t>
      </w:r>
      <w:r w:rsidRPr="00AE71BA">
        <w:t xml:space="preserve"> a longer post-progression survival than those treated with docetaxel, </w:t>
      </w:r>
      <w:r w:rsidR="00D97D37" w:rsidRPr="00AE71BA">
        <w:t xml:space="preserve">the </w:t>
      </w:r>
      <w:r w:rsidRPr="00AE71BA">
        <w:t>reduc</w:t>
      </w:r>
      <w:r w:rsidR="00D97D37" w:rsidRPr="00AE71BA">
        <w:t>ed</w:t>
      </w:r>
      <w:r w:rsidRPr="00AE71BA">
        <w:t xml:space="preserve"> cost</w:t>
      </w:r>
      <w:r w:rsidR="00700381" w:rsidRPr="00AE71BA">
        <w:t>s</w:t>
      </w:r>
      <w:r w:rsidRPr="00AE71BA">
        <w:t xml:space="preserve"> for long-term survivors favoured the nivolumab arm.</w:t>
      </w:r>
      <w:r w:rsidR="00902499" w:rsidRPr="00AE71BA">
        <w:t xml:space="preserve"> The PSCR (p.5) cited follow-up after cancer treatment fact-sheets to argue that patients require less frequent follow-up over time, however the ESC considered </w:t>
      </w:r>
      <w:r w:rsidR="003377F7" w:rsidRPr="00AE71BA">
        <w:t xml:space="preserve">that </w:t>
      </w:r>
      <w:r w:rsidR="00902499" w:rsidRPr="00AE71BA">
        <w:t xml:space="preserve">these patients </w:t>
      </w:r>
      <w:r w:rsidR="00D105F5" w:rsidRPr="00AE71BA">
        <w:t>would be</w:t>
      </w:r>
      <w:r w:rsidR="00902499" w:rsidRPr="00AE71BA">
        <w:t xml:space="preserve"> disease</w:t>
      </w:r>
      <w:r w:rsidR="00D105F5" w:rsidRPr="00AE71BA">
        <w:t>-</w:t>
      </w:r>
      <w:r w:rsidR="00902499" w:rsidRPr="00AE71BA">
        <w:t>free survivors</w:t>
      </w:r>
      <w:r w:rsidR="00F2545A" w:rsidRPr="00AE71BA">
        <w:t>,</w:t>
      </w:r>
      <w:r w:rsidR="00902499" w:rsidRPr="00AE71BA">
        <w:t xml:space="preserve"> and </w:t>
      </w:r>
      <w:r w:rsidR="00F2545A" w:rsidRPr="00AE71BA">
        <w:t xml:space="preserve">so </w:t>
      </w:r>
      <w:r w:rsidR="00D105F5" w:rsidRPr="00AE71BA">
        <w:t>we</w:t>
      </w:r>
      <w:r w:rsidR="00902499" w:rsidRPr="00AE71BA">
        <w:t xml:space="preserve">re not relevant to the patients </w:t>
      </w:r>
      <w:r w:rsidR="00D105F5" w:rsidRPr="00AE71BA">
        <w:t xml:space="preserve">in the model </w:t>
      </w:r>
      <w:r w:rsidR="00902499" w:rsidRPr="00AE71BA">
        <w:t>who w</w:t>
      </w:r>
      <w:r w:rsidR="00D105F5" w:rsidRPr="00AE71BA">
        <w:t>ould</w:t>
      </w:r>
      <w:r w:rsidR="00902499" w:rsidRPr="00AE71BA">
        <w:t xml:space="preserve"> progress and require increased resources.</w:t>
      </w:r>
    </w:p>
    <w:p w:rsidR="00144D06" w:rsidRPr="00AE71BA" w:rsidRDefault="00144D06" w:rsidP="00144D06">
      <w:pPr>
        <w:rPr>
          <w:szCs w:val="22"/>
        </w:rPr>
      </w:pPr>
    </w:p>
    <w:p w:rsidR="00144D06" w:rsidRPr="00AE71BA" w:rsidRDefault="00144D06" w:rsidP="00C61ED5">
      <w:pPr>
        <w:pStyle w:val="ListParagraph"/>
        <w:widowControl/>
        <w:numPr>
          <w:ilvl w:val="1"/>
          <w:numId w:val="2"/>
        </w:numPr>
        <w:rPr>
          <w:szCs w:val="22"/>
        </w:rPr>
      </w:pPr>
      <w:r w:rsidRPr="00AE71BA">
        <w:t xml:space="preserve">The </w:t>
      </w:r>
      <w:r w:rsidR="00A15069" w:rsidRPr="00AE71BA">
        <w:t xml:space="preserve">truncated mean </w:t>
      </w:r>
      <w:r w:rsidRPr="00AE71BA">
        <w:t xml:space="preserve">durations of therapy, which were </w:t>
      </w:r>
      <w:r w:rsidR="003349A8">
        <w:rPr>
          <w:noProof/>
          <w:color w:val="000000"/>
          <w:highlight w:val="black"/>
        </w:rPr>
        <w:t>''''''''''''</w:t>
      </w:r>
      <w:r w:rsidRPr="00AE71BA">
        <w:t xml:space="preserve"> infusions for nivolumab and </w:t>
      </w:r>
      <w:r w:rsidR="003349A8">
        <w:rPr>
          <w:noProof/>
          <w:color w:val="000000"/>
          <w:highlight w:val="black"/>
        </w:rPr>
        <w:t>''''''''''</w:t>
      </w:r>
      <w:r w:rsidRPr="00AE71BA">
        <w:t xml:space="preserve"> infusions for docetaxel, as observed in CA209-057, </w:t>
      </w:r>
      <w:r w:rsidR="00965D2A" w:rsidRPr="00AE71BA">
        <w:t>were</w:t>
      </w:r>
      <w:r w:rsidRPr="00AE71BA">
        <w:t xml:space="preserve"> used in the modelled economic evaluation.  This </w:t>
      </w:r>
      <w:r w:rsidR="008443B7" w:rsidRPr="00AE71BA">
        <w:t>wa</w:t>
      </w:r>
      <w:r w:rsidRPr="00AE71BA">
        <w:t xml:space="preserve">s </w:t>
      </w:r>
      <w:r w:rsidR="008443B7" w:rsidRPr="00AE71BA">
        <w:t>inappropriate and underestimated</w:t>
      </w:r>
      <w:r w:rsidRPr="00AE71BA">
        <w:t xml:space="preserve"> the costs of nivolumab and docetaxel. </w:t>
      </w:r>
      <w:r w:rsidR="004B56A4" w:rsidRPr="00AE71BA">
        <w:t xml:space="preserve">Given that </w:t>
      </w:r>
      <w:r w:rsidR="008443B7" w:rsidRPr="00AE71BA">
        <w:t>health outcomes were</w:t>
      </w:r>
      <w:r w:rsidR="004B56A4" w:rsidRPr="00AE71BA">
        <w:t xml:space="preserve"> been extrapolated for both the nivolumab and docetaxel arms in the model, treatment durations should have been extrapolated correspondingly.</w:t>
      </w:r>
      <w:r w:rsidRPr="00AE71BA">
        <w:t xml:space="preserve"> Since nivolumab was associated with a longer extrapolated PFS compared with docetaxel, using </w:t>
      </w:r>
      <w:r w:rsidR="00A15069" w:rsidRPr="00AE71BA">
        <w:t xml:space="preserve">truncated </w:t>
      </w:r>
      <w:r w:rsidRPr="00AE71BA">
        <w:t>trial-based treatment duration biased the results of economic evaluation in favour of nivolumab.</w:t>
      </w:r>
      <w:r w:rsidR="00125717" w:rsidRPr="00AE71BA">
        <w:t xml:space="preserve"> Although the PSCR (p.4) maintained that these were the appropriate </w:t>
      </w:r>
      <w:r w:rsidR="00A15069" w:rsidRPr="00AE71BA">
        <w:t>mean</w:t>
      </w:r>
      <w:r w:rsidR="00125717" w:rsidRPr="00AE71BA">
        <w:t xml:space="preserve"> durations of therapy, the ESC </w:t>
      </w:r>
      <w:r w:rsidR="00F42329" w:rsidRPr="00AE71BA">
        <w:t>considered</w:t>
      </w:r>
      <w:r w:rsidR="00125717" w:rsidRPr="00AE71BA">
        <w:t xml:space="preserve"> that if the model </w:t>
      </w:r>
      <w:r w:rsidR="00A632C6" w:rsidRPr="00AE71BA">
        <w:t xml:space="preserve">extrapolates health outcomes </w:t>
      </w:r>
      <w:r w:rsidR="00125717" w:rsidRPr="00AE71BA">
        <w:t xml:space="preserve">over 10 years, then it should also </w:t>
      </w:r>
      <w:r w:rsidR="00A632C6" w:rsidRPr="00AE71BA">
        <w:t>extrapolate</w:t>
      </w:r>
      <w:r w:rsidR="00125717" w:rsidRPr="00AE71BA">
        <w:t xml:space="preserve"> the costs of treatment </w:t>
      </w:r>
      <w:r w:rsidR="00A632C6" w:rsidRPr="00AE71BA">
        <w:t xml:space="preserve">linked </w:t>
      </w:r>
      <w:r w:rsidR="00125717" w:rsidRPr="00AE71BA">
        <w:t xml:space="preserve">to </w:t>
      </w:r>
      <w:r w:rsidR="00A632C6" w:rsidRPr="00AE71BA">
        <w:t>those health outcomes</w:t>
      </w:r>
      <w:r w:rsidR="00125717" w:rsidRPr="00AE71BA">
        <w:t>.</w:t>
      </w:r>
    </w:p>
    <w:p w:rsidR="00144D06" w:rsidRPr="00AE71BA" w:rsidRDefault="00144D06" w:rsidP="00144D06">
      <w:pPr>
        <w:rPr>
          <w:szCs w:val="22"/>
        </w:rPr>
      </w:pPr>
    </w:p>
    <w:p w:rsidR="00144D06" w:rsidRPr="003656B2" w:rsidRDefault="00144D06" w:rsidP="00C61ED5">
      <w:pPr>
        <w:pStyle w:val="ListParagraph"/>
        <w:widowControl/>
        <w:numPr>
          <w:ilvl w:val="1"/>
          <w:numId w:val="2"/>
        </w:numPr>
        <w:rPr>
          <w:szCs w:val="22"/>
        </w:rPr>
      </w:pPr>
      <w:r w:rsidRPr="00AE71BA">
        <w:t>Results of the economic evaluation are presented below.</w:t>
      </w:r>
    </w:p>
    <w:p w:rsidR="00406CF4" w:rsidRPr="001E5EBD" w:rsidRDefault="00406CF4">
      <w:pPr>
        <w:widowControl/>
        <w:jc w:val="left"/>
        <w:rPr>
          <w:szCs w:val="22"/>
        </w:rPr>
      </w:pPr>
    </w:p>
    <w:p w:rsidR="007F57FD" w:rsidRDefault="007F57FD">
      <w:pPr>
        <w:widowControl/>
        <w:jc w:val="left"/>
        <w:rPr>
          <w:rFonts w:ascii="Arial Narrow" w:hAnsi="Arial Narrow"/>
          <w:b/>
          <w:sz w:val="20"/>
        </w:rPr>
      </w:pPr>
      <w:r>
        <w:br w:type="page"/>
      </w:r>
    </w:p>
    <w:p w:rsidR="00144D06" w:rsidRDefault="00144D06" w:rsidP="00144D06">
      <w:pPr>
        <w:pStyle w:val="TableHeader"/>
        <w:ind w:firstLine="720"/>
      </w:pPr>
      <w:r w:rsidRPr="005C7F65">
        <w:lastRenderedPageBreak/>
        <w:t xml:space="preserve">Table </w:t>
      </w:r>
      <w:r w:rsidR="00EE50C0">
        <w:t>9</w:t>
      </w:r>
      <w:r w:rsidRPr="005C7F65">
        <w:t>: Results of the stepped economic evaluation</w:t>
      </w:r>
    </w:p>
    <w:tbl>
      <w:tblPr>
        <w:tblW w:w="4568" w:type="pct"/>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79"/>
        <w:gridCol w:w="2127"/>
        <w:gridCol w:w="2126"/>
        <w:gridCol w:w="1965"/>
      </w:tblGrid>
      <w:tr w:rsidR="00144D06" w:rsidRPr="004E2ADC" w:rsidTr="001E6F7F">
        <w:tc>
          <w:tcPr>
            <w:tcW w:w="1253" w:type="pct"/>
            <w:vAlign w:val="center"/>
          </w:tcPr>
          <w:p w:rsidR="00144D06" w:rsidRPr="004E2ADC" w:rsidRDefault="00144D06" w:rsidP="00144D06">
            <w:pPr>
              <w:jc w:val="left"/>
              <w:rPr>
                <w:rFonts w:ascii="Arial Narrow" w:hAnsi="Arial Narrow" w:cs="Times New Roman"/>
                <w:b/>
                <w:sz w:val="20"/>
              </w:rPr>
            </w:pPr>
            <w:r w:rsidRPr="004E2ADC">
              <w:rPr>
                <w:rFonts w:ascii="Arial Narrow" w:hAnsi="Arial Narrow" w:cs="Times New Roman"/>
                <w:b/>
                <w:sz w:val="20"/>
              </w:rPr>
              <w:t>Step and component</w:t>
            </w:r>
          </w:p>
        </w:tc>
        <w:tc>
          <w:tcPr>
            <w:tcW w:w="1282" w:type="pct"/>
          </w:tcPr>
          <w:p w:rsidR="00144D06" w:rsidRPr="004E2ADC" w:rsidRDefault="00144D06" w:rsidP="00144D06">
            <w:pPr>
              <w:jc w:val="center"/>
              <w:rPr>
                <w:rFonts w:ascii="Arial Narrow" w:hAnsi="Arial Narrow" w:cs="Times New Roman"/>
                <w:b/>
                <w:sz w:val="20"/>
              </w:rPr>
            </w:pPr>
            <w:r>
              <w:rPr>
                <w:rFonts w:ascii="Arial Narrow" w:hAnsi="Arial Narrow" w:cs="Times New Roman"/>
                <w:b/>
                <w:sz w:val="20"/>
              </w:rPr>
              <w:t>Nivolumab</w:t>
            </w:r>
          </w:p>
        </w:tc>
        <w:tc>
          <w:tcPr>
            <w:tcW w:w="1281" w:type="pct"/>
            <w:vAlign w:val="center"/>
          </w:tcPr>
          <w:p w:rsidR="00144D06" w:rsidRPr="004E2ADC" w:rsidRDefault="00144D06" w:rsidP="00144D06">
            <w:pPr>
              <w:jc w:val="center"/>
              <w:rPr>
                <w:rFonts w:ascii="Arial Narrow" w:hAnsi="Arial Narrow" w:cs="Times New Roman"/>
                <w:b/>
                <w:sz w:val="20"/>
              </w:rPr>
            </w:pPr>
            <w:r>
              <w:rPr>
                <w:rFonts w:ascii="Arial Narrow" w:hAnsi="Arial Narrow" w:cs="Times New Roman"/>
                <w:b/>
                <w:sz w:val="20"/>
              </w:rPr>
              <w:t>Docetaxel</w:t>
            </w:r>
          </w:p>
        </w:tc>
        <w:tc>
          <w:tcPr>
            <w:tcW w:w="1184" w:type="pct"/>
          </w:tcPr>
          <w:p w:rsidR="00144D06" w:rsidRPr="004E2ADC" w:rsidRDefault="00144D06" w:rsidP="00144D06">
            <w:pPr>
              <w:jc w:val="center"/>
              <w:rPr>
                <w:rFonts w:ascii="Arial Narrow" w:hAnsi="Arial Narrow" w:cs="Times New Roman"/>
                <w:b/>
                <w:sz w:val="20"/>
              </w:rPr>
            </w:pPr>
            <w:r w:rsidRPr="004E2ADC">
              <w:rPr>
                <w:rFonts w:ascii="Arial Narrow" w:hAnsi="Arial Narrow" w:cs="Times New Roman"/>
                <w:b/>
                <w:sz w:val="20"/>
              </w:rPr>
              <w:t>Increment</w:t>
            </w:r>
          </w:p>
        </w:tc>
      </w:tr>
      <w:tr w:rsidR="00144D06" w:rsidRPr="004E2ADC" w:rsidTr="00144D06">
        <w:tc>
          <w:tcPr>
            <w:tcW w:w="5000" w:type="pct"/>
            <w:gridSpan w:val="4"/>
            <w:vAlign w:val="center"/>
          </w:tcPr>
          <w:p w:rsidR="00144D06" w:rsidRPr="004E2ADC" w:rsidRDefault="00144D06" w:rsidP="00144D06">
            <w:pPr>
              <w:keepNext/>
              <w:jc w:val="left"/>
              <w:rPr>
                <w:rFonts w:ascii="Arial Narrow" w:hAnsi="Arial Narrow" w:cs="Arial Narrow"/>
                <w:b/>
                <w:bCs/>
                <w:sz w:val="20"/>
              </w:rPr>
            </w:pPr>
            <w:r w:rsidRPr="004E2ADC">
              <w:rPr>
                <w:rFonts w:ascii="Arial Narrow" w:hAnsi="Arial Narrow" w:cs="Arial Narrow"/>
                <w:b/>
                <w:bCs/>
                <w:sz w:val="20"/>
              </w:rPr>
              <w:t>Step 1</w:t>
            </w:r>
            <w:r>
              <w:rPr>
                <w:rFonts w:ascii="Arial Narrow" w:hAnsi="Arial Narrow" w:cs="Arial Narrow"/>
                <w:b/>
                <w:bCs/>
                <w:sz w:val="20"/>
              </w:rPr>
              <w:t xml:space="preserve"> and Step 2</w:t>
            </w:r>
            <w:r w:rsidRPr="004E2ADC">
              <w:rPr>
                <w:rFonts w:ascii="Arial Narrow" w:hAnsi="Arial Narrow" w:cs="Arial Narrow"/>
                <w:b/>
                <w:bCs/>
                <w:sz w:val="20"/>
              </w:rPr>
              <w:t xml:space="preserve">: </w:t>
            </w:r>
            <w:r>
              <w:rPr>
                <w:rFonts w:ascii="Arial Narrow" w:hAnsi="Arial Narrow" w:cs="Arial Narrow"/>
                <w:b/>
                <w:bCs/>
                <w:sz w:val="20"/>
              </w:rPr>
              <w:t>Within trial duration</w:t>
            </w:r>
            <w:r w:rsidRPr="004E2ADC">
              <w:rPr>
                <w:rFonts w:ascii="Arial Narrow" w:hAnsi="Arial Narrow" w:cs="Arial Narrow"/>
                <w:b/>
                <w:bCs/>
                <w:sz w:val="20"/>
              </w:rPr>
              <w:t xml:space="preserve"> costs and outcomes</w:t>
            </w:r>
          </w:p>
        </w:tc>
      </w:tr>
      <w:tr w:rsidR="00144D06" w:rsidRPr="004E2ADC" w:rsidTr="001E6F7F">
        <w:tc>
          <w:tcPr>
            <w:tcW w:w="1253" w:type="pct"/>
            <w:vAlign w:val="center"/>
          </w:tcPr>
          <w:p w:rsidR="00144D06" w:rsidRPr="004E2ADC" w:rsidRDefault="00144D06" w:rsidP="00144D06">
            <w:pPr>
              <w:jc w:val="left"/>
              <w:rPr>
                <w:rFonts w:ascii="Arial Narrow" w:hAnsi="Arial Narrow" w:cs="Times New Roman"/>
                <w:sz w:val="20"/>
              </w:rPr>
            </w:pPr>
            <w:r w:rsidRPr="004E2ADC">
              <w:rPr>
                <w:rFonts w:ascii="Arial Narrow" w:hAnsi="Arial Narrow" w:cs="Times New Roman"/>
                <w:sz w:val="20"/>
              </w:rPr>
              <w:t>Costs</w:t>
            </w:r>
            <w:r w:rsidR="009F5815">
              <w:rPr>
                <w:rFonts w:ascii="Arial Narrow" w:hAnsi="Arial Narrow" w:cs="Times New Roman"/>
                <w:sz w:val="20"/>
              </w:rPr>
              <w:t>*</w:t>
            </w:r>
          </w:p>
        </w:tc>
        <w:tc>
          <w:tcPr>
            <w:tcW w:w="1282" w:type="pct"/>
          </w:tcPr>
          <w:p w:rsidR="00144D06" w:rsidRPr="004E2ADC" w:rsidRDefault="00144D06" w:rsidP="00144D06">
            <w:pPr>
              <w:jc w:val="center"/>
              <w:rPr>
                <w:rFonts w:ascii="Arial Narrow" w:hAnsi="Arial Narrow" w:cs="Times New Roman"/>
                <w:sz w:val="20"/>
              </w:rPr>
            </w:pPr>
            <w:r w:rsidRPr="00E11A98">
              <w:rPr>
                <w:rFonts w:ascii="Arial Narrow" w:hAnsi="Arial Narrow" w:cs="Times New Roman"/>
                <w:sz w:val="20"/>
              </w:rPr>
              <w:t>$</w:t>
            </w:r>
            <w:r w:rsidR="003349A8">
              <w:rPr>
                <w:rFonts w:ascii="Arial Narrow" w:hAnsi="Arial Narrow" w:cs="Times New Roman"/>
                <w:noProof/>
                <w:color w:val="000000"/>
                <w:sz w:val="20"/>
                <w:highlight w:val="black"/>
              </w:rPr>
              <w:t>''''''''''''''''</w:t>
            </w:r>
          </w:p>
        </w:tc>
        <w:tc>
          <w:tcPr>
            <w:tcW w:w="1281" w:type="pct"/>
            <w:vAlign w:val="center"/>
          </w:tcPr>
          <w:p w:rsidR="00144D06" w:rsidRPr="004E2ADC" w:rsidRDefault="00144D06" w:rsidP="00144D06">
            <w:pPr>
              <w:jc w:val="center"/>
              <w:rPr>
                <w:rFonts w:ascii="Arial Narrow" w:hAnsi="Arial Narrow" w:cs="Times New Roman"/>
                <w:sz w:val="20"/>
              </w:rPr>
            </w:pPr>
            <w:r w:rsidRPr="004E2ADC">
              <w:rPr>
                <w:rFonts w:ascii="Arial Narrow" w:hAnsi="Arial Narrow" w:cs="Times New Roman"/>
                <w:sz w:val="20"/>
              </w:rPr>
              <w:t>$</w:t>
            </w:r>
            <w:r w:rsidR="003349A8">
              <w:rPr>
                <w:rFonts w:ascii="Arial Narrow" w:hAnsi="Arial Narrow" w:cs="Times New Roman"/>
                <w:noProof/>
                <w:color w:val="000000"/>
                <w:sz w:val="20"/>
                <w:highlight w:val="black"/>
              </w:rPr>
              <w:t>'''''''''''''''</w:t>
            </w:r>
          </w:p>
        </w:tc>
        <w:tc>
          <w:tcPr>
            <w:tcW w:w="1184" w:type="pct"/>
          </w:tcPr>
          <w:p w:rsidR="00144D06" w:rsidRPr="004E2ADC" w:rsidRDefault="00144D06" w:rsidP="00144D06">
            <w:pPr>
              <w:jc w:val="right"/>
              <w:rPr>
                <w:rFonts w:ascii="Arial Narrow" w:hAnsi="Arial Narrow" w:cs="Times New Roman"/>
                <w:sz w:val="20"/>
              </w:rPr>
            </w:pPr>
            <w:r w:rsidRPr="00E11A98">
              <w:rPr>
                <w:rFonts w:ascii="Arial Narrow" w:hAnsi="Arial Narrow" w:cs="Times New Roman"/>
                <w:sz w:val="20"/>
              </w:rPr>
              <w:t>$</w:t>
            </w:r>
            <w:r w:rsidR="003349A8">
              <w:rPr>
                <w:rFonts w:ascii="Arial Narrow" w:hAnsi="Arial Narrow" w:cs="Times New Roman"/>
                <w:noProof/>
                <w:color w:val="000000"/>
                <w:sz w:val="20"/>
                <w:highlight w:val="black"/>
              </w:rPr>
              <w:t>'''''''''''''''''</w:t>
            </w:r>
          </w:p>
        </w:tc>
      </w:tr>
      <w:tr w:rsidR="00144D06" w:rsidRPr="004E2ADC" w:rsidTr="001E6F7F">
        <w:tc>
          <w:tcPr>
            <w:tcW w:w="1253" w:type="pct"/>
            <w:vAlign w:val="center"/>
          </w:tcPr>
          <w:p w:rsidR="00144D06" w:rsidRPr="004E2ADC" w:rsidRDefault="00144D06" w:rsidP="00144D06">
            <w:pPr>
              <w:jc w:val="left"/>
              <w:rPr>
                <w:rFonts w:ascii="Arial Narrow" w:hAnsi="Arial Narrow" w:cs="Times New Roman"/>
                <w:sz w:val="20"/>
              </w:rPr>
            </w:pPr>
            <w:r>
              <w:rPr>
                <w:rFonts w:ascii="Arial Narrow" w:hAnsi="Arial Narrow" w:cs="Times New Roman"/>
                <w:sz w:val="20"/>
              </w:rPr>
              <w:t>LYs</w:t>
            </w:r>
          </w:p>
        </w:tc>
        <w:tc>
          <w:tcPr>
            <w:tcW w:w="1282" w:type="pct"/>
          </w:tcPr>
          <w:p w:rsidR="00144D06" w:rsidRPr="004E2ADC" w:rsidRDefault="00144D06" w:rsidP="00144D06">
            <w:pPr>
              <w:jc w:val="center"/>
              <w:rPr>
                <w:rFonts w:ascii="Arial Narrow" w:hAnsi="Arial Narrow" w:cs="Times New Roman"/>
                <w:sz w:val="20"/>
              </w:rPr>
            </w:pPr>
            <w:r>
              <w:rPr>
                <w:rFonts w:ascii="Arial Narrow" w:hAnsi="Arial Narrow" w:cs="Times New Roman"/>
                <w:sz w:val="20"/>
              </w:rPr>
              <w:t>1.18</w:t>
            </w:r>
          </w:p>
        </w:tc>
        <w:tc>
          <w:tcPr>
            <w:tcW w:w="1281" w:type="pct"/>
            <w:vAlign w:val="center"/>
          </w:tcPr>
          <w:p w:rsidR="00144D06" w:rsidRPr="004E2ADC" w:rsidRDefault="00144D06" w:rsidP="00144D06">
            <w:pPr>
              <w:jc w:val="center"/>
              <w:rPr>
                <w:rFonts w:ascii="Arial Narrow" w:hAnsi="Arial Narrow" w:cs="Times New Roman"/>
                <w:sz w:val="20"/>
              </w:rPr>
            </w:pPr>
            <w:r>
              <w:rPr>
                <w:rFonts w:ascii="Arial Narrow" w:hAnsi="Arial Narrow" w:cs="Times New Roman"/>
                <w:sz w:val="20"/>
              </w:rPr>
              <w:t>1.03</w:t>
            </w:r>
          </w:p>
        </w:tc>
        <w:tc>
          <w:tcPr>
            <w:tcW w:w="1184" w:type="pct"/>
          </w:tcPr>
          <w:p w:rsidR="00144D06" w:rsidRPr="004E2ADC" w:rsidRDefault="00144D06" w:rsidP="00144D06">
            <w:pPr>
              <w:jc w:val="center"/>
              <w:rPr>
                <w:rFonts w:ascii="Arial Narrow" w:hAnsi="Arial Narrow" w:cs="Times New Roman"/>
                <w:sz w:val="20"/>
              </w:rPr>
            </w:pPr>
            <w:r>
              <w:rPr>
                <w:rFonts w:ascii="Arial Narrow" w:hAnsi="Arial Narrow" w:cs="Times New Roman"/>
                <w:sz w:val="20"/>
              </w:rPr>
              <w:t>0.15</w:t>
            </w:r>
          </w:p>
        </w:tc>
      </w:tr>
      <w:tr w:rsidR="00144D06" w:rsidRPr="004E2ADC" w:rsidTr="001E6F7F">
        <w:tc>
          <w:tcPr>
            <w:tcW w:w="1253" w:type="pct"/>
            <w:vAlign w:val="center"/>
          </w:tcPr>
          <w:p w:rsidR="00144D06" w:rsidRDefault="00144D06" w:rsidP="00144D06">
            <w:pPr>
              <w:jc w:val="left"/>
              <w:rPr>
                <w:rFonts w:ascii="Arial Narrow" w:hAnsi="Arial Narrow" w:cs="Times New Roman"/>
                <w:sz w:val="20"/>
              </w:rPr>
            </w:pPr>
            <w:r>
              <w:rPr>
                <w:rFonts w:ascii="Arial Narrow" w:hAnsi="Arial Narrow" w:cs="Times New Roman"/>
                <w:sz w:val="20"/>
              </w:rPr>
              <w:t>QALYs</w:t>
            </w:r>
          </w:p>
        </w:tc>
        <w:tc>
          <w:tcPr>
            <w:tcW w:w="1282" w:type="pct"/>
          </w:tcPr>
          <w:p w:rsidR="00144D06" w:rsidRPr="004E2ADC" w:rsidRDefault="00144D06" w:rsidP="00144D06">
            <w:pPr>
              <w:jc w:val="center"/>
              <w:rPr>
                <w:rFonts w:ascii="Arial Narrow" w:hAnsi="Arial Narrow" w:cs="Times New Roman"/>
                <w:sz w:val="20"/>
              </w:rPr>
            </w:pPr>
            <w:r>
              <w:rPr>
                <w:rFonts w:ascii="Arial Narrow" w:hAnsi="Arial Narrow" w:cs="Times New Roman"/>
                <w:sz w:val="20"/>
              </w:rPr>
              <w:t>0.90</w:t>
            </w:r>
          </w:p>
        </w:tc>
        <w:tc>
          <w:tcPr>
            <w:tcW w:w="1281" w:type="pct"/>
            <w:vAlign w:val="center"/>
          </w:tcPr>
          <w:p w:rsidR="00144D06" w:rsidRPr="004E2ADC" w:rsidRDefault="00144D06" w:rsidP="00144D06">
            <w:pPr>
              <w:jc w:val="center"/>
              <w:rPr>
                <w:rFonts w:ascii="Arial Narrow" w:hAnsi="Arial Narrow" w:cs="Times New Roman"/>
                <w:sz w:val="20"/>
              </w:rPr>
            </w:pPr>
            <w:r>
              <w:rPr>
                <w:rFonts w:ascii="Arial Narrow" w:hAnsi="Arial Narrow" w:cs="Times New Roman"/>
                <w:sz w:val="20"/>
              </w:rPr>
              <w:t>0.72</w:t>
            </w:r>
          </w:p>
        </w:tc>
        <w:tc>
          <w:tcPr>
            <w:tcW w:w="1184" w:type="pct"/>
          </w:tcPr>
          <w:p w:rsidR="00144D06" w:rsidRPr="004E2ADC" w:rsidRDefault="00144D06" w:rsidP="00144D06">
            <w:pPr>
              <w:jc w:val="center"/>
              <w:rPr>
                <w:rFonts w:ascii="Arial Narrow" w:hAnsi="Arial Narrow" w:cs="Times New Roman"/>
                <w:sz w:val="20"/>
              </w:rPr>
            </w:pPr>
            <w:r>
              <w:rPr>
                <w:rFonts w:ascii="Arial Narrow" w:hAnsi="Arial Narrow" w:cs="Times New Roman"/>
                <w:sz w:val="20"/>
              </w:rPr>
              <w:t>0.18</w:t>
            </w:r>
          </w:p>
        </w:tc>
      </w:tr>
      <w:tr w:rsidR="00144D06" w:rsidRPr="004E2ADC" w:rsidTr="001E6F7F">
        <w:tc>
          <w:tcPr>
            <w:tcW w:w="3816" w:type="pct"/>
            <w:gridSpan w:val="3"/>
            <w:vAlign w:val="center"/>
          </w:tcPr>
          <w:p w:rsidR="00144D06" w:rsidRPr="004E2ADC" w:rsidRDefault="00144D06" w:rsidP="00144D06">
            <w:pPr>
              <w:jc w:val="left"/>
              <w:rPr>
                <w:rFonts w:ascii="Arial Narrow" w:hAnsi="Arial Narrow" w:cs="Times New Roman"/>
                <w:sz w:val="20"/>
              </w:rPr>
            </w:pPr>
            <w:r w:rsidRPr="004E2ADC">
              <w:rPr>
                <w:rFonts w:ascii="Arial Narrow" w:hAnsi="Arial Narrow" w:cs="Times New Roman"/>
                <w:b/>
                <w:snapToGrid/>
                <w:sz w:val="20"/>
              </w:rPr>
              <w:t>Incremental cost/</w:t>
            </w:r>
            <w:r>
              <w:rPr>
                <w:rFonts w:ascii="Arial Narrow" w:hAnsi="Arial Narrow" w:cs="Times New Roman"/>
                <w:b/>
                <w:snapToGrid/>
                <w:sz w:val="20"/>
              </w:rPr>
              <w:t>LY</w:t>
            </w:r>
            <w:r w:rsidR="00E77AC6">
              <w:rPr>
                <w:rFonts w:ascii="Arial Narrow" w:hAnsi="Arial Narrow" w:cs="Times New Roman"/>
                <w:b/>
                <w:snapToGrid/>
                <w:sz w:val="20"/>
              </w:rPr>
              <w:t xml:space="preserve"> gained</w:t>
            </w:r>
          </w:p>
        </w:tc>
        <w:tc>
          <w:tcPr>
            <w:tcW w:w="1184" w:type="pct"/>
          </w:tcPr>
          <w:p w:rsidR="00144D06" w:rsidRPr="00E11A98" w:rsidRDefault="00144D06" w:rsidP="00144D06">
            <w:pPr>
              <w:jc w:val="right"/>
              <w:rPr>
                <w:rFonts w:ascii="Arial Narrow" w:hAnsi="Arial Narrow" w:cs="Times New Roman"/>
                <w:sz w:val="20"/>
              </w:rPr>
            </w:pPr>
            <w:r w:rsidRPr="00E11A98">
              <w:rPr>
                <w:rFonts w:ascii="Arial Narrow" w:hAnsi="Arial Narrow" w:cs="Times New Roman"/>
                <w:b/>
                <w:sz w:val="20"/>
              </w:rPr>
              <w:t>$</w:t>
            </w:r>
            <w:r w:rsidR="003349A8">
              <w:rPr>
                <w:rFonts w:ascii="Arial Narrow" w:hAnsi="Arial Narrow" w:cs="Times New Roman"/>
                <w:b/>
                <w:noProof/>
                <w:color w:val="000000"/>
                <w:sz w:val="20"/>
                <w:highlight w:val="black"/>
              </w:rPr>
              <w:t>''''''''''''''''</w:t>
            </w:r>
          </w:p>
        </w:tc>
      </w:tr>
      <w:tr w:rsidR="00144D06" w:rsidRPr="004E2ADC" w:rsidTr="001E6F7F">
        <w:tc>
          <w:tcPr>
            <w:tcW w:w="3816" w:type="pct"/>
            <w:gridSpan w:val="3"/>
            <w:vAlign w:val="center"/>
          </w:tcPr>
          <w:p w:rsidR="00144D06" w:rsidRPr="004E2ADC" w:rsidRDefault="00144D06" w:rsidP="00144D06">
            <w:pPr>
              <w:jc w:val="left"/>
              <w:rPr>
                <w:rFonts w:ascii="Arial Narrow" w:hAnsi="Arial Narrow" w:cs="Times New Roman"/>
                <w:b/>
                <w:snapToGrid/>
                <w:sz w:val="20"/>
              </w:rPr>
            </w:pPr>
            <w:r>
              <w:rPr>
                <w:rFonts w:ascii="Arial Narrow" w:hAnsi="Arial Narrow" w:cs="Times New Roman"/>
                <w:b/>
                <w:snapToGrid/>
                <w:sz w:val="20"/>
              </w:rPr>
              <w:t>Incremental cost/QALY</w:t>
            </w:r>
            <w:r w:rsidR="00E77AC6">
              <w:rPr>
                <w:rFonts w:ascii="Arial Narrow" w:hAnsi="Arial Narrow" w:cs="Times New Roman"/>
                <w:b/>
                <w:snapToGrid/>
                <w:sz w:val="20"/>
              </w:rPr>
              <w:t xml:space="preserve"> gained</w:t>
            </w:r>
          </w:p>
        </w:tc>
        <w:tc>
          <w:tcPr>
            <w:tcW w:w="1184" w:type="pct"/>
          </w:tcPr>
          <w:p w:rsidR="00144D06" w:rsidRPr="00E11A98" w:rsidRDefault="00144D06" w:rsidP="00144D06">
            <w:pPr>
              <w:jc w:val="right"/>
              <w:rPr>
                <w:rFonts w:ascii="Arial Narrow" w:hAnsi="Arial Narrow" w:cs="Times New Roman"/>
                <w:b/>
                <w:sz w:val="20"/>
              </w:rPr>
            </w:pPr>
            <w:r w:rsidRPr="00E11A98">
              <w:rPr>
                <w:rFonts w:ascii="Arial Narrow" w:hAnsi="Arial Narrow" w:cs="Times New Roman"/>
                <w:b/>
                <w:sz w:val="20"/>
              </w:rPr>
              <w:t>$</w:t>
            </w:r>
            <w:r w:rsidR="003349A8">
              <w:rPr>
                <w:rFonts w:ascii="Arial Narrow" w:hAnsi="Arial Narrow" w:cs="Times New Roman"/>
                <w:b/>
                <w:noProof/>
                <w:color w:val="000000"/>
                <w:sz w:val="20"/>
                <w:highlight w:val="black"/>
              </w:rPr>
              <w:t>'''''''''''''''''</w:t>
            </w:r>
          </w:p>
        </w:tc>
      </w:tr>
      <w:tr w:rsidR="00144D06" w:rsidRPr="004E2ADC" w:rsidTr="00144D06">
        <w:tc>
          <w:tcPr>
            <w:tcW w:w="5000" w:type="pct"/>
            <w:gridSpan w:val="4"/>
            <w:vAlign w:val="center"/>
          </w:tcPr>
          <w:p w:rsidR="00144D06" w:rsidRPr="00E77AC6" w:rsidRDefault="00144D06" w:rsidP="004B56A4">
            <w:pPr>
              <w:keepNext/>
              <w:jc w:val="left"/>
              <w:rPr>
                <w:rFonts w:ascii="Arial Narrow" w:hAnsi="Arial Narrow" w:cs="Arial Narrow"/>
                <w:b/>
                <w:bCs/>
                <w:sz w:val="20"/>
              </w:rPr>
            </w:pPr>
            <w:r w:rsidRPr="00E77AC6">
              <w:rPr>
                <w:rFonts w:ascii="Arial Narrow" w:hAnsi="Arial Narrow" w:cs="Arial Narrow"/>
                <w:b/>
                <w:bCs/>
                <w:sz w:val="20"/>
              </w:rPr>
              <w:t>Step 3: modelled evaluation (</w:t>
            </w:r>
            <w:r w:rsidR="00E77AC6">
              <w:rPr>
                <w:rFonts w:ascii="Arial Narrow" w:hAnsi="Arial Narrow" w:cs="Arial Narrow"/>
                <w:b/>
                <w:bCs/>
                <w:sz w:val="20"/>
              </w:rPr>
              <w:t>e</w:t>
            </w:r>
            <w:r w:rsidRPr="00E77AC6">
              <w:rPr>
                <w:rFonts w:ascii="Arial Narrow" w:hAnsi="Arial Narrow" w:cs="Arial Narrow"/>
                <w:b/>
                <w:bCs/>
                <w:sz w:val="20"/>
              </w:rPr>
              <w:t>xtrapolati</w:t>
            </w:r>
            <w:r w:rsidR="004B56A4" w:rsidRPr="00E77AC6">
              <w:rPr>
                <w:rFonts w:ascii="Arial Narrow" w:hAnsi="Arial Narrow" w:cs="Arial Narrow"/>
                <w:b/>
                <w:bCs/>
                <w:sz w:val="20"/>
              </w:rPr>
              <w:t>ng</w:t>
            </w:r>
            <w:r w:rsidRPr="00E77AC6">
              <w:rPr>
                <w:rFonts w:ascii="Arial Narrow" w:hAnsi="Arial Narrow" w:cs="Arial Narrow"/>
                <w:b/>
                <w:bCs/>
                <w:sz w:val="20"/>
              </w:rPr>
              <w:t xml:space="preserve"> </w:t>
            </w:r>
            <w:r w:rsidR="00AD0F17" w:rsidRPr="00E77AC6">
              <w:rPr>
                <w:rFonts w:ascii="Arial Narrow" w:hAnsi="Arial Narrow" w:cs="Arial Narrow"/>
                <w:b/>
                <w:bCs/>
                <w:sz w:val="20"/>
              </w:rPr>
              <w:t xml:space="preserve">health outcome </w:t>
            </w:r>
            <w:r w:rsidRPr="00E77AC6">
              <w:rPr>
                <w:rFonts w:ascii="Arial Narrow" w:hAnsi="Arial Narrow" w:cs="Arial Narrow"/>
                <w:b/>
                <w:bCs/>
                <w:sz w:val="20"/>
              </w:rPr>
              <w:t>to 10 years</w:t>
            </w:r>
            <w:r w:rsidR="00AD0F17" w:rsidRPr="00E77AC6">
              <w:rPr>
                <w:rFonts w:ascii="Arial Narrow" w:hAnsi="Arial Narrow" w:cs="Arial Narrow"/>
                <w:b/>
                <w:bCs/>
                <w:sz w:val="20"/>
              </w:rPr>
              <w:t>, without extrapolati</w:t>
            </w:r>
            <w:r w:rsidR="004B56A4" w:rsidRPr="00E77AC6">
              <w:rPr>
                <w:rFonts w:ascii="Arial Narrow" w:hAnsi="Arial Narrow" w:cs="Arial Narrow"/>
                <w:b/>
                <w:bCs/>
                <w:sz w:val="20"/>
              </w:rPr>
              <w:t>ng</w:t>
            </w:r>
            <w:r w:rsidR="00AD0F17" w:rsidRPr="00E77AC6">
              <w:rPr>
                <w:rFonts w:ascii="Arial Narrow" w:hAnsi="Arial Narrow" w:cs="Arial Narrow"/>
                <w:b/>
                <w:bCs/>
                <w:sz w:val="20"/>
              </w:rPr>
              <w:t xml:space="preserve"> drug costs</w:t>
            </w:r>
            <w:r w:rsidRPr="00E77AC6">
              <w:rPr>
                <w:rFonts w:ascii="Arial Narrow" w:hAnsi="Arial Narrow" w:cs="Arial Narrow"/>
                <w:b/>
                <w:bCs/>
                <w:sz w:val="20"/>
              </w:rPr>
              <w:t>)</w:t>
            </w:r>
          </w:p>
        </w:tc>
      </w:tr>
      <w:tr w:rsidR="00144D06" w:rsidRPr="004E2ADC" w:rsidTr="001E6F7F">
        <w:tc>
          <w:tcPr>
            <w:tcW w:w="1253" w:type="pct"/>
            <w:vAlign w:val="center"/>
          </w:tcPr>
          <w:p w:rsidR="00144D06" w:rsidRPr="004E2ADC" w:rsidRDefault="00144D06" w:rsidP="00144D06">
            <w:pPr>
              <w:jc w:val="left"/>
              <w:rPr>
                <w:rFonts w:ascii="Arial Narrow" w:hAnsi="Arial Narrow" w:cs="Times New Roman"/>
                <w:sz w:val="20"/>
              </w:rPr>
            </w:pPr>
            <w:r w:rsidRPr="004E2ADC">
              <w:rPr>
                <w:rFonts w:ascii="Arial Narrow" w:hAnsi="Arial Narrow" w:cs="Times New Roman"/>
                <w:sz w:val="20"/>
              </w:rPr>
              <w:t>Costs</w:t>
            </w:r>
            <w:r w:rsidR="009F5815">
              <w:rPr>
                <w:rFonts w:ascii="Arial Narrow" w:hAnsi="Arial Narrow" w:cs="Times New Roman"/>
                <w:sz w:val="20"/>
              </w:rPr>
              <w:t>*</w:t>
            </w:r>
          </w:p>
        </w:tc>
        <w:tc>
          <w:tcPr>
            <w:tcW w:w="1282" w:type="pct"/>
          </w:tcPr>
          <w:p w:rsidR="00144D06" w:rsidRPr="004E2ADC" w:rsidRDefault="00144D06" w:rsidP="00144D06">
            <w:pPr>
              <w:jc w:val="center"/>
              <w:rPr>
                <w:rFonts w:ascii="Arial Narrow" w:hAnsi="Arial Narrow" w:cs="Times New Roman"/>
                <w:sz w:val="20"/>
              </w:rPr>
            </w:pPr>
            <w:r w:rsidRPr="00E11A98">
              <w:rPr>
                <w:rFonts w:ascii="Arial Narrow" w:hAnsi="Arial Narrow" w:cs="Times New Roman"/>
                <w:sz w:val="20"/>
              </w:rPr>
              <w:t>$</w:t>
            </w:r>
            <w:r w:rsidR="003349A8">
              <w:rPr>
                <w:rFonts w:ascii="Arial Narrow" w:hAnsi="Arial Narrow" w:cs="Times New Roman"/>
                <w:noProof/>
                <w:color w:val="000000"/>
                <w:sz w:val="20"/>
                <w:highlight w:val="black"/>
              </w:rPr>
              <w:t>''''''''''''''''</w:t>
            </w:r>
          </w:p>
        </w:tc>
        <w:tc>
          <w:tcPr>
            <w:tcW w:w="1281" w:type="pct"/>
            <w:vAlign w:val="center"/>
          </w:tcPr>
          <w:p w:rsidR="00144D06" w:rsidRPr="004E2ADC" w:rsidRDefault="00144D06" w:rsidP="00144D06">
            <w:pPr>
              <w:jc w:val="center"/>
              <w:rPr>
                <w:rFonts w:ascii="Arial Narrow" w:hAnsi="Arial Narrow" w:cs="Times New Roman"/>
                <w:sz w:val="20"/>
              </w:rPr>
            </w:pPr>
            <w:r w:rsidRPr="004E2ADC">
              <w:rPr>
                <w:rFonts w:ascii="Arial Narrow" w:hAnsi="Arial Narrow" w:cs="Times New Roman"/>
                <w:sz w:val="20"/>
              </w:rPr>
              <w:t>$</w:t>
            </w:r>
            <w:r w:rsidR="003349A8">
              <w:rPr>
                <w:rFonts w:ascii="Arial Narrow" w:hAnsi="Arial Narrow" w:cs="Times New Roman"/>
                <w:noProof/>
                <w:color w:val="000000"/>
                <w:sz w:val="20"/>
                <w:highlight w:val="black"/>
              </w:rPr>
              <w:t>'''''''''''''''''</w:t>
            </w:r>
          </w:p>
        </w:tc>
        <w:tc>
          <w:tcPr>
            <w:tcW w:w="1184" w:type="pct"/>
          </w:tcPr>
          <w:p w:rsidR="00144D06" w:rsidRPr="004E2ADC" w:rsidRDefault="00144D06" w:rsidP="00144D06">
            <w:pPr>
              <w:jc w:val="right"/>
              <w:rPr>
                <w:rFonts w:ascii="Arial Narrow" w:hAnsi="Arial Narrow" w:cs="Times New Roman"/>
                <w:sz w:val="20"/>
              </w:rPr>
            </w:pPr>
            <w:r w:rsidRPr="00E11A98">
              <w:rPr>
                <w:rFonts w:ascii="Arial Narrow" w:hAnsi="Arial Narrow" w:cs="Times New Roman"/>
                <w:sz w:val="20"/>
              </w:rPr>
              <w:t>$</w:t>
            </w:r>
            <w:r w:rsidR="003349A8">
              <w:rPr>
                <w:rFonts w:ascii="Arial Narrow" w:hAnsi="Arial Narrow" w:cs="Times New Roman"/>
                <w:noProof/>
                <w:color w:val="000000"/>
                <w:sz w:val="20"/>
                <w:highlight w:val="black"/>
              </w:rPr>
              <w:t>'''''''''''''''</w:t>
            </w:r>
          </w:p>
        </w:tc>
      </w:tr>
      <w:tr w:rsidR="00144D06" w:rsidRPr="004E2ADC" w:rsidTr="001E6F7F">
        <w:tc>
          <w:tcPr>
            <w:tcW w:w="1253" w:type="pct"/>
            <w:vAlign w:val="center"/>
          </w:tcPr>
          <w:p w:rsidR="00144D06" w:rsidRPr="004E2ADC" w:rsidRDefault="00144D06" w:rsidP="00144D06">
            <w:pPr>
              <w:jc w:val="left"/>
              <w:rPr>
                <w:rFonts w:ascii="Arial Narrow" w:hAnsi="Arial Narrow" w:cs="Times New Roman"/>
                <w:sz w:val="20"/>
              </w:rPr>
            </w:pPr>
            <w:r>
              <w:rPr>
                <w:rFonts w:ascii="Arial Narrow" w:hAnsi="Arial Narrow" w:cs="Times New Roman"/>
                <w:sz w:val="20"/>
              </w:rPr>
              <w:t>LYs</w:t>
            </w:r>
          </w:p>
        </w:tc>
        <w:tc>
          <w:tcPr>
            <w:tcW w:w="1282" w:type="pct"/>
          </w:tcPr>
          <w:p w:rsidR="00144D06" w:rsidRPr="004E2ADC" w:rsidRDefault="00144D06" w:rsidP="00144D06">
            <w:pPr>
              <w:jc w:val="center"/>
              <w:rPr>
                <w:rFonts w:ascii="Arial Narrow" w:hAnsi="Arial Narrow" w:cs="Times New Roman"/>
                <w:sz w:val="20"/>
              </w:rPr>
            </w:pPr>
            <w:r>
              <w:rPr>
                <w:rFonts w:ascii="Arial Narrow" w:hAnsi="Arial Narrow" w:cs="Times New Roman"/>
                <w:sz w:val="20"/>
              </w:rPr>
              <w:t>2.00</w:t>
            </w:r>
          </w:p>
        </w:tc>
        <w:tc>
          <w:tcPr>
            <w:tcW w:w="1281" w:type="pct"/>
            <w:vAlign w:val="center"/>
          </w:tcPr>
          <w:p w:rsidR="00144D06" w:rsidRPr="004E2ADC" w:rsidRDefault="00144D06" w:rsidP="00144D06">
            <w:pPr>
              <w:jc w:val="center"/>
              <w:rPr>
                <w:rFonts w:ascii="Arial Narrow" w:hAnsi="Arial Narrow" w:cs="Times New Roman"/>
                <w:sz w:val="20"/>
              </w:rPr>
            </w:pPr>
            <w:r>
              <w:rPr>
                <w:rFonts w:ascii="Arial Narrow" w:hAnsi="Arial Narrow" w:cs="Times New Roman"/>
                <w:sz w:val="20"/>
              </w:rPr>
              <w:t>1.22</w:t>
            </w:r>
          </w:p>
        </w:tc>
        <w:tc>
          <w:tcPr>
            <w:tcW w:w="1184" w:type="pct"/>
          </w:tcPr>
          <w:p w:rsidR="00144D06" w:rsidRPr="004E2ADC" w:rsidRDefault="00144D06" w:rsidP="00144D06">
            <w:pPr>
              <w:jc w:val="center"/>
              <w:rPr>
                <w:rFonts w:ascii="Arial Narrow" w:hAnsi="Arial Narrow" w:cs="Times New Roman"/>
                <w:sz w:val="20"/>
              </w:rPr>
            </w:pPr>
            <w:r>
              <w:rPr>
                <w:rFonts w:ascii="Arial Narrow" w:hAnsi="Arial Narrow" w:cs="Times New Roman"/>
                <w:sz w:val="20"/>
              </w:rPr>
              <w:t>0.77</w:t>
            </w:r>
          </w:p>
        </w:tc>
      </w:tr>
      <w:tr w:rsidR="00144D06" w:rsidRPr="004E2ADC" w:rsidTr="001E6F7F">
        <w:tc>
          <w:tcPr>
            <w:tcW w:w="1253" w:type="pct"/>
            <w:vAlign w:val="center"/>
          </w:tcPr>
          <w:p w:rsidR="00144D06" w:rsidRDefault="00144D06" w:rsidP="00144D06">
            <w:pPr>
              <w:jc w:val="left"/>
              <w:rPr>
                <w:rFonts w:ascii="Arial Narrow" w:hAnsi="Arial Narrow" w:cs="Times New Roman"/>
                <w:sz w:val="20"/>
              </w:rPr>
            </w:pPr>
            <w:r>
              <w:rPr>
                <w:rFonts w:ascii="Arial Narrow" w:hAnsi="Arial Narrow" w:cs="Times New Roman"/>
                <w:sz w:val="20"/>
              </w:rPr>
              <w:t>QALYs</w:t>
            </w:r>
          </w:p>
        </w:tc>
        <w:tc>
          <w:tcPr>
            <w:tcW w:w="1282" w:type="pct"/>
          </w:tcPr>
          <w:p w:rsidR="00144D06" w:rsidRPr="004E2ADC" w:rsidRDefault="00144D06" w:rsidP="00144D06">
            <w:pPr>
              <w:jc w:val="center"/>
              <w:rPr>
                <w:rFonts w:ascii="Arial Narrow" w:hAnsi="Arial Narrow" w:cs="Times New Roman"/>
                <w:sz w:val="20"/>
              </w:rPr>
            </w:pPr>
            <w:r>
              <w:rPr>
                <w:rFonts w:ascii="Arial Narrow" w:hAnsi="Arial Narrow" w:cs="Times New Roman"/>
                <w:sz w:val="20"/>
              </w:rPr>
              <w:t>1.50</w:t>
            </w:r>
          </w:p>
        </w:tc>
        <w:tc>
          <w:tcPr>
            <w:tcW w:w="1281" w:type="pct"/>
            <w:vAlign w:val="center"/>
          </w:tcPr>
          <w:p w:rsidR="00144D06" w:rsidRPr="004E2ADC" w:rsidRDefault="00144D06" w:rsidP="00144D06">
            <w:pPr>
              <w:jc w:val="center"/>
              <w:rPr>
                <w:rFonts w:ascii="Arial Narrow" w:hAnsi="Arial Narrow" w:cs="Times New Roman"/>
                <w:sz w:val="20"/>
              </w:rPr>
            </w:pPr>
            <w:r>
              <w:rPr>
                <w:rFonts w:ascii="Arial Narrow" w:hAnsi="Arial Narrow" w:cs="Times New Roman"/>
                <w:sz w:val="20"/>
              </w:rPr>
              <w:t>0.85</w:t>
            </w:r>
          </w:p>
        </w:tc>
        <w:tc>
          <w:tcPr>
            <w:tcW w:w="1184" w:type="pct"/>
          </w:tcPr>
          <w:p w:rsidR="00144D06" w:rsidRPr="004E2ADC" w:rsidRDefault="00144D06" w:rsidP="00144D06">
            <w:pPr>
              <w:jc w:val="center"/>
              <w:rPr>
                <w:rFonts w:ascii="Arial Narrow" w:hAnsi="Arial Narrow" w:cs="Times New Roman"/>
                <w:sz w:val="20"/>
              </w:rPr>
            </w:pPr>
            <w:r>
              <w:rPr>
                <w:rFonts w:ascii="Arial Narrow" w:hAnsi="Arial Narrow" w:cs="Times New Roman"/>
                <w:sz w:val="20"/>
              </w:rPr>
              <w:t>0.65</w:t>
            </w:r>
          </w:p>
        </w:tc>
      </w:tr>
      <w:tr w:rsidR="00144D06" w:rsidRPr="004E2ADC" w:rsidTr="001E6F7F">
        <w:tc>
          <w:tcPr>
            <w:tcW w:w="3816" w:type="pct"/>
            <w:gridSpan w:val="3"/>
            <w:vAlign w:val="center"/>
          </w:tcPr>
          <w:p w:rsidR="00144D06" w:rsidRPr="004E2ADC" w:rsidRDefault="00144D06" w:rsidP="00144D06">
            <w:pPr>
              <w:jc w:val="left"/>
              <w:rPr>
                <w:rFonts w:ascii="Arial Narrow" w:hAnsi="Arial Narrow" w:cs="Times New Roman"/>
                <w:b/>
                <w:sz w:val="20"/>
              </w:rPr>
            </w:pPr>
            <w:r w:rsidRPr="004E2ADC">
              <w:rPr>
                <w:rFonts w:ascii="Arial Narrow" w:hAnsi="Arial Narrow" w:cs="Times New Roman"/>
                <w:b/>
                <w:sz w:val="20"/>
              </w:rPr>
              <w:t xml:space="preserve">Incremental cost/extra </w:t>
            </w:r>
            <w:r>
              <w:rPr>
                <w:rFonts w:ascii="Arial Narrow" w:hAnsi="Arial Narrow" w:cs="Times New Roman"/>
                <w:b/>
                <w:sz w:val="20"/>
              </w:rPr>
              <w:t>LY</w:t>
            </w:r>
            <w:r w:rsidRPr="004E2ADC">
              <w:rPr>
                <w:rFonts w:ascii="Arial Narrow" w:hAnsi="Arial Narrow" w:cs="Times New Roman"/>
                <w:b/>
                <w:sz w:val="20"/>
              </w:rPr>
              <w:t xml:space="preserve"> gained</w:t>
            </w:r>
          </w:p>
        </w:tc>
        <w:tc>
          <w:tcPr>
            <w:tcW w:w="1184" w:type="pct"/>
          </w:tcPr>
          <w:p w:rsidR="00144D06" w:rsidRPr="00E11A98" w:rsidRDefault="00144D06" w:rsidP="00144D06">
            <w:pPr>
              <w:jc w:val="right"/>
              <w:rPr>
                <w:rFonts w:ascii="Arial Narrow" w:hAnsi="Arial Narrow" w:cs="Times New Roman"/>
                <w:b/>
                <w:sz w:val="20"/>
              </w:rPr>
            </w:pPr>
            <w:r w:rsidRPr="00E11A98">
              <w:rPr>
                <w:rFonts w:ascii="Arial Narrow" w:hAnsi="Arial Narrow" w:cs="Times New Roman"/>
                <w:b/>
                <w:sz w:val="20"/>
              </w:rPr>
              <w:t>$</w:t>
            </w:r>
            <w:r w:rsidR="003349A8">
              <w:rPr>
                <w:rFonts w:ascii="Arial Narrow" w:hAnsi="Arial Narrow" w:cs="Times New Roman"/>
                <w:b/>
                <w:noProof/>
                <w:color w:val="000000"/>
                <w:sz w:val="20"/>
                <w:highlight w:val="black"/>
              </w:rPr>
              <w:t>''''''''''''''</w:t>
            </w:r>
          </w:p>
        </w:tc>
      </w:tr>
      <w:tr w:rsidR="00144D06" w:rsidRPr="004E2ADC" w:rsidTr="001E6F7F">
        <w:tc>
          <w:tcPr>
            <w:tcW w:w="3816" w:type="pct"/>
            <w:gridSpan w:val="3"/>
            <w:vAlign w:val="center"/>
          </w:tcPr>
          <w:p w:rsidR="00144D06" w:rsidRPr="004E2ADC" w:rsidRDefault="00144D06" w:rsidP="00144D06">
            <w:pPr>
              <w:jc w:val="left"/>
              <w:rPr>
                <w:rFonts w:ascii="Arial Narrow" w:hAnsi="Arial Narrow" w:cs="Times New Roman"/>
                <w:b/>
                <w:sz w:val="20"/>
              </w:rPr>
            </w:pPr>
            <w:r w:rsidRPr="004E2ADC">
              <w:rPr>
                <w:rFonts w:ascii="Arial Narrow" w:hAnsi="Arial Narrow" w:cs="Times New Roman"/>
                <w:b/>
                <w:sz w:val="20"/>
              </w:rPr>
              <w:t xml:space="preserve">Incremental cost/extra </w:t>
            </w:r>
            <w:r>
              <w:rPr>
                <w:rFonts w:ascii="Arial Narrow" w:hAnsi="Arial Narrow" w:cs="Times New Roman"/>
                <w:b/>
                <w:sz w:val="20"/>
              </w:rPr>
              <w:t>QALY</w:t>
            </w:r>
            <w:r w:rsidRPr="004E2ADC">
              <w:rPr>
                <w:rFonts w:ascii="Arial Narrow" w:hAnsi="Arial Narrow" w:cs="Times New Roman"/>
                <w:b/>
                <w:sz w:val="20"/>
              </w:rPr>
              <w:t xml:space="preserve"> gained</w:t>
            </w:r>
          </w:p>
        </w:tc>
        <w:tc>
          <w:tcPr>
            <w:tcW w:w="1184" w:type="pct"/>
          </w:tcPr>
          <w:p w:rsidR="00144D06" w:rsidRPr="00E11A98" w:rsidRDefault="00144D06" w:rsidP="00144D06">
            <w:pPr>
              <w:jc w:val="right"/>
              <w:rPr>
                <w:rFonts w:ascii="Arial Narrow" w:hAnsi="Arial Narrow" w:cs="Times New Roman"/>
                <w:b/>
                <w:sz w:val="20"/>
              </w:rPr>
            </w:pPr>
            <w:r w:rsidRPr="00E11A98">
              <w:rPr>
                <w:rFonts w:ascii="Arial Narrow" w:hAnsi="Arial Narrow" w:cs="Times New Roman"/>
                <w:b/>
                <w:sz w:val="20"/>
              </w:rPr>
              <w:t>$</w:t>
            </w:r>
            <w:r w:rsidR="003349A8">
              <w:rPr>
                <w:rFonts w:ascii="Arial Narrow" w:hAnsi="Arial Narrow" w:cs="Times New Roman"/>
                <w:b/>
                <w:noProof/>
                <w:color w:val="000000"/>
                <w:sz w:val="20"/>
                <w:highlight w:val="black"/>
              </w:rPr>
              <w:t>'''''''''''''</w:t>
            </w:r>
          </w:p>
        </w:tc>
      </w:tr>
    </w:tbl>
    <w:p w:rsidR="00144D06" w:rsidRDefault="00144D06" w:rsidP="001E6F7F">
      <w:pPr>
        <w:pStyle w:val="TableFooter"/>
        <w:ind w:left="709"/>
      </w:pPr>
      <w:r>
        <w:t>LY=</w:t>
      </w:r>
      <w:r w:rsidR="001E6F7F">
        <w:t>life year; QALY</w:t>
      </w:r>
      <w:r>
        <w:t>=quality-adjusted life year</w:t>
      </w:r>
    </w:p>
    <w:p w:rsidR="009F5815" w:rsidRDefault="009F5815" w:rsidP="009F5815">
      <w:pPr>
        <w:pStyle w:val="TableFooter"/>
        <w:ind w:firstLine="720"/>
      </w:pPr>
      <w:r>
        <w:t>Drug costs are based on ex-manufacturer’s price</w:t>
      </w:r>
      <w:r w:rsidR="001E6F7F">
        <w:t>.</w:t>
      </w:r>
    </w:p>
    <w:p w:rsidR="00144D06" w:rsidRDefault="00144D06" w:rsidP="00144D06">
      <w:pPr>
        <w:pStyle w:val="TableFooter"/>
        <w:ind w:left="720"/>
      </w:pPr>
      <w:r w:rsidRPr="00D13A3E">
        <w:t xml:space="preserve">Source: </w:t>
      </w:r>
      <w:r>
        <w:t>Table 72, Table 74 and Table 75, Section D.5 of the submission</w:t>
      </w:r>
      <w:r w:rsidR="001E6F7F">
        <w:t>.</w:t>
      </w:r>
    </w:p>
    <w:p w:rsidR="00144D06" w:rsidRPr="008829BB" w:rsidRDefault="00144D06" w:rsidP="00144D06"/>
    <w:p w:rsidR="00144D06" w:rsidRPr="00200C65" w:rsidRDefault="00144D06" w:rsidP="00C61ED5">
      <w:pPr>
        <w:pStyle w:val="ListParagraph"/>
        <w:widowControl/>
        <w:numPr>
          <w:ilvl w:val="1"/>
          <w:numId w:val="2"/>
        </w:numPr>
        <w:rPr>
          <w:szCs w:val="22"/>
        </w:rPr>
      </w:pPr>
      <w:r w:rsidRPr="00200C65">
        <w:t xml:space="preserve">The largest cost component in the </w:t>
      </w:r>
      <w:r w:rsidR="001E6F7F" w:rsidRPr="00200C65">
        <w:t>docetaxel arm wa</w:t>
      </w:r>
      <w:r w:rsidRPr="00200C65">
        <w:t xml:space="preserve">s </w:t>
      </w:r>
      <w:r w:rsidR="004B56A4" w:rsidRPr="00200C65">
        <w:t xml:space="preserve">the </w:t>
      </w:r>
      <w:r w:rsidR="00965D2A" w:rsidRPr="00200C65">
        <w:t>‘</w:t>
      </w:r>
      <w:r w:rsidRPr="00200C65">
        <w:t>ongoing disease management costs</w:t>
      </w:r>
      <w:r w:rsidR="00965D2A" w:rsidRPr="00200C65">
        <w:t>’</w:t>
      </w:r>
      <w:r w:rsidRPr="00200C65">
        <w:t>, which contribute</w:t>
      </w:r>
      <w:r w:rsidR="001E6F7F" w:rsidRPr="00200C65">
        <w:t>d</w:t>
      </w:r>
      <w:r w:rsidRPr="00200C65">
        <w:t xml:space="preserve"> </w:t>
      </w:r>
      <w:r w:rsidR="00B42B8E" w:rsidRPr="00200C65">
        <w:t xml:space="preserve">as </w:t>
      </w:r>
      <w:r w:rsidR="00965D2A" w:rsidRPr="00200C65">
        <w:t>a</w:t>
      </w:r>
      <w:r w:rsidRPr="00200C65">
        <w:t xml:space="preserve"> cost-offset to the incremental cost difference between the two arms.</w:t>
      </w:r>
    </w:p>
    <w:p w:rsidR="00144D06" w:rsidRPr="00200C65" w:rsidRDefault="00144D06" w:rsidP="00144D06">
      <w:pPr>
        <w:widowControl/>
        <w:rPr>
          <w:szCs w:val="22"/>
        </w:rPr>
      </w:pPr>
    </w:p>
    <w:p w:rsidR="00144D06" w:rsidRPr="00200C65" w:rsidRDefault="00B35BA4" w:rsidP="00C61ED5">
      <w:pPr>
        <w:pStyle w:val="ListParagraph"/>
        <w:widowControl/>
        <w:numPr>
          <w:ilvl w:val="1"/>
          <w:numId w:val="2"/>
        </w:numPr>
        <w:rPr>
          <w:szCs w:val="22"/>
        </w:rPr>
      </w:pPr>
      <w:r w:rsidRPr="00200C65">
        <w:t>E</w:t>
      </w:r>
      <w:r w:rsidR="00144D06" w:rsidRPr="00200C65">
        <w:t>xtrapolati</w:t>
      </w:r>
      <w:r w:rsidRPr="00200C65">
        <w:t>ng</w:t>
      </w:r>
      <w:r w:rsidR="00B71AF1" w:rsidRPr="00200C65">
        <w:t xml:space="preserve"> health outcomes </w:t>
      </w:r>
      <w:r w:rsidR="00144D06" w:rsidRPr="00200C65">
        <w:t xml:space="preserve">to 10 years </w:t>
      </w:r>
      <w:r w:rsidR="00B71AF1" w:rsidRPr="00200C65">
        <w:t>without extrapolati</w:t>
      </w:r>
      <w:r w:rsidRPr="00200C65">
        <w:t>ng</w:t>
      </w:r>
      <w:r w:rsidR="00B71AF1" w:rsidRPr="00200C65">
        <w:t xml:space="preserve"> drug usage </w:t>
      </w:r>
      <w:r w:rsidR="00144D06" w:rsidRPr="00200C65">
        <w:t>substantially decreased the ICER in favour of nivolumab.</w:t>
      </w:r>
    </w:p>
    <w:p w:rsidR="00144D06" w:rsidRPr="00200C65" w:rsidRDefault="00144D06" w:rsidP="00144D06">
      <w:pPr>
        <w:widowControl/>
        <w:rPr>
          <w:szCs w:val="22"/>
        </w:rPr>
      </w:pPr>
    </w:p>
    <w:p w:rsidR="00144D06" w:rsidRDefault="00144D06" w:rsidP="00C61ED5">
      <w:pPr>
        <w:pStyle w:val="ListParagraph"/>
        <w:widowControl/>
        <w:numPr>
          <w:ilvl w:val="1"/>
          <w:numId w:val="2"/>
        </w:numPr>
        <w:rPr>
          <w:szCs w:val="22"/>
        </w:rPr>
      </w:pPr>
      <w:r>
        <w:rPr>
          <w:szCs w:val="22"/>
        </w:rPr>
        <w:t>The results of key sensitivity analyses are presented below.</w:t>
      </w:r>
    </w:p>
    <w:p w:rsidR="00406CF4" w:rsidRPr="001E5EBD" w:rsidRDefault="00406CF4">
      <w:pPr>
        <w:widowControl/>
        <w:jc w:val="left"/>
        <w:rPr>
          <w:szCs w:val="22"/>
        </w:rPr>
      </w:pPr>
    </w:p>
    <w:p w:rsidR="007F57FD" w:rsidRDefault="007F57FD">
      <w:pPr>
        <w:widowControl/>
        <w:jc w:val="left"/>
        <w:rPr>
          <w:rFonts w:ascii="Arial Narrow" w:hAnsi="Arial Narrow"/>
          <w:b/>
          <w:sz w:val="20"/>
        </w:rPr>
      </w:pPr>
      <w:r>
        <w:br w:type="page"/>
      </w:r>
    </w:p>
    <w:p w:rsidR="00144D06" w:rsidRDefault="00144D06" w:rsidP="00144D06">
      <w:pPr>
        <w:pStyle w:val="TableHeader"/>
        <w:ind w:left="720"/>
      </w:pPr>
      <w:r>
        <w:lastRenderedPageBreak/>
        <w:t>Table</w:t>
      </w:r>
      <w:r w:rsidR="00965D2A">
        <w:t xml:space="preserve"> </w:t>
      </w:r>
      <w:r w:rsidR="00EE50C0">
        <w:t>10</w:t>
      </w:r>
      <w:r>
        <w:t>: Results of key sensitivity analyses</w:t>
      </w:r>
    </w:p>
    <w:tbl>
      <w:tblPr>
        <w:tblStyle w:val="TableGrid"/>
        <w:tblW w:w="0" w:type="auto"/>
        <w:tblInd w:w="822" w:type="dxa"/>
        <w:tblLook w:val="04A0" w:firstRow="1" w:lastRow="0" w:firstColumn="1" w:lastColumn="0" w:noHBand="0" w:noVBand="1"/>
        <w:tblCaption w:val="Table 10: Results of key sensitivity analyses"/>
      </w:tblPr>
      <w:tblGrid>
        <w:gridCol w:w="1680"/>
        <w:gridCol w:w="4686"/>
        <w:gridCol w:w="1000"/>
        <w:gridCol w:w="1054"/>
      </w:tblGrid>
      <w:tr w:rsidR="00144D06" w:rsidTr="00D36062">
        <w:trPr>
          <w:tblHeader/>
        </w:trPr>
        <w:tc>
          <w:tcPr>
            <w:tcW w:w="1681" w:type="dxa"/>
          </w:tcPr>
          <w:p w:rsidR="00144D06" w:rsidRPr="00F301BC" w:rsidRDefault="00144D06" w:rsidP="00144D06">
            <w:pPr>
              <w:jc w:val="center"/>
              <w:rPr>
                <w:rFonts w:ascii="Arial Narrow" w:hAnsi="Arial Narrow"/>
                <w:b/>
                <w:sz w:val="20"/>
              </w:rPr>
            </w:pPr>
            <w:r w:rsidRPr="00F301BC">
              <w:rPr>
                <w:rFonts w:ascii="Arial Narrow" w:hAnsi="Arial Narrow"/>
                <w:b/>
                <w:sz w:val="20"/>
              </w:rPr>
              <w:t>Label</w:t>
            </w:r>
          </w:p>
        </w:tc>
        <w:tc>
          <w:tcPr>
            <w:tcW w:w="4693" w:type="dxa"/>
          </w:tcPr>
          <w:p w:rsidR="00144D06" w:rsidRPr="00F301BC" w:rsidRDefault="00144D06" w:rsidP="00144D06">
            <w:pPr>
              <w:jc w:val="center"/>
              <w:rPr>
                <w:rFonts w:ascii="Arial Narrow" w:hAnsi="Arial Narrow"/>
                <w:b/>
                <w:sz w:val="20"/>
              </w:rPr>
            </w:pPr>
            <w:r>
              <w:rPr>
                <w:rFonts w:ascii="Arial Narrow" w:hAnsi="Arial Narrow"/>
                <w:b/>
                <w:sz w:val="20"/>
              </w:rPr>
              <w:t>Model parameter</w:t>
            </w:r>
          </w:p>
        </w:tc>
        <w:tc>
          <w:tcPr>
            <w:tcW w:w="992" w:type="dxa"/>
          </w:tcPr>
          <w:p w:rsidR="00144D06" w:rsidRPr="00F301BC" w:rsidRDefault="00144D06" w:rsidP="00144D06">
            <w:pPr>
              <w:jc w:val="center"/>
              <w:rPr>
                <w:rFonts w:ascii="Arial Narrow" w:hAnsi="Arial Narrow"/>
                <w:b/>
                <w:sz w:val="20"/>
              </w:rPr>
            </w:pPr>
            <w:r>
              <w:rPr>
                <w:rFonts w:ascii="Arial Narrow" w:hAnsi="Arial Narrow"/>
                <w:b/>
                <w:sz w:val="20"/>
              </w:rPr>
              <w:t>$/LY</w:t>
            </w:r>
          </w:p>
        </w:tc>
        <w:tc>
          <w:tcPr>
            <w:tcW w:w="1054" w:type="dxa"/>
          </w:tcPr>
          <w:p w:rsidR="00144D06" w:rsidRPr="00F301BC" w:rsidRDefault="00144D06" w:rsidP="00144D06">
            <w:pPr>
              <w:jc w:val="center"/>
              <w:rPr>
                <w:rFonts w:ascii="Arial Narrow" w:hAnsi="Arial Narrow"/>
                <w:b/>
                <w:sz w:val="20"/>
              </w:rPr>
            </w:pPr>
            <w:r>
              <w:rPr>
                <w:rFonts w:ascii="Arial Narrow" w:hAnsi="Arial Narrow"/>
                <w:b/>
                <w:sz w:val="20"/>
              </w:rPr>
              <w:t>$/QALY</w:t>
            </w:r>
          </w:p>
        </w:tc>
      </w:tr>
      <w:tr w:rsidR="00144D06" w:rsidTr="001E6F7F">
        <w:tc>
          <w:tcPr>
            <w:tcW w:w="1681" w:type="dxa"/>
          </w:tcPr>
          <w:p w:rsidR="00144D06" w:rsidRPr="00F301BC" w:rsidRDefault="00144D06" w:rsidP="001E6F7F">
            <w:pPr>
              <w:jc w:val="left"/>
              <w:rPr>
                <w:rFonts w:ascii="Arial Narrow" w:hAnsi="Arial Narrow"/>
                <w:b/>
                <w:sz w:val="20"/>
              </w:rPr>
            </w:pPr>
            <w:r w:rsidRPr="00F301BC">
              <w:rPr>
                <w:rFonts w:ascii="Arial Narrow" w:hAnsi="Arial Narrow"/>
                <w:b/>
                <w:sz w:val="20"/>
              </w:rPr>
              <w:t>Base case</w:t>
            </w:r>
          </w:p>
        </w:tc>
        <w:tc>
          <w:tcPr>
            <w:tcW w:w="4693" w:type="dxa"/>
          </w:tcPr>
          <w:p w:rsidR="00144D06" w:rsidRPr="00F301BC" w:rsidRDefault="00144D06" w:rsidP="00144D06">
            <w:pPr>
              <w:rPr>
                <w:rFonts w:ascii="Arial Narrow" w:hAnsi="Arial Narrow"/>
                <w:b/>
                <w:sz w:val="20"/>
              </w:rPr>
            </w:pPr>
            <w:r w:rsidRPr="00F301BC">
              <w:rPr>
                <w:rFonts w:ascii="Arial Narrow" w:hAnsi="Arial Narrow"/>
                <w:b/>
                <w:sz w:val="20"/>
              </w:rPr>
              <w:t>Base case</w:t>
            </w:r>
          </w:p>
        </w:tc>
        <w:tc>
          <w:tcPr>
            <w:tcW w:w="992" w:type="dxa"/>
          </w:tcPr>
          <w:p w:rsidR="00144D06" w:rsidRPr="00F301BC" w:rsidRDefault="00144D06" w:rsidP="00144D06">
            <w:pPr>
              <w:jc w:val="right"/>
              <w:rPr>
                <w:rFonts w:ascii="Arial Narrow" w:hAnsi="Arial Narrow"/>
                <w:b/>
                <w:sz w:val="20"/>
              </w:rPr>
            </w:pPr>
            <w:r w:rsidRPr="00F301BC">
              <w:rPr>
                <w:rFonts w:ascii="Arial Narrow" w:hAnsi="Arial Narrow"/>
                <w:b/>
                <w:sz w:val="20"/>
              </w:rPr>
              <w:t>$</w:t>
            </w:r>
            <w:r w:rsidR="003349A8">
              <w:rPr>
                <w:rFonts w:ascii="Arial Narrow" w:hAnsi="Arial Narrow"/>
                <w:b/>
                <w:noProof/>
                <w:color w:val="000000"/>
                <w:sz w:val="20"/>
                <w:highlight w:val="black"/>
              </w:rPr>
              <w:t>'''''''''''''''</w:t>
            </w:r>
          </w:p>
        </w:tc>
        <w:tc>
          <w:tcPr>
            <w:tcW w:w="1054" w:type="dxa"/>
          </w:tcPr>
          <w:p w:rsidR="00144D06" w:rsidRPr="00F301BC" w:rsidRDefault="00144D06" w:rsidP="00144D06">
            <w:pPr>
              <w:jc w:val="right"/>
              <w:rPr>
                <w:rFonts w:ascii="Arial Narrow" w:hAnsi="Arial Narrow"/>
                <w:b/>
                <w:sz w:val="20"/>
              </w:rPr>
            </w:pPr>
            <w:r w:rsidRPr="00F301BC">
              <w:rPr>
                <w:rFonts w:ascii="Arial Narrow" w:hAnsi="Arial Narrow"/>
                <w:b/>
                <w:sz w:val="20"/>
              </w:rPr>
              <w:t>$</w:t>
            </w:r>
            <w:r w:rsidR="003349A8">
              <w:rPr>
                <w:rFonts w:ascii="Arial Narrow" w:hAnsi="Arial Narrow"/>
                <w:b/>
                <w:noProof/>
                <w:color w:val="000000"/>
                <w:sz w:val="20"/>
                <w:highlight w:val="black"/>
              </w:rPr>
              <w:t>'''''''''''''</w:t>
            </w:r>
          </w:p>
        </w:tc>
      </w:tr>
      <w:tr w:rsidR="00144D06" w:rsidTr="001E6F7F">
        <w:trPr>
          <w:trHeight w:val="207"/>
        </w:trPr>
        <w:tc>
          <w:tcPr>
            <w:tcW w:w="1681" w:type="dxa"/>
            <w:vMerge w:val="restart"/>
          </w:tcPr>
          <w:p w:rsidR="00144D06" w:rsidRPr="00F301BC" w:rsidRDefault="00144D06" w:rsidP="001E6F7F">
            <w:pPr>
              <w:jc w:val="left"/>
              <w:rPr>
                <w:rFonts w:ascii="Arial Narrow" w:hAnsi="Arial Narrow"/>
                <w:sz w:val="20"/>
              </w:rPr>
            </w:pPr>
            <w:r>
              <w:rPr>
                <w:rFonts w:ascii="Arial Narrow" w:hAnsi="Arial Narrow"/>
                <w:sz w:val="20"/>
              </w:rPr>
              <w:t>SA.1:</w:t>
            </w:r>
            <w:r w:rsidRPr="00A54BBA">
              <w:rPr>
                <w:rFonts w:ascii="Arial Narrow" w:hAnsi="Arial Narrow" w:cs="Times New Roman"/>
                <w:sz w:val="20"/>
              </w:rPr>
              <w:t xml:space="preserve"> </w:t>
            </w:r>
            <w:r>
              <w:rPr>
                <w:rFonts w:ascii="Arial Narrow" w:hAnsi="Arial Narrow" w:cs="Times New Roman"/>
                <w:sz w:val="20"/>
              </w:rPr>
              <w:t>OS and PFS</w:t>
            </w:r>
          </w:p>
        </w:tc>
        <w:tc>
          <w:tcPr>
            <w:tcW w:w="4693" w:type="dxa"/>
          </w:tcPr>
          <w:p w:rsidR="00144D06" w:rsidRPr="00F301BC" w:rsidRDefault="00144D06" w:rsidP="00144D06">
            <w:pPr>
              <w:widowControl/>
              <w:spacing w:before="20" w:after="20"/>
              <w:jc w:val="left"/>
              <w:rPr>
                <w:rFonts w:ascii="Arial Narrow" w:hAnsi="Arial Narrow"/>
                <w:sz w:val="20"/>
              </w:rPr>
            </w:pPr>
            <w:r w:rsidRPr="00A54BBA">
              <w:rPr>
                <w:rFonts w:ascii="Arial Narrow" w:eastAsia="Calibri" w:hAnsi="Arial Narrow" w:cs="Times New Roman"/>
                <w:sz w:val="20"/>
              </w:rPr>
              <w:t xml:space="preserve">Lower confidence </w:t>
            </w:r>
            <w:r>
              <w:rPr>
                <w:rFonts w:ascii="Arial Narrow" w:eastAsia="Calibri" w:hAnsi="Arial Narrow" w:cs="Times New Roman"/>
                <w:sz w:val="20"/>
              </w:rPr>
              <w:t>limits</w:t>
            </w:r>
          </w:p>
        </w:tc>
        <w:tc>
          <w:tcPr>
            <w:tcW w:w="992" w:type="dxa"/>
          </w:tcPr>
          <w:p w:rsidR="00144D06" w:rsidRPr="00F301BC" w:rsidRDefault="00144D06" w:rsidP="00144D06">
            <w:pPr>
              <w:jc w:val="right"/>
              <w:rPr>
                <w:rFonts w:ascii="Arial Narrow" w:hAnsi="Arial Narrow"/>
                <w:sz w:val="20"/>
              </w:rPr>
            </w:pPr>
            <w:r>
              <w:rPr>
                <w:rFonts w:ascii="Arial Narrow" w:hAnsi="Arial Narrow"/>
                <w:sz w:val="20"/>
              </w:rPr>
              <w:t>$</w:t>
            </w:r>
            <w:r w:rsidR="003349A8">
              <w:rPr>
                <w:rFonts w:ascii="Arial Narrow" w:hAnsi="Arial Narrow"/>
                <w:noProof/>
                <w:color w:val="000000"/>
                <w:sz w:val="20"/>
                <w:highlight w:val="black"/>
              </w:rPr>
              <w:t>''''''''''''''''</w:t>
            </w:r>
          </w:p>
        </w:tc>
        <w:tc>
          <w:tcPr>
            <w:tcW w:w="1054" w:type="dxa"/>
          </w:tcPr>
          <w:p w:rsidR="00144D06" w:rsidRPr="00F301BC" w:rsidRDefault="00144D06" w:rsidP="00144D06">
            <w:pPr>
              <w:jc w:val="right"/>
              <w:rPr>
                <w:rFonts w:ascii="Arial Narrow" w:hAnsi="Arial Narrow"/>
                <w:sz w:val="20"/>
              </w:rPr>
            </w:pPr>
            <w:r>
              <w:rPr>
                <w:rFonts w:ascii="Arial Narrow" w:hAnsi="Arial Narrow"/>
                <w:sz w:val="20"/>
              </w:rPr>
              <w:t>$</w:t>
            </w:r>
            <w:r w:rsidR="003349A8">
              <w:rPr>
                <w:rFonts w:ascii="Arial Narrow" w:hAnsi="Arial Narrow"/>
                <w:noProof/>
                <w:color w:val="000000"/>
                <w:sz w:val="20"/>
                <w:highlight w:val="black"/>
              </w:rPr>
              <w:t>''''''''''''''''</w:t>
            </w:r>
          </w:p>
        </w:tc>
      </w:tr>
      <w:tr w:rsidR="00144D06" w:rsidTr="001E6F7F">
        <w:trPr>
          <w:trHeight w:val="169"/>
        </w:trPr>
        <w:tc>
          <w:tcPr>
            <w:tcW w:w="1681" w:type="dxa"/>
            <w:vMerge/>
          </w:tcPr>
          <w:p w:rsidR="00144D06" w:rsidRDefault="00144D06" w:rsidP="001E6F7F">
            <w:pPr>
              <w:jc w:val="left"/>
              <w:rPr>
                <w:rFonts w:ascii="Arial Narrow" w:hAnsi="Arial Narrow"/>
                <w:sz w:val="20"/>
              </w:rPr>
            </w:pPr>
          </w:p>
        </w:tc>
        <w:tc>
          <w:tcPr>
            <w:tcW w:w="4693" w:type="dxa"/>
          </w:tcPr>
          <w:p w:rsidR="00144D06" w:rsidRPr="00A54BBA" w:rsidRDefault="00144D06" w:rsidP="00144D06">
            <w:pPr>
              <w:widowControl/>
              <w:spacing w:before="20" w:after="20"/>
              <w:jc w:val="left"/>
              <w:rPr>
                <w:rFonts w:ascii="Arial Narrow" w:eastAsia="Calibri" w:hAnsi="Arial Narrow" w:cs="Times New Roman"/>
                <w:sz w:val="20"/>
              </w:rPr>
            </w:pPr>
            <w:r w:rsidRPr="00A54BBA">
              <w:rPr>
                <w:rFonts w:ascii="Arial Narrow" w:eastAsia="Calibri" w:hAnsi="Arial Narrow" w:cs="Times New Roman"/>
                <w:sz w:val="20"/>
              </w:rPr>
              <w:t>Upper confidence</w:t>
            </w:r>
            <w:r>
              <w:rPr>
                <w:rFonts w:ascii="Arial Narrow" w:eastAsia="Calibri" w:hAnsi="Arial Narrow" w:cs="Times New Roman"/>
                <w:sz w:val="20"/>
              </w:rPr>
              <w:t xml:space="preserve"> limits</w:t>
            </w:r>
          </w:p>
        </w:tc>
        <w:tc>
          <w:tcPr>
            <w:tcW w:w="992" w:type="dxa"/>
          </w:tcPr>
          <w:p w:rsidR="00144D06" w:rsidRDefault="00144D06" w:rsidP="00144D06">
            <w:pPr>
              <w:jc w:val="right"/>
              <w:rPr>
                <w:rFonts w:ascii="Arial Narrow" w:hAnsi="Arial Narrow"/>
                <w:sz w:val="20"/>
              </w:rPr>
            </w:pPr>
            <w:r>
              <w:rPr>
                <w:rFonts w:ascii="Arial Narrow" w:hAnsi="Arial Narrow"/>
                <w:sz w:val="20"/>
              </w:rPr>
              <w:t>$</w:t>
            </w:r>
            <w:r w:rsidR="003349A8">
              <w:rPr>
                <w:rFonts w:ascii="Arial Narrow" w:hAnsi="Arial Narrow"/>
                <w:noProof/>
                <w:color w:val="000000"/>
                <w:sz w:val="20"/>
                <w:highlight w:val="black"/>
              </w:rPr>
              <w:t>'''''''''''''''</w:t>
            </w:r>
          </w:p>
        </w:tc>
        <w:tc>
          <w:tcPr>
            <w:tcW w:w="1054" w:type="dxa"/>
          </w:tcPr>
          <w:p w:rsidR="00144D06" w:rsidRDefault="00144D06" w:rsidP="00144D06">
            <w:pPr>
              <w:jc w:val="right"/>
              <w:rPr>
                <w:rFonts w:ascii="Arial Narrow" w:hAnsi="Arial Narrow"/>
                <w:sz w:val="20"/>
              </w:rPr>
            </w:pPr>
            <w:r>
              <w:rPr>
                <w:rFonts w:ascii="Arial Narrow" w:hAnsi="Arial Narrow"/>
                <w:sz w:val="20"/>
              </w:rPr>
              <w:t>$</w:t>
            </w:r>
            <w:r w:rsidR="003349A8">
              <w:rPr>
                <w:rFonts w:ascii="Arial Narrow" w:hAnsi="Arial Narrow"/>
                <w:noProof/>
                <w:color w:val="000000"/>
                <w:sz w:val="20"/>
                <w:highlight w:val="black"/>
              </w:rPr>
              <w:t>'''''''''''''''''</w:t>
            </w:r>
          </w:p>
        </w:tc>
      </w:tr>
      <w:tr w:rsidR="00144D06" w:rsidTr="001E6F7F">
        <w:trPr>
          <w:trHeight w:val="190"/>
        </w:trPr>
        <w:tc>
          <w:tcPr>
            <w:tcW w:w="1681" w:type="dxa"/>
            <w:vMerge w:val="restart"/>
          </w:tcPr>
          <w:p w:rsidR="00144D06" w:rsidRPr="00F301BC" w:rsidRDefault="00144D06" w:rsidP="001E6F7F">
            <w:pPr>
              <w:jc w:val="left"/>
              <w:rPr>
                <w:rFonts w:ascii="Arial Narrow" w:hAnsi="Arial Narrow"/>
                <w:sz w:val="20"/>
              </w:rPr>
            </w:pPr>
            <w:r>
              <w:rPr>
                <w:rFonts w:ascii="Arial Narrow" w:hAnsi="Arial Narrow"/>
                <w:sz w:val="20"/>
              </w:rPr>
              <w:t>SA.2: Point of extrapolation</w:t>
            </w:r>
          </w:p>
        </w:tc>
        <w:tc>
          <w:tcPr>
            <w:tcW w:w="4693" w:type="dxa"/>
          </w:tcPr>
          <w:p w:rsidR="00144D06" w:rsidRPr="00F301BC" w:rsidRDefault="00144D06" w:rsidP="00144D06">
            <w:pPr>
              <w:rPr>
                <w:rFonts w:ascii="Arial Narrow" w:hAnsi="Arial Narrow"/>
                <w:sz w:val="20"/>
              </w:rPr>
            </w:pPr>
            <w:r>
              <w:rPr>
                <w:rFonts w:ascii="Arial Narrow" w:hAnsi="Arial Narrow"/>
                <w:sz w:val="20"/>
              </w:rPr>
              <w:t>Median duration of follow-up</w:t>
            </w:r>
          </w:p>
        </w:tc>
        <w:tc>
          <w:tcPr>
            <w:tcW w:w="992" w:type="dxa"/>
          </w:tcPr>
          <w:p w:rsidR="00144D06" w:rsidRPr="00F301BC" w:rsidRDefault="00144D06" w:rsidP="00144D06">
            <w:pPr>
              <w:jc w:val="right"/>
              <w:rPr>
                <w:rFonts w:ascii="Arial Narrow" w:hAnsi="Arial Narrow"/>
                <w:sz w:val="20"/>
              </w:rPr>
            </w:pPr>
            <w:r>
              <w:rPr>
                <w:rFonts w:ascii="Arial Narrow" w:hAnsi="Arial Narrow"/>
                <w:sz w:val="20"/>
              </w:rPr>
              <w:t>$</w:t>
            </w:r>
            <w:r w:rsidR="003349A8">
              <w:rPr>
                <w:rFonts w:ascii="Arial Narrow" w:hAnsi="Arial Narrow"/>
                <w:noProof/>
                <w:color w:val="000000"/>
                <w:sz w:val="20"/>
                <w:highlight w:val="black"/>
              </w:rPr>
              <w:t>''''''''''''''''</w:t>
            </w:r>
          </w:p>
        </w:tc>
        <w:tc>
          <w:tcPr>
            <w:tcW w:w="1054" w:type="dxa"/>
          </w:tcPr>
          <w:p w:rsidR="00144D06" w:rsidRPr="00F301BC" w:rsidRDefault="00144D06" w:rsidP="00144D06">
            <w:pPr>
              <w:jc w:val="right"/>
              <w:rPr>
                <w:rFonts w:ascii="Arial Narrow" w:hAnsi="Arial Narrow"/>
                <w:sz w:val="20"/>
              </w:rPr>
            </w:pPr>
            <w:r>
              <w:rPr>
                <w:rFonts w:ascii="Arial Narrow" w:hAnsi="Arial Narrow"/>
                <w:sz w:val="20"/>
              </w:rPr>
              <w:t>$</w:t>
            </w:r>
            <w:r w:rsidR="003349A8">
              <w:rPr>
                <w:rFonts w:ascii="Arial Narrow" w:hAnsi="Arial Narrow"/>
                <w:noProof/>
                <w:color w:val="000000"/>
                <w:sz w:val="20"/>
                <w:highlight w:val="black"/>
              </w:rPr>
              <w:t>'''''''''''''''''</w:t>
            </w:r>
          </w:p>
        </w:tc>
      </w:tr>
      <w:tr w:rsidR="00144D06" w:rsidTr="001E6F7F">
        <w:trPr>
          <w:trHeight w:val="190"/>
        </w:trPr>
        <w:tc>
          <w:tcPr>
            <w:tcW w:w="1681" w:type="dxa"/>
            <w:vMerge/>
          </w:tcPr>
          <w:p w:rsidR="00144D06" w:rsidRDefault="00144D06" w:rsidP="001E6F7F">
            <w:pPr>
              <w:jc w:val="left"/>
              <w:rPr>
                <w:rFonts w:ascii="Arial Narrow" w:hAnsi="Arial Narrow"/>
                <w:sz w:val="20"/>
              </w:rPr>
            </w:pPr>
          </w:p>
        </w:tc>
        <w:tc>
          <w:tcPr>
            <w:tcW w:w="4693" w:type="dxa"/>
          </w:tcPr>
          <w:p w:rsidR="00144D06" w:rsidRPr="00F301BC" w:rsidRDefault="00144D06" w:rsidP="00144D06">
            <w:pPr>
              <w:rPr>
                <w:rFonts w:ascii="Arial Narrow" w:hAnsi="Arial Narrow"/>
                <w:sz w:val="20"/>
              </w:rPr>
            </w:pPr>
            <w:r>
              <w:rPr>
                <w:rFonts w:ascii="Arial Narrow" w:hAnsi="Arial Narrow"/>
                <w:sz w:val="20"/>
              </w:rPr>
              <w:t>End of available data</w:t>
            </w:r>
          </w:p>
        </w:tc>
        <w:tc>
          <w:tcPr>
            <w:tcW w:w="992" w:type="dxa"/>
          </w:tcPr>
          <w:p w:rsidR="00144D06" w:rsidRPr="00F301BC" w:rsidRDefault="00144D06" w:rsidP="00144D06">
            <w:pPr>
              <w:jc w:val="right"/>
              <w:rPr>
                <w:rFonts w:ascii="Arial Narrow" w:hAnsi="Arial Narrow"/>
                <w:sz w:val="20"/>
              </w:rPr>
            </w:pPr>
            <w:r>
              <w:rPr>
                <w:rFonts w:ascii="Arial Narrow" w:hAnsi="Arial Narrow"/>
                <w:sz w:val="20"/>
              </w:rPr>
              <w:t>$</w:t>
            </w:r>
            <w:r w:rsidR="003349A8">
              <w:rPr>
                <w:rFonts w:ascii="Arial Narrow" w:hAnsi="Arial Narrow"/>
                <w:noProof/>
                <w:color w:val="000000"/>
                <w:sz w:val="20"/>
                <w:highlight w:val="black"/>
              </w:rPr>
              <w:t>''''''''''''''''</w:t>
            </w:r>
          </w:p>
        </w:tc>
        <w:tc>
          <w:tcPr>
            <w:tcW w:w="1054" w:type="dxa"/>
          </w:tcPr>
          <w:p w:rsidR="00144D06" w:rsidRPr="00F301BC" w:rsidRDefault="00144D06" w:rsidP="00144D06">
            <w:pPr>
              <w:jc w:val="right"/>
              <w:rPr>
                <w:rFonts w:ascii="Arial Narrow" w:hAnsi="Arial Narrow"/>
                <w:sz w:val="20"/>
              </w:rPr>
            </w:pPr>
            <w:r>
              <w:rPr>
                <w:rFonts w:ascii="Arial Narrow" w:hAnsi="Arial Narrow"/>
                <w:sz w:val="20"/>
              </w:rPr>
              <w:t>$</w:t>
            </w:r>
            <w:r w:rsidR="003349A8">
              <w:rPr>
                <w:rFonts w:ascii="Arial Narrow" w:hAnsi="Arial Narrow"/>
                <w:noProof/>
                <w:color w:val="000000"/>
                <w:sz w:val="20"/>
                <w:highlight w:val="black"/>
              </w:rPr>
              <w:t>'''''''''''''''''</w:t>
            </w:r>
          </w:p>
        </w:tc>
      </w:tr>
      <w:tr w:rsidR="00144D06" w:rsidTr="001E6F7F">
        <w:tc>
          <w:tcPr>
            <w:tcW w:w="1681" w:type="dxa"/>
            <w:vMerge w:val="restart"/>
          </w:tcPr>
          <w:p w:rsidR="00144D06" w:rsidRDefault="00144D06" w:rsidP="001E6F7F">
            <w:pPr>
              <w:jc w:val="left"/>
              <w:rPr>
                <w:rFonts w:ascii="Arial Narrow" w:hAnsi="Arial Narrow"/>
                <w:sz w:val="20"/>
              </w:rPr>
            </w:pPr>
            <w:r>
              <w:rPr>
                <w:rFonts w:ascii="Arial Narrow" w:hAnsi="Arial Narrow"/>
                <w:sz w:val="20"/>
              </w:rPr>
              <w:t>SA.5: Method of extrapolation</w:t>
            </w:r>
          </w:p>
        </w:tc>
        <w:tc>
          <w:tcPr>
            <w:tcW w:w="4693" w:type="dxa"/>
          </w:tcPr>
          <w:p w:rsidR="00144D06" w:rsidRPr="00200C65" w:rsidRDefault="00144D06" w:rsidP="00144D06">
            <w:pPr>
              <w:rPr>
                <w:rFonts w:ascii="Arial Narrow" w:hAnsi="Arial Narrow"/>
                <w:sz w:val="20"/>
              </w:rPr>
            </w:pPr>
            <w:r w:rsidRPr="00200C65">
              <w:rPr>
                <w:rFonts w:ascii="Arial Narrow" w:hAnsi="Arial Narrow"/>
                <w:sz w:val="20"/>
              </w:rPr>
              <w:t>Log-logistic for nivolumab and docetaxel PFS and OS</w:t>
            </w:r>
            <w:r w:rsidRPr="00200C65">
              <w:rPr>
                <w:rFonts w:ascii="Arial Narrow" w:hAnsi="Arial Narrow"/>
                <w:sz w:val="20"/>
                <w:vertAlign w:val="superscript"/>
              </w:rPr>
              <w:t>#</w:t>
            </w:r>
          </w:p>
        </w:tc>
        <w:tc>
          <w:tcPr>
            <w:tcW w:w="992" w:type="dxa"/>
          </w:tcPr>
          <w:p w:rsidR="00144D06" w:rsidRPr="00200C65" w:rsidRDefault="00144D06" w:rsidP="00144D06">
            <w:pPr>
              <w:jc w:val="right"/>
              <w:rPr>
                <w:rFonts w:ascii="Arial Narrow" w:hAnsi="Arial Narrow"/>
                <w:sz w:val="20"/>
              </w:rPr>
            </w:pPr>
            <w:r w:rsidRPr="00200C65">
              <w:rPr>
                <w:rFonts w:ascii="Arial Narrow" w:hAnsi="Arial Narrow"/>
                <w:sz w:val="20"/>
              </w:rPr>
              <w:t>$</w:t>
            </w:r>
            <w:r w:rsidR="003349A8">
              <w:rPr>
                <w:rFonts w:ascii="Arial Narrow" w:hAnsi="Arial Narrow"/>
                <w:noProof/>
                <w:color w:val="000000"/>
                <w:sz w:val="20"/>
                <w:highlight w:val="black"/>
              </w:rPr>
              <w:t>''''''''''''''''</w:t>
            </w:r>
          </w:p>
        </w:tc>
        <w:tc>
          <w:tcPr>
            <w:tcW w:w="1054" w:type="dxa"/>
          </w:tcPr>
          <w:p w:rsidR="00144D06" w:rsidRPr="00200C65" w:rsidRDefault="00144D06" w:rsidP="00144D06">
            <w:pPr>
              <w:jc w:val="right"/>
              <w:rPr>
                <w:rFonts w:ascii="Arial Narrow" w:hAnsi="Arial Narrow"/>
                <w:sz w:val="20"/>
              </w:rPr>
            </w:pPr>
            <w:r w:rsidRPr="00200C65">
              <w:rPr>
                <w:rFonts w:ascii="Arial Narrow" w:hAnsi="Arial Narrow"/>
                <w:sz w:val="20"/>
              </w:rPr>
              <w:t>$</w:t>
            </w:r>
            <w:r w:rsidR="003349A8">
              <w:rPr>
                <w:rFonts w:ascii="Arial Narrow" w:hAnsi="Arial Narrow"/>
                <w:noProof/>
                <w:color w:val="000000"/>
                <w:sz w:val="20"/>
                <w:highlight w:val="black"/>
              </w:rPr>
              <w:t>''''''''''''''''</w:t>
            </w:r>
          </w:p>
        </w:tc>
      </w:tr>
      <w:tr w:rsidR="00144D06" w:rsidTr="001E6F7F">
        <w:tc>
          <w:tcPr>
            <w:tcW w:w="1681" w:type="dxa"/>
            <w:vMerge/>
          </w:tcPr>
          <w:p w:rsidR="00144D06" w:rsidRPr="00F301BC" w:rsidRDefault="00144D06" w:rsidP="001E6F7F">
            <w:pPr>
              <w:jc w:val="left"/>
              <w:rPr>
                <w:rFonts w:ascii="Arial Narrow" w:hAnsi="Arial Narrow"/>
                <w:sz w:val="20"/>
              </w:rPr>
            </w:pPr>
          </w:p>
        </w:tc>
        <w:tc>
          <w:tcPr>
            <w:tcW w:w="4693" w:type="dxa"/>
          </w:tcPr>
          <w:p w:rsidR="00144D06" w:rsidRPr="00200C65" w:rsidRDefault="00144D06" w:rsidP="00144D06">
            <w:pPr>
              <w:rPr>
                <w:rFonts w:ascii="Arial Narrow" w:hAnsi="Arial Narrow"/>
                <w:sz w:val="20"/>
              </w:rPr>
            </w:pPr>
            <w:r w:rsidRPr="00200C65">
              <w:rPr>
                <w:rFonts w:ascii="Arial Narrow" w:hAnsi="Arial Narrow"/>
                <w:sz w:val="20"/>
              </w:rPr>
              <w:t>Weibull for nivolumab and docetaxel PFS and OS</w:t>
            </w:r>
          </w:p>
        </w:tc>
        <w:tc>
          <w:tcPr>
            <w:tcW w:w="992" w:type="dxa"/>
          </w:tcPr>
          <w:p w:rsidR="00144D06" w:rsidRPr="00200C65" w:rsidRDefault="00144D06" w:rsidP="00144D06">
            <w:pPr>
              <w:jc w:val="right"/>
              <w:rPr>
                <w:rFonts w:ascii="Arial Narrow" w:hAnsi="Arial Narrow"/>
                <w:sz w:val="20"/>
              </w:rPr>
            </w:pPr>
            <w:r w:rsidRPr="00200C65">
              <w:rPr>
                <w:rFonts w:ascii="Arial Narrow" w:hAnsi="Arial Narrow"/>
                <w:sz w:val="20"/>
              </w:rPr>
              <w:t>$</w:t>
            </w:r>
            <w:r w:rsidR="003349A8">
              <w:rPr>
                <w:rFonts w:ascii="Arial Narrow" w:hAnsi="Arial Narrow"/>
                <w:noProof/>
                <w:color w:val="000000"/>
                <w:sz w:val="20"/>
                <w:highlight w:val="black"/>
              </w:rPr>
              <w:t>''''''''''''''''''''''</w:t>
            </w:r>
          </w:p>
        </w:tc>
        <w:tc>
          <w:tcPr>
            <w:tcW w:w="1054" w:type="dxa"/>
          </w:tcPr>
          <w:p w:rsidR="00144D06" w:rsidRPr="00200C65" w:rsidRDefault="00144D06" w:rsidP="00144D06">
            <w:pPr>
              <w:jc w:val="right"/>
              <w:rPr>
                <w:rFonts w:ascii="Arial Narrow" w:hAnsi="Arial Narrow"/>
                <w:sz w:val="20"/>
              </w:rPr>
            </w:pPr>
            <w:r w:rsidRPr="00200C65">
              <w:rPr>
                <w:rFonts w:ascii="Arial Narrow" w:hAnsi="Arial Narrow"/>
                <w:sz w:val="20"/>
              </w:rPr>
              <w:t>$</w:t>
            </w:r>
            <w:r w:rsidR="003349A8">
              <w:rPr>
                <w:rFonts w:ascii="Arial Narrow" w:hAnsi="Arial Narrow"/>
                <w:noProof/>
                <w:color w:val="000000"/>
                <w:sz w:val="20"/>
                <w:highlight w:val="black"/>
              </w:rPr>
              <w:t>''''''''''''''''''''''</w:t>
            </w:r>
          </w:p>
        </w:tc>
      </w:tr>
      <w:tr w:rsidR="00144D06" w:rsidTr="001E6F7F">
        <w:trPr>
          <w:trHeight w:val="190"/>
        </w:trPr>
        <w:tc>
          <w:tcPr>
            <w:tcW w:w="1681" w:type="dxa"/>
            <w:vMerge w:val="restart"/>
          </w:tcPr>
          <w:p w:rsidR="00144D06" w:rsidRDefault="00144D06" w:rsidP="001E6F7F">
            <w:pPr>
              <w:jc w:val="left"/>
              <w:rPr>
                <w:rFonts w:ascii="Arial Narrow" w:hAnsi="Arial Narrow"/>
                <w:sz w:val="20"/>
              </w:rPr>
            </w:pPr>
            <w:r>
              <w:rPr>
                <w:rFonts w:ascii="Arial Narrow" w:hAnsi="Arial Narrow"/>
                <w:sz w:val="20"/>
              </w:rPr>
              <w:t>SA.6: Utility value</w:t>
            </w:r>
          </w:p>
        </w:tc>
        <w:tc>
          <w:tcPr>
            <w:tcW w:w="4693" w:type="dxa"/>
          </w:tcPr>
          <w:p w:rsidR="00144D06" w:rsidRDefault="00144D06" w:rsidP="00144D06">
            <w:pPr>
              <w:rPr>
                <w:rFonts w:ascii="Arial Narrow" w:hAnsi="Arial Narrow"/>
                <w:sz w:val="20"/>
              </w:rPr>
            </w:pPr>
            <w:r>
              <w:rPr>
                <w:rFonts w:ascii="Arial Narrow" w:hAnsi="Arial Narrow"/>
                <w:sz w:val="20"/>
              </w:rPr>
              <w:t>Overall nivolumab and docetaxel utility values (not arm specific)</w:t>
            </w:r>
          </w:p>
        </w:tc>
        <w:tc>
          <w:tcPr>
            <w:tcW w:w="992" w:type="dxa"/>
          </w:tcPr>
          <w:p w:rsidR="00144D06" w:rsidRDefault="00144D06" w:rsidP="00144D06">
            <w:pPr>
              <w:jc w:val="right"/>
              <w:rPr>
                <w:rFonts w:ascii="Arial Narrow" w:hAnsi="Arial Narrow"/>
                <w:sz w:val="20"/>
              </w:rPr>
            </w:pPr>
            <w:r>
              <w:rPr>
                <w:rFonts w:ascii="Arial Narrow" w:hAnsi="Arial Narrow"/>
                <w:sz w:val="20"/>
              </w:rPr>
              <w:t>$</w:t>
            </w:r>
            <w:r w:rsidR="003349A8">
              <w:rPr>
                <w:rFonts w:ascii="Arial Narrow" w:hAnsi="Arial Narrow"/>
                <w:noProof/>
                <w:color w:val="000000"/>
                <w:sz w:val="20"/>
                <w:highlight w:val="black"/>
              </w:rPr>
              <w:t>'''''''''''''''</w:t>
            </w:r>
          </w:p>
        </w:tc>
        <w:tc>
          <w:tcPr>
            <w:tcW w:w="1054" w:type="dxa"/>
          </w:tcPr>
          <w:p w:rsidR="00144D06" w:rsidRDefault="00144D06" w:rsidP="00144D06">
            <w:pPr>
              <w:jc w:val="right"/>
              <w:rPr>
                <w:rFonts w:ascii="Arial Narrow" w:hAnsi="Arial Narrow"/>
                <w:sz w:val="20"/>
              </w:rPr>
            </w:pPr>
            <w:r>
              <w:rPr>
                <w:rFonts w:ascii="Arial Narrow" w:hAnsi="Arial Narrow"/>
                <w:sz w:val="20"/>
              </w:rPr>
              <w:t>$</w:t>
            </w:r>
            <w:r w:rsidR="003349A8">
              <w:rPr>
                <w:rFonts w:ascii="Arial Narrow" w:hAnsi="Arial Narrow"/>
                <w:noProof/>
                <w:color w:val="000000"/>
                <w:sz w:val="20"/>
                <w:highlight w:val="black"/>
              </w:rPr>
              <w:t>''''''''''''''''</w:t>
            </w:r>
          </w:p>
        </w:tc>
      </w:tr>
      <w:tr w:rsidR="00144D06" w:rsidTr="001E6F7F">
        <w:trPr>
          <w:trHeight w:val="190"/>
        </w:trPr>
        <w:tc>
          <w:tcPr>
            <w:tcW w:w="1681" w:type="dxa"/>
            <w:vMerge/>
          </w:tcPr>
          <w:p w:rsidR="00144D06" w:rsidRDefault="00144D06" w:rsidP="001E6F7F">
            <w:pPr>
              <w:jc w:val="left"/>
              <w:rPr>
                <w:rFonts w:ascii="Arial Narrow" w:hAnsi="Arial Narrow"/>
                <w:sz w:val="20"/>
              </w:rPr>
            </w:pPr>
          </w:p>
        </w:tc>
        <w:tc>
          <w:tcPr>
            <w:tcW w:w="4693" w:type="dxa"/>
          </w:tcPr>
          <w:p w:rsidR="00144D06" w:rsidRPr="00200C65" w:rsidRDefault="00144D06" w:rsidP="00144D06">
            <w:pPr>
              <w:rPr>
                <w:rFonts w:ascii="Arial Narrow" w:hAnsi="Arial Narrow"/>
                <w:sz w:val="20"/>
              </w:rPr>
            </w:pPr>
            <w:r w:rsidRPr="00200C65">
              <w:rPr>
                <w:rFonts w:ascii="Arial Narrow" w:hAnsi="Arial Narrow"/>
                <w:sz w:val="20"/>
              </w:rPr>
              <w:t>Utility for progressive disease is assumed to be 0.59 in both arms*</w:t>
            </w:r>
          </w:p>
        </w:tc>
        <w:tc>
          <w:tcPr>
            <w:tcW w:w="992" w:type="dxa"/>
          </w:tcPr>
          <w:p w:rsidR="00144D06" w:rsidRPr="00200C65" w:rsidRDefault="00144D06" w:rsidP="00144D06">
            <w:pPr>
              <w:jc w:val="right"/>
              <w:rPr>
                <w:rFonts w:ascii="Arial Narrow" w:hAnsi="Arial Narrow"/>
                <w:sz w:val="20"/>
              </w:rPr>
            </w:pPr>
            <w:r w:rsidRPr="00200C65">
              <w:rPr>
                <w:rFonts w:ascii="Arial Narrow" w:hAnsi="Arial Narrow"/>
                <w:sz w:val="20"/>
              </w:rPr>
              <w:t>$</w:t>
            </w:r>
            <w:r w:rsidR="003349A8">
              <w:rPr>
                <w:rFonts w:ascii="Arial Narrow" w:hAnsi="Arial Narrow"/>
                <w:noProof/>
                <w:color w:val="000000"/>
                <w:sz w:val="20"/>
                <w:highlight w:val="black"/>
              </w:rPr>
              <w:t>'''''''''''''''''</w:t>
            </w:r>
          </w:p>
        </w:tc>
        <w:tc>
          <w:tcPr>
            <w:tcW w:w="1054" w:type="dxa"/>
          </w:tcPr>
          <w:p w:rsidR="00144D06" w:rsidRPr="00200C65" w:rsidRDefault="00144D06" w:rsidP="00144D06">
            <w:pPr>
              <w:jc w:val="right"/>
              <w:rPr>
                <w:rFonts w:ascii="Arial Narrow" w:hAnsi="Arial Narrow"/>
                <w:sz w:val="20"/>
              </w:rPr>
            </w:pPr>
            <w:r w:rsidRPr="00200C65">
              <w:rPr>
                <w:rFonts w:ascii="Arial Narrow" w:hAnsi="Arial Narrow"/>
                <w:sz w:val="20"/>
              </w:rPr>
              <w:t>$</w:t>
            </w:r>
            <w:r w:rsidR="003349A8">
              <w:rPr>
                <w:rFonts w:ascii="Arial Narrow" w:hAnsi="Arial Narrow"/>
                <w:noProof/>
                <w:color w:val="000000"/>
                <w:sz w:val="20"/>
                <w:highlight w:val="black"/>
              </w:rPr>
              <w:t>'''''''''''''''</w:t>
            </w:r>
          </w:p>
        </w:tc>
      </w:tr>
      <w:tr w:rsidR="00144D06" w:rsidTr="001E6F7F">
        <w:trPr>
          <w:trHeight w:val="380"/>
        </w:trPr>
        <w:tc>
          <w:tcPr>
            <w:tcW w:w="1681" w:type="dxa"/>
            <w:vMerge w:val="restart"/>
          </w:tcPr>
          <w:p w:rsidR="00144D06" w:rsidRDefault="00144D06" w:rsidP="001E6F7F">
            <w:pPr>
              <w:jc w:val="left"/>
              <w:rPr>
                <w:rFonts w:ascii="Arial Narrow" w:hAnsi="Arial Narrow"/>
                <w:sz w:val="20"/>
              </w:rPr>
            </w:pPr>
            <w:r>
              <w:rPr>
                <w:rFonts w:ascii="Arial Narrow" w:hAnsi="Arial Narrow"/>
                <w:sz w:val="20"/>
              </w:rPr>
              <w:t>SA.7: Ongoing disease management costs</w:t>
            </w:r>
          </w:p>
        </w:tc>
        <w:tc>
          <w:tcPr>
            <w:tcW w:w="4693" w:type="dxa"/>
          </w:tcPr>
          <w:p w:rsidR="00144D06" w:rsidRPr="00200C65" w:rsidRDefault="00144D06" w:rsidP="00144D06">
            <w:pPr>
              <w:rPr>
                <w:rFonts w:ascii="Arial Narrow" w:hAnsi="Arial Narrow"/>
                <w:sz w:val="20"/>
              </w:rPr>
            </w:pPr>
            <w:r w:rsidRPr="00200C65">
              <w:rPr>
                <w:rFonts w:ascii="Arial Narrow" w:hAnsi="Arial Narrow"/>
                <w:sz w:val="20"/>
              </w:rPr>
              <w:t>Docetaxel and nivolumab pre-progression and post-progression costs equal</w:t>
            </w:r>
          </w:p>
        </w:tc>
        <w:tc>
          <w:tcPr>
            <w:tcW w:w="992" w:type="dxa"/>
          </w:tcPr>
          <w:p w:rsidR="00144D06" w:rsidRPr="00200C65" w:rsidRDefault="00144D06" w:rsidP="00144D06">
            <w:pPr>
              <w:jc w:val="right"/>
              <w:rPr>
                <w:rFonts w:ascii="Arial Narrow" w:hAnsi="Arial Narrow"/>
                <w:sz w:val="20"/>
              </w:rPr>
            </w:pPr>
            <w:r w:rsidRPr="00200C65">
              <w:rPr>
                <w:rFonts w:ascii="Arial Narrow" w:hAnsi="Arial Narrow"/>
                <w:sz w:val="20"/>
              </w:rPr>
              <w:t>$</w:t>
            </w:r>
            <w:r w:rsidR="003349A8">
              <w:rPr>
                <w:rFonts w:ascii="Arial Narrow" w:hAnsi="Arial Narrow"/>
                <w:noProof/>
                <w:color w:val="000000"/>
                <w:sz w:val="20"/>
                <w:highlight w:val="black"/>
              </w:rPr>
              <w:t>'''''''''''''''</w:t>
            </w:r>
          </w:p>
        </w:tc>
        <w:tc>
          <w:tcPr>
            <w:tcW w:w="1054" w:type="dxa"/>
          </w:tcPr>
          <w:p w:rsidR="00144D06" w:rsidRPr="00200C65" w:rsidRDefault="00144D06" w:rsidP="00144D06">
            <w:pPr>
              <w:jc w:val="right"/>
              <w:rPr>
                <w:rFonts w:ascii="Arial Narrow" w:hAnsi="Arial Narrow"/>
                <w:sz w:val="20"/>
              </w:rPr>
            </w:pPr>
            <w:r w:rsidRPr="00200C65">
              <w:rPr>
                <w:rFonts w:ascii="Arial Narrow" w:hAnsi="Arial Narrow"/>
                <w:sz w:val="20"/>
              </w:rPr>
              <w:t>$</w:t>
            </w:r>
            <w:r w:rsidR="003349A8">
              <w:rPr>
                <w:rFonts w:ascii="Arial Narrow" w:hAnsi="Arial Narrow"/>
                <w:noProof/>
                <w:color w:val="000000"/>
                <w:sz w:val="20"/>
                <w:highlight w:val="black"/>
              </w:rPr>
              <w:t>'''''''''''''''</w:t>
            </w:r>
          </w:p>
        </w:tc>
      </w:tr>
      <w:tr w:rsidR="00144D06" w:rsidTr="001E6F7F">
        <w:trPr>
          <w:trHeight w:val="380"/>
        </w:trPr>
        <w:tc>
          <w:tcPr>
            <w:tcW w:w="1681" w:type="dxa"/>
            <w:vMerge/>
          </w:tcPr>
          <w:p w:rsidR="00144D06" w:rsidRDefault="00144D06" w:rsidP="001E6F7F">
            <w:pPr>
              <w:jc w:val="left"/>
              <w:rPr>
                <w:rFonts w:ascii="Arial Narrow" w:hAnsi="Arial Narrow"/>
                <w:sz w:val="20"/>
              </w:rPr>
            </w:pPr>
          </w:p>
        </w:tc>
        <w:tc>
          <w:tcPr>
            <w:tcW w:w="4693" w:type="dxa"/>
          </w:tcPr>
          <w:p w:rsidR="00144D06" w:rsidRPr="00200C65" w:rsidRDefault="00144D06" w:rsidP="00144D06">
            <w:pPr>
              <w:rPr>
                <w:rFonts w:ascii="Arial Narrow" w:hAnsi="Arial Narrow"/>
                <w:sz w:val="20"/>
              </w:rPr>
            </w:pPr>
            <w:r w:rsidRPr="00200C65">
              <w:rPr>
                <w:rFonts w:ascii="Arial Narrow" w:hAnsi="Arial Narrow"/>
                <w:sz w:val="20"/>
              </w:rPr>
              <w:t>Post-progression costs equal regardless of years spent in progressive disease</w:t>
            </w:r>
          </w:p>
        </w:tc>
        <w:tc>
          <w:tcPr>
            <w:tcW w:w="992" w:type="dxa"/>
          </w:tcPr>
          <w:p w:rsidR="00144D06" w:rsidRPr="00200C65" w:rsidRDefault="00144D06" w:rsidP="00144D06">
            <w:pPr>
              <w:jc w:val="right"/>
              <w:rPr>
                <w:rFonts w:ascii="Arial Narrow" w:hAnsi="Arial Narrow"/>
                <w:sz w:val="20"/>
              </w:rPr>
            </w:pPr>
            <w:r w:rsidRPr="00200C65">
              <w:rPr>
                <w:rFonts w:ascii="Arial Narrow" w:hAnsi="Arial Narrow"/>
                <w:sz w:val="20"/>
              </w:rPr>
              <w:t>$</w:t>
            </w:r>
            <w:r w:rsidR="003349A8">
              <w:rPr>
                <w:rFonts w:ascii="Arial Narrow" w:hAnsi="Arial Narrow"/>
                <w:noProof/>
                <w:color w:val="000000"/>
                <w:sz w:val="20"/>
                <w:highlight w:val="black"/>
              </w:rPr>
              <w:t>'''''''''''''''</w:t>
            </w:r>
          </w:p>
        </w:tc>
        <w:tc>
          <w:tcPr>
            <w:tcW w:w="1054" w:type="dxa"/>
          </w:tcPr>
          <w:p w:rsidR="00144D06" w:rsidRPr="00200C65" w:rsidRDefault="00144D06" w:rsidP="00144D06">
            <w:pPr>
              <w:jc w:val="right"/>
              <w:rPr>
                <w:rFonts w:ascii="Arial Narrow" w:hAnsi="Arial Narrow"/>
                <w:sz w:val="20"/>
              </w:rPr>
            </w:pPr>
            <w:r w:rsidRPr="00200C65">
              <w:rPr>
                <w:rFonts w:ascii="Arial Narrow" w:hAnsi="Arial Narrow"/>
                <w:sz w:val="20"/>
              </w:rPr>
              <w:t>$</w:t>
            </w:r>
            <w:r w:rsidR="003349A8">
              <w:rPr>
                <w:rFonts w:ascii="Arial Narrow" w:hAnsi="Arial Narrow"/>
                <w:noProof/>
                <w:color w:val="000000"/>
                <w:sz w:val="20"/>
                <w:highlight w:val="black"/>
              </w:rPr>
              <w:t>'''''''''''''''''</w:t>
            </w:r>
          </w:p>
        </w:tc>
      </w:tr>
      <w:tr w:rsidR="00144D06" w:rsidTr="001E6F7F">
        <w:trPr>
          <w:trHeight w:val="190"/>
        </w:trPr>
        <w:tc>
          <w:tcPr>
            <w:tcW w:w="1681" w:type="dxa"/>
            <w:vMerge w:val="restart"/>
          </w:tcPr>
          <w:p w:rsidR="00144D06" w:rsidRDefault="00144D06" w:rsidP="001E6F7F">
            <w:pPr>
              <w:jc w:val="left"/>
              <w:rPr>
                <w:rFonts w:ascii="Arial Narrow" w:hAnsi="Arial Narrow"/>
                <w:sz w:val="20"/>
              </w:rPr>
            </w:pPr>
            <w:r>
              <w:rPr>
                <w:rFonts w:ascii="Arial Narrow" w:hAnsi="Arial Narrow"/>
                <w:sz w:val="20"/>
              </w:rPr>
              <w:t>SA.8: Time horizon</w:t>
            </w:r>
          </w:p>
        </w:tc>
        <w:tc>
          <w:tcPr>
            <w:tcW w:w="4693" w:type="dxa"/>
          </w:tcPr>
          <w:p w:rsidR="00144D06" w:rsidRPr="00200C65" w:rsidRDefault="00144D06" w:rsidP="00144D06">
            <w:pPr>
              <w:rPr>
                <w:rFonts w:ascii="Arial Narrow" w:hAnsi="Arial Narrow"/>
                <w:sz w:val="20"/>
              </w:rPr>
            </w:pPr>
            <w:r w:rsidRPr="00200C65">
              <w:rPr>
                <w:rFonts w:ascii="Arial Narrow" w:hAnsi="Arial Narrow"/>
                <w:sz w:val="20"/>
              </w:rPr>
              <w:t>5 years</w:t>
            </w:r>
          </w:p>
        </w:tc>
        <w:tc>
          <w:tcPr>
            <w:tcW w:w="992" w:type="dxa"/>
          </w:tcPr>
          <w:p w:rsidR="00144D06" w:rsidRPr="00200C65" w:rsidRDefault="00144D06" w:rsidP="00144D06">
            <w:pPr>
              <w:jc w:val="right"/>
              <w:rPr>
                <w:rFonts w:ascii="Arial Narrow" w:hAnsi="Arial Narrow"/>
                <w:sz w:val="20"/>
              </w:rPr>
            </w:pPr>
            <w:r w:rsidRPr="00200C65">
              <w:rPr>
                <w:rFonts w:ascii="Arial Narrow" w:hAnsi="Arial Narrow"/>
                <w:sz w:val="20"/>
              </w:rPr>
              <w:t>$</w:t>
            </w:r>
            <w:r w:rsidR="003349A8">
              <w:rPr>
                <w:rFonts w:ascii="Arial Narrow" w:hAnsi="Arial Narrow"/>
                <w:noProof/>
                <w:color w:val="000000"/>
                <w:sz w:val="20"/>
                <w:highlight w:val="black"/>
              </w:rPr>
              <w:t>''''''''''''''''</w:t>
            </w:r>
          </w:p>
        </w:tc>
        <w:tc>
          <w:tcPr>
            <w:tcW w:w="1054" w:type="dxa"/>
          </w:tcPr>
          <w:p w:rsidR="00144D06" w:rsidRPr="00200C65" w:rsidRDefault="00144D06" w:rsidP="00144D06">
            <w:pPr>
              <w:jc w:val="right"/>
              <w:rPr>
                <w:rFonts w:ascii="Arial Narrow" w:hAnsi="Arial Narrow"/>
                <w:sz w:val="20"/>
              </w:rPr>
            </w:pPr>
            <w:r w:rsidRPr="00200C65">
              <w:rPr>
                <w:rFonts w:ascii="Arial Narrow" w:hAnsi="Arial Narrow"/>
                <w:sz w:val="20"/>
              </w:rPr>
              <w:t>$</w:t>
            </w:r>
            <w:r w:rsidR="003349A8">
              <w:rPr>
                <w:rFonts w:ascii="Arial Narrow" w:hAnsi="Arial Narrow"/>
                <w:noProof/>
                <w:color w:val="000000"/>
                <w:sz w:val="20"/>
                <w:highlight w:val="black"/>
              </w:rPr>
              <w:t>''''''''''''''''</w:t>
            </w:r>
          </w:p>
        </w:tc>
      </w:tr>
      <w:tr w:rsidR="00144D06" w:rsidTr="001E6F7F">
        <w:trPr>
          <w:trHeight w:val="190"/>
        </w:trPr>
        <w:tc>
          <w:tcPr>
            <w:tcW w:w="1681" w:type="dxa"/>
            <w:vMerge/>
          </w:tcPr>
          <w:p w:rsidR="00144D06" w:rsidRDefault="00144D06" w:rsidP="001E6F7F">
            <w:pPr>
              <w:jc w:val="left"/>
              <w:rPr>
                <w:rFonts w:ascii="Arial Narrow" w:hAnsi="Arial Narrow"/>
                <w:sz w:val="20"/>
              </w:rPr>
            </w:pPr>
          </w:p>
        </w:tc>
        <w:tc>
          <w:tcPr>
            <w:tcW w:w="4693" w:type="dxa"/>
          </w:tcPr>
          <w:p w:rsidR="00144D06" w:rsidRPr="00200C65" w:rsidRDefault="00144D06" w:rsidP="00144D06">
            <w:pPr>
              <w:rPr>
                <w:rFonts w:ascii="Arial Narrow" w:hAnsi="Arial Narrow"/>
                <w:sz w:val="20"/>
              </w:rPr>
            </w:pPr>
            <w:r w:rsidRPr="00200C65">
              <w:rPr>
                <w:rFonts w:ascii="Arial Narrow" w:hAnsi="Arial Narrow"/>
                <w:sz w:val="20"/>
              </w:rPr>
              <w:t>3 years</w:t>
            </w:r>
          </w:p>
        </w:tc>
        <w:tc>
          <w:tcPr>
            <w:tcW w:w="992" w:type="dxa"/>
          </w:tcPr>
          <w:p w:rsidR="00144D06" w:rsidRPr="00200C65" w:rsidRDefault="00144D06" w:rsidP="00144D06">
            <w:pPr>
              <w:jc w:val="right"/>
              <w:rPr>
                <w:rFonts w:ascii="Arial Narrow" w:hAnsi="Arial Narrow"/>
                <w:sz w:val="20"/>
              </w:rPr>
            </w:pPr>
            <w:r w:rsidRPr="00200C65">
              <w:rPr>
                <w:rFonts w:ascii="Arial Narrow" w:hAnsi="Arial Narrow"/>
                <w:sz w:val="20"/>
              </w:rPr>
              <w:t>$</w:t>
            </w:r>
            <w:r w:rsidR="003349A8">
              <w:rPr>
                <w:rFonts w:ascii="Arial Narrow" w:hAnsi="Arial Narrow"/>
                <w:noProof/>
                <w:color w:val="000000"/>
                <w:sz w:val="20"/>
                <w:highlight w:val="black"/>
              </w:rPr>
              <w:t>''''''''''''''''''</w:t>
            </w:r>
          </w:p>
        </w:tc>
        <w:tc>
          <w:tcPr>
            <w:tcW w:w="1054" w:type="dxa"/>
          </w:tcPr>
          <w:p w:rsidR="00144D06" w:rsidRPr="00200C65" w:rsidRDefault="00144D06" w:rsidP="00144D06">
            <w:pPr>
              <w:jc w:val="right"/>
              <w:rPr>
                <w:rFonts w:ascii="Arial Narrow" w:hAnsi="Arial Narrow"/>
                <w:sz w:val="20"/>
              </w:rPr>
            </w:pPr>
            <w:r w:rsidRPr="00200C65">
              <w:rPr>
                <w:rFonts w:ascii="Arial Narrow" w:hAnsi="Arial Narrow"/>
                <w:sz w:val="20"/>
              </w:rPr>
              <w:t>$</w:t>
            </w:r>
            <w:r w:rsidR="003349A8">
              <w:rPr>
                <w:rFonts w:ascii="Arial Narrow" w:hAnsi="Arial Narrow"/>
                <w:noProof/>
                <w:color w:val="000000"/>
                <w:sz w:val="20"/>
                <w:highlight w:val="black"/>
              </w:rPr>
              <w:t>''''''''''''''''''</w:t>
            </w:r>
          </w:p>
        </w:tc>
      </w:tr>
      <w:tr w:rsidR="00144D06" w:rsidTr="001E6F7F">
        <w:trPr>
          <w:trHeight w:val="190"/>
        </w:trPr>
        <w:tc>
          <w:tcPr>
            <w:tcW w:w="1681" w:type="dxa"/>
          </w:tcPr>
          <w:p w:rsidR="00144D06" w:rsidRDefault="00144D06" w:rsidP="001E6F7F">
            <w:pPr>
              <w:jc w:val="left"/>
              <w:rPr>
                <w:rFonts w:ascii="Arial Narrow" w:hAnsi="Arial Narrow"/>
                <w:sz w:val="20"/>
              </w:rPr>
            </w:pPr>
            <w:r>
              <w:rPr>
                <w:rFonts w:ascii="Arial Narrow" w:hAnsi="Arial Narrow"/>
                <w:sz w:val="20"/>
              </w:rPr>
              <w:t>SA.9: Including drug wastage**</w:t>
            </w:r>
          </w:p>
        </w:tc>
        <w:tc>
          <w:tcPr>
            <w:tcW w:w="4693" w:type="dxa"/>
          </w:tcPr>
          <w:p w:rsidR="00144D06" w:rsidRPr="00200C65" w:rsidRDefault="00144D06" w:rsidP="00144D06">
            <w:pPr>
              <w:rPr>
                <w:rFonts w:ascii="Arial Narrow" w:hAnsi="Arial Narrow"/>
                <w:sz w:val="20"/>
              </w:rPr>
            </w:pPr>
            <w:r w:rsidRPr="00200C65">
              <w:rPr>
                <w:rFonts w:ascii="Arial Narrow" w:hAnsi="Arial Narrow"/>
                <w:sz w:val="20"/>
              </w:rPr>
              <w:t>2 vials of 100</w:t>
            </w:r>
            <w:r w:rsidR="001E6F7F" w:rsidRPr="00200C65">
              <w:rPr>
                <w:rFonts w:ascii="Arial Narrow" w:hAnsi="Arial Narrow"/>
                <w:sz w:val="20"/>
              </w:rPr>
              <w:t> </w:t>
            </w:r>
            <w:r w:rsidRPr="00200C65">
              <w:rPr>
                <w:rFonts w:ascii="Arial Narrow" w:hAnsi="Arial Narrow"/>
                <w:sz w:val="20"/>
              </w:rPr>
              <w:t>mg and 1 vial of 40</w:t>
            </w:r>
            <w:r w:rsidR="001E6F7F" w:rsidRPr="00200C65">
              <w:rPr>
                <w:rFonts w:ascii="Arial Narrow" w:hAnsi="Arial Narrow"/>
                <w:sz w:val="20"/>
              </w:rPr>
              <w:t> </w:t>
            </w:r>
            <w:r w:rsidRPr="00200C65">
              <w:rPr>
                <w:rFonts w:ascii="Arial Narrow" w:hAnsi="Arial Narrow"/>
                <w:sz w:val="20"/>
              </w:rPr>
              <w:t>mg nivolumab</w:t>
            </w:r>
          </w:p>
        </w:tc>
        <w:tc>
          <w:tcPr>
            <w:tcW w:w="992" w:type="dxa"/>
          </w:tcPr>
          <w:p w:rsidR="00144D06" w:rsidRPr="00200C65" w:rsidRDefault="00144D06" w:rsidP="00144D06">
            <w:pPr>
              <w:jc w:val="right"/>
              <w:rPr>
                <w:rFonts w:ascii="Arial Narrow" w:hAnsi="Arial Narrow"/>
                <w:sz w:val="20"/>
              </w:rPr>
            </w:pPr>
            <w:r w:rsidRPr="00200C65">
              <w:rPr>
                <w:rFonts w:ascii="Arial Narrow" w:hAnsi="Arial Narrow"/>
                <w:sz w:val="20"/>
              </w:rPr>
              <w:t>$</w:t>
            </w:r>
            <w:r w:rsidR="003349A8">
              <w:rPr>
                <w:rFonts w:ascii="Arial Narrow" w:hAnsi="Arial Narrow"/>
                <w:noProof/>
                <w:color w:val="000000"/>
                <w:sz w:val="20"/>
                <w:highlight w:val="black"/>
              </w:rPr>
              <w:t>''''''''''''''''</w:t>
            </w:r>
          </w:p>
        </w:tc>
        <w:tc>
          <w:tcPr>
            <w:tcW w:w="1054" w:type="dxa"/>
          </w:tcPr>
          <w:p w:rsidR="00144D06" w:rsidRPr="00200C65" w:rsidRDefault="00144D06" w:rsidP="00144D06">
            <w:pPr>
              <w:jc w:val="right"/>
              <w:rPr>
                <w:rFonts w:ascii="Arial Narrow" w:hAnsi="Arial Narrow"/>
                <w:sz w:val="20"/>
              </w:rPr>
            </w:pPr>
            <w:r w:rsidRPr="00200C65">
              <w:rPr>
                <w:rFonts w:ascii="Arial Narrow" w:hAnsi="Arial Narrow"/>
                <w:sz w:val="20"/>
              </w:rPr>
              <w:t>$</w:t>
            </w:r>
            <w:r w:rsidR="003349A8">
              <w:rPr>
                <w:rFonts w:ascii="Arial Narrow" w:hAnsi="Arial Narrow"/>
                <w:noProof/>
                <w:color w:val="000000"/>
                <w:sz w:val="20"/>
                <w:highlight w:val="black"/>
              </w:rPr>
              <w:t>'''''''''''''''</w:t>
            </w:r>
          </w:p>
        </w:tc>
      </w:tr>
      <w:tr w:rsidR="00144D06" w:rsidTr="001E6F7F">
        <w:trPr>
          <w:trHeight w:val="190"/>
        </w:trPr>
        <w:tc>
          <w:tcPr>
            <w:tcW w:w="1681" w:type="dxa"/>
          </w:tcPr>
          <w:p w:rsidR="00144D06" w:rsidRDefault="00144D06" w:rsidP="001E6F7F">
            <w:pPr>
              <w:jc w:val="left"/>
              <w:rPr>
                <w:rFonts w:ascii="Arial Narrow" w:hAnsi="Arial Narrow"/>
                <w:sz w:val="20"/>
              </w:rPr>
            </w:pPr>
            <w:r>
              <w:rPr>
                <w:rFonts w:ascii="Arial Narrow" w:hAnsi="Arial Narrow"/>
                <w:sz w:val="20"/>
              </w:rPr>
              <w:t>SA.8</w:t>
            </w:r>
            <w:r w:rsidR="001E6F7F">
              <w:rPr>
                <w:rFonts w:ascii="Arial Narrow" w:hAnsi="Arial Narrow"/>
                <w:sz w:val="20"/>
              </w:rPr>
              <w:t xml:space="preserve"> </w:t>
            </w:r>
            <w:r>
              <w:rPr>
                <w:rFonts w:ascii="Arial Narrow" w:hAnsi="Arial Narrow"/>
                <w:sz w:val="20"/>
              </w:rPr>
              <w:t>+</w:t>
            </w:r>
            <w:r w:rsidR="001E6F7F">
              <w:rPr>
                <w:rFonts w:ascii="Arial Narrow" w:hAnsi="Arial Narrow"/>
                <w:sz w:val="20"/>
              </w:rPr>
              <w:t xml:space="preserve"> </w:t>
            </w:r>
            <w:r>
              <w:rPr>
                <w:rFonts w:ascii="Arial Narrow" w:hAnsi="Arial Narrow"/>
                <w:sz w:val="20"/>
              </w:rPr>
              <w:t>SA.9</w:t>
            </w:r>
          </w:p>
        </w:tc>
        <w:tc>
          <w:tcPr>
            <w:tcW w:w="4693" w:type="dxa"/>
          </w:tcPr>
          <w:p w:rsidR="00144D06" w:rsidRPr="00200C65" w:rsidRDefault="000F708B" w:rsidP="00144D06">
            <w:pPr>
              <w:rPr>
                <w:rFonts w:ascii="Arial Narrow" w:hAnsi="Arial Narrow"/>
                <w:sz w:val="20"/>
              </w:rPr>
            </w:pPr>
            <w:r>
              <w:rPr>
                <w:rFonts w:ascii="Arial Narrow" w:hAnsi="Arial Narrow"/>
                <w:sz w:val="20"/>
              </w:rPr>
              <w:t>5-</w:t>
            </w:r>
            <w:r w:rsidR="00144D06" w:rsidRPr="00200C65">
              <w:rPr>
                <w:rFonts w:ascii="Arial Narrow" w:hAnsi="Arial Narrow"/>
                <w:sz w:val="20"/>
              </w:rPr>
              <w:t>year time horizon and including wastage of nivolumab</w:t>
            </w:r>
          </w:p>
        </w:tc>
        <w:tc>
          <w:tcPr>
            <w:tcW w:w="992" w:type="dxa"/>
          </w:tcPr>
          <w:p w:rsidR="00144D06" w:rsidRPr="00200C65" w:rsidRDefault="00144D06" w:rsidP="00144D06">
            <w:pPr>
              <w:jc w:val="right"/>
              <w:rPr>
                <w:rFonts w:ascii="Arial Narrow" w:hAnsi="Arial Narrow"/>
                <w:sz w:val="20"/>
              </w:rPr>
            </w:pPr>
            <w:r w:rsidRPr="00200C65">
              <w:rPr>
                <w:rFonts w:ascii="Arial Narrow" w:hAnsi="Arial Narrow"/>
                <w:sz w:val="20"/>
              </w:rPr>
              <w:t>$</w:t>
            </w:r>
            <w:r w:rsidR="003349A8">
              <w:rPr>
                <w:rFonts w:ascii="Arial Narrow" w:hAnsi="Arial Narrow"/>
                <w:noProof/>
                <w:color w:val="000000"/>
                <w:sz w:val="20"/>
                <w:highlight w:val="black"/>
              </w:rPr>
              <w:t>''''''''''''''''''</w:t>
            </w:r>
          </w:p>
        </w:tc>
        <w:tc>
          <w:tcPr>
            <w:tcW w:w="1054" w:type="dxa"/>
          </w:tcPr>
          <w:p w:rsidR="00144D06" w:rsidRPr="00200C65" w:rsidRDefault="00144D06" w:rsidP="00144D06">
            <w:pPr>
              <w:jc w:val="right"/>
              <w:rPr>
                <w:rFonts w:ascii="Arial Narrow" w:hAnsi="Arial Narrow"/>
                <w:sz w:val="20"/>
              </w:rPr>
            </w:pPr>
            <w:r w:rsidRPr="00200C65">
              <w:rPr>
                <w:rFonts w:ascii="Arial Narrow" w:hAnsi="Arial Narrow"/>
                <w:sz w:val="20"/>
              </w:rPr>
              <w:t>$</w:t>
            </w:r>
            <w:r w:rsidR="003349A8">
              <w:rPr>
                <w:rFonts w:ascii="Arial Narrow" w:hAnsi="Arial Narrow"/>
                <w:noProof/>
                <w:color w:val="000000"/>
                <w:sz w:val="20"/>
                <w:highlight w:val="black"/>
              </w:rPr>
              <w:t>'''''''''''''''''</w:t>
            </w:r>
          </w:p>
        </w:tc>
      </w:tr>
      <w:tr w:rsidR="00144D06" w:rsidTr="001E6F7F">
        <w:trPr>
          <w:trHeight w:val="380"/>
        </w:trPr>
        <w:tc>
          <w:tcPr>
            <w:tcW w:w="1681" w:type="dxa"/>
            <w:vMerge w:val="restart"/>
          </w:tcPr>
          <w:p w:rsidR="00144D06" w:rsidRDefault="00144D06" w:rsidP="001E6F7F">
            <w:pPr>
              <w:jc w:val="left"/>
              <w:rPr>
                <w:rFonts w:ascii="Arial Narrow" w:hAnsi="Arial Narrow"/>
                <w:sz w:val="20"/>
              </w:rPr>
            </w:pPr>
            <w:r>
              <w:rPr>
                <w:rFonts w:ascii="Arial Narrow" w:hAnsi="Arial Narrow"/>
                <w:sz w:val="20"/>
              </w:rPr>
              <w:t>SA.5</w:t>
            </w:r>
            <w:r w:rsidR="001E6F7F">
              <w:rPr>
                <w:rFonts w:ascii="Arial Narrow" w:hAnsi="Arial Narrow"/>
                <w:sz w:val="20"/>
              </w:rPr>
              <w:t xml:space="preserve"> </w:t>
            </w:r>
            <w:r>
              <w:rPr>
                <w:rFonts w:ascii="Arial Narrow" w:hAnsi="Arial Narrow"/>
                <w:sz w:val="20"/>
              </w:rPr>
              <w:t>+</w:t>
            </w:r>
            <w:r w:rsidR="001E6F7F">
              <w:rPr>
                <w:rFonts w:ascii="Arial Narrow" w:hAnsi="Arial Narrow"/>
                <w:sz w:val="20"/>
              </w:rPr>
              <w:t xml:space="preserve"> </w:t>
            </w:r>
            <w:r>
              <w:rPr>
                <w:rFonts w:ascii="Arial Narrow" w:hAnsi="Arial Narrow"/>
                <w:sz w:val="20"/>
              </w:rPr>
              <w:t>SA.8</w:t>
            </w:r>
            <w:r w:rsidR="001E6F7F">
              <w:rPr>
                <w:rFonts w:ascii="Arial Narrow" w:hAnsi="Arial Narrow"/>
                <w:sz w:val="20"/>
              </w:rPr>
              <w:t xml:space="preserve"> </w:t>
            </w:r>
            <w:r>
              <w:rPr>
                <w:rFonts w:ascii="Arial Narrow" w:hAnsi="Arial Narrow"/>
                <w:sz w:val="20"/>
              </w:rPr>
              <w:t>+</w:t>
            </w:r>
            <w:r w:rsidR="001E6F7F">
              <w:rPr>
                <w:rFonts w:ascii="Arial Narrow" w:hAnsi="Arial Narrow"/>
                <w:sz w:val="20"/>
              </w:rPr>
              <w:t xml:space="preserve"> </w:t>
            </w:r>
            <w:r>
              <w:rPr>
                <w:rFonts w:ascii="Arial Narrow" w:hAnsi="Arial Narrow"/>
                <w:sz w:val="20"/>
              </w:rPr>
              <w:t>SA.9</w:t>
            </w:r>
          </w:p>
        </w:tc>
        <w:tc>
          <w:tcPr>
            <w:tcW w:w="4693" w:type="dxa"/>
          </w:tcPr>
          <w:p w:rsidR="00144D06" w:rsidRPr="00200C65" w:rsidRDefault="000F708B" w:rsidP="00144D06">
            <w:pPr>
              <w:rPr>
                <w:rFonts w:ascii="Arial Narrow" w:hAnsi="Arial Narrow"/>
                <w:sz w:val="20"/>
              </w:rPr>
            </w:pPr>
            <w:r>
              <w:rPr>
                <w:rFonts w:ascii="Arial Narrow" w:hAnsi="Arial Narrow"/>
                <w:sz w:val="20"/>
              </w:rPr>
              <w:t>5-</w:t>
            </w:r>
            <w:r w:rsidR="00144D06" w:rsidRPr="00200C65">
              <w:rPr>
                <w:rFonts w:ascii="Arial Narrow" w:hAnsi="Arial Narrow"/>
                <w:sz w:val="20"/>
              </w:rPr>
              <w:t>year time horizon, including wastage of nivolumab and extrapolation using Weibull model for PFS and OS extrapolation in both arms (SA.10-1)</w:t>
            </w:r>
          </w:p>
        </w:tc>
        <w:tc>
          <w:tcPr>
            <w:tcW w:w="992" w:type="dxa"/>
          </w:tcPr>
          <w:p w:rsidR="00144D06" w:rsidRPr="00200C65" w:rsidRDefault="00144D06" w:rsidP="00144D06">
            <w:pPr>
              <w:jc w:val="right"/>
              <w:rPr>
                <w:rFonts w:ascii="Arial Narrow" w:hAnsi="Arial Narrow"/>
                <w:sz w:val="20"/>
              </w:rPr>
            </w:pPr>
            <w:r w:rsidRPr="00200C65">
              <w:rPr>
                <w:rFonts w:ascii="Arial Narrow" w:hAnsi="Arial Narrow"/>
                <w:sz w:val="20"/>
              </w:rPr>
              <w:t>$</w:t>
            </w:r>
            <w:r w:rsidR="003349A8">
              <w:rPr>
                <w:rFonts w:ascii="Arial Narrow" w:hAnsi="Arial Narrow"/>
                <w:noProof/>
                <w:color w:val="000000"/>
                <w:sz w:val="20"/>
                <w:highlight w:val="black"/>
              </w:rPr>
              <w:t>''''''''''''''''''''''</w:t>
            </w:r>
          </w:p>
        </w:tc>
        <w:tc>
          <w:tcPr>
            <w:tcW w:w="1054" w:type="dxa"/>
          </w:tcPr>
          <w:p w:rsidR="00144D06" w:rsidRPr="00200C65" w:rsidRDefault="00144D06" w:rsidP="00144D06">
            <w:pPr>
              <w:jc w:val="right"/>
              <w:rPr>
                <w:rFonts w:ascii="Arial Narrow" w:hAnsi="Arial Narrow"/>
                <w:sz w:val="20"/>
              </w:rPr>
            </w:pPr>
            <w:r w:rsidRPr="00200C65">
              <w:rPr>
                <w:rFonts w:ascii="Arial Narrow" w:hAnsi="Arial Narrow"/>
                <w:sz w:val="20"/>
              </w:rPr>
              <w:t>$</w:t>
            </w:r>
            <w:r w:rsidR="003349A8">
              <w:rPr>
                <w:rFonts w:ascii="Arial Narrow" w:hAnsi="Arial Narrow"/>
                <w:noProof/>
                <w:color w:val="000000"/>
                <w:sz w:val="20"/>
                <w:highlight w:val="black"/>
              </w:rPr>
              <w:t>'''''''''''''''''''</w:t>
            </w:r>
          </w:p>
        </w:tc>
      </w:tr>
      <w:tr w:rsidR="00144D06" w:rsidTr="001E6F7F">
        <w:trPr>
          <w:trHeight w:val="380"/>
        </w:trPr>
        <w:tc>
          <w:tcPr>
            <w:tcW w:w="1681" w:type="dxa"/>
            <w:vMerge/>
          </w:tcPr>
          <w:p w:rsidR="00144D06" w:rsidRDefault="00144D06" w:rsidP="00144D06">
            <w:pPr>
              <w:rPr>
                <w:rFonts w:ascii="Arial Narrow" w:hAnsi="Arial Narrow"/>
                <w:sz w:val="20"/>
              </w:rPr>
            </w:pPr>
          </w:p>
        </w:tc>
        <w:tc>
          <w:tcPr>
            <w:tcW w:w="4693" w:type="dxa"/>
          </w:tcPr>
          <w:p w:rsidR="00144D06" w:rsidRPr="00200C65" w:rsidRDefault="000F708B" w:rsidP="00144D06">
            <w:pPr>
              <w:rPr>
                <w:rFonts w:ascii="Arial Narrow" w:hAnsi="Arial Narrow"/>
                <w:sz w:val="20"/>
              </w:rPr>
            </w:pPr>
            <w:r>
              <w:rPr>
                <w:rFonts w:ascii="Arial Narrow" w:hAnsi="Arial Narrow"/>
                <w:sz w:val="20"/>
              </w:rPr>
              <w:t>5-</w:t>
            </w:r>
            <w:r w:rsidR="00144D06" w:rsidRPr="00200C65">
              <w:rPr>
                <w:rFonts w:ascii="Arial Narrow" w:hAnsi="Arial Narrow"/>
                <w:sz w:val="20"/>
              </w:rPr>
              <w:t>year time horizon, including wastage of nivolumab and extrapolation using log-logistic model for PFS and OS extrapolation in both arms (SA.10-2)</w:t>
            </w:r>
          </w:p>
        </w:tc>
        <w:tc>
          <w:tcPr>
            <w:tcW w:w="992" w:type="dxa"/>
          </w:tcPr>
          <w:p w:rsidR="00144D06" w:rsidRPr="00200C65" w:rsidRDefault="00144D06" w:rsidP="00144D06">
            <w:pPr>
              <w:jc w:val="right"/>
              <w:rPr>
                <w:rFonts w:ascii="Arial Narrow" w:hAnsi="Arial Narrow"/>
                <w:sz w:val="20"/>
              </w:rPr>
            </w:pPr>
            <w:r w:rsidRPr="00200C65">
              <w:rPr>
                <w:rFonts w:ascii="Arial Narrow" w:hAnsi="Arial Narrow"/>
                <w:sz w:val="20"/>
              </w:rPr>
              <w:t>$</w:t>
            </w:r>
            <w:r w:rsidR="003349A8">
              <w:rPr>
                <w:rFonts w:ascii="Arial Narrow" w:hAnsi="Arial Narrow"/>
                <w:noProof/>
                <w:color w:val="000000"/>
                <w:sz w:val="20"/>
                <w:highlight w:val="black"/>
              </w:rPr>
              <w:t>'''''''''''''''''''</w:t>
            </w:r>
          </w:p>
        </w:tc>
        <w:tc>
          <w:tcPr>
            <w:tcW w:w="1054" w:type="dxa"/>
          </w:tcPr>
          <w:p w:rsidR="00144D06" w:rsidRPr="00200C65" w:rsidRDefault="00144D06" w:rsidP="00144D06">
            <w:pPr>
              <w:jc w:val="right"/>
              <w:rPr>
                <w:rFonts w:ascii="Arial Narrow" w:hAnsi="Arial Narrow"/>
                <w:sz w:val="20"/>
              </w:rPr>
            </w:pPr>
            <w:r w:rsidRPr="00200C65">
              <w:rPr>
                <w:rFonts w:ascii="Arial Narrow" w:hAnsi="Arial Narrow"/>
                <w:sz w:val="20"/>
              </w:rPr>
              <w:t>$</w:t>
            </w:r>
            <w:r w:rsidR="003349A8">
              <w:rPr>
                <w:rFonts w:ascii="Arial Narrow" w:hAnsi="Arial Narrow"/>
                <w:noProof/>
                <w:color w:val="000000"/>
                <w:sz w:val="20"/>
                <w:highlight w:val="black"/>
              </w:rPr>
              <w:t>''''''''''''''''''''''</w:t>
            </w:r>
          </w:p>
        </w:tc>
      </w:tr>
    </w:tbl>
    <w:p w:rsidR="00144D06" w:rsidRDefault="00144D06" w:rsidP="00144D06">
      <w:pPr>
        <w:pStyle w:val="TableFooter"/>
        <w:ind w:left="720"/>
      </w:pPr>
      <w:r w:rsidRPr="005305B3">
        <w:rPr>
          <w:vertAlign w:val="superscript"/>
        </w:rPr>
        <w:t>#</w:t>
      </w:r>
      <w:r w:rsidR="00B35BA4">
        <w:rPr>
          <w:vertAlign w:val="superscript"/>
        </w:rPr>
        <w:t xml:space="preserve"> </w:t>
      </w:r>
      <w:r w:rsidR="001E6F7F">
        <w:t>T</w:t>
      </w:r>
      <w:r>
        <w:t xml:space="preserve">his </w:t>
      </w:r>
      <w:r w:rsidR="001E6F7F">
        <w:t>wa</w:t>
      </w:r>
      <w:r>
        <w:t>s the extrapolation methods used in the base case of the model for nivolumab in the treatment of squamous NSCLC.</w:t>
      </w:r>
    </w:p>
    <w:p w:rsidR="00144D06" w:rsidRDefault="00144D06" w:rsidP="00144D06">
      <w:pPr>
        <w:pStyle w:val="TableFooter"/>
        <w:ind w:left="720"/>
      </w:pPr>
      <w:r>
        <w:t>*</w:t>
      </w:r>
      <w:r w:rsidR="00B35BA4">
        <w:t xml:space="preserve"> B</w:t>
      </w:r>
      <w:r>
        <w:t xml:space="preserve">ased on </w:t>
      </w:r>
      <w:r w:rsidRPr="00E1537B">
        <w:t xml:space="preserve">utility value for the progressive disease from </w:t>
      </w:r>
      <w:r w:rsidRPr="009F5815">
        <w:t>Chouaid et al (2013)</w:t>
      </w:r>
      <w:r w:rsidR="009F5815" w:rsidRPr="009F5815">
        <w:rPr>
          <w:rStyle w:val="FootnoteReference"/>
        </w:rPr>
        <w:footnoteReference w:id="5"/>
      </w:r>
      <w:r w:rsidRPr="009F5815">
        <w:t>.</w:t>
      </w:r>
      <w:r>
        <w:t xml:space="preserve"> </w:t>
      </w:r>
      <w:r w:rsidRPr="008432A2">
        <w:t>When considering erlotinib in March 2014, the PBAC stated that utilities from Chouaid (2013) were more representative estimates (Item 7.3 erlotinib, Public Summary Document March 2014).</w:t>
      </w:r>
    </w:p>
    <w:p w:rsidR="00144D06" w:rsidRDefault="00144D06" w:rsidP="00B35BA4">
      <w:pPr>
        <w:pStyle w:val="TableFooter"/>
        <w:ind w:left="720"/>
      </w:pPr>
      <w:r>
        <w:t>**</w:t>
      </w:r>
      <w:r w:rsidR="001E6F7F">
        <w:t xml:space="preserve"> </w:t>
      </w:r>
      <w:r>
        <w:t xml:space="preserve">Wastage of docetaxel </w:t>
      </w:r>
      <w:r w:rsidR="001E6F7F">
        <w:t>was</w:t>
      </w:r>
      <w:r>
        <w:t xml:space="preserve"> </w:t>
      </w:r>
      <w:r w:rsidR="00B35BA4">
        <w:t xml:space="preserve">already </w:t>
      </w:r>
      <w:r>
        <w:t>included in the base case</w:t>
      </w:r>
      <w:r w:rsidR="00B35BA4">
        <w:t>, if assuming 1</w:t>
      </w:r>
      <w:r w:rsidR="001E6F7F">
        <w:t xml:space="preserve"> </w:t>
      </w:r>
      <w:r w:rsidR="00B35BA4">
        <w:t>× 140</w:t>
      </w:r>
      <w:r w:rsidR="001E6F7F">
        <w:t> </w:t>
      </w:r>
      <w:r w:rsidR="00B35BA4">
        <w:t>mg vial is used</w:t>
      </w:r>
      <w:r>
        <w:t>.</w:t>
      </w:r>
      <w:r w:rsidR="00B35BA4">
        <w:t xml:space="preserve"> The allowance of wastage of docetaxel d</w:t>
      </w:r>
      <w:r w:rsidR="001E6F7F">
        <w:t>id</w:t>
      </w:r>
      <w:r w:rsidR="00B35BA4">
        <w:t xml:space="preserve"> not have a material impact on the results of the economic evaluation.</w:t>
      </w:r>
    </w:p>
    <w:p w:rsidR="00144D06" w:rsidRDefault="001E6F7F" w:rsidP="00144D06">
      <w:pPr>
        <w:pStyle w:val="TableFooter"/>
        <w:ind w:firstLine="720"/>
      </w:pPr>
      <w:r>
        <w:t>LY=life year; QALY</w:t>
      </w:r>
      <w:r w:rsidR="00144D06">
        <w:t>=quality-</w:t>
      </w:r>
      <w:r>
        <w:t>adjusted life year; PFS</w:t>
      </w:r>
      <w:r w:rsidR="00144D06">
        <w:t>=</w:t>
      </w:r>
      <w:r w:rsidR="009A3FB5">
        <w:t>progression-</w:t>
      </w:r>
      <w:r>
        <w:t>free survival; OS</w:t>
      </w:r>
      <w:r w:rsidR="00144D06">
        <w:t>=</w:t>
      </w:r>
      <w:r>
        <w:t>overall survival</w:t>
      </w:r>
    </w:p>
    <w:p w:rsidR="00144D06" w:rsidRPr="00F301BC" w:rsidRDefault="00144D06" w:rsidP="00144D06">
      <w:pPr>
        <w:pStyle w:val="TableFooter"/>
        <w:ind w:firstLine="720"/>
      </w:pPr>
      <w:r>
        <w:t>Source: Table 77, Section D.6 of the submission and additional analysis conducted during the evaluation.</w:t>
      </w:r>
    </w:p>
    <w:p w:rsidR="00144D06" w:rsidRPr="0073736B" w:rsidRDefault="00144D06" w:rsidP="0073736B">
      <w:pPr>
        <w:rPr>
          <w:szCs w:val="22"/>
        </w:rPr>
      </w:pPr>
    </w:p>
    <w:p w:rsidR="00144D06" w:rsidRPr="00200C65" w:rsidRDefault="00144D06" w:rsidP="00C61ED5">
      <w:pPr>
        <w:pStyle w:val="ListParagraph"/>
        <w:widowControl/>
        <w:numPr>
          <w:ilvl w:val="1"/>
          <w:numId w:val="2"/>
        </w:numPr>
        <w:rPr>
          <w:szCs w:val="22"/>
        </w:rPr>
      </w:pPr>
      <w:r w:rsidRPr="00200C65">
        <w:rPr>
          <w:szCs w:val="22"/>
        </w:rPr>
        <w:t xml:space="preserve">Table </w:t>
      </w:r>
      <w:r w:rsidR="00965D2A" w:rsidRPr="00200C65">
        <w:rPr>
          <w:szCs w:val="22"/>
        </w:rPr>
        <w:t>10</w:t>
      </w:r>
      <w:r w:rsidRPr="00200C65">
        <w:rPr>
          <w:szCs w:val="22"/>
        </w:rPr>
        <w:t xml:space="preserve"> indicates that the model </w:t>
      </w:r>
      <w:r w:rsidR="0073736B" w:rsidRPr="00200C65">
        <w:rPr>
          <w:szCs w:val="22"/>
        </w:rPr>
        <w:t>wa</w:t>
      </w:r>
      <w:r w:rsidRPr="00200C65">
        <w:rPr>
          <w:szCs w:val="22"/>
        </w:rPr>
        <w:t>s sensitive to time horizon, point of extrapolation, method of extrapolation, utility values and the assumption that the disease management cost reduces substantially when patient</w:t>
      </w:r>
      <w:r w:rsidR="009F5815" w:rsidRPr="00200C65">
        <w:rPr>
          <w:szCs w:val="22"/>
        </w:rPr>
        <w:t>s</w:t>
      </w:r>
      <w:r w:rsidRPr="00200C65">
        <w:rPr>
          <w:szCs w:val="22"/>
        </w:rPr>
        <w:t xml:space="preserve"> survive more than 2 years post progression.</w:t>
      </w:r>
    </w:p>
    <w:p w:rsidR="00144D06" w:rsidRPr="0073736B" w:rsidRDefault="00144D06" w:rsidP="00144D06">
      <w:pPr>
        <w:widowControl/>
        <w:rPr>
          <w:szCs w:val="22"/>
        </w:rPr>
      </w:pPr>
    </w:p>
    <w:p w:rsidR="00144D06" w:rsidRPr="00200C65" w:rsidRDefault="00144D06" w:rsidP="00C61ED5">
      <w:pPr>
        <w:pStyle w:val="ListParagraph"/>
        <w:widowControl/>
        <w:numPr>
          <w:ilvl w:val="1"/>
          <w:numId w:val="2"/>
        </w:numPr>
        <w:rPr>
          <w:szCs w:val="22"/>
        </w:rPr>
      </w:pPr>
      <w:r w:rsidRPr="00200C65">
        <w:rPr>
          <w:szCs w:val="22"/>
        </w:rPr>
        <w:t>Time horizo</w:t>
      </w:r>
      <w:r w:rsidR="0073736B" w:rsidRPr="00200C65">
        <w:rPr>
          <w:szCs w:val="22"/>
        </w:rPr>
        <w:t>n and extrapolation methods had</w:t>
      </w:r>
      <w:r w:rsidRPr="00200C65">
        <w:rPr>
          <w:szCs w:val="22"/>
        </w:rPr>
        <w:t xml:space="preserve"> the most impact on the results of the economic evaluation. </w:t>
      </w:r>
      <w:r w:rsidR="0073736B" w:rsidRPr="00200C65">
        <w:rPr>
          <w:szCs w:val="22"/>
        </w:rPr>
        <w:t>When using a</w:t>
      </w:r>
      <w:r w:rsidRPr="00200C65">
        <w:rPr>
          <w:szCs w:val="22"/>
        </w:rPr>
        <w:t xml:space="preserve"> </w:t>
      </w:r>
      <w:r w:rsidR="0073736B" w:rsidRPr="00200C65">
        <w:rPr>
          <w:szCs w:val="22"/>
        </w:rPr>
        <w:t>5</w:t>
      </w:r>
      <w:r w:rsidRPr="00200C65">
        <w:rPr>
          <w:szCs w:val="22"/>
        </w:rPr>
        <w:t>-year time horizon</w:t>
      </w:r>
      <w:r w:rsidR="0073736B" w:rsidRPr="00200C65">
        <w:rPr>
          <w:szCs w:val="22"/>
        </w:rPr>
        <w:t>,</w:t>
      </w:r>
      <w:r w:rsidRPr="00200C65">
        <w:rPr>
          <w:szCs w:val="22"/>
        </w:rPr>
        <w:t xml:space="preserve"> the </w:t>
      </w:r>
      <w:r w:rsidR="0073736B" w:rsidRPr="00200C65">
        <w:rPr>
          <w:szCs w:val="22"/>
        </w:rPr>
        <w:t xml:space="preserve">ICER increased to </w:t>
      </w:r>
      <w:r w:rsidR="00A5365C">
        <w:rPr>
          <w:szCs w:val="22"/>
        </w:rPr>
        <w:t xml:space="preserve">$75,000/QALY - $105,000/QALY </w:t>
      </w:r>
      <w:r w:rsidR="00E77AC6">
        <w:rPr>
          <w:szCs w:val="22"/>
        </w:rPr>
        <w:t xml:space="preserve">gained </w:t>
      </w:r>
      <w:r w:rsidR="0073736B" w:rsidRPr="00200C65">
        <w:rPr>
          <w:szCs w:val="22"/>
        </w:rPr>
        <w:t xml:space="preserve">from the </w:t>
      </w:r>
      <w:r w:rsidRPr="00200C65">
        <w:rPr>
          <w:szCs w:val="22"/>
        </w:rPr>
        <w:t xml:space="preserve">base case </w:t>
      </w:r>
      <w:r w:rsidR="0073736B" w:rsidRPr="00200C65">
        <w:rPr>
          <w:szCs w:val="22"/>
        </w:rPr>
        <w:t xml:space="preserve">of </w:t>
      </w:r>
      <w:r w:rsidR="00A5365C">
        <w:rPr>
          <w:szCs w:val="22"/>
        </w:rPr>
        <w:t xml:space="preserve">$45,000/QALY - $75,000/QALY </w:t>
      </w:r>
      <w:r w:rsidR="00E77AC6">
        <w:rPr>
          <w:szCs w:val="22"/>
        </w:rPr>
        <w:t>gained</w:t>
      </w:r>
      <w:r w:rsidRPr="00200C65">
        <w:rPr>
          <w:szCs w:val="22"/>
        </w:rPr>
        <w:t xml:space="preserve">. </w:t>
      </w:r>
      <w:r w:rsidR="0073736B" w:rsidRPr="00200C65">
        <w:rPr>
          <w:szCs w:val="22"/>
        </w:rPr>
        <w:t>When</w:t>
      </w:r>
      <w:r w:rsidRPr="00200C65">
        <w:rPr>
          <w:szCs w:val="22"/>
        </w:rPr>
        <w:t xml:space="preserve"> extrapolating the OS and PFS with log-logistic model</w:t>
      </w:r>
      <w:r w:rsidR="00965D2A" w:rsidRPr="00200C65">
        <w:rPr>
          <w:szCs w:val="22"/>
        </w:rPr>
        <w:t>s</w:t>
      </w:r>
      <w:r w:rsidRPr="00200C65">
        <w:rPr>
          <w:szCs w:val="22"/>
        </w:rPr>
        <w:t xml:space="preserve"> in both arms, as used in the base case of the model for squamous NSCLC, the ICER increase</w:t>
      </w:r>
      <w:r w:rsidR="0073736B" w:rsidRPr="00200C65">
        <w:rPr>
          <w:szCs w:val="22"/>
        </w:rPr>
        <w:t>d</w:t>
      </w:r>
      <w:r w:rsidR="00193D27">
        <w:rPr>
          <w:szCs w:val="22"/>
        </w:rPr>
        <w:t xml:space="preserve"> to </w:t>
      </w:r>
      <w:r w:rsidR="00A5365C">
        <w:rPr>
          <w:szCs w:val="22"/>
        </w:rPr>
        <w:t xml:space="preserve">$75,000/QALY - $200,000/QALY </w:t>
      </w:r>
      <w:r w:rsidR="00E77AC6">
        <w:rPr>
          <w:szCs w:val="22"/>
        </w:rPr>
        <w:t>gained</w:t>
      </w:r>
      <w:r w:rsidRPr="00200C65">
        <w:rPr>
          <w:szCs w:val="22"/>
        </w:rPr>
        <w:t xml:space="preserve">. </w:t>
      </w:r>
      <w:r w:rsidR="00965D2A" w:rsidRPr="00200C65">
        <w:rPr>
          <w:szCs w:val="22"/>
        </w:rPr>
        <w:t xml:space="preserve">The </w:t>
      </w:r>
      <w:r w:rsidRPr="00200C65">
        <w:rPr>
          <w:szCs w:val="22"/>
        </w:rPr>
        <w:t>ICER increase</w:t>
      </w:r>
      <w:r w:rsidR="0073736B" w:rsidRPr="00200C65">
        <w:rPr>
          <w:szCs w:val="22"/>
        </w:rPr>
        <w:t>d</w:t>
      </w:r>
      <w:r w:rsidRPr="00200C65">
        <w:rPr>
          <w:szCs w:val="22"/>
        </w:rPr>
        <w:t xml:space="preserve"> to </w:t>
      </w:r>
      <w:r w:rsidR="00A5365C">
        <w:rPr>
          <w:szCs w:val="22"/>
        </w:rPr>
        <w:t xml:space="preserve"> $105,000/QALY - $</w:t>
      </w:r>
      <w:r w:rsidR="00E705CA">
        <w:rPr>
          <w:szCs w:val="22"/>
        </w:rPr>
        <w:t>200</w:t>
      </w:r>
      <w:r w:rsidR="00A5365C">
        <w:rPr>
          <w:szCs w:val="22"/>
        </w:rPr>
        <w:t xml:space="preserve">,000/QALY </w:t>
      </w:r>
      <w:r w:rsidR="00E77AC6">
        <w:rPr>
          <w:szCs w:val="22"/>
        </w:rPr>
        <w:t>gained</w:t>
      </w:r>
      <w:r w:rsidRPr="00200C65">
        <w:rPr>
          <w:szCs w:val="22"/>
        </w:rPr>
        <w:t xml:space="preserve"> </w:t>
      </w:r>
      <w:r w:rsidR="0073736B" w:rsidRPr="00200C65">
        <w:rPr>
          <w:szCs w:val="22"/>
        </w:rPr>
        <w:t>when</w:t>
      </w:r>
      <w:r w:rsidRPr="00200C65">
        <w:rPr>
          <w:szCs w:val="22"/>
        </w:rPr>
        <w:t xml:space="preserve"> extrapolating PFS and OS with Weibull model</w:t>
      </w:r>
      <w:r w:rsidR="00965D2A" w:rsidRPr="00200C65">
        <w:rPr>
          <w:szCs w:val="22"/>
        </w:rPr>
        <w:t>s</w:t>
      </w:r>
      <w:r w:rsidRPr="00200C65">
        <w:rPr>
          <w:szCs w:val="22"/>
        </w:rPr>
        <w:t xml:space="preserve"> in both treatment arms.</w:t>
      </w:r>
    </w:p>
    <w:p w:rsidR="00144D06" w:rsidRPr="0073736B" w:rsidRDefault="00144D06" w:rsidP="00144D06">
      <w:pPr>
        <w:widowControl/>
        <w:rPr>
          <w:szCs w:val="22"/>
        </w:rPr>
      </w:pPr>
    </w:p>
    <w:p w:rsidR="00144D06" w:rsidRPr="00200C65" w:rsidRDefault="00144D06" w:rsidP="00C61ED5">
      <w:pPr>
        <w:pStyle w:val="ListParagraph"/>
        <w:widowControl/>
        <w:numPr>
          <w:ilvl w:val="1"/>
          <w:numId w:val="2"/>
        </w:numPr>
        <w:rPr>
          <w:szCs w:val="22"/>
        </w:rPr>
      </w:pPr>
      <w:r w:rsidRPr="00200C65">
        <w:rPr>
          <w:szCs w:val="22"/>
        </w:rPr>
        <w:t xml:space="preserve">Drug wastage should have been included in the base case of the model as this would </w:t>
      </w:r>
      <w:r w:rsidR="00965D2A" w:rsidRPr="00200C65">
        <w:rPr>
          <w:szCs w:val="22"/>
        </w:rPr>
        <w:t xml:space="preserve">reflect </w:t>
      </w:r>
      <w:r w:rsidRPr="00200C65">
        <w:rPr>
          <w:szCs w:val="22"/>
        </w:rPr>
        <w:t xml:space="preserve">clinical practice. A 5-year or 3-year time horizon </w:t>
      </w:r>
      <w:r w:rsidR="0073736B" w:rsidRPr="00200C65">
        <w:rPr>
          <w:szCs w:val="22"/>
        </w:rPr>
        <w:t xml:space="preserve">would be </w:t>
      </w:r>
      <w:r w:rsidRPr="00200C65">
        <w:rPr>
          <w:szCs w:val="22"/>
        </w:rPr>
        <w:t xml:space="preserve">more reasonable than a 10-year horizon used in the base case. During the evaluation, multi-variate sensitivity analyses were conducted and suggested that, when assuming a 5-year time horizon and including drug wastage, the ICER increased to </w:t>
      </w:r>
      <w:r w:rsidR="00E705CA">
        <w:rPr>
          <w:szCs w:val="22"/>
        </w:rPr>
        <w:t>$</w:t>
      </w:r>
      <w:r w:rsidR="003138D8">
        <w:rPr>
          <w:szCs w:val="22"/>
        </w:rPr>
        <w:t>7</w:t>
      </w:r>
      <w:r w:rsidR="00E705CA">
        <w:rPr>
          <w:szCs w:val="22"/>
        </w:rPr>
        <w:t xml:space="preserve">5,000/QALY - $105,000/QALY </w:t>
      </w:r>
      <w:r w:rsidR="00E77AC6">
        <w:rPr>
          <w:szCs w:val="22"/>
        </w:rPr>
        <w:t>gained</w:t>
      </w:r>
      <w:r w:rsidRPr="00200C65">
        <w:rPr>
          <w:szCs w:val="22"/>
        </w:rPr>
        <w:t xml:space="preserve">. Additionally, </w:t>
      </w:r>
      <w:r w:rsidR="0073736B" w:rsidRPr="00200C65">
        <w:rPr>
          <w:szCs w:val="22"/>
        </w:rPr>
        <w:t>when</w:t>
      </w:r>
      <w:r w:rsidRPr="00200C65">
        <w:rPr>
          <w:szCs w:val="22"/>
        </w:rPr>
        <w:t xml:space="preserve"> extrapolating PFS and OS using log-logistic model for both </w:t>
      </w:r>
      <w:r w:rsidR="0073736B" w:rsidRPr="00200C65">
        <w:rPr>
          <w:szCs w:val="22"/>
        </w:rPr>
        <w:t>arms, the ICER further increased</w:t>
      </w:r>
      <w:r w:rsidRPr="00200C65">
        <w:rPr>
          <w:szCs w:val="22"/>
        </w:rPr>
        <w:t xml:space="preserve"> to </w:t>
      </w:r>
      <w:r w:rsidR="003138D8">
        <w:rPr>
          <w:szCs w:val="22"/>
        </w:rPr>
        <w:t xml:space="preserve"> $105,000/QALY - $200,000/QALY </w:t>
      </w:r>
      <w:r w:rsidR="00E77AC6">
        <w:rPr>
          <w:szCs w:val="22"/>
        </w:rPr>
        <w:t>gained</w:t>
      </w:r>
      <w:r w:rsidRPr="00200C65">
        <w:rPr>
          <w:szCs w:val="22"/>
        </w:rPr>
        <w:t>, while the ICER increase</w:t>
      </w:r>
      <w:r w:rsidR="0073736B" w:rsidRPr="00200C65">
        <w:rPr>
          <w:szCs w:val="22"/>
        </w:rPr>
        <w:t>d</w:t>
      </w:r>
      <w:r w:rsidRPr="00200C65">
        <w:rPr>
          <w:szCs w:val="22"/>
        </w:rPr>
        <w:t xml:space="preserve"> to </w:t>
      </w:r>
      <w:r w:rsidR="003138D8">
        <w:rPr>
          <w:szCs w:val="22"/>
        </w:rPr>
        <w:t xml:space="preserve"> $105,000/QALY - $200,000/QALY </w:t>
      </w:r>
      <w:r w:rsidR="00E77AC6">
        <w:rPr>
          <w:szCs w:val="22"/>
        </w:rPr>
        <w:t>gained</w:t>
      </w:r>
      <w:r w:rsidRPr="00200C65">
        <w:rPr>
          <w:szCs w:val="22"/>
        </w:rPr>
        <w:t xml:space="preserve"> when </w:t>
      </w:r>
      <w:r w:rsidR="00F660DD" w:rsidRPr="00200C65">
        <w:rPr>
          <w:szCs w:val="22"/>
        </w:rPr>
        <w:t xml:space="preserve">using </w:t>
      </w:r>
      <w:r w:rsidRPr="00200C65">
        <w:rPr>
          <w:szCs w:val="22"/>
        </w:rPr>
        <w:t xml:space="preserve">Weibull model </w:t>
      </w:r>
      <w:r w:rsidR="00F660DD" w:rsidRPr="00200C65">
        <w:rPr>
          <w:szCs w:val="22"/>
        </w:rPr>
        <w:t>to extrapolate</w:t>
      </w:r>
      <w:r w:rsidRPr="00200C65">
        <w:rPr>
          <w:szCs w:val="22"/>
        </w:rPr>
        <w:t xml:space="preserve"> both PFS and OS in both arms.</w:t>
      </w:r>
    </w:p>
    <w:p w:rsidR="00144D06" w:rsidRDefault="00144D06" w:rsidP="00144D06">
      <w:pPr>
        <w:widowControl/>
        <w:rPr>
          <w:szCs w:val="22"/>
        </w:rPr>
      </w:pPr>
    </w:p>
    <w:p w:rsidR="00144D06" w:rsidRPr="002C2775" w:rsidRDefault="00144D06" w:rsidP="00144D06">
      <w:pPr>
        <w:pStyle w:val="Heading2"/>
        <w:rPr>
          <w:i/>
          <w:szCs w:val="22"/>
        </w:rPr>
      </w:pPr>
      <w:bookmarkStart w:id="21" w:name="_Toc440295002"/>
      <w:bookmarkStart w:id="22" w:name="_Toc440981303"/>
      <w:r w:rsidRPr="00D351EF">
        <w:rPr>
          <w:i/>
        </w:rPr>
        <w:t>Drug cost/patient/course: $</w:t>
      </w:r>
      <w:bookmarkEnd w:id="21"/>
      <w:bookmarkEnd w:id="22"/>
      <w:r w:rsidR="003349A8">
        <w:rPr>
          <w:i/>
          <w:noProof/>
          <w:color w:val="000000"/>
          <w:highlight w:val="black"/>
        </w:rPr>
        <w:t>'''''''''''''</w:t>
      </w:r>
    </w:p>
    <w:p w:rsidR="00144D06" w:rsidRPr="00C25D9C" w:rsidRDefault="00144D06" w:rsidP="00144D06">
      <w:pPr>
        <w:widowControl/>
        <w:rPr>
          <w:szCs w:val="22"/>
        </w:rPr>
      </w:pPr>
    </w:p>
    <w:p w:rsidR="00144D06" w:rsidRPr="00200C65" w:rsidRDefault="00144D06" w:rsidP="00C61ED5">
      <w:pPr>
        <w:pStyle w:val="ListParagraph"/>
        <w:widowControl/>
        <w:numPr>
          <w:ilvl w:val="1"/>
          <w:numId w:val="2"/>
        </w:numPr>
        <w:rPr>
          <w:szCs w:val="22"/>
        </w:rPr>
      </w:pPr>
      <w:r w:rsidRPr="00200C65">
        <w:rPr>
          <w:szCs w:val="22"/>
        </w:rPr>
        <w:t xml:space="preserve">The total drug cost per patient is </w:t>
      </w:r>
      <w:r w:rsidR="001B369E" w:rsidRPr="00200C65">
        <w:rPr>
          <w:szCs w:val="22"/>
        </w:rPr>
        <w:t>a</w:t>
      </w:r>
      <w:r w:rsidR="00F660DD" w:rsidRPr="00200C65">
        <w:rPr>
          <w:szCs w:val="22"/>
        </w:rPr>
        <w:t>t least</w:t>
      </w:r>
      <w:r w:rsidR="001B369E" w:rsidRPr="00200C65">
        <w:rPr>
          <w:szCs w:val="22"/>
        </w:rPr>
        <w:t xml:space="preserve"> </w:t>
      </w:r>
      <w:r w:rsidRPr="00200C65">
        <w:rPr>
          <w:szCs w:val="22"/>
        </w:rPr>
        <w:t>$</w:t>
      </w:r>
      <w:r w:rsidR="003349A8">
        <w:rPr>
          <w:noProof/>
          <w:color w:val="000000"/>
          <w:szCs w:val="22"/>
          <w:highlight w:val="black"/>
        </w:rPr>
        <w:t>''''''''''''''''</w:t>
      </w:r>
      <w:r w:rsidRPr="00200C65">
        <w:rPr>
          <w:szCs w:val="22"/>
        </w:rPr>
        <w:t xml:space="preserve">. This </w:t>
      </w:r>
      <w:r w:rsidR="00F660DD" w:rsidRPr="00200C65">
        <w:rPr>
          <w:szCs w:val="22"/>
        </w:rPr>
        <w:t>wa</w:t>
      </w:r>
      <w:r w:rsidRPr="00200C65">
        <w:rPr>
          <w:szCs w:val="22"/>
        </w:rPr>
        <w:t xml:space="preserve">s calculated </w:t>
      </w:r>
      <w:r w:rsidR="001B369E" w:rsidRPr="00200C65">
        <w:rPr>
          <w:szCs w:val="22"/>
        </w:rPr>
        <w:t xml:space="preserve">using the </w:t>
      </w:r>
      <w:r w:rsidR="00781058" w:rsidRPr="00200C65">
        <w:rPr>
          <w:szCs w:val="22"/>
        </w:rPr>
        <w:t xml:space="preserve">proposed effective </w:t>
      </w:r>
      <w:r w:rsidR="001B369E" w:rsidRPr="00200C65">
        <w:rPr>
          <w:szCs w:val="22"/>
        </w:rPr>
        <w:t xml:space="preserve">dispensed price and </w:t>
      </w:r>
      <w:r w:rsidRPr="00200C65">
        <w:rPr>
          <w:szCs w:val="22"/>
        </w:rPr>
        <w:t xml:space="preserve">assuming </w:t>
      </w:r>
      <w:r w:rsidR="00F660DD" w:rsidRPr="00200C65">
        <w:rPr>
          <w:szCs w:val="22"/>
        </w:rPr>
        <w:t xml:space="preserve">the </w:t>
      </w:r>
      <w:r w:rsidRPr="00200C65">
        <w:rPr>
          <w:szCs w:val="22"/>
        </w:rPr>
        <w:t xml:space="preserve">average body weight of </w:t>
      </w:r>
      <w:r w:rsidR="00D351EF" w:rsidRPr="00200C65">
        <w:rPr>
          <w:szCs w:val="22"/>
        </w:rPr>
        <w:t>72.2</w:t>
      </w:r>
      <w:r w:rsidR="00F660DD" w:rsidRPr="00200C65">
        <w:rPr>
          <w:szCs w:val="22"/>
        </w:rPr>
        <w:t> </w:t>
      </w:r>
      <w:r w:rsidR="00D351EF" w:rsidRPr="00200C65">
        <w:rPr>
          <w:szCs w:val="22"/>
        </w:rPr>
        <w:t xml:space="preserve">kg for </w:t>
      </w:r>
      <w:r w:rsidR="00781058" w:rsidRPr="00200C65">
        <w:rPr>
          <w:szCs w:val="22"/>
        </w:rPr>
        <w:t>a patient</w:t>
      </w:r>
      <w:r w:rsidRPr="00200C65">
        <w:rPr>
          <w:szCs w:val="22"/>
        </w:rPr>
        <w:t>, requiring 216.6</w:t>
      </w:r>
      <w:r w:rsidR="00F660DD" w:rsidRPr="00200C65">
        <w:rPr>
          <w:szCs w:val="22"/>
        </w:rPr>
        <w:t> </w:t>
      </w:r>
      <w:r w:rsidRPr="00200C65">
        <w:rPr>
          <w:szCs w:val="22"/>
        </w:rPr>
        <w:t xml:space="preserve">mg of nivolumab, supplied from 2 </w:t>
      </w:r>
      <w:r w:rsidR="00D351EF" w:rsidRPr="00200C65">
        <w:rPr>
          <w:szCs w:val="22"/>
        </w:rPr>
        <w:t>× 100</w:t>
      </w:r>
      <w:r w:rsidR="00F660DD" w:rsidRPr="00200C65">
        <w:rPr>
          <w:szCs w:val="22"/>
        </w:rPr>
        <w:t> </w:t>
      </w:r>
      <w:r w:rsidR="00D351EF" w:rsidRPr="00200C65">
        <w:rPr>
          <w:szCs w:val="22"/>
        </w:rPr>
        <w:t xml:space="preserve">mg </w:t>
      </w:r>
      <w:r w:rsidRPr="00200C65">
        <w:rPr>
          <w:szCs w:val="22"/>
        </w:rPr>
        <w:t xml:space="preserve">vials and 1 </w:t>
      </w:r>
      <w:r w:rsidR="00D351EF" w:rsidRPr="00200C65">
        <w:rPr>
          <w:szCs w:val="22"/>
        </w:rPr>
        <w:t>× 40</w:t>
      </w:r>
      <w:r w:rsidR="00F660DD" w:rsidRPr="00200C65">
        <w:rPr>
          <w:szCs w:val="22"/>
        </w:rPr>
        <w:t> </w:t>
      </w:r>
      <w:r w:rsidR="00D351EF" w:rsidRPr="00200C65">
        <w:rPr>
          <w:szCs w:val="22"/>
        </w:rPr>
        <w:t xml:space="preserve">mg </w:t>
      </w:r>
      <w:r w:rsidRPr="00200C65">
        <w:rPr>
          <w:szCs w:val="22"/>
        </w:rPr>
        <w:t>vial of nivolumab</w:t>
      </w:r>
      <w:r w:rsidR="001B369E" w:rsidRPr="00200C65">
        <w:rPr>
          <w:szCs w:val="22"/>
        </w:rPr>
        <w:t xml:space="preserve"> (allowing for wastage)</w:t>
      </w:r>
      <w:r w:rsidRPr="00200C65">
        <w:rPr>
          <w:szCs w:val="22"/>
        </w:rPr>
        <w:t xml:space="preserve">, with </w:t>
      </w:r>
      <w:r w:rsidR="003349A8">
        <w:rPr>
          <w:noProof/>
          <w:color w:val="000000"/>
          <w:szCs w:val="22"/>
          <w:highlight w:val="black"/>
        </w:rPr>
        <w:t xml:space="preserve">''''''''''''''' </w:t>
      </w:r>
      <w:r w:rsidRPr="00200C65">
        <w:rPr>
          <w:szCs w:val="22"/>
        </w:rPr>
        <w:t>infusions, as observed from CA209-057</w:t>
      </w:r>
      <w:r w:rsidR="00F660DD" w:rsidRPr="00200C65">
        <w:rPr>
          <w:szCs w:val="22"/>
        </w:rPr>
        <w:t xml:space="preserve"> (without any extrapolation over time)</w:t>
      </w:r>
      <w:r w:rsidRPr="00200C65">
        <w:rPr>
          <w:szCs w:val="22"/>
        </w:rPr>
        <w:t xml:space="preserve">. </w:t>
      </w:r>
      <w:r w:rsidR="00781058" w:rsidRPr="00200C65">
        <w:rPr>
          <w:szCs w:val="22"/>
        </w:rPr>
        <w:t xml:space="preserve">It </w:t>
      </w:r>
      <w:r w:rsidR="00F660DD" w:rsidRPr="00200C65">
        <w:rPr>
          <w:szCs w:val="22"/>
        </w:rPr>
        <w:t>wa</w:t>
      </w:r>
      <w:r w:rsidR="00781058" w:rsidRPr="00200C65">
        <w:rPr>
          <w:szCs w:val="22"/>
        </w:rPr>
        <w:t xml:space="preserve">s also assumed that 13% of the drug </w:t>
      </w:r>
      <w:r w:rsidR="00F660DD" w:rsidRPr="00200C65">
        <w:rPr>
          <w:szCs w:val="22"/>
        </w:rPr>
        <w:t>would be</w:t>
      </w:r>
      <w:r w:rsidR="00781058" w:rsidRPr="00200C65">
        <w:rPr>
          <w:szCs w:val="22"/>
        </w:rPr>
        <w:t xml:space="preserve"> dispensed in public hospitals and 87% in private hospitals. </w:t>
      </w:r>
      <w:r w:rsidRPr="00200C65">
        <w:rPr>
          <w:szCs w:val="22"/>
        </w:rPr>
        <w:t xml:space="preserve">This is compared with a total cost of </w:t>
      </w:r>
      <w:r w:rsidR="00965D2A" w:rsidRPr="00200C65">
        <w:rPr>
          <w:szCs w:val="22"/>
        </w:rPr>
        <w:t xml:space="preserve">approximately </w:t>
      </w:r>
      <w:r w:rsidRPr="00200C65">
        <w:rPr>
          <w:szCs w:val="22"/>
        </w:rPr>
        <w:t>$</w:t>
      </w:r>
      <w:r w:rsidR="003349A8">
        <w:rPr>
          <w:noProof/>
          <w:color w:val="000000"/>
          <w:szCs w:val="22"/>
          <w:highlight w:val="black"/>
        </w:rPr>
        <w:t>'''''''''</w:t>
      </w:r>
      <w:r w:rsidRPr="00200C65">
        <w:rPr>
          <w:szCs w:val="22"/>
        </w:rPr>
        <w:t xml:space="preserve"> for treatment with docetaxel, based on </w:t>
      </w:r>
      <w:r w:rsidR="00F660DD" w:rsidRPr="00200C65">
        <w:rPr>
          <w:szCs w:val="22"/>
        </w:rPr>
        <w:t>its</w:t>
      </w:r>
      <w:r w:rsidR="00DD1835" w:rsidRPr="00200C65">
        <w:rPr>
          <w:szCs w:val="22"/>
        </w:rPr>
        <w:t xml:space="preserve"> </w:t>
      </w:r>
      <w:r w:rsidR="00965D2A" w:rsidRPr="00200C65">
        <w:rPr>
          <w:szCs w:val="22"/>
        </w:rPr>
        <w:t xml:space="preserve">usage </w:t>
      </w:r>
      <w:r w:rsidR="00DD1835" w:rsidRPr="00200C65">
        <w:rPr>
          <w:szCs w:val="22"/>
        </w:rPr>
        <w:t xml:space="preserve">in </w:t>
      </w:r>
      <w:r w:rsidRPr="00200C65">
        <w:rPr>
          <w:szCs w:val="22"/>
        </w:rPr>
        <w:t>CA209-057.</w:t>
      </w:r>
    </w:p>
    <w:p w:rsidR="00E452CA" w:rsidRPr="001E2B1E" w:rsidRDefault="00E452CA" w:rsidP="00144D06">
      <w:pPr>
        <w:rPr>
          <w:szCs w:val="22"/>
        </w:rPr>
      </w:pPr>
    </w:p>
    <w:p w:rsidR="00BE06FF" w:rsidRPr="000C376B" w:rsidRDefault="00144D06" w:rsidP="000C376B">
      <w:pPr>
        <w:pStyle w:val="Heading2"/>
        <w:rPr>
          <w:i/>
        </w:rPr>
      </w:pPr>
      <w:bookmarkStart w:id="23" w:name="_Toc440295003"/>
      <w:bookmarkStart w:id="24" w:name="_Toc440981304"/>
      <w:r w:rsidRPr="002C2775">
        <w:rPr>
          <w:i/>
        </w:rPr>
        <w:t>Estimated PBS usage &amp; financial implications</w:t>
      </w:r>
      <w:bookmarkEnd w:id="23"/>
      <w:bookmarkEnd w:id="24"/>
    </w:p>
    <w:p w:rsidR="000028EC" w:rsidRDefault="000028EC" w:rsidP="000028EC">
      <w:pPr>
        <w:widowControl/>
        <w:rPr>
          <w:szCs w:val="22"/>
        </w:rPr>
      </w:pPr>
    </w:p>
    <w:p w:rsidR="00E078C5" w:rsidRPr="00CE4356" w:rsidRDefault="00E078C5" w:rsidP="00E078C5">
      <w:pPr>
        <w:pStyle w:val="ListParagraph"/>
        <w:widowControl/>
        <w:numPr>
          <w:ilvl w:val="1"/>
          <w:numId w:val="2"/>
        </w:numPr>
        <w:rPr>
          <w:szCs w:val="22"/>
        </w:rPr>
      </w:pPr>
      <w:r>
        <w:t>This submission was considered by DUSC</w:t>
      </w:r>
      <w:r w:rsidRPr="00B50DB8">
        <w:rPr>
          <w:color w:val="0070C0"/>
        </w:rPr>
        <w:t xml:space="preserve">. </w:t>
      </w:r>
      <w:r>
        <w:t>The submission took an epidemiological approach to estimate the number of patients with non-squamous NSCLC each year and the proportion of patients eligible for EGFR TKIs or ALK inhibitors based on the literature. The submission further estimated the proportion of patients treated with each second- or later-line therapies based on expert opinion.</w:t>
      </w:r>
    </w:p>
    <w:p w:rsidR="00E078C5" w:rsidRPr="00E078C5" w:rsidRDefault="00E078C5" w:rsidP="00E078C5">
      <w:pPr>
        <w:widowControl/>
        <w:rPr>
          <w:szCs w:val="22"/>
        </w:rPr>
      </w:pPr>
    </w:p>
    <w:p w:rsidR="00E078C5" w:rsidRPr="00E078C5" w:rsidRDefault="00E078C5" w:rsidP="00E078C5">
      <w:pPr>
        <w:pStyle w:val="ListParagraph"/>
        <w:widowControl/>
        <w:numPr>
          <w:ilvl w:val="1"/>
          <w:numId w:val="2"/>
        </w:numPr>
        <w:rPr>
          <w:szCs w:val="22"/>
        </w:rPr>
      </w:pPr>
      <w:r w:rsidRPr="00E078C5">
        <w:t xml:space="preserve">There was considerable uncertainty in the proportions of patients assumed to receive each treatment option, given that they were based on advice from the eight expert members of the sponsor’s advisory board. The level of agreement among these advisors was not reported, nor was any justification provided for the proportions proposed. Consequently, </w:t>
      </w:r>
      <w:r w:rsidRPr="00E078C5">
        <w:rPr>
          <w:szCs w:val="24"/>
        </w:rPr>
        <w:t>there was substantial uncertainty in the estimated number of patients likely to be treated</w:t>
      </w:r>
      <w:r w:rsidRPr="00E078C5">
        <w:t>.</w:t>
      </w:r>
    </w:p>
    <w:p w:rsidR="00E078C5" w:rsidRPr="00E078C5" w:rsidRDefault="00E078C5" w:rsidP="00E078C5">
      <w:pPr>
        <w:rPr>
          <w:szCs w:val="22"/>
        </w:rPr>
      </w:pPr>
    </w:p>
    <w:p w:rsidR="00E078C5" w:rsidRPr="00E078C5" w:rsidRDefault="00E078C5" w:rsidP="00E078C5">
      <w:pPr>
        <w:pStyle w:val="ListParagraph"/>
        <w:widowControl/>
        <w:numPr>
          <w:ilvl w:val="1"/>
          <w:numId w:val="2"/>
        </w:numPr>
        <w:rPr>
          <w:szCs w:val="22"/>
        </w:rPr>
      </w:pPr>
      <w:r w:rsidRPr="00E078C5">
        <w:rPr>
          <w:szCs w:val="24"/>
        </w:rPr>
        <w:t>The total cost of nivolumab was likely to be an underestimate since the treatment duration was assumed to be as that observed in CA209-057. The trial duration was unlikely to be sufficient to capture the full treatment duration. The estimated use and financial implications of nivolumab in the treatment of non-squamous NSCLC are summarised below</w:t>
      </w:r>
      <w:r w:rsidRPr="005F3B4F">
        <w:rPr>
          <w:szCs w:val="24"/>
        </w:rPr>
        <w:t>.</w:t>
      </w:r>
      <w:r w:rsidR="005F3B4F" w:rsidRPr="005F3B4F">
        <w:rPr>
          <w:szCs w:val="24"/>
        </w:rPr>
        <w:t xml:space="preserve"> </w:t>
      </w:r>
      <w:r w:rsidR="005F3B4F" w:rsidRPr="005F3B4F">
        <w:rPr>
          <w:szCs w:val="22"/>
        </w:rPr>
        <w:t xml:space="preserve">The net cost to the PBS/RPBS over five years was estimated to be </w:t>
      </w:r>
      <w:r w:rsidR="00FF2E7D">
        <w:rPr>
          <w:szCs w:val="22"/>
        </w:rPr>
        <w:t xml:space="preserve"> more than $100 million.</w:t>
      </w:r>
    </w:p>
    <w:p w:rsidR="00E078C5" w:rsidRDefault="00E078C5" w:rsidP="000028EC">
      <w:pPr>
        <w:widowControl/>
        <w:rPr>
          <w:szCs w:val="22"/>
        </w:rPr>
      </w:pPr>
    </w:p>
    <w:p w:rsidR="007F57FD" w:rsidRDefault="007F57FD">
      <w:pPr>
        <w:widowControl/>
        <w:jc w:val="left"/>
        <w:rPr>
          <w:rFonts w:ascii="Arial Narrow" w:hAnsi="Arial Narrow"/>
          <w:b/>
          <w:sz w:val="20"/>
          <w:szCs w:val="22"/>
        </w:rPr>
      </w:pPr>
      <w:r>
        <w:rPr>
          <w:szCs w:val="22"/>
        </w:rPr>
        <w:br w:type="page"/>
      </w:r>
    </w:p>
    <w:p w:rsidR="00E078C5" w:rsidRPr="00E078C5" w:rsidRDefault="00E078C5" w:rsidP="00E078C5">
      <w:pPr>
        <w:pStyle w:val="TableHeader"/>
        <w:widowControl/>
        <w:ind w:firstLine="720"/>
        <w:rPr>
          <w:sz w:val="18"/>
        </w:rPr>
      </w:pPr>
      <w:r w:rsidRPr="00E078C5">
        <w:rPr>
          <w:szCs w:val="22"/>
        </w:rPr>
        <w:lastRenderedPageBreak/>
        <w:t>Table 1</w:t>
      </w:r>
      <w:r w:rsidR="007E2365">
        <w:rPr>
          <w:szCs w:val="22"/>
        </w:rPr>
        <w:t>1</w:t>
      </w:r>
      <w:r w:rsidRPr="00E078C5">
        <w:rPr>
          <w:szCs w:val="22"/>
        </w:rPr>
        <w:t>: Estimated extent of nivolumab use and associated costs to the PBS</w:t>
      </w:r>
    </w:p>
    <w:tbl>
      <w:tblPr>
        <w:tblStyle w:val="TableGrid"/>
        <w:tblW w:w="4523" w:type="pct"/>
        <w:tblInd w:w="817" w:type="dxa"/>
        <w:tblLayout w:type="fixed"/>
        <w:tblLook w:val="04A0" w:firstRow="1" w:lastRow="0" w:firstColumn="1" w:lastColumn="0" w:noHBand="0" w:noVBand="1"/>
        <w:tblCaption w:val="Table 11: Estimated extent of nivolumab use and associated costs to the PBS"/>
      </w:tblPr>
      <w:tblGrid>
        <w:gridCol w:w="1990"/>
        <w:gridCol w:w="1272"/>
        <w:gridCol w:w="1274"/>
        <w:gridCol w:w="1276"/>
        <w:gridCol w:w="1274"/>
        <w:gridCol w:w="1274"/>
      </w:tblGrid>
      <w:tr w:rsidR="00E078C5" w:rsidRPr="009F09D6" w:rsidTr="001E5EBD">
        <w:trPr>
          <w:tblHeader/>
        </w:trPr>
        <w:tc>
          <w:tcPr>
            <w:tcW w:w="1190" w:type="pct"/>
            <w:tcBorders>
              <w:top w:val="single" w:sz="4" w:space="0" w:color="auto"/>
              <w:left w:val="single" w:sz="4" w:space="0" w:color="auto"/>
            </w:tcBorders>
            <w:vAlign w:val="center"/>
          </w:tcPr>
          <w:p w:rsidR="00E078C5" w:rsidRPr="009F09D6" w:rsidRDefault="00E078C5" w:rsidP="00786914">
            <w:pPr>
              <w:pStyle w:val="Tabletext"/>
              <w:rPr>
                <w:b/>
              </w:rPr>
            </w:pPr>
          </w:p>
        </w:tc>
        <w:tc>
          <w:tcPr>
            <w:tcW w:w="761" w:type="pct"/>
            <w:vAlign w:val="center"/>
          </w:tcPr>
          <w:p w:rsidR="00E078C5" w:rsidRPr="009F09D6" w:rsidRDefault="00E078C5" w:rsidP="00786914">
            <w:pPr>
              <w:pStyle w:val="Tabletext"/>
              <w:jc w:val="center"/>
              <w:rPr>
                <w:b/>
              </w:rPr>
            </w:pPr>
            <w:r w:rsidRPr="009F09D6">
              <w:rPr>
                <w:b/>
              </w:rPr>
              <w:t>Year 1</w:t>
            </w:r>
          </w:p>
        </w:tc>
        <w:tc>
          <w:tcPr>
            <w:tcW w:w="762" w:type="pct"/>
            <w:vAlign w:val="center"/>
          </w:tcPr>
          <w:p w:rsidR="00E078C5" w:rsidRPr="009F09D6" w:rsidRDefault="00E078C5" w:rsidP="00786914">
            <w:pPr>
              <w:pStyle w:val="Tabletext"/>
              <w:jc w:val="center"/>
              <w:rPr>
                <w:b/>
              </w:rPr>
            </w:pPr>
            <w:r w:rsidRPr="009F09D6">
              <w:rPr>
                <w:b/>
              </w:rPr>
              <w:t>Year 2</w:t>
            </w:r>
          </w:p>
        </w:tc>
        <w:tc>
          <w:tcPr>
            <w:tcW w:w="763" w:type="pct"/>
            <w:vAlign w:val="center"/>
          </w:tcPr>
          <w:p w:rsidR="00E078C5" w:rsidRPr="009F09D6" w:rsidRDefault="00E078C5" w:rsidP="00786914">
            <w:pPr>
              <w:pStyle w:val="Tabletext"/>
              <w:jc w:val="center"/>
              <w:rPr>
                <w:b/>
              </w:rPr>
            </w:pPr>
            <w:r w:rsidRPr="009F09D6">
              <w:rPr>
                <w:b/>
              </w:rPr>
              <w:t>Year 3</w:t>
            </w:r>
          </w:p>
        </w:tc>
        <w:tc>
          <w:tcPr>
            <w:tcW w:w="762" w:type="pct"/>
            <w:vAlign w:val="center"/>
          </w:tcPr>
          <w:p w:rsidR="00E078C5" w:rsidRPr="009F09D6" w:rsidRDefault="00E078C5" w:rsidP="00786914">
            <w:pPr>
              <w:pStyle w:val="Tabletext"/>
              <w:jc w:val="center"/>
              <w:rPr>
                <w:b/>
              </w:rPr>
            </w:pPr>
            <w:r w:rsidRPr="009F09D6">
              <w:rPr>
                <w:b/>
              </w:rPr>
              <w:t>Year 4</w:t>
            </w:r>
          </w:p>
        </w:tc>
        <w:tc>
          <w:tcPr>
            <w:tcW w:w="762" w:type="pct"/>
            <w:vAlign w:val="center"/>
          </w:tcPr>
          <w:p w:rsidR="00E078C5" w:rsidRPr="009F09D6" w:rsidRDefault="00E078C5" w:rsidP="00786914">
            <w:pPr>
              <w:pStyle w:val="Tabletext"/>
              <w:jc w:val="center"/>
              <w:rPr>
                <w:b/>
              </w:rPr>
            </w:pPr>
            <w:r w:rsidRPr="009F09D6">
              <w:rPr>
                <w:b/>
              </w:rPr>
              <w:t>Year 5</w:t>
            </w:r>
          </w:p>
        </w:tc>
      </w:tr>
      <w:tr w:rsidR="00E078C5" w:rsidRPr="009F09D6" w:rsidTr="005F3B4F">
        <w:tc>
          <w:tcPr>
            <w:tcW w:w="5000" w:type="pct"/>
            <w:gridSpan w:val="6"/>
            <w:tcBorders>
              <w:bottom w:val="single" w:sz="4" w:space="0" w:color="auto"/>
            </w:tcBorders>
            <w:vAlign w:val="center"/>
          </w:tcPr>
          <w:p w:rsidR="00E078C5" w:rsidRPr="009F09D6" w:rsidRDefault="00E078C5" w:rsidP="00786914">
            <w:pPr>
              <w:pStyle w:val="Tabletext"/>
              <w:rPr>
                <w:b/>
              </w:rPr>
            </w:pPr>
            <w:r w:rsidRPr="009F09D6">
              <w:rPr>
                <w:b/>
              </w:rPr>
              <w:t>Estimated extent of use</w:t>
            </w:r>
          </w:p>
        </w:tc>
      </w:tr>
      <w:tr w:rsidR="00E078C5" w:rsidRPr="009F09D6" w:rsidTr="005F3B4F">
        <w:tc>
          <w:tcPr>
            <w:tcW w:w="1190" w:type="pct"/>
            <w:tcBorders>
              <w:bottom w:val="single" w:sz="4" w:space="0" w:color="auto"/>
            </w:tcBorders>
            <w:vAlign w:val="center"/>
          </w:tcPr>
          <w:p w:rsidR="00E078C5" w:rsidRPr="009F09D6" w:rsidRDefault="00E078C5" w:rsidP="00786914">
            <w:pPr>
              <w:pStyle w:val="Tabletext"/>
            </w:pPr>
            <w:r w:rsidRPr="009F09D6">
              <w:t>Patients treated with nivolumab</w:t>
            </w:r>
          </w:p>
        </w:tc>
        <w:tc>
          <w:tcPr>
            <w:tcW w:w="761" w:type="pct"/>
            <w:tcBorders>
              <w:bottom w:val="single" w:sz="4" w:space="0" w:color="auto"/>
            </w:tcBorders>
            <w:vAlign w:val="center"/>
          </w:tcPr>
          <w:p w:rsidR="00E078C5" w:rsidRPr="003349A8" w:rsidRDefault="003349A8" w:rsidP="00786914">
            <w:pPr>
              <w:widowControl/>
              <w:jc w:val="center"/>
              <w:rPr>
                <w:rFonts w:ascii="Arial Narrow" w:hAnsi="Arial Narrow"/>
                <w:bCs/>
                <w:sz w:val="20"/>
                <w:highlight w:val="black"/>
              </w:rPr>
            </w:pPr>
            <w:r>
              <w:rPr>
                <w:rFonts w:ascii="Arial Narrow" w:hAnsi="Arial Narrow"/>
                <w:bCs/>
                <w:noProof/>
                <w:color w:val="000000"/>
                <w:sz w:val="20"/>
                <w:highlight w:val="black"/>
              </w:rPr>
              <w:t>'''''''''''''''</w:t>
            </w:r>
          </w:p>
        </w:tc>
        <w:tc>
          <w:tcPr>
            <w:tcW w:w="762" w:type="pct"/>
            <w:tcBorders>
              <w:bottom w:val="single" w:sz="4" w:space="0" w:color="auto"/>
            </w:tcBorders>
            <w:vAlign w:val="center"/>
          </w:tcPr>
          <w:p w:rsidR="00E078C5" w:rsidRPr="003349A8" w:rsidRDefault="003349A8" w:rsidP="00786914">
            <w:pPr>
              <w:widowControl/>
              <w:jc w:val="center"/>
              <w:rPr>
                <w:rFonts w:ascii="Arial Narrow" w:hAnsi="Arial Narrow"/>
                <w:bCs/>
                <w:sz w:val="20"/>
                <w:highlight w:val="black"/>
              </w:rPr>
            </w:pPr>
            <w:r>
              <w:rPr>
                <w:rFonts w:ascii="Arial Narrow" w:hAnsi="Arial Narrow"/>
                <w:bCs/>
                <w:noProof/>
                <w:color w:val="000000"/>
                <w:sz w:val="20"/>
                <w:highlight w:val="black"/>
              </w:rPr>
              <w:t>''''''''''''</w:t>
            </w:r>
          </w:p>
        </w:tc>
        <w:tc>
          <w:tcPr>
            <w:tcW w:w="763" w:type="pct"/>
            <w:tcBorders>
              <w:bottom w:val="single" w:sz="4" w:space="0" w:color="auto"/>
            </w:tcBorders>
            <w:vAlign w:val="center"/>
          </w:tcPr>
          <w:p w:rsidR="00E078C5" w:rsidRPr="003349A8" w:rsidRDefault="003349A8" w:rsidP="00786914">
            <w:pPr>
              <w:widowControl/>
              <w:jc w:val="center"/>
              <w:rPr>
                <w:rFonts w:ascii="Arial Narrow" w:hAnsi="Arial Narrow"/>
                <w:bCs/>
                <w:sz w:val="20"/>
                <w:highlight w:val="black"/>
              </w:rPr>
            </w:pPr>
            <w:r>
              <w:rPr>
                <w:rFonts w:ascii="Arial Narrow" w:hAnsi="Arial Narrow"/>
                <w:bCs/>
                <w:noProof/>
                <w:color w:val="000000"/>
                <w:sz w:val="20"/>
                <w:highlight w:val="black"/>
              </w:rPr>
              <w:t>''''''''''''</w:t>
            </w:r>
          </w:p>
        </w:tc>
        <w:tc>
          <w:tcPr>
            <w:tcW w:w="762" w:type="pct"/>
            <w:tcBorders>
              <w:bottom w:val="single" w:sz="4" w:space="0" w:color="auto"/>
            </w:tcBorders>
            <w:vAlign w:val="center"/>
          </w:tcPr>
          <w:p w:rsidR="00E078C5" w:rsidRPr="003349A8" w:rsidRDefault="003349A8" w:rsidP="00786914">
            <w:pPr>
              <w:widowControl/>
              <w:jc w:val="center"/>
              <w:rPr>
                <w:rFonts w:ascii="Arial Narrow" w:hAnsi="Arial Narrow"/>
                <w:bCs/>
                <w:sz w:val="20"/>
                <w:highlight w:val="black"/>
              </w:rPr>
            </w:pPr>
            <w:r>
              <w:rPr>
                <w:rFonts w:ascii="Arial Narrow" w:hAnsi="Arial Narrow"/>
                <w:bCs/>
                <w:noProof/>
                <w:color w:val="000000"/>
                <w:sz w:val="20"/>
                <w:highlight w:val="black"/>
              </w:rPr>
              <w:t>'''''''''''''</w:t>
            </w:r>
          </w:p>
        </w:tc>
        <w:tc>
          <w:tcPr>
            <w:tcW w:w="762" w:type="pct"/>
            <w:tcBorders>
              <w:bottom w:val="single" w:sz="4" w:space="0" w:color="auto"/>
            </w:tcBorders>
            <w:vAlign w:val="center"/>
          </w:tcPr>
          <w:p w:rsidR="00E078C5" w:rsidRPr="003349A8" w:rsidRDefault="003349A8" w:rsidP="00786914">
            <w:pPr>
              <w:widowControl/>
              <w:jc w:val="center"/>
              <w:rPr>
                <w:rFonts w:ascii="Arial Narrow" w:hAnsi="Arial Narrow"/>
                <w:bCs/>
                <w:sz w:val="20"/>
                <w:highlight w:val="black"/>
              </w:rPr>
            </w:pPr>
            <w:r>
              <w:rPr>
                <w:rFonts w:ascii="Arial Narrow" w:hAnsi="Arial Narrow"/>
                <w:bCs/>
                <w:noProof/>
                <w:color w:val="000000"/>
                <w:sz w:val="20"/>
                <w:highlight w:val="black"/>
              </w:rPr>
              <w:t>'''''''''''''''</w:t>
            </w:r>
          </w:p>
        </w:tc>
      </w:tr>
      <w:tr w:rsidR="00E078C5" w:rsidRPr="009F09D6" w:rsidTr="005F3B4F">
        <w:tc>
          <w:tcPr>
            <w:tcW w:w="1190" w:type="pct"/>
            <w:tcBorders>
              <w:bottom w:val="nil"/>
            </w:tcBorders>
            <w:vAlign w:val="center"/>
          </w:tcPr>
          <w:p w:rsidR="00E078C5" w:rsidRPr="009F09D6" w:rsidRDefault="00E078C5" w:rsidP="00786914">
            <w:pPr>
              <w:pStyle w:val="Tabletext"/>
              <w:rPr>
                <w:lang w:eastAsia="ja-JP"/>
              </w:rPr>
            </w:pPr>
            <w:r w:rsidRPr="009F09D6">
              <w:rPr>
                <w:lang w:eastAsia="ja-JP"/>
              </w:rPr>
              <w:t>Number of vials</w:t>
            </w:r>
            <w:r w:rsidRPr="009F09D6">
              <w:rPr>
                <w:vertAlign w:val="superscript"/>
                <w:lang w:eastAsia="ja-JP"/>
              </w:rPr>
              <w:t>b</w:t>
            </w:r>
          </w:p>
        </w:tc>
        <w:tc>
          <w:tcPr>
            <w:tcW w:w="761" w:type="pct"/>
            <w:tcBorders>
              <w:bottom w:val="nil"/>
            </w:tcBorders>
            <w:vAlign w:val="center"/>
          </w:tcPr>
          <w:p w:rsidR="00E078C5" w:rsidRPr="009F09D6" w:rsidRDefault="00E078C5" w:rsidP="00786914">
            <w:pPr>
              <w:pStyle w:val="Tabletext"/>
              <w:jc w:val="center"/>
            </w:pPr>
          </w:p>
        </w:tc>
        <w:tc>
          <w:tcPr>
            <w:tcW w:w="762" w:type="pct"/>
            <w:tcBorders>
              <w:bottom w:val="nil"/>
            </w:tcBorders>
            <w:vAlign w:val="center"/>
          </w:tcPr>
          <w:p w:rsidR="00E078C5" w:rsidRPr="009F09D6" w:rsidRDefault="00E078C5" w:rsidP="00786914">
            <w:pPr>
              <w:pStyle w:val="Tabletext"/>
              <w:jc w:val="center"/>
            </w:pPr>
          </w:p>
        </w:tc>
        <w:tc>
          <w:tcPr>
            <w:tcW w:w="763" w:type="pct"/>
            <w:tcBorders>
              <w:bottom w:val="nil"/>
            </w:tcBorders>
            <w:vAlign w:val="center"/>
          </w:tcPr>
          <w:p w:rsidR="00E078C5" w:rsidRPr="009F09D6" w:rsidRDefault="00E078C5" w:rsidP="00786914">
            <w:pPr>
              <w:pStyle w:val="Tabletext"/>
              <w:jc w:val="center"/>
            </w:pPr>
          </w:p>
        </w:tc>
        <w:tc>
          <w:tcPr>
            <w:tcW w:w="762" w:type="pct"/>
            <w:tcBorders>
              <w:bottom w:val="nil"/>
            </w:tcBorders>
            <w:vAlign w:val="center"/>
          </w:tcPr>
          <w:p w:rsidR="00E078C5" w:rsidRPr="009F09D6" w:rsidRDefault="00E078C5" w:rsidP="00786914">
            <w:pPr>
              <w:pStyle w:val="Tabletext"/>
              <w:jc w:val="center"/>
            </w:pPr>
          </w:p>
        </w:tc>
        <w:tc>
          <w:tcPr>
            <w:tcW w:w="762" w:type="pct"/>
            <w:tcBorders>
              <w:bottom w:val="nil"/>
            </w:tcBorders>
            <w:vAlign w:val="center"/>
          </w:tcPr>
          <w:p w:rsidR="00E078C5" w:rsidRPr="009F09D6" w:rsidRDefault="00E078C5" w:rsidP="00786914">
            <w:pPr>
              <w:pStyle w:val="Tabletext"/>
              <w:jc w:val="center"/>
            </w:pPr>
          </w:p>
        </w:tc>
      </w:tr>
      <w:tr w:rsidR="00E078C5" w:rsidRPr="009F09D6" w:rsidTr="005F3B4F">
        <w:tc>
          <w:tcPr>
            <w:tcW w:w="1190" w:type="pct"/>
            <w:tcBorders>
              <w:top w:val="nil"/>
              <w:bottom w:val="nil"/>
            </w:tcBorders>
            <w:vAlign w:val="center"/>
          </w:tcPr>
          <w:p w:rsidR="00E078C5" w:rsidRPr="009F09D6" w:rsidRDefault="00E078C5" w:rsidP="00786914">
            <w:pPr>
              <w:pStyle w:val="Tabletext"/>
              <w:ind w:left="142"/>
              <w:rPr>
                <w:vertAlign w:val="superscript"/>
                <w:lang w:eastAsia="ja-JP"/>
              </w:rPr>
            </w:pPr>
            <w:r w:rsidRPr="009F09D6">
              <w:rPr>
                <w:lang w:eastAsia="ja-JP"/>
              </w:rPr>
              <w:t>100mg/mL</w:t>
            </w:r>
            <w:r w:rsidRPr="009F09D6">
              <w:rPr>
                <w:vertAlign w:val="superscript"/>
                <w:lang w:eastAsia="ja-JP"/>
              </w:rPr>
              <w:t>a</w:t>
            </w:r>
          </w:p>
        </w:tc>
        <w:tc>
          <w:tcPr>
            <w:tcW w:w="761" w:type="pct"/>
            <w:tcBorders>
              <w:top w:val="nil"/>
              <w:bottom w:val="nil"/>
            </w:tcBorders>
            <w:vAlign w:val="center"/>
          </w:tcPr>
          <w:p w:rsidR="00E078C5" w:rsidRPr="003349A8" w:rsidRDefault="003349A8" w:rsidP="00786914">
            <w:pPr>
              <w:widowControl/>
              <w:jc w:val="center"/>
              <w:rPr>
                <w:rFonts w:ascii="Arial Narrow" w:hAnsi="Arial Narrow"/>
                <w:bCs/>
                <w:sz w:val="20"/>
                <w:highlight w:val="black"/>
              </w:rPr>
            </w:pPr>
            <w:r>
              <w:rPr>
                <w:rFonts w:ascii="Arial Narrow" w:hAnsi="Arial Narrow"/>
                <w:bCs/>
                <w:noProof/>
                <w:color w:val="000000"/>
                <w:sz w:val="20"/>
                <w:highlight w:val="black"/>
              </w:rPr>
              <w:t>''''''''''''''''''</w:t>
            </w:r>
          </w:p>
        </w:tc>
        <w:tc>
          <w:tcPr>
            <w:tcW w:w="762" w:type="pct"/>
            <w:tcBorders>
              <w:top w:val="nil"/>
              <w:bottom w:val="nil"/>
            </w:tcBorders>
            <w:vAlign w:val="center"/>
          </w:tcPr>
          <w:p w:rsidR="00E078C5" w:rsidRPr="003349A8" w:rsidRDefault="003349A8" w:rsidP="00786914">
            <w:pPr>
              <w:widowControl/>
              <w:jc w:val="center"/>
              <w:rPr>
                <w:rFonts w:ascii="Arial Narrow" w:hAnsi="Arial Narrow"/>
                <w:bCs/>
                <w:sz w:val="20"/>
                <w:highlight w:val="black"/>
              </w:rPr>
            </w:pPr>
            <w:r>
              <w:rPr>
                <w:rFonts w:ascii="Arial Narrow" w:hAnsi="Arial Narrow"/>
                <w:bCs/>
                <w:noProof/>
                <w:color w:val="000000"/>
                <w:sz w:val="20"/>
                <w:highlight w:val="black"/>
              </w:rPr>
              <w:t>''''''''''''''''</w:t>
            </w:r>
          </w:p>
        </w:tc>
        <w:tc>
          <w:tcPr>
            <w:tcW w:w="763" w:type="pct"/>
            <w:tcBorders>
              <w:top w:val="nil"/>
              <w:bottom w:val="nil"/>
            </w:tcBorders>
            <w:vAlign w:val="center"/>
          </w:tcPr>
          <w:p w:rsidR="00E078C5" w:rsidRPr="003349A8" w:rsidRDefault="003349A8" w:rsidP="00786914">
            <w:pPr>
              <w:widowControl/>
              <w:jc w:val="center"/>
              <w:rPr>
                <w:rFonts w:ascii="Arial Narrow" w:hAnsi="Arial Narrow"/>
                <w:bCs/>
                <w:sz w:val="20"/>
                <w:highlight w:val="black"/>
              </w:rPr>
            </w:pPr>
            <w:r>
              <w:rPr>
                <w:rFonts w:ascii="Arial Narrow" w:hAnsi="Arial Narrow"/>
                <w:bCs/>
                <w:noProof/>
                <w:color w:val="000000"/>
                <w:sz w:val="20"/>
                <w:highlight w:val="black"/>
              </w:rPr>
              <w:t>'''''''''''''''''</w:t>
            </w:r>
          </w:p>
        </w:tc>
        <w:tc>
          <w:tcPr>
            <w:tcW w:w="762" w:type="pct"/>
            <w:tcBorders>
              <w:top w:val="nil"/>
              <w:bottom w:val="nil"/>
            </w:tcBorders>
            <w:vAlign w:val="center"/>
          </w:tcPr>
          <w:p w:rsidR="00E078C5" w:rsidRPr="003349A8" w:rsidRDefault="003349A8" w:rsidP="00786914">
            <w:pPr>
              <w:widowControl/>
              <w:jc w:val="center"/>
              <w:rPr>
                <w:rFonts w:ascii="Arial Narrow" w:hAnsi="Arial Narrow"/>
                <w:bCs/>
                <w:sz w:val="20"/>
                <w:highlight w:val="black"/>
              </w:rPr>
            </w:pPr>
            <w:r>
              <w:rPr>
                <w:rFonts w:ascii="Arial Narrow" w:hAnsi="Arial Narrow"/>
                <w:bCs/>
                <w:noProof/>
                <w:color w:val="000000"/>
                <w:sz w:val="20"/>
                <w:highlight w:val="black"/>
              </w:rPr>
              <w:t>''''''''''''''''''</w:t>
            </w:r>
          </w:p>
        </w:tc>
        <w:tc>
          <w:tcPr>
            <w:tcW w:w="762" w:type="pct"/>
            <w:tcBorders>
              <w:top w:val="nil"/>
              <w:bottom w:val="nil"/>
            </w:tcBorders>
            <w:vAlign w:val="center"/>
          </w:tcPr>
          <w:p w:rsidR="00E078C5" w:rsidRPr="003349A8" w:rsidRDefault="003349A8" w:rsidP="00786914">
            <w:pPr>
              <w:widowControl/>
              <w:jc w:val="center"/>
              <w:rPr>
                <w:rFonts w:ascii="Arial Narrow" w:hAnsi="Arial Narrow"/>
                <w:bCs/>
                <w:sz w:val="20"/>
                <w:highlight w:val="black"/>
              </w:rPr>
            </w:pPr>
            <w:r>
              <w:rPr>
                <w:rFonts w:ascii="Arial Narrow" w:hAnsi="Arial Narrow"/>
                <w:bCs/>
                <w:noProof/>
                <w:color w:val="000000"/>
                <w:sz w:val="20"/>
                <w:highlight w:val="black"/>
              </w:rPr>
              <w:t>'''''''''''''''</w:t>
            </w:r>
          </w:p>
        </w:tc>
      </w:tr>
      <w:tr w:rsidR="00E078C5" w:rsidRPr="009F09D6" w:rsidTr="005F3B4F">
        <w:tc>
          <w:tcPr>
            <w:tcW w:w="1190" w:type="pct"/>
            <w:tcBorders>
              <w:top w:val="nil"/>
              <w:bottom w:val="single" w:sz="4" w:space="0" w:color="auto"/>
            </w:tcBorders>
            <w:vAlign w:val="center"/>
          </w:tcPr>
          <w:p w:rsidR="00E078C5" w:rsidRPr="009F09D6" w:rsidRDefault="00E078C5" w:rsidP="00786914">
            <w:pPr>
              <w:pStyle w:val="Tabletext"/>
              <w:ind w:left="142"/>
              <w:rPr>
                <w:vertAlign w:val="superscript"/>
                <w:lang w:eastAsia="ja-JP"/>
              </w:rPr>
            </w:pPr>
            <w:r w:rsidRPr="009F09D6">
              <w:rPr>
                <w:lang w:eastAsia="ja-JP"/>
              </w:rPr>
              <w:t>40mg/4mL (wastage included)</w:t>
            </w:r>
            <w:r w:rsidRPr="009F09D6">
              <w:rPr>
                <w:vertAlign w:val="superscript"/>
                <w:lang w:eastAsia="ja-JP"/>
              </w:rPr>
              <w:t>a</w:t>
            </w:r>
          </w:p>
        </w:tc>
        <w:tc>
          <w:tcPr>
            <w:tcW w:w="761" w:type="pct"/>
            <w:tcBorders>
              <w:top w:val="nil"/>
              <w:bottom w:val="single" w:sz="4" w:space="0" w:color="auto"/>
            </w:tcBorders>
            <w:vAlign w:val="center"/>
          </w:tcPr>
          <w:p w:rsidR="00E078C5" w:rsidRPr="003349A8" w:rsidRDefault="003349A8" w:rsidP="00786914">
            <w:pPr>
              <w:widowControl/>
              <w:jc w:val="center"/>
              <w:rPr>
                <w:rFonts w:ascii="Arial Narrow" w:hAnsi="Arial Narrow"/>
                <w:bCs/>
                <w:sz w:val="20"/>
                <w:highlight w:val="black"/>
              </w:rPr>
            </w:pPr>
            <w:r>
              <w:rPr>
                <w:rFonts w:ascii="Arial Narrow" w:hAnsi="Arial Narrow"/>
                <w:bCs/>
                <w:noProof/>
                <w:color w:val="000000"/>
                <w:sz w:val="20"/>
                <w:highlight w:val="black"/>
              </w:rPr>
              <w:t>'''''''''''''''''</w:t>
            </w:r>
          </w:p>
        </w:tc>
        <w:tc>
          <w:tcPr>
            <w:tcW w:w="762" w:type="pct"/>
            <w:tcBorders>
              <w:top w:val="nil"/>
              <w:bottom w:val="single" w:sz="4" w:space="0" w:color="auto"/>
            </w:tcBorders>
            <w:vAlign w:val="center"/>
          </w:tcPr>
          <w:p w:rsidR="00E078C5" w:rsidRPr="003349A8" w:rsidRDefault="003349A8" w:rsidP="00786914">
            <w:pPr>
              <w:widowControl/>
              <w:jc w:val="center"/>
              <w:rPr>
                <w:rFonts w:ascii="Arial Narrow" w:hAnsi="Arial Narrow"/>
                <w:bCs/>
                <w:sz w:val="20"/>
                <w:highlight w:val="black"/>
              </w:rPr>
            </w:pPr>
            <w:r>
              <w:rPr>
                <w:rFonts w:ascii="Arial Narrow" w:hAnsi="Arial Narrow"/>
                <w:bCs/>
                <w:noProof/>
                <w:color w:val="000000"/>
                <w:sz w:val="20"/>
                <w:highlight w:val="black"/>
              </w:rPr>
              <w:t>'''''''''''''''</w:t>
            </w:r>
          </w:p>
        </w:tc>
        <w:tc>
          <w:tcPr>
            <w:tcW w:w="763" w:type="pct"/>
            <w:tcBorders>
              <w:top w:val="nil"/>
              <w:bottom w:val="single" w:sz="4" w:space="0" w:color="auto"/>
            </w:tcBorders>
            <w:vAlign w:val="center"/>
          </w:tcPr>
          <w:p w:rsidR="00E078C5" w:rsidRPr="003349A8" w:rsidRDefault="003349A8" w:rsidP="00786914">
            <w:pPr>
              <w:widowControl/>
              <w:jc w:val="center"/>
              <w:rPr>
                <w:rFonts w:ascii="Arial Narrow" w:hAnsi="Arial Narrow"/>
                <w:bCs/>
                <w:sz w:val="20"/>
                <w:highlight w:val="black"/>
              </w:rPr>
            </w:pPr>
            <w:r>
              <w:rPr>
                <w:rFonts w:ascii="Arial Narrow" w:hAnsi="Arial Narrow"/>
                <w:bCs/>
                <w:noProof/>
                <w:color w:val="000000"/>
                <w:sz w:val="20"/>
                <w:highlight w:val="black"/>
              </w:rPr>
              <w:t>'''''''''''''''''</w:t>
            </w:r>
          </w:p>
        </w:tc>
        <w:tc>
          <w:tcPr>
            <w:tcW w:w="762" w:type="pct"/>
            <w:tcBorders>
              <w:top w:val="nil"/>
              <w:bottom w:val="single" w:sz="4" w:space="0" w:color="auto"/>
            </w:tcBorders>
            <w:vAlign w:val="center"/>
          </w:tcPr>
          <w:p w:rsidR="00E078C5" w:rsidRPr="003349A8" w:rsidRDefault="003349A8" w:rsidP="00786914">
            <w:pPr>
              <w:widowControl/>
              <w:jc w:val="center"/>
              <w:rPr>
                <w:rFonts w:ascii="Arial Narrow" w:hAnsi="Arial Narrow"/>
                <w:bCs/>
                <w:sz w:val="20"/>
                <w:highlight w:val="black"/>
              </w:rPr>
            </w:pPr>
            <w:r>
              <w:rPr>
                <w:rFonts w:ascii="Arial Narrow" w:hAnsi="Arial Narrow"/>
                <w:bCs/>
                <w:noProof/>
                <w:color w:val="000000"/>
                <w:sz w:val="20"/>
                <w:highlight w:val="black"/>
              </w:rPr>
              <w:t>'''''''''''''''''</w:t>
            </w:r>
          </w:p>
        </w:tc>
        <w:tc>
          <w:tcPr>
            <w:tcW w:w="762" w:type="pct"/>
            <w:tcBorders>
              <w:top w:val="nil"/>
              <w:bottom w:val="single" w:sz="4" w:space="0" w:color="auto"/>
            </w:tcBorders>
            <w:vAlign w:val="center"/>
          </w:tcPr>
          <w:p w:rsidR="00E078C5" w:rsidRPr="003349A8" w:rsidRDefault="003349A8" w:rsidP="00786914">
            <w:pPr>
              <w:widowControl/>
              <w:jc w:val="center"/>
              <w:rPr>
                <w:rFonts w:ascii="Arial Narrow" w:hAnsi="Arial Narrow"/>
                <w:bCs/>
                <w:sz w:val="20"/>
                <w:highlight w:val="black"/>
              </w:rPr>
            </w:pPr>
            <w:r>
              <w:rPr>
                <w:rFonts w:ascii="Arial Narrow" w:hAnsi="Arial Narrow"/>
                <w:bCs/>
                <w:noProof/>
                <w:color w:val="000000"/>
                <w:sz w:val="20"/>
                <w:highlight w:val="black"/>
              </w:rPr>
              <w:t>''''''''''''''''</w:t>
            </w:r>
          </w:p>
        </w:tc>
      </w:tr>
      <w:tr w:rsidR="00E078C5" w:rsidRPr="009F09D6" w:rsidTr="005F3B4F">
        <w:tc>
          <w:tcPr>
            <w:tcW w:w="5000" w:type="pct"/>
            <w:gridSpan w:val="6"/>
            <w:tcBorders>
              <w:bottom w:val="single" w:sz="4" w:space="0" w:color="auto"/>
            </w:tcBorders>
            <w:vAlign w:val="center"/>
          </w:tcPr>
          <w:p w:rsidR="00E078C5" w:rsidRPr="009F09D6" w:rsidRDefault="00E078C5" w:rsidP="00786914">
            <w:pPr>
              <w:pStyle w:val="Tabletext"/>
              <w:rPr>
                <w:b/>
              </w:rPr>
            </w:pPr>
            <w:r w:rsidRPr="009F09D6">
              <w:rPr>
                <w:b/>
              </w:rPr>
              <w:t>Estimated drug cost to the PBS and RPBS</w:t>
            </w:r>
          </w:p>
        </w:tc>
      </w:tr>
      <w:tr w:rsidR="00E078C5" w:rsidRPr="009F09D6" w:rsidTr="005F3B4F">
        <w:tc>
          <w:tcPr>
            <w:tcW w:w="1190" w:type="pct"/>
            <w:tcBorders>
              <w:top w:val="single" w:sz="4" w:space="0" w:color="auto"/>
            </w:tcBorders>
            <w:vAlign w:val="center"/>
          </w:tcPr>
          <w:p w:rsidR="00E078C5" w:rsidRPr="009F09D6" w:rsidRDefault="00E078C5" w:rsidP="00786914">
            <w:pPr>
              <w:pStyle w:val="Tabletext"/>
              <w:rPr>
                <w:i/>
                <w:vertAlign w:val="superscript"/>
                <w:lang w:eastAsia="ja-JP"/>
              </w:rPr>
            </w:pPr>
            <w:r w:rsidRPr="009F09D6">
              <w:rPr>
                <w:lang w:eastAsia="ja-JP"/>
              </w:rPr>
              <w:t>Cost to the PBS/RPBS (including wastage)</w:t>
            </w:r>
            <w:r w:rsidRPr="009F09D6">
              <w:rPr>
                <w:vertAlign w:val="superscript"/>
                <w:lang w:eastAsia="ja-JP"/>
              </w:rPr>
              <w:t>a,b,c</w:t>
            </w:r>
          </w:p>
        </w:tc>
        <w:tc>
          <w:tcPr>
            <w:tcW w:w="761" w:type="pct"/>
            <w:tcBorders>
              <w:top w:val="single" w:sz="4" w:space="0" w:color="auto"/>
            </w:tcBorders>
            <w:vAlign w:val="center"/>
          </w:tcPr>
          <w:p w:rsidR="00E078C5" w:rsidRPr="009F09D6" w:rsidRDefault="00E078C5" w:rsidP="00786914">
            <w:pPr>
              <w:widowControl/>
              <w:jc w:val="center"/>
              <w:rPr>
                <w:rFonts w:ascii="Arial Narrow" w:hAnsi="Arial Narrow"/>
                <w:bCs/>
                <w:sz w:val="20"/>
              </w:rPr>
            </w:pPr>
            <w:r w:rsidRPr="009F09D6">
              <w:rPr>
                <w:rFonts w:ascii="Arial Narrow" w:hAnsi="Arial Narrow"/>
                <w:sz w:val="20"/>
              </w:rPr>
              <w:t>$</w:t>
            </w:r>
            <w:r w:rsidR="003349A8">
              <w:rPr>
                <w:rFonts w:ascii="Arial Narrow" w:hAnsi="Arial Narrow"/>
                <w:noProof/>
                <w:color w:val="000000"/>
                <w:sz w:val="20"/>
                <w:highlight w:val="black"/>
              </w:rPr>
              <w:t>''''''''''''''''''''''''''''</w:t>
            </w:r>
          </w:p>
        </w:tc>
        <w:tc>
          <w:tcPr>
            <w:tcW w:w="762" w:type="pct"/>
            <w:tcBorders>
              <w:top w:val="single" w:sz="4" w:space="0" w:color="auto"/>
            </w:tcBorders>
            <w:vAlign w:val="center"/>
          </w:tcPr>
          <w:p w:rsidR="00E078C5" w:rsidRPr="009F09D6" w:rsidRDefault="00E078C5" w:rsidP="00786914">
            <w:pPr>
              <w:widowControl/>
              <w:jc w:val="center"/>
              <w:rPr>
                <w:rFonts w:ascii="Arial Narrow" w:hAnsi="Arial Narrow"/>
                <w:bCs/>
                <w:sz w:val="20"/>
              </w:rPr>
            </w:pPr>
            <w:r w:rsidRPr="009F09D6">
              <w:rPr>
                <w:rFonts w:ascii="Arial Narrow" w:hAnsi="Arial Narrow"/>
                <w:sz w:val="20"/>
              </w:rPr>
              <w:t>$</w:t>
            </w:r>
            <w:r w:rsidR="003349A8">
              <w:rPr>
                <w:rFonts w:ascii="Arial Narrow" w:hAnsi="Arial Narrow"/>
                <w:noProof/>
                <w:color w:val="000000"/>
                <w:sz w:val="20"/>
                <w:highlight w:val="black"/>
              </w:rPr>
              <w:t>''''''''''''''''''''''''''''''</w:t>
            </w:r>
          </w:p>
        </w:tc>
        <w:tc>
          <w:tcPr>
            <w:tcW w:w="763" w:type="pct"/>
            <w:tcBorders>
              <w:top w:val="single" w:sz="4" w:space="0" w:color="auto"/>
            </w:tcBorders>
            <w:vAlign w:val="center"/>
          </w:tcPr>
          <w:p w:rsidR="00E078C5" w:rsidRPr="009F09D6" w:rsidRDefault="00E078C5" w:rsidP="00786914">
            <w:pPr>
              <w:widowControl/>
              <w:jc w:val="center"/>
              <w:rPr>
                <w:rFonts w:ascii="Arial Narrow" w:hAnsi="Arial Narrow"/>
                <w:bCs/>
                <w:sz w:val="20"/>
              </w:rPr>
            </w:pPr>
            <w:r w:rsidRPr="009F09D6">
              <w:rPr>
                <w:rFonts w:ascii="Arial Narrow" w:hAnsi="Arial Narrow"/>
                <w:sz w:val="20"/>
              </w:rPr>
              <w:t>$</w:t>
            </w:r>
            <w:r w:rsidR="003349A8">
              <w:rPr>
                <w:rFonts w:ascii="Arial Narrow" w:hAnsi="Arial Narrow"/>
                <w:noProof/>
                <w:color w:val="000000"/>
                <w:sz w:val="20"/>
                <w:highlight w:val="black"/>
              </w:rPr>
              <w:t>''''''''''''''''''''''''''''''''</w:t>
            </w:r>
          </w:p>
        </w:tc>
        <w:tc>
          <w:tcPr>
            <w:tcW w:w="762" w:type="pct"/>
            <w:tcBorders>
              <w:top w:val="single" w:sz="4" w:space="0" w:color="auto"/>
            </w:tcBorders>
            <w:vAlign w:val="center"/>
          </w:tcPr>
          <w:p w:rsidR="00E078C5" w:rsidRPr="009F09D6" w:rsidRDefault="00E078C5" w:rsidP="00786914">
            <w:pPr>
              <w:widowControl/>
              <w:jc w:val="center"/>
              <w:rPr>
                <w:rFonts w:ascii="Arial Narrow" w:hAnsi="Arial Narrow"/>
                <w:bCs/>
                <w:sz w:val="20"/>
              </w:rPr>
            </w:pPr>
            <w:r w:rsidRPr="009F09D6">
              <w:rPr>
                <w:rFonts w:ascii="Arial Narrow" w:hAnsi="Arial Narrow"/>
                <w:sz w:val="20"/>
              </w:rPr>
              <w:t>$</w:t>
            </w:r>
            <w:r w:rsidR="003349A8">
              <w:rPr>
                <w:rFonts w:ascii="Arial Narrow" w:hAnsi="Arial Narrow"/>
                <w:noProof/>
                <w:color w:val="000000"/>
                <w:sz w:val="20"/>
                <w:highlight w:val="black"/>
              </w:rPr>
              <w:t>''''''''''''''''''''''''''''''''</w:t>
            </w:r>
          </w:p>
        </w:tc>
        <w:tc>
          <w:tcPr>
            <w:tcW w:w="762" w:type="pct"/>
            <w:tcBorders>
              <w:top w:val="single" w:sz="4" w:space="0" w:color="auto"/>
            </w:tcBorders>
            <w:vAlign w:val="center"/>
          </w:tcPr>
          <w:p w:rsidR="00E078C5" w:rsidRPr="009F09D6" w:rsidRDefault="00E078C5" w:rsidP="00786914">
            <w:pPr>
              <w:widowControl/>
              <w:jc w:val="center"/>
              <w:rPr>
                <w:rFonts w:ascii="Arial Narrow" w:hAnsi="Arial Narrow"/>
                <w:bCs/>
                <w:sz w:val="20"/>
              </w:rPr>
            </w:pPr>
            <w:r w:rsidRPr="009F09D6">
              <w:rPr>
                <w:rFonts w:ascii="Arial Narrow" w:hAnsi="Arial Narrow"/>
                <w:sz w:val="20"/>
              </w:rPr>
              <w:t>$</w:t>
            </w:r>
            <w:r w:rsidR="003349A8">
              <w:rPr>
                <w:rFonts w:ascii="Arial Narrow" w:hAnsi="Arial Narrow"/>
                <w:noProof/>
                <w:color w:val="000000"/>
                <w:sz w:val="20"/>
                <w:highlight w:val="black"/>
              </w:rPr>
              <w:t>'''''''''''''''''''''''''''''</w:t>
            </w:r>
          </w:p>
        </w:tc>
      </w:tr>
      <w:tr w:rsidR="00E078C5" w:rsidRPr="009F09D6" w:rsidTr="005F3B4F">
        <w:tc>
          <w:tcPr>
            <w:tcW w:w="5000" w:type="pct"/>
            <w:gridSpan w:val="6"/>
            <w:tcBorders>
              <w:top w:val="single" w:sz="4" w:space="0" w:color="auto"/>
              <w:bottom w:val="single" w:sz="4" w:space="0" w:color="auto"/>
            </w:tcBorders>
            <w:vAlign w:val="center"/>
          </w:tcPr>
          <w:p w:rsidR="00E078C5" w:rsidRPr="009F09D6" w:rsidRDefault="00E078C5" w:rsidP="00786914">
            <w:pPr>
              <w:pStyle w:val="Tabletext"/>
              <w:rPr>
                <w:b/>
              </w:rPr>
            </w:pPr>
            <w:r w:rsidRPr="009F09D6">
              <w:rPr>
                <w:b/>
              </w:rPr>
              <w:t>Estimated cost offsets from drug substitutions</w:t>
            </w:r>
          </w:p>
        </w:tc>
      </w:tr>
      <w:tr w:rsidR="00E078C5" w:rsidRPr="009F09D6" w:rsidTr="005F3B4F">
        <w:tc>
          <w:tcPr>
            <w:tcW w:w="1190" w:type="pct"/>
            <w:tcBorders>
              <w:top w:val="single" w:sz="4" w:space="0" w:color="auto"/>
              <w:bottom w:val="single" w:sz="4" w:space="0" w:color="auto"/>
            </w:tcBorders>
            <w:vAlign w:val="center"/>
          </w:tcPr>
          <w:p w:rsidR="00E078C5" w:rsidRPr="009F09D6" w:rsidRDefault="00E078C5" w:rsidP="00786914">
            <w:pPr>
              <w:pStyle w:val="Tabletext"/>
              <w:rPr>
                <w:lang w:eastAsia="ja-JP"/>
              </w:rPr>
            </w:pPr>
            <w:r w:rsidRPr="009F09D6">
              <w:rPr>
                <w:lang w:eastAsia="ja-JP"/>
              </w:rPr>
              <w:t>Reduction in patients using docetaxel due to nivolumab</w:t>
            </w:r>
          </w:p>
        </w:tc>
        <w:tc>
          <w:tcPr>
            <w:tcW w:w="761" w:type="pct"/>
            <w:tcBorders>
              <w:top w:val="single" w:sz="4" w:space="0" w:color="auto"/>
              <w:bottom w:val="single" w:sz="4" w:space="0" w:color="auto"/>
            </w:tcBorders>
            <w:vAlign w:val="center"/>
          </w:tcPr>
          <w:p w:rsidR="00E078C5" w:rsidRPr="003349A8" w:rsidRDefault="003349A8" w:rsidP="00786914">
            <w:pPr>
              <w:widowControl/>
              <w:spacing w:before="40" w:after="60"/>
              <w:jc w:val="center"/>
              <w:rPr>
                <w:rFonts w:ascii="Arial Narrow" w:hAnsi="Arial Narrow"/>
                <w:sz w:val="20"/>
                <w:szCs w:val="18"/>
                <w:highlight w:val="black"/>
              </w:rPr>
            </w:pPr>
            <w:r>
              <w:rPr>
                <w:rFonts w:ascii="Arial Narrow" w:hAnsi="Arial Narrow"/>
                <w:noProof/>
                <w:color w:val="000000"/>
                <w:sz w:val="20"/>
                <w:szCs w:val="18"/>
                <w:highlight w:val="black"/>
              </w:rPr>
              <w:t>''''''''''</w:t>
            </w:r>
          </w:p>
        </w:tc>
        <w:tc>
          <w:tcPr>
            <w:tcW w:w="762" w:type="pct"/>
            <w:tcBorders>
              <w:top w:val="single" w:sz="4" w:space="0" w:color="auto"/>
              <w:bottom w:val="single" w:sz="4" w:space="0" w:color="auto"/>
            </w:tcBorders>
            <w:vAlign w:val="center"/>
          </w:tcPr>
          <w:p w:rsidR="00E078C5" w:rsidRPr="003349A8" w:rsidRDefault="003349A8" w:rsidP="00786914">
            <w:pPr>
              <w:widowControl/>
              <w:spacing w:before="40" w:after="60"/>
              <w:jc w:val="center"/>
              <w:rPr>
                <w:rFonts w:ascii="Arial Narrow" w:hAnsi="Arial Narrow"/>
                <w:sz w:val="20"/>
                <w:szCs w:val="18"/>
                <w:highlight w:val="black"/>
              </w:rPr>
            </w:pPr>
            <w:r>
              <w:rPr>
                <w:rFonts w:ascii="Arial Narrow" w:hAnsi="Arial Narrow"/>
                <w:noProof/>
                <w:color w:val="000000"/>
                <w:sz w:val="20"/>
                <w:szCs w:val="18"/>
                <w:highlight w:val="black"/>
              </w:rPr>
              <w:t>'''''''''</w:t>
            </w:r>
          </w:p>
        </w:tc>
        <w:tc>
          <w:tcPr>
            <w:tcW w:w="763" w:type="pct"/>
            <w:tcBorders>
              <w:top w:val="single" w:sz="4" w:space="0" w:color="auto"/>
              <w:bottom w:val="single" w:sz="4" w:space="0" w:color="auto"/>
            </w:tcBorders>
            <w:vAlign w:val="center"/>
          </w:tcPr>
          <w:p w:rsidR="00E078C5" w:rsidRPr="003349A8" w:rsidRDefault="003349A8" w:rsidP="00786914">
            <w:pPr>
              <w:widowControl/>
              <w:spacing w:before="40" w:after="60"/>
              <w:jc w:val="center"/>
              <w:rPr>
                <w:rFonts w:ascii="Arial Narrow" w:hAnsi="Arial Narrow"/>
                <w:sz w:val="20"/>
                <w:szCs w:val="18"/>
                <w:highlight w:val="black"/>
              </w:rPr>
            </w:pPr>
            <w:r>
              <w:rPr>
                <w:rFonts w:ascii="Arial Narrow" w:hAnsi="Arial Narrow"/>
                <w:noProof/>
                <w:color w:val="000000"/>
                <w:sz w:val="20"/>
                <w:szCs w:val="18"/>
                <w:highlight w:val="black"/>
              </w:rPr>
              <w:t>''''''''''</w:t>
            </w:r>
          </w:p>
        </w:tc>
        <w:tc>
          <w:tcPr>
            <w:tcW w:w="762" w:type="pct"/>
            <w:tcBorders>
              <w:top w:val="single" w:sz="4" w:space="0" w:color="auto"/>
              <w:bottom w:val="single" w:sz="4" w:space="0" w:color="auto"/>
            </w:tcBorders>
            <w:vAlign w:val="center"/>
          </w:tcPr>
          <w:p w:rsidR="00E078C5" w:rsidRPr="003349A8" w:rsidRDefault="003349A8" w:rsidP="00786914">
            <w:pPr>
              <w:widowControl/>
              <w:spacing w:before="40" w:after="60"/>
              <w:jc w:val="center"/>
              <w:rPr>
                <w:rFonts w:ascii="Arial Narrow" w:hAnsi="Arial Narrow"/>
                <w:sz w:val="20"/>
                <w:szCs w:val="18"/>
                <w:highlight w:val="black"/>
              </w:rPr>
            </w:pPr>
            <w:r>
              <w:rPr>
                <w:rFonts w:ascii="Arial Narrow" w:hAnsi="Arial Narrow"/>
                <w:noProof/>
                <w:color w:val="000000"/>
                <w:sz w:val="20"/>
                <w:szCs w:val="18"/>
                <w:highlight w:val="black"/>
              </w:rPr>
              <w:t>'''''''''</w:t>
            </w:r>
          </w:p>
        </w:tc>
        <w:tc>
          <w:tcPr>
            <w:tcW w:w="762" w:type="pct"/>
            <w:tcBorders>
              <w:top w:val="single" w:sz="4" w:space="0" w:color="auto"/>
              <w:bottom w:val="single" w:sz="4" w:space="0" w:color="auto"/>
            </w:tcBorders>
            <w:vAlign w:val="center"/>
          </w:tcPr>
          <w:p w:rsidR="00E078C5" w:rsidRPr="003349A8" w:rsidRDefault="003349A8" w:rsidP="00786914">
            <w:pPr>
              <w:widowControl/>
              <w:spacing w:before="40" w:after="60"/>
              <w:jc w:val="center"/>
              <w:rPr>
                <w:rFonts w:ascii="Arial Narrow" w:hAnsi="Arial Narrow"/>
                <w:sz w:val="20"/>
                <w:szCs w:val="18"/>
                <w:highlight w:val="black"/>
              </w:rPr>
            </w:pPr>
            <w:r>
              <w:rPr>
                <w:rFonts w:ascii="Arial Narrow" w:hAnsi="Arial Narrow"/>
                <w:noProof/>
                <w:color w:val="000000"/>
                <w:sz w:val="20"/>
                <w:szCs w:val="18"/>
                <w:highlight w:val="black"/>
              </w:rPr>
              <w:t>''''''''''</w:t>
            </w:r>
          </w:p>
        </w:tc>
      </w:tr>
      <w:tr w:rsidR="00E078C5" w:rsidRPr="009F09D6" w:rsidTr="005F3B4F">
        <w:tc>
          <w:tcPr>
            <w:tcW w:w="1190" w:type="pct"/>
            <w:tcBorders>
              <w:top w:val="single" w:sz="4" w:space="0" w:color="auto"/>
              <w:bottom w:val="single" w:sz="4" w:space="0" w:color="auto"/>
            </w:tcBorders>
            <w:vAlign w:val="center"/>
          </w:tcPr>
          <w:p w:rsidR="00E078C5" w:rsidRPr="009F09D6" w:rsidRDefault="00E078C5" w:rsidP="00786914">
            <w:pPr>
              <w:pStyle w:val="Tabletext"/>
              <w:rPr>
                <w:lang w:eastAsia="ja-JP"/>
              </w:rPr>
            </w:pPr>
            <w:r w:rsidRPr="009F09D6">
              <w:rPr>
                <w:lang w:eastAsia="ja-JP"/>
              </w:rPr>
              <w:t>Reduction in patients using pemetrexed due to nivolumab</w:t>
            </w:r>
          </w:p>
        </w:tc>
        <w:tc>
          <w:tcPr>
            <w:tcW w:w="761" w:type="pct"/>
            <w:tcBorders>
              <w:top w:val="single" w:sz="4" w:space="0" w:color="auto"/>
              <w:bottom w:val="single" w:sz="4" w:space="0" w:color="auto"/>
            </w:tcBorders>
            <w:vAlign w:val="center"/>
          </w:tcPr>
          <w:p w:rsidR="00E078C5" w:rsidRPr="003349A8" w:rsidRDefault="003349A8" w:rsidP="00786914">
            <w:pPr>
              <w:widowControl/>
              <w:spacing w:before="40" w:after="60"/>
              <w:jc w:val="center"/>
              <w:rPr>
                <w:rFonts w:ascii="Arial Narrow" w:hAnsi="Arial Narrow"/>
                <w:sz w:val="20"/>
                <w:szCs w:val="18"/>
                <w:highlight w:val="black"/>
              </w:rPr>
            </w:pPr>
            <w:r>
              <w:rPr>
                <w:rFonts w:ascii="Arial Narrow" w:hAnsi="Arial Narrow"/>
                <w:noProof/>
                <w:color w:val="000000"/>
                <w:sz w:val="20"/>
                <w:szCs w:val="18"/>
                <w:highlight w:val="black"/>
              </w:rPr>
              <w:t>''''''''</w:t>
            </w:r>
          </w:p>
        </w:tc>
        <w:tc>
          <w:tcPr>
            <w:tcW w:w="762" w:type="pct"/>
            <w:tcBorders>
              <w:top w:val="single" w:sz="4" w:space="0" w:color="auto"/>
              <w:bottom w:val="single" w:sz="4" w:space="0" w:color="auto"/>
            </w:tcBorders>
            <w:vAlign w:val="center"/>
          </w:tcPr>
          <w:p w:rsidR="00E078C5" w:rsidRPr="003349A8" w:rsidRDefault="003349A8" w:rsidP="00786914">
            <w:pPr>
              <w:widowControl/>
              <w:spacing w:before="40" w:after="60"/>
              <w:jc w:val="center"/>
              <w:rPr>
                <w:rFonts w:ascii="Arial Narrow" w:hAnsi="Arial Narrow"/>
                <w:sz w:val="20"/>
                <w:szCs w:val="18"/>
                <w:highlight w:val="black"/>
              </w:rPr>
            </w:pPr>
            <w:r>
              <w:rPr>
                <w:rFonts w:ascii="Arial Narrow" w:hAnsi="Arial Narrow"/>
                <w:noProof/>
                <w:color w:val="000000"/>
                <w:sz w:val="20"/>
                <w:szCs w:val="18"/>
                <w:highlight w:val="black"/>
              </w:rPr>
              <w:t>''''''''''</w:t>
            </w:r>
          </w:p>
        </w:tc>
        <w:tc>
          <w:tcPr>
            <w:tcW w:w="763" w:type="pct"/>
            <w:tcBorders>
              <w:top w:val="single" w:sz="4" w:space="0" w:color="auto"/>
              <w:bottom w:val="single" w:sz="4" w:space="0" w:color="auto"/>
            </w:tcBorders>
            <w:vAlign w:val="center"/>
          </w:tcPr>
          <w:p w:rsidR="00E078C5" w:rsidRPr="003349A8" w:rsidRDefault="003349A8" w:rsidP="00786914">
            <w:pPr>
              <w:widowControl/>
              <w:spacing w:before="40" w:after="60"/>
              <w:jc w:val="center"/>
              <w:rPr>
                <w:rFonts w:ascii="Arial Narrow" w:hAnsi="Arial Narrow"/>
                <w:sz w:val="20"/>
                <w:szCs w:val="18"/>
                <w:highlight w:val="black"/>
              </w:rPr>
            </w:pPr>
            <w:r>
              <w:rPr>
                <w:rFonts w:ascii="Arial Narrow" w:hAnsi="Arial Narrow"/>
                <w:noProof/>
                <w:color w:val="000000"/>
                <w:sz w:val="20"/>
                <w:szCs w:val="18"/>
                <w:highlight w:val="black"/>
              </w:rPr>
              <w:t>'''''''''</w:t>
            </w:r>
          </w:p>
        </w:tc>
        <w:tc>
          <w:tcPr>
            <w:tcW w:w="762" w:type="pct"/>
            <w:tcBorders>
              <w:top w:val="single" w:sz="4" w:space="0" w:color="auto"/>
              <w:bottom w:val="single" w:sz="4" w:space="0" w:color="auto"/>
            </w:tcBorders>
            <w:vAlign w:val="center"/>
          </w:tcPr>
          <w:p w:rsidR="00E078C5" w:rsidRPr="003349A8" w:rsidRDefault="003349A8" w:rsidP="00786914">
            <w:pPr>
              <w:widowControl/>
              <w:spacing w:before="40" w:after="60"/>
              <w:jc w:val="center"/>
              <w:rPr>
                <w:rFonts w:ascii="Arial Narrow" w:hAnsi="Arial Narrow"/>
                <w:sz w:val="20"/>
                <w:szCs w:val="18"/>
                <w:highlight w:val="black"/>
              </w:rPr>
            </w:pPr>
            <w:r>
              <w:rPr>
                <w:rFonts w:ascii="Arial Narrow" w:hAnsi="Arial Narrow"/>
                <w:noProof/>
                <w:color w:val="000000"/>
                <w:sz w:val="20"/>
                <w:szCs w:val="18"/>
                <w:highlight w:val="black"/>
              </w:rPr>
              <w:t>'''''''''</w:t>
            </w:r>
          </w:p>
        </w:tc>
        <w:tc>
          <w:tcPr>
            <w:tcW w:w="762" w:type="pct"/>
            <w:tcBorders>
              <w:top w:val="single" w:sz="4" w:space="0" w:color="auto"/>
              <w:bottom w:val="single" w:sz="4" w:space="0" w:color="auto"/>
            </w:tcBorders>
            <w:vAlign w:val="center"/>
          </w:tcPr>
          <w:p w:rsidR="00E078C5" w:rsidRPr="003349A8" w:rsidRDefault="003349A8" w:rsidP="00786914">
            <w:pPr>
              <w:widowControl/>
              <w:spacing w:before="40" w:after="60"/>
              <w:jc w:val="center"/>
              <w:rPr>
                <w:rFonts w:ascii="Arial Narrow" w:hAnsi="Arial Narrow"/>
                <w:sz w:val="20"/>
                <w:szCs w:val="18"/>
                <w:highlight w:val="black"/>
              </w:rPr>
            </w:pPr>
            <w:r>
              <w:rPr>
                <w:rFonts w:ascii="Arial Narrow" w:hAnsi="Arial Narrow"/>
                <w:noProof/>
                <w:color w:val="000000"/>
                <w:sz w:val="20"/>
                <w:szCs w:val="18"/>
                <w:highlight w:val="black"/>
              </w:rPr>
              <w:t>''''''''''</w:t>
            </w:r>
          </w:p>
        </w:tc>
      </w:tr>
      <w:tr w:rsidR="00E078C5" w:rsidRPr="009F09D6" w:rsidTr="005F3B4F">
        <w:tc>
          <w:tcPr>
            <w:tcW w:w="1190" w:type="pct"/>
            <w:tcBorders>
              <w:top w:val="single" w:sz="4" w:space="0" w:color="auto"/>
              <w:bottom w:val="single" w:sz="4" w:space="0" w:color="auto"/>
            </w:tcBorders>
            <w:vAlign w:val="center"/>
          </w:tcPr>
          <w:p w:rsidR="00E078C5" w:rsidRPr="009F09D6" w:rsidRDefault="00E078C5" w:rsidP="00786914">
            <w:pPr>
              <w:pStyle w:val="Tabletext"/>
              <w:rPr>
                <w:lang w:eastAsia="ja-JP"/>
              </w:rPr>
            </w:pPr>
            <w:r w:rsidRPr="009F09D6">
              <w:rPr>
                <w:lang w:eastAsia="ja-JP"/>
              </w:rPr>
              <w:t>Estimated cost offsets due to docetaxel and pemetrexed substitutions</w:t>
            </w:r>
            <w:r w:rsidRPr="009F09D6">
              <w:rPr>
                <w:vertAlign w:val="superscript"/>
                <w:lang w:eastAsia="ja-JP"/>
              </w:rPr>
              <w:t xml:space="preserve"> d</w:t>
            </w:r>
          </w:p>
        </w:tc>
        <w:tc>
          <w:tcPr>
            <w:tcW w:w="761" w:type="pct"/>
            <w:tcBorders>
              <w:top w:val="single" w:sz="4" w:space="0" w:color="auto"/>
              <w:bottom w:val="single" w:sz="4" w:space="0" w:color="auto"/>
            </w:tcBorders>
            <w:vAlign w:val="center"/>
          </w:tcPr>
          <w:p w:rsidR="00E078C5" w:rsidRPr="009F09D6" w:rsidRDefault="00E078C5" w:rsidP="00786914">
            <w:pPr>
              <w:widowControl/>
              <w:spacing w:before="40" w:after="60"/>
              <w:jc w:val="center"/>
              <w:rPr>
                <w:rFonts w:ascii="Arial Narrow" w:hAnsi="Arial Narrow"/>
                <w:sz w:val="20"/>
                <w:szCs w:val="18"/>
                <w:highlight w:val="yellow"/>
              </w:rPr>
            </w:pPr>
            <w:r w:rsidRPr="009F09D6">
              <w:rPr>
                <w:rFonts w:ascii="Arial Narrow" w:hAnsi="Arial Narrow"/>
                <w:sz w:val="20"/>
              </w:rPr>
              <w:t>$</w:t>
            </w:r>
            <w:r w:rsidR="003349A8">
              <w:rPr>
                <w:rFonts w:ascii="Arial Narrow" w:hAnsi="Arial Narrow"/>
                <w:noProof/>
                <w:color w:val="000000"/>
                <w:sz w:val="20"/>
                <w:highlight w:val="black"/>
              </w:rPr>
              <w:t>''''''''''''''''''''''''</w:t>
            </w:r>
          </w:p>
        </w:tc>
        <w:tc>
          <w:tcPr>
            <w:tcW w:w="762" w:type="pct"/>
            <w:tcBorders>
              <w:top w:val="single" w:sz="4" w:space="0" w:color="auto"/>
              <w:bottom w:val="single" w:sz="4" w:space="0" w:color="auto"/>
            </w:tcBorders>
            <w:vAlign w:val="center"/>
          </w:tcPr>
          <w:p w:rsidR="00E078C5" w:rsidRPr="009F09D6" w:rsidRDefault="00E078C5" w:rsidP="00786914">
            <w:pPr>
              <w:widowControl/>
              <w:spacing w:before="40" w:after="60"/>
              <w:jc w:val="center"/>
              <w:rPr>
                <w:rFonts w:ascii="Arial Narrow" w:hAnsi="Arial Narrow"/>
                <w:sz w:val="20"/>
                <w:szCs w:val="18"/>
                <w:highlight w:val="yellow"/>
              </w:rPr>
            </w:pPr>
            <w:r w:rsidRPr="009F09D6">
              <w:rPr>
                <w:rFonts w:ascii="Arial Narrow" w:hAnsi="Arial Narrow"/>
                <w:sz w:val="20"/>
              </w:rPr>
              <w:t>$</w:t>
            </w:r>
            <w:r w:rsidR="003349A8">
              <w:rPr>
                <w:rFonts w:ascii="Arial Narrow" w:hAnsi="Arial Narrow"/>
                <w:noProof/>
                <w:color w:val="000000"/>
                <w:sz w:val="20"/>
                <w:highlight w:val="black"/>
              </w:rPr>
              <w:t>'''''''''''''''''''''</w:t>
            </w:r>
          </w:p>
        </w:tc>
        <w:tc>
          <w:tcPr>
            <w:tcW w:w="763" w:type="pct"/>
            <w:tcBorders>
              <w:top w:val="single" w:sz="4" w:space="0" w:color="auto"/>
              <w:bottom w:val="single" w:sz="4" w:space="0" w:color="auto"/>
            </w:tcBorders>
            <w:vAlign w:val="center"/>
          </w:tcPr>
          <w:p w:rsidR="00E078C5" w:rsidRPr="009F09D6" w:rsidRDefault="00E078C5" w:rsidP="00786914">
            <w:pPr>
              <w:widowControl/>
              <w:spacing w:before="40" w:after="60"/>
              <w:jc w:val="center"/>
              <w:rPr>
                <w:rFonts w:ascii="Arial Narrow" w:hAnsi="Arial Narrow"/>
                <w:sz w:val="20"/>
                <w:szCs w:val="18"/>
                <w:highlight w:val="yellow"/>
              </w:rPr>
            </w:pPr>
            <w:r w:rsidRPr="009F09D6">
              <w:rPr>
                <w:rFonts w:ascii="Arial Narrow" w:hAnsi="Arial Narrow"/>
                <w:sz w:val="20"/>
              </w:rPr>
              <w:t>$</w:t>
            </w:r>
            <w:r w:rsidR="003349A8">
              <w:rPr>
                <w:rFonts w:ascii="Arial Narrow" w:hAnsi="Arial Narrow"/>
                <w:noProof/>
                <w:color w:val="000000"/>
                <w:sz w:val="20"/>
                <w:highlight w:val="black"/>
              </w:rPr>
              <w:t>'''''''''''''''''''''''</w:t>
            </w:r>
          </w:p>
        </w:tc>
        <w:tc>
          <w:tcPr>
            <w:tcW w:w="762" w:type="pct"/>
            <w:tcBorders>
              <w:top w:val="single" w:sz="4" w:space="0" w:color="auto"/>
              <w:bottom w:val="single" w:sz="4" w:space="0" w:color="auto"/>
            </w:tcBorders>
            <w:vAlign w:val="center"/>
          </w:tcPr>
          <w:p w:rsidR="00E078C5" w:rsidRPr="009F09D6" w:rsidRDefault="00E078C5" w:rsidP="00786914">
            <w:pPr>
              <w:widowControl/>
              <w:spacing w:before="40" w:after="60"/>
              <w:jc w:val="center"/>
              <w:rPr>
                <w:rFonts w:ascii="Arial Narrow" w:hAnsi="Arial Narrow"/>
                <w:sz w:val="20"/>
                <w:szCs w:val="18"/>
                <w:highlight w:val="yellow"/>
              </w:rPr>
            </w:pPr>
            <w:r w:rsidRPr="009F09D6">
              <w:rPr>
                <w:rFonts w:ascii="Arial Narrow" w:hAnsi="Arial Narrow"/>
                <w:sz w:val="20"/>
              </w:rPr>
              <w:t>$</w:t>
            </w:r>
            <w:r w:rsidR="003349A8">
              <w:rPr>
                <w:rFonts w:ascii="Arial Narrow" w:hAnsi="Arial Narrow"/>
                <w:noProof/>
                <w:color w:val="000000"/>
                <w:sz w:val="20"/>
                <w:highlight w:val="black"/>
              </w:rPr>
              <w:t>'''''''''''''''''''''''</w:t>
            </w:r>
          </w:p>
        </w:tc>
        <w:tc>
          <w:tcPr>
            <w:tcW w:w="762" w:type="pct"/>
            <w:tcBorders>
              <w:top w:val="single" w:sz="4" w:space="0" w:color="auto"/>
              <w:bottom w:val="single" w:sz="4" w:space="0" w:color="auto"/>
            </w:tcBorders>
            <w:vAlign w:val="center"/>
          </w:tcPr>
          <w:p w:rsidR="00E078C5" w:rsidRPr="009F09D6" w:rsidRDefault="00E078C5" w:rsidP="00786914">
            <w:pPr>
              <w:widowControl/>
              <w:spacing w:before="40" w:after="60"/>
              <w:jc w:val="center"/>
              <w:rPr>
                <w:rFonts w:ascii="Arial Narrow" w:hAnsi="Arial Narrow"/>
                <w:sz w:val="20"/>
                <w:szCs w:val="18"/>
                <w:highlight w:val="yellow"/>
              </w:rPr>
            </w:pPr>
            <w:r w:rsidRPr="009F09D6">
              <w:rPr>
                <w:rFonts w:ascii="Arial Narrow" w:hAnsi="Arial Narrow"/>
                <w:sz w:val="20"/>
              </w:rPr>
              <w:t>$</w:t>
            </w:r>
            <w:r w:rsidR="003349A8">
              <w:rPr>
                <w:rFonts w:ascii="Arial Narrow" w:hAnsi="Arial Narrow"/>
                <w:noProof/>
                <w:color w:val="000000"/>
                <w:sz w:val="20"/>
                <w:highlight w:val="black"/>
              </w:rPr>
              <w:t>'''''''''''''''''''''''''</w:t>
            </w:r>
          </w:p>
        </w:tc>
      </w:tr>
      <w:tr w:rsidR="00E078C5" w:rsidRPr="009F09D6" w:rsidTr="005F3B4F">
        <w:tc>
          <w:tcPr>
            <w:tcW w:w="5000" w:type="pct"/>
            <w:gridSpan w:val="6"/>
            <w:tcBorders>
              <w:top w:val="single" w:sz="4" w:space="0" w:color="auto"/>
              <w:bottom w:val="single" w:sz="4" w:space="0" w:color="auto"/>
            </w:tcBorders>
            <w:vAlign w:val="center"/>
          </w:tcPr>
          <w:p w:rsidR="00E078C5" w:rsidRPr="009F09D6" w:rsidRDefault="00E078C5" w:rsidP="00786914">
            <w:pPr>
              <w:pStyle w:val="Tabletext"/>
              <w:rPr>
                <w:i/>
              </w:rPr>
            </w:pPr>
            <w:r w:rsidRPr="009F09D6">
              <w:rPr>
                <w:b/>
                <w:lang w:eastAsia="ja-JP"/>
              </w:rPr>
              <w:t>Overall cost to the PBS/RPBS</w:t>
            </w:r>
          </w:p>
        </w:tc>
      </w:tr>
      <w:tr w:rsidR="00E078C5" w:rsidRPr="009F09D6" w:rsidTr="005F3B4F">
        <w:tc>
          <w:tcPr>
            <w:tcW w:w="1190" w:type="pct"/>
            <w:tcBorders>
              <w:top w:val="single" w:sz="4" w:space="0" w:color="auto"/>
              <w:bottom w:val="single" w:sz="4" w:space="0" w:color="auto"/>
            </w:tcBorders>
            <w:vAlign w:val="center"/>
          </w:tcPr>
          <w:p w:rsidR="00E078C5" w:rsidRPr="009F09D6" w:rsidRDefault="00E078C5" w:rsidP="00786914">
            <w:pPr>
              <w:pStyle w:val="Tabletext"/>
              <w:rPr>
                <w:b/>
                <w:lang w:eastAsia="ja-JP"/>
              </w:rPr>
            </w:pPr>
            <w:r w:rsidRPr="009F09D6">
              <w:rPr>
                <w:b/>
                <w:lang w:eastAsia="ja-JP"/>
              </w:rPr>
              <w:t>Overall net cost</w:t>
            </w:r>
            <w:r w:rsidRPr="009F09D6">
              <w:rPr>
                <w:b/>
                <w:vertAlign w:val="superscript"/>
                <w:lang w:eastAsia="ja-JP"/>
              </w:rPr>
              <w:t xml:space="preserve"> a,b,c</w:t>
            </w:r>
          </w:p>
        </w:tc>
        <w:tc>
          <w:tcPr>
            <w:tcW w:w="761" w:type="pct"/>
            <w:tcBorders>
              <w:top w:val="single" w:sz="4" w:space="0" w:color="auto"/>
              <w:bottom w:val="single" w:sz="4" w:space="0" w:color="auto"/>
            </w:tcBorders>
            <w:vAlign w:val="center"/>
          </w:tcPr>
          <w:p w:rsidR="00E078C5" w:rsidRPr="009F09D6" w:rsidRDefault="00E078C5" w:rsidP="00786914">
            <w:pPr>
              <w:keepNext/>
              <w:widowControl/>
              <w:spacing w:before="40" w:after="40"/>
              <w:jc w:val="center"/>
              <w:rPr>
                <w:rFonts w:ascii="Arial Narrow" w:hAnsi="Arial Narrow" w:cs="Arial Narrow"/>
                <w:b/>
                <w:sz w:val="20"/>
                <w:highlight w:val="yellow"/>
              </w:rPr>
            </w:pPr>
            <w:r w:rsidRPr="009F09D6">
              <w:rPr>
                <w:rFonts w:ascii="Arial Narrow" w:hAnsi="Arial Narrow"/>
                <w:b/>
                <w:sz w:val="20"/>
              </w:rPr>
              <w:t>$</w:t>
            </w:r>
            <w:r w:rsidR="003349A8">
              <w:rPr>
                <w:rFonts w:ascii="Arial Narrow" w:hAnsi="Arial Narrow"/>
                <w:b/>
                <w:noProof/>
                <w:color w:val="000000"/>
                <w:sz w:val="20"/>
                <w:highlight w:val="black"/>
              </w:rPr>
              <w:t>''''''''''''''''''''''''''</w:t>
            </w:r>
          </w:p>
        </w:tc>
        <w:tc>
          <w:tcPr>
            <w:tcW w:w="762" w:type="pct"/>
            <w:tcBorders>
              <w:top w:val="single" w:sz="4" w:space="0" w:color="auto"/>
              <w:bottom w:val="single" w:sz="4" w:space="0" w:color="auto"/>
            </w:tcBorders>
            <w:vAlign w:val="center"/>
          </w:tcPr>
          <w:p w:rsidR="00E078C5" w:rsidRPr="009F09D6" w:rsidRDefault="00E078C5" w:rsidP="00786914">
            <w:pPr>
              <w:keepNext/>
              <w:widowControl/>
              <w:spacing w:before="40" w:after="40"/>
              <w:jc w:val="center"/>
              <w:rPr>
                <w:rFonts w:ascii="Arial Narrow" w:hAnsi="Arial Narrow" w:cs="Arial Narrow"/>
                <w:b/>
                <w:sz w:val="20"/>
                <w:highlight w:val="yellow"/>
              </w:rPr>
            </w:pPr>
            <w:r w:rsidRPr="009F09D6">
              <w:rPr>
                <w:rFonts w:ascii="Arial Narrow" w:hAnsi="Arial Narrow"/>
                <w:b/>
                <w:sz w:val="20"/>
              </w:rPr>
              <w:t>$</w:t>
            </w:r>
            <w:r w:rsidR="003349A8">
              <w:rPr>
                <w:rFonts w:ascii="Arial Narrow" w:hAnsi="Arial Narrow"/>
                <w:b/>
                <w:noProof/>
                <w:color w:val="000000"/>
                <w:sz w:val="20"/>
                <w:highlight w:val="black"/>
              </w:rPr>
              <w:t>'''''''''''''''''''''''''</w:t>
            </w:r>
          </w:p>
        </w:tc>
        <w:tc>
          <w:tcPr>
            <w:tcW w:w="763" w:type="pct"/>
            <w:tcBorders>
              <w:top w:val="single" w:sz="4" w:space="0" w:color="auto"/>
              <w:bottom w:val="single" w:sz="4" w:space="0" w:color="auto"/>
            </w:tcBorders>
            <w:vAlign w:val="center"/>
          </w:tcPr>
          <w:p w:rsidR="00E078C5" w:rsidRPr="009F09D6" w:rsidRDefault="00E078C5" w:rsidP="00786914">
            <w:pPr>
              <w:keepNext/>
              <w:widowControl/>
              <w:spacing w:before="40" w:after="40"/>
              <w:jc w:val="center"/>
              <w:rPr>
                <w:rFonts w:ascii="Arial Narrow" w:hAnsi="Arial Narrow" w:cs="Arial Narrow"/>
                <w:b/>
                <w:sz w:val="20"/>
                <w:highlight w:val="yellow"/>
              </w:rPr>
            </w:pPr>
            <w:r w:rsidRPr="009F09D6">
              <w:rPr>
                <w:rFonts w:ascii="Arial Narrow" w:hAnsi="Arial Narrow"/>
                <w:b/>
                <w:sz w:val="20"/>
              </w:rPr>
              <w:t>$</w:t>
            </w:r>
            <w:r w:rsidR="003349A8">
              <w:rPr>
                <w:rFonts w:ascii="Arial Narrow" w:hAnsi="Arial Narrow"/>
                <w:b/>
                <w:noProof/>
                <w:color w:val="000000"/>
                <w:sz w:val="20"/>
                <w:highlight w:val="black"/>
              </w:rPr>
              <w:t>''''''''''''''''''''''</w:t>
            </w:r>
          </w:p>
        </w:tc>
        <w:tc>
          <w:tcPr>
            <w:tcW w:w="762" w:type="pct"/>
            <w:tcBorders>
              <w:top w:val="single" w:sz="4" w:space="0" w:color="auto"/>
              <w:bottom w:val="single" w:sz="4" w:space="0" w:color="auto"/>
            </w:tcBorders>
            <w:vAlign w:val="center"/>
          </w:tcPr>
          <w:p w:rsidR="00E078C5" w:rsidRPr="009F09D6" w:rsidRDefault="00E078C5" w:rsidP="00786914">
            <w:pPr>
              <w:keepNext/>
              <w:widowControl/>
              <w:spacing w:before="40" w:after="40"/>
              <w:jc w:val="center"/>
              <w:rPr>
                <w:rFonts w:ascii="Arial Narrow" w:hAnsi="Arial Narrow" w:cs="Arial Narrow"/>
                <w:b/>
                <w:sz w:val="20"/>
                <w:highlight w:val="yellow"/>
              </w:rPr>
            </w:pPr>
            <w:r w:rsidRPr="009F09D6">
              <w:rPr>
                <w:rFonts w:ascii="Arial Narrow" w:hAnsi="Arial Narrow"/>
                <w:b/>
                <w:sz w:val="20"/>
              </w:rPr>
              <w:t>$</w:t>
            </w:r>
            <w:r w:rsidR="003349A8">
              <w:rPr>
                <w:rFonts w:ascii="Arial Narrow" w:hAnsi="Arial Narrow"/>
                <w:b/>
                <w:noProof/>
                <w:color w:val="000000"/>
                <w:sz w:val="20"/>
                <w:highlight w:val="black"/>
              </w:rPr>
              <w:t>'''''''''''''''''''''''''</w:t>
            </w:r>
          </w:p>
        </w:tc>
        <w:tc>
          <w:tcPr>
            <w:tcW w:w="762" w:type="pct"/>
            <w:tcBorders>
              <w:top w:val="single" w:sz="4" w:space="0" w:color="auto"/>
              <w:bottom w:val="single" w:sz="4" w:space="0" w:color="auto"/>
            </w:tcBorders>
            <w:vAlign w:val="center"/>
          </w:tcPr>
          <w:p w:rsidR="00E078C5" w:rsidRPr="009F09D6" w:rsidRDefault="00E078C5" w:rsidP="00786914">
            <w:pPr>
              <w:keepNext/>
              <w:widowControl/>
              <w:spacing w:before="40" w:after="40"/>
              <w:jc w:val="center"/>
              <w:rPr>
                <w:rFonts w:ascii="Arial Narrow" w:hAnsi="Arial Narrow" w:cs="Arial Narrow"/>
                <w:b/>
                <w:sz w:val="20"/>
                <w:highlight w:val="yellow"/>
              </w:rPr>
            </w:pPr>
            <w:r w:rsidRPr="009F09D6">
              <w:rPr>
                <w:rFonts w:ascii="Arial Narrow" w:hAnsi="Arial Narrow"/>
                <w:b/>
                <w:sz w:val="20"/>
              </w:rPr>
              <w:t>$</w:t>
            </w:r>
            <w:r w:rsidR="003349A8">
              <w:rPr>
                <w:rFonts w:ascii="Arial Narrow" w:hAnsi="Arial Narrow"/>
                <w:b/>
                <w:noProof/>
                <w:color w:val="000000"/>
                <w:sz w:val="20"/>
                <w:highlight w:val="black"/>
              </w:rPr>
              <w:t>''''''''''''''''''''''</w:t>
            </w:r>
          </w:p>
        </w:tc>
      </w:tr>
      <w:tr w:rsidR="00E078C5" w:rsidRPr="009F09D6" w:rsidTr="005F3B4F">
        <w:tc>
          <w:tcPr>
            <w:tcW w:w="5000" w:type="pct"/>
            <w:gridSpan w:val="6"/>
            <w:tcBorders>
              <w:top w:val="single" w:sz="4" w:space="0" w:color="auto"/>
              <w:bottom w:val="single" w:sz="4" w:space="0" w:color="auto"/>
            </w:tcBorders>
            <w:vAlign w:val="center"/>
          </w:tcPr>
          <w:p w:rsidR="00E078C5" w:rsidRPr="009F09D6" w:rsidRDefault="00E078C5" w:rsidP="00786914">
            <w:pPr>
              <w:keepNext/>
              <w:widowControl/>
              <w:spacing w:before="40" w:after="40"/>
              <w:jc w:val="left"/>
              <w:rPr>
                <w:rFonts w:ascii="Arial Narrow" w:hAnsi="Arial Narrow"/>
                <w:b/>
                <w:sz w:val="20"/>
              </w:rPr>
            </w:pPr>
            <w:r w:rsidRPr="009F09D6">
              <w:rPr>
                <w:rFonts w:ascii="Arial Narrow" w:hAnsi="Arial Narrow"/>
                <w:b/>
                <w:sz w:val="20"/>
              </w:rPr>
              <w:t>Estimated cost to the MBS from drug administrations</w:t>
            </w:r>
          </w:p>
        </w:tc>
      </w:tr>
      <w:tr w:rsidR="00E078C5" w:rsidRPr="009F09D6" w:rsidTr="005F3B4F">
        <w:tc>
          <w:tcPr>
            <w:tcW w:w="1190" w:type="pct"/>
            <w:tcBorders>
              <w:top w:val="single" w:sz="4" w:space="0" w:color="auto"/>
              <w:bottom w:val="single" w:sz="4" w:space="0" w:color="auto"/>
            </w:tcBorders>
            <w:vAlign w:val="center"/>
          </w:tcPr>
          <w:p w:rsidR="00E078C5" w:rsidRPr="009F09D6" w:rsidRDefault="00E078C5" w:rsidP="00786914">
            <w:pPr>
              <w:pStyle w:val="Tabletext"/>
              <w:rPr>
                <w:lang w:eastAsia="ja-JP"/>
              </w:rPr>
            </w:pPr>
            <w:r w:rsidRPr="009F09D6">
              <w:rPr>
                <w:lang w:eastAsia="ja-JP"/>
              </w:rPr>
              <w:t>Number of administrations</w:t>
            </w:r>
            <w:r w:rsidRPr="009F09D6">
              <w:rPr>
                <w:vertAlign w:val="superscript"/>
                <w:lang w:eastAsia="ja-JP"/>
              </w:rPr>
              <w:t>a</w:t>
            </w:r>
          </w:p>
        </w:tc>
        <w:tc>
          <w:tcPr>
            <w:tcW w:w="761" w:type="pct"/>
            <w:tcBorders>
              <w:top w:val="single" w:sz="4" w:space="0" w:color="auto"/>
              <w:bottom w:val="single" w:sz="4" w:space="0" w:color="auto"/>
            </w:tcBorders>
            <w:vAlign w:val="center"/>
          </w:tcPr>
          <w:p w:rsidR="00E078C5" w:rsidRPr="003349A8" w:rsidRDefault="003349A8" w:rsidP="00786914">
            <w:pPr>
              <w:widowControl/>
              <w:jc w:val="center"/>
              <w:rPr>
                <w:rFonts w:ascii="Arial Narrow" w:hAnsi="Arial Narrow"/>
                <w:sz w:val="20"/>
                <w:szCs w:val="18"/>
                <w:highlight w:val="black"/>
              </w:rPr>
            </w:pPr>
            <w:r>
              <w:rPr>
                <w:rFonts w:ascii="Arial Narrow" w:hAnsi="Arial Narrow"/>
                <w:noProof/>
                <w:color w:val="000000"/>
                <w:sz w:val="20"/>
                <w:highlight w:val="black"/>
              </w:rPr>
              <w:t>'''''''''''''''</w:t>
            </w:r>
          </w:p>
        </w:tc>
        <w:tc>
          <w:tcPr>
            <w:tcW w:w="762" w:type="pct"/>
            <w:tcBorders>
              <w:top w:val="single" w:sz="4" w:space="0" w:color="auto"/>
              <w:bottom w:val="single" w:sz="4" w:space="0" w:color="auto"/>
            </w:tcBorders>
            <w:vAlign w:val="center"/>
          </w:tcPr>
          <w:p w:rsidR="00E078C5" w:rsidRPr="003349A8" w:rsidRDefault="003349A8" w:rsidP="00786914">
            <w:pPr>
              <w:widowControl/>
              <w:jc w:val="center"/>
              <w:rPr>
                <w:rFonts w:ascii="Arial Narrow" w:hAnsi="Arial Narrow"/>
                <w:sz w:val="20"/>
                <w:szCs w:val="18"/>
                <w:highlight w:val="black"/>
              </w:rPr>
            </w:pPr>
            <w:r>
              <w:rPr>
                <w:rFonts w:ascii="Arial Narrow" w:hAnsi="Arial Narrow"/>
                <w:noProof/>
                <w:color w:val="000000"/>
                <w:sz w:val="20"/>
                <w:highlight w:val="black"/>
              </w:rPr>
              <w:t>'''''''''''''''</w:t>
            </w:r>
          </w:p>
        </w:tc>
        <w:tc>
          <w:tcPr>
            <w:tcW w:w="763" w:type="pct"/>
            <w:tcBorders>
              <w:top w:val="single" w:sz="4" w:space="0" w:color="auto"/>
              <w:bottom w:val="single" w:sz="4" w:space="0" w:color="auto"/>
            </w:tcBorders>
            <w:vAlign w:val="center"/>
          </w:tcPr>
          <w:p w:rsidR="00E078C5" w:rsidRPr="003349A8" w:rsidRDefault="003349A8" w:rsidP="00786914">
            <w:pPr>
              <w:widowControl/>
              <w:jc w:val="center"/>
              <w:rPr>
                <w:rFonts w:ascii="Arial Narrow" w:hAnsi="Arial Narrow"/>
                <w:sz w:val="20"/>
                <w:szCs w:val="18"/>
                <w:highlight w:val="black"/>
              </w:rPr>
            </w:pPr>
            <w:r>
              <w:rPr>
                <w:rFonts w:ascii="Arial Narrow" w:hAnsi="Arial Narrow"/>
                <w:noProof/>
                <w:color w:val="000000"/>
                <w:sz w:val="20"/>
                <w:highlight w:val="black"/>
              </w:rPr>
              <w:t>''''''''''''''''</w:t>
            </w:r>
          </w:p>
        </w:tc>
        <w:tc>
          <w:tcPr>
            <w:tcW w:w="762" w:type="pct"/>
            <w:tcBorders>
              <w:top w:val="single" w:sz="4" w:space="0" w:color="auto"/>
              <w:bottom w:val="single" w:sz="4" w:space="0" w:color="auto"/>
            </w:tcBorders>
            <w:vAlign w:val="center"/>
          </w:tcPr>
          <w:p w:rsidR="00E078C5" w:rsidRPr="003349A8" w:rsidRDefault="003349A8" w:rsidP="00786914">
            <w:pPr>
              <w:widowControl/>
              <w:jc w:val="center"/>
              <w:rPr>
                <w:rFonts w:ascii="Arial Narrow" w:hAnsi="Arial Narrow"/>
                <w:sz w:val="20"/>
                <w:szCs w:val="18"/>
                <w:highlight w:val="black"/>
              </w:rPr>
            </w:pPr>
            <w:r>
              <w:rPr>
                <w:rFonts w:ascii="Arial Narrow" w:hAnsi="Arial Narrow"/>
                <w:noProof/>
                <w:color w:val="000000"/>
                <w:sz w:val="20"/>
                <w:highlight w:val="black"/>
              </w:rPr>
              <w:t>'''''''''''''''''</w:t>
            </w:r>
          </w:p>
        </w:tc>
        <w:tc>
          <w:tcPr>
            <w:tcW w:w="762" w:type="pct"/>
            <w:tcBorders>
              <w:top w:val="single" w:sz="4" w:space="0" w:color="auto"/>
              <w:bottom w:val="single" w:sz="4" w:space="0" w:color="auto"/>
            </w:tcBorders>
            <w:vAlign w:val="center"/>
          </w:tcPr>
          <w:p w:rsidR="00E078C5" w:rsidRPr="003349A8" w:rsidRDefault="003349A8" w:rsidP="00786914">
            <w:pPr>
              <w:widowControl/>
              <w:jc w:val="center"/>
              <w:rPr>
                <w:rFonts w:ascii="Arial Narrow" w:hAnsi="Arial Narrow"/>
                <w:sz w:val="20"/>
                <w:szCs w:val="18"/>
                <w:highlight w:val="black"/>
              </w:rPr>
            </w:pPr>
            <w:r>
              <w:rPr>
                <w:rFonts w:ascii="Arial Narrow" w:hAnsi="Arial Narrow"/>
                <w:noProof/>
                <w:color w:val="000000"/>
                <w:sz w:val="20"/>
                <w:highlight w:val="black"/>
              </w:rPr>
              <w:t>'''''''''''''''</w:t>
            </w:r>
          </w:p>
        </w:tc>
      </w:tr>
      <w:tr w:rsidR="00E078C5" w:rsidRPr="009F09D6" w:rsidTr="005F3B4F">
        <w:tc>
          <w:tcPr>
            <w:tcW w:w="1190" w:type="pct"/>
            <w:tcBorders>
              <w:top w:val="single" w:sz="4" w:space="0" w:color="auto"/>
              <w:bottom w:val="single" w:sz="4" w:space="0" w:color="auto"/>
            </w:tcBorders>
            <w:vAlign w:val="center"/>
          </w:tcPr>
          <w:p w:rsidR="00E078C5" w:rsidRPr="009F09D6" w:rsidRDefault="00E078C5" w:rsidP="00786914">
            <w:pPr>
              <w:widowControl/>
              <w:jc w:val="left"/>
              <w:rPr>
                <w:rFonts w:ascii="Arial Narrow" w:hAnsi="Arial Narrow"/>
                <w:sz w:val="20"/>
                <w:szCs w:val="18"/>
                <w:lang w:eastAsia="ja-JP"/>
              </w:rPr>
            </w:pPr>
            <w:r w:rsidRPr="009F09D6">
              <w:rPr>
                <w:rFonts w:ascii="Arial Narrow" w:hAnsi="Arial Narrow"/>
                <w:sz w:val="20"/>
                <w:szCs w:val="18"/>
              </w:rPr>
              <w:t>Reduction in the number of administrations</w:t>
            </w:r>
            <w:r w:rsidRPr="009F09D6">
              <w:rPr>
                <w:rFonts w:ascii="Arial Narrow" w:hAnsi="Arial Narrow"/>
                <w:sz w:val="20"/>
                <w:szCs w:val="18"/>
                <w:lang w:eastAsia="ja-JP"/>
              </w:rPr>
              <w:t xml:space="preserve"> for docetaxel and pemetrexed, combined</w:t>
            </w:r>
          </w:p>
        </w:tc>
        <w:tc>
          <w:tcPr>
            <w:tcW w:w="761" w:type="pct"/>
            <w:tcBorders>
              <w:top w:val="single" w:sz="4" w:space="0" w:color="auto"/>
              <w:bottom w:val="single" w:sz="4" w:space="0" w:color="auto"/>
            </w:tcBorders>
            <w:vAlign w:val="center"/>
          </w:tcPr>
          <w:p w:rsidR="00E078C5" w:rsidRPr="003349A8" w:rsidRDefault="003349A8" w:rsidP="00786914">
            <w:pPr>
              <w:widowControl/>
              <w:jc w:val="center"/>
              <w:rPr>
                <w:rFonts w:ascii="Arial Narrow" w:hAnsi="Arial Narrow"/>
                <w:sz w:val="20"/>
                <w:highlight w:val="black"/>
              </w:rPr>
            </w:pPr>
            <w:r>
              <w:rPr>
                <w:rFonts w:ascii="Arial Narrow" w:hAnsi="Arial Narrow"/>
                <w:noProof/>
                <w:color w:val="000000"/>
                <w:sz w:val="20"/>
                <w:highlight w:val="black"/>
              </w:rPr>
              <w:t>''''''''''''''</w:t>
            </w:r>
          </w:p>
        </w:tc>
        <w:tc>
          <w:tcPr>
            <w:tcW w:w="762" w:type="pct"/>
            <w:tcBorders>
              <w:top w:val="single" w:sz="4" w:space="0" w:color="auto"/>
              <w:bottom w:val="single" w:sz="4" w:space="0" w:color="auto"/>
            </w:tcBorders>
            <w:vAlign w:val="center"/>
          </w:tcPr>
          <w:p w:rsidR="00E078C5" w:rsidRPr="003349A8" w:rsidRDefault="003349A8" w:rsidP="00786914">
            <w:pPr>
              <w:widowControl/>
              <w:jc w:val="center"/>
              <w:rPr>
                <w:rFonts w:ascii="Arial Narrow" w:hAnsi="Arial Narrow"/>
                <w:sz w:val="20"/>
                <w:highlight w:val="black"/>
              </w:rPr>
            </w:pPr>
            <w:r>
              <w:rPr>
                <w:rFonts w:ascii="Arial Narrow" w:hAnsi="Arial Narrow"/>
                <w:noProof/>
                <w:color w:val="000000"/>
                <w:sz w:val="20"/>
                <w:highlight w:val="black"/>
              </w:rPr>
              <w:t>''''''''''''</w:t>
            </w:r>
          </w:p>
        </w:tc>
        <w:tc>
          <w:tcPr>
            <w:tcW w:w="763" w:type="pct"/>
            <w:tcBorders>
              <w:top w:val="single" w:sz="4" w:space="0" w:color="auto"/>
              <w:bottom w:val="single" w:sz="4" w:space="0" w:color="auto"/>
            </w:tcBorders>
            <w:vAlign w:val="center"/>
          </w:tcPr>
          <w:p w:rsidR="00E078C5" w:rsidRPr="003349A8" w:rsidRDefault="003349A8" w:rsidP="00786914">
            <w:pPr>
              <w:widowControl/>
              <w:jc w:val="center"/>
              <w:rPr>
                <w:rFonts w:ascii="Arial Narrow" w:hAnsi="Arial Narrow"/>
                <w:sz w:val="20"/>
                <w:highlight w:val="black"/>
              </w:rPr>
            </w:pPr>
            <w:r>
              <w:rPr>
                <w:rFonts w:ascii="Arial Narrow" w:hAnsi="Arial Narrow"/>
                <w:noProof/>
                <w:color w:val="000000"/>
                <w:sz w:val="20"/>
                <w:highlight w:val="black"/>
              </w:rPr>
              <w:t>''''''''''''''</w:t>
            </w:r>
          </w:p>
        </w:tc>
        <w:tc>
          <w:tcPr>
            <w:tcW w:w="762" w:type="pct"/>
            <w:tcBorders>
              <w:top w:val="single" w:sz="4" w:space="0" w:color="auto"/>
              <w:bottom w:val="single" w:sz="4" w:space="0" w:color="auto"/>
            </w:tcBorders>
            <w:vAlign w:val="center"/>
          </w:tcPr>
          <w:p w:rsidR="00E078C5" w:rsidRPr="003349A8" w:rsidRDefault="003349A8" w:rsidP="00786914">
            <w:pPr>
              <w:widowControl/>
              <w:jc w:val="center"/>
              <w:rPr>
                <w:rFonts w:ascii="Arial Narrow" w:hAnsi="Arial Narrow"/>
                <w:sz w:val="20"/>
                <w:highlight w:val="black"/>
              </w:rPr>
            </w:pPr>
            <w:r>
              <w:rPr>
                <w:rFonts w:ascii="Arial Narrow" w:hAnsi="Arial Narrow"/>
                <w:noProof/>
                <w:color w:val="000000"/>
                <w:sz w:val="20"/>
                <w:highlight w:val="black"/>
              </w:rPr>
              <w:t>''''''''''''</w:t>
            </w:r>
          </w:p>
        </w:tc>
        <w:tc>
          <w:tcPr>
            <w:tcW w:w="762" w:type="pct"/>
            <w:tcBorders>
              <w:top w:val="single" w:sz="4" w:space="0" w:color="auto"/>
              <w:bottom w:val="single" w:sz="4" w:space="0" w:color="auto"/>
            </w:tcBorders>
            <w:vAlign w:val="center"/>
          </w:tcPr>
          <w:p w:rsidR="00E078C5" w:rsidRPr="003349A8" w:rsidRDefault="003349A8" w:rsidP="00786914">
            <w:pPr>
              <w:widowControl/>
              <w:jc w:val="center"/>
              <w:rPr>
                <w:rFonts w:ascii="Arial Narrow" w:hAnsi="Arial Narrow"/>
                <w:sz w:val="20"/>
                <w:highlight w:val="black"/>
              </w:rPr>
            </w:pPr>
            <w:r>
              <w:rPr>
                <w:rFonts w:ascii="Arial Narrow" w:hAnsi="Arial Narrow"/>
                <w:noProof/>
                <w:color w:val="000000"/>
                <w:sz w:val="20"/>
                <w:highlight w:val="black"/>
              </w:rPr>
              <w:t>'''''''''''''</w:t>
            </w:r>
          </w:p>
        </w:tc>
      </w:tr>
      <w:tr w:rsidR="00E078C5" w:rsidRPr="009F09D6" w:rsidTr="005F3B4F">
        <w:tc>
          <w:tcPr>
            <w:tcW w:w="1190" w:type="pct"/>
            <w:tcBorders>
              <w:top w:val="single" w:sz="4" w:space="0" w:color="auto"/>
              <w:bottom w:val="single" w:sz="4" w:space="0" w:color="auto"/>
            </w:tcBorders>
            <w:vAlign w:val="center"/>
          </w:tcPr>
          <w:p w:rsidR="00E078C5" w:rsidRPr="009F09D6" w:rsidRDefault="00E078C5" w:rsidP="00786914">
            <w:pPr>
              <w:widowControl/>
              <w:jc w:val="left"/>
              <w:rPr>
                <w:rFonts w:ascii="Arial Narrow" w:hAnsi="Arial Narrow"/>
                <w:sz w:val="20"/>
                <w:szCs w:val="18"/>
                <w:lang w:eastAsia="ja-JP"/>
              </w:rPr>
            </w:pPr>
            <w:r w:rsidRPr="009F09D6">
              <w:rPr>
                <w:rFonts w:ascii="Arial Narrow" w:hAnsi="Arial Narrow"/>
                <w:sz w:val="20"/>
                <w:szCs w:val="18"/>
                <w:lang w:eastAsia="ja-JP"/>
              </w:rPr>
              <w:t>At full benefit amount</w:t>
            </w:r>
          </w:p>
        </w:tc>
        <w:tc>
          <w:tcPr>
            <w:tcW w:w="761" w:type="pct"/>
            <w:tcBorders>
              <w:top w:val="single" w:sz="4" w:space="0" w:color="auto"/>
              <w:bottom w:val="single" w:sz="4" w:space="0" w:color="auto"/>
            </w:tcBorders>
            <w:vAlign w:val="center"/>
          </w:tcPr>
          <w:p w:rsidR="00E078C5" w:rsidRPr="009F09D6" w:rsidRDefault="00E078C5" w:rsidP="00786914">
            <w:pPr>
              <w:widowControl/>
              <w:jc w:val="center"/>
              <w:rPr>
                <w:rFonts w:ascii="Arial Narrow" w:hAnsi="Arial Narrow"/>
                <w:sz w:val="20"/>
                <w:szCs w:val="18"/>
              </w:rPr>
            </w:pPr>
            <w:r w:rsidRPr="009F09D6">
              <w:rPr>
                <w:rFonts w:ascii="Arial Narrow" w:hAnsi="Arial Narrow"/>
                <w:sz w:val="20"/>
              </w:rPr>
              <w:t>$</w:t>
            </w:r>
            <w:r w:rsidR="003349A8">
              <w:rPr>
                <w:rFonts w:ascii="Arial Narrow" w:hAnsi="Arial Narrow"/>
                <w:noProof/>
                <w:color w:val="000000"/>
                <w:sz w:val="20"/>
                <w:highlight w:val="black"/>
              </w:rPr>
              <w:t>''''''''''''''''''''''''</w:t>
            </w:r>
          </w:p>
        </w:tc>
        <w:tc>
          <w:tcPr>
            <w:tcW w:w="762" w:type="pct"/>
            <w:tcBorders>
              <w:top w:val="single" w:sz="4" w:space="0" w:color="auto"/>
              <w:bottom w:val="single" w:sz="4" w:space="0" w:color="auto"/>
            </w:tcBorders>
            <w:vAlign w:val="center"/>
          </w:tcPr>
          <w:p w:rsidR="00E078C5" w:rsidRPr="009F09D6" w:rsidRDefault="00E078C5" w:rsidP="00786914">
            <w:pPr>
              <w:widowControl/>
              <w:jc w:val="center"/>
              <w:rPr>
                <w:rFonts w:ascii="Arial Narrow" w:hAnsi="Arial Narrow"/>
                <w:sz w:val="20"/>
                <w:szCs w:val="18"/>
              </w:rPr>
            </w:pPr>
            <w:r w:rsidRPr="009F09D6">
              <w:rPr>
                <w:rFonts w:ascii="Arial Narrow" w:hAnsi="Arial Narrow"/>
                <w:sz w:val="20"/>
              </w:rPr>
              <w:t>$</w:t>
            </w:r>
            <w:r w:rsidR="003349A8">
              <w:rPr>
                <w:rFonts w:ascii="Arial Narrow" w:hAnsi="Arial Narrow"/>
                <w:noProof/>
                <w:color w:val="000000"/>
                <w:sz w:val="20"/>
                <w:highlight w:val="black"/>
              </w:rPr>
              <w:t>'''''''''''''''''''''''</w:t>
            </w:r>
          </w:p>
        </w:tc>
        <w:tc>
          <w:tcPr>
            <w:tcW w:w="763" w:type="pct"/>
            <w:tcBorders>
              <w:top w:val="single" w:sz="4" w:space="0" w:color="auto"/>
              <w:bottom w:val="single" w:sz="4" w:space="0" w:color="auto"/>
            </w:tcBorders>
            <w:vAlign w:val="center"/>
          </w:tcPr>
          <w:p w:rsidR="00E078C5" w:rsidRPr="009F09D6" w:rsidRDefault="00E078C5" w:rsidP="00786914">
            <w:pPr>
              <w:widowControl/>
              <w:jc w:val="center"/>
              <w:rPr>
                <w:rFonts w:ascii="Arial Narrow" w:hAnsi="Arial Narrow"/>
                <w:sz w:val="20"/>
                <w:szCs w:val="18"/>
              </w:rPr>
            </w:pPr>
            <w:r w:rsidRPr="009F09D6">
              <w:rPr>
                <w:rFonts w:ascii="Arial Narrow" w:hAnsi="Arial Narrow"/>
                <w:sz w:val="20"/>
              </w:rPr>
              <w:t>$</w:t>
            </w:r>
            <w:r w:rsidR="003349A8">
              <w:rPr>
                <w:rFonts w:ascii="Arial Narrow" w:hAnsi="Arial Narrow"/>
                <w:noProof/>
                <w:color w:val="000000"/>
                <w:sz w:val="20"/>
                <w:highlight w:val="black"/>
              </w:rPr>
              <w:t>'''''''''''''''''''''</w:t>
            </w:r>
          </w:p>
        </w:tc>
        <w:tc>
          <w:tcPr>
            <w:tcW w:w="762" w:type="pct"/>
            <w:tcBorders>
              <w:top w:val="single" w:sz="4" w:space="0" w:color="auto"/>
              <w:bottom w:val="single" w:sz="4" w:space="0" w:color="auto"/>
            </w:tcBorders>
            <w:vAlign w:val="center"/>
          </w:tcPr>
          <w:p w:rsidR="00E078C5" w:rsidRPr="009F09D6" w:rsidRDefault="00E078C5" w:rsidP="00786914">
            <w:pPr>
              <w:widowControl/>
              <w:jc w:val="center"/>
              <w:rPr>
                <w:rFonts w:ascii="Arial Narrow" w:hAnsi="Arial Narrow"/>
                <w:sz w:val="20"/>
                <w:szCs w:val="18"/>
              </w:rPr>
            </w:pPr>
            <w:r w:rsidRPr="009F09D6">
              <w:rPr>
                <w:rFonts w:ascii="Arial Narrow" w:hAnsi="Arial Narrow"/>
                <w:sz w:val="20"/>
              </w:rPr>
              <w:t>$</w:t>
            </w:r>
            <w:r w:rsidR="003349A8">
              <w:rPr>
                <w:rFonts w:ascii="Arial Narrow" w:hAnsi="Arial Narrow"/>
                <w:noProof/>
                <w:color w:val="000000"/>
                <w:sz w:val="20"/>
                <w:highlight w:val="black"/>
              </w:rPr>
              <w:t>'''''''''''''''''''''''</w:t>
            </w:r>
          </w:p>
        </w:tc>
        <w:tc>
          <w:tcPr>
            <w:tcW w:w="762" w:type="pct"/>
            <w:tcBorders>
              <w:top w:val="single" w:sz="4" w:space="0" w:color="auto"/>
              <w:bottom w:val="single" w:sz="4" w:space="0" w:color="auto"/>
            </w:tcBorders>
            <w:vAlign w:val="center"/>
          </w:tcPr>
          <w:p w:rsidR="00E078C5" w:rsidRPr="009F09D6" w:rsidRDefault="00E078C5" w:rsidP="00786914">
            <w:pPr>
              <w:widowControl/>
              <w:jc w:val="center"/>
              <w:rPr>
                <w:rFonts w:ascii="Arial Narrow" w:hAnsi="Arial Narrow"/>
                <w:sz w:val="20"/>
                <w:szCs w:val="18"/>
              </w:rPr>
            </w:pPr>
            <w:r w:rsidRPr="009F09D6">
              <w:rPr>
                <w:rFonts w:ascii="Arial Narrow" w:hAnsi="Arial Narrow"/>
                <w:sz w:val="20"/>
              </w:rPr>
              <w:t>$</w:t>
            </w:r>
            <w:r w:rsidR="003349A8">
              <w:rPr>
                <w:rFonts w:ascii="Arial Narrow" w:hAnsi="Arial Narrow"/>
                <w:noProof/>
                <w:color w:val="000000"/>
                <w:sz w:val="20"/>
                <w:highlight w:val="black"/>
              </w:rPr>
              <w:t>''''''''''''''''''''''''</w:t>
            </w:r>
          </w:p>
        </w:tc>
      </w:tr>
      <w:tr w:rsidR="00E078C5" w:rsidRPr="009F09D6" w:rsidTr="005F3B4F">
        <w:tc>
          <w:tcPr>
            <w:tcW w:w="1190" w:type="pct"/>
            <w:tcBorders>
              <w:top w:val="single" w:sz="4" w:space="0" w:color="auto"/>
              <w:bottom w:val="single" w:sz="4" w:space="0" w:color="auto"/>
            </w:tcBorders>
            <w:vAlign w:val="center"/>
          </w:tcPr>
          <w:p w:rsidR="00E078C5" w:rsidRPr="009F09D6" w:rsidRDefault="00E078C5" w:rsidP="00786914">
            <w:pPr>
              <w:widowControl/>
              <w:jc w:val="left"/>
              <w:rPr>
                <w:rFonts w:ascii="Arial Narrow" w:hAnsi="Arial Narrow"/>
                <w:b/>
                <w:sz w:val="20"/>
                <w:szCs w:val="18"/>
                <w:lang w:eastAsia="ja-JP"/>
              </w:rPr>
            </w:pPr>
            <w:r w:rsidRPr="009F09D6">
              <w:rPr>
                <w:rFonts w:ascii="Arial Narrow" w:hAnsi="Arial Narrow"/>
                <w:b/>
                <w:sz w:val="20"/>
                <w:szCs w:val="18"/>
                <w:lang w:eastAsia="ja-JP"/>
              </w:rPr>
              <w:t>Net cost to MBS (at 85% benefit)</w:t>
            </w:r>
          </w:p>
        </w:tc>
        <w:tc>
          <w:tcPr>
            <w:tcW w:w="761" w:type="pct"/>
            <w:tcBorders>
              <w:top w:val="single" w:sz="4" w:space="0" w:color="auto"/>
              <w:bottom w:val="single" w:sz="4" w:space="0" w:color="auto"/>
            </w:tcBorders>
            <w:vAlign w:val="center"/>
          </w:tcPr>
          <w:p w:rsidR="00E078C5" w:rsidRPr="009F09D6" w:rsidRDefault="00E078C5" w:rsidP="00786914">
            <w:pPr>
              <w:widowControl/>
              <w:jc w:val="center"/>
              <w:rPr>
                <w:rFonts w:ascii="Arial Narrow" w:hAnsi="Arial Narrow"/>
                <w:b/>
                <w:sz w:val="20"/>
                <w:szCs w:val="18"/>
              </w:rPr>
            </w:pPr>
            <w:r w:rsidRPr="009F09D6">
              <w:rPr>
                <w:rFonts w:ascii="Arial Narrow" w:hAnsi="Arial Narrow"/>
                <w:b/>
                <w:sz w:val="20"/>
              </w:rPr>
              <w:t>$</w:t>
            </w:r>
            <w:r w:rsidR="003349A8">
              <w:rPr>
                <w:rFonts w:ascii="Arial Narrow" w:hAnsi="Arial Narrow"/>
                <w:b/>
                <w:noProof/>
                <w:color w:val="000000"/>
                <w:sz w:val="20"/>
                <w:highlight w:val="black"/>
              </w:rPr>
              <w:t>'''''''''''''''''</w:t>
            </w:r>
          </w:p>
        </w:tc>
        <w:tc>
          <w:tcPr>
            <w:tcW w:w="762" w:type="pct"/>
            <w:tcBorders>
              <w:top w:val="single" w:sz="4" w:space="0" w:color="auto"/>
              <w:bottom w:val="single" w:sz="4" w:space="0" w:color="auto"/>
            </w:tcBorders>
            <w:vAlign w:val="center"/>
          </w:tcPr>
          <w:p w:rsidR="00E078C5" w:rsidRPr="009F09D6" w:rsidRDefault="00E078C5" w:rsidP="00786914">
            <w:pPr>
              <w:widowControl/>
              <w:jc w:val="center"/>
              <w:rPr>
                <w:rFonts w:ascii="Arial Narrow" w:hAnsi="Arial Narrow"/>
                <w:b/>
                <w:sz w:val="20"/>
                <w:szCs w:val="18"/>
              </w:rPr>
            </w:pPr>
            <w:r w:rsidRPr="009F09D6">
              <w:rPr>
                <w:rFonts w:ascii="Arial Narrow" w:hAnsi="Arial Narrow"/>
                <w:b/>
                <w:sz w:val="20"/>
              </w:rPr>
              <w:t>$</w:t>
            </w:r>
            <w:r w:rsidR="003349A8">
              <w:rPr>
                <w:rFonts w:ascii="Arial Narrow" w:hAnsi="Arial Narrow"/>
                <w:b/>
                <w:noProof/>
                <w:color w:val="000000"/>
                <w:sz w:val="20"/>
                <w:highlight w:val="black"/>
              </w:rPr>
              <w:t>''''''''''''''''''''</w:t>
            </w:r>
          </w:p>
        </w:tc>
        <w:tc>
          <w:tcPr>
            <w:tcW w:w="763" w:type="pct"/>
            <w:tcBorders>
              <w:top w:val="single" w:sz="4" w:space="0" w:color="auto"/>
              <w:bottom w:val="single" w:sz="4" w:space="0" w:color="auto"/>
            </w:tcBorders>
            <w:vAlign w:val="center"/>
          </w:tcPr>
          <w:p w:rsidR="00E078C5" w:rsidRPr="009F09D6" w:rsidRDefault="00E078C5" w:rsidP="00786914">
            <w:pPr>
              <w:widowControl/>
              <w:jc w:val="center"/>
              <w:rPr>
                <w:rFonts w:ascii="Arial Narrow" w:hAnsi="Arial Narrow"/>
                <w:b/>
                <w:sz w:val="20"/>
                <w:szCs w:val="18"/>
              </w:rPr>
            </w:pPr>
            <w:r w:rsidRPr="009F09D6">
              <w:rPr>
                <w:rFonts w:ascii="Arial Narrow" w:hAnsi="Arial Narrow"/>
                <w:b/>
                <w:sz w:val="20"/>
              </w:rPr>
              <w:t>$</w:t>
            </w:r>
            <w:r w:rsidR="003349A8">
              <w:rPr>
                <w:rFonts w:ascii="Arial Narrow" w:hAnsi="Arial Narrow"/>
                <w:b/>
                <w:noProof/>
                <w:color w:val="000000"/>
                <w:sz w:val="20"/>
                <w:highlight w:val="black"/>
              </w:rPr>
              <w:t>''''''''''''''''''</w:t>
            </w:r>
          </w:p>
        </w:tc>
        <w:tc>
          <w:tcPr>
            <w:tcW w:w="762" w:type="pct"/>
            <w:tcBorders>
              <w:top w:val="single" w:sz="4" w:space="0" w:color="auto"/>
              <w:bottom w:val="single" w:sz="4" w:space="0" w:color="auto"/>
            </w:tcBorders>
            <w:vAlign w:val="center"/>
          </w:tcPr>
          <w:p w:rsidR="00E078C5" w:rsidRPr="009F09D6" w:rsidRDefault="00E078C5" w:rsidP="00786914">
            <w:pPr>
              <w:widowControl/>
              <w:jc w:val="center"/>
              <w:rPr>
                <w:rFonts w:ascii="Arial Narrow" w:hAnsi="Arial Narrow"/>
                <w:b/>
                <w:sz w:val="20"/>
                <w:szCs w:val="18"/>
              </w:rPr>
            </w:pPr>
            <w:r w:rsidRPr="009F09D6">
              <w:rPr>
                <w:rFonts w:ascii="Arial Narrow" w:hAnsi="Arial Narrow"/>
                <w:b/>
                <w:sz w:val="20"/>
              </w:rPr>
              <w:t>$</w:t>
            </w:r>
            <w:r w:rsidR="003349A8">
              <w:rPr>
                <w:rFonts w:ascii="Arial Narrow" w:hAnsi="Arial Narrow"/>
                <w:b/>
                <w:noProof/>
                <w:color w:val="000000"/>
                <w:sz w:val="20"/>
                <w:highlight w:val="black"/>
              </w:rPr>
              <w:t>'''''''''''''''''''</w:t>
            </w:r>
          </w:p>
        </w:tc>
        <w:tc>
          <w:tcPr>
            <w:tcW w:w="762" w:type="pct"/>
            <w:tcBorders>
              <w:top w:val="single" w:sz="4" w:space="0" w:color="auto"/>
              <w:bottom w:val="single" w:sz="4" w:space="0" w:color="auto"/>
            </w:tcBorders>
            <w:vAlign w:val="center"/>
          </w:tcPr>
          <w:p w:rsidR="00E078C5" w:rsidRPr="009F09D6" w:rsidRDefault="00E078C5" w:rsidP="00786914">
            <w:pPr>
              <w:widowControl/>
              <w:jc w:val="center"/>
              <w:rPr>
                <w:rFonts w:ascii="Arial Narrow" w:hAnsi="Arial Narrow"/>
                <w:b/>
                <w:sz w:val="20"/>
                <w:szCs w:val="18"/>
              </w:rPr>
            </w:pPr>
            <w:r w:rsidRPr="009F09D6">
              <w:rPr>
                <w:rFonts w:ascii="Arial Narrow" w:hAnsi="Arial Narrow"/>
                <w:b/>
                <w:sz w:val="20"/>
              </w:rPr>
              <w:t>$</w:t>
            </w:r>
            <w:r w:rsidR="003349A8">
              <w:rPr>
                <w:rFonts w:ascii="Arial Narrow" w:hAnsi="Arial Narrow"/>
                <w:b/>
                <w:noProof/>
                <w:color w:val="000000"/>
                <w:sz w:val="20"/>
                <w:highlight w:val="black"/>
              </w:rPr>
              <w:t>'''''''''''''''''''''</w:t>
            </w:r>
          </w:p>
        </w:tc>
      </w:tr>
    </w:tbl>
    <w:p w:rsidR="00E078C5" w:rsidRPr="009F09D6" w:rsidRDefault="00E078C5" w:rsidP="00E078C5">
      <w:pPr>
        <w:pStyle w:val="TableFooter"/>
        <w:widowControl/>
        <w:ind w:left="709"/>
        <w:rPr>
          <w:szCs w:val="18"/>
        </w:rPr>
      </w:pPr>
      <w:r w:rsidRPr="009F09D6">
        <w:rPr>
          <w:szCs w:val="18"/>
        </w:rPr>
        <w:t>Source: Commentary on the main submission, Tables E.2.5 (p86), E.3.1 (p87) and E.5.1 (p89).</w:t>
      </w:r>
    </w:p>
    <w:p w:rsidR="00E078C5" w:rsidRPr="009F09D6" w:rsidRDefault="00E078C5" w:rsidP="00E078C5">
      <w:pPr>
        <w:pStyle w:val="TableFooter"/>
        <w:widowControl/>
        <w:ind w:left="709"/>
        <w:rPr>
          <w:szCs w:val="18"/>
        </w:rPr>
      </w:pPr>
      <w:r w:rsidRPr="009F09D6">
        <w:rPr>
          <w:szCs w:val="18"/>
          <w:vertAlign w:val="superscript"/>
        </w:rPr>
        <w:t>a</w:t>
      </w:r>
      <w:r w:rsidRPr="009F09D6">
        <w:rPr>
          <w:szCs w:val="18"/>
        </w:rPr>
        <w:t xml:space="preserve"> Assuming </w:t>
      </w:r>
      <w:r w:rsidR="003349A8">
        <w:rPr>
          <w:noProof/>
          <w:color w:val="000000"/>
          <w:szCs w:val="18"/>
          <w:highlight w:val="black"/>
        </w:rPr>
        <w:t>''''''''''''''</w:t>
      </w:r>
      <w:r w:rsidRPr="009F09D6">
        <w:rPr>
          <w:szCs w:val="18"/>
        </w:rPr>
        <w:t xml:space="preserve"> administrations per patient.</w:t>
      </w:r>
    </w:p>
    <w:p w:rsidR="00E078C5" w:rsidRPr="009F09D6" w:rsidRDefault="00E078C5" w:rsidP="00E078C5">
      <w:pPr>
        <w:pStyle w:val="TableFooter"/>
        <w:widowControl/>
        <w:ind w:left="709"/>
        <w:rPr>
          <w:szCs w:val="18"/>
        </w:rPr>
      </w:pPr>
      <w:r w:rsidRPr="009F09D6">
        <w:rPr>
          <w:szCs w:val="18"/>
          <w:vertAlign w:val="superscript"/>
        </w:rPr>
        <w:t xml:space="preserve">b </w:t>
      </w:r>
      <w:r w:rsidRPr="009F09D6">
        <w:rPr>
          <w:szCs w:val="18"/>
        </w:rPr>
        <w:t>Assuming on average one patient needs 216.6mg of nivolumab with a body weight of 72.2kg. To supply 216.6mg of nivolumab, 2 × 100mg/10mL vials and 0.42 × 40mg/4mL vials were assumed in the submission. During the evaluation, 2 × 100mg/mL vials and 1 × 40mg/4mL vial were used in the sensitivity analysis.</w:t>
      </w:r>
    </w:p>
    <w:p w:rsidR="00E078C5" w:rsidRPr="009F09D6" w:rsidRDefault="00E078C5" w:rsidP="00E078C5">
      <w:pPr>
        <w:pStyle w:val="TableFooter"/>
        <w:widowControl/>
        <w:ind w:left="709"/>
        <w:rPr>
          <w:szCs w:val="18"/>
        </w:rPr>
      </w:pPr>
      <w:r w:rsidRPr="009F09D6">
        <w:rPr>
          <w:szCs w:val="18"/>
          <w:vertAlign w:val="superscript"/>
        </w:rPr>
        <w:t xml:space="preserve">C </w:t>
      </w:r>
      <w:r w:rsidRPr="009F09D6">
        <w:rPr>
          <w:szCs w:val="18"/>
        </w:rPr>
        <w:t xml:space="preserve">The dispensed price of nivolumab was updated during the evaluation including a 1.4% pharmacy mark-up for private hospitals and the preparation fee of $102.67. </w:t>
      </w:r>
    </w:p>
    <w:p w:rsidR="00E078C5" w:rsidRDefault="00E078C5" w:rsidP="005F3B4F">
      <w:pPr>
        <w:pStyle w:val="TableFooter"/>
        <w:widowControl/>
        <w:ind w:left="709"/>
        <w:rPr>
          <w:szCs w:val="18"/>
        </w:rPr>
      </w:pPr>
      <w:r w:rsidRPr="009F09D6">
        <w:rPr>
          <w:szCs w:val="18"/>
          <w:vertAlign w:val="superscript"/>
        </w:rPr>
        <w:t xml:space="preserve">d </w:t>
      </w:r>
      <w:r w:rsidRPr="009F09D6">
        <w:rPr>
          <w:szCs w:val="18"/>
        </w:rPr>
        <w:t>The dispensed prices of docetaxel and pemetrexed were updated during the evaluation including a 1.4% pharmacy mark-up for private hospitals and the preparation fee of $102.67.</w:t>
      </w:r>
    </w:p>
    <w:p w:rsidR="006E6CE0" w:rsidRDefault="006E6CE0" w:rsidP="005F3B4F">
      <w:pPr>
        <w:pStyle w:val="TableFooter"/>
        <w:widowControl/>
        <w:ind w:left="709"/>
        <w:rPr>
          <w:szCs w:val="18"/>
        </w:rPr>
      </w:pPr>
    </w:p>
    <w:p w:rsidR="006E6CE0" w:rsidRPr="00641AA3" w:rsidRDefault="006E6CE0" w:rsidP="005F3B4F">
      <w:pPr>
        <w:pStyle w:val="TableFooter"/>
        <w:widowControl/>
        <w:ind w:left="709"/>
        <w:rPr>
          <w:rFonts w:ascii="Arial" w:hAnsi="Arial"/>
          <w:sz w:val="22"/>
          <w:szCs w:val="22"/>
        </w:rPr>
      </w:pPr>
      <w:r w:rsidRPr="00641AA3">
        <w:rPr>
          <w:rFonts w:ascii="Arial" w:hAnsi="Arial"/>
          <w:sz w:val="22"/>
          <w:szCs w:val="22"/>
        </w:rPr>
        <w:t xml:space="preserve">The redacted table above shows that by year 5, the estimated number of patients would be less than 10,000 and the net cost </w:t>
      </w:r>
      <w:r w:rsidR="00641AA3" w:rsidRPr="00641AA3">
        <w:rPr>
          <w:rFonts w:ascii="Arial" w:hAnsi="Arial"/>
          <w:sz w:val="22"/>
          <w:szCs w:val="22"/>
        </w:rPr>
        <w:t>to</w:t>
      </w:r>
      <w:r w:rsidRPr="00641AA3">
        <w:rPr>
          <w:rFonts w:ascii="Arial" w:hAnsi="Arial"/>
          <w:sz w:val="22"/>
          <w:szCs w:val="22"/>
        </w:rPr>
        <w:t xml:space="preserve"> PBS would be less than $10 million.</w:t>
      </w:r>
    </w:p>
    <w:p w:rsidR="00E078C5" w:rsidRDefault="00E078C5" w:rsidP="000028EC">
      <w:pPr>
        <w:widowControl/>
        <w:rPr>
          <w:szCs w:val="22"/>
        </w:rPr>
      </w:pPr>
    </w:p>
    <w:p w:rsidR="007B1762" w:rsidRPr="001E5EBD" w:rsidRDefault="007B1762" w:rsidP="001E5EBD">
      <w:pPr>
        <w:pStyle w:val="PBACHeading1"/>
        <w:numPr>
          <w:ilvl w:val="1"/>
          <w:numId w:val="2"/>
        </w:numPr>
        <w:jc w:val="both"/>
        <w:rPr>
          <w:b w:val="0"/>
        </w:rPr>
      </w:pPr>
      <w:r w:rsidRPr="001E5EBD">
        <w:rPr>
          <w:b w:val="0"/>
        </w:rPr>
        <w:t xml:space="preserve">DUSC </w:t>
      </w:r>
      <w:r w:rsidR="00E078C5" w:rsidRPr="001E5EBD">
        <w:rPr>
          <w:b w:val="0"/>
        </w:rPr>
        <w:t xml:space="preserve">considered </w:t>
      </w:r>
      <w:r w:rsidRPr="001E5EBD">
        <w:rPr>
          <w:b w:val="0"/>
        </w:rPr>
        <w:t xml:space="preserve">the estimates presented in the submission may be overestimated. The main issues </w:t>
      </w:r>
      <w:r w:rsidR="00E078C5" w:rsidRPr="001E5EBD">
        <w:rPr>
          <w:b w:val="0"/>
        </w:rPr>
        <w:t>were</w:t>
      </w:r>
      <w:r w:rsidRPr="001E5EBD">
        <w:rPr>
          <w:b w:val="0"/>
        </w:rPr>
        <w:t>:</w:t>
      </w:r>
    </w:p>
    <w:p w:rsidR="007B1762" w:rsidRPr="001E5EBD" w:rsidRDefault="007B1762" w:rsidP="001E5EBD">
      <w:pPr>
        <w:pStyle w:val="BodyText"/>
        <w:numPr>
          <w:ilvl w:val="0"/>
          <w:numId w:val="12"/>
        </w:numPr>
        <w:jc w:val="both"/>
        <w:rPr>
          <w:color w:val="000000" w:themeColor="text1"/>
          <w:szCs w:val="22"/>
        </w:rPr>
      </w:pPr>
      <w:r w:rsidRPr="001E5EBD">
        <w:rPr>
          <w:color w:val="000000" w:themeColor="text1"/>
          <w:szCs w:val="22"/>
        </w:rPr>
        <w:t>The financial implications to government may be overestimated by applying a ‘wider’ versus ‘narrower’ definition of NSCLC to estimate the non-squamous NSCLC eligible population (81.7% vs. 74.2%, respectively).</w:t>
      </w:r>
      <w:r w:rsidR="00D16BB7" w:rsidRPr="001E5EBD">
        <w:rPr>
          <w:color w:val="000000" w:themeColor="text1"/>
          <w:szCs w:val="22"/>
        </w:rPr>
        <w:t xml:space="preserve"> The Pre-PBAC </w:t>
      </w:r>
      <w:r w:rsidR="00D16BB7" w:rsidRPr="001E5EBD">
        <w:rPr>
          <w:color w:val="000000" w:themeColor="text1"/>
          <w:szCs w:val="22"/>
        </w:rPr>
        <w:lastRenderedPageBreak/>
        <w:t>Response (p.3) acknowledged that there is uncertainty regarding the true split between squamous and non-squamous NSCLC patients in Australia, noting that an “if a narrower definition of NSCLC is used (excluding less common NSCLC subtypes), then the estimate of the proportion of squamous NSCLC patients reduces to 74.2% and net cost to the PBS decreases.”</w:t>
      </w:r>
    </w:p>
    <w:p w:rsidR="007B1762" w:rsidRPr="001E5EBD" w:rsidRDefault="007B1762" w:rsidP="001E5EBD">
      <w:pPr>
        <w:pStyle w:val="BodyText"/>
        <w:numPr>
          <w:ilvl w:val="0"/>
          <w:numId w:val="12"/>
        </w:numPr>
        <w:ind w:left="1077" w:hanging="357"/>
        <w:jc w:val="both"/>
        <w:rPr>
          <w:color w:val="000000" w:themeColor="text1"/>
          <w:szCs w:val="22"/>
        </w:rPr>
      </w:pPr>
      <w:r w:rsidRPr="001E5EBD">
        <w:rPr>
          <w:color w:val="000000" w:themeColor="text1"/>
          <w:szCs w:val="22"/>
        </w:rPr>
        <w:t xml:space="preserve">The duration of nivolumab treatment in practice </w:t>
      </w:r>
      <w:r w:rsidR="001E5EBD" w:rsidRPr="001E5EBD">
        <w:rPr>
          <w:color w:val="000000" w:themeColor="text1"/>
          <w:szCs w:val="22"/>
        </w:rPr>
        <w:t xml:space="preserve">would </w:t>
      </w:r>
      <w:r w:rsidRPr="001E5EBD">
        <w:rPr>
          <w:color w:val="000000" w:themeColor="text1"/>
          <w:szCs w:val="22"/>
        </w:rPr>
        <w:t>likely be longer than the estimate based on Trial 057 due to the early cessation of this trial.</w:t>
      </w:r>
    </w:p>
    <w:p w:rsidR="007B1762" w:rsidRPr="001E5EBD" w:rsidRDefault="007B1762" w:rsidP="001E5EBD">
      <w:pPr>
        <w:pStyle w:val="BodyText"/>
        <w:numPr>
          <w:ilvl w:val="0"/>
          <w:numId w:val="12"/>
        </w:numPr>
        <w:ind w:left="1077" w:hanging="357"/>
        <w:jc w:val="both"/>
        <w:rPr>
          <w:color w:val="000000" w:themeColor="text1"/>
          <w:szCs w:val="22"/>
        </w:rPr>
      </w:pPr>
      <w:r w:rsidRPr="001E5EBD">
        <w:rPr>
          <w:color w:val="000000" w:themeColor="text1"/>
          <w:szCs w:val="22"/>
        </w:rPr>
        <w:t>The</w:t>
      </w:r>
      <w:r w:rsidR="001E5EBD" w:rsidRPr="001E5EBD">
        <w:rPr>
          <w:color w:val="000000" w:themeColor="text1"/>
          <w:szCs w:val="22"/>
        </w:rPr>
        <w:t>re was</w:t>
      </w:r>
      <w:r w:rsidRPr="001E5EBD">
        <w:rPr>
          <w:color w:val="000000" w:themeColor="text1"/>
          <w:szCs w:val="22"/>
        </w:rPr>
        <w:t xml:space="preserve"> potential for use beyond the restriction: (i) use in earlier lines of therapy; (ii) use in patients with a performance status that is worse than those participatin</w:t>
      </w:r>
      <w:r w:rsidR="001E5EBD" w:rsidRPr="001E5EBD">
        <w:rPr>
          <w:color w:val="000000" w:themeColor="text1"/>
          <w:szCs w:val="22"/>
        </w:rPr>
        <w:t>g in the key trial (i.e. ECOG &gt;</w:t>
      </w:r>
      <w:r w:rsidRPr="001E5EBD">
        <w:rPr>
          <w:color w:val="000000" w:themeColor="text1"/>
          <w:szCs w:val="22"/>
        </w:rPr>
        <w:t>1); and (iii) use beyond disease progression.</w:t>
      </w:r>
    </w:p>
    <w:p w:rsidR="000C376B" w:rsidRPr="001E5EBD" w:rsidRDefault="000C376B" w:rsidP="001E5EBD">
      <w:pPr>
        <w:widowControl/>
        <w:rPr>
          <w:szCs w:val="22"/>
        </w:rPr>
      </w:pPr>
    </w:p>
    <w:p w:rsidR="00144D06" w:rsidRPr="002C2775" w:rsidRDefault="00144D06" w:rsidP="00144D06">
      <w:pPr>
        <w:pStyle w:val="Heading2"/>
        <w:rPr>
          <w:i/>
        </w:rPr>
      </w:pPr>
      <w:bookmarkStart w:id="25" w:name="_Toc440295004"/>
      <w:bookmarkStart w:id="26" w:name="_Toc440981305"/>
      <w:r w:rsidRPr="002C2775">
        <w:rPr>
          <w:i/>
        </w:rPr>
        <w:t>Quality Use of Medicines</w:t>
      </w:r>
      <w:bookmarkEnd w:id="25"/>
      <w:bookmarkEnd w:id="26"/>
    </w:p>
    <w:p w:rsidR="00144D06" w:rsidRPr="00576972" w:rsidRDefault="00144D06" w:rsidP="00144D06">
      <w:pPr>
        <w:widowControl/>
        <w:rPr>
          <w:szCs w:val="22"/>
        </w:rPr>
      </w:pPr>
    </w:p>
    <w:p w:rsidR="00144D06" w:rsidRPr="006C03DC" w:rsidRDefault="00144D06" w:rsidP="00C61ED5">
      <w:pPr>
        <w:pStyle w:val="ListParagraph"/>
        <w:widowControl/>
        <w:numPr>
          <w:ilvl w:val="1"/>
          <w:numId w:val="2"/>
        </w:numPr>
        <w:rPr>
          <w:szCs w:val="22"/>
        </w:rPr>
      </w:pPr>
      <w:r>
        <w:t>Given the need (</w:t>
      </w:r>
      <w:r w:rsidRPr="009971BB">
        <w:t>at least in the short term</w:t>
      </w:r>
      <w:r>
        <w:t xml:space="preserve"> as noted in the submission) for </w:t>
      </w:r>
      <w:r w:rsidRPr="009971BB">
        <w:t>close attention to the early identification and appropriate treatment of immune-related adverse reactions</w:t>
      </w:r>
      <w:r>
        <w:t>, t</w:t>
      </w:r>
      <w:r w:rsidRPr="0086524D">
        <w:t xml:space="preserve">he submission provided a summary of the sponsor’s plans regarding the quality use of medicines. </w:t>
      </w:r>
      <w:r>
        <w:t xml:space="preserve">This included </w:t>
      </w:r>
      <w:r w:rsidRPr="006D45F1">
        <w:t xml:space="preserve">a support and educational framework for practitioners and patients </w:t>
      </w:r>
      <w:r>
        <w:t xml:space="preserve">and other </w:t>
      </w:r>
      <w:r w:rsidRPr="006C03DC">
        <w:t xml:space="preserve">initiatives </w:t>
      </w:r>
      <w:r w:rsidRPr="00287DBE">
        <w:rPr>
          <w:szCs w:val="22"/>
        </w:rPr>
        <w:t>supporting</w:t>
      </w:r>
      <w:r w:rsidRPr="006C03DC">
        <w:t xml:space="preserve"> nivolumab use</w:t>
      </w:r>
      <w:r w:rsidRPr="006D45F1">
        <w:t xml:space="preserve"> in Australian clinical practice</w:t>
      </w:r>
      <w:r>
        <w:t>.</w:t>
      </w:r>
    </w:p>
    <w:p w:rsidR="00E452CA" w:rsidRDefault="00E452CA" w:rsidP="00144D06">
      <w:pPr>
        <w:widowControl/>
        <w:rPr>
          <w:szCs w:val="22"/>
        </w:rPr>
      </w:pPr>
    </w:p>
    <w:p w:rsidR="00144D06" w:rsidRPr="002C2775" w:rsidRDefault="00144D06" w:rsidP="00144D06">
      <w:pPr>
        <w:pStyle w:val="Heading2"/>
        <w:rPr>
          <w:i/>
          <w:szCs w:val="22"/>
        </w:rPr>
      </w:pPr>
      <w:bookmarkStart w:id="27" w:name="_Toc440295005"/>
      <w:bookmarkStart w:id="28" w:name="_Toc440981306"/>
      <w:r w:rsidRPr="002C2775">
        <w:rPr>
          <w:i/>
        </w:rPr>
        <w:t xml:space="preserve">Financial Management – </w:t>
      </w:r>
      <w:r w:rsidR="009B2D6A">
        <w:rPr>
          <w:i/>
        </w:rPr>
        <w:t>Risk Share</w:t>
      </w:r>
      <w:r w:rsidRPr="002C2775">
        <w:rPr>
          <w:i/>
        </w:rPr>
        <w:t xml:space="preserve"> Arrangements</w:t>
      </w:r>
      <w:bookmarkEnd w:id="27"/>
      <w:bookmarkEnd w:id="28"/>
    </w:p>
    <w:p w:rsidR="00144D06" w:rsidRPr="00576972" w:rsidRDefault="00144D06" w:rsidP="00144D06">
      <w:pPr>
        <w:widowControl/>
        <w:rPr>
          <w:szCs w:val="22"/>
        </w:rPr>
      </w:pPr>
    </w:p>
    <w:p w:rsidR="00144D06" w:rsidRPr="00AE71BA" w:rsidRDefault="002E4F5F" w:rsidP="00C61ED5">
      <w:pPr>
        <w:pStyle w:val="ListParagraph"/>
        <w:widowControl/>
        <w:numPr>
          <w:ilvl w:val="1"/>
          <w:numId w:val="2"/>
        </w:numPr>
        <w:rPr>
          <w:szCs w:val="22"/>
        </w:rPr>
      </w:pPr>
      <w:r w:rsidRPr="00AE71BA">
        <w:t xml:space="preserve">The submission proposed </w:t>
      </w:r>
      <w:r w:rsidR="00133EF0" w:rsidRPr="00AE71BA">
        <w:t>a Special Pricing Arrangement</w:t>
      </w:r>
      <w:r w:rsidRPr="00AE71BA">
        <w:t xml:space="preserve"> (SPA) where the published price </w:t>
      </w:r>
      <w:r w:rsidR="00133EF0" w:rsidRPr="00AE71BA">
        <w:t>would be</w:t>
      </w:r>
      <w:r w:rsidRPr="00AE71BA">
        <w:t xml:space="preserve"> greater than the effective price. </w:t>
      </w:r>
      <w:r w:rsidR="009B2D6A" w:rsidRPr="00AE71BA">
        <w:t xml:space="preserve">The submission also stated that the sponsor would commit to negotiations to manage residual uncertainty with respect to expenditure. </w:t>
      </w:r>
    </w:p>
    <w:p w:rsidR="000028EC" w:rsidRPr="001E5EBD" w:rsidRDefault="000028EC" w:rsidP="000028EC">
      <w:pPr>
        <w:pStyle w:val="PBACHeading1"/>
        <w:numPr>
          <w:ilvl w:val="0"/>
          <w:numId w:val="0"/>
        </w:numPr>
        <w:rPr>
          <w:b w:val="0"/>
        </w:rPr>
      </w:pPr>
    </w:p>
    <w:p w:rsidR="00297861" w:rsidRDefault="00297861" w:rsidP="00EF49C1">
      <w:pPr>
        <w:pStyle w:val="ListParagraph"/>
        <w:ind w:left="709"/>
        <w:rPr>
          <w:i/>
          <w:szCs w:val="22"/>
        </w:rPr>
      </w:pPr>
      <w:r w:rsidRPr="007F4EB1">
        <w:rPr>
          <w:i/>
          <w:szCs w:val="22"/>
        </w:rPr>
        <w:t>For more detail on PBAC’s view, see section 7 “PBAC outcome”</w:t>
      </w:r>
      <w:r w:rsidR="001E5EBD">
        <w:rPr>
          <w:i/>
          <w:szCs w:val="22"/>
        </w:rPr>
        <w:t>.</w:t>
      </w:r>
    </w:p>
    <w:p w:rsidR="00CD77FB" w:rsidRPr="001E5EBD" w:rsidRDefault="00CD77FB" w:rsidP="00EF49C1">
      <w:pPr>
        <w:rPr>
          <w:bCs/>
          <w:szCs w:val="22"/>
        </w:rPr>
      </w:pPr>
    </w:p>
    <w:p w:rsidR="00E87D55" w:rsidRPr="001E5EBD" w:rsidRDefault="00E87D55" w:rsidP="00EF49C1">
      <w:pPr>
        <w:rPr>
          <w:bCs/>
          <w:szCs w:val="22"/>
        </w:rPr>
      </w:pPr>
    </w:p>
    <w:p w:rsidR="00CD77FB" w:rsidRPr="00547EE3" w:rsidRDefault="00CD77FB" w:rsidP="000172EE">
      <w:pPr>
        <w:pStyle w:val="Heading1"/>
        <w:rPr>
          <w:b w:val="0"/>
          <w:bCs/>
        </w:rPr>
      </w:pPr>
      <w:r w:rsidRPr="00547EE3">
        <w:rPr>
          <w:bCs/>
        </w:rPr>
        <w:t>PBAC Outcome</w:t>
      </w:r>
    </w:p>
    <w:p w:rsidR="00CD77FB" w:rsidRPr="001E5EBD" w:rsidRDefault="00CD77FB" w:rsidP="00EF49C1">
      <w:pPr>
        <w:contextualSpacing/>
        <w:rPr>
          <w:bCs/>
          <w:szCs w:val="22"/>
          <w:lang w:val="en-GB"/>
        </w:rPr>
      </w:pPr>
    </w:p>
    <w:p w:rsidR="00BE06FF" w:rsidRDefault="00547EE3" w:rsidP="00547EE3">
      <w:pPr>
        <w:numPr>
          <w:ilvl w:val="1"/>
          <w:numId w:val="2"/>
        </w:numPr>
        <w:contextualSpacing/>
        <w:rPr>
          <w:bCs/>
          <w:szCs w:val="22"/>
          <w:lang w:val="en-GB"/>
        </w:rPr>
      </w:pPr>
      <w:r w:rsidRPr="00A82CDA">
        <w:rPr>
          <w:bCs/>
          <w:szCs w:val="22"/>
          <w:lang w:val="en-GB"/>
        </w:rPr>
        <w:t xml:space="preserve">The PBAC decided not to recommend </w:t>
      </w:r>
      <w:r w:rsidR="006A4280">
        <w:rPr>
          <w:bCs/>
          <w:szCs w:val="22"/>
          <w:lang w:val="en-GB"/>
        </w:rPr>
        <w:t xml:space="preserve">that </w:t>
      </w:r>
      <w:r w:rsidRPr="00A82CDA">
        <w:rPr>
          <w:bCs/>
          <w:szCs w:val="22"/>
          <w:lang w:val="en-GB"/>
        </w:rPr>
        <w:t xml:space="preserve">nivolumab </w:t>
      </w:r>
      <w:r w:rsidR="006A4280">
        <w:rPr>
          <w:bCs/>
          <w:szCs w:val="22"/>
          <w:lang w:val="en-GB"/>
        </w:rPr>
        <w:t xml:space="preserve">be listed in the PBS </w:t>
      </w:r>
      <w:r w:rsidRPr="00A82CDA">
        <w:rPr>
          <w:bCs/>
          <w:szCs w:val="22"/>
          <w:lang w:val="en-GB"/>
        </w:rPr>
        <w:t xml:space="preserve">for the treatment of </w:t>
      </w:r>
      <w:r>
        <w:rPr>
          <w:bCs/>
          <w:szCs w:val="22"/>
          <w:lang w:val="en-GB"/>
        </w:rPr>
        <w:t>non-</w:t>
      </w:r>
      <w:r w:rsidRPr="00A82CDA">
        <w:rPr>
          <w:bCs/>
          <w:szCs w:val="22"/>
          <w:lang w:val="en-GB"/>
        </w:rPr>
        <w:t xml:space="preserve">squamous NSCLC on the PBS on the basis that </w:t>
      </w:r>
      <w:r w:rsidR="003E004E">
        <w:rPr>
          <w:bCs/>
          <w:szCs w:val="22"/>
          <w:lang w:val="en-GB"/>
        </w:rPr>
        <w:t xml:space="preserve">the cost-effectiveness </w:t>
      </w:r>
      <w:r w:rsidR="006C39D2">
        <w:rPr>
          <w:bCs/>
          <w:szCs w:val="22"/>
          <w:lang w:val="en-GB"/>
        </w:rPr>
        <w:t xml:space="preserve">against pemetrexed, which the PBAC considered to be a relevant main comparator, </w:t>
      </w:r>
      <w:r w:rsidR="003E004E">
        <w:rPr>
          <w:bCs/>
          <w:szCs w:val="22"/>
          <w:lang w:val="en-GB"/>
        </w:rPr>
        <w:t>could not be determined because a</w:t>
      </w:r>
      <w:r w:rsidR="00BC26AA">
        <w:rPr>
          <w:bCs/>
          <w:szCs w:val="22"/>
          <w:lang w:val="en-GB"/>
        </w:rPr>
        <w:t xml:space="preserve">n </w:t>
      </w:r>
      <w:r w:rsidR="003E004E">
        <w:rPr>
          <w:bCs/>
          <w:szCs w:val="22"/>
          <w:lang w:val="en-GB"/>
        </w:rPr>
        <w:t xml:space="preserve">economic comparison </w:t>
      </w:r>
      <w:r w:rsidR="006C39D2">
        <w:rPr>
          <w:bCs/>
          <w:szCs w:val="22"/>
          <w:lang w:val="en-GB"/>
        </w:rPr>
        <w:t>was not presented</w:t>
      </w:r>
      <w:r w:rsidR="007656D5">
        <w:rPr>
          <w:bCs/>
          <w:szCs w:val="22"/>
          <w:lang w:val="en-GB"/>
        </w:rPr>
        <w:t>;</w:t>
      </w:r>
      <w:r w:rsidR="006C39D2">
        <w:rPr>
          <w:bCs/>
          <w:szCs w:val="22"/>
          <w:lang w:val="en-GB"/>
        </w:rPr>
        <w:t xml:space="preserve"> and that </w:t>
      </w:r>
      <w:r w:rsidR="006A4280">
        <w:rPr>
          <w:bCs/>
          <w:szCs w:val="22"/>
          <w:lang w:val="en-GB"/>
        </w:rPr>
        <w:t xml:space="preserve">acceptable </w:t>
      </w:r>
      <w:r w:rsidRPr="00A82CDA">
        <w:rPr>
          <w:bCs/>
          <w:szCs w:val="22"/>
          <w:lang w:val="en-GB"/>
        </w:rPr>
        <w:t xml:space="preserve">cost-effectiveness </w:t>
      </w:r>
      <w:r w:rsidR="006C39D2">
        <w:rPr>
          <w:bCs/>
          <w:szCs w:val="22"/>
          <w:lang w:val="en-GB"/>
        </w:rPr>
        <w:t xml:space="preserve">against the submission’s nominated main comparator, docetaxel, </w:t>
      </w:r>
      <w:r w:rsidRPr="00A82CDA">
        <w:rPr>
          <w:bCs/>
          <w:szCs w:val="22"/>
          <w:lang w:val="en-GB"/>
        </w:rPr>
        <w:t xml:space="preserve">had not been </w:t>
      </w:r>
      <w:r w:rsidR="006C39D2">
        <w:rPr>
          <w:bCs/>
          <w:szCs w:val="22"/>
          <w:lang w:val="en-GB"/>
        </w:rPr>
        <w:t xml:space="preserve">adequately </w:t>
      </w:r>
      <w:r w:rsidRPr="00A82CDA">
        <w:rPr>
          <w:bCs/>
          <w:szCs w:val="22"/>
          <w:lang w:val="en-GB"/>
        </w:rPr>
        <w:t xml:space="preserve">demonstrated. The PBAC considered that the economic model </w:t>
      </w:r>
      <w:r w:rsidR="006C39D2">
        <w:rPr>
          <w:bCs/>
          <w:szCs w:val="22"/>
          <w:lang w:val="en-GB"/>
        </w:rPr>
        <w:t xml:space="preserve">presented in the submission </w:t>
      </w:r>
      <w:r w:rsidR="003D2512">
        <w:rPr>
          <w:bCs/>
          <w:szCs w:val="22"/>
          <w:lang w:val="en-GB"/>
        </w:rPr>
        <w:t>included</w:t>
      </w:r>
      <w:r w:rsidR="005C0D00">
        <w:rPr>
          <w:bCs/>
          <w:szCs w:val="22"/>
          <w:lang w:val="en-GB"/>
        </w:rPr>
        <w:t xml:space="preserve"> numerous assumptions that favoured nivolumab,</w:t>
      </w:r>
      <w:r w:rsidR="005C0D00" w:rsidRPr="00A82CDA">
        <w:rPr>
          <w:bCs/>
          <w:szCs w:val="22"/>
          <w:lang w:val="en-GB"/>
        </w:rPr>
        <w:t xml:space="preserve"> and </w:t>
      </w:r>
      <w:r w:rsidR="005C0D00">
        <w:rPr>
          <w:bCs/>
          <w:szCs w:val="22"/>
          <w:lang w:val="en-GB"/>
        </w:rPr>
        <w:t xml:space="preserve">that </w:t>
      </w:r>
      <w:r w:rsidR="005C0D00" w:rsidRPr="00A82CDA">
        <w:rPr>
          <w:bCs/>
          <w:szCs w:val="22"/>
          <w:lang w:val="en-GB"/>
        </w:rPr>
        <w:t xml:space="preserve">the resulting </w:t>
      </w:r>
      <w:r w:rsidR="00C91414">
        <w:rPr>
          <w:bCs/>
          <w:szCs w:val="22"/>
          <w:lang w:val="en-GB"/>
        </w:rPr>
        <w:t xml:space="preserve">incremental </w:t>
      </w:r>
      <w:r w:rsidR="005C0D00" w:rsidRPr="00A82CDA">
        <w:rPr>
          <w:bCs/>
          <w:szCs w:val="22"/>
          <w:lang w:val="en-GB"/>
        </w:rPr>
        <w:t>cost-effectiveness</w:t>
      </w:r>
      <w:r w:rsidR="00C91414">
        <w:rPr>
          <w:bCs/>
          <w:szCs w:val="22"/>
          <w:lang w:val="en-GB"/>
        </w:rPr>
        <w:t xml:space="preserve"> ratio</w:t>
      </w:r>
      <w:r w:rsidR="005C0D00" w:rsidRPr="00A82CDA">
        <w:rPr>
          <w:bCs/>
          <w:szCs w:val="22"/>
          <w:lang w:val="en-GB"/>
        </w:rPr>
        <w:t xml:space="preserve"> was high and </w:t>
      </w:r>
      <w:r w:rsidR="00296F87">
        <w:rPr>
          <w:bCs/>
          <w:szCs w:val="22"/>
          <w:lang w:val="en-GB"/>
        </w:rPr>
        <w:t>likely to be significantly underestimated</w:t>
      </w:r>
      <w:r w:rsidR="006A4280">
        <w:rPr>
          <w:bCs/>
          <w:szCs w:val="22"/>
          <w:lang w:val="en-GB"/>
        </w:rPr>
        <w:t>.</w:t>
      </w:r>
    </w:p>
    <w:p w:rsidR="00547EE3" w:rsidRPr="00A82CDA" w:rsidRDefault="00547EE3" w:rsidP="00547EE3">
      <w:pPr>
        <w:contextualSpacing/>
        <w:rPr>
          <w:bCs/>
          <w:szCs w:val="22"/>
          <w:lang w:val="en-GB"/>
        </w:rPr>
      </w:pPr>
    </w:p>
    <w:p w:rsidR="00BE06FF" w:rsidRPr="00547EE3" w:rsidRDefault="00547EE3" w:rsidP="00364517">
      <w:pPr>
        <w:numPr>
          <w:ilvl w:val="1"/>
          <w:numId w:val="2"/>
        </w:numPr>
        <w:contextualSpacing/>
        <w:jc w:val="left"/>
        <w:rPr>
          <w:bCs/>
          <w:szCs w:val="22"/>
          <w:lang w:val="en-GB"/>
        </w:rPr>
      </w:pPr>
      <w:r w:rsidRPr="00E9400F">
        <w:rPr>
          <w:bCs/>
          <w:szCs w:val="22"/>
          <w:lang w:val="en-GB"/>
        </w:rPr>
        <w:t>The PBAC recognised that there is a clinical need for</w:t>
      </w:r>
      <w:r>
        <w:rPr>
          <w:bCs/>
          <w:szCs w:val="22"/>
          <w:lang w:val="en-GB"/>
        </w:rPr>
        <w:t xml:space="preserve"> </w:t>
      </w:r>
      <w:r w:rsidR="006C39D2">
        <w:rPr>
          <w:bCs/>
          <w:szCs w:val="22"/>
          <w:lang w:val="en-GB"/>
        </w:rPr>
        <w:t xml:space="preserve">new </w:t>
      </w:r>
      <w:r>
        <w:rPr>
          <w:bCs/>
          <w:szCs w:val="22"/>
          <w:lang w:val="en-GB"/>
        </w:rPr>
        <w:t>treat</w:t>
      </w:r>
      <w:r w:rsidR="006C39D2">
        <w:rPr>
          <w:bCs/>
          <w:szCs w:val="22"/>
          <w:lang w:val="en-GB"/>
        </w:rPr>
        <w:t xml:space="preserve">ments </w:t>
      </w:r>
      <w:r>
        <w:rPr>
          <w:bCs/>
          <w:szCs w:val="22"/>
          <w:lang w:val="en-GB"/>
        </w:rPr>
        <w:t>for</w:t>
      </w:r>
      <w:r w:rsidRPr="00E9400F">
        <w:rPr>
          <w:bCs/>
          <w:szCs w:val="22"/>
          <w:lang w:val="en-GB"/>
        </w:rPr>
        <w:t xml:space="preserve"> patients with NSCLC</w:t>
      </w:r>
      <w:r w:rsidR="00BC26AA">
        <w:rPr>
          <w:bCs/>
          <w:szCs w:val="22"/>
          <w:lang w:val="en-GB"/>
        </w:rPr>
        <w:t>,</w:t>
      </w:r>
      <w:r w:rsidRPr="00E9400F">
        <w:rPr>
          <w:bCs/>
          <w:szCs w:val="22"/>
          <w:lang w:val="en-GB"/>
        </w:rPr>
        <w:t xml:space="preserve"> and that there </w:t>
      </w:r>
      <w:r w:rsidR="00BC26AA">
        <w:rPr>
          <w:bCs/>
          <w:szCs w:val="22"/>
          <w:lang w:val="en-GB"/>
        </w:rPr>
        <w:t xml:space="preserve">is </w:t>
      </w:r>
      <w:r w:rsidRPr="00E9400F">
        <w:rPr>
          <w:bCs/>
          <w:szCs w:val="22"/>
          <w:lang w:val="en-GB"/>
        </w:rPr>
        <w:t xml:space="preserve">a clinical place for nivolumab in this population. </w:t>
      </w:r>
      <w:r w:rsidR="006C39D2">
        <w:rPr>
          <w:bCs/>
          <w:szCs w:val="22"/>
          <w:lang w:val="en-GB"/>
        </w:rPr>
        <w:t>The PBAC noted that the submission requested a second-line PBS listing for nivolumab, following progression on or after platinum-based chemotherapy.</w:t>
      </w:r>
    </w:p>
    <w:p w:rsidR="00547EE3" w:rsidRPr="004D0BBF" w:rsidRDefault="00547EE3" w:rsidP="006A4280">
      <w:pPr>
        <w:contextualSpacing/>
        <w:rPr>
          <w:bCs/>
          <w:szCs w:val="22"/>
          <w:lang w:val="en-GB"/>
        </w:rPr>
      </w:pPr>
    </w:p>
    <w:p w:rsidR="005F71F6" w:rsidRPr="00EC2DCC" w:rsidRDefault="005F71F6" w:rsidP="005F71F6">
      <w:pPr>
        <w:numPr>
          <w:ilvl w:val="1"/>
          <w:numId w:val="2"/>
        </w:numPr>
        <w:contextualSpacing/>
        <w:rPr>
          <w:bCs/>
          <w:szCs w:val="22"/>
          <w:lang w:val="en-GB"/>
        </w:rPr>
      </w:pPr>
      <w:r w:rsidRPr="00EC2DCC">
        <w:rPr>
          <w:bCs/>
          <w:szCs w:val="22"/>
          <w:lang w:val="en-GB"/>
        </w:rPr>
        <w:t xml:space="preserve">The PBAC </w:t>
      </w:r>
      <w:r w:rsidR="006C39D2">
        <w:rPr>
          <w:bCs/>
          <w:szCs w:val="22"/>
          <w:lang w:val="en-GB"/>
        </w:rPr>
        <w:t>considered</w:t>
      </w:r>
      <w:r w:rsidRPr="00EC2DCC">
        <w:rPr>
          <w:bCs/>
          <w:szCs w:val="22"/>
          <w:lang w:val="en-GB"/>
        </w:rPr>
        <w:t xml:space="preserve"> the following with regard to the </w:t>
      </w:r>
      <w:r w:rsidR="00CD628E">
        <w:rPr>
          <w:bCs/>
          <w:szCs w:val="22"/>
          <w:lang w:val="en-GB"/>
        </w:rPr>
        <w:t>requested</w:t>
      </w:r>
      <w:r w:rsidR="00CD628E" w:rsidRPr="00EC2DCC">
        <w:rPr>
          <w:bCs/>
          <w:szCs w:val="22"/>
          <w:lang w:val="en-GB"/>
        </w:rPr>
        <w:t xml:space="preserve"> </w:t>
      </w:r>
      <w:r w:rsidRPr="00EC2DCC">
        <w:rPr>
          <w:bCs/>
          <w:szCs w:val="22"/>
          <w:lang w:val="en-GB"/>
        </w:rPr>
        <w:t>restriction:</w:t>
      </w:r>
    </w:p>
    <w:p w:rsidR="00CD628E" w:rsidRDefault="00CD628E" w:rsidP="00CD628E">
      <w:pPr>
        <w:pStyle w:val="ListParagraph"/>
        <w:numPr>
          <w:ilvl w:val="0"/>
          <w:numId w:val="19"/>
        </w:numPr>
        <w:rPr>
          <w:bCs/>
          <w:szCs w:val="22"/>
          <w:lang w:val="en-GB"/>
        </w:rPr>
      </w:pPr>
      <w:r>
        <w:rPr>
          <w:bCs/>
          <w:szCs w:val="22"/>
          <w:lang w:val="en-GB"/>
        </w:rPr>
        <w:t xml:space="preserve">that the continuing treatment restriction </w:t>
      </w:r>
      <w:r w:rsidR="006A4280">
        <w:rPr>
          <w:bCs/>
          <w:szCs w:val="22"/>
          <w:lang w:val="en-GB"/>
        </w:rPr>
        <w:t xml:space="preserve">would need to </w:t>
      </w:r>
      <w:r>
        <w:rPr>
          <w:bCs/>
          <w:szCs w:val="22"/>
          <w:lang w:val="en-GB"/>
        </w:rPr>
        <w:t xml:space="preserve">contain </w:t>
      </w:r>
      <w:r w:rsidR="00DB3991">
        <w:rPr>
          <w:bCs/>
          <w:szCs w:val="22"/>
          <w:lang w:val="en-GB"/>
        </w:rPr>
        <w:t xml:space="preserve">the criterion </w:t>
      </w:r>
      <w:r w:rsidR="00DB3991">
        <w:rPr>
          <w:bCs/>
          <w:szCs w:val="22"/>
          <w:lang w:val="en-GB"/>
        </w:rPr>
        <w:lastRenderedPageBreak/>
        <w:t>already used for PD-</w:t>
      </w:r>
      <w:r w:rsidR="006E3415">
        <w:rPr>
          <w:bCs/>
          <w:szCs w:val="22"/>
          <w:lang w:val="en-GB"/>
        </w:rPr>
        <w:t>1</w:t>
      </w:r>
      <w:r w:rsidR="00DB3991">
        <w:rPr>
          <w:bCs/>
          <w:szCs w:val="22"/>
          <w:lang w:val="en-GB"/>
        </w:rPr>
        <w:t xml:space="preserve"> inhibitors </w:t>
      </w:r>
      <w:r w:rsidRPr="00BA14E9">
        <w:rPr>
          <w:bCs/>
          <w:szCs w:val="22"/>
          <w:lang w:val="en-GB"/>
        </w:rPr>
        <w:t>requir</w:t>
      </w:r>
      <w:r>
        <w:rPr>
          <w:bCs/>
          <w:szCs w:val="22"/>
          <w:lang w:val="en-GB"/>
        </w:rPr>
        <w:t>ing stable or responding disease</w:t>
      </w:r>
      <w:r w:rsidR="00DB3991">
        <w:rPr>
          <w:bCs/>
          <w:szCs w:val="22"/>
          <w:lang w:val="en-GB"/>
        </w:rPr>
        <w:t xml:space="preserve"> whilst acknowledging early “pseudo-progression”</w:t>
      </w:r>
      <w:r>
        <w:rPr>
          <w:bCs/>
          <w:szCs w:val="22"/>
          <w:lang w:val="en-GB"/>
        </w:rPr>
        <w:t>;</w:t>
      </w:r>
    </w:p>
    <w:p w:rsidR="00CD628E" w:rsidRDefault="00CD628E" w:rsidP="00CD628E">
      <w:pPr>
        <w:pStyle w:val="ListParagraph"/>
        <w:numPr>
          <w:ilvl w:val="0"/>
          <w:numId w:val="19"/>
        </w:numPr>
        <w:rPr>
          <w:bCs/>
          <w:szCs w:val="22"/>
          <w:lang w:val="en-GB"/>
        </w:rPr>
      </w:pPr>
      <w:r>
        <w:rPr>
          <w:bCs/>
          <w:szCs w:val="22"/>
          <w:lang w:val="en-GB"/>
        </w:rPr>
        <w:t>t</w:t>
      </w:r>
      <w:r w:rsidRPr="00BA14E9">
        <w:rPr>
          <w:bCs/>
          <w:szCs w:val="22"/>
          <w:lang w:val="en-GB"/>
        </w:rPr>
        <w:t xml:space="preserve">hat </w:t>
      </w:r>
      <w:r>
        <w:rPr>
          <w:bCs/>
          <w:szCs w:val="22"/>
          <w:lang w:val="en-GB"/>
        </w:rPr>
        <w:t xml:space="preserve">the patient’s </w:t>
      </w:r>
      <w:r w:rsidRPr="00BA14E9">
        <w:rPr>
          <w:bCs/>
          <w:szCs w:val="22"/>
          <w:lang w:val="en-GB"/>
        </w:rPr>
        <w:t xml:space="preserve">performance status </w:t>
      </w:r>
      <w:r w:rsidR="006A4280">
        <w:rPr>
          <w:bCs/>
          <w:szCs w:val="22"/>
          <w:lang w:val="en-GB"/>
        </w:rPr>
        <w:t xml:space="preserve">would need to be </w:t>
      </w:r>
      <w:r w:rsidRPr="00BA14E9">
        <w:rPr>
          <w:bCs/>
          <w:szCs w:val="22"/>
          <w:lang w:val="en-GB"/>
        </w:rPr>
        <w:t>0 or 1</w:t>
      </w:r>
      <w:r>
        <w:rPr>
          <w:bCs/>
          <w:szCs w:val="22"/>
          <w:lang w:val="en-GB"/>
        </w:rPr>
        <w:t>, consistent with</w:t>
      </w:r>
      <w:r w:rsidRPr="00BA14E9">
        <w:rPr>
          <w:bCs/>
          <w:szCs w:val="22"/>
          <w:lang w:val="en-GB"/>
        </w:rPr>
        <w:t xml:space="preserve"> the </w:t>
      </w:r>
      <w:r w:rsidR="006A4280">
        <w:rPr>
          <w:bCs/>
          <w:szCs w:val="22"/>
          <w:lang w:val="en-GB"/>
        </w:rPr>
        <w:t xml:space="preserve">eligibility criteria of the key </w:t>
      </w:r>
      <w:r w:rsidRPr="00BA14E9">
        <w:rPr>
          <w:bCs/>
          <w:szCs w:val="22"/>
          <w:lang w:val="en-GB"/>
        </w:rPr>
        <w:t>clinical trial</w:t>
      </w:r>
      <w:r>
        <w:rPr>
          <w:bCs/>
          <w:szCs w:val="22"/>
          <w:lang w:val="en-GB"/>
        </w:rPr>
        <w:t>;</w:t>
      </w:r>
    </w:p>
    <w:p w:rsidR="005F71F6" w:rsidRPr="00EC2DCC" w:rsidRDefault="007E7C82" w:rsidP="005F71F6">
      <w:pPr>
        <w:pStyle w:val="ListParagraph"/>
        <w:numPr>
          <w:ilvl w:val="0"/>
          <w:numId w:val="19"/>
        </w:numPr>
        <w:rPr>
          <w:bCs/>
          <w:szCs w:val="22"/>
          <w:lang w:val="en-GB"/>
        </w:rPr>
      </w:pPr>
      <w:r>
        <w:rPr>
          <w:bCs/>
          <w:szCs w:val="22"/>
          <w:lang w:val="en-GB"/>
        </w:rPr>
        <w:t xml:space="preserve">should evidence be forthcoming on the use of biomarkers (such as PD-L1 expression) on treatment selection then </w:t>
      </w:r>
      <w:r w:rsidR="00823BAF">
        <w:rPr>
          <w:bCs/>
          <w:szCs w:val="22"/>
          <w:lang w:val="en-GB"/>
        </w:rPr>
        <w:t xml:space="preserve">further consideration should be given to </w:t>
      </w:r>
      <w:r w:rsidR="005F71F6" w:rsidRPr="00EC2DCC">
        <w:rPr>
          <w:bCs/>
          <w:szCs w:val="22"/>
          <w:lang w:val="en-GB"/>
        </w:rPr>
        <w:t xml:space="preserve">the ESC’s view </w:t>
      </w:r>
      <w:r>
        <w:rPr>
          <w:bCs/>
          <w:szCs w:val="22"/>
          <w:lang w:val="en-GB"/>
        </w:rPr>
        <w:t>regarding the possibility of</w:t>
      </w:r>
      <w:r w:rsidR="005F71F6" w:rsidRPr="00EC2DCC">
        <w:rPr>
          <w:bCs/>
          <w:szCs w:val="22"/>
          <w:lang w:val="en-GB"/>
        </w:rPr>
        <w:t xml:space="preserve"> restrict</w:t>
      </w:r>
      <w:r>
        <w:rPr>
          <w:bCs/>
          <w:szCs w:val="22"/>
          <w:lang w:val="en-GB"/>
        </w:rPr>
        <w:t>ing</w:t>
      </w:r>
      <w:r w:rsidR="005F71F6" w:rsidRPr="00EC2DCC">
        <w:rPr>
          <w:bCs/>
          <w:szCs w:val="22"/>
          <w:lang w:val="en-GB"/>
        </w:rPr>
        <w:t xml:space="preserve"> </w:t>
      </w:r>
      <w:r w:rsidR="00823BAF">
        <w:rPr>
          <w:bCs/>
          <w:szCs w:val="22"/>
          <w:lang w:val="en-GB"/>
        </w:rPr>
        <w:t>nivolumab</w:t>
      </w:r>
      <w:r w:rsidR="005F71F6" w:rsidRPr="00EC2DCC">
        <w:rPr>
          <w:bCs/>
          <w:szCs w:val="22"/>
          <w:lang w:val="en-GB"/>
        </w:rPr>
        <w:t xml:space="preserve"> to patients who</w:t>
      </w:r>
      <w:r w:rsidR="00B7337B">
        <w:rPr>
          <w:bCs/>
          <w:szCs w:val="22"/>
          <w:lang w:val="en-GB"/>
        </w:rPr>
        <w:t xml:space="preserve"> are PD-L1 positive.</w:t>
      </w:r>
    </w:p>
    <w:p w:rsidR="005F71F6" w:rsidRPr="005F71F6" w:rsidRDefault="005F71F6" w:rsidP="006A4280">
      <w:pPr>
        <w:rPr>
          <w:bCs/>
          <w:szCs w:val="22"/>
          <w:highlight w:val="yellow"/>
          <w:lang w:val="en-GB"/>
        </w:rPr>
      </w:pPr>
    </w:p>
    <w:p w:rsidR="00BE06FF" w:rsidRPr="005177D0" w:rsidRDefault="00EB4A3D" w:rsidP="00C61ED5">
      <w:pPr>
        <w:numPr>
          <w:ilvl w:val="1"/>
          <w:numId w:val="2"/>
        </w:numPr>
        <w:contextualSpacing/>
        <w:rPr>
          <w:bCs/>
          <w:szCs w:val="22"/>
          <w:lang w:val="en-GB"/>
        </w:rPr>
      </w:pPr>
      <w:r w:rsidRPr="005177D0">
        <w:rPr>
          <w:bCs/>
          <w:szCs w:val="22"/>
          <w:lang w:val="en-GB"/>
        </w:rPr>
        <w:t xml:space="preserve">The submission nominated docetaxel as the main comparator. The PBAC considered that for non-squamous NSCLC, pemetrexed </w:t>
      </w:r>
      <w:r w:rsidR="00E972A5">
        <w:rPr>
          <w:bCs/>
          <w:szCs w:val="22"/>
          <w:lang w:val="en-GB"/>
        </w:rPr>
        <w:t xml:space="preserve">was </w:t>
      </w:r>
      <w:r w:rsidR="006B6F62">
        <w:rPr>
          <w:bCs/>
          <w:szCs w:val="22"/>
          <w:lang w:val="en-GB"/>
        </w:rPr>
        <w:t>the main</w:t>
      </w:r>
      <w:r w:rsidR="004D2B7A">
        <w:rPr>
          <w:bCs/>
          <w:szCs w:val="22"/>
          <w:lang w:val="en-GB"/>
        </w:rPr>
        <w:t xml:space="preserve"> </w:t>
      </w:r>
      <w:r w:rsidR="00E972A5">
        <w:rPr>
          <w:bCs/>
          <w:szCs w:val="22"/>
          <w:lang w:val="en-GB"/>
        </w:rPr>
        <w:t>comparator</w:t>
      </w:r>
      <w:r w:rsidR="007E78DF">
        <w:rPr>
          <w:bCs/>
          <w:szCs w:val="22"/>
          <w:lang w:val="en-GB"/>
        </w:rPr>
        <w:t xml:space="preserve">. </w:t>
      </w:r>
      <w:r w:rsidR="00F571A4" w:rsidRPr="005177D0">
        <w:rPr>
          <w:bCs/>
          <w:szCs w:val="22"/>
          <w:lang w:val="en-GB"/>
        </w:rPr>
        <w:t>Although</w:t>
      </w:r>
      <w:r w:rsidR="00547EE3" w:rsidRPr="005177D0">
        <w:rPr>
          <w:bCs/>
          <w:szCs w:val="22"/>
          <w:lang w:val="en-GB"/>
        </w:rPr>
        <w:t xml:space="preserve"> </w:t>
      </w:r>
      <w:r w:rsidR="007E78DF">
        <w:rPr>
          <w:bCs/>
          <w:szCs w:val="22"/>
          <w:lang w:val="en-GB"/>
        </w:rPr>
        <w:t>pemetrexed</w:t>
      </w:r>
      <w:r w:rsidR="00547EE3" w:rsidRPr="005177D0">
        <w:rPr>
          <w:bCs/>
          <w:szCs w:val="22"/>
          <w:lang w:val="en-GB"/>
        </w:rPr>
        <w:t xml:space="preserve"> was </w:t>
      </w:r>
      <w:r w:rsidR="007E78DF">
        <w:rPr>
          <w:bCs/>
          <w:szCs w:val="22"/>
          <w:lang w:val="en-GB"/>
        </w:rPr>
        <w:t>identified</w:t>
      </w:r>
      <w:r w:rsidR="00547EE3" w:rsidRPr="005177D0">
        <w:rPr>
          <w:bCs/>
          <w:szCs w:val="22"/>
          <w:lang w:val="en-GB"/>
        </w:rPr>
        <w:t xml:space="preserve"> as a minor c</w:t>
      </w:r>
      <w:r w:rsidR="00F571A4" w:rsidRPr="005177D0">
        <w:rPr>
          <w:bCs/>
          <w:szCs w:val="22"/>
          <w:lang w:val="en-GB"/>
        </w:rPr>
        <w:t>omparator in the submission, an economic analysis agains</w:t>
      </w:r>
      <w:r w:rsidR="00547EE3" w:rsidRPr="005177D0">
        <w:rPr>
          <w:bCs/>
          <w:szCs w:val="22"/>
          <w:lang w:val="en-GB"/>
        </w:rPr>
        <w:t>t pemetrexed was not presented.</w:t>
      </w:r>
    </w:p>
    <w:p w:rsidR="00BE06FF" w:rsidRPr="005177D0" w:rsidRDefault="00BE06FF" w:rsidP="006A4280">
      <w:pPr>
        <w:contextualSpacing/>
        <w:rPr>
          <w:bCs/>
          <w:szCs w:val="22"/>
          <w:lang w:val="en-GB"/>
        </w:rPr>
      </w:pPr>
    </w:p>
    <w:p w:rsidR="0071401D" w:rsidRDefault="00AC2CD8" w:rsidP="0071401D">
      <w:pPr>
        <w:numPr>
          <w:ilvl w:val="1"/>
          <w:numId w:val="2"/>
        </w:numPr>
        <w:contextualSpacing/>
        <w:rPr>
          <w:bCs/>
          <w:szCs w:val="22"/>
          <w:lang w:val="en-GB"/>
        </w:rPr>
      </w:pPr>
      <w:r w:rsidRPr="00DC1AB9">
        <w:rPr>
          <w:bCs/>
          <w:szCs w:val="22"/>
          <w:lang w:val="en-GB"/>
        </w:rPr>
        <w:t xml:space="preserve">The PBAC noted that the </w:t>
      </w:r>
      <w:r w:rsidR="006A4280">
        <w:rPr>
          <w:bCs/>
          <w:szCs w:val="22"/>
          <w:lang w:val="en-GB"/>
        </w:rPr>
        <w:t>key</w:t>
      </w:r>
      <w:r>
        <w:rPr>
          <w:bCs/>
          <w:szCs w:val="22"/>
          <w:lang w:val="en-GB"/>
        </w:rPr>
        <w:t xml:space="preserve"> clinical trial, CA209-05</w:t>
      </w:r>
      <w:r w:rsidRPr="00DC1AB9">
        <w:rPr>
          <w:bCs/>
          <w:szCs w:val="22"/>
          <w:lang w:val="en-GB"/>
        </w:rPr>
        <w:t>7, direct</w:t>
      </w:r>
      <w:r w:rsidR="006A4280">
        <w:rPr>
          <w:bCs/>
          <w:szCs w:val="22"/>
          <w:lang w:val="en-GB"/>
        </w:rPr>
        <w:t>ly compared</w:t>
      </w:r>
      <w:r w:rsidRPr="00DC1AB9">
        <w:rPr>
          <w:bCs/>
          <w:szCs w:val="22"/>
          <w:lang w:val="en-GB"/>
        </w:rPr>
        <w:t xml:space="preserve"> nivolumab and docetaxel</w:t>
      </w:r>
      <w:r w:rsidR="0071401D">
        <w:rPr>
          <w:bCs/>
          <w:szCs w:val="22"/>
          <w:lang w:val="en-GB"/>
        </w:rPr>
        <w:t>,</w:t>
      </w:r>
      <w:r w:rsidRPr="00DC1AB9">
        <w:rPr>
          <w:bCs/>
          <w:szCs w:val="22"/>
          <w:lang w:val="en-GB"/>
        </w:rPr>
        <w:t xml:space="preserve"> and </w:t>
      </w:r>
      <w:r w:rsidR="006A4280">
        <w:rPr>
          <w:bCs/>
          <w:szCs w:val="22"/>
          <w:lang w:val="en-GB"/>
        </w:rPr>
        <w:t xml:space="preserve">the </w:t>
      </w:r>
      <w:r w:rsidRPr="00DC1AB9">
        <w:rPr>
          <w:bCs/>
          <w:szCs w:val="22"/>
          <w:lang w:val="en-GB"/>
        </w:rPr>
        <w:t xml:space="preserve">risk of bias was low for the outcome of overall survival. </w:t>
      </w:r>
      <w:r w:rsidR="0071401D">
        <w:rPr>
          <w:bCs/>
          <w:szCs w:val="22"/>
          <w:lang w:val="en-GB"/>
        </w:rPr>
        <w:t>T</w:t>
      </w:r>
      <w:r w:rsidR="0071401D" w:rsidRPr="00DC1AB9">
        <w:rPr>
          <w:bCs/>
          <w:szCs w:val="22"/>
          <w:lang w:val="en-GB"/>
        </w:rPr>
        <w:t xml:space="preserve">he PBAC </w:t>
      </w:r>
      <w:r w:rsidR="0071401D">
        <w:rPr>
          <w:bCs/>
          <w:szCs w:val="22"/>
          <w:lang w:val="en-GB"/>
        </w:rPr>
        <w:t>noted</w:t>
      </w:r>
      <w:r w:rsidR="0071401D" w:rsidRPr="00DC1AB9">
        <w:rPr>
          <w:bCs/>
          <w:szCs w:val="22"/>
          <w:lang w:val="en-GB"/>
        </w:rPr>
        <w:t xml:space="preserve"> that the </w:t>
      </w:r>
      <w:r w:rsidR="0071401D">
        <w:rPr>
          <w:bCs/>
          <w:szCs w:val="22"/>
          <w:lang w:val="en-GB"/>
        </w:rPr>
        <w:t>mean age in trial</w:t>
      </w:r>
      <w:r w:rsidR="0071401D" w:rsidRPr="00DC1AB9">
        <w:rPr>
          <w:bCs/>
          <w:szCs w:val="22"/>
          <w:lang w:val="en-GB"/>
        </w:rPr>
        <w:t xml:space="preserve"> CA209-0</w:t>
      </w:r>
      <w:r w:rsidR="0071401D">
        <w:rPr>
          <w:bCs/>
          <w:szCs w:val="22"/>
          <w:lang w:val="en-GB"/>
        </w:rPr>
        <w:t>5</w:t>
      </w:r>
      <w:r w:rsidR="0071401D" w:rsidRPr="00DC1AB9">
        <w:rPr>
          <w:bCs/>
          <w:szCs w:val="22"/>
          <w:lang w:val="en-GB"/>
        </w:rPr>
        <w:t xml:space="preserve">7 </w:t>
      </w:r>
      <w:r w:rsidR="0071401D">
        <w:rPr>
          <w:bCs/>
          <w:szCs w:val="22"/>
          <w:lang w:val="en-GB"/>
        </w:rPr>
        <w:t xml:space="preserve">was 61 years, which may not be representative of </w:t>
      </w:r>
      <w:r w:rsidR="0071401D" w:rsidRPr="00DC1AB9">
        <w:rPr>
          <w:bCs/>
          <w:szCs w:val="22"/>
          <w:lang w:val="en-GB"/>
        </w:rPr>
        <w:t>the Australian population</w:t>
      </w:r>
      <w:r w:rsidR="006A4280">
        <w:rPr>
          <w:bCs/>
          <w:szCs w:val="22"/>
          <w:lang w:val="en-GB"/>
        </w:rPr>
        <w:t xml:space="preserve"> with l</w:t>
      </w:r>
      <w:r w:rsidR="0071401D" w:rsidRPr="00DC1AB9">
        <w:rPr>
          <w:bCs/>
          <w:szCs w:val="22"/>
          <w:lang w:val="en-GB"/>
        </w:rPr>
        <w:t>ung cancer</w:t>
      </w:r>
      <w:r w:rsidR="006A4280">
        <w:rPr>
          <w:bCs/>
          <w:szCs w:val="22"/>
          <w:lang w:val="en-GB"/>
        </w:rPr>
        <w:t xml:space="preserve">, which has a </w:t>
      </w:r>
      <w:r w:rsidR="006A4280" w:rsidRPr="00DC1AB9">
        <w:rPr>
          <w:bCs/>
          <w:szCs w:val="22"/>
          <w:lang w:val="en-GB"/>
        </w:rPr>
        <w:t xml:space="preserve">mean age </w:t>
      </w:r>
      <w:r w:rsidR="006A4280">
        <w:rPr>
          <w:bCs/>
          <w:szCs w:val="22"/>
          <w:lang w:val="en-GB"/>
        </w:rPr>
        <w:t>at</w:t>
      </w:r>
      <w:r w:rsidR="0071401D" w:rsidRPr="00DC1AB9">
        <w:rPr>
          <w:bCs/>
          <w:szCs w:val="22"/>
          <w:lang w:val="en-GB"/>
        </w:rPr>
        <w:t xml:space="preserve"> diagnosis </w:t>
      </w:r>
      <w:r w:rsidR="006A4280">
        <w:rPr>
          <w:bCs/>
          <w:szCs w:val="22"/>
          <w:lang w:val="en-GB"/>
        </w:rPr>
        <w:t>of</w:t>
      </w:r>
      <w:r w:rsidR="0071401D">
        <w:rPr>
          <w:bCs/>
          <w:szCs w:val="22"/>
          <w:lang w:val="en-GB"/>
        </w:rPr>
        <w:t xml:space="preserve"> </w:t>
      </w:r>
      <w:r w:rsidR="006A4280">
        <w:rPr>
          <w:bCs/>
          <w:szCs w:val="22"/>
          <w:lang w:val="en-GB"/>
        </w:rPr>
        <w:t xml:space="preserve">more than </w:t>
      </w:r>
      <w:r w:rsidR="0071401D" w:rsidRPr="00DC1AB9">
        <w:rPr>
          <w:bCs/>
          <w:szCs w:val="22"/>
          <w:lang w:val="en-GB"/>
        </w:rPr>
        <w:t xml:space="preserve">70 years. </w:t>
      </w:r>
      <w:r w:rsidR="0071401D">
        <w:rPr>
          <w:bCs/>
          <w:szCs w:val="22"/>
          <w:lang w:val="en-GB"/>
        </w:rPr>
        <w:t>The PBAC considered that this difference between the trial and proposed PBS population would have implications for the estimation of comparative benefits and utilisation.</w:t>
      </w:r>
    </w:p>
    <w:p w:rsidR="001339F4" w:rsidRPr="006A4280" w:rsidRDefault="001339F4" w:rsidP="001339F4">
      <w:pPr>
        <w:rPr>
          <w:bCs/>
          <w:szCs w:val="22"/>
          <w:lang w:val="en-GB"/>
        </w:rPr>
      </w:pPr>
    </w:p>
    <w:p w:rsidR="001339F4" w:rsidRDefault="001339F4" w:rsidP="0071401D">
      <w:pPr>
        <w:numPr>
          <w:ilvl w:val="1"/>
          <w:numId w:val="2"/>
        </w:numPr>
        <w:contextualSpacing/>
        <w:rPr>
          <w:bCs/>
          <w:szCs w:val="22"/>
          <w:lang w:val="en-GB"/>
        </w:rPr>
      </w:pPr>
      <w:r>
        <w:rPr>
          <w:bCs/>
          <w:szCs w:val="22"/>
          <w:lang w:val="en-GB"/>
        </w:rPr>
        <w:t xml:space="preserve">The PBAC noted that the proportional hazards assumption was not met, and that the </w:t>
      </w:r>
      <w:r w:rsidR="00527DA1">
        <w:rPr>
          <w:bCs/>
          <w:szCs w:val="22"/>
          <w:lang w:val="en-GB"/>
        </w:rPr>
        <w:t xml:space="preserve">nivolumab and docetaxel </w:t>
      </w:r>
      <w:r>
        <w:rPr>
          <w:bCs/>
          <w:szCs w:val="22"/>
          <w:lang w:val="en-GB"/>
        </w:rPr>
        <w:t>survival curves crossed with a</w:t>
      </w:r>
      <w:r w:rsidR="009960CB">
        <w:rPr>
          <w:bCs/>
          <w:szCs w:val="22"/>
          <w:lang w:val="en-GB"/>
        </w:rPr>
        <w:t>n initial increase and a</w:t>
      </w:r>
      <w:r>
        <w:rPr>
          <w:bCs/>
          <w:szCs w:val="22"/>
          <w:lang w:val="en-GB"/>
        </w:rPr>
        <w:t xml:space="preserve"> subsequent decrease in hazard of death associated with nivolumab compared with docetaxel. Therefore the estimated </w:t>
      </w:r>
      <w:r w:rsidR="009960CB">
        <w:rPr>
          <w:bCs/>
          <w:szCs w:val="22"/>
          <w:lang w:val="en-GB"/>
        </w:rPr>
        <w:t>hazard ratio, as a measure of the relative treatment effect or reduction in risk, could not be relied upon given the measure’s dependency on follow-up time.</w:t>
      </w:r>
      <w:r w:rsidR="008C6DA9">
        <w:rPr>
          <w:bCs/>
          <w:szCs w:val="22"/>
          <w:lang w:val="en-GB"/>
        </w:rPr>
        <w:t xml:space="preserve"> The PBAC therefore primarily relied on the statistically significant log rank test (which is not affected by these survival curves crossing) to accept the claim of superior comparative effectiveness.</w:t>
      </w:r>
    </w:p>
    <w:p w:rsidR="00B7337B" w:rsidRPr="006A4280" w:rsidRDefault="00B7337B" w:rsidP="00B7337B">
      <w:pPr>
        <w:rPr>
          <w:bCs/>
          <w:szCs w:val="22"/>
          <w:lang w:val="en-GB"/>
        </w:rPr>
      </w:pPr>
    </w:p>
    <w:p w:rsidR="005B139D" w:rsidRDefault="00B7337B" w:rsidP="0071401D">
      <w:pPr>
        <w:numPr>
          <w:ilvl w:val="1"/>
          <w:numId w:val="2"/>
        </w:numPr>
        <w:contextualSpacing/>
        <w:rPr>
          <w:bCs/>
          <w:szCs w:val="22"/>
          <w:lang w:val="en-GB"/>
        </w:rPr>
      </w:pPr>
      <w:r>
        <w:rPr>
          <w:bCs/>
          <w:szCs w:val="22"/>
          <w:lang w:val="en-GB"/>
        </w:rPr>
        <w:t xml:space="preserve">The PBAC </w:t>
      </w:r>
      <w:r w:rsidR="00F75DE6">
        <w:rPr>
          <w:bCs/>
          <w:szCs w:val="22"/>
          <w:lang w:val="en-GB"/>
        </w:rPr>
        <w:t xml:space="preserve">considered the evidence for </w:t>
      </w:r>
      <w:r w:rsidR="00285C4F">
        <w:rPr>
          <w:bCs/>
          <w:szCs w:val="22"/>
          <w:lang w:val="en-GB"/>
        </w:rPr>
        <w:t xml:space="preserve">treatment effect variation by </w:t>
      </w:r>
      <w:r>
        <w:rPr>
          <w:bCs/>
          <w:szCs w:val="22"/>
          <w:lang w:val="en-GB"/>
        </w:rPr>
        <w:t>PD-L1 status</w:t>
      </w:r>
      <w:r w:rsidR="00454C27">
        <w:rPr>
          <w:bCs/>
          <w:szCs w:val="22"/>
          <w:lang w:val="en-GB"/>
        </w:rPr>
        <w:t xml:space="preserve"> </w:t>
      </w:r>
      <w:r w:rsidR="00285C4F">
        <w:rPr>
          <w:bCs/>
          <w:szCs w:val="22"/>
          <w:lang w:val="en-GB"/>
        </w:rPr>
        <w:t>i</w:t>
      </w:r>
      <w:r w:rsidR="00454C27">
        <w:rPr>
          <w:bCs/>
          <w:szCs w:val="22"/>
          <w:lang w:val="en-GB"/>
        </w:rPr>
        <w:t>n trial CA209-057, noting that nivolumab was associated with median OS more than twice than that observed for docetaxel</w:t>
      </w:r>
      <w:r w:rsidR="002C3D06" w:rsidRPr="002C3D06">
        <w:rPr>
          <w:bCs/>
          <w:szCs w:val="22"/>
          <w:lang w:val="en-GB"/>
        </w:rPr>
        <w:t xml:space="preserve"> </w:t>
      </w:r>
      <w:r w:rsidR="002C3D06">
        <w:rPr>
          <w:bCs/>
          <w:szCs w:val="22"/>
          <w:lang w:val="en-GB"/>
        </w:rPr>
        <w:t>in PD-L1 positive patients</w:t>
      </w:r>
      <w:r w:rsidR="00454C27">
        <w:rPr>
          <w:bCs/>
          <w:szCs w:val="22"/>
          <w:lang w:val="en-GB"/>
        </w:rPr>
        <w:t>, however median OS</w:t>
      </w:r>
      <w:r w:rsidR="00182134">
        <w:rPr>
          <w:bCs/>
          <w:szCs w:val="22"/>
          <w:lang w:val="en-GB"/>
        </w:rPr>
        <w:t>s</w:t>
      </w:r>
      <w:r w:rsidR="00454C27">
        <w:rPr>
          <w:bCs/>
          <w:szCs w:val="22"/>
          <w:lang w:val="en-GB"/>
        </w:rPr>
        <w:t xml:space="preserve"> were similar for nivolumab and docetaxel in PD-L1 negative patients. </w:t>
      </w:r>
      <w:r w:rsidR="005976D8">
        <w:rPr>
          <w:bCs/>
          <w:szCs w:val="22"/>
          <w:lang w:val="en-GB"/>
        </w:rPr>
        <w:t>The PBAC con</w:t>
      </w:r>
      <w:r w:rsidR="00F75DE6">
        <w:rPr>
          <w:bCs/>
          <w:szCs w:val="22"/>
          <w:lang w:val="en-GB"/>
        </w:rPr>
        <w:t>clud</w:t>
      </w:r>
      <w:r w:rsidR="005976D8">
        <w:rPr>
          <w:bCs/>
          <w:szCs w:val="22"/>
          <w:lang w:val="en-GB"/>
        </w:rPr>
        <w:t xml:space="preserve">ed that </w:t>
      </w:r>
      <w:r w:rsidR="00786914">
        <w:rPr>
          <w:bCs/>
          <w:szCs w:val="22"/>
          <w:lang w:val="en-GB"/>
        </w:rPr>
        <w:t xml:space="preserve">this </w:t>
      </w:r>
      <w:r w:rsidR="00291DA8">
        <w:rPr>
          <w:bCs/>
          <w:szCs w:val="22"/>
          <w:lang w:val="en-GB"/>
        </w:rPr>
        <w:t xml:space="preserve">qualitative </w:t>
      </w:r>
      <w:r w:rsidR="00786914">
        <w:rPr>
          <w:bCs/>
          <w:szCs w:val="22"/>
          <w:lang w:val="en-GB"/>
        </w:rPr>
        <w:t xml:space="preserve">difference in clinical benefit </w:t>
      </w:r>
      <w:r w:rsidR="005B139D">
        <w:rPr>
          <w:bCs/>
          <w:szCs w:val="22"/>
          <w:lang w:val="en-GB"/>
        </w:rPr>
        <w:t>constituted a signal suggesting important treatment effect variation</w:t>
      </w:r>
      <w:r w:rsidR="00F75DE6">
        <w:rPr>
          <w:bCs/>
          <w:szCs w:val="22"/>
          <w:lang w:val="en-GB"/>
        </w:rPr>
        <w:t xml:space="preserve"> according to PD-L1 testing as conducted in this trial</w:t>
      </w:r>
      <w:r w:rsidR="005B139D">
        <w:rPr>
          <w:bCs/>
          <w:szCs w:val="22"/>
          <w:lang w:val="en-GB"/>
        </w:rPr>
        <w:t>.</w:t>
      </w:r>
    </w:p>
    <w:p w:rsidR="005B139D" w:rsidRPr="005B139D" w:rsidRDefault="005B139D" w:rsidP="005B139D">
      <w:pPr>
        <w:rPr>
          <w:bCs/>
          <w:szCs w:val="22"/>
          <w:lang w:val="en-GB"/>
        </w:rPr>
      </w:pPr>
    </w:p>
    <w:p w:rsidR="00B7337B" w:rsidRPr="00DC1AB9" w:rsidRDefault="005B139D" w:rsidP="00DC5237">
      <w:pPr>
        <w:numPr>
          <w:ilvl w:val="1"/>
          <w:numId w:val="2"/>
        </w:numPr>
        <w:contextualSpacing/>
        <w:rPr>
          <w:bCs/>
          <w:szCs w:val="22"/>
          <w:lang w:val="en-GB"/>
        </w:rPr>
      </w:pPr>
      <w:r>
        <w:rPr>
          <w:bCs/>
          <w:szCs w:val="22"/>
          <w:lang w:val="en-GB"/>
        </w:rPr>
        <w:t>However</w:t>
      </w:r>
      <w:r w:rsidR="00F75DE6">
        <w:rPr>
          <w:bCs/>
          <w:szCs w:val="22"/>
          <w:lang w:val="en-GB"/>
        </w:rPr>
        <w:t>,</w:t>
      </w:r>
      <w:r>
        <w:rPr>
          <w:bCs/>
          <w:szCs w:val="22"/>
          <w:lang w:val="en-GB"/>
        </w:rPr>
        <w:t xml:space="preserve"> the PBAC </w:t>
      </w:r>
      <w:r w:rsidR="007E7C82">
        <w:rPr>
          <w:bCs/>
          <w:szCs w:val="22"/>
          <w:lang w:val="en-GB"/>
        </w:rPr>
        <w:t>agreed with the sponsor,</w:t>
      </w:r>
      <w:r>
        <w:rPr>
          <w:bCs/>
          <w:szCs w:val="22"/>
          <w:lang w:val="en-GB"/>
        </w:rPr>
        <w:t xml:space="preserve"> that the applicability of these </w:t>
      </w:r>
      <w:r w:rsidR="00291DA8">
        <w:rPr>
          <w:bCs/>
          <w:szCs w:val="22"/>
          <w:lang w:val="en-GB"/>
        </w:rPr>
        <w:t>subgroup</w:t>
      </w:r>
      <w:r>
        <w:rPr>
          <w:bCs/>
          <w:szCs w:val="22"/>
          <w:lang w:val="en-GB"/>
        </w:rPr>
        <w:t xml:space="preserve"> results </w:t>
      </w:r>
      <w:r w:rsidR="00291DA8">
        <w:rPr>
          <w:bCs/>
          <w:szCs w:val="22"/>
          <w:lang w:val="en-GB"/>
        </w:rPr>
        <w:t>to</w:t>
      </w:r>
      <w:r>
        <w:rPr>
          <w:bCs/>
          <w:szCs w:val="22"/>
          <w:lang w:val="en-GB"/>
        </w:rPr>
        <w:t xml:space="preserve"> the PBS setting was </w:t>
      </w:r>
      <w:r w:rsidR="007E7C82">
        <w:rPr>
          <w:bCs/>
          <w:szCs w:val="22"/>
          <w:lang w:val="en-GB"/>
        </w:rPr>
        <w:t>presently uncertain given</w:t>
      </w:r>
      <w:r>
        <w:rPr>
          <w:bCs/>
          <w:szCs w:val="22"/>
          <w:lang w:val="en-GB"/>
        </w:rPr>
        <w:t xml:space="preserve"> the </w:t>
      </w:r>
      <w:r w:rsidR="007E7C82">
        <w:rPr>
          <w:bCs/>
          <w:szCs w:val="22"/>
          <w:lang w:val="en-GB"/>
        </w:rPr>
        <w:t>reliance</w:t>
      </w:r>
      <w:r>
        <w:rPr>
          <w:bCs/>
          <w:szCs w:val="22"/>
          <w:lang w:val="en-GB"/>
        </w:rPr>
        <w:t xml:space="preserve"> on </w:t>
      </w:r>
      <w:r w:rsidR="00F75DE6">
        <w:rPr>
          <w:bCs/>
          <w:szCs w:val="22"/>
          <w:lang w:val="en-GB"/>
        </w:rPr>
        <w:t xml:space="preserve">insufficiently developed </w:t>
      </w:r>
      <w:r w:rsidR="005976D8">
        <w:rPr>
          <w:bCs/>
          <w:szCs w:val="22"/>
          <w:lang w:val="en-GB"/>
        </w:rPr>
        <w:t>testing for PD-L1 expression</w:t>
      </w:r>
      <w:r>
        <w:rPr>
          <w:bCs/>
          <w:szCs w:val="22"/>
          <w:lang w:val="en-GB"/>
        </w:rPr>
        <w:t>. The PBAC considered that</w:t>
      </w:r>
      <w:r w:rsidR="00F75DE6">
        <w:rPr>
          <w:bCs/>
          <w:szCs w:val="22"/>
          <w:lang w:val="en-GB"/>
        </w:rPr>
        <w:t>, at present,</w:t>
      </w:r>
      <w:r>
        <w:rPr>
          <w:bCs/>
          <w:szCs w:val="22"/>
          <w:lang w:val="en-GB"/>
        </w:rPr>
        <w:t xml:space="preserve"> there would be substantial challenges to accurately conducting and interpreting testing</w:t>
      </w:r>
      <w:r w:rsidR="00F75DE6">
        <w:rPr>
          <w:bCs/>
          <w:szCs w:val="22"/>
          <w:lang w:val="en-GB"/>
        </w:rPr>
        <w:t xml:space="preserve"> in Australia</w:t>
      </w:r>
      <w:r w:rsidR="00291DA8">
        <w:rPr>
          <w:bCs/>
          <w:szCs w:val="22"/>
          <w:lang w:val="en-GB"/>
        </w:rPr>
        <w:t>. Evidentiary challenges</w:t>
      </w:r>
      <w:r w:rsidR="00786914">
        <w:rPr>
          <w:bCs/>
          <w:szCs w:val="22"/>
          <w:lang w:val="en-GB"/>
        </w:rPr>
        <w:t xml:space="preserve"> </w:t>
      </w:r>
      <w:r>
        <w:rPr>
          <w:bCs/>
          <w:szCs w:val="22"/>
          <w:lang w:val="en-GB"/>
        </w:rPr>
        <w:t>includ</w:t>
      </w:r>
      <w:r w:rsidR="00291DA8">
        <w:rPr>
          <w:bCs/>
          <w:szCs w:val="22"/>
          <w:lang w:val="en-GB"/>
        </w:rPr>
        <w:t>e</w:t>
      </w:r>
      <w:r>
        <w:rPr>
          <w:bCs/>
          <w:szCs w:val="22"/>
          <w:lang w:val="en-GB"/>
        </w:rPr>
        <w:t>: validating the biomarker itself (PD-L1 expression)</w:t>
      </w:r>
      <w:r w:rsidR="00291DA8">
        <w:rPr>
          <w:bCs/>
          <w:szCs w:val="22"/>
          <w:lang w:val="en-GB"/>
        </w:rPr>
        <w:t>;</w:t>
      </w:r>
      <w:r>
        <w:rPr>
          <w:bCs/>
          <w:szCs w:val="22"/>
          <w:lang w:val="en-GB"/>
        </w:rPr>
        <w:t xml:space="preserve"> conducting an independent analytical validation of the several </w:t>
      </w:r>
      <w:r w:rsidR="00291DA8">
        <w:rPr>
          <w:bCs/>
          <w:szCs w:val="22"/>
          <w:lang w:val="en-GB"/>
        </w:rPr>
        <w:t xml:space="preserve">immunohistochemistry </w:t>
      </w:r>
      <w:r>
        <w:rPr>
          <w:bCs/>
          <w:szCs w:val="22"/>
          <w:lang w:val="en-GB"/>
        </w:rPr>
        <w:t>assays for PD-L1 expression testing using different antibodies and different platforms under development by different companies</w:t>
      </w:r>
      <w:r w:rsidR="00291DA8">
        <w:rPr>
          <w:bCs/>
          <w:szCs w:val="22"/>
          <w:lang w:val="en-GB"/>
        </w:rPr>
        <w:t>;</w:t>
      </w:r>
      <w:r>
        <w:rPr>
          <w:bCs/>
          <w:szCs w:val="22"/>
          <w:lang w:val="en-GB"/>
        </w:rPr>
        <w:t xml:space="preserve"> determining whether PD-L1 expression testing should be confined to tumour tissue and/or </w:t>
      </w:r>
      <w:r w:rsidR="00291DA8">
        <w:rPr>
          <w:bCs/>
          <w:szCs w:val="22"/>
          <w:lang w:val="en-GB"/>
        </w:rPr>
        <w:t xml:space="preserve">surrounding cells; validating the threshold scores which would be “positive” for initiating nivolumab (or any PD-1 inhibitor); and addressing the known heterogeneity of expression within tumours, across primary tumours and metastases, across time, </w:t>
      </w:r>
      <w:r w:rsidR="00291DA8">
        <w:rPr>
          <w:bCs/>
          <w:szCs w:val="22"/>
          <w:lang w:val="en-GB"/>
        </w:rPr>
        <w:lastRenderedPageBreak/>
        <w:t xml:space="preserve">and after different interventions. Practical challenges include obtaining appropriate biospecimens </w:t>
      </w:r>
      <w:r w:rsidR="00F75DE6">
        <w:rPr>
          <w:bCs/>
          <w:szCs w:val="22"/>
          <w:lang w:val="en-GB"/>
        </w:rPr>
        <w:t xml:space="preserve">for testing </w:t>
      </w:r>
      <w:r w:rsidR="00291DA8">
        <w:rPr>
          <w:bCs/>
          <w:szCs w:val="22"/>
          <w:lang w:val="en-GB"/>
        </w:rPr>
        <w:t xml:space="preserve">from patients at the point in the clinical pathway when therapy with a PD-1 inhibitor might be indicated, and the limited availability of the commercial </w:t>
      </w:r>
      <w:r w:rsidR="00AF0603">
        <w:rPr>
          <w:bCs/>
          <w:szCs w:val="22"/>
          <w:lang w:val="en-GB"/>
        </w:rPr>
        <w:t xml:space="preserve">platforms </w:t>
      </w:r>
      <w:r w:rsidR="00F75DE6">
        <w:rPr>
          <w:bCs/>
          <w:szCs w:val="22"/>
          <w:lang w:val="en-GB"/>
        </w:rPr>
        <w:t>being</w:t>
      </w:r>
      <w:r w:rsidR="00AF0603">
        <w:rPr>
          <w:bCs/>
          <w:szCs w:val="22"/>
          <w:lang w:val="en-GB"/>
        </w:rPr>
        <w:t xml:space="preserve"> develop</w:t>
      </w:r>
      <w:r w:rsidR="00F75DE6">
        <w:rPr>
          <w:bCs/>
          <w:szCs w:val="22"/>
          <w:lang w:val="en-GB"/>
        </w:rPr>
        <w:t>ed</w:t>
      </w:r>
      <w:r w:rsidR="00AF0603">
        <w:rPr>
          <w:bCs/>
          <w:szCs w:val="22"/>
          <w:lang w:val="en-GB"/>
        </w:rPr>
        <w:t>.</w:t>
      </w:r>
      <w:r w:rsidR="007E7C82">
        <w:rPr>
          <w:bCs/>
          <w:szCs w:val="22"/>
          <w:lang w:val="en-GB"/>
        </w:rPr>
        <w:t xml:space="preserve"> Evaluating the clinical utility of the PD-L1 as a predictive biomarker also required an assessment of its relationship to the endpoint of interest (survival) and the consistency of this relationship in different tumour types and across studies (Mahoney et al, </w:t>
      </w:r>
      <w:r w:rsidR="007E7C82">
        <w:rPr>
          <w:bCs/>
          <w:i/>
          <w:szCs w:val="22"/>
          <w:lang w:val="en-GB"/>
        </w:rPr>
        <w:t xml:space="preserve">Oncology </w:t>
      </w:r>
      <w:r w:rsidR="007E7C82">
        <w:rPr>
          <w:bCs/>
          <w:szCs w:val="22"/>
          <w:lang w:val="en-GB"/>
        </w:rPr>
        <w:t xml:space="preserve">2014; </w:t>
      </w:r>
      <w:r w:rsidR="00265962">
        <w:rPr>
          <w:bCs/>
          <w:szCs w:val="22"/>
          <w:lang w:val="en-GB"/>
        </w:rPr>
        <w:t xml:space="preserve">28(Suppl 3):39-48; Gandini et al, </w:t>
      </w:r>
      <w:r w:rsidR="00265962">
        <w:rPr>
          <w:bCs/>
          <w:i/>
          <w:szCs w:val="22"/>
          <w:lang w:val="en-GB"/>
        </w:rPr>
        <w:t>Crit</w:t>
      </w:r>
      <w:r w:rsidR="004A67B8">
        <w:rPr>
          <w:bCs/>
          <w:i/>
          <w:szCs w:val="22"/>
          <w:lang w:val="en-GB"/>
        </w:rPr>
        <w:t>ical</w:t>
      </w:r>
      <w:r w:rsidR="00265962">
        <w:rPr>
          <w:bCs/>
          <w:i/>
          <w:szCs w:val="22"/>
          <w:lang w:val="en-GB"/>
        </w:rPr>
        <w:t xml:space="preserve"> Rev</w:t>
      </w:r>
      <w:r w:rsidR="004A67B8">
        <w:rPr>
          <w:bCs/>
          <w:i/>
          <w:szCs w:val="22"/>
          <w:lang w:val="en-GB"/>
        </w:rPr>
        <w:t>iews in</w:t>
      </w:r>
      <w:r w:rsidR="00265962">
        <w:rPr>
          <w:bCs/>
          <w:i/>
          <w:szCs w:val="22"/>
          <w:lang w:val="en-GB"/>
        </w:rPr>
        <w:t xml:space="preserve"> Oncol</w:t>
      </w:r>
      <w:r w:rsidR="004A67B8">
        <w:rPr>
          <w:bCs/>
          <w:i/>
          <w:szCs w:val="22"/>
          <w:lang w:val="en-GB"/>
        </w:rPr>
        <w:t>ogy /</w:t>
      </w:r>
      <w:r w:rsidR="00265962">
        <w:rPr>
          <w:bCs/>
          <w:i/>
          <w:szCs w:val="22"/>
          <w:lang w:val="en-GB"/>
        </w:rPr>
        <w:t xml:space="preserve"> Hematol</w:t>
      </w:r>
      <w:r w:rsidR="004A67B8">
        <w:rPr>
          <w:bCs/>
          <w:i/>
          <w:szCs w:val="22"/>
          <w:lang w:val="en-GB"/>
        </w:rPr>
        <w:t>ogy</w:t>
      </w:r>
      <w:r w:rsidR="00265962">
        <w:rPr>
          <w:bCs/>
          <w:szCs w:val="22"/>
          <w:lang w:val="en-GB"/>
        </w:rPr>
        <w:t xml:space="preserve"> 2016; 100:88-98</w:t>
      </w:r>
      <w:r w:rsidR="00DC5237">
        <w:rPr>
          <w:bCs/>
          <w:szCs w:val="22"/>
          <w:lang w:val="en-GB"/>
        </w:rPr>
        <w:t>, Advanced online publication.</w:t>
      </w:r>
      <w:r w:rsidR="00DC5237" w:rsidRPr="00DC5237">
        <w:t xml:space="preserve"> </w:t>
      </w:r>
      <w:r w:rsidR="00DC5237" w:rsidRPr="00DC5237">
        <w:rPr>
          <w:bCs/>
          <w:szCs w:val="22"/>
          <w:lang w:val="en-GB"/>
        </w:rPr>
        <w:t>doi:10.1016/j.critrevonc.2016.02.001</w:t>
      </w:r>
      <w:r w:rsidR="00265962">
        <w:rPr>
          <w:bCs/>
          <w:szCs w:val="22"/>
          <w:lang w:val="en-GB"/>
        </w:rPr>
        <w:t>)</w:t>
      </w:r>
      <w:r w:rsidR="007E7C82">
        <w:rPr>
          <w:bCs/>
          <w:szCs w:val="22"/>
          <w:lang w:val="en-GB"/>
        </w:rPr>
        <w:t>.</w:t>
      </w:r>
    </w:p>
    <w:p w:rsidR="00BE06FF" w:rsidRPr="003C3927" w:rsidRDefault="00BE06FF" w:rsidP="006A4280">
      <w:pPr>
        <w:contextualSpacing/>
        <w:rPr>
          <w:bCs/>
          <w:szCs w:val="22"/>
          <w:highlight w:val="yellow"/>
          <w:lang w:val="en-GB"/>
        </w:rPr>
      </w:pPr>
    </w:p>
    <w:p w:rsidR="001A5A30" w:rsidRPr="00091975" w:rsidRDefault="001A5A30" w:rsidP="001A5A30">
      <w:pPr>
        <w:pStyle w:val="ListParagraph"/>
        <w:widowControl/>
        <w:numPr>
          <w:ilvl w:val="1"/>
          <w:numId w:val="2"/>
        </w:numPr>
        <w:rPr>
          <w:szCs w:val="22"/>
        </w:rPr>
      </w:pPr>
      <w:r w:rsidRPr="00091975">
        <w:rPr>
          <w:szCs w:val="22"/>
        </w:rPr>
        <w:t>The PBAC considered that the claim of superior comparative safety</w:t>
      </w:r>
      <w:r>
        <w:rPr>
          <w:szCs w:val="22"/>
        </w:rPr>
        <w:t xml:space="preserve"> of nivolumab over docetaxel</w:t>
      </w:r>
      <w:r w:rsidRPr="00091975">
        <w:rPr>
          <w:szCs w:val="22"/>
        </w:rPr>
        <w:t xml:space="preserve"> was reasonable, however </w:t>
      </w:r>
      <w:r w:rsidR="001405CB">
        <w:rPr>
          <w:szCs w:val="22"/>
        </w:rPr>
        <w:t xml:space="preserve">also </w:t>
      </w:r>
      <w:r w:rsidRPr="00091975">
        <w:rPr>
          <w:szCs w:val="22"/>
        </w:rPr>
        <w:t xml:space="preserve">noted that nivolumab was associated with a significantly higher proportion of </w:t>
      </w:r>
      <w:r w:rsidR="008E5714">
        <w:rPr>
          <w:szCs w:val="22"/>
        </w:rPr>
        <w:t xml:space="preserve">patients with </w:t>
      </w:r>
      <w:r w:rsidRPr="00091975">
        <w:rPr>
          <w:szCs w:val="22"/>
        </w:rPr>
        <w:t>Grade 3 and 4 endocrine adverse events than docetaxel.</w:t>
      </w:r>
    </w:p>
    <w:p w:rsidR="00823BAF" w:rsidRPr="00823BAF" w:rsidRDefault="00823BAF" w:rsidP="00823BAF">
      <w:pPr>
        <w:widowControl/>
        <w:rPr>
          <w:szCs w:val="22"/>
        </w:rPr>
      </w:pPr>
    </w:p>
    <w:p w:rsidR="00823BAF" w:rsidRDefault="00823BAF" w:rsidP="00823BAF">
      <w:pPr>
        <w:pStyle w:val="ListParagraph"/>
        <w:widowControl/>
        <w:numPr>
          <w:ilvl w:val="1"/>
          <w:numId w:val="2"/>
        </w:numPr>
        <w:rPr>
          <w:szCs w:val="22"/>
        </w:rPr>
      </w:pPr>
      <w:r>
        <w:rPr>
          <w:szCs w:val="22"/>
        </w:rPr>
        <w:t xml:space="preserve">The PBAC noted </w:t>
      </w:r>
      <w:r w:rsidR="001F1E2D">
        <w:rPr>
          <w:szCs w:val="22"/>
        </w:rPr>
        <w:t xml:space="preserve">that </w:t>
      </w:r>
      <w:r w:rsidR="006659C9">
        <w:rPr>
          <w:szCs w:val="22"/>
        </w:rPr>
        <w:t xml:space="preserve">pemetrexed was included in the </w:t>
      </w:r>
      <w:r w:rsidR="00182134">
        <w:rPr>
          <w:szCs w:val="22"/>
        </w:rPr>
        <w:t>financial analyses</w:t>
      </w:r>
      <w:r w:rsidR="006659C9">
        <w:rPr>
          <w:szCs w:val="22"/>
        </w:rPr>
        <w:t xml:space="preserve">, however </w:t>
      </w:r>
      <w:r w:rsidR="001F1E2D">
        <w:rPr>
          <w:szCs w:val="22"/>
        </w:rPr>
        <w:t xml:space="preserve">a </w:t>
      </w:r>
      <w:r w:rsidR="001F1E2D" w:rsidRPr="00AE71BA">
        <w:rPr>
          <w:szCs w:val="22"/>
        </w:rPr>
        <w:t xml:space="preserve">cost-effectiveness analysis </w:t>
      </w:r>
      <w:r w:rsidR="001F1E2D">
        <w:rPr>
          <w:szCs w:val="22"/>
        </w:rPr>
        <w:t xml:space="preserve">of nivolumab versus </w:t>
      </w:r>
      <w:r w:rsidR="001F1E2D" w:rsidRPr="00AE71BA">
        <w:rPr>
          <w:szCs w:val="22"/>
        </w:rPr>
        <w:t>pemetrexed</w:t>
      </w:r>
      <w:r w:rsidR="001F1E2D">
        <w:rPr>
          <w:szCs w:val="22"/>
        </w:rPr>
        <w:t xml:space="preserve"> was not presented. </w:t>
      </w:r>
      <w:r>
        <w:rPr>
          <w:szCs w:val="22"/>
        </w:rPr>
        <w:t xml:space="preserve">This was important, because the PBAC judged </w:t>
      </w:r>
      <w:r w:rsidR="001F1E2D">
        <w:rPr>
          <w:szCs w:val="22"/>
        </w:rPr>
        <w:t>pemetrexed to be the main comparator</w:t>
      </w:r>
      <w:r>
        <w:rPr>
          <w:szCs w:val="22"/>
        </w:rPr>
        <w:t xml:space="preserve">, </w:t>
      </w:r>
      <w:r w:rsidR="001F1E2D">
        <w:rPr>
          <w:szCs w:val="22"/>
        </w:rPr>
        <w:t xml:space="preserve">which </w:t>
      </w:r>
      <w:r>
        <w:rPr>
          <w:szCs w:val="22"/>
        </w:rPr>
        <w:t>is currently being used more extensively than docetaxel in the patients proposed for this nivolumab listing, and also more likely to be substituted by nivolumab if nivolumab were listed.</w:t>
      </w:r>
      <w:r w:rsidR="00796C94" w:rsidRPr="00796C94">
        <w:rPr>
          <w:szCs w:val="22"/>
        </w:rPr>
        <w:t xml:space="preserve"> </w:t>
      </w:r>
      <w:r w:rsidR="00796C94">
        <w:rPr>
          <w:szCs w:val="22"/>
        </w:rPr>
        <w:t xml:space="preserve">The PBAC considered that, on the basis that pemetrexed is more effective, less toxic and more expensive than docetaxel, its omission from the comparison had an unknown but potentially </w:t>
      </w:r>
      <w:r w:rsidR="00182134">
        <w:rPr>
          <w:szCs w:val="22"/>
        </w:rPr>
        <w:t>important</w:t>
      </w:r>
      <w:r w:rsidR="00796C94">
        <w:rPr>
          <w:szCs w:val="22"/>
        </w:rPr>
        <w:t xml:space="preserve"> effect on the economic evaluation.</w:t>
      </w:r>
    </w:p>
    <w:p w:rsidR="00823BAF" w:rsidRPr="000B15DD" w:rsidRDefault="00823BAF" w:rsidP="00823BAF">
      <w:pPr>
        <w:rPr>
          <w:szCs w:val="22"/>
        </w:rPr>
      </w:pPr>
    </w:p>
    <w:p w:rsidR="005D1059" w:rsidRPr="00571995" w:rsidRDefault="005D1059" w:rsidP="005D1059">
      <w:pPr>
        <w:pStyle w:val="ListParagraph"/>
        <w:numPr>
          <w:ilvl w:val="1"/>
          <w:numId w:val="2"/>
        </w:numPr>
        <w:rPr>
          <w:bCs/>
          <w:szCs w:val="22"/>
          <w:lang w:val="en-GB"/>
        </w:rPr>
      </w:pPr>
      <w:r w:rsidRPr="00571995">
        <w:rPr>
          <w:bCs/>
          <w:szCs w:val="22"/>
          <w:lang w:val="en-GB"/>
        </w:rPr>
        <w:t xml:space="preserve">The PBAC considered that the incremental cost per QALY </w:t>
      </w:r>
      <w:r w:rsidR="001405CB">
        <w:rPr>
          <w:bCs/>
          <w:szCs w:val="22"/>
          <w:lang w:val="en-GB"/>
        </w:rPr>
        <w:t xml:space="preserve">gained </w:t>
      </w:r>
      <w:r w:rsidRPr="00571995">
        <w:rPr>
          <w:bCs/>
          <w:szCs w:val="22"/>
          <w:lang w:val="en-GB"/>
        </w:rPr>
        <w:t xml:space="preserve">of </w:t>
      </w:r>
      <w:r w:rsidR="00C72E16">
        <w:rPr>
          <w:szCs w:val="22"/>
        </w:rPr>
        <w:t xml:space="preserve">$45,000/QALY - $75,000/QALY </w:t>
      </w:r>
      <w:r w:rsidR="001D45DC">
        <w:rPr>
          <w:bCs/>
          <w:szCs w:val="22"/>
          <w:lang w:val="en-GB"/>
        </w:rPr>
        <w:t xml:space="preserve">for </w:t>
      </w:r>
      <w:r w:rsidRPr="00571995">
        <w:rPr>
          <w:bCs/>
          <w:szCs w:val="22"/>
          <w:lang w:val="en-GB"/>
        </w:rPr>
        <w:t xml:space="preserve">nivolumab over docetaxel presented in the submission’s base case analysis was </w:t>
      </w:r>
      <w:r w:rsidR="001D45DC">
        <w:rPr>
          <w:bCs/>
          <w:szCs w:val="22"/>
          <w:lang w:val="en-GB"/>
        </w:rPr>
        <w:t xml:space="preserve">high, and was </w:t>
      </w:r>
      <w:r w:rsidR="001A7EA2">
        <w:rPr>
          <w:bCs/>
          <w:szCs w:val="22"/>
          <w:lang w:val="en-GB"/>
        </w:rPr>
        <w:t xml:space="preserve">likely to be </w:t>
      </w:r>
      <w:r w:rsidRPr="00571995">
        <w:rPr>
          <w:bCs/>
          <w:szCs w:val="22"/>
          <w:lang w:val="en-GB"/>
        </w:rPr>
        <w:t xml:space="preserve">significantly underestimated due to several concerns </w:t>
      </w:r>
      <w:r w:rsidR="00450E12">
        <w:rPr>
          <w:bCs/>
          <w:szCs w:val="22"/>
          <w:lang w:val="en-GB"/>
        </w:rPr>
        <w:t xml:space="preserve">raised by </w:t>
      </w:r>
      <w:r w:rsidR="006B4492">
        <w:rPr>
          <w:bCs/>
          <w:szCs w:val="22"/>
          <w:lang w:val="en-GB"/>
        </w:rPr>
        <w:t xml:space="preserve">the </w:t>
      </w:r>
      <w:r w:rsidR="00450E12">
        <w:rPr>
          <w:bCs/>
          <w:szCs w:val="22"/>
          <w:lang w:val="en-GB"/>
        </w:rPr>
        <w:t>ESC regarding</w:t>
      </w:r>
      <w:r w:rsidRPr="00571995">
        <w:rPr>
          <w:bCs/>
          <w:szCs w:val="22"/>
          <w:lang w:val="en-GB"/>
        </w:rPr>
        <w:t xml:space="preserve"> the economic model, including:</w:t>
      </w:r>
    </w:p>
    <w:p w:rsidR="0071401D" w:rsidRPr="00F26BBB" w:rsidRDefault="0071401D" w:rsidP="0071401D">
      <w:pPr>
        <w:pStyle w:val="ListParagraph"/>
        <w:numPr>
          <w:ilvl w:val="0"/>
          <w:numId w:val="20"/>
        </w:numPr>
        <w:rPr>
          <w:bCs/>
          <w:szCs w:val="22"/>
          <w:lang w:val="en-GB"/>
        </w:rPr>
      </w:pPr>
      <w:r>
        <w:rPr>
          <w:bCs/>
          <w:szCs w:val="22"/>
          <w:lang w:val="en-GB"/>
        </w:rPr>
        <w:t>time hor</w:t>
      </w:r>
      <w:r w:rsidR="001405CB">
        <w:rPr>
          <w:bCs/>
          <w:szCs w:val="22"/>
          <w:lang w:val="en-GB"/>
        </w:rPr>
        <w:t>izon: the submission used a ten-</w:t>
      </w:r>
      <w:r>
        <w:rPr>
          <w:bCs/>
          <w:szCs w:val="22"/>
          <w:lang w:val="en-GB"/>
        </w:rPr>
        <w:t>year time horizon, how</w:t>
      </w:r>
      <w:r w:rsidR="001405CB">
        <w:rPr>
          <w:bCs/>
          <w:szCs w:val="22"/>
          <w:lang w:val="en-GB"/>
        </w:rPr>
        <w:t xml:space="preserve">ever the PBAC </w:t>
      </w:r>
      <w:r w:rsidR="00551DCC">
        <w:rPr>
          <w:bCs/>
          <w:szCs w:val="22"/>
          <w:lang w:val="en-GB"/>
        </w:rPr>
        <w:t xml:space="preserve">agreed </w:t>
      </w:r>
      <w:r w:rsidR="00551DCC" w:rsidRPr="00DE4EC6">
        <w:rPr>
          <w:bCs/>
          <w:szCs w:val="22"/>
          <w:lang w:val="en-GB"/>
        </w:rPr>
        <w:t xml:space="preserve">with </w:t>
      </w:r>
      <w:r w:rsidR="006B4492" w:rsidRPr="00DE4EC6">
        <w:rPr>
          <w:bCs/>
          <w:szCs w:val="22"/>
          <w:lang w:val="en-GB"/>
        </w:rPr>
        <w:t xml:space="preserve">the </w:t>
      </w:r>
      <w:r w:rsidR="00551DCC" w:rsidRPr="00DE4EC6">
        <w:rPr>
          <w:bCs/>
          <w:szCs w:val="22"/>
          <w:lang w:val="en-GB"/>
        </w:rPr>
        <w:t>ESC (see paragraph 6.27) that</w:t>
      </w:r>
      <w:r w:rsidR="00551DCC">
        <w:rPr>
          <w:bCs/>
          <w:szCs w:val="22"/>
          <w:lang w:val="en-GB"/>
        </w:rPr>
        <w:t xml:space="preserve"> </w:t>
      </w:r>
      <w:r w:rsidR="001405CB">
        <w:rPr>
          <w:bCs/>
          <w:szCs w:val="22"/>
          <w:lang w:val="en-GB"/>
        </w:rPr>
        <w:t>a five-</w:t>
      </w:r>
      <w:r>
        <w:rPr>
          <w:bCs/>
          <w:szCs w:val="22"/>
          <w:lang w:val="en-GB"/>
        </w:rPr>
        <w:t xml:space="preserve">year time horizon </w:t>
      </w:r>
      <w:r w:rsidR="006B4492">
        <w:rPr>
          <w:bCs/>
          <w:szCs w:val="22"/>
          <w:lang w:val="en-GB"/>
        </w:rPr>
        <w:t>would</w:t>
      </w:r>
      <w:r>
        <w:rPr>
          <w:bCs/>
          <w:szCs w:val="22"/>
          <w:lang w:val="en-GB"/>
        </w:rPr>
        <w:t xml:space="preserve"> be more appropriate</w:t>
      </w:r>
      <w:r w:rsidR="001405CB">
        <w:rPr>
          <w:bCs/>
          <w:szCs w:val="22"/>
          <w:lang w:val="en-GB"/>
        </w:rPr>
        <w:t>;</w:t>
      </w:r>
    </w:p>
    <w:p w:rsidR="0071401D" w:rsidRDefault="0071401D" w:rsidP="00F24885">
      <w:pPr>
        <w:pStyle w:val="ListParagraph"/>
        <w:numPr>
          <w:ilvl w:val="0"/>
          <w:numId w:val="20"/>
        </w:numPr>
        <w:rPr>
          <w:bCs/>
          <w:szCs w:val="22"/>
          <w:lang w:val="en-GB"/>
        </w:rPr>
      </w:pPr>
      <w:r>
        <w:rPr>
          <w:bCs/>
          <w:szCs w:val="22"/>
          <w:lang w:val="en-GB"/>
        </w:rPr>
        <w:t>t</w:t>
      </w:r>
      <w:r w:rsidRPr="00F26BBB">
        <w:rPr>
          <w:bCs/>
          <w:szCs w:val="22"/>
          <w:lang w:val="en-GB"/>
        </w:rPr>
        <w:t>he method</w:t>
      </w:r>
      <w:r>
        <w:rPr>
          <w:bCs/>
          <w:szCs w:val="22"/>
          <w:lang w:val="en-GB"/>
        </w:rPr>
        <w:t xml:space="preserve"> of extrapolation: </w:t>
      </w:r>
      <w:r w:rsidR="00F24885" w:rsidRPr="00F24885">
        <w:rPr>
          <w:bCs/>
          <w:szCs w:val="22"/>
          <w:lang w:val="en-GB"/>
        </w:rPr>
        <w:t xml:space="preserve">selection of the log-logistic function for nivolumab (most favourable to nivolumab) and the Weibull function for docetaxel (least favourable to docetaxel), </w:t>
      </w:r>
      <w:r w:rsidR="00551DCC">
        <w:rPr>
          <w:bCs/>
          <w:szCs w:val="22"/>
          <w:lang w:val="en-GB"/>
        </w:rPr>
        <w:t xml:space="preserve">inappropriately </w:t>
      </w:r>
      <w:r w:rsidR="00F24885" w:rsidRPr="00F24885">
        <w:rPr>
          <w:bCs/>
          <w:szCs w:val="22"/>
          <w:lang w:val="en-GB"/>
        </w:rPr>
        <w:t>overestimated the</w:t>
      </w:r>
      <w:r w:rsidR="00F24885">
        <w:rPr>
          <w:bCs/>
          <w:szCs w:val="22"/>
          <w:lang w:val="en-GB"/>
        </w:rPr>
        <w:t xml:space="preserve"> increments for both PFS and OS</w:t>
      </w:r>
      <w:r>
        <w:rPr>
          <w:bCs/>
          <w:szCs w:val="22"/>
          <w:lang w:val="en-GB"/>
        </w:rPr>
        <w:t>;</w:t>
      </w:r>
    </w:p>
    <w:p w:rsidR="0071401D" w:rsidRPr="00F26BBB" w:rsidRDefault="0071401D" w:rsidP="0071401D">
      <w:pPr>
        <w:pStyle w:val="ListParagraph"/>
        <w:numPr>
          <w:ilvl w:val="0"/>
          <w:numId w:val="20"/>
        </w:numPr>
        <w:rPr>
          <w:bCs/>
          <w:szCs w:val="22"/>
          <w:lang w:val="en-GB"/>
        </w:rPr>
      </w:pPr>
      <w:r>
        <w:t xml:space="preserve">the extrapolated PFS and OS curves follow parametric functions until the end of the model, when a </w:t>
      </w:r>
      <w:r w:rsidR="00551DCC">
        <w:t xml:space="preserve">more appropriate </w:t>
      </w:r>
      <w:r>
        <w:t xml:space="preserve">approach would </w:t>
      </w:r>
      <w:r w:rsidR="001405CB">
        <w:t xml:space="preserve">have </w:t>
      </w:r>
      <w:r>
        <w:t>be</w:t>
      </w:r>
      <w:r w:rsidR="001405CB">
        <w:t>en</w:t>
      </w:r>
      <w:r>
        <w:t xml:space="preserve"> to assume the two OS curves converge within the time horizon;</w:t>
      </w:r>
    </w:p>
    <w:p w:rsidR="0071401D" w:rsidRPr="00B43112" w:rsidRDefault="00EA678D" w:rsidP="0071401D">
      <w:pPr>
        <w:pStyle w:val="ListParagraph"/>
        <w:numPr>
          <w:ilvl w:val="0"/>
          <w:numId w:val="20"/>
        </w:numPr>
        <w:rPr>
          <w:bCs/>
          <w:szCs w:val="22"/>
          <w:lang w:val="en-GB"/>
        </w:rPr>
      </w:pPr>
      <w:r w:rsidRPr="00B43112">
        <w:rPr>
          <w:bCs/>
          <w:szCs w:val="22"/>
          <w:lang w:val="en-GB"/>
        </w:rPr>
        <w:t xml:space="preserve">the </w:t>
      </w:r>
      <w:r w:rsidR="0071401D" w:rsidRPr="00B43112">
        <w:rPr>
          <w:bCs/>
          <w:szCs w:val="22"/>
          <w:lang w:val="en-GB"/>
        </w:rPr>
        <w:t xml:space="preserve">assumptions </w:t>
      </w:r>
      <w:r w:rsidRPr="00B43112">
        <w:rPr>
          <w:bCs/>
          <w:szCs w:val="22"/>
          <w:lang w:val="en-GB"/>
        </w:rPr>
        <w:t xml:space="preserve">applied </w:t>
      </w:r>
      <w:r w:rsidR="0071401D" w:rsidRPr="00B43112">
        <w:rPr>
          <w:bCs/>
          <w:szCs w:val="22"/>
          <w:lang w:val="en-GB"/>
        </w:rPr>
        <w:t xml:space="preserve">regarding treatment duration and costs of ongoing disease management </w:t>
      </w:r>
      <w:r w:rsidR="00551DCC" w:rsidRPr="00B43112">
        <w:rPr>
          <w:bCs/>
          <w:szCs w:val="22"/>
          <w:lang w:val="en-GB"/>
        </w:rPr>
        <w:t>favoured nivolumab</w:t>
      </w:r>
      <w:r w:rsidR="0071401D" w:rsidRPr="00B43112">
        <w:rPr>
          <w:bCs/>
          <w:szCs w:val="22"/>
          <w:lang w:val="en-GB"/>
        </w:rPr>
        <w:t>.</w:t>
      </w:r>
    </w:p>
    <w:p w:rsidR="00BE06FF" w:rsidRPr="003C3927" w:rsidRDefault="00BE06FF" w:rsidP="001405CB">
      <w:pPr>
        <w:contextualSpacing/>
        <w:rPr>
          <w:bCs/>
          <w:szCs w:val="22"/>
          <w:highlight w:val="yellow"/>
          <w:lang w:val="en-GB"/>
        </w:rPr>
      </w:pPr>
    </w:p>
    <w:p w:rsidR="0071401D" w:rsidRPr="00A14104" w:rsidRDefault="0071401D" w:rsidP="0071401D">
      <w:pPr>
        <w:numPr>
          <w:ilvl w:val="1"/>
          <w:numId w:val="2"/>
        </w:numPr>
        <w:contextualSpacing/>
        <w:rPr>
          <w:bCs/>
          <w:szCs w:val="22"/>
          <w:lang w:val="en-GB"/>
        </w:rPr>
      </w:pPr>
      <w:r w:rsidRPr="00A14104">
        <w:rPr>
          <w:bCs/>
          <w:szCs w:val="22"/>
          <w:lang w:val="en-GB"/>
        </w:rPr>
        <w:t>The PBAC noted that the estimated net cost of nivoluma</w:t>
      </w:r>
      <w:r>
        <w:rPr>
          <w:bCs/>
          <w:szCs w:val="22"/>
          <w:lang w:val="en-GB"/>
        </w:rPr>
        <w:t xml:space="preserve">b for squamous NSCLC was </w:t>
      </w:r>
      <w:r w:rsidR="00E77AC6">
        <w:rPr>
          <w:bCs/>
          <w:szCs w:val="22"/>
          <w:lang w:val="en-GB"/>
        </w:rPr>
        <w:t>more than</w:t>
      </w:r>
      <w:r>
        <w:rPr>
          <w:bCs/>
          <w:szCs w:val="22"/>
          <w:lang w:val="en-GB"/>
        </w:rPr>
        <w:t xml:space="preserve"> </w:t>
      </w:r>
      <w:r w:rsidR="00695386">
        <w:rPr>
          <w:bCs/>
          <w:szCs w:val="22"/>
          <w:lang w:val="en-GB"/>
        </w:rPr>
        <w:t xml:space="preserve">$100 </w:t>
      </w:r>
      <w:r w:rsidRPr="00A14104">
        <w:rPr>
          <w:bCs/>
          <w:szCs w:val="22"/>
          <w:lang w:val="en-GB"/>
        </w:rPr>
        <w:t>million over five years. The PBAC noted the DUSC’s concerns regarding the eligible patient numbers, duration of treatment in practice</w:t>
      </w:r>
      <w:r w:rsidR="001D45DC">
        <w:rPr>
          <w:bCs/>
          <w:szCs w:val="22"/>
          <w:lang w:val="en-GB"/>
        </w:rPr>
        <w:t>,</w:t>
      </w:r>
      <w:r w:rsidRPr="00A14104">
        <w:rPr>
          <w:bCs/>
          <w:szCs w:val="22"/>
          <w:lang w:val="en-GB"/>
        </w:rPr>
        <w:t xml:space="preserve"> and potential risk of </w:t>
      </w:r>
      <w:r>
        <w:rPr>
          <w:bCs/>
          <w:szCs w:val="22"/>
          <w:lang w:val="en-GB"/>
        </w:rPr>
        <w:t>use beyond the restriction</w:t>
      </w:r>
      <w:r w:rsidRPr="00A14104">
        <w:rPr>
          <w:bCs/>
          <w:szCs w:val="22"/>
          <w:lang w:val="en-GB"/>
        </w:rPr>
        <w:t>, and advised that a financial cap would be required</w:t>
      </w:r>
      <w:r w:rsidR="001405CB">
        <w:rPr>
          <w:bCs/>
          <w:szCs w:val="22"/>
          <w:lang w:val="en-GB"/>
        </w:rPr>
        <w:t xml:space="preserve"> to manage these uncertainties.</w:t>
      </w:r>
    </w:p>
    <w:p w:rsidR="00BE06FF" w:rsidRPr="003C3927" w:rsidRDefault="00BE06FF" w:rsidP="00BC48F9">
      <w:pPr>
        <w:contextualSpacing/>
        <w:rPr>
          <w:bCs/>
          <w:szCs w:val="22"/>
          <w:highlight w:val="yellow"/>
          <w:lang w:val="en-GB"/>
        </w:rPr>
      </w:pPr>
    </w:p>
    <w:p w:rsidR="00547EE3" w:rsidRPr="00E751DD" w:rsidRDefault="00547EE3" w:rsidP="00547EE3">
      <w:pPr>
        <w:pStyle w:val="ListParagraph"/>
        <w:widowControl/>
        <w:numPr>
          <w:ilvl w:val="1"/>
          <w:numId w:val="2"/>
        </w:numPr>
        <w:ind w:left="709" w:hanging="709"/>
        <w:rPr>
          <w:szCs w:val="22"/>
        </w:rPr>
      </w:pPr>
      <w:r>
        <w:rPr>
          <w:szCs w:val="22"/>
        </w:rPr>
        <w:lastRenderedPageBreak/>
        <w:t>The PBAC considered that any resubmission should be a major submission to allow for evaluation of an improved economic model</w:t>
      </w:r>
      <w:r w:rsidR="00EC2DCC">
        <w:rPr>
          <w:szCs w:val="22"/>
        </w:rPr>
        <w:t xml:space="preserve"> which included</w:t>
      </w:r>
      <w:r w:rsidR="00856714">
        <w:rPr>
          <w:szCs w:val="22"/>
        </w:rPr>
        <w:t xml:space="preserve"> </w:t>
      </w:r>
      <w:r w:rsidR="00EC2DCC">
        <w:rPr>
          <w:szCs w:val="22"/>
        </w:rPr>
        <w:t xml:space="preserve">pemetrexed as </w:t>
      </w:r>
      <w:r w:rsidR="00FF1F65">
        <w:rPr>
          <w:szCs w:val="22"/>
        </w:rPr>
        <w:t xml:space="preserve">the main </w:t>
      </w:r>
      <w:r w:rsidR="00EC2DCC">
        <w:rPr>
          <w:szCs w:val="22"/>
        </w:rPr>
        <w:t>comparator</w:t>
      </w:r>
      <w:r>
        <w:rPr>
          <w:szCs w:val="22"/>
        </w:rPr>
        <w:t>.</w:t>
      </w:r>
    </w:p>
    <w:p w:rsidR="00BE06FF" w:rsidRPr="00773A86" w:rsidRDefault="00BE06FF" w:rsidP="001405CB">
      <w:pPr>
        <w:contextualSpacing/>
        <w:rPr>
          <w:bCs/>
          <w:szCs w:val="22"/>
          <w:lang w:val="en-GB"/>
        </w:rPr>
      </w:pPr>
    </w:p>
    <w:p w:rsidR="00BE06FF" w:rsidRPr="00773A86" w:rsidRDefault="00BE06FF" w:rsidP="00EF49C1">
      <w:pPr>
        <w:numPr>
          <w:ilvl w:val="1"/>
          <w:numId w:val="2"/>
        </w:numPr>
        <w:contextualSpacing/>
        <w:rPr>
          <w:b/>
          <w:bCs/>
          <w:szCs w:val="22"/>
          <w:lang w:val="en-GB"/>
        </w:rPr>
      </w:pPr>
      <w:r w:rsidRPr="00773A86">
        <w:rPr>
          <w:bCs/>
          <w:szCs w:val="22"/>
          <w:lang w:val="en-GB"/>
        </w:rPr>
        <w:t>The PBA</w:t>
      </w:r>
      <w:r w:rsidR="00EF49C1" w:rsidRPr="00773A86">
        <w:rPr>
          <w:bCs/>
          <w:szCs w:val="22"/>
          <w:lang w:val="en-GB"/>
        </w:rPr>
        <w:t>C noted that this submission is</w:t>
      </w:r>
      <w:r w:rsidRPr="00773A86">
        <w:rPr>
          <w:bCs/>
          <w:szCs w:val="22"/>
          <w:lang w:val="en-GB"/>
        </w:rPr>
        <w:t xml:space="preserve"> eligible for an Independent Review.</w:t>
      </w:r>
    </w:p>
    <w:p w:rsidR="00BE06FF" w:rsidRPr="001405CB" w:rsidRDefault="00BE06FF" w:rsidP="00BE06FF">
      <w:pPr>
        <w:rPr>
          <w:szCs w:val="22"/>
          <w:lang w:val="en-GB"/>
        </w:rPr>
      </w:pPr>
    </w:p>
    <w:p w:rsidR="00BE06FF" w:rsidRPr="001405CB" w:rsidRDefault="00BE06FF" w:rsidP="00BE06FF">
      <w:pPr>
        <w:rPr>
          <w:bCs/>
          <w:szCs w:val="22"/>
          <w:lang w:val="en-GB"/>
        </w:rPr>
      </w:pPr>
    </w:p>
    <w:p w:rsidR="00BE06FF" w:rsidRPr="00773A86" w:rsidRDefault="00BE06FF" w:rsidP="00BE06FF">
      <w:pPr>
        <w:rPr>
          <w:b/>
          <w:bCs/>
          <w:szCs w:val="22"/>
          <w:lang w:val="en-GB"/>
        </w:rPr>
      </w:pPr>
      <w:r w:rsidRPr="00773A86">
        <w:rPr>
          <w:b/>
          <w:bCs/>
          <w:szCs w:val="22"/>
          <w:lang w:val="en-GB"/>
        </w:rPr>
        <w:t>Outcome:</w:t>
      </w:r>
    </w:p>
    <w:p w:rsidR="00BE06FF" w:rsidRPr="00773A86" w:rsidRDefault="00EF49C1" w:rsidP="00BE06FF">
      <w:pPr>
        <w:rPr>
          <w:bCs/>
          <w:szCs w:val="22"/>
          <w:lang w:val="en-GB"/>
        </w:rPr>
      </w:pPr>
      <w:r w:rsidRPr="00773A86">
        <w:rPr>
          <w:bCs/>
          <w:szCs w:val="22"/>
          <w:lang w:val="en-GB"/>
        </w:rPr>
        <w:t>Rejected</w:t>
      </w:r>
    </w:p>
    <w:p w:rsidR="00BE06FF" w:rsidRPr="00EA0EDA" w:rsidRDefault="00BE06FF" w:rsidP="00BE06FF">
      <w:pPr>
        <w:rPr>
          <w:bCs/>
          <w:szCs w:val="22"/>
          <w:highlight w:val="yellow"/>
        </w:rPr>
      </w:pPr>
    </w:p>
    <w:p w:rsidR="00BE06FF" w:rsidRDefault="00BE06FF" w:rsidP="00BE06FF">
      <w:pPr>
        <w:pStyle w:val="NoSpacing"/>
        <w:rPr>
          <w:lang w:val="en-GB"/>
        </w:rPr>
      </w:pPr>
    </w:p>
    <w:p w:rsidR="00BC7AA1" w:rsidRDefault="00BC7AA1" w:rsidP="00BC7AA1">
      <w:pPr>
        <w:pStyle w:val="Heading1"/>
      </w:pPr>
      <w:r w:rsidRPr="00632206">
        <w:t>Context for Decision</w:t>
      </w:r>
    </w:p>
    <w:p w:rsidR="00BC7AA1" w:rsidRDefault="00BC7AA1" w:rsidP="00BC7AA1">
      <w:pPr>
        <w:ind w:left="720"/>
      </w:pPr>
    </w:p>
    <w:p w:rsidR="00BC7AA1" w:rsidRDefault="00BC7AA1" w:rsidP="00BC7AA1">
      <w:pPr>
        <w:ind w:left="720"/>
      </w:pPr>
      <w:r w:rsidRPr="004304F6">
        <w:t>The PBAC helps decide whether and, if so, how medicines should be subsidised in Australia. It considers submissions in this context. A PBAC decision not to recommend listing or not to recommend changing a listing does not represent a final PBAC view about the merits of the medicine. A company can resubmit to the PBAC or seek independent review of the PBAC decision.</w:t>
      </w:r>
    </w:p>
    <w:p w:rsidR="00BC7AA1" w:rsidRDefault="00BC7AA1" w:rsidP="00BC7AA1">
      <w:pPr>
        <w:ind w:left="720"/>
      </w:pPr>
    </w:p>
    <w:p w:rsidR="00BC7AA1" w:rsidRDefault="00BC7AA1" w:rsidP="00BC7AA1">
      <w:pPr>
        <w:pStyle w:val="Heading1"/>
      </w:pPr>
      <w:r w:rsidRPr="00451386">
        <w:t>Sponsor’s Comment</w:t>
      </w:r>
    </w:p>
    <w:p w:rsidR="00BC7AA1" w:rsidRDefault="00BC7AA1" w:rsidP="00BC7AA1">
      <w:pPr>
        <w:ind w:left="720"/>
        <w:rPr>
          <w:bCs/>
          <w:highlight w:val="yellow"/>
          <w:lang w:val="en-GB"/>
        </w:rPr>
      </w:pPr>
    </w:p>
    <w:p w:rsidR="007311A3" w:rsidRPr="00A02879" w:rsidRDefault="007311A3" w:rsidP="007311A3">
      <w:pPr>
        <w:spacing w:after="120"/>
        <w:ind w:left="720"/>
        <w:rPr>
          <w:bCs/>
          <w:szCs w:val="24"/>
        </w:rPr>
      </w:pPr>
      <w:r w:rsidRPr="007311A3">
        <w:rPr>
          <w:szCs w:val="22"/>
        </w:rPr>
        <w:t>The sponsor is working to ensure timely PBS listing of nivolumab for Australian patients with non-squamous NSCLC.</w:t>
      </w:r>
      <w:r w:rsidRPr="00A02879">
        <w:rPr>
          <w:szCs w:val="22"/>
        </w:rPr>
        <w:t xml:space="preserve"> </w:t>
      </w:r>
    </w:p>
    <w:p w:rsidR="00BE06FF" w:rsidRPr="00BE06FF" w:rsidRDefault="00BE06FF" w:rsidP="000028EC">
      <w:pPr>
        <w:pStyle w:val="PBACHeading1"/>
        <w:numPr>
          <w:ilvl w:val="0"/>
          <w:numId w:val="0"/>
        </w:numPr>
        <w:rPr>
          <w:b w:val="0"/>
        </w:rPr>
      </w:pPr>
    </w:p>
    <w:sectPr w:rsidR="00BE06FF" w:rsidRPr="00BE06FF" w:rsidSect="00200C65">
      <w:headerReference w:type="even" r:id="rId16"/>
      <w:headerReference w:type="default" r:id="rId17"/>
      <w:footerReference w:type="even" r:id="rId18"/>
      <w:footerReference w:type="default" r:id="rId19"/>
      <w:headerReference w:type="first" r:id="rId20"/>
      <w:footerReference w:type="first" r:id="rId21"/>
      <w:footnotePr>
        <w:numFmt w:val="lowerLetter"/>
      </w:footnotePr>
      <w:pgSz w:w="11906" w:h="16838"/>
      <w:pgMar w:top="1440" w:right="1440" w:bottom="1440" w:left="1440" w:header="1440" w:footer="1440"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215D04" w15:done="0"/>
  <w15:commentEx w15:paraId="5D194C56" w15:done="0"/>
  <w15:commentEx w15:paraId="3E9CE7F9" w15:done="0"/>
  <w15:commentEx w15:paraId="009936F3" w15:done="0"/>
  <w15:commentEx w15:paraId="10DDC7DB" w15:done="0"/>
  <w15:commentEx w15:paraId="2748E7E7" w15:done="0"/>
  <w15:commentEx w15:paraId="32F54D41" w15:done="0"/>
  <w15:commentEx w15:paraId="2D5BBC20" w15:done="0"/>
  <w15:commentEx w15:paraId="165437DD" w15:done="0"/>
  <w15:commentEx w15:paraId="79C4F389" w15:done="0"/>
  <w15:commentEx w15:paraId="6402A0F5" w15:done="0"/>
  <w15:commentEx w15:paraId="07A18345" w15:done="0"/>
  <w15:commentEx w15:paraId="5A359A93" w15:done="0"/>
  <w15:commentEx w15:paraId="5577CF32" w15:done="0"/>
  <w15:commentEx w15:paraId="70548A2D" w15:done="0"/>
  <w15:commentEx w15:paraId="7645D874" w15:done="0"/>
  <w15:commentEx w15:paraId="708DE0EF" w15:done="0"/>
  <w15:commentEx w15:paraId="0DFB2857" w15:done="0"/>
  <w15:commentEx w15:paraId="02941AEE" w15:done="0"/>
  <w15:commentEx w15:paraId="06D9BB43" w15:done="0"/>
  <w15:commentEx w15:paraId="69F19F8E" w15:done="0"/>
  <w15:commentEx w15:paraId="7582ED7B" w15:done="0"/>
  <w15:commentEx w15:paraId="3ADD6F9C" w15:done="0"/>
  <w15:commentEx w15:paraId="5C0F8B1D" w15:done="0"/>
  <w15:commentEx w15:paraId="5B58B066" w15:done="0"/>
  <w15:commentEx w15:paraId="7474233A" w15:done="0"/>
  <w15:commentEx w15:paraId="267850AC" w15:done="0"/>
  <w15:commentEx w15:paraId="70BB9FD6" w15:done="0"/>
  <w15:commentEx w15:paraId="52C9453F" w15:done="0"/>
  <w15:commentEx w15:paraId="0E72585B" w15:done="0"/>
  <w15:commentEx w15:paraId="53B4661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D27" w:rsidRDefault="00193D27" w:rsidP="00124A51">
      <w:r>
        <w:separator/>
      </w:r>
    </w:p>
  </w:endnote>
  <w:endnote w:type="continuationSeparator" w:id="0">
    <w:p w:rsidR="00193D27" w:rsidRDefault="00193D27" w:rsidP="00124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D27" w:rsidRDefault="00193D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332593"/>
      <w:docPartObj>
        <w:docPartGallery w:val="Page Numbers (Bottom of Page)"/>
        <w:docPartUnique/>
      </w:docPartObj>
    </w:sdtPr>
    <w:sdtEndPr>
      <w:rPr>
        <w:noProof/>
      </w:rPr>
    </w:sdtEndPr>
    <w:sdtContent>
      <w:p w:rsidR="00193D27" w:rsidRDefault="00193D27" w:rsidP="00CD77FB">
        <w:pPr>
          <w:pStyle w:val="Footer"/>
          <w:jc w:val="center"/>
        </w:pPr>
      </w:p>
      <w:p w:rsidR="00193D27" w:rsidRPr="00CD77FB" w:rsidRDefault="00193D27" w:rsidP="00CD77FB">
        <w:pPr>
          <w:pStyle w:val="Footer"/>
          <w:jc w:val="center"/>
        </w:pPr>
        <w:r>
          <w:fldChar w:fldCharType="begin"/>
        </w:r>
        <w:r>
          <w:instrText xml:space="preserve"> PAGE   \* MERGEFORMAT </w:instrText>
        </w:r>
        <w:r>
          <w:fldChar w:fldCharType="separate"/>
        </w:r>
        <w:r w:rsidR="008F7EC7">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D27" w:rsidRDefault="00193D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D27" w:rsidRDefault="00193D27" w:rsidP="00124A51">
      <w:r>
        <w:separator/>
      </w:r>
    </w:p>
  </w:footnote>
  <w:footnote w:type="continuationSeparator" w:id="0">
    <w:p w:rsidR="00193D27" w:rsidRDefault="00193D27" w:rsidP="00124A51">
      <w:r>
        <w:continuationSeparator/>
      </w:r>
    </w:p>
  </w:footnote>
  <w:footnote w:id="1">
    <w:p w:rsidR="00193D27" w:rsidRDefault="00193D27">
      <w:pPr>
        <w:pStyle w:val="FootnoteText"/>
      </w:pPr>
      <w:r>
        <w:rPr>
          <w:rStyle w:val="FootnoteReference"/>
        </w:rPr>
        <w:footnoteRef/>
      </w:r>
      <w:r>
        <w:t xml:space="preserve"> Preparation fee of $102.67 has been used</w:t>
      </w:r>
    </w:p>
  </w:footnote>
  <w:footnote w:id="2">
    <w:p w:rsidR="00193D27" w:rsidRDefault="00193D27">
      <w:pPr>
        <w:pStyle w:val="FootnoteText"/>
      </w:pPr>
      <w:r>
        <w:rPr>
          <w:rStyle w:val="FootnoteReference"/>
        </w:rPr>
        <w:footnoteRef/>
      </w:r>
      <w:r>
        <w:t xml:space="preserve"> </w:t>
      </w:r>
      <w:r w:rsidRPr="00F07323">
        <w:t>Royston P, Parmar MK. Restricted mean survival time: an alternative to the hazard ratio for the design and analysis of randomized trials with a time-to-event outcome. BMC Medical Research Methodology. 2013;13(1):152</w:t>
      </w:r>
      <w:r>
        <w:t>.</w:t>
      </w:r>
    </w:p>
  </w:footnote>
  <w:footnote w:id="3">
    <w:p w:rsidR="00193D27" w:rsidRPr="00F372F3" w:rsidRDefault="00193D27" w:rsidP="00144D06">
      <w:pPr>
        <w:pStyle w:val="FootnoteText"/>
      </w:pPr>
      <w:r>
        <w:rPr>
          <w:rStyle w:val="FootnoteReference"/>
        </w:rPr>
        <w:footnoteRef/>
      </w:r>
      <w:r>
        <w:t xml:space="preserve"> </w:t>
      </w:r>
      <w:r w:rsidRPr="00F372F3">
        <w:t>This listing is required should the sponsor decide to lodge an integrated co-dependent submission</w:t>
      </w:r>
      <w:r w:rsidRPr="0038645B">
        <w:rPr>
          <w:i/>
        </w:rPr>
        <w:t xml:space="preserve"> </w:t>
      </w:r>
      <w:r w:rsidRPr="00F372F3">
        <w:t>for use of PD-L1 test</w:t>
      </w:r>
      <w:r>
        <w:t>ing</w:t>
      </w:r>
      <w:r w:rsidRPr="00F372F3">
        <w:t xml:space="preserve"> to determine eligibility for pembrolizumab (Consultation Protocol 1414 available at www.msac.gov.au).</w:t>
      </w:r>
    </w:p>
  </w:footnote>
  <w:footnote w:id="4">
    <w:p w:rsidR="00193D27" w:rsidRPr="00B1388E" w:rsidRDefault="00193D27">
      <w:pPr>
        <w:pStyle w:val="FootnoteText"/>
      </w:pPr>
      <w:r>
        <w:rPr>
          <w:rStyle w:val="FootnoteReference"/>
        </w:rPr>
        <w:footnoteRef/>
      </w:r>
      <w:r>
        <w:t xml:space="preserve"> Mehrotra et al (2004). </w:t>
      </w:r>
      <w:r w:rsidRPr="00B1388E">
        <w:t>Use of the false discovery rate for evaluating clinical safety data</w:t>
      </w:r>
      <w:r>
        <w:t xml:space="preserve">. </w:t>
      </w:r>
      <w:r w:rsidRPr="00B1388E">
        <w:rPr>
          <w:i/>
        </w:rPr>
        <w:t>Statistical methods in medical research</w:t>
      </w:r>
      <w:r>
        <w:rPr>
          <w:i/>
        </w:rPr>
        <w:t xml:space="preserve"> </w:t>
      </w:r>
      <w:r>
        <w:t>2004; 13; pp227-238.</w:t>
      </w:r>
    </w:p>
  </w:footnote>
  <w:footnote w:id="5">
    <w:p w:rsidR="00193D27" w:rsidRDefault="00193D27">
      <w:pPr>
        <w:pStyle w:val="FootnoteText"/>
      </w:pPr>
      <w:r>
        <w:rPr>
          <w:rStyle w:val="FootnoteReference"/>
        </w:rPr>
        <w:footnoteRef/>
      </w:r>
      <w:r>
        <w:t xml:space="preserve"> </w:t>
      </w:r>
      <w:r w:rsidRPr="00B00A55">
        <w:t>Chouaid C, Agulnik J, Goker E, Herder GJ, Lester JF, Vansteenkiste J, et al. Health-related quality of life and utility in patients with advanced non-small-cell lung cancer: a prospective cross-sectional patient survey in a real-world setting. J Thorac Oncol. 2013;8(8):997-1003.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D27" w:rsidRDefault="00193D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D27" w:rsidRPr="00662DF1" w:rsidRDefault="00193D27" w:rsidP="00DF4746">
    <w:pPr>
      <w:tabs>
        <w:tab w:val="left" w:pos="142"/>
        <w:tab w:val="right" w:pos="9027"/>
      </w:tabs>
      <w:jc w:val="center"/>
      <w:rPr>
        <w:i/>
        <w:color w:val="A6A6A6" w:themeColor="background1" w:themeShade="A6"/>
      </w:rPr>
    </w:pPr>
    <w:r>
      <w:rPr>
        <w:i/>
        <w:color w:val="A6A6A6" w:themeColor="background1" w:themeShade="A6"/>
      </w:rPr>
      <w:t xml:space="preserve">Public Summary Document </w:t>
    </w:r>
    <w:r w:rsidRPr="00662DF1">
      <w:rPr>
        <w:i/>
        <w:color w:val="A6A6A6" w:themeColor="background1" w:themeShade="A6"/>
      </w:rPr>
      <w:t>– March 2016 PBAC Meeting</w:t>
    </w:r>
  </w:p>
  <w:p w:rsidR="00193D27" w:rsidRPr="00DF4746" w:rsidRDefault="00193D27" w:rsidP="00DF474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D27" w:rsidRDefault="00193D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4DB6EC1"/>
    <w:multiLevelType w:val="hybridMultilevel"/>
    <w:tmpl w:val="EA00BD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72247E"/>
    <w:multiLevelType w:val="hybridMultilevel"/>
    <w:tmpl w:val="4FC6F1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069517D"/>
    <w:multiLevelType w:val="hybridMultilevel"/>
    <w:tmpl w:val="8E7258C6"/>
    <w:lvl w:ilvl="0" w:tplc="0C090001">
      <w:start w:val="1"/>
      <w:numFmt w:val="bullet"/>
      <w:pStyle w:val="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6E0E43"/>
    <w:multiLevelType w:val="hybridMultilevel"/>
    <w:tmpl w:val="B28E9AF6"/>
    <w:lvl w:ilvl="0" w:tplc="0C090001">
      <w:start w:val="1"/>
      <w:numFmt w:val="bullet"/>
      <w:lvlText w:val=""/>
      <w:lvlJc w:val="left"/>
      <w:pPr>
        <w:ind w:left="1509" w:hanging="360"/>
      </w:pPr>
      <w:rPr>
        <w:rFonts w:ascii="Symbol" w:hAnsi="Symbol" w:hint="default"/>
      </w:rPr>
    </w:lvl>
    <w:lvl w:ilvl="1" w:tplc="0C090003" w:tentative="1">
      <w:start w:val="1"/>
      <w:numFmt w:val="bullet"/>
      <w:lvlText w:val="o"/>
      <w:lvlJc w:val="left"/>
      <w:pPr>
        <w:ind w:left="2229" w:hanging="360"/>
      </w:pPr>
      <w:rPr>
        <w:rFonts w:ascii="Courier New" w:hAnsi="Courier New" w:cs="Courier New" w:hint="default"/>
      </w:rPr>
    </w:lvl>
    <w:lvl w:ilvl="2" w:tplc="0C090005" w:tentative="1">
      <w:start w:val="1"/>
      <w:numFmt w:val="bullet"/>
      <w:lvlText w:val=""/>
      <w:lvlJc w:val="left"/>
      <w:pPr>
        <w:ind w:left="2949" w:hanging="360"/>
      </w:pPr>
      <w:rPr>
        <w:rFonts w:ascii="Wingdings" w:hAnsi="Wingdings" w:hint="default"/>
      </w:rPr>
    </w:lvl>
    <w:lvl w:ilvl="3" w:tplc="0C090001" w:tentative="1">
      <w:start w:val="1"/>
      <w:numFmt w:val="bullet"/>
      <w:lvlText w:val=""/>
      <w:lvlJc w:val="left"/>
      <w:pPr>
        <w:ind w:left="3669" w:hanging="360"/>
      </w:pPr>
      <w:rPr>
        <w:rFonts w:ascii="Symbol" w:hAnsi="Symbol" w:hint="default"/>
      </w:rPr>
    </w:lvl>
    <w:lvl w:ilvl="4" w:tplc="0C090003" w:tentative="1">
      <w:start w:val="1"/>
      <w:numFmt w:val="bullet"/>
      <w:lvlText w:val="o"/>
      <w:lvlJc w:val="left"/>
      <w:pPr>
        <w:ind w:left="4389" w:hanging="360"/>
      </w:pPr>
      <w:rPr>
        <w:rFonts w:ascii="Courier New" w:hAnsi="Courier New" w:cs="Courier New" w:hint="default"/>
      </w:rPr>
    </w:lvl>
    <w:lvl w:ilvl="5" w:tplc="0C090005" w:tentative="1">
      <w:start w:val="1"/>
      <w:numFmt w:val="bullet"/>
      <w:lvlText w:val=""/>
      <w:lvlJc w:val="left"/>
      <w:pPr>
        <w:ind w:left="5109" w:hanging="360"/>
      </w:pPr>
      <w:rPr>
        <w:rFonts w:ascii="Wingdings" w:hAnsi="Wingdings" w:hint="default"/>
      </w:rPr>
    </w:lvl>
    <w:lvl w:ilvl="6" w:tplc="0C090001" w:tentative="1">
      <w:start w:val="1"/>
      <w:numFmt w:val="bullet"/>
      <w:lvlText w:val=""/>
      <w:lvlJc w:val="left"/>
      <w:pPr>
        <w:ind w:left="5829" w:hanging="360"/>
      </w:pPr>
      <w:rPr>
        <w:rFonts w:ascii="Symbol" w:hAnsi="Symbol" w:hint="default"/>
      </w:rPr>
    </w:lvl>
    <w:lvl w:ilvl="7" w:tplc="0C090003" w:tentative="1">
      <w:start w:val="1"/>
      <w:numFmt w:val="bullet"/>
      <w:lvlText w:val="o"/>
      <w:lvlJc w:val="left"/>
      <w:pPr>
        <w:ind w:left="6549" w:hanging="360"/>
      </w:pPr>
      <w:rPr>
        <w:rFonts w:ascii="Courier New" w:hAnsi="Courier New" w:cs="Courier New" w:hint="default"/>
      </w:rPr>
    </w:lvl>
    <w:lvl w:ilvl="8" w:tplc="0C090005" w:tentative="1">
      <w:start w:val="1"/>
      <w:numFmt w:val="bullet"/>
      <w:lvlText w:val=""/>
      <w:lvlJc w:val="left"/>
      <w:pPr>
        <w:ind w:left="7269" w:hanging="360"/>
      </w:pPr>
      <w:rPr>
        <w:rFonts w:ascii="Wingdings" w:hAnsi="Wingdings" w:hint="default"/>
      </w:rPr>
    </w:lvl>
  </w:abstractNum>
  <w:abstractNum w:abstractNumId="6">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4BF4123E"/>
    <w:multiLevelType w:val="hybridMultilevel"/>
    <w:tmpl w:val="2CB6B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D95593F"/>
    <w:multiLevelType w:val="hybridMultilevel"/>
    <w:tmpl w:val="38765B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5ED00A85"/>
    <w:multiLevelType w:val="hybridMultilevel"/>
    <w:tmpl w:val="A1223F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23A0AF3"/>
    <w:multiLevelType w:val="hybridMultilevel"/>
    <w:tmpl w:val="C8C496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FFE2EE5"/>
    <w:multiLevelType w:val="hybridMultilevel"/>
    <w:tmpl w:val="6C18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77B7CA6"/>
    <w:multiLevelType w:val="hybridMultilevel"/>
    <w:tmpl w:val="769E1818"/>
    <w:lvl w:ilvl="0" w:tplc="0C090001">
      <w:start w:val="1"/>
      <w:numFmt w:val="bullet"/>
      <w:lvlText w:val=""/>
      <w:lvlJc w:val="left"/>
      <w:pPr>
        <w:ind w:left="3573" w:hanging="360"/>
      </w:pPr>
      <w:rPr>
        <w:rFonts w:ascii="Symbol" w:hAnsi="Symbol" w:hint="default"/>
      </w:rPr>
    </w:lvl>
    <w:lvl w:ilvl="1" w:tplc="0C090003" w:tentative="1">
      <w:start w:val="1"/>
      <w:numFmt w:val="bullet"/>
      <w:lvlText w:val="o"/>
      <w:lvlJc w:val="left"/>
      <w:pPr>
        <w:ind w:left="4293" w:hanging="360"/>
      </w:pPr>
      <w:rPr>
        <w:rFonts w:ascii="Courier New" w:hAnsi="Courier New" w:cs="Courier New" w:hint="default"/>
      </w:rPr>
    </w:lvl>
    <w:lvl w:ilvl="2" w:tplc="0C090005" w:tentative="1">
      <w:start w:val="1"/>
      <w:numFmt w:val="bullet"/>
      <w:lvlText w:val=""/>
      <w:lvlJc w:val="left"/>
      <w:pPr>
        <w:ind w:left="5013" w:hanging="360"/>
      </w:pPr>
      <w:rPr>
        <w:rFonts w:ascii="Wingdings" w:hAnsi="Wingdings" w:hint="default"/>
      </w:rPr>
    </w:lvl>
    <w:lvl w:ilvl="3" w:tplc="0C090001" w:tentative="1">
      <w:start w:val="1"/>
      <w:numFmt w:val="bullet"/>
      <w:lvlText w:val=""/>
      <w:lvlJc w:val="left"/>
      <w:pPr>
        <w:ind w:left="5733" w:hanging="360"/>
      </w:pPr>
      <w:rPr>
        <w:rFonts w:ascii="Symbol" w:hAnsi="Symbol" w:hint="default"/>
      </w:rPr>
    </w:lvl>
    <w:lvl w:ilvl="4" w:tplc="0C090003" w:tentative="1">
      <w:start w:val="1"/>
      <w:numFmt w:val="bullet"/>
      <w:lvlText w:val="o"/>
      <w:lvlJc w:val="left"/>
      <w:pPr>
        <w:ind w:left="6453" w:hanging="360"/>
      </w:pPr>
      <w:rPr>
        <w:rFonts w:ascii="Courier New" w:hAnsi="Courier New" w:cs="Courier New" w:hint="default"/>
      </w:rPr>
    </w:lvl>
    <w:lvl w:ilvl="5" w:tplc="0C090005" w:tentative="1">
      <w:start w:val="1"/>
      <w:numFmt w:val="bullet"/>
      <w:lvlText w:val=""/>
      <w:lvlJc w:val="left"/>
      <w:pPr>
        <w:ind w:left="7173" w:hanging="360"/>
      </w:pPr>
      <w:rPr>
        <w:rFonts w:ascii="Wingdings" w:hAnsi="Wingdings" w:hint="default"/>
      </w:rPr>
    </w:lvl>
    <w:lvl w:ilvl="6" w:tplc="0C090001" w:tentative="1">
      <w:start w:val="1"/>
      <w:numFmt w:val="bullet"/>
      <w:lvlText w:val=""/>
      <w:lvlJc w:val="left"/>
      <w:pPr>
        <w:ind w:left="7893" w:hanging="360"/>
      </w:pPr>
      <w:rPr>
        <w:rFonts w:ascii="Symbol" w:hAnsi="Symbol" w:hint="default"/>
      </w:rPr>
    </w:lvl>
    <w:lvl w:ilvl="7" w:tplc="0C090003" w:tentative="1">
      <w:start w:val="1"/>
      <w:numFmt w:val="bullet"/>
      <w:lvlText w:val="o"/>
      <w:lvlJc w:val="left"/>
      <w:pPr>
        <w:ind w:left="8613" w:hanging="360"/>
      </w:pPr>
      <w:rPr>
        <w:rFonts w:ascii="Courier New" w:hAnsi="Courier New" w:cs="Courier New" w:hint="default"/>
      </w:rPr>
    </w:lvl>
    <w:lvl w:ilvl="8" w:tplc="0C090005" w:tentative="1">
      <w:start w:val="1"/>
      <w:numFmt w:val="bullet"/>
      <w:lvlText w:val=""/>
      <w:lvlJc w:val="left"/>
      <w:pPr>
        <w:ind w:left="9333" w:hanging="360"/>
      </w:pPr>
      <w:rPr>
        <w:rFonts w:ascii="Wingdings" w:hAnsi="Wingdings" w:hint="default"/>
      </w:rPr>
    </w:lvl>
  </w:abstractNum>
  <w:abstractNum w:abstractNumId="14">
    <w:nsid w:val="784D033C"/>
    <w:multiLevelType w:val="multilevel"/>
    <w:tmpl w:val="071E8CE8"/>
    <w:lvl w:ilvl="0">
      <w:start w:val="1"/>
      <w:numFmt w:val="decimal"/>
      <w:pStyle w:val="PBACHeading1"/>
      <w:lvlText w:val="%1"/>
      <w:lvlJc w:val="left"/>
      <w:pPr>
        <w:ind w:left="720" w:hanging="720"/>
      </w:pPr>
      <w:rPr>
        <w:rFonts w:hint="default"/>
        <w:b/>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4"/>
  </w:num>
  <w:num w:numId="3">
    <w:abstractNumId w:val="12"/>
  </w:num>
  <w:num w:numId="4">
    <w:abstractNumId w:val="1"/>
  </w:num>
  <w:num w:numId="5">
    <w:abstractNumId w:val="7"/>
  </w:num>
  <w:num w:numId="6">
    <w:abstractNumId w:val="13"/>
  </w:num>
  <w:num w:numId="7">
    <w:abstractNumId w:val="8"/>
  </w:num>
  <w:num w:numId="8">
    <w:abstractNumId w:val="3"/>
  </w:num>
  <w:num w:numId="9">
    <w:abstractNumId w:val="0"/>
  </w:num>
  <w:num w:numId="10">
    <w:abstractNumId w:val="6"/>
  </w:num>
  <w:num w:numId="11">
    <w:abstractNumId w:val="11"/>
  </w:num>
  <w:num w:numId="12">
    <w:abstractNumId w:val="2"/>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9"/>
  </w:num>
  <w:num w:numId="20">
    <w:abstractNumId w:val="5"/>
  </w:num>
  <w:num w:numId="21">
    <w:abstractNumId w:val="4"/>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slie Jackowski">
    <w15:presenceInfo w15:providerId="Windows Live" w15:userId="24f8055e49ac70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NotTrackFormatting/>
  <w:defaultTabStop w:val="720"/>
  <w:characterSpacingControl w:val="doNotCompress"/>
  <w:hdrShapeDefaults>
    <o:shapedefaults v:ext="edit" spidmax="6145"/>
  </w:hdrShapeDefaults>
  <w:footnotePr>
    <w:numFmt w:val="lowerLette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modified&lt;/Style&gt;&lt;LeftDelim&gt;{&lt;/LeftDelim&gt;&lt;RightDelim&gt;}&lt;/RightDelim&gt;&lt;FontName&gt;Arial Bold&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r0p0sz5uatetne0tvixssabsvrs529wvpvd&quot;&gt;EGFR Copy&lt;record-ids&gt;&lt;item&gt;499&lt;/item&gt;&lt;item&gt;508&lt;/item&gt;&lt;item&gt;509&lt;/item&gt;&lt;item&gt;512&lt;/item&gt;&lt;item&gt;515&lt;/item&gt;&lt;item&gt;516&lt;/item&gt;&lt;item&gt;517&lt;/item&gt;&lt;item&gt;518&lt;/item&gt;&lt;item&gt;519&lt;/item&gt;&lt;item&gt;520&lt;/item&gt;&lt;item&gt;521&lt;/item&gt;&lt;item&gt;525&lt;/item&gt;&lt;item&gt;526&lt;/item&gt;&lt;item&gt;528&lt;/item&gt;&lt;item&gt;529&lt;/item&gt;&lt;item&gt;530&lt;/item&gt;&lt;/record-ids&gt;&lt;/item&gt;&lt;/Libraries&gt;"/>
  </w:docVars>
  <w:rsids>
    <w:rsidRoot w:val="00E65E79"/>
    <w:rsid w:val="00000790"/>
    <w:rsid w:val="0000110B"/>
    <w:rsid w:val="00001163"/>
    <w:rsid w:val="000028EC"/>
    <w:rsid w:val="00003499"/>
    <w:rsid w:val="00005D8C"/>
    <w:rsid w:val="00013247"/>
    <w:rsid w:val="000132D8"/>
    <w:rsid w:val="00013F70"/>
    <w:rsid w:val="00015886"/>
    <w:rsid w:val="000162EF"/>
    <w:rsid w:val="0001709E"/>
    <w:rsid w:val="000170FB"/>
    <w:rsid w:val="000172EE"/>
    <w:rsid w:val="00017A54"/>
    <w:rsid w:val="0002225F"/>
    <w:rsid w:val="00023763"/>
    <w:rsid w:val="000247B5"/>
    <w:rsid w:val="0002670A"/>
    <w:rsid w:val="00026B46"/>
    <w:rsid w:val="00026C67"/>
    <w:rsid w:val="0002790C"/>
    <w:rsid w:val="00027DBF"/>
    <w:rsid w:val="0003111F"/>
    <w:rsid w:val="00031301"/>
    <w:rsid w:val="0003368A"/>
    <w:rsid w:val="0004083E"/>
    <w:rsid w:val="00040895"/>
    <w:rsid w:val="00042695"/>
    <w:rsid w:val="00043208"/>
    <w:rsid w:val="00043C37"/>
    <w:rsid w:val="000440C2"/>
    <w:rsid w:val="00047D28"/>
    <w:rsid w:val="000546D7"/>
    <w:rsid w:val="00057C99"/>
    <w:rsid w:val="0006055F"/>
    <w:rsid w:val="0006128A"/>
    <w:rsid w:val="000620C7"/>
    <w:rsid w:val="00062870"/>
    <w:rsid w:val="000638F5"/>
    <w:rsid w:val="00064B2A"/>
    <w:rsid w:val="00065C0A"/>
    <w:rsid w:val="00070AAD"/>
    <w:rsid w:val="00071248"/>
    <w:rsid w:val="000720B9"/>
    <w:rsid w:val="00074A32"/>
    <w:rsid w:val="000765EF"/>
    <w:rsid w:val="0008088C"/>
    <w:rsid w:val="000812CA"/>
    <w:rsid w:val="00082CAF"/>
    <w:rsid w:val="00083AC9"/>
    <w:rsid w:val="000846E3"/>
    <w:rsid w:val="00084AAE"/>
    <w:rsid w:val="000873D6"/>
    <w:rsid w:val="00087A0F"/>
    <w:rsid w:val="00090C7E"/>
    <w:rsid w:val="00090E9C"/>
    <w:rsid w:val="00091346"/>
    <w:rsid w:val="00091975"/>
    <w:rsid w:val="0009213A"/>
    <w:rsid w:val="000928E0"/>
    <w:rsid w:val="000934FD"/>
    <w:rsid w:val="000940D8"/>
    <w:rsid w:val="00094BC2"/>
    <w:rsid w:val="000A54F7"/>
    <w:rsid w:val="000B06A2"/>
    <w:rsid w:val="000B082A"/>
    <w:rsid w:val="000B15DD"/>
    <w:rsid w:val="000B46D9"/>
    <w:rsid w:val="000B4DF3"/>
    <w:rsid w:val="000B632E"/>
    <w:rsid w:val="000B70E4"/>
    <w:rsid w:val="000C00D6"/>
    <w:rsid w:val="000C18CA"/>
    <w:rsid w:val="000C22C9"/>
    <w:rsid w:val="000C2860"/>
    <w:rsid w:val="000C2ABE"/>
    <w:rsid w:val="000C2E90"/>
    <w:rsid w:val="000C376B"/>
    <w:rsid w:val="000C4474"/>
    <w:rsid w:val="000C54DE"/>
    <w:rsid w:val="000C58A1"/>
    <w:rsid w:val="000C62F4"/>
    <w:rsid w:val="000C73B5"/>
    <w:rsid w:val="000D029A"/>
    <w:rsid w:val="000D1BFC"/>
    <w:rsid w:val="000D2A9E"/>
    <w:rsid w:val="000D6B96"/>
    <w:rsid w:val="000D77CA"/>
    <w:rsid w:val="000E1399"/>
    <w:rsid w:val="000E1FBB"/>
    <w:rsid w:val="000E4EE5"/>
    <w:rsid w:val="000E6382"/>
    <w:rsid w:val="000E6C72"/>
    <w:rsid w:val="000F02C5"/>
    <w:rsid w:val="000F0B31"/>
    <w:rsid w:val="000F1035"/>
    <w:rsid w:val="000F1AA4"/>
    <w:rsid w:val="000F2872"/>
    <w:rsid w:val="000F2B31"/>
    <w:rsid w:val="000F2D84"/>
    <w:rsid w:val="000F4BB8"/>
    <w:rsid w:val="000F4C26"/>
    <w:rsid w:val="000F708B"/>
    <w:rsid w:val="000F7127"/>
    <w:rsid w:val="000F7228"/>
    <w:rsid w:val="00100001"/>
    <w:rsid w:val="00100F8A"/>
    <w:rsid w:val="001024F3"/>
    <w:rsid w:val="00102619"/>
    <w:rsid w:val="00103079"/>
    <w:rsid w:val="00103504"/>
    <w:rsid w:val="00105722"/>
    <w:rsid w:val="001062D4"/>
    <w:rsid w:val="00107D27"/>
    <w:rsid w:val="001101ED"/>
    <w:rsid w:val="0011032E"/>
    <w:rsid w:val="0011348B"/>
    <w:rsid w:val="0011529C"/>
    <w:rsid w:val="00116C5D"/>
    <w:rsid w:val="0011734C"/>
    <w:rsid w:val="0011798A"/>
    <w:rsid w:val="00120A50"/>
    <w:rsid w:val="00121799"/>
    <w:rsid w:val="001222FC"/>
    <w:rsid w:val="00123AEA"/>
    <w:rsid w:val="00123C0B"/>
    <w:rsid w:val="00124A51"/>
    <w:rsid w:val="00125717"/>
    <w:rsid w:val="00126621"/>
    <w:rsid w:val="00126F89"/>
    <w:rsid w:val="001301E9"/>
    <w:rsid w:val="001316A6"/>
    <w:rsid w:val="001330D1"/>
    <w:rsid w:val="0013361D"/>
    <w:rsid w:val="001339F4"/>
    <w:rsid w:val="00133EF0"/>
    <w:rsid w:val="001358EE"/>
    <w:rsid w:val="00137645"/>
    <w:rsid w:val="0014015A"/>
    <w:rsid w:val="001405CB"/>
    <w:rsid w:val="00140E99"/>
    <w:rsid w:val="0014179C"/>
    <w:rsid w:val="00141A59"/>
    <w:rsid w:val="00142017"/>
    <w:rsid w:val="00142226"/>
    <w:rsid w:val="00142AD6"/>
    <w:rsid w:val="00144D06"/>
    <w:rsid w:val="0014534D"/>
    <w:rsid w:val="00145540"/>
    <w:rsid w:val="001456B0"/>
    <w:rsid w:val="00145A92"/>
    <w:rsid w:val="00145CC6"/>
    <w:rsid w:val="00150D64"/>
    <w:rsid w:val="00152D3B"/>
    <w:rsid w:val="00157130"/>
    <w:rsid w:val="00162913"/>
    <w:rsid w:val="00163EFF"/>
    <w:rsid w:val="00164A06"/>
    <w:rsid w:val="00164BCD"/>
    <w:rsid w:val="00165465"/>
    <w:rsid w:val="001661FB"/>
    <w:rsid w:val="00171AA9"/>
    <w:rsid w:val="0017308F"/>
    <w:rsid w:val="00174655"/>
    <w:rsid w:val="00174DB4"/>
    <w:rsid w:val="0017701F"/>
    <w:rsid w:val="00182134"/>
    <w:rsid w:val="00184150"/>
    <w:rsid w:val="00185266"/>
    <w:rsid w:val="0018752F"/>
    <w:rsid w:val="00193D27"/>
    <w:rsid w:val="0019455C"/>
    <w:rsid w:val="00195222"/>
    <w:rsid w:val="0019708E"/>
    <w:rsid w:val="001975D8"/>
    <w:rsid w:val="001A20BE"/>
    <w:rsid w:val="001A5A30"/>
    <w:rsid w:val="001A7EA2"/>
    <w:rsid w:val="001A7F69"/>
    <w:rsid w:val="001B13E6"/>
    <w:rsid w:val="001B3443"/>
    <w:rsid w:val="001B3638"/>
    <w:rsid w:val="001B369E"/>
    <w:rsid w:val="001B5243"/>
    <w:rsid w:val="001B5DFF"/>
    <w:rsid w:val="001B6122"/>
    <w:rsid w:val="001B7680"/>
    <w:rsid w:val="001C0BA7"/>
    <w:rsid w:val="001C26B4"/>
    <w:rsid w:val="001C516C"/>
    <w:rsid w:val="001C5BC8"/>
    <w:rsid w:val="001C5D83"/>
    <w:rsid w:val="001C6E66"/>
    <w:rsid w:val="001C7B8B"/>
    <w:rsid w:val="001D1E18"/>
    <w:rsid w:val="001D1F76"/>
    <w:rsid w:val="001D2538"/>
    <w:rsid w:val="001D2D2E"/>
    <w:rsid w:val="001D45DC"/>
    <w:rsid w:val="001E08CF"/>
    <w:rsid w:val="001E0952"/>
    <w:rsid w:val="001E238E"/>
    <w:rsid w:val="001E2B1E"/>
    <w:rsid w:val="001E3E82"/>
    <w:rsid w:val="001E52EB"/>
    <w:rsid w:val="001E5EBD"/>
    <w:rsid w:val="001E6F7F"/>
    <w:rsid w:val="001E740C"/>
    <w:rsid w:val="001E7B3E"/>
    <w:rsid w:val="001F0AEA"/>
    <w:rsid w:val="001F1235"/>
    <w:rsid w:val="001F1CB3"/>
    <w:rsid w:val="001F1E2D"/>
    <w:rsid w:val="001F29C1"/>
    <w:rsid w:val="001F3DE4"/>
    <w:rsid w:val="001F63BE"/>
    <w:rsid w:val="001F7361"/>
    <w:rsid w:val="002001FD"/>
    <w:rsid w:val="00200C65"/>
    <w:rsid w:val="0020139A"/>
    <w:rsid w:val="0020226D"/>
    <w:rsid w:val="0020385F"/>
    <w:rsid w:val="002039D5"/>
    <w:rsid w:val="00207021"/>
    <w:rsid w:val="00207D00"/>
    <w:rsid w:val="002105C1"/>
    <w:rsid w:val="00211D4E"/>
    <w:rsid w:val="00211D67"/>
    <w:rsid w:val="00213DAF"/>
    <w:rsid w:val="0021443D"/>
    <w:rsid w:val="002211D5"/>
    <w:rsid w:val="002229B6"/>
    <w:rsid w:val="00223667"/>
    <w:rsid w:val="00223B49"/>
    <w:rsid w:val="00224DD4"/>
    <w:rsid w:val="00225123"/>
    <w:rsid w:val="002257DC"/>
    <w:rsid w:val="00227C21"/>
    <w:rsid w:val="002309CC"/>
    <w:rsid w:val="00232141"/>
    <w:rsid w:val="00232276"/>
    <w:rsid w:val="00237B8C"/>
    <w:rsid w:val="00237CA1"/>
    <w:rsid w:val="00240D00"/>
    <w:rsid w:val="00241233"/>
    <w:rsid w:val="00241ADA"/>
    <w:rsid w:val="00242315"/>
    <w:rsid w:val="00242556"/>
    <w:rsid w:val="00242C01"/>
    <w:rsid w:val="00245D89"/>
    <w:rsid w:val="00246C0F"/>
    <w:rsid w:val="0024745E"/>
    <w:rsid w:val="00252E3E"/>
    <w:rsid w:val="00253240"/>
    <w:rsid w:val="002539C9"/>
    <w:rsid w:val="00254DCF"/>
    <w:rsid w:val="0025534B"/>
    <w:rsid w:val="00255BB7"/>
    <w:rsid w:val="0026088C"/>
    <w:rsid w:val="00261894"/>
    <w:rsid w:val="00262A87"/>
    <w:rsid w:val="00265962"/>
    <w:rsid w:val="00267003"/>
    <w:rsid w:val="00267468"/>
    <w:rsid w:val="00267FF4"/>
    <w:rsid w:val="00271672"/>
    <w:rsid w:val="00273793"/>
    <w:rsid w:val="00275C5A"/>
    <w:rsid w:val="00276516"/>
    <w:rsid w:val="0027655A"/>
    <w:rsid w:val="002766D7"/>
    <w:rsid w:val="00280C77"/>
    <w:rsid w:val="00281014"/>
    <w:rsid w:val="00281CD2"/>
    <w:rsid w:val="00282173"/>
    <w:rsid w:val="00282801"/>
    <w:rsid w:val="002856D8"/>
    <w:rsid w:val="00285936"/>
    <w:rsid w:val="00285C4F"/>
    <w:rsid w:val="00287965"/>
    <w:rsid w:val="00291DA8"/>
    <w:rsid w:val="0029517F"/>
    <w:rsid w:val="00296F87"/>
    <w:rsid w:val="00297861"/>
    <w:rsid w:val="002A14AB"/>
    <w:rsid w:val="002A1F2E"/>
    <w:rsid w:val="002A3829"/>
    <w:rsid w:val="002A5C3F"/>
    <w:rsid w:val="002B0315"/>
    <w:rsid w:val="002B1979"/>
    <w:rsid w:val="002B1C1F"/>
    <w:rsid w:val="002B3D82"/>
    <w:rsid w:val="002B432F"/>
    <w:rsid w:val="002B43E8"/>
    <w:rsid w:val="002B6343"/>
    <w:rsid w:val="002B6CCE"/>
    <w:rsid w:val="002C1259"/>
    <w:rsid w:val="002C18C7"/>
    <w:rsid w:val="002C2775"/>
    <w:rsid w:val="002C27C1"/>
    <w:rsid w:val="002C27F7"/>
    <w:rsid w:val="002C3D06"/>
    <w:rsid w:val="002C674D"/>
    <w:rsid w:val="002D0336"/>
    <w:rsid w:val="002D0C16"/>
    <w:rsid w:val="002D7E68"/>
    <w:rsid w:val="002E4DC0"/>
    <w:rsid w:val="002E4F5F"/>
    <w:rsid w:val="002E6465"/>
    <w:rsid w:val="002F4232"/>
    <w:rsid w:val="002F49DD"/>
    <w:rsid w:val="002F4BFE"/>
    <w:rsid w:val="002F5FB3"/>
    <w:rsid w:val="00300D92"/>
    <w:rsid w:val="00301017"/>
    <w:rsid w:val="00305536"/>
    <w:rsid w:val="003060C4"/>
    <w:rsid w:val="0030786C"/>
    <w:rsid w:val="0031031A"/>
    <w:rsid w:val="00310981"/>
    <w:rsid w:val="00310AF5"/>
    <w:rsid w:val="003138D8"/>
    <w:rsid w:val="0031529F"/>
    <w:rsid w:val="0031535F"/>
    <w:rsid w:val="00315498"/>
    <w:rsid w:val="0031561C"/>
    <w:rsid w:val="00320138"/>
    <w:rsid w:val="0032378B"/>
    <w:rsid w:val="00325C32"/>
    <w:rsid w:val="00327EF8"/>
    <w:rsid w:val="003349A8"/>
    <w:rsid w:val="00334D4F"/>
    <w:rsid w:val="003366C9"/>
    <w:rsid w:val="003371B0"/>
    <w:rsid w:val="003377F7"/>
    <w:rsid w:val="00346A91"/>
    <w:rsid w:val="0035036C"/>
    <w:rsid w:val="00353100"/>
    <w:rsid w:val="00354F88"/>
    <w:rsid w:val="003557D5"/>
    <w:rsid w:val="0035620E"/>
    <w:rsid w:val="0036264C"/>
    <w:rsid w:val="00363B9E"/>
    <w:rsid w:val="00363E4C"/>
    <w:rsid w:val="00364517"/>
    <w:rsid w:val="003645F5"/>
    <w:rsid w:val="003703C5"/>
    <w:rsid w:val="003709C7"/>
    <w:rsid w:val="003720CF"/>
    <w:rsid w:val="0037242E"/>
    <w:rsid w:val="00375636"/>
    <w:rsid w:val="003765C7"/>
    <w:rsid w:val="00377A89"/>
    <w:rsid w:val="0038077E"/>
    <w:rsid w:val="00380D2E"/>
    <w:rsid w:val="00381730"/>
    <w:rsid w:val="0038365C"/>
    <w:rsid w:val="003841B0"/>
    <w:rsid w:val="0038645B"/>
    <w:rsid w:val="0038689D"/>
    <w:rsid w:val="00387138"/>
    <w:rsid w:val="003901BB"/>
    <w:rsid w:val="00390DB8"/>
    <w:rsid w:val="00395A29"/>
    <w:rsid w:val="00396FD0"/>
    <w:rsid w:val="00397008"/>
    <w:rsid w:val="00397A58"/>
    <w:rsid w:val="003A13EE"/>
    <w:rsid w:val="003A1A7A"/>
    <w:rsid w:val="003A4386"/>
    <w:rsid w:val="003A5B89"/>
    <w:rsid w:val="003A6271"/>
    <w:rsid w:val="003B09B6"/>
    <w:rsid w:val="003B1BE3"/>
    <w:rsid w:val="003B2572"/>
    <w:rsid w:val="003B2A35"/>
    <w:rsid w:val="003C0A99"/>
    <w:rsid w:val="003C27AF"/>
    <w:rsid w:val="003C318D"/>
    <w:rsid w:val="003C362B"/>
    <w:rsid w:val="003C534A"/>
    <w:rsid w:val="003C5608"/>
    <w:rsid w:val="003C5688"/>
    <w:rsid w:val="003C61AA"/>
    <w:rsid w:val="003C66AC"/>
    <w:rsid w:val="003C7863"/>
    <w:rsid w:val="003D1828"/>
    <w:rsid w:val="003D2422"/>
    <w:rsid w:val="003D2512"/>
    <w:rsid w:val="003D6DDA"/>
    <w:rsid w:val="003E004E"/>
    <w:rsid w:val="003E2077"/>
    <w:rsid w:val="003E228E"/>
    <w:rsid w:val="003E4CA4"/>
    <w:rsid w:val="003E60C3"/>
    <w:rsid w:val="003E7F9E"/>
    <w:rsid w:val="003F1A31"/>
    <w:rsid w:val="003F1BFA"/>
    <w:rsid w:val="003F25B0"/>
    <w:rsid w:val="003F3159"/>
    <w:rsid w:val="003F4156"/>
    <w:rsid w:val="003F4924"/>
    <w:rsid w:val="003F531B"/>
    <w:rsid w:val="003F7CD2"/>
    <w:rsid w:val="00400FD0"/>
    <w:rsid w:val="00402345"/>
    <w:rsid w:val="00404637"/>
    <w:rsid w:val="00406225"/>
    <w:rsid w:val="00406CF4"/>
    <w:rsid w:val="00407482"/>
    <w:rsid w:val="00407588"/>
    <w:rsid w:val="00410708"/>
    <w:rsid w:val="00410EC7"/>
    <w:rsid w:val="00411B5B"/>
    <w:rsid w:val="0041300B"/>
    <w:rsid w:val="00413FC7"/>
    <w:rsid w:val="00414476"/>
    <w:rsid w:val="00414B59"/>
    <w:rsid w:val="00416B4A"/>
    <w:rsid w:val="00420B9F"/>
    <w:rsid w:val="00430B2B"/>
    <w:rsid w:val="004319F8"/>
    <w:rsid w:val="004328EC"/>
    <w:rsid w:val="00433044"/>
    <w:rsid w:val="00436F21"/>
    <w:rsid w:val="00441B09"/>
    <w:rsid w:val="00442C2A"/>
    <w:rsid w:val="004443A7"/>
    <w:rsid w:val="004464EB"/>
    <w:rsid w:val="004467FA"/>
    <w:rsid w:val="00450E12"/>
    <w:rsid w:val="00454C27"/>
    <w:rsid w:val="004552BF"/>
    <w:rsid w:val="00455D45"/>
    <w:rsid w:val="00455DD0"/>
    <w:rsid w:val="00456D56"/>
    <w:rsid w:val="0046156D"/>
    <w:rsid w:val="0046285B"/>
    <w:rsid w:val="004631F1"/>
    <w:rsid w:val="00464483"/>
    <w:rsid w:val="00464595"/>
    <w:rsid w:val="00464892"/>
    <w:rsid w:val="00465883"/>
    <w:rsid w:val="00467B67"/>
    <w:rsid w:val="00467FEA"/>
    <w:rsid w:val="00470325"/>
    <w:rsid w:val="00472795"/>
    <w:rsid w:val="00473B7D"/>
    <w:rsid w:val="00474A97"/>
    <w:rsid w:val="00475871"/>
    <w:rsid w:val="00476D02"/>
    <w:rsid w:val="004807A8"/>
    <w:rsid w:val="004808D3"/>
    <w:rsid w:val="00481709"/>
    <w:rsid w:val="00482048"/>
    <w:rsid w:val="004824BF"/>
    <w:rsid w:val="00483240"/>
    <w:rsid w:val="00484191"/>
    <w:rsid w:val="00484440"/>
    <w:rsid w:val="0048525E"/>
    <w:rsid w:val="00485588"/>
    <w:rsid w:val="004867E2"/>
    <w:rsid w:val="00486E03"/>
    <w:rsid w:val="004879A0"/>
    <w:rsid w:val="00490F65"/>
    <w:rsid w:val="00491B3A"/>
    <w:rsid w:val="00492CFD"/>
    <w:rsid w:val="00493A90"/>
    <w:rsid w:val="00493BDA"/>
    <w:rsid w:val="004962D2"/>
    <w:rsid w:val="00496984"/>
    <w:rsid w:val="004A0DA1"/>
    <w:rsid w:val="004A52B9"/>
    <w:rsid w:val="004A5B7E"/>
    <w:rsid w:val="004A6597"/>
    <w:rsid w:val="004A67B8"/>
    <w:rsid w:val="004A67BE"/>
    <w:rsid w:val="004A7901"/>
    <w:rsid w:val="004B119A"/>
    <w:rsid w:val="004B18D6"/>
    <w:rsid w:val="004B1CB4"/>
    <w:rsid w:val="004B2F18"/>
    <w:rsid w:val="004B3D46"/>
    <w:rsid w:val="004B3DDB"/>
    <w:rsid w:val="004B4294"/>
    <w:rsid w:val="004B44FD"/>
    <w:rsid w:val="004B56A4"/>
    <w:rsid w:val="004B5CFC"/>
    <w:rsid w:val="004C209F"/>
    <w:rsid w:val="004C4444"/>
    <w:rsid w:val="004C4AED"/>
    <w:rsid w:val="004C5123"/>
    <w:rsid w:val="004D06C2"/>
    <w:rsid w:val="004D07FF"/>
    <w:rsid w:val="004D0BBF"/>
    <w:rsid w:val="004D21AF"/>
    <w:rsid w:val="004D2B7A"/>
    <w:rsid w:val="004D3777"/>
    <w:rsid w:val="004D4007"/>
    <w:rsid w:val="004D53AF"/>
    <w:rsid w:val="004D5FE6"/>
    <w:rsid w:val="004E0EB8"/>
    <w:rsid w:val="004E2ADC"/>
    <w:rsid w:val="004E43B2"/>
    <w:rsid w:val="004E6452"/>
    <w:rsid w:val="004E6727"/>
    <w:rsid w:val="004E79FA"/>
    <w:rsid w:val="004E7E39"/>
    <w:rsid w:val="004F0393"/>
    <w:rsid w:val="004F04FF"/>
    <w:rsid w:val="004F1464"/>
    <w:rsid w:val="004F155C"/>
    <w:rsid w:val="004F1D02"/>
    <w:rsid w:val="004F2679"/>
    <w:rsid w:val="004F2D44"/>
    <w:rsid w:val="004F4E18"/>
    <w:rsid w:val="004F507D"/>
    <w:rsid w:val="004F59A9"/>
    <w:rsid w:val="004F7865"/>
    <w:rsid w:val="004F7986"/>
    <w:rsid w:val="005018FD"/>
    <w:rsid w:val="00502D89"/>
    <w:rsid w:val="00506307"/>
    <w:rsid w:val="00506928"/>
    <w:rsid w:val="00507A39"/>
    <w:rsid w:val="005152B5"/>
    <w:rsid w:val="005177D0"/>
    <w:rsid w:val="00517F1E"/>
    <w:rsid w:val="0052098A"/>
    <w:rsid w:val="00521319"/>
    <w:rsid w:val="005214E3"/>
    <w:rsid w:val="005236D4"/>
    <w:rsid w:val="00523C28"/>
    <w:rsid w:val="00525992"/>
    <w:rsid w:val="005263C9"/>
    <w:rsid w:val="00527B29"/>
    <w:rsid w:val="00527DA1"/>
    <w:rsid w:val="005310A5"/>
    <w:rsid w:val="00533393"/>
    <w:rsid w:val="00534AF8"/>
    <w:rsid w:val="00536119"/>
    <w:rsid w:val="00536789"/>
    <w:rsid w:val="00537C2B"/>
    <w:rsid w:val="00540B6C"/>
    <w:rsid w:val="0054125D"/>
    <w:rsid w:val="00542EE0"/>
    <w:rsid w:val="00543913"/>
    <w:rsid w:val="00547EE3"/>
    <w:rsid w:val="00551884"/>
    <w:rsid w:val="00551DCC"/>
    <w:rsid w:val="00552BD3"/>
    <w:rsid w:val="00555109"/>
    <w:rsid w:val="00557277"/>
    <w:rsid w:val="00557D5A"/>
    <w:rsid w:val="00557DAA"/>
    <w:rsid w:val="00561E71"/>
    <w:rsid w:val="00565DCC"/>
    <w:rsid w:val="0056608F"/>
    <w:rsid w:val="00566505"/>
    <w:rsid w:val="0056696F"/>
    <w:rsid w:val="00570A0B"/>
    <w:rsid w:val="00572163"/>
    <w:rsid w:val="00573C1A"/>
    <w:rsid w:val="00575D8D"/>
    <w:rsid w:val="005763E8"/>
    <w:rsid w:val="005768D0"/>
    <w:rsid w:val="00576972"/>
    <w:rsid w:val="00580D33"/>
    <w:rsid w:val="00583699"/>
    <w:rsid w:val="0058383C"/>
    <w:rsid w:val="005878C1"/>
    <w:rsid w:val="005905AB"/>
    <w:rsid w:val="005969D2"/>
    <w:rsid w:val="005975FF"/>
    <w:rsid w:val="005976D8"/>
    <w:rsid w:val="005977A6"/>
    <w:rsid w:val="005A2562"/>
    <w:rsid w:val="005A5EA5"/>
    <w:rsid w:val="005B139D"/>
    <w:rsid w:val="005B1B3F"/>
    <w:rsid w:val="005B5857"/>
    <w:rsid w:val="005B68B6"/>
    <w:rsid w:val="005B7176"/>
    <w:rsid w:val="005C0D00"/>
    <w:rsid w:val="005C1B83"/>
    <w:rsid w:val="005C22F2"/>
    <w:rsid w:val="005C2B66"/>
    <w:rsid w:val="005C346B"/>
    <w:rsid w:val="005C4FB1"/>
    <w:rsid w:val="005C73BC"/>
    <w:rsid w:val="005C7F65"/>
    <w:rsid w:val="005D044D"/>
    <w:rsid w:val="005D1059"/>
    <w:rsid w:val="005D18AD"/>
    <w:rsid w:val="005D4126"/>
    <w:rsid w:val="005D42DD"/>
    <w:rsid w:val="005D6D4C"/>
    <w:rsid w:val="005D79C3"/>
    <w:rsid w:val="005E02D3"/>
    <w:rsid w:val="005E0457"/>
    <w:rsid w:val="005E0E96"/>
    <w:rsid w:val="005E2CDF"/>
    <w:rsid w:val="005E3262"/>
    <w:rsid w:val="005E34DF"/>
    <w:rsid w:val="005E717F"/>
    <w:rsid w:val="005E73C0"/>
    <w:rsid w:val="005E77A3"/>
    <w:rsid w:val="005F035E"/>
    <w:rsid w:val="005F2706"/>
    <w:rsid w:val="005F3B4F"/>
    <w:rsid w:val="005F3FFE"/>
    <w:rsid w:val="005F6A8F"/>
    <w:rsid w:val="005F71F6"/>
    <w:rsid w:val="00605279"/>
    <w:rsid w:val="00607669"/>
    <w:rsid w:val="0061248C"/>
    <w:rsid w:val="00612F97"/>
    <w:rsid w:val="00614987"/>
    <w:rsid w:val="006164F9"/>
    <w:rsid w:val="00616802"/>
    <w:rsid w:val="00617DEA"/>
    <w:rsid w:val="00617E12"/>
    <w:rsid w:val="00621477"/>
    <w:rsid w:val="00622244"/>
    <w:rsid w:val="00631D6B"/>
    <w:rsid w:val="00632B97"/>
    <w:rsid w:val="0063479F"/>
    <w:rsid w:val="00634AC8"/>
    <w:rsid w:val="00636470"/>
    <w:rsid w:val="006364A1"/>
    <w:rsid w:val="00637BFD"/>
    <w:rsid w:val="00641AA3"/>
    <w:rsid w:val="00643351"/>
    <w:rsid w:val="00643715"/>
    <w:rsid w:val="006471CC"/>
    <w:rsid w:val="0065079F"/>
    <w:rsid w:val="00650DAA"/>
    <w:rsid w:val="0065305D"/>
    <w:rsid w:val="0065394E"/>
    <w:rsid w:val="00653ED9"/>
    <w:rsid w:val="0065412C"/>
    <w:rsid w:val="00661BB7"/>
    <w:rsid w:val="00661DC5"/>
    <w:rsid w:val="006641A1"/>
    <w:rsid w:val="006659C9"/>
    <w:rsid w:val="00667E83"/>
    <w:rsid w:val="00671C04"/>
    <w:rsid w:val="00671D27"/>
    <w:rsid w:val="00673758"/>
    <w:rsid w:val="00674E42"/>
    <w:rsid w:val="00677D1D"/>
    <w:rsid w:val="00680F88"/>
    <w:rsid w:val="00682112"/>
    <w:rsid w:val="00684889"/>
    <w:rsid w:val="00685045"/>
    <w:rsid w:val="00686BAC"/>
    <w:rsid w:val="006872BA"/>
    <w:rsid w:val="00690F33"/>
    <w:rsid w:val="006917D7"/>
    <w:rsid w:val="00692291"/>
    <w:rsid w:val="00693132"/>
    <w:rsid w:val="00694F44"/>
    <w:rsid w:val="00694FE7"/>
    <w:rsid w:val="00695386"/>
    <w:rsid w:val="00697FE1"/>
    <w:rsid w:val="006A217C"/>
    <w:rsid w:val="006A2867"/>
    <w:rsid w:val="006A3C74"/>
    <w:rsid w:val="006A4280"/>
    <w:rsid w:val="006A4EE2"/>
    <w:rsid w:val="006A5D1A"/>
    <w:rsid w:val="006B0F3A"/>
    <w:rsid w:val="006B15AA"/>
    <w:rsid w:val="006B4492"/>
    <w:rsid w:val="006B5BC9"/>
    <w:rsid w:val="006B6F62"/>
    <w:rsid w:val="006C072A"/>
    <w:rsid w:val="006C2A8E"/>
    <w:rsid w:val="006C39D2"/>
    <w:rsid w:val="006C701F"/>
    <w:rsid w:val="006C754E"/>
    <w:rsid w:val="006D07A4"/>
    <w:rsid w:val="006D10F8"/>
    <w:rsid w:val="006D13CB"/>
    <w:rsid w:val="006D3C7D"/>
    <w:rsid w:val="006D45F1"/>
    <w:rsid w:val="006D464A"/>
    <w:rsid w:val="006D476E"/>
    <w:rsid w:val="006D5D5F"/>
    <w:rsid w:val="006D7575"/>
    <w:rsid w:val="006E069F"/>
    <w:rsid w:val="006E3415"/>
    <w:rsid w:val="006E4807"/>
    <w:rsid w:val="006E4B1F"/>
    <w:rsid w:val="006E6CE0"/>
    <w:rsid w:val="006E743D"/>
    <w:rsid w:val="006F0893"/>
    <w:rsid w:val="006F19C3"/>
    <w:rsid w:val="006F1B4A"/>
    <w:rsid w:val="006F307F"/>
    <w:rsid w:val="006F48AD"/>
    <w:rsid w:val="006F5672"/>
    <w:rsid w:val="006F5ECB"/>
    <w:rsid w:val="006F63A5"/>
    <w:rsid w:val="00700381"/>
    <w:rsid w:val="007004E5"/>
    <w:rsid w:val="0070276E"/>
    <w:rsid w:val="0070288F"/>
    <w:rsid w:val="00702F8F"/>
    <w:rsid w:val="0070337A"/>
    <w:rsid w:val="007036CC"/>
    <w:rsid w:val="00705894"/>
    <w:rsid w:val="00706676"/>
    <w:rsid w:val="007076D0"/>
    <w:rsid w:val="00710312"/>
    <w:rsid w:val="00711061"/>
    <w:rsid w:val="00711A36"/>
    <w:rsid w:val="0071269C"/>
    <w:rsid w:val="007133FD"/>
    <w:rsid w:val="0071401D"/>
    <w:rsid w:val="00716B01"/>
    <w:rsid w:val="00716E8B"/>
    <w:rsid w:val="007172AD"/>
    <w:rsid w:val="007203A9"/>
    <w:rsid w:val="00722FB2"/>
    <w:rsid w:val="0072416F"/>
    <w:rsid w:val="00725315"/>
    <w:rsid w:val="00730242"/>
    <w:rsid w:val="007311A3"/>
    <w:rsid w:val="00732D6D"/>
    <w:rsid w:val="007345BC"/>
    <w:rsid w:val="0073530B"/>
    <w:rsid w:val="00735328"/>
    <w:rsid w:val="0073578C"/>
    <w:rsid w:val="0073685B"/>
    <w:rsid w:val="007368BF"/>
    <w:rsid w:val="0073736B"/>
    <w:rsid w:val="007406C8"/>
    <w:rsid w:val="00740881"/>
    <w:rsid w:val="00740EF7"/>
    <w:rsid w:val="007437FE"/>
    <w:rsid w:val="0074508E"/>
    <w:rsid w:val="00745B0B"/>
    <w:rsid w:val="007467F6"/>
    <w:rsid w:val="00755821"/>
    <w:rsid w:val="00755A92"/>
    <w:rsid w:val="007565C9"/>
    <w:rsid w:val="00760064"/>
    <w:rsid w:val="00761B62"/>
    <w:rsid w:val="007656D5"/>
    <w:rsid w:val="00766C59"/>
    <w:rsid w:val="007703BA"/>
    <w:rsid w:val="00771364"/>
    <w:rsid w:val="00772CE6"/>
    <w:rsid w:val="00773749"/>
    <w:rsid w:val="00773A86"/>
    <w:rsid w:val="007742E1"/>
    <w:rsid w:val="007743E7"/>
    <w:rsid w:val="00777BF8"/>
    <w:rsid w:val="00781058"/>
    <w:rsid w:val="007824C7"/>
    <w:rsid w:val="00786914"/>
    <w:rsid w:val="00787478"/>
    <w:rsid w:val="007879BD"/>
    <w:rsid w:val="00792293"/>
    <w:rsid w:val="00796912"/>
    <w:rsid w:val="00796C94"/>
    <w:rsid w:val="00796EF3"/>
    <w:rsid w:val="007A0A12"/>
    <w:rsid w:val="007A2007"/>
    <w:rsid w:val="007A2690"/>
    <w:rsid w:val="007A49AD"/>
    <w:rsid w:val="007A5477"/>
    <w:rsid w:val="007A574D"/>
    <w:rsid w:val="007B05D4"/>
    <w:rsid w:val="007B0659"/>
    <w:rsid w:val="007B1762"/>
    <w:rsid w:val="007B251D"/>
    <w:rsid w:val="007B38AE"/>
    <w:rsid w:val="007B3C0F"/>
    <w:rsid w:val="007B3C45"/>
    <w:rsid w:val="007B4FC2"/>
    <w:rsid w:val="007B617F"/>
    <w:rsid w:val="007B7250"/>
    <w:rsid w:val="007B7287"/>
    <w:rsid w:val="007B77D1"/>
    <w:rsid w:val="007C33FF"/>
    <w:rsid w:val="007C361D"/>
    <w:rsid w:val="007C3685"/>
    <w:rsid w:val="007C6A83"/>
    <w:rsid w:val="007D02A4"/>
    <w:rsid w:val="007D06D5"/>
    <w:rsid w:val="007D0B38"/>
    <w:rsid w:val="007D20E6"/>
    <w:rsid w:val="007D2564"/>
    <w:rsid w:val="007D27D4"/>
    <w:rsid w:val="007D35EC"/>
    <w:rsid w:val="007D3940"/>
    <w:rsid w:val="007D52A1"/>
    <w:rsid w:val="007D5D02"/>
    <w:rsid w:val="007D6E35"/>
    <w:rsid w:val="007D7A4A"/>
    <w:rsid w:val="007D7B9D"/>
    <w:rsid w:val="007E0317"/>
    <w:rsid w:val="007E0DAB"/>
    <w:rsid w:val="007E2365"/>
    <w:rsid w:val="007E4EA7"/>
    <w:rsid w:val="007E4EC6"/>
    <w:rsid w:val="007E54AC"/>
    <w:rsid w:val="007E78DF"/>
    <w:rsid w:val="007E79E3"/>
    <w:rsid w:val="007E7C82"/>
    <w:rsid w:val="007F1017"/>
    <w:rsid w:val="007F1215"/>
    <w:rsid w:val="007F2DC3"/>
    <w:rsid w:val="007F353B"/>
    <w:rsid w:val="007F4A3F"/>
    <w:rsid w:val="007F4EB1"/>
    <w:rsid w:val="007F57FD"/>
    <w:rsid w:val="007F64C8"/>
    <w:rsid w:val="007F7C8F"/>
    <w:rsid w:val="00801A5F"/>
    <w:rsid w:val="00803025"/>
    <w:rsid w:val="00803083"/>
    <w:rsid w:val="008048F5"/>
    <w:rsid w:val="00805142"/>
    <w:rsid w:val="00805F16"/>
    <w:rsid w:val="00807A8B"/>
    <w:rsid w:val="00807E68"/>
    <w:rsid w:val="00811D07"/>
    <w:rsid w:val="00812149"/>
    <w:rsid w:val="0081451A"/>
    <w:rsid w:val="008154E7"/>
    <w:rsid w:val="00816610"/>
    <w:rsid w:val="008166EF"/>
    <w:rsid w:val="00817A0E"/>
    <w:rsid w:val="0082250B"/>
    <w:rsid w:val="008230D8"/>
    <w:rsid w:val="008233DA"/>
    <w:rsid w:val="00823B98"/>
    <w:rsid w:val="00823BAF"/>
    <w:rsid w:val="00824678"/>
    <w:rsid w:val="00824823"/>
    <w:rsid w:val="00825228"/>
    <w:rsid w:val="00825EF2"/>
    <w:rsid w:val="008264EB"/>
    <w:rsid w:val="008267E8"/>
    <w:rsid w:val="0083092B"/>
    <w:rsid w:val="00833B05"/>
    <w:rsid w:val="00834584"/>
    <w:rsid w:val="00834C49"/>
    <w:rsid w:val="008352C7"/>
    <w:rsid w:val="00836389"/>
    <w:rsid w:val="008376A3"/>
    <w:rsid w:val="00837D28"/>
    <w:rsid w:val="00840CA2"/>
    <w:rsid w:val="00842670"/>
    <w:rsid w:val="00843BA5"/>
    <w:rsid w:val="008443B7"/>
    <w:rsid w:val="00844E71"/>
    <w:rsid w:val="00844E99"/>
    <w:rsid w:val="008461B3"/>
    <w:rsid w:val="00846E11"/>
    <w:rsid w:val="00850AA0"/>
    <w:rsid w:val="00851580"/>
    <w:rsid w:val="00851BC7"/>
    <w:rsid w:val="0085360A"/>
    <w:rsid w:val="00853612"/>
    <w:rsid w:val="00854AB9"/>
    <w:rsid w:val="00856714"/>
    <w:rsid w:val="00856E9A"/>
    <w:rsid w:val="008607F7"/>
    <w:rsid w:val="00860EAD"/>
    <w:rsid w:val="0086122F"/>
    <w:rsid w:val="00861A12"/>
    <w:rsid w:val="00862502"/>
    <w:rsid w:val="0087014C"/>
    <w:rsid w:val="00872351"/>
    <w:rsid w:val="008767C4"/>
    <w:rsid w:val="00880271"/>
    <w:rsid w:val="00881950"/>
    <w:rsid w:val="00882874"/>
    <w:rsid w:val="00883787"/>
    <w:rsid w:val="0088613F"/>
    <w:rsid w:val="008862A5"/>
    <w:rsid w:val="00886613"/>
    <w:rsid w:val="008907EE"/>
    <w:rsid w:val="008925BC"/>
    <w:rsid w:val="008925ED"/>
    <w:rsid w:val="00894489"/>
    <w:rsid w:val="008944E8"/>
    <w:rsid w:val="008963A5"/>
    <w:rsid w:val="008971E6"/>
    <w:rsid w:val="008A3C3E"/>
    <w:rsid w:val="008A79DE"/>
    <w:rsid w:val="008B0035"/>
    <w:rsid w:val="008B0A02"/>
    <w:rsid w:val="008B0F36"/>
    <w:rsid w:val="008B40AA"/>
    <w:rsid w:val="008B56DA"/>
    <w:rsid w:val="008B6BF1"/>
    <w:rsid w:val="008B7D7E"/>
    <w:rsid w:val="008C4CEF"/>
    <w:rsid w:val="008C6DA9"/>
    <w:rsid w:val="008C7ECB"/>
    <w:rsid w:val="008D0F06"/>
    <w:rsid w:val="008D148E"/>
    <w:rsid w:val="008D2DCD"/>
    <w:rsid w:val="008D340D"/>
    <w:rsid w:val="008D4B9C"/>
    <w:rsid w:val="008D6C83"/>
    <w:rsid w:val="008D7821"/>
    <w:rsid w:val="008E0743"/>
    <w:rsid w:val="008E132B"/>
    <w:rsid w:val="008E1750"/>
    <w:rsid w:val="008E1B9E"/>
    <w:rsid w:val="008E47BE"/>
    <w:rsid w:val="008E5714"/>
    <w:rsid w:val="008E69D4"/>
    <w:rsid w:val="008F08C2"/>
    <w:rsid w:val="008F0C0C"/>
    <w:rsid w:val="008F120A"/>
    <w:rsid w:val="008F2AD7"/>
    <w:rsid w:val="008F2E61"/>
    <w:rsid w:val="008F3340"/>
    <w:rsid w:val="008F3701"/>
    <w:rsid w:val="008F3DB0"/>
    <w:rsid w:val="008F48EB"/>
    <w:rsid w:val="008F4F0B"/>
    <w:rsid w:val="008F7216"/>
    <w:rsid w:val="008F76A6"/>
    <w:rsid w:val="008F7AF1"/>
    <w:rsid w:val="008F7EC7"/>
    <w:rsid w:val="00900168"/>
    <w:rsid w:val="00901F69"/>
    <w:rsid w:val="00902499"/>
    <w:rsid w:val="00903D54"/>
    <w:rsid w:val="00904668"/>
    <w:rsid w:val="009062A5"/>
    <w:rsid w:val="00911272"/>
    <w:rsid w:val="00914AD1"/>
    <w:rsid w:val="00914E7F"/>
    <w:rsid w:val="00914F09"/>
    <w:rsid w:val="0091567E"/>
    <w:rsid w:val="0092761F"/>
    <w:rsid w:val="00935234"/>
    <w:rsid w:val="00936360"/>
    <w:rsid w:val="00937246"/>
    <w:rsid w:val="0093791D"/>
    <w:rsid w:val="00942B19"/>
    <w:rsid w:val="00942D18"/>
    <w:rsid w:val="0095120D"/>
    <w:rsid w:val="00951F6A"/>
    <w:rsid w:val="0095297D"/>
    <w:rsid w:val="0095561B"/>
    <w:rsid w:val="0095571E"/>
    <w:rsid w:val="009567A5"/>
    <w:rsid w:val="00957EC4"/>
    <w:rsid w:val="009618B6"/>
    <w:rsid w:val="00962CB9"/>
    <w:rsid w:val="00964312"/>
    <w:rsid w:val="00965D05"/>
    <w:rsid w:val="00965D2A"/>
    <w:rsid w:val="009675FB"/>
    <w:rsid w:val="00967FD7"/>
    <w:rsid w:val="00972E79"/>
    <w:rsid w:val="009763E0"/>
    <w:rsid w:val="0097777B"/>
    <w:rsid w:val="00977BCF"/>
    <w:rsid w:val="00980E4E"/>
    <w:rsid w:val="00981475"/>
    <w:rsid w:val="00983E57"/>
    <w:rsid w:val="009855E3"/>
    <w:rsid w:val="00987176"/>
    <w:rsid w:val="00987224"/>
    <w:rsid w:val="009914F5"/>
    <w:rsid w:val="00994E72"/>
    <w:rsid w:val="009960CB"/>
    <w:rsid w:val="00996701"/>
    <w:rsid w:val="00996B1A"/>
    <w:rsid w:val="009A2039"/>
    <w:rsid w:val="009A25F7"/>
    <w:rsid w:val="009A3DE9"/>
    <w:rsid w:val="009A3FB5"/>
    <w:rsid w:val="009A5971"/>
    <w:rsid w:val="009A659A"/>
    <w:rsid w:val="009A6D8E"/>
    <w:rsid w:val="009B0A4E"/>
    <w:rsid w:val="009B0B4A"/>
    <w:rsid w:val="009B2D6A"/>
    <w:rsid w:val="009B32CC"/>
    <w:rsid w:val="009B3E26"/>
    <w:rsid w:val="009C2242"/>
    <w:rsid w:val="009C69E6"/>
    <w:rsid w:val="009C72B3"/>
    <w:rsid w:val="009D01E3"/>
    <w:rsid w:val="009D1352"/>
    <w:rsid w:val="009D18FE"/>
    <w:rsid w:val="009D3FBF"/>
    <w:rsid w:val="009D52AC"/>
    <w:rsid w:val="009D5B91"/>
    <w:rsid w:val="009D742F"/>
    <w:rsid w:val="009E1195"/>
    <w:rsid w:val="009E1209"/>
    <w:rsid w:val="009E2869"/>
    <w:rsid w:val="009E37F3"/>
    <w:rsid w:val="009E4C07"/>
    <w:rsid w:val="009E6799"/>
    <w:rsid w:val="009F152B"/>
    <w:rsid w:val="009F4350"/>
    <w:rsid w:val="009F45B7"/>
    <w:rsid w:val="009F53BC"/>
    <w:rsid w:val="009F5815"/>
    <w:rsid w:val="009F766E"/>
    <w:rsid w:val="009F7CCA"/>
    <w:rsid w:val="00A0162E"/>
    <w:rsid w:val="00A025BE"/>
    <w:rsid w:val="00A03D43"/>
    <w:rsid w:val="00A04380"/>
    <w:rsid w:val="00A062EE"/>
    <w:rsid w:val="00A1057B"/>
    <w:rsid w:val="00A12CF1"/>
    <w:rsid w:val="00A13948"/>
    <w:rsid w:val="00A141AD"/>
    <w:rsid w:val="00A15069"/>
    <w:rsid w:val="00A159C9"/>
    <w:rsid w:val="00A16E1C"/>
    <w:rsid w:val="00A27AEC"/>
    <w:rsid w:val="00A30069"/>
    <w:rsid w:val="00A308AC"/>
    <w:rsid w:val="00A30C38"/>
    <w:rsid w:val="00A331D1"/>
    <w:rsid w:val="00A33C2D"/>
    <w:rsid w:val="00A33F64"/>
    <w:rsid w:val="00A34CD7"/>
    <w:rsid w:val="00A35D16"/>
    <w:rsid w:val="00A366CD"/>
    <w:rsid w:val="00A378CB"/>
    <w:rsid w:val="00A43C59"/>
    <w:rsid w:val="00A448D3"/>
    <w:rsid w:val="00A46035"/>
    <w:rsid w:val="00A468E3"/>
    <w:rsid w:val="00A47822"/>
    <w:rsid w:val="00A50351"/>
    <w:rsid w:val="00A50ECD"/>
    <w:rsid w:val="00A51AF1"/>
    <w:rsid w:val="00A52729"/>
    <w:rsid w:val="00A5365C"/>
    <w:rsid w:val="00A53675"/>
    <w:rsid w:val="00A55B3E"/>
    <w:rsid w:val="00A56B6A"/>
    <w:rsid w:val="00A578DC"/>
    <w:rsid w:val="00A62C97"/>
    <w:rsid w:val="00A632C6"/>
    <w:rsid w:val="00A66507"/>
    <w:rsid w:val="00A66EB1"/>
    <w:rsid w:val="00A6725B"/>
    <w:rsid w:val="00A679EC"/>
    <w:rsid w:val="00A70A72"/>
    <w:rsid w:val="00A70C36"/>
    <w:rsid w:val="00A7267F"/>
    <w:rsid w:val="00A72B81"/>
    <w:rsid w:val="00A7546D"/>
    <w:rsid w:val="00A755D9"/>
    <w:rsid w:val="00A815BE"/>
    <w:rsid w:val="00A81C99"/>
    <w:rsid w:val="00A82270"/>
    <w:rsid w:val="00A8521B"/>
    <w:rsid w:val="00A86975"/>
    <w:rsid w:val="00A869EA"/>
    <w:rsid w:val="00A86E8B"/>
    <w:rsid w:val="00A90A8A"/>
    <w:rsid w:val="00A93072"/>
    <w:rsid w:val="00A959D8"/>
    <w:rsid w:val="00AA2BAF"/>
    <w:rsid w:val="00AA4A6B"/>
    <w:rsid w:val="00AA6E5E"/>
    <w:rsid w:val="00AB0045"/>
    <w:rsid w:val="00AB042A"/>
    <w:rsid w:val="00AB18D0"/>
    <w:rsid w:val="00AB2D34"/>
    <w:rsid w:val="00AB3430"/>
    <w:rsid w:val="00AB7A06"/>
    <w:rsid w:val="00AB7A39"/>
    <w:rsid w:val="00AB7CFA"/>
    <w:rsid w:val="00AC26E7"/>
    <w:rsid w:val="00AC2CD8"/>
    <w:rsid w:val="00AC401D"/>
    <w:rsid w:val="00AC7C13"/>
    <w:rsid w:val="00AD0F17"/>
    <w:rsid w:val="00AD3FD3"/>
    <w:rsid w:val="00AD4297"/>
    <w:rsid w:val="00AD4737"/>
    <w:rsid w:val="00AD4A16"/>
    <w:rsid w:val="00AE06AF"/>
    <w:rsid w:val="00AE71BA"/>
    <w:rsid w:val="00AE72A9"/>
    <w:rsid w:val="00AE7EC8"/>
    <w:rsid w:val="00AF0603"/>
    <w:rsid w:val="00AF0F82"/>
    <w:rsid w:val="00AF1C90"/>
    <w:rsid w:val="00AF3881"/>
    <w:rsid w:val="00AF3BB6"/>
    <w:rsid w:val="00AF43A1"/>
    <w:rsid w:val="00AF5BEA"/>
    <w:rsid w:val="00AF674B"/>
    <w:rsid w:val="00AF6B27"/>
    <w:rsid w:val="00B0348F"/>
    <w:rsid w:val="00B03FA3"/>
    <w:rsid w:val="00B04CFE"/>
    <w:rsid w:val="00B05539"/>
    <w:rsid w:val="00B07782"/>
    <w:rsid w:val="00B10E65"/>
    <w:rsid w:val="00B11D9A"/>
    <w:rsid w:val="00B1388E"/>
    <w:rsid w:val="00B147ED"/>
    <w:rsid w:val="00B149E8"/>
    <w:rsid w:val="00B16A53"/>
    <w:rsid w:val="00B210C1"/>
    <w:rsid w:val="00B21BE4"/>
    <w:rsid w:val="00B24A07"/>
    <w:rsid w:val="00B25F82"/>
    <w:rsid w:val="00B27B2A"/>
    <w:rsid w:val="00B3067B"/>
    <w:rsid w:val="00B30EE0"/>
    <w:rsid w:val="00B33856"/>
    <w:rsid w:val="00B34A12"/>
    <w:rsid w:val="00B35BA4"/>
    <w:rsid w:val="00B42851"/>
    <w:rsid w:val="00B42B8E"/>
    <w:rsid w:val="00B43112"/>
    <w:rsid w:val="00B469F8"/>
    <w:rsid w:val="00B50DB8"/>
    <w:rsid w:val="00B51592"/>
    <w:rsid w:val="00B515B1"/>
    <w:rsid w:val="00B534D3"/>
    <w:rsid w:val="00B53905"/>
    <w:rsid w:val="00B54B5B"/>
    <w:rsid w:val="00B5562E"/>
    <w:rsid w:val="00B56384"/>
    <w:rsid w:val="00B57000"/>
    <w:rsid w:val="00B57964"/>
    <w:rsid w:val="00B60939"/>
    <w:rsid w:val="00B60AFD"/>
    <w:rsid w:val="00B61EB8"/>
    <w:rsid w:val="00B62042"/>
    <w:rsid w:val="00B62715"/>
    <w:rsid w:val="00B64706"/>
    <w:rsid w:val="00B70682"/>
    <w:rsid w:val="00B71AF1"/>
    <w:rsid w:val="00B7337B"/>
    <w:rsid w:val="00B75E98"/>
    <w:rsid w:val="00B80B54"/>
    <w:rsid w:val="00B818A4"/>
    <w:rsid w:val="00B83CD0"/>
    <w:rsid w:val="00B84354"/>
    <w:rsid w:val="00B861C6"/>
    <w:rsid w:val="00B8649C"/>
    <w:rsid w:val="00B86841"/>
    <w:rsid w:val="00B91287"/>
    <w:rsid w:val="00B92D0B"/>
    <w:rsid w:val="00B92EB9"/>
    <w:rsid w:val="00B9391E"/>
    <w:rsid w:val="00B94945"/>
    <w:rsid w:val="00B952E6"/>
    <w:rsid w:val="00BA0ACB"/>
    <w:rsid w:val="00BA4DAE"/>
    <w:rsid w:val="00BA5A74"/>
    <w:rsid w:val="00BA6F70"/>
    <w:rsid w:val="00BB076C"/>
    <w:rsid w:val="00BB18C0"/>
    <w:rsid w:val="00BB207F"/>
    <w:rsid w:val="00BB3F1D"/>
    <w:rsid w:val="00BB7405"/>
    <w:rsid w:val="00BC26AA"/>
    <w:rsid w:val="00BC4140"/>
    <w:rsid w:val="00BC48F9"/>
    <w:rsid w:val="00BC5A06"/>
    <w:rsid w:val="00BC612A"/>
    <w:rsid w:val="00BC7AA1"/>
    <w:rsid w:val="00BD2796"/>
    <w:rsid w:val="00BD331B"/>
    <w:rsid w:val="00BD4941"/>
    <w:rsid w:val="00BD50D1"/>
    <w:rsid w:val="00BD611F"/>
    <w:rsid w:val="00BD6CF3"/>
    <w:rsid w:val="00BE06FF"/>
    <w:rsid w:val="00BE2180"/>
    <w:rsid w:val="00BE2600"/>
    <w:rsid w:val="00BE4275"/>
    <w:rsid w:val="00BE453C"/>
    <w:rsid w:val="00BE59F8"/>
    <w:rsid w:val="00BE60A9"/>
    <w:rsid w:val="00BE681F"/>
    <w:rsid w:val="00BF0615"/>
    <w:rsid w:val="00BF1F62"/>
    <w:rsid w:val="00BF2433"/>
    <w:rsid w:val="00BF547B"/>
    <w:rsid w:val="00BF5D16"/>
    <w:rsid w:val="00BF61C9"/>
    <w:rsid w:val="00BF65C4"/>
    <w:rsid w:val="00BF6796"/>
    <w:rsid w:val="00C000B6"/>
    <w:rsid w:val="00C0126B"/>
    <w:rsid w:val="00C02126"/>
    <w:rsid w:val="00C075AD"/>
    <w:rsid w:val="00C07E83"/>
    <w:rsid w:val="00C10745"/>
    <w:rsid w:val="00C12F39"/>
    <w:rsid w:val="00C13161"/>
    <w:rsid w:val="00C13489"/>
    <w:rsid w:val="00C16AAB"/>
    <w:rsid w:val="00C21FE4"/>
    <w:rsid w:val="00C25418"/>
    <w:rsid w:val="00C25913"/>
    <w:rsid w:val="00C25D9C"/>
    <w:rsid w:val="00C26DA1"/>
    <w:rsid w:val="00C27419"/>
    <w:rsid w:val="00C31649"/>
    <w:rsid w:val="00C31B93"/>
    <w:rsid w:val="00C33947"/>
    <w:rsid w:val="00C343CB"/>
    <w:rsid w:val="00C347EC"/>
    <w:rsid w:val="00C351F4"/>
    <w:rsid w:val="00C354B2"/>
    <w:rsid w:val="00C36982"/>
    <w:rsid w:val="00C40385"/>
    <w:rsid w:val="00C40CF2"/>
    <w:rsid w:val="00C460A8"/>
    <w:rsid w:val="00C50D2E"/>
    <w:rsid w:val="00C55395"/>
    <w:rsid w:val="00C56786"/>
    <w:rsid w:val="00C60B40"/>
    <w:rsid w:val="00C61ED5"/>
    <w:rsid w:val="00C63B21"/>
    <w:rsid w:val="00C647CA"/>
    <w:rsid w:val="00C6535E"/>
    <w:rsid w:val="00C65576"/>
    <w:rsid w:val="00C655BE"/>
    <w:rsid w:val="00C66165"/>
    <w:rsid w:val="00C66499"/>
    <w:rsid w:val="00C71105"/>
    <w:rsid w:val="00C72D89"/>
    <w:rsid w:val="00C72E16"/>
    <w:rsid w:val="00C74A42"/>
    <w:rsid w:val="00C750C8"/>
    <w:rsid w:val="00C758BD"/>
    <w:rsid w:val="00C763A1"/>
    <w:rsid w:val="00C803CD"/>
    <w:rsid w:val="00C80D4D"/>
    <w:rsid w:val="00C81423"/>
    <w:rsid w:val="00C816C8"/>
    <w:rsid w:val="00C81C96"/>
    <w:rsid w:val="00C8213F"/>
    <w:rsid w:val="00C842C3"/>
    <w:rsid w:val="00C8797A"/>
    <w:rsid w:val="00C87D45"/>
    <w:rsid w:val="00C90DCD"/>
    <w:rsid w:val="00C91414"/>
    <w:rsid w:val="00C938CF"/>
    <w:rsid w:val="00C93FC8"/>
    <w:rsid w:val="00C95FFF"/>
    <w:rsid w:val="00CA02D5"/>
    <w:rsid w:val="00CA320B"/>
    <w:rsid w:val="00CA5245"/>
    <w:rsid w:val="00CA62C6"/>
    <w:rsid w:val="00CA6EDB"/>
    <w:rsid w:val="00CA79B9"/>
    <w:rsid w:val="00CA7B09"/>
    <w:rsid w:val="00CB0C0E"/>
    <w:rsid w:val="00CB171D"/>
    <w:rsid w:val="00CB22DE"/>
    <w:rsid w:val="00CB2F0E"/>
    <w:rsid w:val="00CB38C3"/>
    <w:rsid w:val="00CB5B1A"/>
    <w:rsid w:val="00CC1C99"/>
    <w:rsid w:val="00CC3190"/>
    <w:rsid w:val="00CC44A9"/>
    <w:rsid w:val="00CC4C29"/>
    <w:rsid w:val="00CC4CB3"/>
    <w:rsid w:val="00CC505F"/>
    <w:rsid w:val="00CC50EB"/>
    <w:rsid w:val="00CC5819"/>
    <w:rsid w:val="00CD112C"/>
    <w:rsid w:val="00CD2514"/>
    <w:rsid w:val="00CD2CBA"/>
    <w:rsid w:val="00CD628E"/>
    <w:rsid w:val="00CD6ADC"/>
    <w:rsid w:val="00CD6DBE"/>
    <w:rsid w:val="00CD77FB"/>
    <w:rsid w:val="00CD7A3D"/>
    <w:rsid w:val="00CE131F"/>
    <w:rsid w:val="00CE6274"/>
    <w:rsid w:val="00CE6B69"/>
    <w:rsid w:val="00CF1061"/>
    <w:rsid w:val="00CF415E"/>
    <w:rsid w:val="00CF456B"/>
    <w:rsid w:val="00CF5A18"/>
    <w:rsid w:val="00CF5A22"/>
    <w:rsid w:val="00CF5DBE"/>
    <w:rsid w:val="00D0041F"/>
    <w:rsid w:val="00D0262E"/>
    <w:rsid w:val="00D05669"/>
    <w:rsid w:val="00D0643E"/>
    <w:rsid w:val="00D073C6"/>
    <w:rsid w:val="00D07E5F"/>
    <w:rsid w:val="00D105F5"/>
    <w:rsid w:val="00D110BD"/>
    <w:rsid w:val="00D142C5"/>
    <w:rsid w:val="00D16004"/>
    <w:rsid w:val="00D1607F"/>
    <w:rsid w:val="00D16BB7"/>
    <w:rsid w:val="00D171D1"/>
    <w:rsid w:val="00D1798A"/>
    <w:rsid w:val="00D17D6C"/>
    <w:rsid w:val="00D20068"/>
    <w:rsid w:val="00D21F73"/>
    <w:rsid w:val="00D252E0"/>
    <w:rsid w:val="00D2563B"/>
    <w:rsid w:val="00D25683"/>
    <w:rsid w:val="00D25E8D"/>
    <w:rsid w:val="00D27DF2"/>
    <w:rsid w:val="00D30C8B"/>
    <w:rsid w:val="00D31853"/>
    <w:rsid w:val="00D325DA"/>
    <w:rsid w:val="00D3407A"/>
    <w:rsid w:val="00D34844"/>
    <w:rsid w:val="00D351EF"/>
    <w:rsid w:val="00D357FF"/>
    <w:rsid w:val="00D36062"/>
    <w:rsid w:val="00D3777B"/>
    <w:rsid w:val="00D40179"/>
    <w:rsid w:val="00D422D0"/>
    <w:rsid w:val="00D42865"/>
    <w:rsid w:val="00D42B33"/>
    <w:rsid w:val="00D44073"/>
    <w:rsid w:val="00D573A8"/>
    <w:rsid w:val="00D61B4F"/>
    <w:rsid w:val="00D63B78"/>
    <w:rsid w:val="00D647C8"/>
    <w:rsid w:val="00D64C0C"/>
    <w:rsid w:val="00D64FD1"/>
    <w:rsid w:val="00D65BA6"/>
    <w:rsid w:val="00D661FC"/>
    <w:rsid w:val="00D66250"/>
    <w:rsid w:val="00D66D65"/>
    <w:rsid w:val="00D71ADC"/>
    <w:rsid w:val="00D7294B"/>
    <w:rsid w:val="00D72B7E"/>
    <w:rsid w:val="00D73021"/>
    <w:rsid w:val="00D74743"/>
    <w:rsid w:val="00D75AE5"/>
    <w:rsid w:val="00D76A44"/>
    <w:rsid w:val="00D801AF"/>
    <w:rsid w:val="00D826DF"/>
    <w:rsid w:val="00D86182"/>
    <w:rsid w:val="00D90D23"/>
    <w:rsid w:val="00D93753"/>
    <w:rsid w:val="00D940F6"/>
    <w:rsid w:val="00D94EE3"/>
    <w:rsid w:val="00D97D37"/>
    <w:rsid w:val="00D97E30"/>
    <w:rsid w:val="00DA1A4D"/>
    <w:rsid w:val="00DA3B39"/>
    <w:rsid w:val="00DA5925"/>
    <w:rsid w:val="00DA6BB5"/>
    <w:rsid w:val="00DA77A5"/>
    <w:rsid w:val="00DB05B6"/>
    <w:rsid w:val="00DB30F0"/>
    <w:rsid w:val="00DB3991"/>
    <w:rsid w:val="00DB40BC"/>
    <w:rsid w:val="00DB4A79"/>
    <w:rsid w:val="00DB4CBA"/>
    <w:rsid w:val="00DB6DAD"/>
    <w:rsid w:val="00DC02E1"/>
    <w:rsid w:val="00DC1262"/>
    <w:rsid w:val="00DC15A3"/>
    <w:rsid w:val="00DC5237"/>
    <w:rsid w:val="00DC5501"/>
    <w:rsid w:val="00DC6448"/>
    <w:rsid w:val="00DC7055"/>
    <w:rsid w:val="00DD157C"/>
    <w:rsid w:val="00DD1835"/>
    <w:rsid w:val="00DD38C5"/>
    <w:rsid w:val="00DD3B9B"/>
    <w:rsid w:val="00DD3F28"/>
    <w:rsid w:val="00DD4537"/>
    <w:rsid w:val="00DD4E15"/>
    <w:rsid w:val="00DD659B"/>
    <w:rsid w:val="00DD7D21"/>
    <w:rsid w:val="00DE4C70"/>
    <w:rsid w:val="00DE4EC6"/>
    <w:rsid w:val="00DE4FCB"/>
    <w:rsid w:val="00DE6392"/>
    <w:rsid w:val="00DF289A"/>
    <w:rsid w:val="00DF3D0B"/>
    <w:rsid w:val="00DF4746"/>
    <w:rsid w:val="00DF5CE0"/>
    <w:rsid w:val="00DF5D2B"/>
    <w:rsid w:val="00DF7E27"/>
    <w:rsid w:val="00E01A6C"/>
    <w:rsid w:val="00E04768"/>
    <w:rsid w:val="00E075D5"/>
    <w:rsid w:val="00E078C5"/>
    <w:rsid w:val="00E10149"/>
    <w:rsid w:val="00E103D2"/>
    <w:rsid w:val="00E104EE"/>
    <w:rsid w:val="00E14343"/>
    <w:rsid w:val="00E14764"/>
    <w:rsid w:val="00E16372"/>
    <w:rsid w:val="00E16513"/>
    <w:rsid w:val="00E20ED6"/>
    <w:rsid w:val="00E21358"/>
    <w:rsid w:val="00E2249B"/>
    <w:rsid w:val="00E22A0D"/>
    <w:rsid w:val="00E259CE"/>
    <w:rsid w:val="00E2771E"/>
    <w:rsid w:val="00E32384"/>
    <w:rsid w:val="00E33A7C"/>
    <w:rsid w:val="00E37569"/>
    <w:rsid w:val="00E37A70"/>
    <w:rsid w:val="00E41E30"/>
    <w:rsid w:val="00E424C0"/>
    <w:rsid w:val="00E42C74"/>
    <w:rsid w:val="00E43D70"/>
    <w:rsid w:val="00E44F08"/>
    <w:rsid w:val="00E452CA"/>
    <w:rsid w:val="00E45457"/>
    <w:rsid w:val="00E45530"/>
    <w:rsid w:val="00E46322"/>
    <w:rsid w:val="00E46914"/>
    <w:rsid w:val="00E47B2C"/>
    <w:rsid w:val="00E51560"/>
    <w:rsid w:val="00E51795"/>
    <w:rsid w:val="00E55424"/>
    <w:rsid w:val="00E55BB5"/>
    <w:rsid w:val="00E56105"/>
    <w:rsid w:val="00E6074D"/>
    <w:rsid w:val="00E6444B"/>
    <w:rsid w:val="00E65E36"/>
    <w:rsid w:val="00E65E79"/>
    <w:rsid w:val="00E67416"/>
    <w:rsid w:val="00E70323"/>
    <w:rsid w:val="00E705CA"/>
    <w:rsid w:val="00E717B1"/>
    <w:rsid w:val="00E718B6"/>
    <w:rsid w:val="00E73143"/>
    <w:rsid w:val="00E73581"/>
    <w:rsid w:val="00E77AC6"/>
    <w:rsid w:val="00E81795"/>
    <w:rsid w:val="00E83BDF"/>
    <w:rsid w:val="00E86855"/>
    <w:rsid w:val="00E86D68"/>
    <w:rsid w:val="00E87D55"/>
    <w:rsid w:val="00E91481"/>
    <w:rsid w:val="00E917D1"/>
    <w:rsid w:val="00E91F5A"/>
    <w:rsid w:val="00E921D0"/>
    <w:rsid w:val="00E927D3"/>
    <w:rsid w:val="00E9442B"/>
    <w:rsid w:val="00E9515B"/>
    <w:rsid w:val="00E963A1"/>
    <w:rsid w:val="00E96479"/>
    <w:rsid w:val="00E96967"/>
    <w:rsid w:val="00E972A5"/>
    <w:rsid w:val="00EA0844"/>
    <w:rsid w:val="00EA3864"/>
    <w:rsid w:val="00EA678D"/>
    <w:rsid w:val="00EB15B6"/>
    <w:rsid w:val="00EB2B92"/>
    <w:rsid w:val="00EB3383"/>
    <w:rsid w:val="00EB35F2"/>
    <w:rsid w:val="00EB4722"/>
    <w:rsid w:val="00EB4916"/>
    <w:rsid w:val="00EB4A3D"/>
    <w:rsid w:val="00EB6186"/>
    <w:rsid w:val="00EB637B"/>
    <w:rsid w:val="00EB72D2"/>
    <w:rsid w:val="00EC00C9"/>
    <w:rsid w:val="00EC0E6B"/>
    <w:rsid w:val="00EC2DCC"/>
    <w:rsid w:val="00EC5E4D"/>
    <w:rsid w:val="00EC6CBA"/>
    <w:rsid w:val="00EC776B"/>
    <w:rsid w:val="00EC7879"/>
    <w:rsid w:val="00ED0E87"/>
    <w:rsid w:val="00ED2D04"/>
    <w:rsid w:val="00ED4BE7"/>
    <w:rsid w:val="00ED4ECD"/>
    <w:rsid w:val="00ED4EF6"/>
    <w:rsid w:val="00EE01BF"/>
    <w:rsid w:val="00EE07D3"/>
    <w:rsid w:val="00EE0CDC"/>
    <w:rsid w:val="00EE3883"/>
    <w:rsid w:val="00EE50C0"/>
    <w:rsid w:val="00EE6BA2"/>
    <w:rsid w:val="00EE751C"/>
    <w:rsid w:val="00EF126A"/>
    <w:rsid w:val="00EF1AE6"/>
    <w:rsid w:val="00EF1C4C"/>
    <w:rsid w:val="00EF34EC"/>
    <w:rsid w:val="00EF49C1"/>
    <w:rsid w:val="00EF6A93"/>
    <w:rsid w:val="00EF7031"/>
    <w:rsid w:val="00F017B8"/>
    <w:rsid w:val="00F03801"/>
    <w:rsid w:val="00F0408E"/>
    <w:rsid w:val="00F067A2"/>
    <w:rsid w:val="00F07323"/>
    <w:rsid w:val="00F11E4A"/>
    <w:rsid w:val="00F17858"/>
    <w:rsid w:val="00F21670"/>
    <w:rsid w:val="00F23BA2"/>
    <w:rsid w:val="00F24837"/>
    <w:rsid w:val="00F24885"/>
    <w:rsid w:val="00F25045"/>
    <w:rsid w:val="00F2545A"/>
    <w:rsid w:val="00F2575F"/>
    <w:rsid w:val="00F25F13"/>
    <w:rsid w:val="00F27A62"/>
    <w:rsid w:val="00F27AB3"/>
    <w:rsid w:val="00F27C9D"/>
    <w:rsid w:val="00F3386F"/>
    <w:rsid w:val="00F33DE9"/>
    <w:rsid w:val="00F34BF7"/>
    <w:rsid w:val="00F34D7B"/>
    <w:rsid w:val="00F35175"/>
    <w:rsid w:val="00F358E5"/>
    <w:rsid w:val="00F3619A"/>
    <w:rsid w:val="00F36C1D"/>
    <w:rsid w:val="00F3767F"/>
    <w:rsid w:val="00F40011"/>
    <w:rsid w:val="00F42329"/>
    <w:rsid w:val="00F45026"/>
    <w:rsid w:val="00F469E7"/>
    <w:rsid w:val="00F46CB6"/>
    <w:rsid w:val="00F47DFF"/>
    <w:rsid w:val="00F51BBE"/>
    <w:rsid w:val="00F5379B"/>
    <w:rsid w:val="00F53CB0"/>
    <w:rsid w:val="00F546A9"/>
    <w:rsid w:val="00F55890"/>
    <w:rsid w:val="00F55E73"/>
    <w:rsid w:val="00F571A4"/>
    <w:rsid w:val="00F578FC"/>
    <w:rsid w:val="00F57CE9"/>
    <w:rsid w:val="00F57E4F"/>
    <w:rsid w:val="00F60092"/>
    <w:rsid w:val="00F660DD"/>
    <w:rsid w:val="00F6635C"/>
    <w:rsid w:val="00F702DF"/>
    <w:rsid w:val="00F70349"/>
    <w:rsid w:val="00F71322"/>
    <w:rsid w:val="00F71706"/>
    <w:rsid w:val="00F72665"/>
    <w:rsid w:val="00F746DA"/>
    <w:rsid w:val="00F75BE4"/>
    <w:rsid w:val="00F75DE6"/>
    <w:rsid w:val="00F7780E"/>
    <w:rsid w:val="00F80E5D"/>
    <w:rsid w:val="00F830E4"/>
    <w:rsid w:val="00F83619"/>
    <w:rsid w:val="00F8416E"/>
    <w:rsid w:val="00F851CE"/>
    <w:rsid w:val="00F86C34"/>
    <w:rsid w:val="00F9220B"/>
    <w:rsid w:val="00F92F46"/>
    <w:rsid w:val="00F93A89"/>
    <w:rsid w:val="00F95835"/>
    <w:rsid w:val="00F97054"/>
    <w:rsid w:val="00F97A78"/>
    <w:rsid w:val="00FA24E7"/>
    <w:rsid w:val="00FA2772"/>
    <w:rsid w:val="00FA2819"/>
    <w:rsid w:val="00FA42C0"/>
    <w:rsid w:val="00FA750A"/>
    <w:rsid w:val="00FA7ED1"/>
    <w:rsid w:val="00FB2B26"/>
    <w:rsid w:val="00FB2FCB"/>
    <w:rsid w:val="00FC1074"/>
    <w:rsid w:val="00FC1792"/>
    <w:rsid w:val="00FC1884"/>
    <w:rsid w:val="00FC1ED1"/>
    <w:rsid w:val="00FC4F85"/>
    <w:rsid w:val="00FC6629"/>
    <w:rsid w:val="00FC78BA"/>
    <w:rsid w:val="00FC7D0B"/>
    <w:rsid w:val="00FD0D39"/>
    <w:rsid w:val="00FD2100"/>
    <w:rsid w:val="00FD446D"/>
    <w:rsid w:val="00FD59B2"/>
    <w:rsid w:val="00FD7711"/>
    <w:rsid w:val="00FD7937"/>
    <w:rsid w:val="00FE3112"/>
    <w:rsid w:val="00FE377D"/>
    <w:rsid w:val="00FF1A03"/>
    <w:rsid w:val="00FF1F65"/>
    <w:rsid w:val="00FF2E7D"/>
    <w:rsid w:val="00FF3DCF"/>
    <w:rsid w:val="00FF4E62"/>
    <w:rsid w:val="00FF5AA3"/>
    <w:rsid w:val="00FF5F73"/>
    <w:rsid w:val="00FF76E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5" w:unhideWhenUsed="0"/>
    <w:lsdException w:name="heading 5" w:semiHidden="0" w:uiPriority="7" w:unhideWhenUsed="0"/>
    <w:lsdException w:name="heading 6" w:semiHidden="0" w:uiPriority="7" w:unhideWhenUsed="0"/>
    <w:lsdException w:name="heading 7" w:uiPriority="7"/>
    <w:lsdException w:name="heading 8" w:uiPriority="7"/>
    <w:lsdException w:name="heading 9" w:uiPriority="7"/>
    <w:lsdException w:name="toc 1" w:uiPriority="39"/>
    <w:lsdException w:name="toc 2" w:uiPriority="39"/>
    <w:lsdException w:name="toc 3" w:uiPriority="39"/>
    <w:lsdException w:name="toc 4" w:uiPriority="9"/>
    <w:lsdException w:name="toc 5" w:uiPriority="9"/>
    <w:lsdException w:name="toc 6" w:uiPriority="9"/>
    <w:lsdException w:name="toc 7" w:uiPriority="9"/>
    <w:lsdException w:name="toc 8" w:uiPriority="9"/>
    <w:lsdException w:name="toc 9" w:uiPriority="9"/>
    <w:lsdException w:name="annotation text" w:uiPriority="99"/>
    <w:lsdException w:name="header" w:uiPriority="99"/>
    <w:lsdException w:name="footer" w:uiPriority="99"/>
    <w:lsdException w:name="caption" w:uiPriority="7" w:qFormat="1"/>
    <w:lsdException w:name="annotation reference" w:uiPriority="9" w:qFormat="1"/>
    <w:lsdException w:name="List Number" w:semiHidden="0" w:uiPriority="9" w:unhideWhenUsed="0"/>
    <w:lsdException w:name="List 4" w:semiHidden="0" w:uiPriority="9" w:unhideWhenUsed="0"/>
    <w:lsdException w:name="List 5" w:semiHidden="0" w:uiPriority="9" w:unhideWhenUsed="0"/>
    <w:lsdException w:name="List Bullet 2" w:uiPriority="99"/>
    <w:lsdException w:name="Title" w:semiHidden="0" w:uiPriority="7" w:unhideWhenUsed="0"/>
    <w:lsdException w:name="Body Text" w:uiPriority="9"/>
    <w:lsdException w:name="Body Text Indent" w:uiPriority="9"/>
    <w:lsdException w:name="Subtitle" w:semiHidden="0" w:uiPriority="9" w:unhideWhenUsed="0"/>
    <w:lsdException w:name="Salutation" w:semiHidden="0" w:uiPriority="9" w:unhideWhenUsed="0"/>
    <w:lsdException w:name="Date" w:semiHidden="0" w:uiPriority="9" w:unhideWhenUsed="0"/>
    <w:lsdException w:name="Body Text First Indent" w:semiHidden="0" w:uiPriority="9" w:unhideWhenUsed="0"/>
    <w:lsdException w:name="Body Text 2" w:uiPriority="9"/>
    <w:lsdException w:name="Body Text 3" w:uiPriority="9"/>
    <w:lsdException w:name="Hyperlink" w:uiPriority="99"/>
    <w:lsdException w:name="Strong" w:semiHidden="0" w:uiPriority="9" w:unhideWhenUsed="0"/>
    <w:lsdException w:name="Emphasis" w:semiHidden="0" w:uiPriority="9" w:unhideWhenUsed="0"/>
    <w:lsdException w:name="Normal (Web)" w:uiPriority="99"/>
    <w:lsdException w:name="annotation subject" w:uiPriority="9"/>
    <w:lsdException w:name="No List" w:uiPriority="99"/>
    <w:lsdException w:name="Balloon Text" w:uiPriority="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72"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6535E"/>
    <w:pPr>
      <w:widowControl w:val="0"/>
      <w:jc w:val="both"/>
    </w:pPr>
    <w:rPr>
      <w:rFonts w:ascii="Arial" w:hAnsi="Arial" w:cs="Arial"/>
      <w:snapToGrid w:val="0"/>
      <w:sz w:val="22"/>
      <w:lang w:eastAsia="en-US"/>
    </w:rPr>
  </w:style>
  <w:style w:type="paragraph" w:styleId="Heading1">
    <w:name w:val="heading 1"/>
    <w:basedOn w:val="PBACHeading1"/>
    <w:next w:val="Normal"/>
    <w:uiPriority w:val="1"/>
    <w:qFormat/>
    <w:rsid w:val="000172EE"/>
    <w:pPr>
      <w:outlineLvl w:val="0"/>
    </w:pPr>
  </w:style>
  <w:style w:type="paragraph" w:styleId="Heading2">
    <w:name w:val="heading 2"/>
    <w:basedOn w:val="Normal"/>
    <w:next w:val="Normal"/>
    <w:link w:val="Heading2Char"/>
    <w:uiPriority w:val="1"/>
    <w:qFormat/>
    <w:rsid w:val="00C6535E"/>
    <w:pPr>
      <w:outlineLvl w:val="1"/>
    </w:pPr>
    <w:rPr>
      <w:b/>
    </w:rPr>
  </w:style>
  <w:style w:type="paragraph" w:styleId="Heading3">
    <w:name w:val="heading 3"/>
    <w:basedOn w:val="Normal"/>
    <w:next w:val="Normal"/>
    <w:uiPriority w:val="1"/>
    <w:qFormat/>
    <w:rsid w:val="00C6535E"/>
    <w:pPr>
      <w:outlineLvl w:val="2"/>
    </w:pPr>
    <w:rPr>
      <w:u w:val="single"/>
    </w:rPr>
  </w:style>
  <w:style w:type="paragraph" w:styleId="Heading4">
    <w:name w:val="heading 4"/>
    <w:basedOn w:val="Normal"/>
    <w:next w:val="Normal"/>
    <w:uiPriority w:val="5"/>
    <w:rsid w:val="00124A51"/>
    <w:pPr>
      <w:keepNext/>
      <w:spacing w:before="240" w:after="60"/>
      <w:outlineLvl w:val="3"/>
    </w:pPr>
    <w:rPr>
      <w:b/>
      <w:bCs/>
      <w:i/>
      <w:sz w:val="26"/>
      <w:szCs w:val="28"/>
    </w:rPr>
  </w:style>
  <w:style w:type="paragraph" w:styleId="Heading5">
    <w:name w:val="heading 5"/>
    <w:basedOn w:val="Normal"/>
    <w:next w:val="Normal"/>
    <w:uiPriority w:val="7"/>
    <w:rsid w:val="00124A51"/>
    <w:pPr>
      <w:spacing w:before="240" w:after="60"/>
      <w:outlineLvl w:val="4"/>
    </w:pPr>
    <w:rPr>
      <w:b/>
      <w:bCs/>
      <w:iCs/>
      <w:sz w:val="26"/>
      <w:szCs w:val="26"/>
    </w:rPr>
  </w:style>
  <w:style w:type="paragraph" w:styleId="Heading6">
    <w:name w:val="heading 6"/>
    <w:basedOn w:val="Normal"/>
    <w:next w:val="Normal"/>
    <w:uiPriority w:val="7"/>
    <w:rsid w:val="00124A51"/>
    <w:pPr>
      <w:spacing w:before="240" w:after="60"/>
      <w:outlineLvl w:val="5"/>
    </w:pPr>
    <w:rPr>
      <w:b/>
      <w:bCs/>
      <w:i/>
      <w:szCs w:val="22"/>
    </w:rPr>
  </w:style>
  <w:style w:type="paragraph" w:styleId="Heading7">
    <w:name w:val="heading 7"/>
    <w:basedOn w:val="Normal"/>
    <w:next w:val="Normal"/>
    <w:link w:val="Heading7Char"/>
    <w:uiPriority w:val="7"/>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uiPriority w:val="7"/>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Footer">
    <w:name w:val="Table Footer"/>
    <w:basedOn w:val="Normal"/>
    <w:uiPriority w:val="4"/>
    <w:qFormat/>
    <w:rsid w:val="00C6535E"/>
    <w:rPr>
      <w:rFonts w:ascii="Arial Narrow" w:hAnsi="Arial Narrow"/>
      <w:sz w:val="18"/>
    </w:rPr>
  </w:style>
  <w:style w:type="paragraph" w:customStyle="1" w:styleId="TableHeader">
    <w:name w:val="Table Header"/>
    <w:basedOn w:val="Normal"/>
    <w:next w:val="Normal"/>
    <w:uiPriority w:val="3"/>
    <w:qFormat/>
    <w:rsid w:val="00C6535E"/>
    <w:rPr>
      <w:rFonts w:ascii="Arial Narrow" w:hAnsi="Arial Narrow"/>
      <w:b/>
      <w:sz w:val="20"/>
    </w:rPr>
  </w:style>
  <w:style w:type="character" w:customStyle="1" w:styleId="Heading2Char">
    <w:name w:val="Heading 2 Char"/>
    <w:link w:val="Heading2"/>
    <w:uiPriority w:val="1"/>
    <w:rsid w:val="00C6535E"/>
    <w:rPr>
      <w:rFonts w:ascii="Arial" w:hAnsi="Arial" w:cs="Arial"/>
      <w:b/>
      <w:snapToGrid w:val="0"/>
      <w:sz w:val="22"/>
      <w:lang w:eastAsia="en-US"/>
    </w:rPr>
  </w:style>
  <w:style w:type="character" w:customStyle="1" w:styleId="Heading7Char">
    <w:name w:val="Heading 7 Char"/>
    <w:basedOn w:val="DefaultParagraphFont"/>
    <w:link w:val="Heading7"/>
    <w:uiPriority w:val="7"/>
    <w:rsid w:val="00D97E30"/>
    <w:rPr>
      <w:rFonts w:ascii="Arial" w:hAnsi="Arial" w:cs="Arial"/>
      <w:b/>
      <w:snapToGrid w:val="0"/>
      <w:lang w:eastAsia="en-US"/>
    </w:rPr>
  </w:style>
  <w:style w:type="character" w:customStyle="1" w:styleId="Heading8Char">
    <w:name w:val="Heading 8 Char"/>
    <w:basedOn w:val="DefaultParagraphFont"/>
    <w:link w:val="Heading8"/>
    <w:uiPriority w:val="7"/>
    <w:rsid w:val="00D97E30"/>
    <w:rPr>
      <w:rFonts w:ascii="Arial" w:hAnsi="Arial" w:cs="Arial"/>
      <w:b/>
      <w:snapToGrid w:val="0"/>
      <w:sz w:val="22"/>
      <w:lang w:eastAsia="en-US"/>
    </w:rPr>
  </w:style>
  <w:style w:type="character" w:customStyle="1" w:styleId="Heading9Char">
    <w:name w:val="Heading 9 Char"/>
    <w:basedOn w:val="DefaultParagraphFont"/>
    <w:link w:val="Heading9"/>
    <w:uiPriority w:val="7"/>
    <w:rsid w:val="00D97E30"/>
    <w:rPr>
      <w:rFonts w:ascii="Arial" w:hAnsi="Arial" w:cs="Arial"/>
      <w:b/>
      <w:snapToGrid w:val="0"/>
      <w:color w:val="000000"/>
      <w:lang w:eastAsia="en-US"/>
    </w:rPr>
  </w:style>
  <w:style w:type="paragraph" w:styleId="Caption">
    <w:name w:val="caption"/>
    <w:aliases w:val="Caption Char Char,Caption2,Caption Char Char Char Char Char,Caption Char Char1 Char,Caption Char1 Char1,Bayer Caption,IB Caption,Medical Caption,Caption Char1 Char,- H17,B Caption,Caption - H17,! Q,Caption Char2 Char,Caption Char Char Char2,c"/>
    <w:basedOn w:val="Normal"/>
    <w:next w:val="TableHeader"/>
    <w:link w:val="CaptionChar"/>
    <w:uiPriority w:val="7"/>
    <w:unhideWhenUsed/>
    <w:qFormat/>
    <w:rsid w:val="005C7F65"/>
    <w:rPr>
      <w:rFonts w:ascii="Arial Narrow" w:hAnsi="Arial Narrow"/>
      <w:b/>
      <w:bCs/>
      <w:sz w:val="20"/>
      <w:szCs w:val="18"/>
    </w:rPr>
  </w:style>
  <w:style w:type="character" w:customStyle="1" w:styleId="CaptionChar">
    <w:name w:val="Caption Char"/>
    <w:aliases w:val="Caption Char Char Char,Caption2 Char,Caption Char Char Char Char Char Char,Caption Char Char1 Char Char,Caption Char1 Char1 Char,Bayer Caption Char,IB Caption Char,Medical Caption Char,Caption Char1 Char Char,- H17 Char,B Caption Char"/>
    <w:link w:val="Caption"/>
    <w:uiPriority w:val="7"/>
    <w:rsid w:val="005C7F65"/>
    <w:rPr>
      <w:rFonts w:ascii="Arial Narrow" w:hAnsi="Arial Narrow" w:cs="Arial"/>
      <w:b/>
      <w:bCs/>
      <w:snapToGrid w:val="0"/>
      <w:szCs w:val="18"/>
      <w:lang w:eastAsia="en-US"/>
    </w:rPr>
  </w:style>
  <w:style w:type="paragraph" w:styleId="Title">
    <w:name w:val="Title"/>
    <w:next w:val="Normal"/>
    <w:link w:val="TitleChar"/>
    <w:uiPriority w:val="7"/>
    <w:rsid w:val="000172EE"/>
    <w:pPr>
      <w:outlineLvl w:val="0"/>
    </w:pPr>
    <w:rPr>
      <w:rFonts w:ascii="Arial Bold" w:hAnsi="Arial Bold" w:cs="Arial"/>
      <w:b/>
      <w:caps/>
      <w:snapToGrid w:val="0"/>
      <w:sz w:val="28"/>
      <w:lang w:eastAsia="en-US"/>
    </w:rPr>
  </w:style>
  <w:style w:type="character" w:customStyle="1" w:styleId="TitleChar">
    <w:name w:val="Title Char"/>
    <w:basedOn w:val="DefaultParagraphFont"/>
    <w:link w:val="Title"/>
    <w:uiPriority w:val="7"/>
    <w:rsid w:val="000172EE"/>
    <w:rPr>
      <w:rFonts w:ascii="Arial Bold" w:hAnsi="Arial Bold" w:cs="Arial"/>
      <w:b/>
      <w:caps/>
      <w:snapToGrid w:val="0"/>
      <w:sz w:val="28"/>
      <w:lang w:eastAsia="en-US"/>
    </w:rPr>
  </w:style>
  <w:style w:type="paragraph" w:styleId="BodyText">
    <w:name w:val="Body Text"/>
    <w:basedOn w:val="Normal"/>
    <w:link w:val="BodyTextChar"/>
    <w:uiPriority w:val="9"/>
    <w:rsid w:val="004B3DDB"/>
    <w:pPr>
      <w:jc w:val="left"/>
    </w:pPr>
  </w:style>
  <w:style w:type="character" w:customStyle="1" w:styleId="BodyTextChar">
    <w:name w:val="Body Text Char"/>
    <w:basedOn w:val="DefaultParagraphFont"/>
    <w:link w:val="BodyText"/>
    <w:uiPriority w:val="9"/>
    <w:rsid w:val="00D97E30"/>
    <w:rPr>
      <w:rFonts w:ascii="Arial" w:hAnsi="Arial" w:cs="Arial"/>
      <w:snapToGrid w:val="0"/>
      <w:sz w:val="22"/>
      <w:lang w:eastAsia="en-US"/>
    </w:rPr>
  </w:style>
  <w:style w:type="paragraph" w:styleId="ListParagraph">
    <w:name w:val="List Paragraph"/>
    <w:aliases w:val="BulletPoints"/>
    <w:basedOn w:val="Normal"/>
    <w:link w:val="ListParagraphChar"/>
    <w:uiPriority w:val="72"/>
    <w:qFormat/>
    <w:rsid w:val="00124A51"/>
    <w:pPr>
      <w:ind w:left="720"/>
      <w:contextualSpacing/>
    </w:pPr>
  </w:style>
  <w:style w:type="paragraph" w:customStyle="1" w:styleId="RegularText">
    <w:name w:val="Regular Text"/>
    <w:basedOn w:val="BodyText"/>
    <w:link w:val="RegularTextChar"/>
    <w:uiPriority w:val="9"/>
    <w:rsid w:val="00124A51"/>
    <w:rPr>
      <w:b/>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character" w:customStyle="1" w:styleId="RegularTextChar">
    <w:name w:val="Regular Text Char"/>
    <w:basedOn w:val="BodyTextChar"/>
    <w:link w:val="RegularText"/>
    <w:uiPriority w:val="9"/>
    <w:rsid w:val="00D97E30"/>
    <w:rPr>
      <w:rFonts w:ascii="Arial" w:hAnsi="Arial" w:cs="Arial"/>
      <w:b/>
      <w:snapToGrid w:val="0"/>
      <w:sz w:val="22"/>
      <w:lang w:eastAsia="en-US"/>
    </w:rPr>
  </w:style>
  <w:style w:type="paragraph" w:styleId="Header">
    <w:name w:val="header"/>
    <w:aliases w:val="Page Header,Header title,he=header,cntr/bld"/>
    <w:basedOn w:val="Normal"/>
    <w:link w:val="HeaderChar"/>
    <w:uiPriority w:val="99"/>
    <w:rsid w:val="00124A51"/>
    <w:pPr>
      <w:tabs>
        <w:tab w:val="center" w:pos="4513"/>
        <w:tab w:val="right" w:pos="9026"/>
      </w:tabs>
    </w:pPr>
  </w:style>
  <w:style w:type="character" w:customStyle="1" w:styleId="HeaderChar">
    <w:name w:val="Header Char"/>
    <w:aliases w:val="Page Header Char,Header title Char,he=header Char,cntr/bld Char"/>
    <w:basedOn w:val="DefaultParagraphFont"/>
    <w:link w:val="Header"/>
    <w:uiPriority w:val="99"/>
    <w:rsid w:val="00124A51"/>
    <w:rPr>
      <w:rFonts w:ascii="Arial" w:hAnsi="Arial" w:cs="Arial"/>
      <w:snapToGrid w:val="0"/>
      <w:sz w:val="22"/>
      <w:lang w:eastAsia="en-US"/>
    </w:rPr>
  </w:style>
  <w:style w:type="paragraph" w:styleId="Footer">
    <w:name w:val="footer"/>
    <w:aliases w:val="Page Footer"/>
    <w:basedOn w:val="Normal"/>
    <w:link w:val="FooterChar"/>
    <w:uiPriority w:val="99"/>
    <w:rsid w:val="00124A51"/>
    <w:pPr>
      <w:tabs>
        <w:tab w:val="center" w:pos="4513"/>
        <w:tab w:val="right" w:pos="9026"/>
      </w:tabs>
    </w:pPr>
  </w:style>
  <w:style w:type="character" w:customStyle="1" w:styleId="FooterChar">
    <w:name w:val="Footer Char"/>
    <w:aliases w:val="Page Footer Char"/>
    <w:basedOn w:val="DefaultParagraphFont"/>
    <w:link w:val="Footer"/>
    <w:uiPriority w:val="99"/>
    <w:rsid w:val="00124A51"/>
    <w:rPr>
      <w:rFonts w:ascii="Arial" w:hAnsi="Arial" w:cs="Arial"/>
      <w:snapToGrid w:val="0"/>
      <w:sz w:val="22"/>
      <w:lang w:eastAsia="en-US"/>
    </w:rPr>
  </w:style>
  <w:style w:type="table" w:styleId="TableGrid">
    <w:name w:val="Table Grid"/>
    <w:aliases w:val="Table Gridbeth,Summary box"/>
    <w:basedOn w:val="TableNormal"/>
    <w:uiPriority w:val="5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
    <w:qFormat/>
    <w:rsid w:val="005C7F65"/>
    <w:rPr>
      <w:rFonts w:ascii="Arial Narrow" w:hAnsi="Arial Narrow"/>
      <w:b/>
      <w:sz w:val="20"/>
      <w:szCs w:val="16"/>
    </w:rPr>
  </w:style>
  <w:style w:type="paragraph" w:customStyle="1" w:styleId="Tabletext">
    <w:name w:val="Table text"/>
    <w:basedOn w:val="Normal"/>
    <w:link w:val="TabletextChar"/>
    <w:uiPriority w:val="99"/>
    <w:qFormat/>
    <w:rsid w:val="00C6535E"/>
    <w:pPr>
      <w:widowControl/>
      <w:jc w:val="left"/>
    </w:pPr>
    <w:rPr>
      <w:rFonts w:ascii="Arial Narrow" w:hAnsi="Arial Narrow" w:cs="Times New Roman"/>
      <w:snapToGrid/>
      <w:sz w:val="20"/>
    </w:rPr>
  </w:style>
  <w:style w:type="paragraph" w:customStyle="1" w:styleId="TableHeading">
    <w:name w:val="TableHeading"/>
    <w:basedOn w:val="Normal"/>
    <w:uiPriority w:val="9"/>
    <w:rsid w:val="00A56B6A"/>
    <w:pPr>
      <w:keepNext/>
      <w:widowControl/>
      <w:spacing w:before="40" w:after="40"/>
      <w:jc w:val="left"/>
    </w:pPr>
    <w:rPr>
      <w:rFonts w:ascii="Arial Narrow" w:hAnsi="Arial Narrow" w:cs="Arial Narrow"/>
      <w:b/>
      <w:bCs/>
      <w:snapToGrid/>
      <w:sz w:val="20"/>
    </w:rPr>
  </w:style>
  <w:style w:type="character" w:customStyle="1" w:styleId="TabletextChar">
    <w:name w:val="Table text Char"/>
    <w:link w:val="Tabletext"/>
    <w:uiPriority w:val="99"/>
    <w:rsid w:val="00C6535E"/>
    <w:rPr>
      <w:rFonts w:ascii="Arial Narrow" w:hAnsi="Arial Narrow"/>
      <w:lang w:eastAsia="en-US"/>
    </w:rPr>
  </w:style>
  <w:style w:type="paragraph" w:customStyle="1" w:styleId="Corpsdetextemarge">
    <w:name w:val="Corps de texte marge"/>
    <w:basedOn w:val="BodyText"/>
    <w:uiPriority w:val="99"/>
    <w:rsid w:val="008F48EB"/>
    <w:pPr>
      <w:widowControl/>
      <w:jc w:val="both"/>
    </w:pPr>
    <w:rPr>
      <w:rFonts w:ascii="Times" w:hAnsi="Times" w:cs="Times New Roman"/>
      <w:snapToGrid/>
      <w:sz w:val="24"/>
      <w:lang w:val="en-US"/>
    </w:rPr>
  </w:style>
  <w:style w:type="paragraph" w:styleId="NormalWeb">
    <w:name w:val="Normal (Web)"/>
    <w:basedOn w:val="Normal"/>
    <w:uiPriority w:val="99"/>
    <w:rsid w:val="008F48EB"/>
    <w:pPr>
      <w:widowControl/>
      <w:spacing w:before="100" w:after="100"/>
      <w:jc w:val="left"/>
    </w:pPr>
    <w:rPr>
      <w:rFonts w:ascii="Times New Roman" w:hAnsi="Times New Roman" w:cs="Times New Roman"/>
      <w:snapToGrid/>
      <w:sz w:val="24"/>
      <w:lang w:val="en-GB"/>
    </w:rPr>
  </w:style>
  <w:style w:type="paragraph" w:styleId="TOC2">
    <w:name w:val="toc 2"/>
    <w:basedOn w:val="Normal"/>
    <w:next w:val="Normal"/>
    <w:autoRedefine/>
    <w:uiPriority w:val="39"/>
    <w:rsid w:val="00CF456B"/>
    <w:pPr>
      <w:tabs>
        <w:tab w:val="left" w:pos="880"/>
        <w:tab w:val="right" w:leader="dot" w:pos="9016"/>
      </w:tabs>
      <w:spacing w:before="120"/>
      <w:ind w:left="220"/>
      <w:jc w:val="left"/>
    </w:pPr>
    <w:rPr>
      <w:iCs/>
      <w:sz w:val="20"/>
    </w:rPr>
  </w:style>
  <w:style w:type="paragraph" w:styleId="TOC1">
    <w:name w:val="toc 1"/>
    <w:basedOn w:val="Normal"/>
    <w:next w:val="Normal"/>
    <w:autoRedefine/>
    <w:uiPriority w:val="39"/>
    <w:rsid w:val="00D0262E"/>
    <w:pPr>
      <w:spacing w:before="240"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qFormat/>
    <w:rsid w:val="00CE6274"/>
    <w:pPr>
      <w:keepNext/>
      <w:keepLines/>
      <w:spacing w:before="480" w:line="276" w:lineRule="auto"/>
      <w:ind w:left="0" w:firstLine="0"/>
      <w:outlineLvl w:val="9"/>
    </w:pPr>
    <w:rPr>
      <w:rFonts w:asciiTheme="majorHAnsi" w:eastAsiaTheme="majorEastAsia" w:hAnsiTheme="majorHAnsi" w:cstheme="majorBidi"/>
      <w:bCs/>
      <w:snapToGrid/>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BalloonText">
    <w:name w:val="Balloon Text"/>
    <w:basedOn w:val="Normal"/>
    <w:link w:val="BalloonTextChar"/>
    <w:uiPriority w:val="9"/>
    <w:rsid w:val="00CE6274"/>
    <w:rPr>
      <w:rFonts w:ascii="Tahoma" w:hAnsi="Tahoma" w:cs="Tahoma"/>
      <w:sz w:val="16"/>
      <w:szCs w:val="16"/>
    </w:rPr>
  </w:style>
  <w:style w:type="character" w:customStyle="1" w:styleId="BalloonTextChar">
    <w:name w:val="Balloon Text Char"/>
    <w:basedOn w:val="DefaultParagraphFont"/>
    <w:link w:val="BalloonText"/>
    <w:uiPriority w:val="9"/>
    <w:rsid w:val="00D97E30"/>
    <w:rPr>
      <w:rFonts w:ascii="Tahoma" w:hAnsi="Tahoma" w:cs="Tahoma"/>
      <w:snapToGrid w:val="0"/>
      <w:sz w:val="16"/>
      <w:szCs w:val="16"/>
      <w:lang w:eastAsia="en-US"/>
    </w:rPr>
  </w:style>
  <w:style w:type="paragraph" w:styleId="BodyText3">
    <w:name w:val="Body Text 3"/>
    <w:basedOn w:val="Normal"/>
    <w:link w:val="BodyText3Char"/>
    <w:uiPriority w:val="9"/>
    <w:rsid w:val="00CE6274"/>
    <w:pPr>
      <w:spacing w:after="120"/>
    </w:pPr>
    <w:rPr>
      <w:sz w:val="16"/>
      <w:szCs w:val="16"/>
    </w:rPr>
  </w:style>
  <w:style w:type="character" w:customStyle="1" w:styleId="BodyText3Char">
    <w:name w:val="Body Text 3 Char"/>
    <w:basedOn w:val="DefaultParagraphFont"/>
    <w:link w:val="BodyText3"/>
    <w:uiPriority w:val="9"/>
    <w:rsid w:val="00D97E30"/>
    <w:rPr>
      <w:rFonts w:ascii="Arial" w:hAnsi="Arial" w:cs="Arial"/>
      <w:snapToGrid w:val="0"/>
      <w:sz w:val="16"/>
      <w:szCs w:val="16"/>
      <w:lang w:eastAsia="en-US"/>
    </w:rPr>
  </w:style>
  <w:style w:type="paragraph" w:styleId="TOC4">
    <w:name w:val="toc 4"/>
    <w:basedOn w:val="Normal"/>
    <w:next w:val="Normal"/>
    <w:autoRedefine/>
    <w:uiPriority w:val="9"/>
    <w:rsid w:val="00D0262E"/>
    <w:pPr>
      <w:ind w:left="660"/>
      <w:jc w:val="left"/>
    </w:pPr>
    <w:rPr>
      <w:rFonts w:asciiTheme="minorHAnsi" w:hAnsiTheme="minorHAnsi"/>
      <w:sz w:val="20"/>
    </w:rPr>
  </w:style>
  <w:style w:type="paragraph" w:styleId="TOC5">
    <w:name w:val="toc 5"/>
    <w:basedOn w:val="Normal"/>
    <w:next w:val="Normal"/>
    <w:autoRedefine/>
    <w:uiPriority w:val="9"/>
    <w:rsid w:val="00D0262E"/>
    <w:pPr>
      <w:ind w:left="880"/>
      <w:jc w:val="left"/>
    </w:pPr>
    <w:rPr>
      <w:rFonts w:asciiTheme="minorHAnsi" w:hAnsiTheme="minorHAnsi"/>
      <w:sz w:val="20"/>
    </w:rPr>
  </w:style>
  <w:style w:type="paragraph" w:styleId="TOC6">
    <w:name w:val="toc 6"/>
    <w:basedOn w:val="Normal"/>
    <w:next w:val="Normal"/>
    <w:autoRedefine/>
    <w:uiPriority w:val="9"/>
    <w:rsid w:val="00D0262E"/>
    <w:pPr>
      <w:ind w:left="1100"/>
      <w:jc w:val="left"/>
    </w:pPr>
    <w:rPr>
      <w:rFonts w:asciiTheme="minorHAnsi" w:hAnsiTheme="minorHAnsi"/>
      <w:sz w:val="20"/>
    </w:rPr>
  </w:style>
  <w:style w:type="paragraph" w:styleId="TOC7">
    <w:name w:val="toc 7"/>
    <w:basedOn w:val="Normal"/>
    <w:next w:val="Normal"/>
    <w:autoRedefine/>
    <w:uiPriority w:val="9"/>
    <w:rsid w:val="00D0262E"/>
    <w:pPr>
      <w:ind w:left="1320"/>
      <w:jc w:val="left"/>
    </w:pPr>
    <w:rPr>
      <w:rFonts w:asciiTheme="minorHAnsi" w:hAnsiTheme="minorHAnsi"/>
      <w:sz w:val="20"/>
    </w:rPr>
  </w:style>
  <w:style w:type="paragraph" w:styleId="TOC8">
    <w:name w:val="toc 8"/>
    <w:basedOn w:val="Normal"/>
    <w:next w:val="Normal"/>
    <w:autoRedefine/>
    <w:uiPriority w:val="9"/>
    <w:rsid w:val="00D0262E"/>
    <w:pPr>
      <w:ind w:left="1540"/>
      <w:jc w:val="left"/>
    </w:pPr>
    <w:rPr>
      <w:rFonts w:asciiTheme="minorHAnsi" w:hAnsiTheme="minorHAnsi"/>
      <w:sz w:val="20"/>
    </w:rPr>
  </w:style>
  <w:style w:type="paragraph" w:styleId="TOC9">
    <w:name w:val="toc 9"/>
    <w:basedOn w:val="Normal"/>
    <w:next w:val="Normal"/>
    <w:autoRedefine/>
    <w:uiPriority w:val="9"/>
    <w:rsid w:val="00D0262E"/>
    <w:pPr>
      <w:ind w:left="1760"/>
      <w:jc w:val="left"/>
    </w:pPr>
    <w:rPr>
      <w:rFonts w:asciiTheme="minorHAnsi" w:hAnsiTheme="minorHAnsi"/>
      <w:sz w:val="20"/>
    </w:rPr>
  </w:style>
  <w:style w:type="paragraph" w:styleId="BodyText2">
    <w:name w:val="Body Text 2"/>
    <w:basedOn w:val="Normal"/>
    <w:link w:val="BodyText2Char"/>
    <w:uiPriority w:val="9"/>
    <w:rsid w:val="00D17D6C"/>
    <w:pPr>
      <w:spacing w:after="120" w:line="480" w:lineRule="auto"/>
    </w:pPr>
  </w:style>
  <w:style w:type="character" w:customStyle="1" w:styleId="BodyText2Char">
    <w:name w:val="Body Text 2 Char"/>
    <w:basedOn w:val="DefaultParagraphFont"/>
    <w:link w:val="BodyText2"/>
    <w:uiPriority w:val="9"/>
    <w:rsid w:val="00D97E30"/>
    <w:rPr>
      <w:rFonts w:ascii="Arial" w:hAnsi="Arial" w:cs="Arial"/>
      <w:snapToGrid w:val="0"/>
      <w:sz w:val="22"/>
      <w:lang w:eastAsia="en-US"/>
    </w:rPr>
  </w:style>
  <w:style w:type="paragraph" w:styleId="CommentText">
    <w:name w:val="annotation text"/>
    <w:aliases w:val="Comment Text Char Char Char,Comment Text Char Char"/>
    <w:basedOn w:val="Normal"/>
    <w:link w:val="CommentTextChar"/>
    <w:uiPriority w:val="99"/>
    <w:rsid w:val="00FD2100"/>
    <w:rPr>
      <w:rFonts w:ascii="Times New Roman" w:hAnsi="Times New Roman" w:cs="Times New Roman"/>
      <w:sz w:val="20"/>
    </w:rPr>
  </w:style>
  <w:style w:type="character" w:customStyle="1" w:styleId="CommentTextChar">
    <w:name w:val="Comment Text Char"/>
    <w:aliases w:val="Comment Text Char Char Char Char,Comment Text Char Char Char1"/>
    <w:basedOn w:val="DefaultParagraphFont"/>
    <w:link w:val="CommentText"/>
    <w:uiPriority w:val="99"/>
    <w:rsid w:val="00FD2100"/>
    <w:rPr>
      <w:snapToGrid w:val="0"/>
      <w:lang w:eastAsia="en-US"/>
    </w:rPr>
  </w:style>
  <w:style w:type="paragraph" w:customStyle="1" w:styleId="TableText0">
    <w:name w:val="TableText"/>
    <w:basedOn w:val="Normal"/>
    <w:link w:val="TableTextChar0"/>
    <w:uiPriority w:val="9"/>
    <w:qFormat/>
    <w:rsid w:val="00CA7B09"/>
    <w:pPr>
      <w:keepNext/>
      <w:widowControl/>
      <w:spacing w:before="40" w:after="40"/>
      <w:jc w:val="left"/>
    </w:pPr>
    <w:rPr>
      <w:rFonts w:ascii="Arial Narrow" w:hAnsi="Arial Narrow" w:cs="Arial Narrow"/>
      <w:snapToGrid/>
      <w:sz w:val="20"/>
    </w:rPr>
  </w:style>
  <w:style w:type="paragraph" w:customStyle="1" w:styleId="TableName">
    <w:name w:val="TableName"/>
    <w:basedOn w:val="Normal"/>
    <w:uiPriority w:val="9"/>
    <w:rsid w:val="00CA7B09"/>
    <w:pPr>
      <w:keepNext/>
      <w:widowControl/>
      <w:spacing w:before="120" w:after="120"/>
      <w:ind w:left="1800" w:hanging="1080"/>
      <w:jc w:val="left"/>
    </w:pPr>
    <w:rPr>
      <w:rFonts w:ascii="Arial Narrow" w:hAnsi="Arial Narrow" w:cs="Arial Narrow"/>
      <w:b/>
      <w:bCs/>
      <w:snapToGrid/>
      <w:szCs w:val="22"/>
    </w:rPr>
  </w:style>
  <w:style w:type="paragraph" w:customStyle="1" w:styleId="TableNotes18">
    <w:name w:val="TableNotes+18"/>
    <w:basedOn w:val="TableText0"/>
    <w:uiPriority w:val="9"/>
    <w:rsid w:val="00CA7B09"/>
    <w:pPr>
      <w:keepNext w:val="0"/>
      <w:keepLines/>
      <w:spacing w:before="0" w:after="360"/>
      <w:ind w:left="720"/>
    </w:pPr>
    <w:rPr>
      <w:sz w:val="18"/>
      <w:szCs w:val="18"/>
    </w:rPr>
  </w:style>
  <w:style w:type="paragraph" w:customStyle="1" w:styleId="TableNotes0">
    <w:name w:val="TableNotes+0"/>
    <w:basedOn w:val="TableNotes18"/>
    <w:uiPriority w:val="9"/>
    <w:rsid w:val="00CA7B09"/>
    <w:pPr>
      <w:keepNext/>
      <w:spacing w:after="0"/>
    </w:pPr>
  </w:style>
  <w:style w:type="paragraph" w:styleId="CommentSubject">
    <w:name w:val="annotation subject"/>
    <w:basedOn w:val="CommentText"/>
    <w:next w:val="CommentText"/>
    <w:link w:val="CommentSubjectChar"/>
    <w:uiPriority w:val="9"/>
    <w:rsid w:val="004319F8"/>
    <w:rPr>
      <w:rFonts w:ascii="Arial" w:hAnsi="Arial" w:cs="Arial"/>
      <w:b/>
      <w:bCs/>
    </w:rPr>
  </w:style>
  <w:style w:type="character" w:customStyle="1" w:styleId="CommentSubjectChar">
    <w:name w:val="Comment Subject Char"/>
    <w:basedOn w:val="CommentTextChar"/>
    <w:link w:val="CommentSubject"/>
    <w:uiPriority w:val="9"/>
    <w:rsid w:val="00D97E30"/>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uiPriority w:val="9"/>
    <w:rsid w:val="00E41E30"/>
    <w:pPr>
      <w:spacing w:after="120"/>
      <w:ind w:left="283"/>
    </w:pPr>
  </w:style>
  <w:style w:type="character" w:customStyle="1" w:styleId="BodyTextIndentChar">
    <w:name w:val="Body Text Indent Char"/>
    <w:basedOn w:val="DefaultParagraphFont"/>
    <w:link w:val="BodyTextIndent"/>
    <w:uiPriority w:val="9"/>
    <w:rsid w:val="00D97E30"/>
    <w:rPr>
      <w:rFonts w:ascii="Arial" w:hAnsi="Arial" w:cs="Arial"/>
      <w:snapToGrid w:val="0"/>
      <w:sz w:val="22"/>
      <w:lang w:eastAsia="en-US"/>
    </w:rPr>
  </w:style>
  <w:style w:type="paragraph" w:customStyle="1" w:styleId="Char1CharCharChar">
    <w:name w:val="Char1 Char Char Char"/>
    <w:basedOn w:val="Normal"/>
    <w:uiPriority w:val="9"/>
    <w:rsid w:val="00B94945"/>
    <w:pPr>
      <w:widowControl/>
      <w:spacing w:after="160" w:line="240" w:lineRule="exact"/>
      <w:jc w:val="left"/>
    </w:pPr>
    <w:rPr>
      <w:rFonts w:ascii="Verdana" w:eastAsia="MS Mincho" w:hAnsi="Verdana" w:cs="Verdana"/>
      <w:snapToGrid/>
      <w:sz w:val="20"/>
      <w:lang w:val="en-US"/>
    </w:rPr>
  </w:style>
  <w:style w:type="character" w:customStyle="1" w:styleId="SubtitleChar">
    <w:name w:val="Subtitle Char"/>
    <w:link w:val="Subtitle"/>
    <w:uiPriority w:val="9"/>
    <w:rsid w:val="00D97E30"/>
    <w:rPr>
      <w:lang w:eastAsia="en-US"/>
    </w:rPr>
  </w:style>
  <w:style w:type="paragraph" w:styleId="Subtitle">
    <w:name w:val="Subtitle"/>
    <w:basedOn w:val="Normal"/>
    <w:link w:val="SubtitleChar"/>
    <w:uiPriority w:val="9"/>
    <w:rsid w:val="00B50DB8"/>
    <w:pPr>
      <w:widowControl/>
    </w:pPr>
    <w:rPr>
      <w:rFonts w:ascii="Times New Roman" w:hAnsi="Times New Roman" w:cs="Times New Roman"/>
      <w:snapToGrid/>
      <w:sz w:val="20"/>
    </w:rPr>
  </w:style>
  <w:style w:type="character" w:customStyle="1" w:styleId="SubtitleChar1">
    <w:name w:val="Subtitle Char1"/>
    <w:basedOn w:val="DefaultParagraphFont"/>
    <w:uiPriority w:val="9"/>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BD6CF3"/>
    <w:pPr>
      <w:numPr>
        <w:numId w:val="2"/>
      </w:numPr>
    </w:pPr>
    <w:rPr>
      <w:rFonts w:ascii="Arial" w:hAnsi="Arial" w:cs="Arial"/>
      <w:b/>
      <w:snapToGrid w:val="0"/>
      <w:sz w:val="22"/>
      <w:szCs w:val="22"/>
      <w:lang w:eastAsia="en-US"/>
    </w:rPr>
  </w:style>
  <w:style w:type="table" w:customStyle="1" w:styleId="TableGrid1">
    <w:name w:val="Table Grid1"/>
    <w:basedOn w:val="TableNormal"/>
    <w:next w:val="TableGrid"/>
    <w:uiPriority w:val="59"/>
    <w:rsid w:val="00C803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D97E30"/>
  </w:style>
  <w:style w:type="paragraph" w:styleId="FootnoteText">
    <w:name w:val="footnote text"/>
    <w:basedOn w:val="Normal"/>
    <w:link w:val="FootnoteTextChar"/>
    <w:semiHidden/>
    <w:unhideWhenUsed/>
    <w:rsid w:val="00BA5A74"/>
    <w:rPr>
      <w:sz w:val="20"/>
    </w:rPr>
  </w:style>
  <w:style w:type="character" w:customStyle="1" w:styleId="FootnoteTextChar">
    <w:name w:val="Footnote Text Char"/>
    <w:basedOn w:val="DefaultParagraphFont"/>
    <w:link w:val="FootnoteText"/>
    <w:semiHidden/>
    <w:rsid w:val="00BA5A74"/>
    <w:rPr>
      <w:rFonts w:ascii="Arial" w:hAnsi="Arial" w:cs="Arial"/>
      <w:snapToGrid w:val="0"/>
      <w:lang w:eastAsia="en-US"/>
    </w:rPr>
  </w:style>
  <w:style w:type="character" w:styleId="FootnoteReference">
    <w:name w:val="footnote reference"/>
    <w:basedOn w:val="DefaultParagraphFont"/>
    <w:semiHidden/>
    <w:unhideWhenUsed/>
    <w:rsid w:val="00BA5A74"/>
    <w:rPr>
      <w:vertAlign w:val="superscript"/>
    </w:rPr>
  </w:style>
  <w:style w:type="paragraph" w:customStyle="1" w:styleId="BMSBodyText">
    <w:name w:val="BMS Body Text"/>
    <w:link w:val="BMSBodyTextChar"/>
    <w:qFormat/>
    <w:rsid w:val="00BA5A74"/>
    <w:pPr>
      <w:spacing w:after="200" w:line="360" w:lineRule="auto"/>
    </w:pPr>
    <w:rPr>
      <w:rFonts w:ascii="Arial" w:hAnsi="Arial"/>
      <w:color w:val="000000"/>
      <w:sz w:val="22"/>
      <w:szCs w:val="24"/>
      <w:lang w:val="en-US" w:eastAsia="en-US"/>
    </w:rPr>
  </w:style>
  <w:style w:type="character" w:customStyle="1" w:styleId="BMSBodyTextChar">
    <w:name w:val="BMS Body Text Char"/>
    <w:basedOn w:val="DefaultParagraphFont"/>
    <w:link w:val="BMSBodyText"/>
    <w:locked/>
    <w:rsid w:val="00BA5A74"/>
    <w:rPr>
      <w:rFonts w:ascii="Arial" w:hAnsi="Arial"/>
      <w:color w:val="000000"/>
      <w:sz w:val="22"/>
      <w:szCs w:val="24"/>
      <w:lang w:val="en-US" w:eastAsia="en-US"/>
    </w:rPr>
  </w:style>
  <w:style w:type="character" w:customStyle="1" w:styleId="underline0">
    <w:name w:val="underline0"/>
    <w:basedOn w:val="DefaultParagraphFont"/>
    <w:rsid w:val="0095120D"/>
  </w:style>
  <w:style w:type="character" w:customStyle="1" w:styleId="ListParagraphChar">
    <w:name w:val="List Paragraph Char"/>
    <w:aliases w:val="BulletPoints Char"/>
    <w:link w:val="ListParagraph"/>
    <w:uiPriority w:val="34"/>
    <w:rsid w:val="0095120D"/>
    <w:rPr>
      <w:rFonts w:ascii="Arial" w:hAnsi="Arial" w:cs="Arial"/>
      <w:snapToGrid w:val="0"/>
      <w:sz w:val="22"/>
      <w:lang w:eastAsia="en-US"/>
    </w:rPr>
  </w:style>
  <w:style w:type="paragraph" w:customStyle="1" w:styleId="Default">
    <w:name w:val="Default"/>
    <w:rsid w:val="0046156D"/>
    <w:pPr>
      <w:autoSpaceDE w:val="0"/>
      <w:autoSpaceDN w:val="0"/>
      <w:adjustRightInd w:val="0"/>
    </w:pPr>
    <w:rPr>
      <w:rFonts w:eastAsiaTheme="minorHAnsi"/>
      <w:color w:val="000000"/>
      <w:sz w:val="24"/>
      <w:szCs w:val="24"/>
      <w:lang w:eastAsia="en-US"/>
    </w:rPr>
  </w:style>
  <w:style w:type="character" w:customStyle="1" w:styleId="StyleArial11pt">
    <w:name w:val="Style Arial 11 pt"/>
    <w:basedOn w:val="DefaultParagraphFont"/>
    <w:rsid w:val="006164F9"/>
    <w:rPr>
      <w:rFonts w:ascii="Arial" w:hAnsi="Arial"/>
      <w:sz w:val="22"/>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3B2572"/>
    <w:pPr>
      <w:widowControl/>
      <w:spacing w:after="160" w:line="240" w:lineRule="exact"/>
      <w:jc w:val="left"/>
    </w:pPr>
    <w:rPr>
      <w:rFonts w:ascii="Verdana" w:eastAsia="MS Mincho" w:hAnsi="Verdana" w:cs="Verdana"/>
      <w:snapToGrid/>
      <w:sz w:val="20"/>
      <w:lang w:val="en-US"/>
    </w:rPr>
  </w:style>
  <w:style w:type="table" w:customStyle="1" w:styleId="TableGridbeth1">
    <w:name w:val="Table Gridbeth1"/>
    <w:basedOn w:val="TableNormal"/>
    <w:next w:val="TableGrid"/>
    <w:uiPriority w:val="59"/>
    <w:rsid w:val="00772CE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link w:val="BodytextChar0"/>
    <w:uiPriority w:val="99"/>
    <w:qFormat/>
    <w:rsid w:val="00F45026"/>
    <w:pPr>
      <w:widowControl/>
      <w:spacing w:after="240" w:line="360" w:lineRule="auto"/>
      <w:jc w:val="left"/>
    </w:pPr>
    <w:rPr>
      <w:rFonts w:cs="Times New Roman"/>
      <w:snapToGrid/>
    </w:rPr>
  </w:style>
  <w:style w:type="character" w:customStyle="1" w:styleId="BodytextChar0">
    <w:name w:val="Body text Char"/>
    <w:link w:val="BodyText1"/>
    <w:locked/>
    <w:rsid w:val="00F45026"/>
    <w:rPr>
      <w:rFonts w:ascii="Arial" w:hAnsi="Arial"/>
      <w:sz w:val="22"/>
      <w:lang w:eastAsia="en-US"/>
    </w:rPr>
  </w:style>
  <w:style w:type="paragraph" w:customStyle="1" w:styleId="TableNotes">
    <w:name w:val="Table Notes"/>
    <w:basedOn w:val="Normal"/>
    <w:next w:val="Normal"/>
    <w:link w:val="TableNotesChar"/>
    <w:uiPriority w:val="99"/>
    <w:qFormat/>
    <w:rsid w:val="007F64C8"/>
    <w:pPr>
      <w:keepLines/>
      <w:widowControl/>
      <w:spacing w:after="360"/>
      <w:contextualSpacing/>
      <w:jc w:val="left"/>
    </w:pPr>
    <w:rPr>
      <w:rFonts w:cs="Times New Roman"/>
      <w:snapToGrid/>
      <w:sz w:val="16"/>
      <w:szCs w:val="16"/>
      <w:lang w:eastAsia="en-AU"/>
    </w:rPr>
  </w:style>
  <w:style w:type="character" w:customStyle="1" w:styleId="TableNotesChar">
    <w:name w:val="Table Notes Char"/>
    <w:link w:val="TableNotes"/>
    <w:uiPriority w:val="99"/>
    <w:rsid w:val="007F64C8"/>
    <w:rPr>
      <w:rFonts w:ascii="Arial" w:hAnsi="Arial"/>
      <w:sz w:val="16"/>
      <w:szCs w:val="16"/>
    </w:rPr>
  </w:style>
  <w:style w:type="character" w:customStyle="1" w:styleId="TableTextChar0">
    <w:name w:val="TableText Char"/>
    <w:link w:val="TableText0"/>
    <w:uiPriority w:val="99"/>
    <w:rsid w:val="007F64C8"/>
    <w:rPr>
      <w:rFonts w:ascii="Arial Narrow" w:hAnsi="Arial Narrow" w:cs="Arial Narrow"/>
      <w:lang w:eastAsia="en-US"/>
    </w:rPr>
  </w:style>
  <w:style w:type="paragraph" w:customStyle="1" w:styleId="TableText1">
    <w:name w:val="Table Text"/>
    <w:basedOn w:val="Normal"/>
    <w:link w:val="TableTextChar1"/>
    <w:qFormat/>
    <w:rsid w:val="004F2D44"/>
    <w:pPr>
      <w:keepNext/>
      <w:keepLines/>
      <w:widowControl/>
      <w:spacing w:before="60" w:after="40"/>
    </w:pPr>
    <w:rPr>
      <w:rFonts w:ascii="Arial Narrow" w:hAnsi="Arial Narrow" w:cs="Times New Roman"/>
      <w:snapToGrid/>
      <w:sz w:val="20"/>
      <w:lang w:eastAsia="en-AU"/>
    </w:rPr>
  </w:style>
  <w:style w:type="character" w:customStyle="1" w:styleId="TableTextChar1">
    <w:name w:val="Table Text Char"/>
    <w:link w:val="TableText1"/>
    <w:locked/>
    <w:rsid w:val="004F2D44"/>
    <w:rPr>
      <w:rFonts w:ascii="Arial Narrow" w:hAnsi="Arial Narrow"/>
    </w:rPr>
  </w:style>
  <w:style w:type="character" w:styleId="FollowedHyperlink">
    <w:name w:val="FollowedHyperlink"/>
    <w:basedOn w:val="DefaultParagraphFont"/>
    <w:semiHidden/>
    <w:unhideWhenUsed/>
    <w:rsid w:val="00972E79"/>
    <w:rPr>
      <w:color w:val="800080" w:themeColor="followedHyperlink"/>
      <w:u w:val="single"/>
    </w:rPr>
  </w:style>
  <w:style w:type="table" w:customStyle="1" w:styleId="Summarybox251">
    <w:name w:val="Summary box251"/>
    <w:basedOn w:val="TableNormal"/>
    <w:uiPriority w:val="59"/>
    <w:rsid w:val="00AB7A39"/>
    <w:pPr>
      <w:spacing w:before="20" w:after="20"/>
    </w:pPr>
    <w:rPr>
      <w:rFonts w:ascii="Garamond" w:hAnsi="Garamond"/>
      <w:sz w:val="18"/>
      <w:lang w:eastAsia="zh-CN" w:bidi="th-T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100" w:beforeAutospacing="1" w:afterLines="0" w:after="100" w:afterAutospacing="1" w:line="360" w:lineRule="auto"/>
      </w:pPr>
      <w:rPr>
        <w:rFonts w:ascii="Garamond" w:hAnsi="Garamond" w:hint="default"/>
        <w:b w:val="0"/>
        <w:i w:val="0"/>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Summarybox271">
    <w:name w:val="Summary box271"/>
    <w:basedOn w:val="TableNormal"/>
    <w:uiPriority w:val="59"/>
    <w:rsid w:val="00AB7A39"/>
    <w:pPr>
      <w:spacing w:before="20" w:after="20"/>
    </w:pPr>
    <w:rPr>
      <w:rFonts w:ascii="Garamond" w:hAnsi="Garamond"/>
      <w:sz w:val="18"/>
      <w:lang w:eastAsia="zh-CN" w:bidi="th-T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100" w:beforeAutospacing="1" w:afterLines="0" w:after="100" w:afterAutospacing="1" w:line="360" w:lineRule="auto"/>
      </w:pPr>
      <w:rPr>
        <w:rFonts w:ascii="Garamond" w:hAnsi="Garamond" w:hint="default"/>
        <w:b w:val="0"/>
        <w:i w:val="0"/>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TableGridbeth4">
    <w:name w:val="Table Gridbeth4"/>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41">
    <w:name w:val="Table Gridbeth41"/>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42">
    <w:name w:val="Table Gridbeth42"/>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43">
    <w:name w:val="Table Gridbeth43"/>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44">
    <w:name w:val="Table Gridbeth44"/>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45">
    <w:name w:val="Table Gridbeth45"/>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AE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5">
    <w:name w:val="Table Gridbeth5"/>
    <w:basedOn w:val="TableNormal"/>
    <w:next w:val="TableGrid"/>
    <w:uiPriority w:val="59"/>
    <w:rsid w:val="00AE7EC8"/>
    <w:pPr>
      <w:spacing w:before="80" w:after="80" w:line="288" w:lineRule="auto"/>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2">
    <w:name w:val="Table Gridbeth2"/>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3">
    <w:name w:val="Table Gridbeth3"/>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6">
    <w:name w:val="Table Gridbeth6"/>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7">
    <w:name w:val="Table Gridbeth7"/>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8">
    <w:name w:val="Table Gridbeth8"/>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9">
    <w:name w:val="Table Gridbeth9"/>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10">
    <w:name w:val="Table Gridbeth10"/>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11">
    <w:name w:val="Table Gridbeth11"/>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12">
    <w:name w:val="Table Gridbeth12"/>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13">
    <w:name w:val="Table Gridbeth13"/>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14">
    <w:name w:val="Table Gridbeth14"/>
    <w:basedOn w:val="TableNormal"/>
    <w:next w:val="TableGrid"/>
    <w:uiPriority w:val="59"/>
    <w:rsid w:val="00AE7EC8"/>
    <w:pPr>
      <w:spacing w:before="80" w:after="8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15">
    <w:name w:val="Table Gridbeth15"/>
    <w:basedOn w:val="TableNormal"/>
    <w:next w:val="TableGrid"/>
    <w:uiPriority w:val="59"/>
    <w:rsid w:val="00AE7EC8"/>
    <w:pPr>
      <w:spacing w:before="80" w:after="8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16">
    <w:name w:val="Table Gridbeth16"/>
    <w:basedOn w:val="TableNormal"/>
    <w:next w:val="TableGrid"/>
    <w:uiPriority w:val="59"/>
    <w:rsid w:val="00AE7EC8"/>
    <w:pPr>
      <w:spacing w:before="80" w:after="8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17">
    <w:name w:val="Table Gridbeth17"/>
    <w:basedOn w:val="TableNormal"/>
    <w:next w:val="TableGrid"/>
    <w:uiPriority w:val="59"/>
    <w:rsid w:val="00AE7EC8"/>
    <w:pPr>
      <w:spacing w:before="80" w:after="8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18">
    <w:name w:val="Table Gridbeth18"/>
    <w:basedOn w:val="TableNormal"/>
    <w:next w:val="TableGrid"/>
    <w:uiPriority w:val="59"/>
    <w:rsid w:val="00AE7EC8"/>
    <w:pPr>
      <w:spacing w:before="80" w:after="8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qFormat/>
    <w:rsid w:val="004A5B7E"/>
    <w:pPr>
      <w:widowControl/>
      <w:spacing w:before="40" w:after="40"/>
    </w:pPr>
    <w:rPr>
      <w:rFonts w:cs="Times New Roman"/>
      <w:snapToGrid/>
      <w:sz w:val="20"/>
      <w:lang w:eastAsia="en-AU"/>
    </w:rPr>
  </w:style>
  <w:style w:type="character" w:customStyle="1" w:styleId="TableChar">
    <w:name w:val="Table Char"/>
    <w:link w:val="Table"/>
    <w:rsid w:val="004A5B7E"/>
    <w:rPr>
      <w:rFonts w:ascii="Arial" w:hAnsi="Arial"/>
    </w:rPr>
  </w:style>
  <w:style w:type="paragraph" w:customStyle="1" w:styleId="EndNoteBibliographyTitle">
    <w:name w:val="EndNote Bibliography Title"/>
    <w:basedOn w:val="Normal"/>
    <w:link w:val="EndNoteBibliographyTitleChar"/>
    <w:rsid w:val="00144D06"/>
    <w:pPr>
      <w:jc w:val="center"/>
    </w:pPr>
    <w:rPr>
      <w:rFonts w:ascii="Arial Bold" w:hAnsi="Arial Bold"/>
      <w:noProof/>
      <w:lang w:val="en-US"/>
    </w:rPr>
  </w:style>
  <w:style w:type="character" w:customStyle="1" w:styleId="EndNoteBibliographyTitleChar">
    <w:name w:val="EndNote Bibliography Title Char"/>
    <w:basedOn w:val="DefaultParagraphFont"/>
    <w:link w:val="EndNoteBibliographyTitle"/>
    <w:rsid w:val="00144D06"/>
    <w:rPr>
      <w:rFonts w:ascii="Arial Bold" w:hAnsi="Arial Bold" w:cs="Arial"/>
      <w:noProof/>
      <w:snapToGrid w:val="0"/>
      <w:sz w:val="22"/>
      <w:lang w:val="en-US" w:eastAsia="en-US"/>
    </w:rPr>
  </w:style>
  <w:style w:type="paragraph" w:customStyle="1" w:styleId="EndNoteBibliography">
    <w:name w:val="EndNote Bibliography"/>
    <w:basedOn w:val="Normal"/>
    <w:link w:val="EndNoteBibliographyChar"/>
    <w:rsid w:val="00144D06"/>
    <w:pPr>
      <w:jc w:val="right"/>
    </w:pPr>
    <w:rPr>
      <w:rFonts w:ascii="Arial Bold" w:hAnsi="Arial Bold"/>
      <w:noProof/>
      <w:lang w:val="en-US"/>
    </w:rPr>
  </w:style>
  <w:style w:type="character" w:customStyle="1" w:styleId="EndNoteBibliographyChar">
    <w:name w:val="EndNote Bibliography Char"/>
    <w:basedOn w:val="DefaultParagraphFont"/>
    <w:link w:val="EndNoteBibliography"/>
    <w:rsid w:val="00144D06"/>
    <w:rPr>
      <w:rFonts w:ascii="Arial Bold" w:hAnsi="Arial Bold" w:cs="Arial"/>
      <w:noProof/>
      <w:snapToGrid w:val="0"/>
      <w:sz w:val="22"/>
      <w:lang w:val="en-US" w:eastAsia="en-US"/>
    </w:rPr>
  </w:style>
  <w:style w:type="paragraph" w:styleId="EndnoteText">
    <w:name w:val="endnote text"/>
    <w:basedOn w:val="Normal"/>
    <w:link w:val="EndnoteTextChar"/>
    <w:semiHidden/>
    <w:unhideWhenUsed/>
    <w:rsid w:val="00F07323"/>
    <w:rPr>
      <w:sz w:val="20"/>
    </w:rPr>
  </w:style>
  <w:style w:type="character" w:customStyle="1" w:styleId="EndnoteTextChar">
    <w:name w:val="Endnote Text Char"/>
    <w:basedOn w:val="DefaultParagraphFont"/>
    <w:link w:val="EndnoteText"/>
    <w:semiHidden/>
    <w:rsid w:val="00F07323"/>
    <w:rPr>
      <w:rFonts w:ascii="Arial" w:hAnsi="Arial" w:cs="Arial"/>
      <w:snapToGrid w:val="0"/>
      <w:lang w:eastAsia="en-US"/>
    </w:rPr>
  </w:style>
  <w:style w:type="character" w:styleId="EndnoteReference">
    <w:name w:val="endnote reference"/>
    <w:basedOn w:val="DefaultParagraphFont"/>
    <w:semiHidden/>
    <w:unhideWhenUsed/>
    <w:rsid w:val="00F07323"/>
    <w:rPr>
      <w:vertAlign w:val="superscript"/>
    </w:rPr>
  </w:style>
  <w:style w:type="paragraph" w:styleId="ListBullet2">
    <w:name w:val="List Bullet 2"/>
    <w:basedOn w:val="Normal"/>
    <w:uiPriority w:val="99"/>
    <w:semiHidden/>
    <w:unhideWhenUsed/>
    <w:rsid w:val="00BC7AA1"/>
    <w:pPr>
      <w:widowControl/>
      <w:numPr>
        <w:numId w:val="21"/>
      </w:numPr>
      <w:spacing w:after="200" w:line="276" w:lineRule="auto"/>
      <w:contextualSpacing/>
      <w:jc w:val="left"/>
    </w:pPr>
    <w:rPr>
      <w:rFonts w:ascii="Times New Roman" w:eastAsiaTheme="minorHAnsi" w:hAnsi="Times New Roman" w:cstheme="minorBidi"/>
      <w:snapToGrid/>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5" w:unhideWhenUsed="0"/>
    <w:lsdException w:name="heading 5" w:semiHidden="0" w:uiPriority="7" w:unhideWhenUsed="0"/>
    <w:lsdException w:name="heading 6" w:semiHidden="0" w:uiPriority="7" w:unhideWhenUsed="0"/>
    <w:lsdException w:name="heading 7" w:uiPriority="7"/>
    <w:lsdException w:name="heading 8" w:uiPriority="7"/>
    <w:lsdException w:name="heading 9" w:uiPriority="7"/>
    <w:lsdException w:name="toc 1" w:uiPriority="39"/>
    <w:lsdException w:name="toc 2" w:uiPriority="39"/>
    <w:lsdException w:name="toc 3" w:uiPriority="39"/>
    <w:lsdException w:name="toc 4" w:uiPriority="9"/>
    <w:lsdException w:name="toc 5" w:uiPriority="9"/>
    <w:lsdException w:name="toc 6" w:uiPriority="9"/>
    <w:lsdException w:name="toc 7" w:uiPriority="9"/>
    <w:lsdException w:name="toc 8" w:uiPriority="9"/>
    <w:lsdException w:name="toc 9" w:uiPriority="9"/>
    <w:lsdException w:name="annotation text" w:uiPriority="99"/>
    <w:lsdException w:name="header" w:uiPriority="99"/>
    <w:lsdException w:name="footer" w:uiPriority="99"/>
    <w:lsdException w:name="caption" w:uiPriority="7" w:qFormat="1"/>
    <w:lsdException w:name="annotation reference" w:uiPriority="9" w:qFormat="1"/>
    <w:lsdException w:name="List Number" w:semiHidden="0" w:uiPriority="9" w:unhideWhenUsed="0"/>
    <w:lsdException w:name="List 4" w:semiHidden="0" w:uiPriority="9" w:unhideWhenUsed="0"/>
    <w:lsdException w:name="List 5" w:semiHidden="0" w:uiPriority="9" w:unhideWhenUsed="0"/>
    <w:lsdException w:name="List Bullet 2" w:uiPriority="99"/>
    <w:lsdException w:name="Title" w:semiHidden="0" w:uiPriority="7" w:unhideWhenUsed="0"/>
    <w:lsdException w:name="Body Text" w:uiPriority="9"/>
    <w:lsdException w:name="Body Text Indent" w:uiPriority="9"/>
    <w:lsdException w:name="Subtitle" w:semiHidden="0" w:uiPriority="9" w:unhideWhenUsed="0"/>
    <w:lsdException w:name="Salutation" w:semiHidden="0" w:uiPriority="9" w:unhideWhenUsed="0"/>
    <w:lsdException w:name="Date" w:semiHidden="0" w:uiPriority="9" w:unhideWhenUsed="0"/>
    <w:lsdException w:name="Body Text First Indent" w:semiHidden="0" w:uiPriority="9" w:unhideWhenUsed="0"/>
    <w:lsdException w:name="Body Text 2" w:uiPriority="9"/>
    <w:lsdException w:name="Body Text 3" w:uiPriority="9"/>
    <w:lsdException w:name="Hyperlink" w:uiPriority="99"/>
    <w:lsdException w:name="Strong" w:semiHidden="0" w:uiPriority="9" w:unhideWhenUsed="0"/>
    <w:lsdException w:name="Emphasis" w:semiHidden="0" w:uiPriority="9" w:unhideWhenUsed="0"/>
    <w:lsdException w:name="Normal (Web)" w:uiPriority="99"/>
    <w:lsdException w:name="annotation subject" w:uiPriority="9"/>
    <w:lsdException w:name="No List" w:uiPriority="99"/>
    <w:lsdException w:name="Balloon Text" w:uiPriority="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72"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6535E"/>
    <w:pPr>
      <w:widowControl w:val="0"/>
      <w:jc w:val="both"/>
    </w:pPr>
    <w:rPr>
      <w:rFonts w:ascii="Arial" w:hAnsi="Arial" w:cs="Arial"/>
      <w:snapToGrid w:val="0"/>
      <w:sz w:val="22"/>
      <w:lang w:eastAsia="en-US"/>
    </w:rPr>
  </w:style>
  <w:style w:type="paragraph" w:styleId="Heading1">
    <w:name w:val="heading 1"/>
    <w:basedOn w:val="PBACHeading1"/>
    <w:next w:val="Normal"/>
    <w:uiPriority w:val="1"/>
    <w:qFormat/>
    <w:rsid w:val="000172EE"/>
    <w:pPr>
      <w:outlineLvl w:val="0"/>
    </w:pPr>
  </w:style>
  <w:style w:type="paragraph" w:styleId="Heading2">
    <w:name w:val="heading 2"/>
    <w:basedOn w:val="Normal"/>
    <w:next w:val="Normal"/>
    <w:link w:val="Heading2Char"/>
    <w:uiPriority w:val="1"/>
    <w:qFormat/>
    <w:rsid w:val="00C6535E"/>
    <w:pPr>
      <w:outlineLvl w:val="1"/>
    </w:pPr>
    <w:rPr>
      <w:b/>
    </w:rPr>
  </w:style>
  <w:style w:type="paragraph" w:styleId="Heading3">
    <w:name w:val="heading 3"/>
    <w:basedOn w:val="Normal"/>
    <w:next w:val="Normal"/>
    <w:uiPriority w:val="1"/>
    <w:qFormat/>
    <w:rsid w:val="00C6535E"/>
    <w:pPr>
      <w:outlineLvl w:val="2"/>
    </w:pPr>
    <w:rPr>
      <w:u w:val="single"/>
    </w:rPr>
  </w:style>
  <w:style w:type="paragraph" w:styleId="Heading4">
    <w:name w:val="heading 4"/>
    <w:basedOn w:val="Normal"/>
    <w:next w:val="Normal"/>
    <w:uiPriority w:val="5"/>
    <w:rsid w:val="00124A51"/>
    <w:pPr>
      <w:keepNext/>
      <w:spacing w:before="240" w:after="60"/>
      <w:outlineLvl w:val="3"/>
    </w:pPr>
    <w:rPr>
      <w:b/>
      <w:bCs/>
      <w:i/>
      <w:sz w:val="26"/>
      <w:szCs w:val="28"/>
    </w:rPr>
  </w:style>
  <w:style w:type="paragraph" w:styleId="Heading5">
    <w:name w:val="heading 5"/>
    <w:basedOn w:val="Normal"/>
    <w:next w:val="Normal"/>
    <w:uiPriority w:val="7"/>
    <w:rsid w:val="00124A51"/>
    <w:pPr>
      <w:spacing w:before="240" w:after="60"/>
      <w:outlineLvl w:val="4"/>
    </w:pPr>
    <w:rPr>
      <w:b/>
      <w:bCs/>
      <w:iCs/>
      <w:sz w:val="26"/>
      <w:szCs w:val="26"/>
    </w:rPr>
  </w:style>
  <w:style w:type="paragraph" w:styleId="Heading6">
    <w:name w:val="heading 6"/>
    <w:basedOn w:val="Normal"/>
    <w:next w:val="Normal"/>
    <w:uiPriority w:val="7"/>
    <w:rsid w:val="00124A51"/>
    <w:pPr>
      <w:spacing w:before="240" w:after="60"/>
      <w:outlineLvl w:val="5"/>
    </w:pPr>
    <w:rPr>
      <w:b/>
      <w:bCs/>
      <w:i/>
      <w:szCs w:val="22"/>
    </w:rPr>
  </w:style>
  <w:style w:type="paragraph" w:styleId="Heading7">
    <w:name w:val="heading 7"/>
    <w:basedOn w:val="Normal"/>
    <w:next w:val="Normal"/>
    <w:link w:val="Heading7Char"/>
    <w:uiPriority w:val="7"/>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uiPriority w:val="7"/>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Footer">
    <w:name w:val="Table Footer"/>
    <w:basedOn w:val="Normal"/>
    <w:uiPriority w:val="4"/>
    <w:qFormat/>
    <w:rsid w:val="00C6535E"/>
    <w:rPr>
      <w:rFonts w:ascii="Arial Narrow" w:hAnsi="Arial Narrow"/>
      <w:sz w:val="18"/>
    </w:rPr>
  </w:style>
  <w:style w:type="paragraph" w:customStyle="1" w:styleId="TableHeader">
    <w:name w:val="Table Header"/>
    <w:basedOn w:val="Normal"/>
    <w:next w:val="Normal"/>
    <w:uiPriority w:val="3"/>
    <w:qFormat/>
    <w:rsid w:val="00C6535E"/>
    <w:rPr>
      <w:rFonts w:ascii="Arial Narrow" w:hAnsi="Arial Narrow"/>
      <w:b/>
      <w:sz w:val="20"/>
    </w:rPr>
  </w:style>
  <w:style w:type="character" w:customStyle="1" w:styleId="Heading2Char">
    <w:name w:val="Heading 2 Char"/>
    <w:link w:val="Heading2"/>
    <w:uiPriority w:val="1"/>
    <w:rsid w:val="00C6535E"/>
    <w:rPr>
      <w:rFonts w:ascii="Arial" w:hAnsi="Arial" w:cs="Arial"/>
      <w:b/>
      <w:snapToGrid w:val="0"/>
      <w:sz w:val="22"/>
      <w:lang w:eastAsia="en-US"/>
    </w:rPr>
  </w:style>
  <w:style w:type="character" w:customStyle="1" w:styleId="Heading7Char">
    <w:name w:val="Heading 7 Char"/>
    <w:basedOn w:val="DefaultParagraphFont"/>
    <w:link w:val="Heading7"/>
    <w:uiPriority w:val="7"/>
    <w:rsid w:val="00D97E30"/>
    <w:rPr>
      <w:rFonts w:ascii="Arial" w:hAnsi="Arial" w:cs="Arial"/>
      <w:b/>
      <w:snapToGrid w:val="0"/>
      <w:lang w:eastAsia="en-US"/>
    </w:rPr>
  </w:style>
  <w:style w:type="character" w:customStyle="1" w:styleId="Heading8Char">
    <w:name w:val="Heading 8 Char"/>
    <w:basedOn w:val="DefaultParagraphFont"/>
    <w:link w:val="Heading8"/>
    <w:uiPriority w:val="7"/>
    <w:rsid w:val="00D97E30"/>
    <w:rPr>
      <w:rFonts w:ascii="Arial" w:hAnsi="Arial" w:cs="Arial"/>
      <w:b/>
      <w:snapToGrid w:val="0"/>
      <w:sz w:val="22"/>
      <w:lang w:eastAsia="en-US"/>
    </w:rPr>
  </w:style>
  <w:style w:type="character" w:customStyle="1" w:styleId="Heading9Char">
    <w:name w:val="Heading 9 Char"/>
    <w:basedOn w:val="DefaultParagraphFont"/>
    <w:link w:val="Heading9"/>
    <w:uiPriority w:val="7"/>
    <w:rsid w:val="00D97E30"/>
    <w:rPr>
      <w:rFonts w:ascii="Arial" w:hAnsi="Arial" w:cs="Arial"/>
      <w:b/>
      <w:snapToGrid w:val="0"/>
      <w:color w:val="000000"/>
      <w:lang w:eastAsia="en-US"/>
    </w:rPr>
  </w:style>
  <w:style w:type="paragraph" w:styleId="Caption">
    <w:name w:val="caption"/>
    <w:aliases w:val="Caption Char Char,Caption2,Caption Char Char Char Char Char,Caption Char Char1 Char,Caption Char1 Char1,Bayer Caption,IB Caption,Medical Caption,Caption Char1 Char,- H17,B Caption,Caption - H17,! Q,Caption Char2 Char,Caption Char Char Char2,c"/>
    <w:basedOn w:val="Normal"/>
    <w:next w:val="TableHeader"/>
    <w:link w:val="CaptionChar"/>
    <w:uiPriority w:val="7"/>
    <w:unhideWhenUsed/>
    <w:qFormat/>
    <w:rsid w:val="005C7F65"/>
    <w:rPr>
      <w:rFonts w:ascii="Arial Narrow" w:hAnsi="Arial Narrow"/>
      <w:b/>
      <w:bCs/>
      <w:sz w:val="20"/>
      <w:szCs w:val="18"/>
    </w:rPr>
  </w:style>
  <w:style w:type="character" w:customStyle="1" w:styleId="CaptionChar">
    <w:name w:val="Caption Char"/>
    <w:aliases w:val="Caption Char Char Char,Caption2 Char,Caption Char Char Char Char Char Char,Caption Char Char1 Char Char,Caption Char1 Char1 Char,Bayer Caption Char,IB Caption Char,Medical Caption Char,Caption Char1 Char Char,- H17 Char,B Caption Char"/>
    <w:link w:val="Caption"/>
    <w:uiPriority w:val="7"/>
    <w:rsid w:val="005C7F65"/>
    <w:rPr>
      <w:rFonts w:ascii="Arial Narrow" w:hAnsi="Arial Narrow" w:cs="Arial"/>
      <w:b/>
      <w:bCs/>
      <w:snapToGrid w:val="0"/>
      <w:szCs w:val="18"/>
      <w:lang w:eastAsia="en-US"/>
    </w:rPr>
  </w:style>
  <w:style w:type="paragraph" w:styleId="Title">
    <w:name w:val="Title"/>
    <w:next w:val="Normal"/>
    <w:link w:val="TitleChar"/>
    <w:uiPriority w:val="7"/>
    <w:rsid w:val="000172EE"/>
    <w:pPr>
      <w:outlineLvl w:val="0"/>
    </w:pPr>
    <w:rPr>
      <w:rFonts w:ascii="Arial Bold" w:hAnsi="Arial Bold" w:cs="Arial"/>
      <w:b/>
      <w:caps/>
      <w:snapToGrid w:val="0"/>
      <w:sz w:val="28"/>
      <w:lang w:eastAsia="en-US"/>
    </w:rPr>
  </w:style>
  <w:style w:type="character" w:customStyle="1" w:styleId="TitleChar">
    <w:name w:val="Title Char"/>
    <w:basedOn w:val="DefaultParagraphFont"/>
    <w:link w:val="Title"/>
    <w:uiPriority w:val="7"/>
    <w:rsid w:val="000172EE"/>
    <w:rPr>
      <w:rFonts w:ascii="Arial Bold" w:hAnsi="Arial Bold" w:cs="Arial"/>
      <w:b/>
      <w:caps/>
      <w:snapToGrid w:val="0"/>
      <w:sz w:val="28"/>
      <w:lang w:eastAsia="en-US"/>
    </w:rPr>
  </w:style>
  <w:style w:type="paragraph" w:styleId="BodyText">
    <w:name w:val="Body Text"/>
    <w:basedOn w:val="Normal"/>
    <w:link w:val="BodyTextChar"/>
    <w:uiPriority w:val="9"/>
    <w:rsid w:val="004B3DDB"/>
    <w:pPr>
      <w:jc w:val="left"/>
    </w:pPr>
  </w:style>
  <w:style w:type="character" w:customStyle="1" w:styleId="BodyTextChar">
    <w:name w:val="Body Text Char"/>
    <w:basedOn w:val="DefaultParagraphFont"/>
    <w:link w:val="BodyText"/>
    <w:uiPriority w:val="9"/>
    <w:rsid w:val="00D97E30"/>
    <w:rPr>
      <w:rFonts w:ascii="Arial" w:hAnsi="Arial" w:cs="Arial"/>
      <w:snapToGrid w:val="0"/>
      <w:sz w:val="22"/>
      <w:lang w:eastAsia="en-US"/>
    </w:rPr>
  </w:style>
  <w:style w:type="paragraph" w:styleId="ListParagraph">
    <w:name w:val="List Paragraph"/>
    <w:aliases w:val="BulletPoints"/>
    <w:basedOn w:val="Normal"/>
    <w:link w:val="ListParagraphChar"/>
    <w:uiPriority w:val="72"/>
    <w:qFormat/>
    <w:rsid w:val="00124A51"/>
    <w:pPr>
      <w:ind w:left="720"/>
      <w:contextualSpacing/>
    </w:pPr>
  </w:style>
  <w:style w:type="paragraph" w:customStyle="1" w:styleId="RegularText">
    <w:name w:val="Regular Text"/>
    <w:basedOn w:val="BodyText"/>
    <w:link w:val="RegularTextChar"/>
    <w:uiPriority w:val="9"/>
    <w:rsid w:val="00124A51"/>
    <w:rPr>
      <w:b/>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character" w:customStyle="1" w:styleId="RegularTextChar">
    <w:name w:val="Regular Text Char"/>
    <w:basedOn w:val="BodyTextChar"/>
    <w:link w:val="RegularText"/>
    <w:uiPriority w:val="9"/>
    <w:rsid w:val="00D97E30"/>
    <w:rPr>
      <w:rFonts w:ascii="Arial" w:hAnsi="Arial" w:cs="Arial"/>
      <w:b/>
      <w:snapToGrid w:val="0"/>
      <w:sz w:val="22"/>
      <w:lang w:eastAsia="en-US"/>
    </w:rPr>
  </w:style>
  <w:style w:type="paragraph" w:styleId="Header">
    <w:name w:val="header"/>
    <w:aliases w:val="Page Header,Header title,he=header,cntr/bld"/>
    <w:basedOn w:val="Normal"/>
    <w:link w:val="HeaderChar"/>
    <w:uiPriority w:val="99"/>
    <w:rsid w:val="00124A51"/>
    <w:pPr>
      <w:tabs>
        <w:tab w:val="center" w:pos="4513"/>
        <w:tab w:val="right" w:pos="9026"/>
      </w:tabs>
    </w:pPr>
  </w:style>
  <w:style w:type="character" w:customStyle="1" w:styleId="HeaderChar">
    <w:name w:val="Header Char"/>
    <w:aliases w:val="Page Header Char,Header title Char,he=header Char,cntr/bld Char"/>
    <w:basedOn w:val="DefaultParagraphFont"/>
    <w:link w:val="Header"/>
    <w:uiPriority w:val="99"/>
    <w:rsid w:val="00124A51"/>
    <w:rPr>
      <w:rFonts w:ascii="Arial" w:hAnsi="Arial" w:cs="Arial"/>
      <w:snapToGrid w:val="0"/>
      <w:sz w:val="22"/>
      <w:lang w:eastAsia="en-US"/>
    </w:rPr>
  </w:style>
  <w:style w:type="paragraph" w:styleId="Footer">
    <w:name w:val="footer"/>
    <w:aliases w:val="Page Footer"/>
    <w:basedOn w:val="Normal"/>
    <w:link w:val="FooterChar"/>
    <w:uiPriority w:val="99"/>
    <w:rsid w:val="00124A51"/>
    <w:pPr>
      <w:tabs>
        <w:tab w:val="center" w:pos="4513"/>
        <w:tab w:val="right" w:pos="9026"/>
      </w:tabs>
    </w:pPr>
  </w:style>
  <w:style w:type="character" w:customStyle="1" w:styleId="FooterChar">
    <w:name w:val="Footer Char"/>
    <w:aliases w:val="Page Footer Char"/>
    <w:basedOn w:val="DefaultParagraphFont"/>
    <w:link w:val="Footer"/>
    <w:uiPriority w:val="99"/>
    <w:rsid w:val="00124A51"/>
    <w:rPr>
      <w:rFonts w:ascii="Arial" w:hAnsi="Arial" w:cs="Arial"/>
      <w:snapToGrid w:val="0"/>
      <w:sz w:val="22"/>
      <w:lang w:eastAsia="en-US"/>
    </w:rPr>
  </w:style>
  <w:style w:type="table" w:styleId="TableGrid">
    <w:name w:val="Table Grid"/>
    <w:aliases w:val="Table Gridbeth,Summary box"/>
    <w:basedOn w:val="TableNormal"/>
    <w:uiPriority w:val="5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
    <w:qFormat/>
    <w:rsid w:val="005C7F65"/>
    <w:rPr>
      <w:rFonts w:ascii="Arial Narrow" w:hAnsi="Arial Narrow"/>
      <w:b/>
      <w:sz w:val="20"/>
      <w:szCs w:val="16"/>
    </w:rPr>
  </w:style>
  <w:style w:type="paragraph" w:customStyle="1" w:styleId="Tabletext">
    <w:name w:val="Table text"/>
    <w:basedOn w:val="Normal"/>
    <w:link w:val="TabletextChar"/>
    <w:uiPriority w:val="99"/>
    <w:qFormat/>
    <w:rsid w:val="00C6535E"/>
    <w:pPr>
      <w:widowControl/>
      <w:jc w:val="left"/>
    </w:pPr>
    <w:rPr>
      <w:rFonts w:ascii="Arial Narrow" w:hAnsi="Arial Narrow" w:cs="Times New Roman"/>
      <w:snapToGrid/>
      <w:sz w:val="20"/>
    </w:rPr>
  </w:style>
  <w:style w:type="paragraph" w:customStyle="1" w:styleId="TableHeading">
    <w:name w:val="TableHeading"/>
    <w:basedOn w:val="Normal"/>
    <w:uiPriority w:val="9"/>
    <w:rsid w:val="00A56B6A"/>
    <w:pPr>
      <w:keepNext/>
      <w:widowControl/>
      <w:spacing w:before="40" w:after="40"/>
      <w:jc w:val="left"/>
    </w:pPr>
    <w:rPr>
      <w:rFonts w:ascii="Arial Narrow" w:hAnsi="Arial Narrow" w:cs="Arial Narrow"/>
      <w:b/>
      <w:bCs/>
      <w:snapToGrid/>
      <w:sz w:val="20"/>
    </w:rPr>
  </w:style>
  <w:style w:type="character" w:customStyle="1" w:styleId="TabletextChar">
    <w:name w:val="Table text Char"/>
    <w:link w:val="Tabletext"/>
    <w:uiPriority w:val="99"/>
    <w:rsid w:val="00C6535E"/>
    <w:rPr>
      <w:rFonts w:ascii="Arial Narrow" w:hAnsi="Arial Narrow"/>
      <w:lang w:eastAsia="en-US"/>
    </w:rPr>
  </w:style>
  <w:style w:type="paragraph" w:customStyle="1" w:styleId="Corpsdetextemarge">
    <w:name w:val="Corps de texte marge"/>
    <w:basedOn w:val="BodyText"/>
    <w:uiPriority w:val="99"/>
    <w:rsid w:val="008F48EB"/>
    <w:pPr>
      <w:widowControl/>
      <w:jc w:val="both"/>
    </w:pPr>
    <w:rPr>
      <w:rFonts w:ascii="Times" w:hAnsi="Times" w:cs="Times New Roman"/>
      <w:snapToGrid/>
      <w:sz w:val="24"/>
      <w:lang w:val="en-US"/>
    </w:rPr>
  </w:style>
  <w:style w:type="paragraph" w:styleId="NormalWeb">
    <w:name w:val="Normal (Web)"/>
    <w:basedOn w:val="Normal"/>
    <w:uiPriority w:val="99"/>
    <w:rsid w:val="008F48EB"/>
    <w:pPr>
      <w:widowControl/>
      <w:spacing w:before="100" w:after="100"/>
      <w:jc w:val="left"/>
    </w:pPr>
    <w:rPr>
      <w:rFonts w:ascii="Times New Roman" w:hAnsi="Times New Roman" w:cs="Times New Roman"/>
      <w:snapToGrid/>
      <w:sz w:val="24"/>
      <w:lang w:val="en-GB"/>
    </w:rPr>
  </w:style>
  <w:style w:type="paragraph" w:styleId="TOC2">
    <w:name w:val="toc 2"/>
    <w:basedOn w:val="Normal"/>
    <w:next w:val="Normal"/>
    <w:autoRedefine/>
    <w:uiPriority w:val="39"/>
    <w:rsid w:val="00CF456B"/>
    <w:pPr>
      <w:tabs>
        <w:tab w:val="left" w:pos="880"/>
        <w:tab w:val="right" w:leader="dot" w:pos="9016"/>
      </w:tabs>
      <w:spacing w:before="120"/>
      <w:ind w:left="220"/>
      <w:jc w:val="left"/>
    </w:pPr>
    <w:rPr>
      <w:iCs/>
      <w:sz w:val="20"/>
    </w:rPr>
  </w:style>
  <w:style w:type="paragraph" w:styleId="TOC1">
    <w:name w:val="toc 1"/>
    <w:basedOn w:val="Normal"/>
    <w:next w:val="Normal"/>
    <w:autoRedefine/>
    <w:uiPriority w:val="39"/>
    <w:rsid w:val="00D0262E"/>
    <w:pPr>
      <w:spacing w:before="240"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qFormat/>
    <w:rsid w:val="00CE6274"/>
    <w:pPr>
      <w:keepNext/>
      <w:keepLines/>
      <w:spacing w:before="480" w:line="276" w:lineRule="auto"/>
      <w:ind w:left="0" w:firstLine="0"/>
      <w:outlineLvl w:val="9"/>
    </w:pPr>
    <w:rPr>
      <w:rFonts w:asciiTheme="majorHAnsi" w:eastAsiaTheme="majorEastAsia" w:hAnsiTheme="majorHAnsi" w:cstheme="majorBidi"/>
      <w:bCs/>
      <w:snapToGrid/>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BalloonText">
    <w:name w:val="Balloon Text"/>
    <w:basedOn w:val="Normal"/>
    <w:link w:val="BalloonTextChar"/>
    <w:uiPriority w:val="9"/>
    <w:rsid w:val="00CE6274"/>
    <w:rPr>
      <w:rFonts w:ascii="Tahoma" w:hAnsi="Tahoma" w:cs="Tahoma"/>
      <w:sz w:val="16"/>
      <w:szCs w:val="16"/>
    </w:rPr>
  </w:style>
  <w:style w:type="character" w:customStyle="1" w:styleId="BalloonTextChar">
    <w:name w:val="Balloon Text Char"/>
    <w:basedOn w:val="DefaultParagraphFont"/>
    <w:link w:val="BalloonText"/>
    <w:uiPriority w:val="9"/>
    <w:rsid w:val="00D97E30"/>
    <w:rPr>
      <w:rFonts w:ascii="Tahoma" w:hAnsi="Tahoma" w:cs="Tahoma"/>
      <w:snapToGrid w:val="0"/>
      <w:sz w:val="16"/>
      <w:szCs w:val="16"/>
      <w:lang w:eastAsia="en-US"/>
    </w:rPr>
  </w:style>
  <w:style w:type="paragraph" w:styleId="BodyText3">
    <w:name w:val="Body Text 3"/>
    <w:basedOn w:val="Normal"/>
    <w:link w:val="BodyText3Char"/>
    <w:uiPriority w:val="9"/>
    <w:rsid w:val="00CE6274"/>
    <w:pPr>
      <w:spacing w:after="120"/>
    </w:pPr>
    <w:rPr>
      <w:sz w:val="16"/>
      <w:szCs w:val="16"/>
    </w:rPr>
  </w:style>
  <w:style w:type="character" w:customStyle="1" w:styleId="BodyText3Char">
    <w:name w:val="Body Text 3 Char"/>
    <w:basedOn w:val="DefaultParagraphFont"/>
    <w:link w:val="BodyText3"/>
    <w:uiPriority w:val="9"/>
    <w:rsid w:val="00D97E30"/>
    <w:rPr>
      <w:rFonts w:ascii="Arial" w:hAnsi="Arial" w:cs="Arial"/>
      <w:snapToGrid w:val="0"/>
      <w:sz w:val="16"/>
      <w:szCs w:val="16"/>
      <w:lang w:eastAsia="en-US"/>
    </w:rPr>
  </w:style>
  <w:style w:type="paragraph" w:styleId="TOC4">
    <w:name w:val="toc 4"/>
    <w:basedOn w:val="Normal"/>
    <w:next w:val="Normal"/>
    <w:autoRedefine/>
    <w:uiPriority w:val="9"/>
    <w:rsid w:val="00D0262E"/>
    <w:pPr>
      <w:ind w:left="660"/>
      <w:jc w:val="left"/>
    </w:pPr>
    <w:rPr>
      <w:rFonts w:asciiTheme="minorHAnsi" w:hAnsiTheme="minorHAnsi"/>
      <w:sz w:val="20"/>
    </w:rPr>
  </w:style>
  <w:style w:type="paragraph" w:styleId="TOC5">
    <w:name w:val="toc 5"/>
    <w:basedOn w:val="Normal"/>
    <w:next w:val="Normal"/>
    <w:autoRedefine/>
    <w:uiPriority w:val="9"/>
    <w:rsid w:val="00D0262E"/>
    <w:pPr>
      <w:ind w:left="880"/>
      <w:jc w:val="left"/>
    </w:pPr>
    <w:rPr>
      <w:rFonts w:asciiTheme="minorHAnsi" w:hAnsiTheme="minorHAnsi"/>
      <w:sz w:val="20"/>
    </w:rPr>
  </w:style>
  <w:style w:type="paragraph" w:styleId="TOC6">
    <w:name w:val="toc 6"/>
    <w:basedOn w:val="Normal"/>
    <w:next w:val="Normal"/>
    <w:autoRedefine/>
    <w:uiPriority w:val="9"/>
    <w:rsid w:val="00D0262E"/>
    <w:pPr>
      <w:ind w:left="1100"/>
      <w:jc w:val="left"/>
    </w:pPr>
    <w:rPr>
      <w:rFonts w:asciiTheme="minorHAnsi" w:hAnsiTheme="minorHAnsi"/>
      <w:sz w:val="20"/>
    </w:rPr>
  </w:style>
  <w:style w:type="paragraph" w:styleId="TOC7">
    <w:name w:val="toc 7"/>
    <w:basedOn w:val="Normal"/>
    <w:next w:val="Normal"/>
    <w:autoRedefine/>
    <w:uiPriority w:val="9"/>
    <w:rsid w:val="00D0262E"/>
    <w:pPr>
      <w:ind w:left="1320"/>
      <w:jc w:val="left"/>
    </w:pPr>
    <w:rPr>
      <w:rFonts w:asciiTheme="minorHAnsi" w:hAnsiTheme="minorHAnsi"/>
      <w:sz w:val="20"/>
    </w:rPr>
  </w:style>
  <w:style w:type="paragraph" w:styleId="TOC8">
    <w:name w:val="toc 8"/>
    <w:basedOn w:val="Normal"/>
    <w:next w:val="Normal"/>
    <w:autoRedefine/>
    <w:uiPriority w:val="9"/>
    <w:rsid w:val="00D0262E"/>
    <w:pPr>
      <w:ind w:left="1540"/>
      <w:jc w:val="left"/>
    </w:pPr>
    <w:rPr>
      <w:rFonts w:asciiTheme="minorHAnsi" w:hAnsiTheme="minorHAnsi"/>
      <w:sz w:val="20"/>
    </w:rPr>
  </w:style>
  <w:style w:type="paragraph" w:styleId="TOC9">
    <w:name w:val="toc 9"/>
    <w:basedOn w:val="Normal"/>
    <w:next w:val="Normal"/>
    <w:autoRedefine/>
    <w:uiPriority w:val="9"/>
    <w:rsid w:val="00D0262E"/>
    <w:pPr>
      <w:ind w:left="1760"/>
      <w:jc w:val="left"/>
    </w:pPr>
    <w:rPr>
      <w:rFonts w:asciiTheme="minorHAnsi" w:hAnsiTheme="minorHAnsi"/>
      <w:sz w:val="20"/>
    </w:rPr>
  </w:style>
  <w:style w:type="paragraph" w:styleId="BodyText2">
    <w:name w:val="Body Text 2"/>
    <w:basedOn w:val="Normal"/>
    <w:link w:val="BodyText2Char"/>
    <w:uiPriority w:val="9"/>
    <w:rsid w:val="00D17D6C"/>
    <w:pPr>
      <w:spacing w:after="120" w:line="480" w:lineRule="auto"/>
    </w:pPr>
  </w:style>
  <w:style w:type="character" w:customStyle="1" w:styleId="BodyText2Char">
    <w:name w:val="Body Text 2 Char"/>
    <w:basedOn w:val="DefaultParagraphFont"/>
    <w:link w:val="BodyText2"/>
    <w:uiPriority w:val="9"/>
    <w:rsid w:val="00D97E30"/>
    <w:rPr>
      <w:rFonts w:ascii="Arial" w:hAnsi="Arial" w:cs="Arial"/>
      <w:snapToGrid w:val="0"/>
      <w:sz w:val="22"/>
      <w:lang w:eastAsia="en-US"/>
    </w:rPr>
  </w:style>
  <w:style w:type="paragraph" w:styleId="CommentText">
    <w:name w:val="annotation text"/>
    <w:aliases w:val="Comment Text Char Char Char,Comment Text Char Char"/>
    <w:basedOn w:val="Normal"/>
    <w:link w:val="CommentTextChar"/>
    <w:uiPriority w:val="99"/>
    <w:rsid w:val="00FD2100"/>
    <w:rPr>
      <w:rFonts w:ascii="Times New Roman" w:hAnsi="Times New Roman" w:cs="Times New Roman"/>
      <w:sz w:val="20"/>
    </w:rPr>
  </w:style>
  <w:style w:type="character" w:customStyle="1" w:styleId="CommentTextChar">
    <w:name w:val="Comment Text Char"/>
    <w:aliases w:val="Comment Text Char Char Char Char,Comment Text Char Char Char1"/>
    <w:basedOn w:val="DefaultParagraphFont"/>
    <w:link w:val="CommentText"/>
    <w:uiPriority w:val="99"/>
    <w:rsid w:val="00FD2100"/>
    <w:rPr>
      <w:snapToGrid w:val="0"/>
      <w:lang w:eastAsia="en-US"/>
    </w:rPr>
  </w:style>
  <w:style w:type="paragraph" w:customStyle="1" w:styleId="TableText0">
    <w:name w:val="TableText"/>
    <w:basedOn w:val="Normal"/>
    <w:link w:val="TableTextChar0"/>
    <w:uiPriority w:val="9"/>
    <w:qFormat/>
    <w:rsid w:val="00CA7B09"/>
    <w:pPr>
      <w:keepNext/>
      <w:widowControl/>
      <w:spacing w:before="40" w:after="40"/>
      <w:jc w:val="left"/>
    </w:pPr>
    <w:rPr>
      <w:rFonts w:ascii="Arial Narrow" w:hAnsi="Arial Narrow" w:cs="Arial Narrow"/>
      <w:snapToGrid/>
      <w:sz w:val="20"/>
    </w:rPr>
  </w:style>
  <w:style w:type="paragraph" w:customStyle="1" w:styleId="TableName">
    <w:name w:val="TableName"/>
    <w:basedOn w:val="Normal"/>
    <w:uiPriority w:val="9"/>
    <w:rsid w:val="00CA7B09"/>
    <w:pPr>
      <w:keepNext/>
      <w:widowControl/>
      <w:spacing w:before="120" w:after="120"/>
      <w:ind w:left="1800" w:hanging="1080"/>
      <w:jc w:val="left"/>
    </w:pPr>
    <w:rPr>
      <w:rFonts w:ascii="Arial Narrow" w:hAnsi="Arial Narrow" w:cs="Arial Narrow"/>
      <w:b/>
      <w:bCs/>
      <w:snapToGrid/>
      <w:szCs w:val="22"/>
    </w:rPr>
  </w:style>
  <w:style w:type="paragraph" w:customStyle="1" w:styleId="TableNotes18">
    <w:name w:val="TableNotes+18"/>
    <w:basedOn w:val="TableText0"/>
    <w:uiPriority w:val="9"/>
    <w:rsid w:val="00CA7B09"/>
    <w:pPr>
      <w:keepNext w:val="0"/>
      <w:keepLines/>
      <w:spacing w:before="0" w:after="360"/>
      <w:ind w:left="720"/>
    </w:pPr>
    <w:rPr>
      <w:sz w:val="18"/>
      <w:szCs w:val="18"/>
    </w:rPr>
  </w:style>
  <w:style w:type="paragraph" w:customStyle="1" w:styleId="TableNotes0">
    <w:name w:val="TableNotes+0"/>
    <w:basedOn w:val="TableNotes18"/>
    <w:uiPriority w:val="9"/>
    <w:rsid w:val="00CA7B09"/>
    <w:pPr>
      <w:keepNext/>
      <w:spacing w:after="0"/>
    </w:pPr>
  </w:style>
  <w:style w:type="paragraph" w:styleId="CommentSubject">
    <w:name w:val="annotation subject"/>
    <w:basedOn w:val="CommentText"/>
    <w:next w:val="CommentText"/>
    <w:link w:val="CommentSubjectChar"/>
    <w:uiPriority w:val="9"/>
    <w:rsid w:val="004319F8"/>
    <w:rPr>
      <w:rFonts w:ascii="Arial" w:hAnsi="Arial" w:cs="Arial"/>
      <w:b/>
      <w:bCs/>
    </w:rPr>
  </w:style>
  <w:style w:type="character" w:customStyle="1" w:styleId="CommentSubjectChar">
    <w:name w:val="Comment Subject Char"/>
    <w:basedOn w:val="CommentTextChar"/>
    <w:link w:val="CommentSubject"/>
    <w:uiPriority w:val="9"/>
    <w:rsid w:val="00D97E30"/>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uiPriority w:val="9"/>
    <w:rsid w:val="00E41E30"/>
    <w:pPr>
      <w:spacing w:after="120"/>
      <w:ind w:left="283"/>
    </w:pPr>
  </w:style>
  <w:style w:type="character" w:customStyle="1" w:styleId="BodyTextIndentChar">
    <w:name w:val="Body Text Indent Char"/>
    <w:basedOn w:val="DefaultParagraphFont"/>
    <w:link w:val="BodyTextIndent"/>
    <w:uiPriority w:val="9"/>
    <w:rsid w:val="00D97E30"/>
    <w:rPr>
      <w:rFonts w:ascii="Arial" w:hAnsi="Arial" w:cs="Arial"/>
      <w:snapToGrid w:val="0"/>
      <w:sz w:val="22"/>
      <w:lang w:eastAsia="en-US"/>
    </w:rPr>
  </w:style>
  <w:style w:type="paragraph" w:customStyle="1" w:styleId="Char1CharCharChar">
    <w:name w:val="Char1 Char Char Char"/>
    <w:basedOn w:val="Normal"/>
    <w:uiPriority w:val="9"/>
    <w:rsid w:val="00B94945"/>
    <w:pPr>
      <w:widowControl/>
      <w:spacing w:after="160" w:line="240" w:lineRule="exact"/>
      <w:jc w:val="left"/>
    </w:pPr>
    <w:rPr>
      <w:rFonts w:ascii="Verdana" w:eastAsia="MS Mincho" w:hAnsi="Verdana" w:cs="Verdana"/>
      <w:snapToGrid/>
      <w:sz w:val="20"/>
      <w:lang w:val="en-US"/>
    </w:rPr>
  </w:style>
  <w:style w:type="character" w:customStyle="1" w:styleId="SubtitleChar">
    <w:name w:val="Subtitle Char"/>
    <w:link w:val="Subtitle"/>
    <w:uiPriority w:val="9"/>
    <w:rsid w:val="00D97E30"/>
    <w:rPr>
      <w:lang w:eastAsia="en-US"/>
    </w:rPr>
  </w:style>
  <w:style w:type="paragraph" w:styleId="Subtitle">
    <w:name w:val="Subtitle"/>
    <w:basedOn w:val="Normal"/>
    <w:link w:val="SubtitleChar"/>
    <w:uiPriority w:val="9"/>
    <w:rsid w:val="00B50DB8"/>
    <w:pPr>
      <w:widowControl/>
    </w:pPr>
    <w:rPr>
      <w:rFonts w:ascii="Times New Roman" w:hAnsi="Times New Roman" w:cs="Times New Roman"/>
      <w:snapToGrid/>
      <w:sz w:val="20"/>
    </w:rPr>
  </w:style>
  <w:style w:type="character" w:customStyle="1" w:styleId="SubtitleChar1">
    <w:name w:val="Subtitle Char1"/>
    <w:basedOn w:val="DefaultParagraphFont"/>
    <w:uiPriority w:val="9"/>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BD6CF3"/>
    <w:pPr>
      <w:numPr>
        <w:numId w:val="2"/>
      </w:numPr>
    </w:pPr>
    <w:rPr>
      <w:rFonts w:ascii="Arial" w:hAnsi="Arial" w:cs="Arial"/>
      <w:b/>
      <w:snapToGrid w:val="0"/>
      <w:sz w:val="22"/>
      <w:szCs w:val="22"/>
      <w:lang w:eastAsia="en-US"/>
    </w:rPr>
  </w:style>
  <w:style w:type="table" w:customStyle="1" w:styleId="TableGrid1">
    <w:name w:val="Table Grid1"/>
    <w:basedOn w:val="TableNormal"/>
    <w:next w:val="TableGrid"/>
    <w:uiPriority w:val="59"/>
    <w:rsid w:val="00C803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D97E30"/>
  </w:style>
  <w:style w:type="paragraph" w:styleId="FootnoteText">
    <w:name w:val="footnote text"/>
    <w:basedOn w:val="Normal"/>
    <w:link w:val="FootnoteTextChar"/>
    <w:semiHidden/>
    <w:unhideWhenUsed/>
    <w:rsid w:val="00BA5A74"/>
    <w:rPr>
      <w:sz w:val="20"/>
    </w:rPr>
  </w:style>
  <w:style w:type="character" w:customStyle="1" w:styleId="FootnoteTextChar">
    <w:name w:val="Footnote Text Char"/>
    <w:basedOn w:val="DefaultParagraphFont"/>
    <w:link w:val="FootnoteText"/>
    <w:semiHidden/>
    <w:rsid w:val="00BA5A74"/>
    <w:rPr>
      <w:rFonts w:ascii="Arial" w:hAnsi="Arial" w:cs="Arial"/>
      <w:snapToGrid w:val="0"/>
      <w:lang w:eastAsia="en-US"/>
    </w:rPr>
  </w:style>
  <w:style w:type="character" w:styleId="FootnoteReference">
    <w:name w:val="footnote reference"/>
    <w:basedOn w:val="DefaultParagraphFont"/>
    <w:semiHidden/>
    <w:unhideWhenUsed/>
    <w:rsid w:val="00BA5A74"/>
    <w:rPr>
      <w:vertAlign w:val="superscript"/>
    </w:rPr>
  </w:style>
  <w:style w:type="paragraph" w:customStyle="1" w:styleId="BMSBodyText">
    <w:name w:val="BMS Body Text"/>
    <w:link w:val="BMSBodyTextChar"/>
    <w:qFormat/>
    <w:rsid w:val="00BA5A74"/>
    <w:pPr>
      <w:spacing w:after="200" w:line="360" w:lineRule="auto"/>
    </w:pPr>
    <w:rPr>
      <w:rFonts w:ascii="Arial" w:hAnsi="Arial"/>
      <w:color w:val="000000"/>
      <w:sz w:val="22"/>
      <w:szCs w:val="24"/>
      <w:lang w:val="en-US" w:eastAsia="en-US"/>
    </w:rPr>
  </w:style>
  <w:style w:type="character" w:customStyle="1" w:styleId="BMSBodyTextChar">
    <w:name w:val="BMS Body Text Char"/>
    <w:basedOn w:val="DefaultParagraphFont"/>
    <w:link w:val="BMSBodyText"/>
    <w:locked/>
    <w:rsid w:val="00BA5A74"/>
    <w:rPr>
      <w:rFonts w:ascii="Arial" w:hAnsi="Arial"/>
      <w:color w:val="000000"/>
      <w:sz w:val="22"/>
      <w:szCs w:val="24"/>
      <w:lang w:val="en-US" w:eastAsia="en-US"/>
    </w:rPr>
  </w:style>
  <w:style w:type="character" w:customStyle="1" w:styleId="underline0">
    <w:name w:val="underline0"/>
    <w:basedOn w:val="DefaultParagraphFont"/>
    <w:rsid w:val="0095120D"/>
  </w:style>
  <w:style w:type="character" w:customStyle="1" w:styleId="ListParagraphChar">
    <w:name w:val="List Paragraph Char"/>
    <w:aliases w:val="BulletPoints Char"/>
    <w:link w:val="ListParagraph"/>
    <w:uiPriority w:val="34"/>
    <w:rsid w:val="0095120D"/>
    <w:rPr>
      <w:rFonts w:ascii="Arial" w:hAnsi="Arial" w:cs="Arial"/>
      <w:snapToGrid w:val="0"/>
      <w:sz w:val="22"/>
      <w:lang w:eastAsia="en-US"/>
    </w:rPr>
  </w:style>
  <w:style w:type="paragraph" w:customStyle="1" w:styleId="Default">
    <w:name w:val="Default"/>
    <w:rsid w:val="0046156D"/>
    <w:pPr>
      <w:autoSpaceDE w:val="0"/>
      <w:autoSpaceDN w:val="0"/>
      <w:adjustRightInd w:val="0"/>
    </w:pPr>
    <w:rPr>
      <w:rFonts w:eastAsiaTheme="minorHAnsi"/>
      <w:color w:val="000000"/>
      <w:sz w:val="24"/>
      <w:szCs w:val="24"/>
      <w:lang w:eastAsia="en-US"/>
    </w:rPr>
  </w:style>
  <w:style w:type="character" w:customStyle="1" w:styleId="StyleArial11pt">
    <w:name w:val="Style Arial 11 pt"/>
    <w:basedOn w:val="DefaultParagraphFont"/>
    <w:rsid w:val="006164F9"/>
    <w:rPr>
      <w:rFonts w:ascii="Arial" w:hAnsi="Arial"/>
      <w:sz w:val="22"/>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3B2572"/>
    <w:pPr>
      <w:widowControl/>
      <w:spacing w:after="160" w:line="240" w:lineRule="exact"/>
      <w:jc w:val="left"/>
    </w:pPr>
    <w:rPr>
      <w:rFonts w:ascii="Verdana" w:eastAsia="MS Mincho" w:hAnsi="Verdana" w:cs="Verdana"/>
      <w:snapToGrid/>
      <w:sz w:val="20"/>
      <w:lang w:val="en-US"/>
    </w:rPr>
  </w:style>
  <w:style w:type="table" w:customStyle="1" w:styleId="TableGridbeth1">
    <w:name w:val="Table Gridbeth1"/>
    <w:basedOn w:val="TableNormal"/>
    <w:next w:val="TableGrid"/>
    <w:uiPriority w:val="59"/>
    <w:rsid w:val="00772CE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link w:val="BodytextChar0"/>
    <w:uiPriority w:val="99"/>
    <w:qFormat/>
    <w:rsid w:val="00F45026"/>
    <w:pPr>
      <w:widowControl/>
      <w:spacing w:after="240" w:line="360" w:lineRule="auto"/>
      <w:jc w:val="left"/>
    </w:pPr>
    <w:rPr>
      <w:rFonts w:cs="Times New Roman"/>
      <w:snapToGrid/>
    </w:rPr>
  </w:style>
  <w:style w:type="character" w:customStyle="1" w:styleId="BodytextChar0">
    <w:name w:val="Body text Char"/>
    <w:link w:val="BodyText1"/>
    <w:locked/>
    <w:rsid w:val="00F45026"/>
    <w:rPr>
      <w:rFonts w:ascii="Arial" w:hAnsi="Arial"/>
      <w:sz w:val="22"/>
      <w:lang w:eastAsia="en-US"/>
    </w:rPr>
  </w:style>
  <w:style w:type="paragraph" w:customStyle="1" w:styleId="TableNotes">
    <w:name w:val="Table Notes"/>
    <w:basedOn w:val="Normal"/>
    <w:next w:val="Normal"/>
    <w:link w:val="TableNotesChar"/>
    <w:uiPriority w:val="99"/>
    <w:qFormat/>
    <w:rsid w:val="007F64C8"/>
    <w:pPr>
      <w:keepLines/>
      <w:widowControl/>
      <w:spacing w:after="360"/>
      <w:contextualSpacing/>
      <w:jc w:val="left"/>
    </w:pPr>
    <w:rPr>
      <w:rFonts w:cs="Times New Roman"/>
      <w:snapToGrid/>
      <w:sz w:val="16"/>
      <w:szCs w:val="16"/>
      <w:lang w:eastAsia="en-AU"/>
    </w:rPr>
  </w:style>
  <w:style w:type="character" w:customStyle="1" w:styleId="TableNotesChar">
    <w:name w:val="Table Notes Char"/>
    <w:link w:val="TableNotes"/>
    <w:uiPriority w:val="99"/>
    <w:rsid w:val="007F64C8"/>
    <w:rPr>
      <w:rFonts w:ascii="Arial" w:hAnsi="Arial"/>
      <w:sz w:val="16"/>
      <w:szCs w:val="16"/>
    </w:rPr>
  </w:style>
  <w:style w:type="character" w:customStyle="1" w:styleId="TableTextChar0">
    <w:name w:val="TableText Char"/>
    <w:link w:val="TableText0"/>
    <w:uiPriority w:val="99"/>
    <w:rsid w:val="007F64C8"/>
    <w:rPr>
      <w:rFonts w:ascii="Arial Narrow" w:hAnsi="Arial Narrow" w:cs="Arial Narrow"/>
      <w:lang w:eastAsia="en-US"/>
    </w:rPr>
  </w:style>
  <w:style w:type="paragraph" w:customStyle="1" w:styleId="TableText1">
    <w:name w:val="Table Text"/>
    <w:basedOn w:val="Normal"/>
    <w:link w:val="TableTextChar1"/>
    <w:qFormat/>
    <w:rsid w:val="004F2D44"/>
    <w:pPr>
      <w:keepNext/>
      <w:keepLines/>
      <w:widowControl/>
      <w:spacing w:before="60" w:after="40"/>
    </w:pPr>
    <w:rPr>
      <w:rFonts w:ascii="Arial Narrow" w:hAnsi="Arial Narrow" w:cs="Times New Roman"/>
      <w:snapToGrid/>
      <w:sz w:val="20"/>
      <w:lang w:eastAsia="en-AU"/>
    </w:rPr>
  </w:style>
  <w:style w:type="character" w:customStyle="1" w:styleId="TableTextChar1">
    <w:name w:val="Table Text Char"/>
    <w:link w:val="TableText1"/>
    <w:locked/>
    <w:rsid w:val="004F2D44"/>
    <w:rPr>
      <w:rFonts w:ascii="Arial Narrow" w:hAnsi="Arial Narrow"/>
    </w:rPr>
  </w:style>
  <w:style w:type="character" w:styleId="FollowedHyperlink">
    <w:name w:val="FollowedHyperlink"/>
    <w:basedOn w:val="DefaultParagraphFont"/>
    <w:semiHidden/>
    <w:unhideWhenUsed/>
    <w:rsid w:val="00972E79"/>
    <w:rPr>
      <w:color w:val="800080" w:themeColor="followedHyperlink"/>
      <w:u w:val="single"/>
    </w:rPr>
  </w:style>
  <w:style w:type="table" w:customStyle="1" w:styleId="Summarybox251">
    <w:name w:val="Summary box251"/>
    <w:basedOn w:val="TableNormal"/>
    <w:uiPriority w:val="59"/>
    <w:rsid w:val="00AB7A39"/>
    <w:pPr>
      <w:spacing w:before="20" w:after="20"/>
    </w:pPr>
    <w:rPr>
      <w:rFonts w:ascii="Garamond" w:hAnsi="Garamond"/>
      <w:sz w:val="18"/>
      <w:lang w:eastAsia="zh-CN" w:bidi="th-T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100" w:beforeAutospacing="1" w:afterLines="0" w:after="100" w:afterAutospacing="1" w:line="360" w:lineRule="auto"/>
      </w:pPr>
      <w:rPr>
        <w:rFonts w:ascii="Garamond" w:hAnsi="Garamond" w:hint="default"/>
        <w:b w:val="0"/>
        <w:i w:val="0"/>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Summarybox271">
    <w:name w:val="Summary box271"/>
    <w:basedOn w:val="TableNormal"/>
    <w:uiPriority w:val="59"/>
    <w:rsid w:val="00AB7A39"/>
    <w:pPr>
      <w:spacing w:before="20" w:after="20"/>
    </w:pPr>
    <w:rPr>
      <w:rFonts w:ascii="Garamond" w:hAnsi="Garamond"/>
      <w:sz w:val="18"/>
      <w:lang w:eastAsia="zh-CN" w:bidi="th-T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100" w:beforeAutospacing="1" w:afterLines="0" w:after="100" w:afterAutospacing="1" w:line="360" w:lineRule="auto"/>
      </w:pPr>
      <w:rPr>
        <w:rFonts w:ascii="Garamond" w:hAnsi="Garamond" w:hint="default"/>
        <w:b w:val="0"/>
        <w:i w:val="0"/>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TableGridbeth4">
    <w:name w:val="Table Gridbeth4"/>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41">
    <w:name w:val="Table Gridbeth41"/>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42">
    <w:name w:val="Table Gridbeth42"/>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43">
    <w:name w:val="Table Gridbeth43"/>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44">
    <w:name w:val="Table Gridbeth44"/>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45">
    <w:name w:val="Table Gridbeth45"/>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AE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5">
    <w:name w:val="Table Gridbeth5"/>
    <w:basedOn w:val="TableNormal"/>
    <w:next w:val="TableGrid"/>
    <w:uiPriority w:val="59"/>
    <w:rsid w:val="00AE7EC8"/>
    <w:pPr>
      <w:spacing w:before="80" w:after="80" w:line="288" w:lineRule="auto"/>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2">
    <w:name w:val="Table Gridbeth2"/>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3">
    <w:name w:val="Table Gridbeth3"/>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6">
    <w:name w:val="Table Gridbeth6"/>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7">
    <w:name w:val="Table Gridbeth7"/>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8">
    <w:name w:val="Table Gridbeth8"/>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9">
    <w:name w:val="Table Gridbeth9"/>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10">
    <w:name w:val="Table Gridbeth10"/>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11">
    <w:name w:val="Table Gridbeth11"/>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12">
    <w:name w:val="Table Gridbeth12"/>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13">
    <w:name w:val="Table Gridbeth13"/>
    <w:basedOn w:val="TableNormal"/>
    <w:next w:val="TableGrid"/>
    <w:uiPriority w:val="59"/>
    <w:rsid w:val="00AE7EC8"/>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14">
    <w:name w:val="Table Gridbeth14"/>
    <w:basedOn w:val="TableNormal"/>
    <w:next w:val="TableGrid"/>
    <w:uiPriority w:val="59"/>
    <w:rsid w:val="00AE7EC8"/>
    <w:pPr>
      <w:spacing w:before="80" w:after="8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15">
    <w:name w:val="Table Gridbeth15"/>
    <w:basedOn w:val="TableNormal"/>
    <w:next w:val="TableGrid"/>
    <w:uiPriority w:val="59"/>
    <w:rsid w:val="00AE7EC8"/>
    <w:pPr>
      <w:spacing w:before="80" w:after="8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16">
    <w:name w:val="Table Gridbeth16"/>
    <w:basedOn w:val="TableNormal"/>
    <w:next w:val="TableGrid"/>
    <w:uiPriority w:val="59"/>
    <w:rsid w:val="00AE7EC8"/>
    <w:pPr>
      <w:spacing w:before="80" w:after="8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17">
    <w:name w:val="Table Gridbeth17"/>
    <w:basedOn w:val="TableNormal"/>
    <w:next w:val="TableGrid"/>
    <w:uiPriority w:val="59"/>
    <w:rsid w:val="00AE7EC8"/>
    <w:pPr>
      <w:spacing w:before="80" w:after="8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18">
    <w:name w:val="Table Gridbeth18"/>
    <w:basedOn w:val="TableNormal"/>
    <w:next w:val="TableGrid"/>
    <w:uiPriority w:val="59"/>
    <w:rsid w:val="00AE7EC8"/>
    <w:pPr>
      <w:spacing w:before="80" w:after="8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qFormat/>
    <w:rsid w:val="004A5B7E"/>
    <w:pPr>
      <w:widowControl/>
      <w:spacing w:before="40" w:after="40"/>
    </w:pPr>
    <w:rPr>
      <w:rFonts w:cs="Times New Roman"/>
      <w:snapToGrid/>
      <w:sz w:val="20"/>
      <w:lang w:eastAsia="en-AU"/>
    </w:rPr>
  </w:style>
  <w:style w:type="character" w:customStyle="1" w:styleId="TableChar">
    <w:name w:val="Table Char"/>
    <w:link w:val="Table"/>
    <w:rsid w:val="004A5B7E"/>
    <w:rPr>
      <w:rFonts w:ascii="Arial" w:hAnsi="Arial"/>
    </w:rPr>
  </w:style>
  <w:style w:type="paragraph" w:customStyle="1" w:styleId="EndNoteBibliographyTitle">
    <w:name w:val="EndNote Bibliography Title"/>
    <w:basedOn w:val="Normal"/>
    <w:link w:val="EndNoteBibliographyTitleChar"/>
    <w:rsid w:val="00144D06"/>
    <w:pPr>
      <w:jc w:val="center"/>
    </w:pPr>
    <w:rPr>
      <w:rFonts w:ascii="Arial Bold" w:hAnsi="Arial Bold"/>
      <w:noProof/>
      <w:lang w:val="en-US"/>
    </w:rPr>
  </w:style>
  <w:style w:type="character" w:customStyle="1" w:styleId="EndNoteBibliographyTitleChar">
    <w:name w:val="EndNote Bibliography Title Char"/>
    <w:basedOn w:val="DefaultParagraphFont"/>
    <w:link w:val="EndNoteBibliographyTitle"/>
    <w:rsid w:val="00144D06"/>
    <w:rPr>
      <w:rFonts w:ascii="Arial Bold" w:hAnsi="Arial Bold" w:cs="Arial"/>
      <w:noProof/>
      <w:snapToGrid w:val="0"/>
      <w:sz w:val="22"/>
      <w:lang w:val="en-US" w:eastAsia="en-US"/>
    </w:rPr>
  </w:style>
  <w:style w:type="paragraph" w:customStyle="1" w:styleId="EndNoteBibliography">
    <w:name w:val="EndNote Bibliography"/>
    <w:basedOn w:val="Normal"/>
    <w:link w:val="EndNoteBibliographyChar"/>
    <w:rsid w:val="00144D06"/>
    <w:pPr>
      <w:jc w:val="right"/>
    </w:pPr>
    <w:rPr>
      <w:rFonts w:ascii="Arial Bold" w:hAnsi="Arial Bold"/>
      <w:noProof/>
      <w:lang w:val="en-US"/>
    </w:rPr>
  </w:style>
  <w:style w:type="character" w:customStyle="1" w:styleId="EndNoteBibliographyChar">
    <w:name w:val="EndNote Bibliography Char"/>
    <w:basedOn w:val="DefaultParagraphFont"/>
    <w:link w:val="EndNoteBibliography"/>
    <w:rsid w:val="00144D06"/>
    <w:rPr>
      <w:rFonts w:ascii="Arial Bold" w:hAnsi="Arial Bold" w:cs="Arial"/>
      <w:noProof/>
      <w:snapToGrid w:val="0"/>
      <w:sz w:val="22"/>
      <w:lang w:val="en-US" w:eastAsia="en-US"/>
    </w:rPr>
  </w:style>
  <w:style w:type="paragraph" w:styleId="EndnoteText">
    <w:name w:val="endnote text"/>
    <w:basedOn w:val="Normal"/>
    <w:link w:val="EndnoteTextChar"/>
    <w:semiHidden/>
    <w:unhideWhenUsed/>
    <w:rsid w:val="00F07323"/>
    <w:rPr>
      <w:sz w:val="20"/>
    </w:rPr>
  </w:style>
  <w:style w:type="character" w:customStyle="1" w:styleId="EndnoteTextChar">
    <w:name w:val="Endnote Text Char"/>
    <w:basedOn w:val="DefaultParagraphFont"/>
    <w:link w:val="EndnoteText"/>
    <w:semiHidden/>
    <w:rsid w:val="00F07323"/>
    <w:rPr>
      <w:rFonts w:ascii="Arial" w:hAnsi="Arial" w:cs="Arial"/>
      <w:snapToGrid w:val="0"/>
      <w:lang w:eastAsia="en-US"/>
    </w:rPr>
  </w:style>
  <w:style w:type="character" w:styleId="EndnoteReference">
    <w:name w:val="endnote reference"/>
    <w:basedOn w:val="DefaultParagraphFont"/>
    <w:semiHidden/>
    <w:unhideWhenUsed/>
    <w:rsid w:val="00F07323"/>
    <w:rPr>
      <w:vertAlign w:val="superscript"/>
    </w:rPr>
  </w:style>
  <w:style w:type="paragraph" w:styleId="ListBullet2">
    <w:name w:val="List Bullet 2"/>
    <w:basedOn w:val="Normal"/>
    <w:uiPriority w:val="99"/>
    <w:semiHidden/>
    <w:unhideWhenUsed/>
    <w:rsid w:val="00BC7AA1"/>
    <w:pPr>
      <w:widowControl/>
      <w:numPr>
        <w:numId w:val="21"/>
      </w:numPr>
      <w:spacing w:after="200" w:line="276" w:lineRule="auto"/>
      <w:contextualSpacing/>
      <w:jc w:val="left"/>
    </w:pPr>
    <w:rPr>
      <w:rFonts w:ascii="Times New Roman" w:eastAsiaTheme="minorHAnsi" w:hAnsi="Times New Roman" w:cstheme="minorBidi"/>
      <w:snapToGrid/>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123791">
      <w:bodyDiv w:val="1"/>
      <w:marLeft w:val="0"/>
      <w:marRight w:val="0"/>
      <w:marTop w:val="0"/>
      <w:marBottom w:val="0"/>
      <w:divBdr>
        <w:top w:val="none" w:sz="0" w:space="0" w:color="auto"/>
        <w:left w:val="none" w:sz="0" w:space="0" w:color="auto"/>
        <w:bottom w:val="none" w:sz="0" w:space="0" w:color="auto"/>
        <w:right w:val="none" w:sz="0" w:space="0" w:color="auto"/>
      </w:divBdr>
    </w:div>
    <w:div w:id="468668437">
      <w:bodyDiv w:val="1"/>
      <w:marLeft w:val="0"/>
      <w:marRight w:val="0"/>
      <w:marTop w:val="0"/>
      <w:marBottom w:val="0"/>
      <w:divBdr>
        <w:top w:val="none" w:sz="0" w:space="0" w:color="auto"/>
        <w:left w:val="none" w:sz="0" w:space="0" w:color="auto"/>
        <w:bottom w:val="none" w:sz="0" w:space="0" w:color="auto"/>
        <w:right w:val="none" w:sz="0" w:space="0" w:color="auto"/>
      </w:divBdr>
    </w:div>
    <w:div w:id="1006174392">
      <w:bodyDiv w:val="1"/>
      <w:marLeft w:val="0"/>
      <w:marRight w:val="0"/>
      <w:marTop w:val="0"/>
      <w:marBottom w:val="0"/>
      <w:divBdr>
        <w:top w:val="none" w:sz="0" w:space="0" w:color="auto"/>
        <w:left w:val="none" w:sz="0" w:space="0" w:color="auto"/>
        <w:bottom w:val="none" w:sz="0" w:space="0" w:color="auto"/>
        <w:right w:val="none" w:sz="0" w:space="0" w:color="auto"/>
      </w:divBdr>
    </w:div>
    <w:div w:id="1024134871">
      <w:bodyDiv w:val="1"/>
      <w:marLeft w:val="0"/>
      <w:marRight w:val="0"/>
      <w:marTop w:val="0"/>
      <w:marBottom w:val="0"/>
      <w:divBdr>
        <w:top w:val="none" w:sz="0" w:space="0" w:color="auto"/>
        <w:left w:val="none" w:sz="0" w:space="0" w:color="auto"/>
        <w:bottom w:val="none" w:sz="0" w:space="0" w:color="auto"/>
        <w:right w:val="none" w:sz="0" w:space="0" w:color="auto"/>
      </w:divBdr>
    </w:div>
    <w:div w:id="1163666647">
      <w:bodyDiv w:val="1"/>
      <w:marLeft w:val="0"/>
      <w:marRight w:val="0"/>
      <w:marTop w:val="0"/>
      <w:marBottom w:val="0"/>
      <w:divBdr>
        <w:top w:val="none" w:sz="0" w:space="0" w:color="auto"/>
        <w:left w:val="none" w:sz="0" w:space="0" w:color="auto"/>
        <w:bottom w:val="none" w:sz="0" w:space="0" w:color="auto"/>
        <w:right w:val="none" w:sz="0" w:space="0" w:color="auto"/>
      </w:divBdr>
    </w:div>
    <w:div w:id="1736853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68" Type="http://schemas.microsoft.com/office/2011/relationships/commentsExtended" Target="commentsExtended.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eader" Target="header2.xml"/><Relationship Id="rId67"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tmp"/><Relationship Id="rId23" Type="http://schemas.openxmlformats.org/officeDocument/2006/relationships/theme" Target="theme/theme1.xml"/><Relationship Id="rId10" Type="http://schemas.openxmlformats.org/officeDocument/2006/relationships/image" Target="cid:image003.png@01D110CD.49A9A610"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6807A-6763-45C2-82FB-18A784BC1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9521</Words>
  <Characters>55867</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2016-06-21T06:12:00Z</dcterms:created>
  <dcterms:modified xsi:type="dcterms:W3CDTF">2016-06-22T04:50:00Z</dcterms:modified>
</cp:coreProperties>
</file>