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F8" w:rsidRPr="00497E12" w:rsidRDefault="001E5211" w:rsidP="00A45A8D">
      <w:pPr>
        <w:pStyle w:val="Title"/>
        <w:ind w:left="720" w:hanging="720"/>
      </w:pPr>
      <w:bookmarkStart w:id="0" w:name="_Toc450136335"/>
      <w:bookmarkStart w:id="1" w:name="_Toc380679747"/>
      <w:bookmarkStart w:id="2" w:name="_Toc380742604"/>
      <w:bookmarkStart w:id="3" w:name="_Toc380746171"/>
      <w:bookmarkStart w:id="4" w:name="_Toc380746294"/>
      <w:bookmarkStart w:id="5" w:name="_Toc380746578"/>
      <w:r w:rsidRPr="00497E12">
        <w:t>6.03</w:t>
      </w:r>
      <w:r w:rsidR="00CF63F8" w:rsidRPr="00497E12">
        <w:tab/>
      </w:r>
      <w:r w:rsidR="00CF63F8" w:rsidRPr="00A45A8D">
        <w:t>NIVOLUMAB, concentrate solution for infusion of</w:t>
      </w:r>
      <w:r w:rsidR="005F65F7" w:rsidRPr="00A45A8D">
        <w:t xml:space="preserve"> 10</w:t>
      </w:r>
      <w:r w:rsidR="00B96333" w:rsidRPr="00A45A8D">
        <w:t> </w:t>
      </w:r>
      <w:r w:rsidR="00CF63F8" w:rsidRPr="00A45A8D">
        <w:t xml:space="preserve">mg/mL, </w:t>
      </w:r>
      <w:r w:rsidR="005F65F7" w:rsidRPr="00A45A8D">
        <w:t>1</w:t>
      </w:r>
      <w:r w:rsidR="00B96333" w:rsidRPr="00A45A8D">
        <w:t> </w:t>
      </w:r>
      <w:r w:rsidR="005F65F7" w:rsidRPr="00A45A8D">
        <w:t>x</w:t>
      </w:r>
      <w:r w:rsidR="00B96333" w:rsidRPr="00A45A8D">
        <w:t> 4 </w:t>
      </w:r>
      <w:r w:rsidR="005F65F7" w:rsidRPr="00A45A8D">
        <w:t>mL vial, 1</w:t>
      </w:r>
      <w:r w:rsidR="00B96333" w:rsidRPr="00A45A8D">
        <w:t> x 10 </w:t>
      </w:r>
      <w:r w:rsidR="00CF63F8" w:rsidRPr="00A45A8D">
        <w:t>mL vial, Opdivo®, Bristol Myers Squibb</w:t>
      </w:r>
      <w:bookmarkEnd w:id="0"/>
    </w:p>
    <w:p w:rsidR="00A16B43" w:rsidRPr="00497E12" w:rsidRDefault="00A16B43" w:rsidP="00A16B43"/>
    <w:p w:rsidR="00CF63F8" w:rsidRPr="00497E12" w:rsidRDefault="00CF63F8" w:rsidP="00CF63F8">
      <w:pPr>
        <w:pStyle w:val="BodyText"/>
      </w:pPr>
    </w:p>
    <w:p w:rsidR="00255946" w:rsidRPr="00B32DC8" w:rsidRDefault="00255946" w:rsidP="00B32DC8">
      <w:pPr>
        <w:pStyle w:val="PBACHeading1"/>
      </w:pPr>
      <w:bookmarkStart w:id="6" w:name="_Toc430016467"/>
      <w:bookmarkStart w:id="7" w:name="_Toc450136337"/>
      <w:r w:rsidRPr="00B32DC8">
        <w:t>Purpose of Application</w:t>
      </w:r>
      <w:bookmarkEnd w:id="6"/>
      <w:bookmarkEnd w:id="7"/>
    </w:p>
    <w:p w:rsidR="00255946" w:rsidRPr="00B32DC8" w:rsidRDefault="00255946" w:rsidP="00A45A8D"/>
    <w:p w:rsidR="00255946" w:rsidRPr="00497E12" w:rsidRDefault="00255946" w:rsidP="00400464">
      <w:pPr>
        <w:pStyle w:val="ListParagraph"/>
        <w:widowControl/>
        <w:numPr>
          <w:ilvl w:val="1"/>
          <w:numId w:val="7"/>
        </w:numPr>
        <w:rPr>
          <w:szCs w:val="22"/>
        </w:rPr>
      </w:pPr>
      <w:r w:rsidRPr="00497E12">
        <w:t>Section 100 (Efficient Funding of Chemotherapy – Public and Private Hospital) Authority Required listing for the treatment of advanced or metastatic clear cell variant renal cell carcinoma (RCC) in patients who have progressed according to Response Evaluation Criteria in Solid Tumours (RECIST) following first</w:t>
      </w:r>
      <w:r w:rsidR="0064676B" w:rsidRPr="00497E12">
        <w:t>-</w:t>
      </w:r>
      <w:r w:rsidRPr="00497E12">
        <w:t>line treatment with a tyrosine-kinase inhibitor (TKI).</w:t>
      </w:r>
    </w:p>
    <w:p w:rsidR="00255946" w:rsidRPr="00497E12" w:rsidRDefault="00255946" w:rsidP="00255946">
      <w:pPr>
        <w:widowControl/>
        <w:rPr>
          <w:szCs w:val="22"/>
        </w:rPr>
      </w:pPr>
    </w:p>
    <w:p w:rsidR="000B0D9E" w:rsidRPr="00497E12" w:rsidRDefault="000B0D9E" w:rsidP="00B07480">
      <w:pPr>
        <w:widowControl/>
        <w:rPr>
          <w:szCs w:val="22"/>
        </w:rPr>
      </w:pPr>
    </w:p>
    <w:p w:rsidR="00255946" w:rsidRPr="00497E12" w:rsidRDefault="00255946" w:rsidP="00A45A8D">
      <w:pPr>
        <w:pStyle w:val="Heading1"/>
      </w:pPr>
      <w:bookmarkStart w:id="8" w:name="_Toc450136338"/>
      <w:r w:rsidRPr="00497E12">
        <w:t>Requested listing</w:t>
      </w:r>
      <w:bookmarkEnd w:id="8"/>
    </w:p>
    <w:p w:rsidR="00255946" w:rsidRPr="00497E12" w:rsidRDefault="00255946" w:rsidP="00255946">
      <w:pPr>
        <w:widowControl/>
        <w:rPr>
          <w:szCs w:val="22"/>
        </w:rPr>
      </w:pPr>
    </w:p>
    <w:p w:rsidR="00C22B0B" w:rsidRPr="00A45A8D" w:rsidRDefault="00255946" w:rsidP="00A45A8D">
      <w:pPr>
        <w:pStyle w:val="ListParagraph"/>
        <w:widowControl/>
        <w:numPr>
          <w:ilvl w:val="1"/>
          <w:numId w:val="25"/>
        </w:numPr>
        <w:ind w:left="709" w:hanging="709"/>
        <w:rPr>
          <w:szCs w:val="22"/>
        </w:rPr>
      </w:pPr>
      <w:r w:rsidRPr="00A45A8D">
        <w:rPr>
          <w:szCs w:val="22"/>
        </w:rPr>
        <w:t xml:space="preserve">The submission requested the restriction provided below at a published price consistent with that </w:t>
      </w:r>
      <w:r w:rsidRPr="00497E12">
        <w:t xml:space="preserve">of the current melanoma PBS listing and the requested non-small cell lung cancer (NSCLC) listings, with an effective price </w:t>
      </w:r>
      <w:r w:rsidR="00B32DC8" w:rsidRPr="00A45A8D">
        <w:rPr>
          <w:noProof/>
          <w:color w:val="000000"/>
          <w:highlight w:val="black"/>
        </w:rPr>
        <w:t>''''''''''' ''''''''''</w:t>
      </w:r>
      <w:r w:rsidRPr="001D09E9">
        <w:t xml:space="preserve"> that of the melanoma listing</w:t>
      </w:r>
      <w:r w:rsidRPr="00497E12">
        <w:t>. The submission did not request separate listings by initial or continuing treatment.</w:t>
      </w:r>
      <w:r w:rsidR="0063539C" w:rsidRPr="00497E12">
        <w:t xml:space="preserve"> </w:t>
      </w:r>
      <w:r w:rsidR="00C22B0B" w:rsidRPr="00A45A8D">
        <w:rPr>
          <w:rFonts w:eastAsia="SimSun"/>
          <w:iCs/>
          <w:color w:val="000000"/>
          <w:szCs w:val="22"/>
        </w:rPr>
        <w:t>Suggestions and additions proposed by the Secretariat to the requested listing are added in italics and suggested deletions are crossed out with strikethrough.</w:t>
      </w:r>
    </w:p>
    <w:p w:rsidR="007A0FD9" w:rsidRDefault="007A0FD9">
      <w:pPr>
        <w:widowControl/>
        <w:jc w:val="left"/>
        <w:rPr>
          <w:rStyle w:val="IntenseReference"/>
          <w:b w:val="0"/>
          <w:bCs w:val="0"/>
          <w:i w:val="0"/>
          <w:smallCaps w:val="0"/>
          <w:color w:val="auto"/>
        </w:rPr>
      </w:pPr>
      <w:r>
        <w:rPr>
          <w:rStyle w:val="IntenseReference"/>
          <w:b w:val="0"/>
          <w:bCs w:val="0"/>
          <w:i w:val="0"/>
          <w:smallCaps w:val="0"/>
          <w:color w:val="auto"/>
        </w:rPr>
        <w:br w:type="page"/>
      </w:r>
    </w:p>
    <w:tbl>
      <w:tblPr>
        <w:tblW w:w="9214" w:type="dxa"/>
        <w:tblInd w:w="108" w:type="dxa"/>
        <w:tblLayout w:type="fixed"/>
        <w:tblLook w:val="0000" w:firstRow="0" w:lastRow="0" w:firstColumn="0" w:lastColumn="0" w:noHBand="0" w:noVBand="0"/>
      </w:tblPr>
      <w:tblGrid>
        <w:gridCol w:w="2835"/>
        <w:gridCol w:w="142"/>
        <w:gridCol w:w="709"/>
        <w:gridCol w:w="567"/>
        <w:gridCol w:w="2410"/>
        <w:gridCol w:w="141"/>
        <w:gridCol w:w="993"/>
        <w:gridCol w:w="1417"/>
      </w:tblGrid>
      <w:tr w:rsidR="00C22B0B" w:rsidRPr="00497E12" w:rsidTr="00FB73B7">
        <w:trPr>
          <w:cantSplit/>
          <w:trHeight w:val="471"/>
        </w:trPr>
        <w:tc>
          <w:tcPr>
            <w:tcW w:w="2977" w:type="dxa"/>
            <w:gridSpan w:val="2"/>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lastRenderedPageBreak/>
              <w:t>Name, Restriction,</w:t>
            </w:r>
          </w:p>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Manner of administration and form</w:t>
            </w:r>
          </w:p>
        </w:tc>
        <w:tc>
          <w:tcPr>
            <w:tcW w:w="709"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Max.</w:t>
            </w:r>
          </w:p>
          <w:p w:rsidR="00C22B0B" w:rsidRPr="00497E12" w:rsidRDefault="00C22B0B" w:rsidP="005C27C0">
            <w:pPr>
              <w:keepNext/>
              <w:ind w:left="-108"/>
              <w:rPr>
                <w:rFonts w:ascii="Arial Narrow" w:hAnsi="Arial Narrow"/>
                <w:sz w:val="20"/>
                <w:szCs w:val="20"/>
              </w:rPr>
            </w:pPr>
            <w:proofErr w:type="spellStart"/>
            <w:r w:rsidRPr="00497E12">
              <w:rPr>
                <w:rFonts w:ascii="Arial Narrow" w:hAnsi="Arial Narrow"/>
                <w:sz w:val="20"/>
                <w:szCs w:val="20"/>
              </w:rPr>
              <w:t>Qty</w:t>
            </w:r>
            <w:proofErr w:type="spellEnd"/>
          </w:p>
        </w:tc>
        <w:tc>
          <w:tcPr>
            <w:tcW w:w="567"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№.of</w:t>
            </w:r>
          </w:p>
          <w:p w:rsidR="00C22B0B" w:rsidRPr="00497E12" w:rsidRDefault="00C22B0B" w:rsidP="005C27C0">
            <w:pPr>
              <w:keepNext/>
              <w:ind w:left="-108"/>
              <w:rPr>
                <w:rFonts w:ascii="Arial Narrow" w:hAnsi="Arial Narrow"/>
                <w:sz w:val="20"/>
                <w:szCs w:val="20"/>
              </w:rPr>
            </w:pPr>
            <w:proofErr w:type="spellStart"/>
            <w:r w:rsidRPr="00497E12">
              <w:rPr>
                <w:rFonts w:ascii="Arial Narrow" w:hAnsi="Arial Narrow"/>
                <w:sz w:val="20"/>
                <w:szCs w:val="20"/>
              </w:rPr>
              <w:t>Rpts</w:t>
            </w:r>
            <w:proofErr w:type="spellEnd"/>
          </w:p>
        </w:tc>
        <w:tc>
          <w:tcPr>
            <w:tcW w:w="2410"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 xml:space="preserve">Dispensed Price for Max. </w:t>
            </w:r>
            <w:proofErr w:type="spellStart"/>
            <w:r w:rsidRPr="00497E12">
              <w:rPr>
                <w:rFonts w:ascii="Arial Narrow" w:hAnsi="Arial Narrow"/>
                <w:sz w:val="20"/>
                <w:szCs w:val="20"/>
              </w:rPr>
              <w:t>Qty</w:t>
            </w:r>
            <w:proofErr w:type="spellEnd"/>
          </w:p>
        </w:tc>
        <w:tc>
          <w:tcPr>
            <w:tcW w:w="2551" w:type="dxa"/>
            <w:gridSpan w:val="3"/>
            <w:tcBorders>
              <w:bottom w:val="single" w:sz="4" w:space="0" w:color="auto"/>
            </w:tcBorders>
          </w:tcPr>
          <w:p w:rsidR="00C22B0B" w:rsidRPr="00497E12" w:rsidRDefault="00C22B0B" w:rsidP="005C27C0">
            <w:pPr>
              <w:keepNext/>
              <w:rPr>
                <w:rFonts w:ascii="Arial Narrow" w:hAnsi="Arial Narrow"/>
                <w:sz w:val="20"/>
                <w:szCs w:val="20"/>
              </w:rPr>
            </w:pPr>
            <w:r w:rsidRPr="00497E12">
              <w:rPr>
                <w:rFonts w:ascii="Arial Narrow" w:hAnsi="Arial Narrow"/>
                <w:sz w:val="20"/>
                <w:szCs w:val="20"/>
              </w:rPr>
              <w:t>Proprietary Name and Manufacturer</w:t>
            </w:r>
          </w:p>
        </w:tc>
      </w:tr>
      <w:tr w:rsidR="00C22B0B" w:rsidRPr="00497E12" w:rsidTr="00FB73B7">
        <w:trPr>
          <w:cantSplit/>
          <w:trHeight w:val="577"/>
        </w:trPr>
        <w:tc>
          <w:tcPr>
            <w:tcW w:w="2977" w:type="dxa"/>
            <w:gridSpan w:val="2"/>
          </w:tcPr>
          <w:p w:rsidR="00C22B0B" w:rsidRPr="00497E12" w:rsidRDefault="00C22B0B" w:rsidP="005C27C0">
            <w:pPr>
              <w:keepNext/>
              <w:ind w:left="-108"/>
              <w:rPr>
                <w:rFonts w:ascii="Arial Narrow" w:hAnsi="Arial Narrow"/>
                <w:sz w:val="20"/>
              </w:rPr>
            </w:pPr>
            <w:proofErr w:type="spellStart"/>
            <w:r w:rsidRPr="00497E12">
              <w:rPr>
                <w:rFonts w:ascii="Arial Narrow" w:hAnsi="Arial Narrow"/>
                <w:smallCaps/>
                <w:sz w:val="20"/>
              </w:rPr>
              <w:t>Nivolumab</w:t>
            </w:r>
            <w:proofErr w:type="spellEnd"/>
          </w:p>
          <w:p w:rsidR="00C22B0B" w:rsidRPr="00497E12" w:rsidRDefault="00C22B0B" w:rsidP="005C27C0">
            <w:pPr>
              <w:keepNext/>
              <w:ind w:left="-108"/>
              <w:rPr>
                <w:rFonts w:ascii="Arial Narrow" w:hAnsi="Arial Narrow"/>
                <w:sz w:val="20"/>
              </w:rPr>
            </w:pPr>
            <w:r w:rsidRPr="00497E12">
              <w:rPr>
                <w:rFonts w:ascii="Arial Narrow" w:hAnsi="Arial Narrow"/>
                <w:sz w:val="20"/>
              </w:rPr>
              <w:t>40 mg/4 mL injection 1 x 4 mL vial</w:t>
            </w:r>
          </w:p>
          <w:p w:rsidR="00C22B0B" w:rsidRPr="00497E12" w:rsidRDefault="00C22B0B" w:rsidP="005C27C0">
            <w:pPr>
              <w:keepNext/>
              <w:ind w:left="-108"/>
              <w:rPr>
                <w:rFonts w:ascii="Arial Narrow" w:hAnsi="Arial Narrow"/>
                <w:sz w:val="20"/>
              </w:rPr>
            </w:pPr>
          </w:p>
          <w:p w:rsidR="00C22B0B" w:rsidRPr="00497E12" w:rsidRDefault="00C22B0B" w:rsidP="005C27C0">
            <w:pPr>
              <w:keepNext/>
              <w:ind w:left="-108"/>
              <w:rPr>
                <w:rFonts w:ascii="Arial Narrow" w:hAnsi="Arial Narrow"/>
                <w:sz w:val="20"/>
                <w:szCs w:val="20"/>
              </w:rPr>
            </w:pPr>
            <w:r w:rsidRPr="00497E12">
              <w:rPr>
                <w:rFonts w:ascii="Arial Narrow" w:hAnsi="Arial Narrow"/>
                <w:sz w:val="20"/>
              </w:rPr>
              <w:t>100 mg/10 mL injection 1 x 4 mL vial</w:t>
            </w:r>
          </w:p>
        </w:tc>
        <w:tc>
          <w:tcPr>
            <w:tcW w:w="709" w:type="dxa"/>
          </w:tcPr>
          <w:p w:rsidR="00C22B0B" w:rsidRPr="00497E12" w:rsidRDefault="00C22B0B" w:rsidP="005C27C0">
            <w:pPr>
              <w:keepNext/>
              <w:ind w:left="-108"/>
              <w:rPr>
                <w:rFonts w:ascii="Arial Narrow" w:hAnsi="Arial Narrow"/>
                <w:sz w:val="20"/>
                <w:szCs w:val="20"/>
              </w:rPr>
            </w:pPr>
          </w:p>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360 mg</w:t>
            </w:r>
          </w:p>
          <w:p w:rsidR="009A50FA" w:rsidRPr="00497E12" w:rsidRDefault="009A50FA" w:rsidP="009A50FA">
            <w:pPr>
              <w:keepNext/>
              <w:ind w:left="-108"/>
              <w:rPr>
                <w:rFonts w:ascii="Arial Narrow" w:hAnsi="Arial Narrow"/>
                <w:sz w:val="20"/>
                <w:szCs w:val="20"/>
              </w:rPr>
            </w:pPr>
          </w:p>
          <w:p w:rsidR="009A50FA" w:rsidRPr="00497E12" w:rsidRDefault="009A50FA" w:rsidP="009A50FA">
            <w:pPr>
              <w:keepNext/>
              <w:ind w:left="-108"/>
              <w:rPr>
                <w:rFonts w:ascii="Arial Narrow" w:hAnsi="Arial Narrow"/>
                <w:sz w:val="20"/>
                <w:szCs w:val="20"/>
              </w:rPr>
            </w:pPr>
            <w:r w:rsidRPr="00497E12">
              <w:rPr>
                <w:rFonts w:ascii="Arial Narrow" w:hAnsi="Arial Narrow"/>
                <w:sz w:val="20"/>
                <w:szCs w:val="20"/>
              </w:rPr>
              <w:t>360 mg</w:t>
            </w:r>
          </w:p>
        </w:tc>
        <w:tc>
          <w:tcPr>
            <w:tcW w:w="567" w:type="dxa"/>
          </w:tcPr>
          <w:p w:rsidR="00C22B0B" w:rsidRPr="00497E12" w:rsidRDefault="00C22B0B" w:rsidP="005C27C0">
            <w:pPr>
              <w:keepNext/>
              <w:ind w:left="-108"/>
              <w:rPr>
                <w:rFonts w:ascii="Arial Narrow" w:hAnsi="Arial Narrow"/>
                <w:sz w:val="20"/>
                <w:szCs w:val="20"/>
              </w:rPr>
            </w:pPr>
          </w:p>
          <w:p w:rsidR="009A50FA" w:rsidRPr="00497E12" w:rsidRDefault="00C22B0B" w:rsidP="009A50FA">
            <w:pPr>
              <w:keepNext/>
              <w:ind w:left="-108"/>
              <w:rPr>
                <w:rFonts w:ascii="Arial Narrow" w:hAnsi="Arial Narrow"/>
                <w:sz w:val="20"/>
                <w:szCs w:val="20"/>
              </w:rPr>
            </w:pPr>
            <w:r w:rsidRPr="00497E12">
              <w:rPr>
                <w:rFonts w:ascii="Arial Narrow" w:hAnsi="Arial Narrow"/>
                <w:strike/>
                <w:sz w:val="20"/>
                <w:szCs w:val="20"/>
              </w:rPr>
              <w:t xml:space="preserve">11 </w:t>
            </w:r>
            <w:r w:rsidRPr="00497E12">
              <w:rPr>
                <w:rFonts w:ascii="Arial Narrow" w:hAnsi="Arial Narrow"/>
                <w:i/>
                <w:sz w:val="20"/>
                <w:szCs w:val="20"/>
              </w:rPr>
              <w:t>5</w:t>
            </w:r>
          </w:p>
          <w:p w:rsidR="009A50FA" w:rsidRPr="00497E12" w:rsidRDefault="009A50FA" w:rsidP="009A50FA">
            <w:pPr>
              <w:keepNext/>
              <w:ind w:left="-108"/>
              <w:rPr>
                <w:rFonts w:ascii="Arial Narrow" w:hAnsi="Arial Narrow"/>
                <w:strike/>
                <w:sz w:val="20"/>
                <w:szCs w:val="20"/>
              </w:rPr>
            </w:pPr>
          </w:p>
          <w:p w:rsidR="00C22B0B" w:rsidRPr="00497E12" w:rsidRDefault="009A50FA" w:rsidP="009A50FA">
            <w:pPr>
              <w:keepNext/>
              <w:ind w:left="-108"/>
              <w:rPr>
                <w:rFonts w:ascii="Arial Narrow" w:hAnsi="Arial Narrow"/>
                <w:sz w:val="20"/>
                <w:szCs w:val="20"/>
              </w:rPr>
            </w:pPr>
            <w:r w:rsidRPr="00497E12">
              <w:rPr>
                <w:rFonts w:ascii="Arial Narrow" w:hAnsi="Arial Narrow"/>
                <w:strike/>
                <w:sz w:val="20"/>
                <w:szCs w:val="20"/>
              </w:rPr>
              <w:t xml:space="preserve">11 </w:t>
            </w:r>
            <w:r w:rsidRPr="00497E12">
              <w:rPr>
                <w:rFonts w:ascii="Arial Narrow" w:hAnsi="Arial Narrow"/>
                <w:i/>
                <w:sz w:val="20"/>
                <w:szCs w:val="20"/>
              </w:rPr>
              <w:t>5</w:t>
            </w:r>
          </w:p>
        </w:tc>
        <w:tc>
          <w:tcPr>
            <w:tcW w:w="2551" w:type="dxa"/>
            <w:gridSpan w:val="2"/>
          </w:tcPr>
          <w:p w:rsidR="00C22B0B" w:rsidRPr="00497E12" w:rsidRDefault="00C22B0B" w:rsidP="005C27C0">
            <w:pPr>
              <w:keepNext/>
              <w:ind w:left="-108"/>
              <w:rPr>
                <w:rFonts w:ascii="Arial Narrow" w:hAnsi="Arial Narrow"/>
                <w:sz w:val="20"/>
                <w:szCs w:val="20"/>
              </w:rPr>
            </w:pPr>
          </w:p>
          <w:p w:rsidR="00FB73B7" w:rsidRPr="00497E12" w:rsidRDefault="00FB73B7" w:rsidP="00FB73B7">
            <w:pPr>
              <w:keepNext/>
              <w:jc w:val="center"/>
              <w:rPr>
                <w:rFonts w:ascii="Arial Narrow" w:hAnsi="Arial Narrow"/>
                <w:sz w:val="20"/>
              </w:rPr>
            </w:pPr>
            <w:r w:rsidRPr="00497E12">
              <w:rPr>
                <w:rFonts w:ascii="Arial Narrow" w:hAnsi="Arial Narrow"/>
                <w:sz w:val="20"/>
              </w:rPr>
              <w:t>$830.70 (Published price)</w:t>
            </w:r>
          </w:p>
          <w:p w:rsidR="00FB73B7" w:rsidRPr="00497E12" w:rsidRDefault="00FB73B7" w:rsidP="00FB73B7">
            <w:pPr>
              <w:keepNext/>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rPr>
              <w:t xml:space="preserve"> (Effective price)</w:t>
            </w:r>
          </w:p>
          <w:p w:rsidR="00FB73B7" w:rsidRPr="00497E12" w:rsidRDefault="00FB73B7" w:rsidP="00FB73B7">
            <w:pPr>
              <w:keepNext/>
              <w:jc w:val="center"/>
              <w:rPr>
                <w:rFonts w:ascii="Arial Narrow" w:hAnsi="Arial Narrow"/>
                <w:sz w:val="20"/>
              </w:rPr>
            </w:pPr>
            <w:r w:rsidRPr="00497E12">
              <w:rPr>
                <w:rFonts w:ascii="Arial Narrow" w:hAnsi="Arial Narrow"/>
                <w:sz w:val="20"/>
              </w:rPr>
              <w:t>$2,076.75 (Published price)</w:t>
            </w:r>
          </w:p>
          <w:p w:rsidR="00C22B0B" w:rsidRPr="00497E12" w:rsidRDefault="00FB73B7" w:rsidP="00FB73B7">
            <w:pPr>
              <w:keepNext/>
              <w:ind w:left="-108"/>
              <w:jc w:val="center"/>
              <w:rPr>
                <w:rFonts w:ascii="Arial Narrow" w:hAnsi="Arial Narrow"/>
                <w:sz w:val="20"/>
                <w:szCs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rPr>
              <w:t xml:space="preserve"> (Effective price)</w:t>
            </w:r>
          </w:p>
        </w:tc>
        <w:tc>
          <w:tcPr>
            <w:tcW w:w="993" w:type="dxa"/>
          </w:tcPr>
          <w:p w:rsidR="00C22B0B" w:rsidRPr="00497E12" w:rsidRDefault="00C22B0B" w:rsidP="005C27C0">
            <w:pPr>
              <w:keepNext/>
              <w:rPr>
                <w:rFonts w:ascii="Arial Narrow" w:hAnsi="Arial Narrow"/>
                <w:sz w:val="20"/>
              </w:rPr>
            </w:pPr>
          </w:p>
          <w:p w:rsidR="00C22B0B" w:rsidRPr="00497E12" w:rsidRDefault="00C22B0B" w:rsidP="005C27C0">
            <w:pPr>
              <w:keepNext/>
              <w:rPr>
                <w:rFonts w:ascii="Arial Narrow" w:hAnsi="Arial Narrow"/>
                <w:sz w:val="20"/>
              </w:rPr>
            </w:pPr>
            <w:proofErr w:type="spellStart"/>
            <w:r w:rsidRPr="00497E12">
              <w:rPr>
                <w:rFonts w:ascii="Arial Narrow" w:hAnsi="Arial Narrow"/>
                <w:sz w:val="20"/>
              </w:rPr>
              <w:t>O</w:t>
            </w:r>
            <w:r w:rsidR="009A50FA" w:rsidRPr="00497E12">
              <w:rPr>
                <w:rFonts w:ascii="Arial Narrow" w:hAnsi="Arial Narrow"/>
                <w:sz w:val="20"/>
              </w:rPr>
              <w:t>pdivo</w:t>
            </w:r>
            <w:proofErr w:type="spellEnd"/>
          </w:p>
        </w:tc>
        <w:tc>
          <w:tcPr>
            <w:tcW w:w="1417" w:type="dxa"/>
            <w:vAlign w:val="center"/>
          </w:tcPr>
          <w:p w:rsidR="00C22B0B" w:rsidRPr="00497E12" w:rsidRDefault="00C22B0B" w:rsidP="005C27C0">
            <w:pPr>
              <w:keepNext/>
              <w:rPr>
                <w:rFonts w:ascii="Arial Narrow" w:hAnsi="Arial Narrow"/>
                <w:sz w:val="20"/>
              </w:rPr>
            </w:pPr>
            <w:r w:rsidRPr="00497E12">
              <w:rPr>
                <w:rFonts w:ascii="Arial Narrow" w:hAnsi="Arial Narrow"/>
                <w:sz w:val="20"/>
              </w:rPr>
              <w:t>Bristol-Myers Squibb Australia Pty Ltd</w:t>
            </w:r>
          </w:p>
        </w:tc>
      </w:tr>
      <w:tr w:rsidR="00033341"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33341" w:rsidRPr="00497E12" w:rsidRDefault="00033341" w:rsidP="00033341">
            <w:pPr>
              <w:rPr>
                <w:rFonts w:ascii="Arial Narrow" w:hAnsi="Arial Narrow"/>
                <w:b/>
                <w:sz w:val="20"/>
                <w:szCs w:val="20"/>
              </w:rPr>
            </w:pPr>
            <w:r w:rsidRPr="00497E12">
              <w:rPr>
                <w:rFonts w:ascii="Arial Narrow" w:hAnsi="Arial Narrow"/>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033341" w:rsidRPr="00497E12" w:rsidRDefault="00033341" w:rsidP="00033341">
            <w:pPr>
              <w:rPr>
                <w:rFonts w:ascii="Arial Narrow" w:hAnsi="Arial Narrow"/>
                <w:sz w:val="20"/>
                <w:szCs w:val="20"/>
              </w:rPr>
            </w:pPr>
            <w:r w:rsidRPr="00497E12">
              <w:rPr>
                <w:rFonts w:ascii="Arial Narrow" w:hAnsi="Arial Narrow"/>
                <w:sz w:val="20"/>
                <w:szCs w:val="20"/>
              </w:rPr>
              <w:t>Section 100 – Efficient funding of Chemotherapy.</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Prescriber type:</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1"/>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 xml:space="preserve">Dental  </w:t>
            </w:r>
            <w:r w:rsidRPr="00497E12">
              <w:rPr>
                <w:rFonts w:ascii="Arial Narrow" w:hAnsi="Arial Narrow"/>
                <w:sz w:val="20"/>
              </w:rPr>
              <w:fldChar w:fldCharType="begin">
                <w:ffData>
                  <w:name w:val="Check5"/>
                  <w:enabled/>
                  <w:calcOnExit w:val="0"/>
                  <w:checkBox>
                    <w:sizeAuto/>
                    <w:default w:val="1"/>
                  </w:checkBox>
                </w:ffData>
              </w:fldChar>
            </w:r>
            <w:r w:rsidRPr="00497E12">
              <w:rPr>
                <w:rFonts w:ascii="Arial Narrow" w:hAnsi="Arial Narrow"/>
                <w:sz w:val="20"/>
              </w:rPr>
              <w:instrText xml:space="preserve"> FORMCHECKBOX </w:instrText>
            </w:r>
            <w:r w:rsidR="00416368">
              <w:rPr>
                <w:rFonts w:ascii="Arial Narrow" w:hAnsi="Arial Narrow"/>
                <w:sz w:val="20"/>
              </w:rPr>
            </w:r>
            <w:r w:rsidR="00416368">
              <w:rPr>
                <w:rFonts w:ascii="Arial Narrow" w:hAnsi="Arial Narrow"/>
                <w:sz w:val="20"/>
              </w:rPr>
              <w:fldChar w:fldCharType="separate"/>
            </w:r>
            <w:r w:rsidRPr="00497E12">
              <w:rPr>
                <w:rFonts w:ascii="Arial Narrow" w:hAnsi="Arial Narrow"/>
                <w:sz w:val="20"/>
              </w:rPr>
              <w:fldChar w:fldCharType="end"/>
            </w:r>
            <w:r w:rsidRPr="00497E12">
              <w:rPr>
                <w:rFonts w:ascii="Arial Narrow" w:hAnsi="Arial Narrow"/>
                <w:sz w:val="20"/>
                <w:szCs w:val="20"/>
              </w:rPr>
              <w:t xml:space="preserve">Medical Practitioners  </w:t>
            </w:r>
            <w:r w:rsidRPr="00497E12">
              <w:rPr>
                <w:rFonts w:ascii="Arial Narrow" w:hAnsi="Arial Narrow"/>
                <w:sz w:val="20"/>
                <w:szCs w:val="20"/>
              </w:rPr>
              <w:fldChar w:fldCharType="begin">
                <w:ffData>
                  <w:name w:val="Check3"/>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 xml:space="preserve">Nurse practitioners  </w:t>
            </w: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Optometrists</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5"/>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Midwives</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Severity:</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trike/>
                <w:sz w:val="20"/>
                <w:szCs w:val="20"/>
              </w:rPr>
            </w:pPr>
            <w:r w:rsidRPr="00497E12">
              <w:rPr>
                <w:rFonts w:ascii="Arial Narrow" w:hAnsi="Arial Narrow"/>
                <w:strike/>
                <w:sz w:val="20"/>
              </w:rPr>
              <w:t xml:space="preserve">Advanced or metastatic </w:t>
            </w:r>
            <w:r w:rsidRPr="00497E12">
              <w:rPr>
                <w:rFonts w:ascii="Arial Narrow" w:hAnsi="Arial Narrow"/>
                <w:i/>
                <w:sz w:val="20"/>
              </w:rPr>
              <w:t>Stage III or Stage IV</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rPr>
              <w:t>Clear cell variant renal cell carcinoma (RCC)</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trike/>
                <w:sz w:val="20"/>
              </w:rPr>
              <w:t>Advanced or</w:t>
            </w:r>
            <w:r w:rsidRPr="00497E12">
              <w:rPr>
                <w:rFonts w:ascii="Arial Narrow" w:hAnsi="Arial Narrow"/>
                <w:sz w:val="20"/>
              </w:rPr>
              <w:t xml:space="preserve"> </w:t>
            </w:r>
            <w:r w:rsidRPr="00497E12">
              <w:rPr>
                <w:rFonts w:ascii="Arial Narrow" w:hAnsi="Arial Narrow"/>
                <w:strike/>
                <w:sz w:val="20"/>
              </w:rPr>
              <w:t>metastatic</w:t>
            </w:r>
            <w:r w:rsidRPr="00497E12">
              <w:rPr>
                <w:rFonts w:ascii="Arial Narrow" w:hAnsi="Arial Narrow"/>
                <w:sz w:val="20"/>
              </w:rPr>
              <w:t xml:space="preserve"> </w:t>
            </w:r>
            <w:r w:rsidRPr="00497E12">
              <w:rPr>
                <w:rFonts w:ascii="Arial Narrow" w:hAnsi="Arial Narrow"/>
                <w:i/>
                <w:sz w:val="20"/>
              </w:rPr>
              <w:t xml:space="preserve">Stage III or Stage IV </w:t>
            </w:r>
            <w:r w:rsidRPr="00497E12">
              <w:rPr>
                <w:rFonts w:ascii="Arial Narrow" w:hAnsi="Arial Narrow"/>
                <w:sz w:val="20"/>
              </w:rPr>
              <w:t>clear cell variant renal cell carcinoma (RCC)</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i/>
                <w:sz w:val="20"/>
                <w:szCs w:val="20"/>
              </w:rPr>
              <w:t>Initial treatment</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b/>
                <w:sz w:val="20"/>
                <w:szCs w:val="20"/>
              </w:rPr>
              <w:t>Restriction Level / Method:</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1"/>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Restricted benefit</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In Writing</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3"/>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Telephone</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Emergency</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5"/>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Electronic</w:t>
            </w:r>
          </w:p>
          <w:p w:rsidR="00C22B0B" w:rsidRPr="00497E12" w:rsidRDefault="00C22B0B" w:rsidP="005C27C0">
            <w:pPr>
              <w:rPr>
                <w:rFonts w:ascii="Arial Narrow" w:hAnsi="Arial Narrow"/>
                <w:sz w:val="20"/>
                <w:szCs w:val="20"/>
              </w:rPr>
            </w:pPr>
            <w:r w:rsidRPr="00497E12">
              <w:rPr>
                <w:rFonts w:ascii="Arial Narrow" w:hAnsi="Arial Narrow"/>
                <w:sz w:val="20"/>
              </w:rPr>
              <w:fldChar w:fldCharType="begin">
                <w:ffData>
                  <w:name w:val="Check5"/>
                  <w:enabled/>
                  <w:calcOnExit w:val="0"/>
                  <w:checkBox>
                    <w:sizeAuto/>
                    <w:default w:val="1"/>
                  </w:checkBox>
                </w:ffData>
              </w:fldChar>
            </w:r>
            <w:r w:rsidRPr="00497E12">
              <w:rPr>
                <w:rFonts w:ascii="Arial Narrow" w:hAnsi="Arial Narrow"/>
                <w:sz w:val="20"/>
              </w:rPr>
              <w:instrText xml:space="preserve"> FORMCHECKBOX </w:instrText>
            </w:r>
            <w:r w:rsidR="00416368">
              <w:rPr>
                <w:rFonts w:ascii="Arial Narrow" w:hAnsi="Arial Narrow"/>
                <w:sz w:val="20"/>
              </w:rPr>
            </w:r>
            <w:r w:rsidR="00416368">
              <w:rPr>
                <w:rFonts w:ascii="Arial Narrow" w:hAnsi="Arial Narrow"/>
                <w:sz w:val="20"/>
              </w:rPr>
              <w:fldChar w:fldCharType="separate"/>
            </w:r>
            <w:r w:rsidRPr="00497E12">
              <w:rPr>
                <w:rFonts w:ascii="Arial Narrow" w:hAnsi="Arial Narrow"/>
                <w:sz w:val="20"/>
              </w:rPr>
              <w:fldChar w:fldCharType="end"/>
            </w:r>
            <w:r w:rsidRPr="00497E12">
              <w:rPr>
                <w:rFonts w:ascii="Arial Narrow" w:hAnsi="Arial Narrow"/>
                <w:sz w:val="20"/>
              </w:rPr>
              <w:t>Streamlined</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Treatment criteria:</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trike/>
                <w:sz w:val="20"/>
              </w:rPr>
              <w:t>The treatment must be the sole PBS-subsidised therapy for this condition</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Clinical criteria:</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rPr>
            </w:pPr>
            <w:r w:rsidRPr="00497E12">
              <w:rPr>
                <w:rFonts w:ascii="Arial Narrow" w:hAnsi="Arial Narrow"/>
                <w:i/>
                <w:sz w:val="20"/>
              </w:rPr>
              <w:t>The treatment must be the sole PBS-subsidised therapy for this condition</w:t>
            </w:r>
          </w:p>
          <w:p w:rsidR="00C22B0B" w:rsidRPr="00497E12" w:rsidRDefault="00C22B0B" w:rsidP="005C27C0">
            <w:pPr>
              <w:rPr>
                <w:rFonts w:ascii="Arial Narrow" w:hAnsi="Arial Narrow"/>
                <w:sz w:val="20"/>
                <w:szCs w:val="20"/>
              </w:rPr>
            </w:pPr>
          </w:p>
          <w:p w:rsidR="00C22B0B" w:rsidRPr="00497E12" w:rsidRDefault="00C22B0B" w:rsidP="005C27C0">
            <w:pPr>
              <w:rPr>
                <w:rFonts w:ascii="Arial Narrow" w:hAnsi="Arial Narrow"/>
                <w:sz w:val="20"/>
                <w:szCs w:val="20"/>
              </w:rPr>
            </w:pPr>
            <w:r w:rsidRPr="00497E12">
              <w:rPr>
                <w:rFonts w:ascii="Arial Narrow" w:hAnsi="Arial Narrow"/>
                <w:sz w:val="20"/>
                <w:szCs w:val="20"/>
              </w:rPr>
              <w:t>AND</w:t>
            </w:r>
          </w:p>
          <w:p w:rsidR="00C22B0B" w:rsidRPr="00497E12" w:rsidRDefault="00C22B0B" w:rsidP="005C27C0">
            <w:pPr>
              <w:ind w:firstLine="720"/>
              <w:rPr>
                <w:rFonts w:ascii="Arial Narrow" w:hAnsi="Arial Narrow"/>
                <w:sz w:val="20"/>
                <w:szCs w:val="20"/>
              </w:rPr>
            </w:pPr>
          </w:p>
          <w:p w:rsidR="00C22B0B" w:rsidRPr="00497E12" w:rsidRDefault="00C22B0B" w:rsidP="005C27C0">
            <w:pPr>
              <w:rPr>
                <w:rFonts w:ascii="Arial Narrow" w:hAnsi="Arial Narrow"/>
                <w:i/>
                <w:sz w:val="20"/>
              </w:rPr>
            </w:pPr>
            <w:r w:rsidRPr="00497E12">
              <w:rPr>
                <w:rFonts w:ascii="Arial Narrow" w:hAnsi="Arial Narrow"/>
                <w:i/>
                <w:sz w:val="20"/>
              </w:rPr>
              <w:t>Patient must have a WHO performance status of 2 or less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AND</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Patient must have progressive disease according to the Response Evaluation Criteria in Solid Tumours (RECIST) following first-line treatment with a tyrosine kinase inhibitor</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OR</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szCs w:val="20"/>
              </w:rPr>
            </w:pPr>
            <w:r w:rsidRPr="00497E12">
              <w:rPr>
                <w:rFonts w:ascii="Arial Narrow" w:hAnsi="Arial Narrow"/>
                <w:sz w:val="20"/>
              </w:rPr>
              <w:t>Patient</w:t>
            </w:r>
            <w:r w:rsidRPr="00497E12">
              <w:rPr>
                <w:rFonts w:ascii="Arial Narrow" w:hAnsi="Arial Narrow"/>
                <w:strike/>
                <w:sz w:val="20"/>
              </w:rPr>
              <w:t>s</w:t>
            </w:r>
            <w:r w:rsidRPr="00497E12">
              <w:rPr>
                <w:rFonts w:ascii="Arial Narrow" w:hAnsi="Arial Narrow"/>
                <w:sz w:val="20"/>
              </w:rPr>
              <w:t xml:space="preserve"> </w:t>
            </w:r>
            <w:r w:rsidRPr="00497E12">
              <w:rPr>
                <w:rFonts w:ascii="Arial Narrow" w:hAnsi="Arial Narrow"/>
                <w:strike/>
                <w:sz w:val="20"/>
              </w:rPr>
              <w:t>who</w:t>
            </w:r>
            <w:r w:rsidRPr="00497E12">
              <w:rPr>
                <w:rFonts w:ascii="Arial Narrow" w:hAnsi="Arial Narrow"/>
                <w:sz w:val="20"/>
              </w:rPr>
              <w:t xml:space="preserve"> must have developed intolerance to a tyrosine kinase inhibitor of a severity necessitating permanent treatment withdrawal.</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Definitions</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rPr>
            </w:pPr>
            <w:r w:rsidRPr="00497E12">
              <w:rPr>
                <w:rFonts w:ascii="Arial Narrow" w:hAnsi="Arial Narrow"/>
                <w:sz w:val="20"/>
              </w:rPr>
              <w:t>Response Evaluation Criteria In Solid Tumours (RECIST) is defined as follows: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Complete response (CR) is disappearance of all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Partial response (PR) is a 30% decrease in the sum of the longest diameter of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Progressive disease (PD) is a 20% increase in the sum of the longest diameter of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szCs w:val="20"/>
              </w:rPr>
            </w:pPr>
            <w:r w:rsidRPr="00497E12">
              <w:rPr>
                <w:rFonts w:ascii="Arial Narrow" w:hAnsi="Arial Narrow"/>
                <w:sz w:val="20"/>
              </w:rPr>
              <w:t>Stable disease (SD) is small changes that do not meet above criteria</w:t>
            </w:r>
            <w:r w:rsidR="00DA609A" w:rsidRPr="00497E12">
              <w:rPr>
                <w:rFonts w:ascii="Arial Narrow" w:hAnsi="Arial Narrow"/>
                <w:sz w:val="20"/>
              </w:rPr>
              <w:t>.</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Prescriber Instructions</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rPr>
              <w:t>The patient’s body weight must be documented in the patient’s medical records at the time treatment is initiated.</w:t>
            </w:r>
          </w:p>
        </w:tc>
      </w:tr>
    </w:tbl>
    <w:p w:rsidR="00C22B0B" w:rsidRPr="00497E12" w:rsidRDefault="00C22B0B" w:rsidP="00C22B0B">
      <w:pPr>
        <w:rPr>
          <w:rStyle w:val="IntenseReference"/>
          <w:b w:val="0"/>
          <w:bCs w:val="0"/>
          <w:i w:val="0"/>
          <w:smallCaps w:val="0"/>
          <w:color w:val="auto"/>
        </w:rPr>
      </w:pPr>
    </w:p>
    <w:p w:rsidR="00C22B0B" w:rsidRPr="00497E12" w:rsidRDefault="00C22B0B" w:rsidP="00C22B0B">
      <w:pPr>
        <w:rPr>
          <w:rStyle w:val="IntenseReference"/>
          <w:b w:val="0"/>
          <w:bCs w:val="0"/>
          <w:i w:val="0"/>
          <w:smallCaps w:val="0"/>
          <w:color w:val="auto"/>
        </w:rPr>
      </w:pPr>
    </w:p>
    <w:tbl>
      <w:tblPr>
        <w:tblW w:w="9214" w:type="dxa"/>
        <w:tblInd w:w="108" w:type="dxa"/>
        <w:tblLayout w:type="fixed"/>
        <w:tblLook w:val="0000" w:firstRow="0" w:lastRow="0" w:firstColumn="0" w:lastColumn="0" w:noHBand="0" w:noVBand="0"/>
      </w:tblPr>
      <w:tblGrid>
        <w:gridCol w:w="2835"/>
        <w:gridCol w:w="142"/>
        <w:gridCol w:w="709"/>
        <w:gridCol w:w="567"/>
        <w:gridCol w:w="2268"/>
        <w:gridCol w:w="142"/>
        <w:gridCol w:w="992"/>
        <w:gridCol w:w="1559"/>
      </w:tblGrid>
      <w:tr w:rsidR="00C22B0B" w:rsidRPr="00497E12" w:rsidTr="00DA609A">
        <w:trPr>
          <w:cantSplit/>
          <w:trHeight w:val="471"/>
        </w:trPr>
        <w:tc>
          <w:tcPr>
            <w:tcW w:w="2977" w:type="dxa"/>
            <w:gridSpan w:val="2"/>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Name, Restriction,</w:t>
            </w:r>
          </w:p>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Manner of administration and form</w:t>
            </w:r>
          </w:p>
        </w:tc>
        <w:tc>
          <w:tcPr>
            <w:tcW w:w="709"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Max.</w:t>
            </w:r>
          </w:p>
          <w:p w:rsidR="00C22B0B" w:rsidRPr="00497E12" w:rsidRDefault="00C22B0B" w:rsidP="005C27C0">
            <w:pPr>
              <w:keepNext/>
              <w:ind w:left="-108"/>
              <w:rPr>
                <w:rFonts w:ascii="Arial Narrow" w:hAnsi="Arial Narrow"/>
                <w:sz w:val="20"/>
                <w:szCs w:val="20"/>
              </w:rPr>
            </w:pPr>
            <w:proofErr w:type="spellStart"/>
            <w:r w:rsidRPr="00497E12">
              <w:rPr>
                <w:rFonts w:ascii="Arial Narrow" w:hAnsi="Arial Narrow"/>
                <w:sz w:val="20"/>
                <w:szCs w:val="20"/>
              </w:rPr>
              <w:t>Qty</w:t>
            </w:r>
            <w:proofErr w:type="spellEnd"/>
          </w:p>
        </w:tc>
        <w:tc>
          <w:tcPr>
            <w:tcW w:w="567"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№.of</w:t>
            </w:r>
          </w:p>
          <w:p w:rsidR="00C22B0B" w:rsidRPr="00497E12" w:rsidRDefault="00C22B0B" w:rsidP="005C27C0">
            <w:pPr>
              <w:keepNext/>
              <w:ind w:left="-108"/>
              <w:rPr>
                <w:rFonts w:ascii="Arial Narrow" w:hAnsi="Arial Narrow"/>
                <w:sz w:val="20"/>
                <w:szCs w:val="20"/>
              </w:rPr>
            </w:pPr>
            <w:proofErr w:type="spellStart"/>
            <w:r w:rsidRPr="00497E12">
              <w:rPr>
                <w:rFonts w:ascii="Arial Narrow" w:hAnsi="Arial Narrow"/>
                <w:sz w:val="20"/>
                <w:szCs w:val="20"/>
              </w:rPr>
              <w:t>Rpts</w:t>
            </w:r>
            <w:proofErr w:type="spellEnd"/>
          </w:p>
        </w:tc>
        <w:tc>
          <w:tcPr>
            <w:tcW w:w="2268" w:type="dxa"/>
            <w:tcBorders>
              <w:bottom w:val="single" w:sz="4" w:space="0" w:color="auto"/>
            </w:tcBorders>
          </w:tcPr>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 xml:space="preserve">Dispensed Price for Max. </w:t>
            </w:r>
            <w:proofErr w:type="spellStart"/>
            <w:r w:rsidRPr="00497E12">
              <w:rPr>
                <w:rFonts w:ascii="Arial Narrow" w:hAnsi="Arial Narrow"/>
                <w:sz w:val="20"/>
                <w:szCs w:val="20"/>
              </w:rPr>
              <w:t>Qty</w:t>
            </w:r>
            <w:proofErr w:type="spellEnd"/>
          </w:p>
        </w:tc>
        <w:tc>
          <w:tcPr>
            <w:tcW w:w="2693" w:type="dxa"/>
            <w:gridSpan w:val="3"/>
            <w:tcBorders>
              <w:bottom w:val="single" w:sz="4" w:space="0" w:color="auto"/>
            </w:tcBorders>
          </w:tcPr>
          <w:p w:rsidR="00C22B0B" w:rsidRPr="00497E12" w:rsidRDefault="00C22B0B" w:rsidP="005C27C0">
            <w:pPr>
              <w:keepNext/>
              <w:rPr>
                <w:rFonts w:ascii="Arial Narrow" w:hAnsi="Arial Narrow"/>
                <w:sz w:val="20"/>
                <w:szCs w:val="20"/>
              </w:rPr>
            </w:pPr>
            <w:r w:rsidRPr="00497E12">
              <w:rPr>
                <w:rFonts w:ascii="Arial Narrow" w:hAnsi="Arial Narrow"/>
                <w:sz w:val="20"/>
                <w:szCs w:val="20"/>
              </w:rPr>
              <w:t>Proprietary Name and Manufacturer</w:t>
            </w:r>
          </w:p>
        </w:tc>
      </w:tr>
      <w:tr w:rsidR="00C22B0B" w:rsidRPr="00497E12" w:rsidTr="00DA609A">
        <w:trPr>
          <w:cantSplit/>
          <w:trHeight w:val="577"/>
        </w:trPr>
        <w:tc>
          <w:tcPr>
            <w:tcW w:w="2977" w:type="dxa"/>
            <w:gridSpan w:val="2"/>
          </w:tcPr>
          <w:p w:rsidR="00C22B0B" w:rsidRPr="00497E12" w:rsidRDefault="00C22B0B" w:rsidP="005C27C0">
            <w:pPr>
              <w:keepNext/>
              <w:ind w:left="-108"/>
              <w:rPr>
                <w:rFonts w:ascii="Arial Narrow" w:hAnsi="Arial Narrow"/>
                <w:sz w:val="20"/>
              </w:rPr>
            </w:pPr>
            <w:proofErr w:type="spellStart"/>
            <w:r w:rsidRPr="00497E12">
              <w:rPr>
                <w:rFonts w:ascii="Arial Narrow" w:hAnsi="Arial Narrow"/>
                <w:smallCaps/>
                <w:sz w:val="20"/>
              </w:rPr>
              <w:t>Nivolumab</w:t>
            </w:r>
            <w:proofErr w:type="spellEnd"/>
          </w:p>
          <w:p w:rsidR="00C22B0B" w:rsidRPr="00497E12" w:rsidRDefault="00C22B0B" w:rsidP="005C27C0">
            <w:pPr>
              <w:keepNext/>
              <w:ind w:left="-108"/>
              <w:rPr>
                <w:rFonts w:ascii="Arial Narrow" w:hAnsi="Arial Narrow"/>
                <w:sz w:val="20"/>
              </w:rPr>
            </w:pPr>
            <w:r w:rsidRPr="00497E12">
              <w:rPr>
                <w:rFonts w:ascii="Arial Narrow" w:hAnsi="Arial Narrow"/>
                <w:sz w:val="20"/>
              </w:rPr>
              <w:t>40 mg/4 mL injection 1 x 4 mL vial</w:t>
            </w:r>
          </w:p>
          <w:p w:rsidR="00C22B0B" w:rsidRPr="00497E12" w:rsidRDefault="00C22B0B" w:rsidP="005C27C0">
            <w:pPr>
              <w:keepNext/>
              <w:ind w:left="-108"/>
              <w:rPr>
                <w:rFonts w:ascii="Arial Narrow" w:hAnsi="Arial Narrow"/>
                <w:sz w:val="20"/>
              </w:rPr>
            </w:pPr>
          </w:p>
          <w:p w:rsidR="00C22B0B" w:rsidRPr="00497E12" w:rsidRDefault="00C22B0B" w:rsidP="005C27C0">
            <w:pPr>
              <w:keepNext/>
              <w:ind w:left="-108"/>
              <w:rPr>
                <w:rFonts w:ascii="Arial Narrow" w:hAnsi="Arial Narrow"/>
                <w:sz w:val="20"/>
                <w:szCs w:val="20"/>
              </w:rPr>
            </w:pPr>
            <w:r w:rsidRPr="00497E12">
              <w:rPr>
                <w:rFonts w:ascii="Arial Narrow" w:hAnsi="Arial Narrow"/>
                <w:sz w:val="20"/>
              </w:rPr>
              <w:t>100 mg/10 mL injection 1 x 4 mL vial</w:t>
            </w:r>
          </w:p>
        </w:tc>
        <w:tc>
          <w:tcPr>
            <w:tcW w:w="709" w:type="dxa"/>
          </w:tcPr>
          <w:p w:rsidR="00C22B0B" w:rsidRPr="00497E12" w:rsidRDefault="00C22B0B" w:rsidP="005C27C0">
            <w:pPr>
              <w:keepNext/>
              <w:ind w:left="-108"/>
              <w:rPr>
                <w:rFonts w:ascii="Arial Narrow" w:hAnsi="Arial Narrow"/>
                <w:sz w:val="20"/>
                <w:szCs w:val="20"/>
              </w:rPr>
            </w:pPr>
          </w:p>
          <w:p w:rsidR="009A50FA" w:rsidRPr="00497E12" w:rsidRDefault="00C22B0B" w:rsidP="009A50FA">
            <w:pPr>
              <w:keepNext/>
              <w:ind w:left="-108"/>
              <w:rPr>
                <w:rFonts w:ascii="Arial Narrow" w:hAnsi="Arial Narrow"/>
                <w:sz w:val="20"/>
                <w:szCs w:val="20"/>
              </w:rPr>
            </w:pPr>
            <w:r w:rsidRPr="00497E12">
              <w:rPr>
                <w:rFonts w:ascii="Arial Narrow" w:hAnsi="Arial Narrow"/>
                <w:sz w:val="20"/>
                <w:szCs w:val="20"/>
              </w:rPr>
              <w:t>360 mg</w:t>
            </w:r>
          </w:p>
          <w:p w:rsidR="009A50FA" w:rsidRPr="00497E12" w:rsidRDefault="009A50FA" w:rsidP="009A50FA">
            <w:pPr>
              <w:keepNext/>
              <w:ind w:left="-108"/>
              <w:rPr>
                <w:rFonts w:ascii="Arial Narrow" w:hAnsi="Arial Narrow"/>
                <w:sz w:val="20"/>
                <w:szCs w:val="20"/>
              </w:rPr>
            </w:pPr>
          </w:p>
          <w:p w:rsidR="00C22B0B" w:rsidRPr="00497E12" w:rsidRDefault="009A50FA" w:rsidP="009A50FA">
            <w:pPr>
              <w:keepNext/>
              <w:ind w:left="-108"/>
              <w:rPr>
                <w:rFonts w:ascii="Arial Narrow" w:hAnsi="Arial Narrow"/>
                <w:sz w:val="20"/>
                <w:szCs w:val="20"/>
              </w:rPr>
            </w:pPr>
            <w:r w:rsidRPr="00497E12">
              <w:rPr>
                <w:rFonts w:ascii="Arial Narrow" w:hAnsi="Arial Narrow"/>
                <w:sz w:val="20"/>
                <w:szCs w:val="20"/>
              </w:rPr>
              <w:t>360 mg</w:t>
            </w:r>
          </w:p>
        </w:tc>
        <w:tc>
          <w:tcPr>
            <w:tcW w:w="567" w:type="dxa"/>
          </w:tcPr>
          <w:p w:rsidR="00C22B0B" w:rsidRPr="00497E12" w:rsidRDefault="00C22B0B" w:rsidP="005C27C0">
            <w:pPr>
              <w:keepNext/>
              <w:ind w:left="-108"/>
              <w:rPr>
                <w:rFonts w:ascii="Arial Narrow" w:hAnsi="Arial Narrow"/>
                <w:sz w:val="20"/>
                <w:szCs w:val="20"/>
              </w:rPr>
            </w:pPr>
          </w:p>
          <w:p w:rsidR="00C22B0B" w:rsidRPr="00497E12" w:rsidRDefault="00C22B0B" w:rsidP="005C27C0">
            <w:pPr>
              <w:keepNext/>
              <w:ind w:left="-108"/>
              <w:rPr>
                <w:rFonts w:ascii="Arial Narrow" w:hAnsi="Arial Narrow"/>
                <w:sz w:val="20"/>
                <w:szCs w:val="20"/>
              </w:rPr>
            </w:pPr>
            <w:r w:rsidRPr="00497E12">
              <w:rPr>
                <w:rFonts w:ascii="Arial Narrow" w:hAnsi="Arial Narrow"/>
                <w:sz w:val="20"/>
                <w:szCs w:val="20"/>
              </w:rPr>
              <w:t>11</w:t>
            </w:r>
          </w:p>
          <w:p w:rsidR="009A50FA" w:rsidRPr="00497E12" w:rsidRDefault="009A50FA" w:rsidP="005C27C0">
            <w:pPr>
              <w:keepNext/>
              <w:ind w:left="-108"/>
              <w:rPr>
                <w:rFonts w:ascii="Arial Narrow" w:hAnsi="Arial Narrow"/>
                <w:sz w:val="20"/>
                <w:szCs w:val="20"/>
              </w:rPr>
            </w:pPr>
          </w:p>
          <w:p w:rsidR="009A50FA" w:rsidRPr="00497E12" w:rsidRDefault="009A50FA" w:rsidP="005C27C0">
            <w:pPr>
              <w:keepNext/>
              <w:ind w:left="-108"/>
              <w:rPr>
                <w:rFonts w:ascii="Arial Narrow" w:hAnsi="Arial Narrow"/>
                <w:sz w:val="20"/>
                <w:szCs w:val="20"/>
              </w:rPr>
            </w:pPr>
            <w:r w:rsidRPr="00497E12">
              <w:rPr>
                <w:rFonts w:ascii="Arial Narrow" w:hAnsi="Arial Narrow"/>
                <w:sz w:val="20"/>
                <w:szCs w:val="20"/>
              </w:rPr>
              <w:t>11</w:t>
            </w:r>
          </w:p>
        </w:tc>
        <w:tc>
          <w:tcPr>
            <w:tcW w:w="2410" w:type="dxa"/>
            <w:gridSpan w:val="2"/>
          </w:tcPr>
          <w:p w:rsidR="00C22B0B" w:rsidRPr="00497E12" w:rsidRDefault="00C22B0B" w:rsidP="005C27C0">
            <w:pPr>
              <w:keepNext/>
              <w:ind w:left="-108"/>
              <w:rPr>
                <w:rFonts w:ascii="Arial Narrow" w:hAnsi="Arial Narrow"/>
                <w:sz w:val="20"/>
                <w:szCs w:val="20"/>
              </w:rPr>
            </w:pPr>
          </w:p>
          <w:p w:rsidR="001C195E" w:rsidRPr="00497E12" w:rsidRDefault="001C195E" w:rsidP="001C195E">
            <w:pPr>
              <w:keepNext/>
              <w:jc w:val="center"/>
              <w:rPr>
                <w:rFonts w:ascii="Arial Narrow" w:hAnsi="Arial Narrow"/>
                <w:sz w:val="20"/>
              </w:rPr>
            </w:pPr>
            <w:r w:rsidRPr="00497E12">
              <w:rPr>
                <w:rFonts w:ascii="Arial Narrow" w:hAnsi="Arial Narrow"/>
                <w:sz w:val="20"/>
              </w:rPr>
              <w:t>$830.70 (Published price)</w:t>
            </w:r>
          </w:p>
          <w:p w:rsidR="001C195E" w:rsidRPr="00497E12" w:rsidRDefault="001C195E" w:rsidP="001C195E">
            <w:pPr>
              <w:keepNext/>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rPr>
              <w:t xml:space="preserve"> (Effective price)</w:t>
            </w:r>
          </w:p>
          <w:p w:rsidR="001C195E" w:rsidRPr="00497E12" w:rsidRDefault="00FB73B7" w:rsidP="001C195E">
            <w:pPr>
              <w:keepNext/>
              <w:jc w:val="center"/>
              <w:rPr>
                <w:rFonts w:ascii="Arial Narrow" w:hAnsi="Arial Narrow"/>
                <w:sz w:val="20"/>
              </w:rPr>
            </w:pPr>
            <w:r w:rsidRPr="00497E12">
              <w:rPr>
                <w:rFonts w:ascii="Arial Narrow" w:hAnsi="Arial Narrow"/>
                <w:sz w:val="20"/>
              </w:rPr>
              <w:t>$2,076.75 (Published price)</w:t>
            </w:r>
          </w:p>
          <w:p w:rsidR="00C22B0B" w:rsidRPr="00497E12" w:rsidRDefault="001C195E" w:rsidP="00033341">
            <w:pPr>
              <w:keepNext/>
              <w:jc w:val="center"/>
              <w:rPr>
                <w:rFonts w:ascii="Arial Narrow" w:hAnsi="Arial Narrow"/>
                <w:sz w:val="20"/>
                <w:szCs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rPr>
              <w:t xml:space="preserve"> (Effective price)</w:t>
            </w:r>
          </w:p>
        </w:tc>
        <w:tc>
          <w:tcPr>
            <w:tcW w:w="992" w:type="dxa"/>
          </w:tcPr>
          <w:p w:rsidR="00C22B0B" w:rsidRPr="00497E12" w:rsidRDefault="00C22B0B" w:rsidP="005C27C0">
            <w:pPr>
              <w:keepNext/>
              <w:rPr>
                <w:rFonts w:ascii="Arial Narrow" w:hAnsi="Arial Narrow"/>
                <w:sz w:val="20"/>
              </w:rPr>
            </w:pPr>
          </w:p>
          <w:p w:rsidR="00C22B0B" w:rsidRPr="00497E12" w:rsidRDefault="00C22B0B" w:rsidP="005C27C0">
            <w:pPr>
              <w:keepNext/>
              <w:rPr>
                <w:rFonts w:ascii="Arial Narrow" w:hAnsi="Arial Narrow"/>
                <w:sz w:val="20"/>
              </w:rPr>
            </w:pPr>
            <w:proofErr w:type="spellStart"/>
            <w:r w:rsidRPr="00497E12">
              <w:rPr>
                <w:rFonts w:ascii="Arial Narrow" w:hAnsi="Arial Narrow"/>
                <w:sz w:val="20"/>
              </w:rPr>
              <w:t>O</w:t>
            </w:r>
            <w:r w:rsidR="009A50FA" w:rsidRPr="00497E12">
              <w:rPr>
                <w:rFonts w:ascii="Arial Narrow" w:hAnsi="Arial Narrow"/>
                <w:sz w:val="20"/>
              </w:rPr>
              <w:t>pdivo</w:t>
            </w:r>
            <w:proofErr w:type="spellEnd"/>
          </w:p>
        </w:tc>
        <w:tc>
          <w:tcPr>
            <w:tcW w:w="1559" w:type="dxa"/>
            <w:vAlign w:val="center"/>
          </w:tcPr>
          <w:p w:rsidR="00C22B0B" w:rsidRPr="00497E12" w:rsidRDefault="00C22B0B" w:rsidP="005C27C0">
            <w:pPr>
              <w:keepNext/>
              <w:rPr>
                <w:rFonts w:ascii="Arial Narrow" w:hAnsi="Arial Narrow"/>
                <w:sz w:val="20"/>
              </w:rPr>
            </w:pPr>
            <w:r w:rsidRPr="00497E12">
              <w:rPr>
                <w:rFonts w:ascii="Arial Narrow" w:hAnsi="Arial Narrow"/>
                <w:sz w:val="20"/>
              </w:rPr>
              <w:t>Bristol-Myers Squibb Australia Pty Ltd</w:t>
            </w:r>
          </w:p>
        </w:tc>
      </w:tr>
      <w:tr w:rsidR="00033341"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33341" w:rsidRPr="00497E12" w:rsidRDefault="00033341" w:rsidP="005C27C0">
            <w:pPr>
              <w:rPr>
                <w:rFonts w:ascii="Arial Narrow" w:hAnsi="Arial Narrow"/>
                <w:b/>
                <w:sz w:val="20"/>
                <w:szCs w:val="20"/>
              </w:rPr>
            </w:pPr>
            <w:r w:rsidRPr="00497E12">
              <w:rPr>
                <w:rFonts w:ascii="Arial Narrow" w:hAnsi="Arial Narrow"/>
                <w:b/>
                <w:sz w:val="20"/>
                <w:szCs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033341" w:rsidRPr="00497E12" w:rsidRDefault="00033341" w:rsidP="005C27C0">
            <w:pPr>
              <w:rPr>
                <w:rFonts w:ascii="Arial Narrow" w:hAnsi="Arial Narrow"/>
                <w:sz w:val="20"/>
                <w:szCs w:val="20"/>
              </w:rPr>
            </w:pPr>
            <w:r w:rsidRPr="00497E12">
              <w:rPr>
                <w:rFonts w:ascii="Arial Narrow" w:hAnsi="Arial Narrow"/>
                <w:sz w:val="20"/>
                <w:szCs w:val="20"/>
              </w:rPr>
              <w:t>Section 100 – Efficient funding of Chemotherapy.</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Prescriber type:</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1"/>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 xml:space="preserve">Dental  </w:t>
            </w:r>
            <w:r w:rsidRPr="00497E12">
              <w:rPr>
                <w:rFonts w:ascii="Arial Narrow" w:hAnsi="Arial Narrow"/>
                <w:sz w:val="20"/>
              </w:rPr>
              <w:fldChar w:fldCharType="begin">
                <w:ffData>
                  <w:name w:val="Check5"/>
                  <w:enabled/>
                  <w:calcOnExit w:val="0"/>
                  <w:checkBox>
                    <w:sizeAuto/>
                    <w:default w:val="1"/>
                  </w:checkBox>
                </w:ffData>
              </w:fldChar>
            </w:r>
            <w:r w:rsidRPr="00497E12">
              <w:rPr>
                <w:rFonts w:ascii="Arial Narrow" w:hAnsi="Arial Narrow"/>
                <w:sz w:val="20"/>
              </w:rPr>
              <w:instrText xml:space="preserve"> FORMCHECKBOX </w:instrText>
            </w:r>
            <w:r w:rsidR="00416368">
              <w:rPr>
                <w:rFonts w:ascii="Arial Narrow" w:hAnsi="Arial Narrow"/>
                <w:sz w:val="20"/>
              </w:rPr>
            </w:r>
            <w:r w:rsidR="00416368">
              <w:rPr>
                <w:rFonts w:ascii="Arial Narrow" w:hAnsi="Arial Narrow"/>
                <w:sz w:val="20"/>
              </w:rPr>
              <w:fldChar w:fldCharType="separate"/>
            </w:r>
            <w:r w:rsidRPr="00497E12">
              <w:rPr>
                <w:rFonts w:ascii="Arial Narrow" w:hAnsi="Arial Narrow"/>
                <w:sz w:val="20"/>
              </w:rPr>
              <w:fldChar w:fldCharType="end"/>
            </w:r>
            <w:r w:rsidRPr="00497E12">
              <w:rPr>
                <w:rFonts w:ascii="Arial Narrow" w:hAnsi="Arial Narrow"/>
                <w:sz w:val="20"/>
                <w:szCs w:val="20"/>
              </w:rPr>
              <w:t xml:space="preserve">Medical Practitioners  </w:t>
            </w:r>
            <w:r w:rsidRPr="00497E12">
              <w:rPr>
                <w:rFonts w:ascii="Arial Narrow" w:hAnsi="Arial Narrow"/>
                <w:sz w:val="20"/>
                <w:szCs w:val="20"/>
              </w:rPr>
              <w:fldChar w:fldCharType="begin">
                <w:ffData>
                  <w:name w:val="Check3"/>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 xml:space="preserve">Nurse practitioners  </w:t>
            </w: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Optometrists</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5"/>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Midwives</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Severity:</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trike/>
                <w:sz w:val="20"/>
                <w:szCs w:val="20"/>
              </w:rPr>
            </w:pPr>
            <w:r w:rsidRPr="00497E12">
              <w:rPr>
                <w:rFonts w:ascii="Arial Narrow" w:hAnsi="Arial Narrow"/>
                <w:strike/>
                <w:sz w:val="20"/>
              </w:rPr>
              <w:t xml:space="preserve">Advanced or metastatic </w:t>
            </w:r>
            <w:r w:rsidRPr="00497E12">
              <w:rPr>
                <w:rFonts w:ascii="Arial Narrow" w:hAnsi="Arial Narrow"/>
                <w:i/>
                <w:sz w:val="20"/>
              </w:rPr>
              <w:t>Stage III or Stage IV</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rPr>
              <w:t>Clear cell variant renal cell carcinoma (RCC)</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b/>
                <w:sz w:val="20"/>
                <w:szCs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trike/>
                <w:sz w:val="20"/>
              </w:rPr>
              <w:t>Advanced or</w:t>
            </w:r>
            <w:r w:rsidRPr="00497E12">
              <w:rPr>
                <w:rFonts w:ascii="Arial Narrow" w:hAnsi="Arial Narrow"/>
                <w:sz w:val="20"/>
              </w:rPr>
              <w:t xml:space="preserve"> </w:t>
            </w:r>
            <w:r w:rsidRPr="00497E12">
              <w:rPr>
                <w:rFonts w:ascii="Arial Narrow" w:hAnsi="Arial Narrow"/>
                <w:strike/>
                <w:sz w:val="20"/>
              </w:rPr>
              <w:t>metastatic</w:t>
            </w:r>
            <w:r w:rsidRPr="00497E12">
              <w:rPr>
                <w:rFonts w:ascii="Arial Narrow" w:hAnsi="Arial Narrow"/>
                <w:sz w:val="20"/>
              </w:rPr>
              <w:t xml:space="preserve"> </w:t>
            </w:r>
            <w:r w:rsidRPr="00497E12">
              <w:rPr>
                <w:rFonts w:ascii="Arial Narrow" w:hAnsi="Arial Narrow"/>
                <w:i/>
                <w:sz w:val="20"/>
              </w:rPr>
              <w:t xml:space="preserve">Stage III or Stage IV </w:t>
            </w:r>
            <w:r w:rsidRPr="00497E12">
              <w:rPr>
                <w:rFonts w:ascii="Arial Narrow" w:hAnsi="Arial Narrow"/>
                <w:sz w:val="20"/>
              </w:rPr>
              <w:t>clear cell variant renal cell carcinoma (RCC)</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b/>
                <w:sz w:val="20"/>
                <w:szCs w:val="20"/>
              </w:rPr>
            </w:pPr>
            <w:r w:rsidRPr="00497E12">
              <w:rPr>
                <w:rFonts w:ascii="Arial Narrow" w:hAnsi="Arial Narrow"/>
                <w:b/>
                <w:sz w:val="20"/>
                <w:szCs w:val="20"/>
              </w:rPr>
              <w:t>Treatment phase:</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i/>
                <w:sz w:val="20"/>
                <w:szCs w:val="20"/>
              </w:rPr>
              <w:t>Continuing treatment</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szCs w:val="20"/>
              </w:rPr>
            </w:pPr>
            <w:r w:rsidRPr="00497E12">
              <w:rPr>
                <w:rFonts w:ascii="Arial Narrow" w:hAnsi="Arial Narrow"/>
                <w:b/>
                <w:sz w:val="20"/>
                <w:szCs w:val="20"/>
              </w:rPr>
              <w:t>Restriction Level / Method:</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1"/>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Restricted benefit</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In Writing</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3"/>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Telephone</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Emergency</w:t>
            </w:r>
          </w:p>
          <w:p w:rsidR="00C22B0B" w:rsidRPr="00497E12" w:rsidRDefault="00C22B0B" w:rsidP="005C27C0">
            <w:pPr>
              <w:rPr>
                <w:rFonts w:ascii="Arial Narrow" w:hAnsi="Arial Narrow"/>
                <w:sz w:val="20"/>
                <w:szCs w:val="20"/>
              </w:rPr>
            </w:pPr>
            <w:r w:rsidRPr="00497E12">
              <w:rPr>
                <w:rFonts w:ascii="Arial Narrow" w:hAnsi="Arial Narrow"/>
                <w:sz w:val="20"/>
                <w:szCs w:val="20"/>
              </w:rPr>
              <w:fldChar w:fldCharType="begin">
                <w:ffData>
                  <w:name w:val="Check5"/>
                  <w:enabled/>
                  <w:calcOnExit w:val="0"/>
                  <w:checkBox>
                    <w:sizeAuto/>
                    <w:default w:val="0"/>
                  </w:checkBox>
                </w:ffData>
              </w:fldChar>
            </w:r>
            <w:r w:rsidRPr="00497E12">
              <w:rPr>
                <w:rFonts w:ascii="Arial Narrow" w:hAnsi="Arial Narrow"/>
                <w:sz w:val="20"/>
                <w:szCs w:val="20"/>
              </w:rPr>
              <w:instrText xml:space="preserve"> FORMCHECKBOX </w:instrText>
            </w:r>
            <w:r w:rsidR="00416368">
              <w:rPr>
                <w:rFonts w:ascii="Arial Narrow" w:hAnsi="Arial Narrow"/>
                <w:sz w:val="20"/>
                <w:szCs w:val="20"/>
              </w:rPr>
            </w:r>
            <w:r w:rsidR="00416368">
              <w:rPr>
                <w:rFonts w:ascii="Arial Narrow" w:hAnsi="Arial Narrow"/>
                <w:sz w:val="20"/>
                <w:szCs w:val="20"/>
              </w:rPr>
              <w:fldChar w:fldCharType="separate"/>
            </w:r>
            <w:r w:rsidRPr="00497E12">
              <w:rPr>
                <w:rFonts w:ascii="Arial Narrow" w:hAnsi="Arial Narrow"/>
                <w:sz w:val="20"/>
                <w:szCs w:val="20"/>
              </w:rPr>
              <w:fldChar w:fldCharType="end"/>
            </w:r>
            <w:r w:rsidRPr="00497E12">
              <w:rPr>
                <w:rFonts w:ascii="Arial Narrow" w:hAnsi="Arial Narrow"/>
                <w:sz w:val="20"/>
                <w:szCs w:val="20"/>
              </w:rPr>
              <w:t>Authority Required - Electronic</w:t>
            </w:r>
          </w:p>
          <w:p w:rsidR="00C22B0B" w:rsidRPr="00497E12" w:rsidRDefault="00C22B0B" w:rsidP="005C27C0">
            <w:pPr>
              <w:rPr>
                <w:rFonts w:ascii="Arial Narrow" w:hAnsi="Arial Narrow"/>
                <w:sz w:val="20"/>
                <w:szCs w:val="20"/>
              </w:rPr>
            </w:pPr>
            <w:r w:rsidRPr="00497E12">
              <w:rPr>
                <w:rFonts w:ascii="Arial Narrow" w:hAnsi="Arial Narrow"/>
                <w:sz w:val="20"/>
              </w:rPr>
              <w:fldChar w:fldCharType="begin">
                <w:ffData>
                  <w:name w:val="Check5"/>
                  <w:enabled/>
                  <w:calcOnExit w:val="0"/>
                  <w:checkBox>
                    <w:sizeAuto/>
                    <w:default w:val="1"/>
                  </w:checkBox>
                </w:ffData>
              </w:fldChar>
            </w:r>
            <w:r w:rsidRPr="00497E12">
              <w:rPr>
                <w:rFonts w:ascii="Arial Narrow" w:hAnsi="Arial Narrow"/>
                <w:sz w:val="20"/>
              </w:rPr>
              <w:instrText xml:space="preserve"> FORMCHECKBOX </w:instrText>
            </w:r>
            <w:r w:rsidR="00416368">
              <w:rPr>
                <w:rFonts w:ascii="Arial Narrow" w:hAnsi="Arial Narrow"/>
                <w:sz w:val="20"/>
              </w:rPr>
            </w:r>
            <w:r w:rsidR="00416368">
              <w:rPr>
                <w:rFonts w:ascii="Arial Narrow" w:hAnsi="Arial Narrow"/>
                <w:sz w:val="20"/>
              </w:rPr>
              <w:fldChar w:fldCharType="separate"/>
            </w:r>
            <w:r w:rsidRPr="00497E12">
              <w:rPr>
                <w:rFonts w:ascii="Arial Narrow" w:hAnsi="Arial Narrow"/>
                <w:sz w:val="20"/>
              </w:rPr>
              <w:fldChar w:fldCharType="end"/>
            </w:r>
            <w:r w:rsidRPr="00497E12">
              <w:rPr>
                <w:rFonts w:ascii="Arial Narrow" w:hAnsi="Arial Narrow"/>
                <w:sz w:val="20"/>
              </w:rPr>
              <w:t>Streamlined</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Treatment criteria:</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trike/>
                <w:sz w:val="20"/>
              </w:rPr>
              <w:t>The treatment must be the sole PBS-subsidised therapy for this condition</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Clinical criteria:</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i/>
                <w:sz w:val="20"/>
              </w:rPr>
            </w:pPr>
            <w:r w:rsidRPr="00497E12">
              <w:rPr>
                <w:rFonts w:ascii="Arial Narrow" w:hAnsi="Arial Narrow"/>
                <w:i/>
                <w:sz w:val="20"/>
              </w:rPr>
              <w:t xml:space="preserve">Patient must have previously been issued with an authority prescription for this drug for this condition, </w:t>
            </w:r>
          </w:p>
          <w:p w:rsidR="00C22B0B" w:rsidRPr="00497E12" w:rsidRDefault="00C22B0B" w:rsidP="005C27C0">
            <w:pPr>
              <w:rPr>
                <w:rFonts w:ascii="Arial Narrow" w:hAnsi="Arial Narrow"/>
                <w:i/>
                <w:sz w:val="20"/>
              </w:rPr>
            </w:pPr>
          </w:p>
          <w:p w:rsidR="00C22B0B" w:rsidRPr="00497E12" w:rsidRDefault="00C22B0B" w:rsidP="005C27C0">
            <w:pPr>
              <w:rPr>
                <w:rFonts w:ascii="Arial Narrow" w:hAnsi="Arial Narrow"/>
                <w:i/>
                <w:sz w:val="20"/>
              </w:rPr>
            </w:pPr>
            <w:r w:rsidRPr="00497E12">
              <w:rPr>
                <w:rFonts w:ascii="Arial Narrow" w:hAnsi="Arial Narrow"/>
                <w:i/>
                <w:sz w:val="20"/>
              </w:rPr>
              <w:t>AND</w:t>
            </w:r>
          </w:p>
          <w:p w:rsidR="00C22B0B" w:rsidRPr="00497E12" w:rsidRDefault="00C22B0B" w:rsidP="005C27C0">
            <w:pPr>
              <w:rPr>
                <w:rFonts w:ascii="Arial Narrow" w:hAnsi="Arial Narrow"/>
                <w:i/>
                <w:sz w:val="20"/>
              </w:rPr>
            </w:pPr>
          </w:p>
          <w:p w:rsidR="00C22B0B" w:rsidRPr="00497E12" w:rsidRDefault="00C22B0B" w:rsidP="005C27C0">
            <w:pPr>
              <w:rPr>
                <w:rFonts w:ascii="Arial Narrow" w:hAnsi="Arial Narrow"/>
                <w:i/>
                <w:sz w:val="20"/>
              </w:rPr>
            </w:pPr>
            <w:r w:rsidRPr="00497E12">
              <w:rPr>
                <w:rFonts w:ascii="Arial Narrow" w:hAnsi="Arial Narrow"/>
                <w:i/>
                <w:sz w:val="20"/>
              </w:rPr>
              <w:t>Patient must have stable or responding disease according to the Response Evaluation Criteria In Solid Tumours (RECIST),</w:t>
            </w:r>
          </w:p>
          <w:p w:rsidR="00C22B0B" w:rsidRPr="00497E12" w:rsidRDefault="00C22B0B" w:rsidP="005C27C0">
            <w:pPr>
              <w:rPr>
                <w:rFonts w:ascii="Arial Narrow" w:hAnsi="Arial Narrow"/>
                <w:i/>
                <w:sz w:val="20"/>
              </w:rPr>
            </w:pPr>
          </w:p>
          <w:p w:rsidR="00C22B0B" w:rsidRPr="00497E12" w:rsidRDefault="00C22B0B" w:rsidP="005C27C0">
            <w:pPr>
              <w:rPr>
                <w:rFonts w:ascii="Arial Narrow" w:hAnsi="Arial Narrow"/>
                <w:i/>
                <w:sz w:val="20"/>
              </w:rPr>
            </w:pPr>
            <w:r w:rsidRPr="00497E12">
              <w:rPr>
                <w:rFonts w:ascii="Arial Narrow" w:hAnsi="Arial Narrow"/>
                <w:i/>
                <w:sz w:val="20"/>
              </w:rPr>
              <w:t>AND</w:t>
            </w:r>
          </w:p>
          <w:p w:rsidR="00C22B0B" w:rsidRPr="00497E12" w:rsidRDefault="00C22B0B" w:rsidP="005C27C0">
            <w:pPr>
              <w:rPr>
                <w:rFonts w:ascii="Arial Narrow" w:hAnsi="Arial Narrow"/>
                <w:i/>
                <w:sz w:val="20"/>
              </w:rPr>
            </w:pPr>
          </w:p>
          <w:p w:rsidR="00C22B0B" w:rsidRPr="00497E12" w:rsidRDefault="00C22B0B" w:rsidP="005C27C0">
            <w:pPr>
              <w:rPr>
                <w:rFonts w:ascii="Arial Narrow" w:hAnsi="Arial Narrow"/>
                <w:i/>
                <w:sz w:val="20"/>
              </w:rPr>
            </w:pPr>
            <w:r w:rsidRPr="00497E12">
              <w:rPr>
                <w:rFonts w:ascii="Arial Narrow" w:hAnsi="Arial Narrow"/>
                <w:i/>
                <w:sz w:val="20"/>
              </w:rPr>
              <w:t>The treatment must be the sole PBS-subsidised therapy for this condition.</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Definitions</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rPr>
            </w:pPr>
            <w:r w:rsidRPr="00497E12">
              <w:rPr>
                <w:rFonts w:ascii="Arial Narrow" w:hAnsi="Arial Narrow"/>
                <w:sz w:val="20"/>
              </w:rPr>
              <w:t>Response Evaluation Criteria In Solid Tumours (RECIST) is defined as follows: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Complete response (CR) is disappearance of all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Partial response (PR) is a 30% decrease in the sum of the longest diameter of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rPr>
            </w:pPr>
            <w:r w:rsidRPr="00497E12">
              <w:rPr>
                <w:rFonts w:ascii="Arial Narrow" w:hAnsi="Arial Narrow"/>
                <w:sz w:val="20"/>
              </w:rPr>
              <w:t>Progressive disease (PD) is a 20% increase in the sum of the longest diameter of target lesions.</w:t>
            </w:r>
          </w:p>
          <w:p w:rsidR="00C22B0B" w:rsidRPr="00497E12" w:rsidRDefault="00C22B0B" w:rsidP="005C27C0">
            <w:pPr>
              <w:rPr>
                <w:rFonts w:ascii="Arial Narrow" w:hAnsi="Arial Narrow"/>
                <w:sz w:val="20"/>
              </w:rPr>
            </w:pPr>
          </w:p>
          <w:p w:rsidR="00C22B0B" w:rsidRPr="00497E12" w:rsidRDefault="00C22B0B" w:rsidP="005C27C0">
            <w:pPr>
              <w:rPr>
                <w:rFonts w:ascii="Arial Narrow" w:hAnsi="Arial Narrow"/>
                <w:sz w:val="20"/>
                <w:szCs w:val="20"/>
              </w:rPr>
            </w:pPr>
            <w:r w:rsidRPr="00497E12">
              <w:rPr>
                <w:rFonts w:ascii="Arial Narrow" w:hAnsi="Arial Narrow"/>
                <w:sz w:val="20"/>
              </w:rPr>
              <w:t>Stable disease (SD) is small changes that do not meet above criteria</w:t>
            </w:r>
            <w:r w:rsidR="00DA609A" w:rsidRPr="00497E12">
              <w:rPr>
                <w:rFonts w:ascii="Arial Narrow" w:hAnsi="Arial Narrow"/>
                <w:sz w:val="20"/>
              </w:rPr>
              <w:t>.</w:t>
            </w:r>
          </w:p>
        </w:tc>
      </w:tr>
      <w:tr w:rsidR="00C22B0B" w:rsidRPr="00497E12" w:rsidTr="0003334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b/>
                <w:sz w:val="20"/>
                <w:szCs w:val="20"/>
              </w:rPr>
              <w:t>Prescriber Instructions</w:t>
            </w:r>
          </w:p>
        </w:tc>
        <w:tc>
          <w:tcPr>
            <w:tcW w:w="6379" w:type="dxa"/>
            <w:gridSpan w:val="7"/>
            <w:tcBorders>
              <w:top w:val="single" w:sz="4" w:space="0" w:color="auto"/>
              <w:left w:val="single" w:sz="4" w:space="0" w:color="auto"/>
              <w:bottom w:val="single" w:sz="4" w:space="0" w:color="auto"/>
              <w:right w:val="single" w:sz="4" w:space="0" w:color="auto"/>
            </w:tcBorders>
          </w:tcPr>
          <w:p w:rsidR="00C22B0B" w:rsidRPr="00497E12" w:rsidRDefault="00C22B0B" w:rsidP="005C27C0">
            <w:pPr>
              <w:rPr>
                <w:rFonts w:ascii="Arial Narrow" w:hAnsi="Arial Narrow"/>
                <w:sz w:val="20"/>
                <w:szCs w:val="20"/>
              </w:rPr>
            </w:pPr>
            <w:r w:rsidRPr="00497E12">
              <w:rPr>
                <w:rFonts w:ascii="Arial Narrow" w:hAnsi="Arial Narrow"/>
                <w:sz w:val="20"/>
              </w:rPr>
              <w:t>The patient’s body weight must be documented in the patient’s medical records at the time treatment is initiated.</w:t>
            </w:r>
          </w:p>
        </w:tc>
      </w:tr>
    </w:tbl>
    <w:p w:rsidR="00255946" w:rsidRPr="00497E12" w:rsidRDefault="00255946" w:rsidP="00255946">
      <w:pPr>
        <w:widowControl/>
        <w:rPr>
          <w:szCs w:val="22"/>
        </w:rPr>
      </w:pPr>
    </w:p>
    <w:p w:rsidR="009D4094" w:rsidRPr="00497E12" w:rsidRDefault="009D4094" w:rsidP="00A45A8D">
      <w:pPr>
        <w:pStyle w:val="ListParagraph"/>
        <w:widowControl/>
        <w:numPr>
          <w:ilvl w:val="1"/>
          <w:numId w:val="25"/>
        </w:numPr>
        <w:ind w:left="709"/>
      </w:pPr>
      <w:r w:rsidRPr="00497E12">
        <w:rPr>
          <w:szCs w:val="22"/>
        </w:rPr>
        <w:t>The ESC noted that the requested restriction includes locally advanced (Stage III) as well as metastatic (Stage IV) disease. This differs from those of</w:t>
      </w:r>
      <w:r w:rsidR="00584626" w:rsidRPr="00584626">
        <w:t xml:space="preserve"> </w:t>
      </w:r>
      <w:r w:rsidR="00584626" w:rsidRPr="00584626">
        <w:rPr>
          <w:szCs w:val="22"/>
        </w:rPr>
        <w:t xml:space="preserve">currently-funded PBS </w:t>
      </w:r>
      <w:r w:rsidR="00584626" w:rsidRPr="00584626">
        <w:rPr>
          <w:szCs w:val="22"/>
        </w:rPr>
        <w:lastRenderedPageBreak/>
        <w:t xml:space="preserve">therapies for renal cell carcinoma including </w:t>
      </w:r>
      <w:proofErr w:type="spellStart"/>
      <w:r w:rsidR="00584626" w:rsidRPr="00584626">
        <w:rPr>
          <w:szCs w:val="22"/>
        </w:rPr>
        <w:t>sunitinib</w:t>
      </w:r>
      <w:proofErr w:type="spellEnd"/>
      <w:r w:rsidR="00584626" w:rsidRPr="00584626">
        <w:rPr>
          <w:szCs w:val="22"/>
        </w:rPr>
        <w:t xml:space="preserve">, </w:t>
      </w:r>
      <w:proofErr w:type="spellStart"/>
      <w:r w:rsidR="00584626" w:rsidRPr="00584626">
        <w:rPr>
          <w:szCs w:val="22"/>
        </w:rPr>
        <w:t>pazopanib</w:t>
      </w:r>
      <w:proofErr w:type="spellEnd"/>
      <w:r w:rsidR="00584626" w:rsidRPr="00584626">
        <w:rPr>
          <w:szCs w:val="22"/>
        </w:rPr>
        <w:t>,</w:t>
      </w:r>
      <w:r w:rsidRPr="00497E12">
        <w:rPr>
          <w:szCs w:val="22"/>
        </w:rPr>
        <w:t xml:space="preserve"> </w:t>
      </w:r>
      <w:proofErr w:type="spellStart"/>
      <w:r w:rsidRPr="00497E12">
        <w:rPr>
          <w:szCs w:val="22"/>
        </w:rPr>
        <w:t>everolimus</w:t>
      </w:r>
      <w:proofErr w:type="spellEnd"/>
      <w:r w:rsidRPr="00497E12">
        <w:rPr>
          <w:szCs w:val="22"/>
        </w:rPr>
        <w:t xml:space="preserve">, </w:t>
      </w:r>
      <w:proofErr w:type="spellStart"/>
      <w:r w:rsidRPr="00497E12">
        <w:rPr>
          <w:szCs w:val="22"/>
        </w:rPr>
        <w:t>axitinib</w:t>
      </w:r>
      <w:proofErr w:type="spellEnd"/>
      <w:r w:rsidRPr="00497E12">
        <w:rPr>
          <w:szCs w:val="22"/>
        </w:rPr>
        <w:t xml:space="preserve"> or </w:t>
      </w:r>
      <w:proofErr w:type="spellStart"/>
      <w:r w:rsidRPr="00497E12">
        <w:rPr>
          <w:szCs w:val="22"/>
        </w:rPr>
        <w:t>sorafenib</w:t>
      </w:r>
      <w:proofErr w:type="spellEnd"/>
      <w:r w:rsidRPr="00497E12">
        <w:rPr>
          <w:szCs w:val="22"/>
        </w:rPr>
        <w:t xml:space="preserve"> (all Stage IV only), and would potentially increase the eligible population for PBS subsidised treatment of renal cell carcinoma. </w:t>
      </w:r>
      <w:r w:rsidR="00CB7AEE" w:rsidRPr="00497E12">
        <w:rPr>
          <w:szCs w:val="22"/>
        </w:rPr>
        <w:t xml:space="preserve">The ESC noted that the PBAC has not previously assessed the cost-effectiveness of </w:t>
      </w:r>
      <w:proofErr w:type="spellStart"/>
      <w:r w:rsidR="00CB7AEE" w:rsidRPr="00497E12">
        <w:rPr>
          <w:szCs w:val="22"/>
        </w:rPr>
        <w:t>everolimus</w:t>
      </w:r>
      <w:proofErr w:type="spellEnd"/>
      <w:r w:rsidR="00CB7AEE" w:rsidRPr="00497E12">
        <w:rPr>
          <w:szCs w:val="22"/>
        </w:rPr>
        <w:t xml:space="preserve"> in locally advanced (Stage III) RCC, despite patients with this stage of RCC being included in the key trial and the requested PBS restriction of </w:t>
      </w:r>
      <w:proofErr w:type="spellStart"/>
      <w:r w:rsidR="00CB7AEE" w:rsidRPr="00497E12">
        <w:rPr>
          <w:szCs w:val="22"/>
        </w:rPr>
        <w:t>nivolumab</w:t>
      </w:r>
      <w:proofErr w:type="spellEnd"/>
      <w:r w:rsidR="00CB7AEE" w:rsidRPr="00497E12">
        <w:rPr>
          <w:szCs w:val="22"/>
        </w:rPr>
        <w:t xml:space="preserve">. </w:t>
      </w:r>
      <w:r w:rsidRPr="00497E12">
        <w:rPr>
          <w:szCs w:val="22"/>
        </w:rPr>
        <w:t xml:space="preserve">The ESC suggested that any PBS-listing of </w:t>
      </w:r>
      <w:proofErr w:type="spellStart"/>
      <w:r w:rsidRPr="00497E12">
        <w:rPr>
          <w:szCs w:val="22"/>
        </w:rPr>
        <w:t>nivolumab</w:t>
      </w:r>
      <w:proofErr w:type="spellEnd"/>
      <w:r w:rsidRPr="00497E12">
        <w:rPr>
          <w:szCs w:val="22"/>
        </w:rPr>
        <w:t xml:space="preserve"> be restricted to Stage IV disease, consistent with the first- and second-line agents currently listed for the treatment of RCC.</w:t>
      </w:r>
    </w:p>
    <w:p w:rsidR="009D4094" w:rsidRPr="00497E12" w:rsidRDefault="009D4094" w:rsidP="009D4094">
      <w:pPr>
        <w:widowControl/>
      </w:pPr>
    </w:p>
    <w:p w:rsidR="00255946" w:rsidRPr="00497E12" w:rsidRDefault="00255946" w:rsidP="00A45A8D">
      <w:pPr>
        <w:pStyle w:val="ListParagraph"/>
        <w:widowControl/>
        <w:numPr>
          <w:ilvl w:val="1"/>
          <w:numId w:val="25"/>
        </w:numPr>
        <w:ind w:left="709" w:hanging="709"/>
      </w:pPr>
      <w:r w:rsidRPr="00497E12">
        <w:rPr>
          <w:szCs w:val="22"/>
        </w:rPr>
        <w:t>No stopping rule was</w:t>
      </w:r>
      <w:r w:rsidRPr="00497E12">
        <w:t xml:space="preserve"> requested for </w:t>
      </w:r>
      <w:proofErr w:type="spellStart"/>
      <w:r w:rsidRPr="00497E12">
        <w:t>nivolumab</w:t>
      </w:r>
      <w:proofErr w:type="spellEnd"/>
      <w:r w:rsidRPr="00497E12">
        <w:t xml:space="preserve"> in contrast to the existing listings of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00074704" w:rsidRPr="00497E12">
        <w:t>,</w:t>
      </w:r>
      <w:r w:rsidRPr="00497E12">
        <w:t xml:space="preserve"> where patients who have progressive disease are no longer eligible for PBS-subsidised drug.</w:t>
      </w:r>
      <w:r w:rsidR="00E93DB3" w:rsidRPr="00497E12">
        <w:t xml:space="preserve"> </w:t>
      </w:r>
      <w:r w:rsidR="00E4517E" w:rsidRPr="00497E12">
        <w:t xml:space="preserve">The </w:t>
      </w:r>
      <w:r w:rsidR="00E93DB3" w:rsidRPr="00497E12">
        <w:t xml:space="preserve">ESC advised that a stopping rule on progression of disease </w:t>
      </w:r>
      <w:r w:rsidR="00DC07AA" w:rsidRPr="00497E12">
        <w:t>should be included in the restriction, consistent</w:t>
      </w:r>
      <w:r w:rsidR="00E93DB3" w:rsidRPr="00497E12">
        <w:t xml:space="preserve"> with other </w:t>
      </w:r>
      <w:r w:rsidR="00DC07AA" w:rsidRPr="00497E12">
        <w:t xml:space="preserve">PBS-listed </w:t>
      </w:r>
      <w:r w:rsidR="00E93DB3" w:rsidRPr="00497E12">
        <w:t xml:space="preserve">drugs for </w:t>
      </w:r>
      <w:r w:rsidR="00DC07AA" w:rsidRPr="00497E12">
        <w:t>metastatic RCC</w:t>
      </w:r>
      <w:r w:rsidR="00E93DB3" w:rsidRPr="00497E12">
        <w:t>.</w:t>
      </w:r>
    </w:p>
    <w:p w:rsidR="00255946" w:rsidRPr="00497E12" w:rsidRDefault="00255946" w:rsidP="00255946">
      <w:pPr>
        <w:widowControl/>
      </w:pPr>
    </w:p>
    <w:p w:rsidR="00255946" w:rsidRPr="00497E12" w:rsidRDefault="00CF63F8" w:rsidP="00A45A8D">
      <w:pPr>
        <w:pStyle w:val="ListParagraph"/>
        <w:widowControl/>
        <w:numPr>
          <w:ilvl w:val="1"/>
          <w:numId w:val="25"/>
        </w:numPr>
        <w:ind w:left="709" w:hanging="709"/>
      </w:pPr>
      <w:r w:rsidRPr="00497E12">
        <w:t xml:space="preserve">The submission requested that grandfathering of patients from the sponsor’s named patient program (approximately 54 patients) be permitted upon implementation of </w:t>
      </w:r>
      <w:r w:rsidR="00F51D17" w:rsidRPr="00497E12">
        <w:t xml:space="preserve">the </w:t>
      </w:r>
      <w:r w:rsidRPr="00497E12">
        <w:t xml:space="preserve">PBS listing of </w:t>
      </w:r>
      <w:proofErr w:type="spellStart"/>
      <w:r w:rsidRPr="00497E12">
        <w:t>nivolumab</w:t>
      </w:r>
      <w:proofErr w:type="spellEnd"/>
      <w:r w:rsidRPr="00497E12">
        <w:t>.</w:t>
      </w:r>
    </w:p>
    <w:p w:rsidR="00255946" w:rsidRPr="00497E12" w:rsidRDefault="00255946" w:rsidP="00255946"/>
    <w:p w:rsidR="00CF63F8" w:rsidRPr="00497E12" w:rsidRDefault="00CF63F8" w:rsidP="00A45A8D">
      <w:pPr>
        <w:pStyle w:val="ListParagraph"/>
        <w:widowControl/>
        <w:numPr>
          <w:ilvl w:val="1"/>
          <w:numId w:val="25"/>
        </w:numPr>
        <w:ind w:left="709" w:hanging="709"/>
      </w:pPr>
      <w:r w:rsidRPr="00497E12">
        <w:t xml:space="preserve">The submission sought listing on the basis of a cost utility analysis compared to </w:t>
      </w:r>
      <w:proofErr w:type="spellStart"/>
      <w:r w:rsidRPr="00497E12">
        <w:t>everolimus</w:t>
      </w:r>
      <w:proofErr w:type="spellEnd"/>
      <w:r w:rsidRPr="00497E12">
        <w:t>,</w:t>
      </w:r>
      <w:r w:rsidR="0063539C" w:rsidRPr="00497E12">
        <w:t xml:space="preserve"> via a head-to-head comparison.</w:t>
      </w:r>
    </w:p>
    <w:p w:rsidR="00CF63F8" w:rsidRPr="00497E12" w:rsidRDefault="00CF63F8" w:rsidP="00CF63F8"/>
    <w:p w:rsidR="005B55FB" w:rsidRPr="00497E12" w:rsidRDefault="005B55FB" w:rsidP="005B55FB">
      <w:pPr>
        <w:ind w:firstLine="720"/>
        <w:rPr>
          <w:bCs/>
          <w:szCs w:val="22"/>
        </w:rPr>
      </w:pPr>
      <w:r w:rsidRPr="00497E12">
        <w:rPr>
          <w:bCs/>
          <w:i/>
          <w:szCs w:val="22"/>
        </w:rPr>
        <w:t>For more detail on PBAC’s view, see section 7 “PBAC outcome”</w:t>
      </w:r>
      <w:r w:rsidR="00882EDD" w:rsidRPr="00497E12">
        <w:rPr>
          <w:bCs/>
          <w:i/>
          <w:szCs w:val="22"/>
        </w:rPr>
        <w:t>.</w:t>
      </w:r>
    </w:p>
    <w:p w:rsidR="005B55FB" w:rsidRPr="00497E12" w:rsidRDefault="005B55FB" w:rsidP="00CF63F8"/>
    <w:p w:rsidR="00CF63F8" w:rsidRPr="00497E12" w:rsidRDefault="00CF63F8" w:rsidP="00CF63F8"/>
    <w:p w:rsidR="00255946" w:rsidRPr="00497E12" w:rsidRDefault="00255946" w:rsidP="00A45A8D">
      <w:pPr>
        <w:pStyle w:val="Heading1"/>
      </w:pPr>
      <w:bookmarkStart w:id="9" w:name="_Toc430016469"/>
      <w:bookmarkStart w:id="10" w:name="_Toc450136339"/>
      <w:r w:rsidRPr="00497E12">
        <w:t>Background</w:t>
      </w:r>
      <w:bookmarkEnd w:id="9"/>
      <w:bookmarkEnd w:id="10"/>
    </w:p>
    <w:p w:rsidR="00CF63F8" w:rsidRPr="00497E12" w:rsidRDefault="00CF63F8" w:rsidP="00CF63F8">
      <w:pPr>
        <w:rPr>
          <w:szCs w:val="22"/>
        </w:rPr>
      </w:pPr>
    </w:p>
    <w:p w:rsidR="006222BF" w:rsidRPr="00497E12" w:rsidRDefault="001E62F9" w:rsidP="00400464">
      <w:pPr>
        <w:pStyle w:val="ListParagraph"/>
        <w:widowControl/>
        <w:numPr>
          <w:ilvl w:val="1"/>
          <w:numId w:val="9"/>
        </w:numPr>
      </w:pPr>
      <w:r w:rsidRPr="00497E12">
        <w:t xml:space="preserve">TGA Status at time of </w:t>
      </w:r>
      <w:r w:rsidR="00501A20" w:rsidRPr="00497E12">
        <w:t>PBAC</w:t>
      </w:r>
      <w:r w:rsidRPr="00497E12">
        <w:t xml:space="preserve">: </w:t>
      </w:r>
      <w:proofErr w:type="spellStart"/>
      <w:r w:rsidR="00CF63F8" w:rsidRPr="00497E12">
        <w:t>Nivolumab</w:t>
      </w:r>
      <w:proofErr w:type="spellEnd"/>
      <w:r w:rsidR="00CF63F8" w:rsidRPr="00497E12">
        <w:t xml:space="preserve"> was submitted to the TGA on 1</w:t>
      </w:r>
      <w:r w:rsidR="00EE41C0">
        <w:t> </w:t>
      </w:r>
      <w:r w:rsidR="00CF63F8" w:rsidRPr="00497E12">
        <w:t>December</w:t>
      </w:r>
      <w:r w:rsidR="00EE41C0">
        <w:t> </w:t>
      </w:r>
      <w:r w:rsidR="00CF63F8" w:rsidRPr="00497E12">
        <w:t>2015</w:t>
      </w:r>
      <w:r w:rsidR="00AC6F93" w:rsidRPr="00497E12">
        <w:t>,</w:t>
      </w:r>
      <w:r w:rsidR="00CF63F8" w:rsidRPr="00497E12">
        <w:t xml:space="preserve"> </w:t>
      </w:r>
      <w:r w:rsidR="00F166A1" w:rsidRPr="00497E12">
        <w:t xml:space="preserve">but </w:t>
      </w:r>
      <w:r w:rsidR="00501A20" w:rsidRPr="00497E12">
        <w:t>the</w:t>
      </w:r>
      <w:r w:rsidR="00CF63F8" w:rsidRPr="00497E12">
        <w:t xml:space="preserve"> </w:t>
      </w:r>
      <w:r w:rsidR="00032F70" w:rsidRPr="00497E12">
        <w:t>TGA Delegate</w:t>
      </w:r>
      <w:r w:rsidR="00074704" w:rsidRPr="00497E12">
        <w:t>’</w:t>
      </w:r>
      <w:r w:rsidR="00032F70" w:rsidRPr="00497E12">
        <w:t xml:space="preserve">s Overview </w:t>
      </w:r>
      <w:r w:rsidR="00501A20" w:rsidRPr="00497E12">
        <w:t>was</w:t>
      </w:r>
      <w:r w:rsidR="00032F70" w:rsidRPr="00497E12">
        <w:t xml:space="preserve"> </w:t>
      </w:r>
      <w:r w:rsidR="00F166A1" w:rsidRPr="00497E12">
        <w:t xml:space="preserve">not available </w:t>
      </w:r>
      <w:r w:rsidR="00074704" w:rsidRPr="00497E12">
        <w:t>before</w:t>
      </w:r>
      <w:r w:rsidR="00032F70" w:rsidRPr="00497E12">
        <w:t xml:space="preserve"> the July 2016 PBAC </w:t>
      </w:r>
      <w:r w:rsidR="00097B3D" w:rsidRPr="00497E12">
        <w:t>deliberations.</w:t>
      </w:r>
    </w:p>
    <w:p w:rsidR="00260717" w:rsidRPr="00497E12" w:rsidRDefault="00260717" w:rsidP="00260717">
      <w:pPr>
        <w:widowControl/>
      </w:pPr>
    </w:p>
    <w:p w:rsidR="00CF63F8" w:rsidRPr="00497E12" w:rsidRDefault="009C6806" w:rsidP="00400464">
      <w:pPr>
        <w:pStyle w:val="ListParagraph"/>
        <w:widowControl/>
        <w:numPr>
          <w:ilvl w:val="1"/>
          <w:numId w:val="9"/>
        </w:numPr>
      </w:pPr>
      <w:r w:rsidRPr="00497E12">
        <w:t xml:space="preserve">This was the first consideration of </w:t>
      </w:r>
      <w:proofErr w:type="spellStart"/>
      <w:r w:rsidRPr="00497E12">
        <w:t>nivolumab</w:t>
      </w:r>
      <w:proofErr w:type="spellEnd"/>
      <w:r w:rsidRPr="00497E12">
        <w:t xml:space="preserve"> by the PBAC for the treatment of RCC. A submission to list </w:t>
      </w:r>
      <w:proofErr w:type="spellStart"/>
      <w:r w:rsidRPr="00497E12">
        <w:t>nivolumab</w:t>
      </w:r>
      <w:proofErr w:type="spellEnd"/>
      <w:r w:rsidRPr="00497E12">
        <w:t xml:space="preserve"> for Stage III/IV melanoma was rejected in July 2015 but recommended by the PBAC in November 2015. Earlier submissions to list </w:t>
      </w:r>
      <w:proofErr w:type="spellStart"/>
      <w:r w:rsidRPr="00497E12">
        <w:t>nivolumab</w:t>
      </w:r>
      <w:proofErr w:type="spellEnd"/>
      <w:r w:rsidRPr="00497E12">
        <w:t xml:space="preserve"> for squamous and non-squamous NSCLC were both rejected in March 2016 by the PBAC. The PBAC recommended listing of </w:t>
      </w:r>
      <w:proofErr w:type="spellStart"/>
      <w:r w:rsidRPr="00497E12">
        <w:t>everolimus</w:t>
      </w:r>
      <w:proofErr w:type="spellEnd"/>
      <w:r w:rsidRPr="00497E12">
        <w:t xml:space="preserve"> at the March 2014 PBAC meeting, and both </w:t>
      </w:r>
      <w:proofErr w:type="spellStart"/>
      <w:r w:rsidRPr="00497E12">
        <w:t>axitinib</w:t>
      </w:r>
      <w:proofErr w:type="spellEnd"/>
      <w:r w:rsidRPr="00497E12">
        <w:t xml:space="preserve"> and </w:t>
      </w:r>
      <w:proofErr w:type="spellStart"/>
      <w:r w:rsidRPr="00497E12">
        <w:t>sorafenib</w:t>
      </w:r>
      <w:proofErr w:type="spellEnd"/>
      <w:r w:rsidRPr="00497E12">
        <w:t xml:space="preserve"> at the November 2014 PBAC meeting for the treatment of Stage IV clear cell variant RCC in patients who have failed prior therapy with a TKI.</w:t>
      </w:r>
    </w:p>
    <w:p w:rsidR="005B55FB" w:rsidRPr="00497E12" w:rsidRDefault="005B55FB" w:rsidP="00CF63F8"/>
    <w:p w:rsidR="006222BF" w:rsidRPr="00497E12" w:rsidRDefault="006222BF" w:rsidP="00CF63F8"/>
    <w:p w:rsidR="00CF63F8" w:rsidRPr="00497E12" w:rsidRDefault="00CF63F8" w:rsidP="00A45A8D">
      <w:pPr>
        <w:pStyle w:val="Heading1"/>
      </w:pPr>
      <w:bookmarkStart w:id="11" w:name="_Toc450136340"/>
      <w:r w:rsidRPr="00497E12">
        <w:t>Clinical place for the proposed therapy</w:t>
      </w:r>
      <w:bookmarkEnd w:id="11"/>
    </w:p>
    <w:p w:rsidR="00CF63F8" w:rsidRPr="00497E12" w:rsidRDefault="00CF63F8" w:rsidP="00CF63F8">
      <w:pPr>
        <w:rPr>
          <w:szCs w:val="22"/>
        </w:rPr>
      </w:pPr>
    </w:p>
    <w:p w:rsidR="00CF63F8" w:rsidRPr="00497E12" w:rsidRDefault="00CF63F8" w:rsidP="00400464">
      <w:pPr>
        <w:pStyle w:val="ListParagraph"/>
        <w:widowControl/>
        <w:numPr>
          <w:ilvl w:val="1"/>
          <w:numId w:val="10"/>
        </w:numPr>
      </w:pPr>
      <w:r w:rsidRPr="00497E12">
        <w:t xml:space="preserve">RCC is a </w:t>
      </w:r>
      <w:r w:rsidR="0091283A" w:rsidRPr="00497E12">
        <w:t xml:space="preserve">type </w:t>
      </w:r>
      <w:r w:rsidRPr="00497E12">
        <w:t xml:space="preserve">of kidney cancer that arises from the </w:t>
      </w:r>
      <w:r w:rsidR="00E366DC" w:rsidRPr="00497E12">
        <w:t xml:space="preserve">lining of </w:t>
      </w:r>
      <w:r w:rsidR="0091283A" w:rsidRPr="00497E12">
        <w:t xml:space="preserve">renal </w:t>
      </w:r>
      <w:r w:rsidR="00E366DC" w:rsidRPr="00497E12">
        <w:t>tubules</w:t>
      </w:r>
      <w:r w:rsidRPr="00497E12">
        <w:t xml:space="preserve">. </w:t>
      </w:r>
      <w:r w:rsidR="00460C57" w:rsidRPr="00497E12">
        <w:t xml:space="preserve">Its incidence has been increasing, and despite the improved management of the disease, most patients are diagnosed with advanced RCC, which is </w:t>
      </w:r>
      <w:r w:rsidR="00A1502A" w:rsidRPr="00497E12">
        <w:t xml:space="preserve">often </w:t>
      </w:r>
      <w:r w:rsidR="00460C57" w:rsidRPr="00497E12">
        <w:t>resistant to systemic therapy and difficult to treat.</w:t>
      </w:r>
      <w:r w:rsidRPr="00497E12">
        <w:t xml:space="preserve"> The submission requested </w:t>
      </w:r>
      <w:proofErr w:type="spellStart"/>
      <w:r w:rsidRPr="00497E12">
        <w:t>nivolumab</w:t>
      </w:r>
      <w:proofErr w:type="spellEnd"/>
      <w:r w:rsidRPr="00497E12">
        <w:t xml:space="preserve"> to be used as second</w:t>
      </w:r>
      <w:r w:rsidR="0064676B" w:rsidRPr="00497E12">
        <w:t>-</w:t>
      </w:r>
      <w:r w:rsidRPr="00497E12">
        <w:t xml:space="preserve">line treatment of advanced or metastatic clear cell variant RCC as an alternative to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w:t>
      </w:r>
      <w:r w:rsidR="00020BB2" w:rsidRPr="00497E12">
        <w:t xml:space="preserve">The ESC </w:t>
      </w:r>
      <w:r w:rsidR="00062BDB" w:rsidRPr="00497E12">
        <w:t>noted</w:t>
      </w:r>
      <w:r w:rsidR="00020BB2" w:rsidRPr="00497E12">
        <w:t xml:space="preserve"> that this </w:t>
      </w:r>
      <w:r w:rsidR="00062BDB" w:rsidRPr="00497E12">
        <w:t>would be</w:t>
      </w:r>
      <w:r w:rsidR="00020BB2" w:rsidRPr="00497E12">
        <w:t xml:space="preserve"> consistent with current treatment recommendations and guidelines.</w:t>
      </w:r>
    </w:p>
    <w:p w:rsidR="00CF63F8" w:rsidRPr="00497E12" w:rsidRDefault="00CF63F8" w:rsidP="00CF63F8">
      <w:pPr>
        <w:widowControl/>
        <w:rPr>
          <w:szCs w:val="22"/>
        </w:rPr>
      </w:pPr>
    </w:p>
    <w:p w:rsidR="005B55FB" w:rsidRPr="00497E12" w:rsidRDefault="005B55FB" w:rsidP="005B55FB">
      <w:pPr>
        <w:ind w:firstLine="720"/>
        <w:rPr>
          <w:bCs/>
          <w:szCs w:val="22"/>
        </w:rPr>
      </w:pPr>
      <w:r w:rsidRPr="00497E12">
        <w:rPr>
          <w:bCs/>
          <w:i/>
          <w:szCs w:val="22"/>
        </w:rPr>
        <w:t>For more detail on PBAC’s view, see section 7 “PBAC outcome”</w:t>
      </w:r>
      <w:r w:rsidR="00882EDD" w:rsidRPr="00497E12">
        <w:rPr>
          <w:bCs/>
          <w:i/>
          <w:szCs w:val="22"/>
        </w:rPr>
        <w:t>.</w:t>
      </w:r>
    </w:p>
    <w:p w:rsidR="00CF63F8" w:rsidRPr="00497E12" w:rsidRDefault="00CF63F8" w:rsidP="00CF63F8">
      <w:pPr>
        <w:widowControl/>
        <w:rPr>
          <w:szCs w:val="22"/>
        </w:rPr>
      </w:pPr>
    </w:p>
    <w:p w:rsidR="00CF63F8" w:rsidRPr="00497E12" w:rsidRDefault="00CF63F8" w:rsidP="00A45A8D">
      <w:pPr>
        <w:pStyle w:val="Heading1"/>
      </w:pPr>
      <w:bookmarkStart w:id="12" w:name="_Toc450136341"/>
      <w:r w:rsidRPr="00497E12">
        <w:t>Comparator</w:t>
      </w:r>
      <w:bookmarkEnd w:id="12"/>
    </w:p>
    <w:p w:rsidR="00CF63F8" w:rsidRPr="00497E12" w:rsidRDefault="00CF63F8" w:rsidP="00CF63F8"/>
    <w:p w:rsidR="00CF63F8" w:rsidRPr="00497E12" w:rsidRDefault="00CF63F8" w:rsidP="00400464">
      <w:pPr>
        <w:pStyle w:val="ListParagraph"/>
        <w:widowControl/>
        <w:numPr>
          <w:ilvl w:val="1"/>
          <w:numId w:val="11"/>
        </w:numPr>
      </w:pPr>
      <w:r w:rsidRPr="00497E12">
        <w:t xml:space="preserve">The submission nominated </w:t>
      </w:r>
      <w:proofErr w:type="spellStart"/>
      <w:r w:rsidRPr="00497E12">
        <w:t>everolimus</w:t>
      </w:r>
      <w:proofErr w:type="spellEnd"/>
      <w:r w:rsidRPr="00497E12">
        <w:t xml:space="preserve"> as the main comparator, and </w:t>
      </w:r>
      <w:proofErr w:type="spellStart"/>
      <w:r w:rsidRPr="00497E12">
        <w:t>axitinib</w:t>
      </w:r>
      <w:proofErr w:type="spellEnd"/>
      <w:r w:rsidRPr="00497E12">
        <w:t xml:space="preserve"> and </w:t>
      </w:r>
      <w:proofErr w:type="spellStart"/>
      <w:r w:rsidRPr="00497E12">
        <w:t>sorafenib</w:t>
      </w:r>
      <w:proofErr w:type="spellEnd"/>
      <w:r w:rsidRPr="00497E12">
        <w:t xml:space="preserve"> as secondary comparators. Th</w:t>
      </w:r>
      <w:r w:rsidR="00BB1D5C" w:rsidRPr="00497E12">
        <w:t>e PBAC considered this</w:t>
      </w:r>
      <w:r w:rsidRPr="00497E12">
        <w:t xml:space="preserve"> </w:t>
      </w:r>
      <w:r w:rsidR="00020BB2" w:rsidRPr="00497E12">
        <w:t xml:space="preserve">was </w:t>
      </w:r>
      <w:r w:rsidR="00B96333" w:rsidRPr="00497E12">
        <w:t>reasonable.</w:t>
      </w:r>
    </w:p>
    <w:p w:rsidR="00CF63F8" w:rsidRPr="00497E12" w:rsidRDefault="00CF63F8" w:rsidP="00CF63F8">
      <w:pPr>
        <w:rPr>
          <w:szCs w:val="22"/>
        </w:rPr>
      </w:pPr>
    </w:p>
    <w:p w:rsidR="005B55FB" w:rsidRPr="00497E12" w:rsidRDefault="005B55FB" w:rsidP="00423258">
      <w:pPr>
        <w:tabs>
          <w:tab w:val="left" w:pos="6521"/>
        </w:tabs>
        <w:ind w:firstLine="720"/>
        <w:rPr>
          <w:bCs/>
          <w:szCs w:val="22"/>
        </w:rPr>
      </w:pPr>
      <w:r w:rsidRPr="00497E12">
        <w:rPr>
          <w:bCs/>
          <w:i/>
          <w:szCs w:val="22"/>
        </w:rPr>
        <w:t>For more detail on PBAC’s view, see section 7 “PBAC outcome”</w:t>
      </w:r>
      <w:r w:rsidR="00882EDD" w:rsidRPr="00497E12">
        <w:rPr>
          <w:bCs/>
          <w:i/>
          <w:szCs w:val="22"/>
        </w:rPr>
        <w:t>.</w:t>
      </w:r>
    </w:p>
    <w:p w:rsidR="005B55FB" w:rsidRPr="00497E12" w:rsidRDefault="005B55FB" w:rsidP="00423258">
      <w:pPr>
        <w:tabs>
          <w:tab w:val="left" w:pos="6521"/>
        </w:tabs>
        <w:rPr>
          <w:szCs w:val="22"/>
        </w:rPr>
      </w:pPr>
    </w:p>
    <w:p w:rsidR="00EF47FE" w:rsidRPr="00EF47FE" w:rsidRDefault="00EF47FE" w:rsidP="00A45A8D">
      <w:pPr>
        <w:pStyle w:val="Heading1"/>
        <w:rPr>
          <w:bCs/>
        </w:rPr>
      </w:pPr>
      <w:r w:rsidRPr="00EF47FE">
        <w:t>Consideration of the evidence</w:t>
      </w:r>
    </w:p>
    <w:p w:rsidR="00A57A9D" w:rsidRDefault="00A57A9D" w:rsidP="005B55FB">
      <w:pPr>
        <w:rPr>
          <w:b/>
          <w:bCs/>
          <w:i/>
          <w:szCs w:val="22"/>
        </w:rPr>
      </w:pPr>
    </w:p>
    <w:p w:rsidR="005B55FB" w:rsidRPr="00A45A8D" w:rsidRDefault="005B55FB" w:rsidP="00A45A8D">
      <w:pPr>
        <w:pStyle w:val="Heading2"/>
      </w:pPr>
      <w:r w:rsidRPr="00A45A8D">
        <w:t>Sponsor hearing</w:t>
      </w:r>
    </w:p>
    <w:p w:rsidR="00A57A9D" w:rsidRDefault="00A57A9D" w:rsidP="005B55FB">
      <w:pPr>
        <w:rPr>
          <w:b/>
          <w:bCs/>
          <w:i/>
          <w:szCs w:val="22"/>
        </w:rPr>
      </w:pPr>
    </w:p>
    <w:p w:rsidR="005B55FB" w:rsidRPr="00497E12" w:rsidRDefault="005B55FB" w:rsidP="00A45A8D">
      <w:pPr>
        <w:pStyle w:val="ListParagraph"/>
        <w:widowControl/>
        <w:numPr>
          <w:ilvl w:val="1"/>
          <w:numId w:val="24"/>
        </w:numPr>
        <w:ind w:left="709" w:hanging="709"/>
      </w:pPr>
      <w:r w:rsidRPr="00497E12">
        <w:t>The</w:t>
      </w:r>
      <w:r w:rsidR="00F172FF" w:rsidRPr="00497E12">
        <w:t>re was no hearing for this item</w:t>
      </w:r>
      <w:r w:rsidRPr="00497E12">
        <w:t>.</w:t>
      </w:r>
    </w:p>
    <w:p w:rsidR="005B55FB" w:rsidRPr="00497E12" w:rsidRDefault="005B55FB" w:rsidP="005B55FB">
      <w:pPr>
        <w:rPr>
          <w:bCs/>
          <w:szCs w:val="22"/>
        </w:rPr>
      </w:pPr>
    </w:p>
    <w:p w:rsidR="005B55FB" w:rsidRPr="00497E12" w:rsidRDefault="005B55FB" w:rsidP="00A45A8D">
      <w:pPr>
        <w:pStyle w:val="Heading2"/>
      </w:pPr>
      <w:r w:rsidRPr="00497E12">
        <w:t>Consumer comments</w:t>
      </w:r>
    </w:p>
    <w:p w:rsidR="0034066E" w:rsidRPr="00497E12" w:rsidRDefault="0034066E" w:rsidP="005B55FB">
      <w:pPr>
        <w:rPr>
          <w:bCs/>
          <w:szCs w:val="22"/>
        </w:rPr>
      </w:pPr>
    </w:p>
    <w:p w:rsidR="005B55FB" w:rsidRPr="00497E12" w:rsidRDefault="005B55FB" w:rsidP="00A45A8D">
      <w:pPr>
        <w:pStyle w:val="ListParagraph"/>
        <w:widowControl/>
        <w:numPr>
          <w:ilvl w:val="1"/>
          <w:numId w:val="24"/>
        </w:numPr>
        <w:ind w:left="709" w:hanging="709"/>
        <w:rPr>
          <w:bCs/>
          <w:szCs w:val="22"/>
        </w:rPr>
      </w:pPr>
      <w:r w:rsidRPr="00497E12">
        <w:rPr>
          <w:bCs/>
          <w:szCs w:val="22"/>
        </w:rPr>
        <w:t>The PBAC noted and welcomed the input from individual</w:t>
      </w:r>
      <w:r w:rsidR="00E82E44" w:rsidRPr="00497E12">
        <w:rPr>
          <w:bCs/>
          <w:szCs w:val="22"/>
        </w:rPr>
        <w:t>s</w:t>
      </w:r>
      <w:r w:rsidRPr="00497E12">
        <w:rPr>
          <w:bCs/>
          <w:szCs w:val="22"/>
        </w:rPr>
        <w:t xml:space="preserve"> (</w:t>
      </w:r>
      <w:r w:rsidR="00E82E44" w:rsidRPr="00497E12">
        <w:rPr>
          <w:bCs/>
          <w:szCs w:val="22"/>
        </w:rPr>
        <w:t>1</w:t>
      </w:r>
      <w:r w:rsidRPr="00497E12">
        <w:rPr>
          <w:bCs/>
          <w:szCs w:val="22"/>
        </w:rPr>
        <w:t xml:space="preserve">), health care professionals (7) and organisations (1) via the Consumer Comments facility on the PBS website. The comments described a range of benefits of treatment with </w:t>
      </w:r>
      <w:proofErr w:type="spellStart"/>
      <w:r w:rsidR="00E82E44" w:rsidRPr="00497E12">
        <w:rPr>
          <w:bCs/>
          <w:szCs w:val="22"/>
        </w:rPr>
        <w:t>nivolumab</w:t>
      </w:r>
      <w:proofErr w:type="spellEnd"/>
      <w:r w:rsidRPr="00497E12">
        <w:rPr>
          <w:bCs/>
          <w:szCs w:val="22"/>
        </w:rPr>
        <w:t xml:space="preserve"> including </w:t>
      </w:r>
      <w:r w:rsidR="00E82E44" w:rsidRPr="00497E12">
        <w:rPr>
          <w:bCs/>
          <w:szCs w:val="22"/>
        </w:rPr>
        <w:t>an overall survival benefit</w:t>
      </w:r>
      <w:r w:rsidR="008C26C2" w:rsidRPr="00497E12">
        <w:rPr>
          <w:bCs/>
          <w:szCs w:val="22"/>
        </w:rPr>
        <w:t xml:space="preserve"> in some patients,</w:t>
      </w:r>
      <w:r w:rsidR="00E82E44" w:rsidRPr="00497E12">
        <w:rPr>
          <w:bCs/>
          <w:szCs w:val="22"/>
        </w:rPr>
        <w:t xml:space="preserve"> a reduction in di</w:t>
      </w:r>
      <w:r w:rsidR="008C26C2" w:rsidRPr="00497E12">
        <w:rPr>
          <w:bCs/>
          <w:szCs w:val="22"/>
        </w:rPr>
        <w:t>sease burden</w:t>
      </w:r>
      <w:r w:rsidR="00882EDD" w:rsidRPr="00497E12">
        <w:rPr>
          <w:bCs/>
          <w:szCs w:val="22"/>
        </w:rPr>
        <w:t>,</w:t>
      </w:r>
      <w:r w:rsidR="008C26C2" w:rsidRPr="00497E12">
        <w:rPr>
          <w:bCs/>
          <w:szCs w:val="22"/>
        </w:rPr>
        <w:t xml:space="preserve"> and</w:t>
      </w:r>
      <w:r w:rsidR="00E82E44" w:rsidRPr="00497E12">
        <w:rPr>
          <w:bCs/>
          <w:szCs w:val="22"/>
        </w:rPr>
        <w:t xml:space="preserve"> quality of life improvements</w:t>
      </w:r>
      <w:r w:rsidR="00882EDD" w:rsidRPr="00497E12">
        <w:rPr>
          <w:bCs/>
          <w:szCs w:val="22"/>
        </w:rPr>
        <w:t>,</w:t>
      </w:r>
      <w:r w:rsidR="008C26C2" w:rsidRPr="00497E12">
        <w:rPr>
          <w:bCs/>
          <w:szCs w:val="22"/>
        </w:rPr>
        <w:t xml:space="preserve"> al</w:t>
      </w:r>
      <w:r w:rsidR="00882EDD" w:rsidRPr="00497E12">
        <w:rPr>
          <w:bCs/>
          <w:szCs w:val="22"/>
        </w:rPr>
        <w:t>l with relatively low toxicity.</w:t>
      </w:r>
    </w:p>
    <w:p w:rsidR="005B55FB" w:rsidRPr="00497E12" w:rsidRDefault="005B55FB" w:rsidP="00CF63F8"/>
    <w:p w:rsidR="00CF63F8" w:rsidRPr="00497E12" w:rsidRDefault="00CF63F8" w:rsidP="00A45A8D">
      <w:pPr>
        <w:pStyle w:val="Heading2"/>
      </w:pPr>
      <w:bookmarkStart w:id="13" w:name="_Toc450136343"/>
      <w:r w:rsidRPr="00497E12">
        <w:t>Clinical trials</w:t>
      </w:r>
      <w:bookmarkEnd w:id="13"/>
    </w:p>
    <w:p w:rsidR="0034066E" w:rsidRPr="00497E12" w:rsidRDefault="0034066E" w:rsidP="0034066E"/>
    <w:p w:rsidR="00700A12" w:rsidRPr="00497E12" w:rsidRDefault="00CF63F8" w:rsidP="00A45A8D">
      <w:pPr>
        <w:pStyle w:val="ListParagraph"/>
        <w:widowControl/>
        <w:numPr>
          <w:ilvl w:val="1"/>
          <w:numId w:val="24"/>
        </w:numPr>
        <w:ind w:left="709" w:hanging="709"/>
        <w:rPr>
          <w:szCs w:val="22"/>
        </w:rPr>
      </w:pPr>
      <w:r w:rsidRPr="00497E12">
        <w:t xml:space="preserve">The submission was based on one head-to-head trial comparing </w:t>
      </w:r>
      <w:proofErr w:type="spellStart"/>
      <w:r w:rsidRPr="00497E12">
        <w:t>nivolumab</w:t>
      </w:r>
      <w:proofErr w:type="spellEnd"/>
      <w:r w:rsidRPr="00497E12">
        <w:t xml:space="preserve"> to </w:t>
      </w:r>
      <w:proofErr w:type="spellStart"/>
      <w:r w:rsidRPr="00497E12">
        <w:t>everolimus</w:t>
      </w:r>
      <w:proofErr w:type="spellEnd"/>
      <w:r w:rsidRPr="00497E12">
        <w:t xml:space="preserve"> (CA209-025; N=821).</w:t>
      </w:r>
      <w:r w:rsidR="00610B06" w:rsidRPr="00497E12">
        <w:t xml:space="preserve"> </w:t>
      </w:r>
      <w:r w:rsidR="00AB4E1C" w:rsidRPr="00497E12">
        <w:t>The</w:t>
      </w:r>
      <w:r w:rsidR="00AB4E1C" w:rsidRPr="00497E12">
        <w:rPr>
          <w:szCs w:val="22"/>
        </w:rPr>
        <w:t xml:space="preserve"> secondary comparisons to </w:t>
      </w:r>
      <w:proofErr w:type="spellStart"/>
      <w:r w:rsidR="00AB4E1C" w:rsidRPr="00497E12">
        <w:rPr>
          <w:szCs w:val="22"/>
        </w:rPr>
        <w:t>axitinib</w:t>
      </w:r>
      <w:proofErr w:type="spellEnd"/>
      <w:r w:rsidR="00AB4E1C" w:rsidRPr="00497E12">
        <w:rPr>
          <w:szCs w:val="22"/>
        </w:rPr>
        <w:t xml:space="preserve"> and </w:t>
      </w:r>
      <w:proofErr w:type="spellStart"/>
      <w:r w:rsidR="00AB4E1C" w:rsidRPr="00497E12">
        <w:rPr>
          <w:szCs w:val="22"/>
        </w:rPr>
        <w:t>sorafenib</w:t>
      </w:r>
      <w:proofErr w:type="spellEnd"/>
      <w:r w:rsidR="00AB4E1C" w:rsidRPr="00497E12">
        <w:rPr>
          <w:szCs w:val="22"/>
        </w:rPr>
        <w:t xml:space="preserve"> were indirect comparisons using CA209-025 as well as RECORD-1 (</w:t>
      </w:r>
      <w:proofErr w:type="spellStart"/>
      <w:r w:rsidR="00AB4E1C" w:rsidRPr="00497E12">
        <w:rPr>
          <w:szCs w:val="22"/>
        </w:rPr>
        <w:t>everolimus</w:t>
      </w:r>
      <w:proofErr w:type="spellEnd"/>
      <w:r w:rsidR="00AB4E1C" w:rsidRPr="00497E12">
        <w:rPr>
          <w:szCs w:val="22"/>
        </w:rPr>
        <w:t xml:space="preserve"> vs. placebo), TARGET (</w:t>
      </w:r>
      <w:proofErr w:type="spellStart"/>
      <w:r w:rsidR="00AB4E1C" w:rsidRPr="00497E12">
        <w:rPr>
          <w:szCs w:val="22"/>
        </w:rPr>
        <w:t>sorafenib</w:t>
      </w:r>
      <w:proofErr w:type="spellEnd"/>
      <w:r w:rsidR="00AB4E1C" w:rsidRPr="00497E12">
        <w:rPr>
          <w:szCs w:val="22"/>
        </w:rPr>
        <w:t xml:space="preserve"> vs. placebo) and AXIS (</w:t>
      </w:r>
      <w:proofErr w:type="spellStart"/>
      <w:r w:rsidR="00AB4E1C" w:rsidRPr="00497E12">
        <w:rPr>
          <w:szCs w:val="22"/>
        </w:rPr>
        <w:t>axi</w:t>
      </w:r>
      <w:r w:rsidR="00F107F9" w:rsidRPr="00497E12">
        <w:rPr>
          <w:szCs w:val="22"/>
        </w:rPr>
        <w:t>t</w:t>
      </w:r>
      <w:r w:rsidR="00AB4E1C" w:rsidRPr="00497E12">
        <w:rPr>
          <w:szCs w:val="22"/>
        </w:rPr>
        <w:t>inib</w:t>
      </w:r>
      <w:proofErr w:type="spellEnd"/>
      <w:r w:rsidR="00AB4E1C" w:rsidRPr="00497E12">
        <w:rPr>
          <w:szCs w:val="22"/>
        </w:rPr>
        <w:t xml:space="preserve"> vs. </w:t>
      </w:r>
      <w:proofErr w:type="spellStart"/>
      <w:r w:rsidR="00AB4E1C" w:rsidRPr="00497E12">
        <w:rPr>
          <w:szCs w:val="22"/>
        </w:rPr>
        <w:t>sorafenib</w:t>
      </w:r>
      <w:proofErr w:type="spellEnd"/>
      <w:r w:rsidR="00AB4E1C" w:rsidRPr="00497E12">
        <w:rPr>
          <w:szCs w:val="22"/>
        </w:rPr>
        <w:t>).</w:t>
      </w:r>
      <w:r w:rsidR="00AB4E1C" w:rsidRPr="00497E12">
        <w:t xml:space="preserve"> Details of the trials presented in the submission are provided in the table below.</w:t>
      </w:r>
    </w:p>
    <w:p w:rsidR="00F85A80" w:rsidRPr="00497E12" w:rsidRDefault="00F85A80">
      <w:pPr>
        <w:widowControl/>
        <w:jc w:val="left"/>
        <w:rPr>
          <w:rStyle w:val="CommentReference"/>
        </w:rPr>
      </w:pPr>
    </w:p>
    <w:p w:rsidR="007A0FD9" w:rsidRDefault="007A0FD9">
      <w:pPr>
        <w:widowControl/>
        <w:jc w:val="left"/>
        <w:rPr>
          <w:rStyle w:val="CommentReference"/>
        </w:rPr>
      </w:pPr>
      <w:r>
        <w:rPr>
          <w:rStyle w:val="CommentReference"/>
        </w:rPr>
        <w:br w:type="page"/>
      </w:r>
    </w:p>
    <w:p w:rsidR="00CF63F8" w:rsidRPr="00497E12" w:rsidRDefault="00CF63F8" w:rsidP="00CF63F8">
      <w:pPr>
        <w:ind w:left="709"/>
        <w:rPr>
          <w:rStyle w:val="CommentReference"/>
        </w:rPr>
      </w:pPr>
      <w:r w:rsidRPr="00497E12">
        <w:rPr>
          <w:rStyle w:val="CommentReference"/>
        </w:rPr>
        <w:lastRenderedPageBreak/>
        <w:t>Table 1: Trial</w:t>
      </w:r>
      <w:r w:rsidR="004D58C8" w:rsidRPr="00497E12">
        <w:rPr>
          <w:rStyle w:val="CommentReference"/>
        </w:rPr>
        <w:t>s</w:t>
      </w:r>
      <w:r w:rsidRPr="00497E12">
        <w:rPr>
          <w:rStyle w:val="CommentReference"/>
        </w:rPr>
        <w:t xml:space="preserve"> presented in the submission</w:t>
      </w:r>
    </w:p>
    <w:tbl>
      <w:tblPr>
        <w:tblW w:w="458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2"/>
        <w:gridCol w:w="1000"/>
        <w:gridCol w:w="4128"/>
        <w:gridCol w:w="13"/>
        <w:gridCol w:w="1940"/>
      </w:tblGrid>
      <w:tr w:rsidR="00CF63F8" w:rsidRPr="00497E12" w:rsidTr="004D58C8">
        <w:tc>
          <w:tcPr>
            <w:tcW w:w="751" w:type="pct"/>
            <w:tcBorders>
              <w:top w:val="single" w:sz="4" w:space="0" w:color="auto"/>
              <w:left w:val="single" w:sz="4" w:space="0" w:color="auto"/>
              <w:bottom w:val="single" w:sz="4" w:space="0" w:color="auto"/>
              <w:right w:val="single" w:sz="4" w:space="0" w:color="auto"/>
            </w:tcBorders>
            <w:vAlign w:val="center"/>
          </w:tcPr>
          <w:p w:rsidR="00CF63F8" w:rsidRPr="00497E12" w:rsidRDefault="00CF63F8" w:rsidP="009C5C98">
            <w:pPr>
              <w:pStyle w:val="TableHeading"/>
              <w:keepNext w:val="0"/>
              <w:spacing w:before="0" w:after="0"/>
              <w:rPr>
                <w:rFonts w:cs="Arial"/>
                <w:lang w:eastAsia="en-AU"/>
              </w:rPr>
            </w:pPr>
            <w:r w:rsidRPr="00497E12">
              <w:rPr>
                <w:rFonts w:cs="Arial"/>
                <w:lang w:eastAsia="en-AU"/>
              </w:rPr>
              <w:t>Trial</w:t>
            </w:r>
          </w:p>
        </w:tc>
        <w:tc>
          <w:tcPr>
            <w:tcW w:w="600" w:type="pct"/>
            <w:tcBorders>
              <w:top w:val="single" w:sz="4" w:space="0" w:color="auto"/>
              <w:left w:val="single" w:sz="4" w:space="0" w:color="auto"/>
              <w:bottom w:val="single" w:sz="4" w:space="0" w:color="auto"/>
              <w:right w:val="single" w:sz="4" w:space="0" w:color="auto"/>
            </w:tcBorders>
            <w:vAlign w:val="center"/>
          </w:tcPr>
          <w:p w:rsidR="00CF63F8" w:rsidRPr="00497E12" w:rsidRDefault="00CF63F8" w:rsidP="009C5C98">
            <w:pPr>
              <w:pStyle w:val="TableHeading"/>
              <w:keepNext w:val="0"/>
              <w:spacing w:before="0" w:after="0"/>
              <w:jc w:val="center"/>
              <w:rPr>
                <w:rFonts w:cs="Arial"/>
                <w:lang w:eastAsia="en-AU"/>
              </w:rPr>
            </w:pPr>
            <w:r w:rsidRPr="00497E12">
              <w:rPr>
                <w:rFonts w:cs="Arial"/>
                <w:lang w:eastAsia="en-AU"/>
              </w:rPr>
              <w:t>Description</w:t>
            </w:r>
          </w:p>
        </w:tc>
        <w:tc>
          <w:tcPr>
            <w:tcW w:w="2485" w:type="pct"/>
            <w:gridSpan w:val="2"/>
            <w:tcBorders>
              <w:top w:val="single" w:sz="4" w:space="0" w:color="auto"/>
              <w:left w:val="single" w:sz="4" w:space="0" w:color="auto"/>
              <w:bottom w:val="single" w:sz="4" w:space="0" w:color="auto"/>
              <w:right w:val="single" w:sz="4" w:space="0" w:color="auto"/>
            </w:tcBorders>
            <w:vAlign w:val="center"/>
          </w:tcPr>
          <w:p w:rsidR="00CF63F8" w:rsidRPr="00497E12" w:rsidRDefault="00CF63F8" w:rsidP="009C5C98">
            <w:pPr>
              <w:pStyle w:val="TableHeading"/>
              <w:keepNext w:val="0"/>
              <w:spacing w:before="0" w:after="0"/>
              <w:jc w:val="center"/>
              <w:rPr>
                <w:rFonts w:cs="Arial"/>
                <w:lang w:eastAsia="en-AU"/>
              </w:rPr>
            </w:pPr>
            <w:r w:rsidRPr="00497E12">
              <w:rPr>
                <w:rFonts w:cs="Arial"/>
                <w:lang w:eastAsia="en-AU"/>
              </w:rPr>
              <w:t>Protocol title/Publication title</w:t>
            </w:r>
          </w:p>
        </w:tc>
        <w:tc>
          <w:tcPr>
            <w:tcW w:w="1164" w:type="pct"/>
            <w:tcBorders>
              <w:top w:val="single" w:sz="4" w:space="0" w:color="auto"/>
              <w:left w:val="single" w:sz="4" w:space="0" w:color="auto"/>
              <w:bottom w:val="single" w:sz="4" w:space="0" w:color="auto"/>
              <w:right w:val="single" w:sz="4" w:space="0" w:color="auto"/>
            </w:tcBorders>
            <w:vAlign w:val="center"/>
          </w:tcPr>
          <w:p w:rsidR="00CF63F8" w:rsidRPr="00497E12" w:rsidRDefault="00CF63F8" w:rsidP="009C5C98">
            <w:pPr>
              <w:pStyle w:val="TableHeading"/>
              <w:keepNext w:val="0"/>
              <w:spacing w:before="0" w:after="0"/>
              <w:jc w:val="center"/>
              <w:rPr>
                <w:rFonts w:cs="Arial"/>
                <w:lang w:eastAsia="en-AU"/>
              </w:rPr>
            </w:pPr>
            <w:r w:rsidRPr="00497E12">
              <w:rPr>
                <w:rFonts w:cs="Arial"/>
                <w:lang w:eastAsia="en-AU"/>
              </w:rPr>
              <w:t>Publication citation</w:t>
            </w:r>
          </w:p>
        </w:tc>
      </w:tr>
      <w:tr w:rsidR="00CF63F8" w:rsidRPr="00497E12" w:rsidTr="009C5C98">
        <w:tc>
          <w:tcPr>
            <w:tcW w:w="5000" w:type="pct"/>
            <w:gridSpan w:val="5"/>
            <w:tcBorders>
              <w:top w:val="single" w:sz="4" w:space="0" w:color="auto"/>
              <w:left w:val="single" w:sz="4" w:space="0" w:color="auto"/>
              <w:bottom w:val="single" w:sz="4" w:space="0" w:color="auto"/>
              <w:right w:val="single" w:sz="4" w:space="0" w:color="auto"/>
            </w:tcBorders>
            <w:vAlign w:val="center"/>
          </w:tcPr>
          <w:p w:rsidR="00CF63F8" w:rsidRPr="00497E12" w:rsidRDefault="00CF63F8" w:rsidP="009C5C98">
            <w:pPr>
              <w:pStyle w:val="TableText0"/>
              <w:keepNext w:val="0"/>
              <w:spacing w:before="0" w:after="0"/>
              <w:rPr>
                <w:rFonts w:cs="Arial"/>
                <w:b/>
                <w:iCs/>
                <w:lang w:eastAsia="en-AU"/>
              </w:rPr>
            </w:pPr>
            <w:r w:rsidRPr="00497E12">
              <w:rPr>
                <w:rFonts w:cs="Arial"/>
                <w:b/>
                <w:iCs/>
                <w:lang w:eastAsia="en-AU"/>
              </w:rPr>
              <w:t>Direct randomised trial</w:t>
            </w:r>
          </w:p>
        </w:tc>
      </w:tr>
      <w:tr w:rsidR="00CF63F8" w:rsidRPr="00497E12" w:rsidTr="008A00D2">
        <w:tc>
          <w:tcPr>
            <w:tcW w:w="751" w:type="pct"/>
            <w:tcBorders>
              <w:top w:val="single" w:sz="4" w:space="0" w:color="auto"/>
              <w:left w:val="single" w:sz="4" w:space="0" w:color="auto"/>
              <w:bottom w:val="single" w:sz="4" w:space="0" w:color="auto"/>
              <w:right w:val="single" w:sz="4" w:space="0" w:color="auto"/>
            </w:tcBorders>
          </w:tcPr>
          <w:p w:rsidR="00CF63F8" w:rsidRPr="00497E12" w:rsidRDefault="00CF63F8" w:rsidP="009C5C98">
            <w:pPr>
              <w:pStyle w:val="TableText0"/>
              <w:keepNext w:val="0"/>
              <w:spacing w:before="0" w:after="0"/>
              <w:rPr>
                <w:rFonts w:cs="Arial"/>
                <w:lang w:eastAsia="en-AU"/>
              </w:rPr>
            </w:pPr>
            <w:r w:rsidRPr="00497E12">
              <w:rPr>
                <w:rFonts w:cs="Arial"/>
                <w:lang w:eastAsia="en-AU"/>
              </w:rPr>
              <w:t>CA209-025</w:t>
            </w:r>
            <w:r w:rsidR="004D58C8" w:rsidRPr="00497E12">
              <w:rPr>
                <w:rFonts w:cs="Arial"/>
                <w:lang w:eastAsia="en-AU"/>
              </w:rPr>
              <w:t xml:space="preserve"> (</w:t>
            </w:r>
            <w:proofErr w:type="spellStart"/>
            <w:r w:rsidR="004D58C8" w:rsidRPr="00497E12">
              <w:rPr>
                <w:rFonts w:cs="Arial"/>
                <w:lang w:eastAsia="en-AU"/>
              </w:rPr>
              <w:t>nivolumab</w:t>
            </w:r>
            <w:proofErr w:type="spellEnd"/>
            <w:r w:rsidR="004D58C8" w:rsidRPr="00497E12">
              <w:rPr>
                <w:rFonts w:cs="Arial"/>
                <w:lang w:eastAsia="en-AU"/>
              </w:rPr>
              <w:t xml:space="preserve"> vs. </w:t>
            </w:r>
            <w:proofErr w:type="spellStart"/>
            <w:r w:rsidR="004D58C8" w:rsidRPr="00497E12">
              <w:rPr>
                <w:rFonts w:cs="Arial"/>
                <w:lang w:eastAsia="en-AU"/>
              </w:rPr>
              <w:t>everolimus</w:t>
            </w:r>
            <w:proofErr w:type="spellEnd"/>
            <w:r w:rsidR="004D58C8" w:rsidRPr="00497E12">
              <w:rPr>
                <w:rFonts w:cs="Arial"/>
                <w:lang w:eastAsia="en-AU"/>
              </w:rPr>
              <w:t>)</w:t>
            </w:r>
          </w:p>
        </w:tc>
        <w:tc>
          <w:tcPr>
            <w:tcW w:w="600" w:type="pct"/>
            <w:tcBorders>
              <w:top w:val="single" w:sz="4" w:space="0" w:color="auto"/>
              <w:left w:val="single" w:sz="4" w:space="0" w:color="auto"/>
              <w:bottom w:val="single" w:sz="4" w:space="0" w:color="auto"/>
              <w:right w:val="single" w:sz="4" w:space="0" w:color="auto"/>
            </w:tcBorders>
          </w:tcPr>
          <w:p w:rsidR="00CF63F8" w:rsidRPr="00497E12" w:rsidRDefault="00CF63F8" w:rsidP="009C5C98">
            <w:pPr>
              <w:pStyle w:val="TableText0"/>
              <w:keepNext w:val="0"/>
              <w:spacing w:before="0" w:after="0"/>
              <w:rPr>
                <w:rFonts w:cs="Arial"/>
                <w:lang w:eastAsia="en-AU"/>
              </w:rPr>
            </w:pPr>
            <w:r w:rsidRPr="00497E12">
              <w:rPr>
                <w:rFonts w:cs="Arial"/>
                <w:lang w:eastAsia="en-AU"/>
              </w:rPr>
              <w:t>R, OL, MC</w:t>
            </w:r>
          </w:p>
        </w:tc>
        <w:tc>
          <w:tcPr>
            <w:tcW w:w="2476" w:type="pct"/>
            <w:tcBorders>
              <w:top w:val="single" w:sz="4" w:space="0" w:color="auto"/>
              <w:left w:val="single" w:sz="4" w:space="0" w:color="auto"/>
              <w:bottom w:val="single" w:sz="4" w:space="0" w:color="auto"/>
              <w:right w:val="single" w:sz="4" w:space="0" w:color="auto"/>
            </w:tcBorders>
          </w:tcPr>
          <w:p w:rsidR="00CF63F8" w:rsidRPr="00497E12" w:rsidRDefault="00CF63F8" w:rsidP="009C5C98">
            <w:pPr>
              <w:jc w:val="left"/>
              <w:rPr>
                <w:rFonts w:ascii="Arial Narrow" w:hAnsi="Arial Narrow"/>
                <w:sz w:val="20"/>
                <w:szCs w:val="20"/>
              </w:rPr>
            </w:pPr>
            <w:r w:rsidRPr="00497E12">
              <w:rPr>
                <w:rFonts w:ascii="Arial Narrow" w:hAnsi="Arial Narrow"/>
                <w:sz w:val="20"/>
                <w:szCs w:val="20"/>
              </w:rPr>
              <w:t xml:space="preserve">A randomised, open-label, phase 3 study of </w:t>
            </w:r>
            <w:proofErr w:type="spellStart"/>
            <w:r w:rsidRPr="00497E12">
              <w:rPr>
                <w:rFonts w:ascii="Arial Narrow" w:hAnsi="Arial Narrow"/>
                <w:sz w:val="20"/>
                <w:szCs w:val="20"/>
              </w:rPr>
              <w:t>nivolumab</w:t>
            </w:r>
            <w:proofErr w:type="spellEnd"/>
            <w:r w:rsidRPr="00497E12">
              <w:rPr>
                <w:rFonts w:ascii="Arial Narrow" w:hAnsi="Arial Narrow"/>
                <w:sz w:val="20"/>
                <w:szCs w:val="20"/>
              </w:rPr>
              <w:t xml:space="preserve"> (BMS-936558) versus </w:t>
            </w:r>
            <w:proofErr w:type="spellStart"/>
            <w:r w:rsidRPr="00497E12">
              <w:rPr>
                <w:rFonts w:ascii="Arial Narrow" w:hAnsi="Arial Narrow"/>
                <w:sz w:val="20"/>
                <w:szCs w:val="20"/>
              </w:rPr>
              <w:t>everolimus</w:t>
            </w:r>
            <w:proofErr w:type="spellEnd"/>
            <w:r w:rsidRPr="00497E12">
              <w:rPr>
                <w:rFonts w:ascii="Arial Narrow" w:hAnsi="Arial Narrow"/>
                <w:sz w:val="20"/>
                <w:szCs w:val="20"/>
              </w:rPr>
              <w:t xml:space="preserve"> in subjects with advanced or metastatic clear-cell renal cell carcinoma who have received prior anti-</w:t>
            </w:r>
            <w:proofErr w:type="spellStart"/>
            <w:r w:rsidRPr="00497E12">
              <w:rPr>
                <w:rFonts w:ascii="Arial Narrow" w:hAnsi="Arial Narrow"/>
                <w:sz w:val="20"/>
                <w:szCs w:val="20"/>
              </w:rPr>
              <w:t>angiogenic</w:t>
            </w:r>
            <w:proofErr w:type="spellEnd"/>
            <w:r w:rsidRPr="00497E12">
              <w:rPr>
                <w:rFonts w:ascii="Arial Narrow" w:hAnsi="Arial Narrow"/>
                <w:sz w:val="20"/>
                <w:szCs w:val="20"/>
              </w:rPr>
              <w:t xml:space="preserve"> therapy (</w:t>
            </w:r>
            <w:proofErr w:type="spellStart"/>
            <w:r w:rsidRPr="00497E12">
              <w:rPr>
                <w:rFonts w:ascii="Arial Narrow" w:hAnsi="Arial Narrow"/>
                <w:sz w:val="20"/>
                <w:szCs w:val="20"/>
              </w:rPr>
              <w:t>CheckMate</w:t>
            </w:r>
            <w:proofErr w:type="spellEnd"/>
            <w:r w:rsidRPr="00497E12">
              <w:rPr>
                <w:rFonts w:ascii="Arial Narrow" w:hAnsi="Arial Narrow"/>
                <w:sz w:val="20"/>
                <w:szCs w:val="20"/>
              </w:rPr>
              <w:t xml:space="preserve"> 025,</w:t>
            </w:r>
            <w:r w:rsidR="008353F4" w:rsidRPr="00497E12">
              <w:rPr>
                <w:rFonts w:ascii="Arial Narrow" w:hAnsi="Arial Narrow"/>
                <w:sz w:val="20"/>
                <w:szCs w:val="20"/>
              </w:rPr>
              <w:t xml:space="preserve"> </w:t>
            </w:r>
            <w:proofErr w:type="spellStart"/>
            <w:r w:rsidR="008353F4" w:rsidRPr="00497E12">
              <w:rPr>
                <w:rFonts w:ascii="Arial Narrow" w:hAnsi="Arial Narrow"/>
                <w:sz w:val="20"/>
                <w:szCs w:val="20"/>
              </w:rPr>
              <w:t>CHECKpoint</w:t>
            </w:r>
            <w:proofErr w:type="spellEnd"/>
            <w:r w:rsidR="008353F4" w:rsidRPr="00497E12">
              <w:rPr>
                <w:rFonts w:ascii="Arial Narrow" w:hAnsi="Arial Narrow"/>
                <w:sz w:val="20"/>
                <w:szCs w:val="20"/>
              </w:rPr>
              <w:t xml:space="preserve"> pathway and </w:t>
            </w:r>
            <w:proofErr w:type="spellStart"/>
            <w:r w:rsidR="008353F4" w:rsidRPr="00497E12">
              <w:rPr>
                <w:rFonts w:ascii="Arial Narrow" w:hAnsi="Arial Narrow"/>
                <w:sz w:val="20"/>
                <w:szCs w:val="20"/>
              </w:rPr>
              <w:t>nivoluma</w:t>
            </w:r>
            <w:r w:rsidRPr="00497E12">
              <w:rPr>
                <w:rFonts w:ascii="Arial Narrow" w:hAnsi="Arial Narrow"/>
                <w:sz w:val="20"/>
                <w:szCs w:val="20"/>
              </w:rPr>
              <w:t>b</w:t>
            </w:r>
            <w:proofErr w:type="spellEnd"/>
            <w:r w:rsidRPr="00497E12">
              <w:rPr>
                <w:rFonts w:ascii="Arial Narrow" w:hAnsi="Arial Narrow"/>
                <w:sz w:val="20"/>
                <w:szCs w:val="20"/>
              </w:rPr>
              <w:t xml:space="preserve"> clinical Trial Evaluation)</w:t>
            </w:r>
          </w:p>
          <w:p w:rsidR="00CF63F8" w:rsidRPr="00497E12" w:rsidRDefault="00CF63F8" w:rsidP="009C5C98">
            <w:pPr>
              <w:jc w:val="left"/>
              <w:rPr>
                <w:rFonts w:ascii="Arial Narrow" w:hAnsi="Arial Narrow"/>
                <w:sz w:val="20"/>
                <w:szCs w:val="20"/>
              </w:rPr>
            </w:pPr>
          </w:p>
          <w:p w:rsidR="00CF63F8" w:rsidRPr="00497E12" w:rsidRDefault="00CF63F8" w:rsidP="009C5C98">
            <w:pPr>
              <w:pStyle w:val="TableText0"/>
              <w:keepNext w:val="0"/>
              <w:spacing w:before="0" w:after="0"/>
              <w:rPr>
                <w:rFonts w:cs="Arial"/>
                <w:lang w:eastAsia="en-AU"/>
              </w:rPr>
            </w:pPr>
            <w:r w:rsidRPr="00497E12">
              <w:rPr>
                <w:szCs w:val="20"/>
              </w:rPr>
              <w:t xml:space="preserve">Motzer RJ, </w:t>
            </w:r>
            <w:proofErr w:type="spellStart"/>
            <w:r w:rsidRPr="00497E12">
              <w:rPr>
                <w:szCs w:val="20"/>
              </w:rPr>
              <w:t>Escudier</w:t>
            </w:r>
            <w:proofErr w:type="spellEnd"/>
            <w:r w:rsidRPr="00497E12">
              <w:rPr>
                <w:szCs w:val="20"/>
              </w:rPr>
              <w:t xml:space="preserve"> B, McDermott DF, et al. </w:t>
            </w:r>
            <w:proofErr w:type="spellStart"/>
            <w:r w:rsidRPr="00497E12">
              <w:rPr>
                <w:szCs w:val="20"/>
              </w:rPr>
              <w:t>Nivolumab</w:t>
            </w:r>
            <w:proofErr w:type="spellEnd"/>
            <w:r w:rsidRPr="00497E12">
              <w:rPr>
                <w:szCs w:val="20"/>
              </w:rPr>
              <w:t xml:space="preserve"> versus </w:t>
            </w:r>
            <w:proofErr w:type="spellStart"/>
            <w:r w:rsidRPr="00497E12">
              <w:rPr>
                <w:szCs w:val="20"/>
              </w:rPr>
              <w:t>everolimus</w:t>
            </w:r>
            <w:proofErr w:type="spellEnd"/>
            <w:r w:rsidRPr="00497E12">
              <w:rPr>
                <w:szCs w:val="20"/>
              </w:rPr>
              <w:t xml:space="preserve"> in advanced renal-cell carcinoma</w:t>
            </w:r>
          </w:p>
        </w:tc>
        <w:tc>
          <w:tcPr>
            <w:tcW w:w="1172" w:type="pct"/>
            <w:gridSpan w:val="2"/>
            <w:tcBorders>
              <w:top w:val="single" w:sz="4" w:space="0" w:color="auto"/>
              <w:left w:val="single" w:sz="4" w:space="0" w:color="auto"/>
              <w:bottom w:val="single" w:sz="4" w:space="0" w:color="auto"/>
              <w:right w:val="single" w:sz="4" w:space="0" w:color="auto"/>
            </w:tcBorders>
            <w:vAlign w:val="bottom"/>
          </w:tcPr>
          <w:p w:rsidR="00C64257" w:rsidRDefault="00C64257" w:rsidP="009C5C98">
            <w:pPr>
              <w:pStyle w:val="TableText0"/>
              <w:spacing w:before="0" w:after="0"/>
              <w:rPr>
                <w:szCs w:val="20"/>
              </w:rPr>
            </w:pPr>
          </w:p>
          <w:p w:rsidR="00C64257" w:rsidRDefault="00C64257" w:rsidP="009C5C98">
            <w:pPr>
              <w:pStyle w:val="TableText0"/>
              <w:spacing w:before="0" w:after="0"/>
              <w:rPr>
                <w:szCs w:val="20"/>
              </w:rPr>
            </w:pPr>
          </w:p>
          <w:p w:rsidR="00C64257" w:rsidRDefault="00C64257" w:rsidP="009C5C98">
            <w:pPr>
              <w:pStyle w:val="TableText0"/>
              <w:spacing w:before="0" w:after="0"/>
              <w:rPr>
                <w:szCs w:val="20"/>
              </w:rPr>
            </w:pPr>
          </w:p>
          <w:p w:rsidR="00CF63F8" w:rsidRPr="00497E12" w:rsidRDefault="00CF63F8" w:rsidP="009C5C98">
            <w:pPr>
              <w:pStyle w:val="TableText0"/>
              <w:spacing w:before="0" w:after="0"/>
              <w:rPr>
                <w:szCs w:val="20"/>
              </w:rPr>
            </w:pPr>
            <w:r w:rsidRPr="00497E12">
              <w:rPr>
                <w:szCs w:val="20"/>
              </w:rPr>
              <w:t>21 August 2015</w:t>
            </w:r>
          </w:p>
          <w:p w:rsidR="00CF63F8" w:rsidRPr="00497E12" w:rsidRDefault="00CF63F8" w:rsidP="009C5C98">
            <w:pPr>
              <w:pStyle w:val="TableText0"/>
              <w:spacing w:before="0" w:after="0"/>
              <w:rPr>
                <w:szCs w:val="20"/>
              </w:rPr>
            </w:pPr>
          </w:p>
          <w:p w:rsidR="00CF63F8" w:rsidRPr="00497E12" w:rsidRDefault="00CF63F8" w:rsidP="009C5C98">
            <w:pPr>
              <w:pStyle w:val="TableText0"/>
              <w:spacing w:before="0" w:after="0"/>
              <w:rPr>
                <w:szCs w:val="20"/>
              </w:rPr>
            </w:pPr>
          </w:p>
          <w:p w:rsidR="00CF63F8" w:rsidRPr="00497E12" w:rsidRDefault="00CF63F8" w:rsidP="009C5C98">
            <w:pPr>
              <w:pStyle w:val="TableText0"/>
              <w:keepNext w:val="0"/>
              <w:spacing w:before="0" w:after="0"/>
              <w:rPr>
                <w:rFonts w:cs="Arial"/>
                <w:lang w:eastAsia="en-AU"/>
              </w:rPr>
            </w:pPr>
            <w:r w:rsidRPr="00497E12">
              <w:rPr>
                <w:szCs w:val="20"/>
              </w:rPr>
              <w:t>NEJM. 2015; 373 (191): 1803-1813.</w:t>
            </w:r>
          </w:p>
        </w:tc>
      </w:tr>
      <w:tr w:rsidR="001475BB" w:rsidRPr="00497E12" w:rsidTr="001475BB">
        <w:tc>
          <w:tcPr>
            <w:tcW w:w="3828" w:type="pct"/>
            <w:gridSpan w:val="3"/>
            <w:tcBorders>
              <w:top w:val="single" w:sz="4" w:space="0" w:color="auto"/>
              <w:left w:val="single" w:sz="4" w:space="0" w:color="auto"/>
              <w:bottom w:val="single" w:sz="4" w:space="0" w:color="auto"/>
              <w:right w:val="single" w:sz="4" w:space="0" w:color="auto"/>
            </w:tcBorders>
          </w:tcPr>
          <w:p w:rsidR="001475BB" w:rsidRPr="00497E12" w:rsidRDefault="001475BB" w:rsidP="001D7F0C">
            <w:pPr>
              <w:pStyle w:val="TableText0"/>
              <w:spacing w:before="0" w:after="0"/>
              <w:rPr>
                <w:b/>
                <w:szCs w:val="20"/>
              </w:rPr>
            </w:pPr>
            <w:r w:rsidRPr="00497E12">
              <w:rPr>
                <w:rFonts w:cs="Arial"/>
                <w:b/>
                <w:lang w:eastAsia="en-AU"/>
              </w:rPr>
              <w:t>Supplementary analysis – trials included in the indirect comparisons</w:t>
            </w: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1475BB" w:rsidRPr="00497E12" w:rsidRDefault="001475BB" w:rsidP="001475BB">
            <w:pPr>
              <w:pStyle w:val="TableText0"/>
              <w:spacing w:before="0" w:after="0"/>
              <w:jc w:val="center"/>
              <w:rPr>
                <w:b/>
                <w:szCs w:val="20"/>
              </w:rPr>
            </w:pPr>
            <w:r w:rsidRPr="00497E12">
              <w:rPr>
                <w:b/>
                <w:szCs w:val="20"/>
              </w:rPr>
              <w:t>Comparable?</w:t>
            </w:r>
          </w:p>
        </w:tc>
      </w:tr>
      <w:tr w:rsidR="004D58C8" w:rsidRPr="00497E12" w:rsidTr="008A00D2">
        <w:tc>
          <w:tcPr>
            <w:tcW w:w="751"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pStyle w:val="TableText0"/>
              <w:keepNext w:val="0"/>
              <w:spacing w:before="0" w:after="0"/>
              <w:rPr>
                <w:rFonts w:cs="Arial"/>
                <w:lang w:eastAsia="en-AU"/>
              </w:rPr>
            </w:pPr>
            <w:r w:rsidRPr="00497E12">
              <w:rPr>
                <w:rFonts w:cs="Arial"/>
                <w:szCs w:val="20"/>
                <w:lang w:eastAsia="en-AU"/>
              </w:rPr>
              <w:t>RECORD-1 (</w:t>
            </w:r>
            <w:proofErr w:type="spellStart"/>
            <w:r w:rsidRPr="00497E12">
              <w:rPr>
                <w:rFonts w:cs="Arial"/>
                <w:szCs w:val="20"/>
                <w:lang w:eastAsia="en-AU"/>
              </w:rPr>
              <w:t>everolimus</w:t>
            </w:r>
            <w:proofErr w:type="spellEnd"/>
            <w:r w:rsidRPr="00497E12">
              <w:rPr>
                <w:rFonts w:cs="Arial"/>
                <w:szCs w:val="20"/>
                <w:lang w:eastAsia="en-AU"/>
              </w:rPr>
              <w:t xml:space="preserve"> vs. placebo)</w:t>
            </w:r>
          </w:p>
        </w:tc>
        <w:tc>
          <w:tcPr>
            <w:tcW w:w="600" w:type="pct"/>
            <w:tcBorders>
              <w:top w:val="single" w:sz="4" w:space="0" w:color="auto"/>
              <w:left w:val="single" w:sz="4" w:space="0" w:color="auto"/>
              <w:bottom w:val="single" w:sz="4" w:space="0" w:color="auto"/>
              <w:right w:val="single" w:sz="4" w:space="0" w:color="auto"/>
            </w:tcBorders>
          </w:tcPr>
          <w:p w:rsidR="004D58C8" w:rsidRPr="00497E12" w:rsidRDefault="006937C1" w:rsidP="004D58C8">
            <w:pPr>
              <w:pStyle w:val="TableText0"/>
              <w:keepNext w:val="0"/>
              <w:spacing w:before="0" w:after="0"/>
              <w:rPr>
                <w:rFonts w:cs="Arial"/>
                <w:lang w:eastAsia="en-AU"/>
              </w:rPr>
            </w:pPr>
            <w:r w:rsidRPr="00497E12">
              <w:rPr>
                <w:rFonts w:cs="Arial"/>
                <w:lang w:eastAsia="en-AU"/>
              </w:rPr>
              <w:t>R, DB, MC</w:t>
            </w:r>
          </w:p>
        </w:tc>
        <w:tc>
          <w:tcPr>
            <w:tcW w:w="2477"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jc w:val="left"/>
              <w:rPr>
                <w:rFonts w:ascii="Arial Narrow" w:hAnsi="Arial Narrow"/>
                <w:sz w:val="20"/>
                <w:szCs w:val="20"/>
              </w:rPr>
            </w:pPr>
            <w:r w:rsidRPr="00497E12">
              <w:rPr>
                <w:rFonts w:ascii="Arial Narrow" w:hAnsi="Arial Narrow"/>
                <w:sz w:val="20"/>
                <w:szCs w:val="20"/>
              </w:rPr>
              <w:t xml:space="preserve">Motzer RJ, </w:t>
            </w: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Oudard</w:t>
            </w:r>
            <w:proofErr w:type="spellEnd"/>
            <w:r w:rsidRPr="00497E12">
              <w:rPr>
                <w:rFonts w:ascii="Arial Narrow" w:hAnsi="Arial Narrow"/>
                <w:sz w:val="20"/>
                <w:szCs w:val="20"/>
              </w:rPr>
              <w:t xml:space="preserve"> S, et al. Phase 3 trial of </w:t>
            </w:r>
            <w:proofErr w:type="spellStart"/>
            <w:r w:rsidRPr="00497E12">
              <w:rPr>
                <w:rFonts w:ascii="Arial Narrow" w:hAnsi="Arial Narrow"/>
                <w:sz w:val="20"/>
                <w:szCs w:val="20"/>
              </w:rPr>
              <w:t>everolimus</w:t>
            </w:r>
            <w:proofErr w:type="spellEnd"/>
            <w:r w:rsidRPr="00497E12">
              <w:rPr>
                <w:rFonts w:ascii="Arial Narrow" w:hAnsi="Arial Narrow"/>
                <w:sz w:val="20"/>
                <w:szCs w:val="20"/>
              </w:rPr>
              <w:t xml:space="preserve"> for metastatic renal cell carcinoma: final results and analysis of prognostic factors</w:t>
            </w:r>
            <w:r w:rsidR="001475BB" w:rsidRPr="00497E12">
              <w:rPr>
                <w:rFonts w:ascii="Arial Narrow" w:hAnsi="Arial Narrow"/>
                <w:sz w:val="20"/>
                <w:szCs w:val="20"/>
              </w:rPr>
              <w:t>. Cancer. 2010; 116 (18): 4256-4265.</w:t>
            </w:r>
          </w:p>
          <w:p w:rsidR="004D58C8" w:rsidRPr="00497E12" w:rsidRDefault="004D58C8" w:rsidP="004D58C8">
            <w:pPr>
              <w:jc w:val="left"/>
              <w:rPr>
                <w:rFonts w:ascii="Arial Narrow" w:hAnsi="Arial Narrow"/>
                <w:sz w:val="20"/>
                <w:szCs w:val="20"/>
              </w:rPr>
            </w:pPr>
          </w:p>
          <w:p w:rsidR="004D58C8" w:rsidRPr="00497E12" w:rsidRDefault="004D58C8" w:rsidP="004D58C8">
            <w:pPr>
              <w:jc w:val="left"/>
              <w:rPr>
                <w:rFonts w:ascii="Arial Narrow" w:hAnsi="Arial Narrow"/>
                <w:sz w:val="20"/>
                <w:szCs w:val="20"/>
              </w:rPr>
            </w:pPr>
            <w:r w:rsidRPr="00497E12">
              <w:rPr>
                <w:rFonts w:ascii="Arial Narrow" w:hAnsi="Arial Narrow"/>
                <w:sz w:val="20"/>
                <w:szCs w:val="20"/>
              </w:rPr>
              <w:t xml:space="preserve">Motzer RJ, </w:t>
            </w: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Oudard</w:t>
            </w:r>
            <w:proofErr w:type="spellEnd"/>
            <w:r w:rsidRPr="00497E12">
              <w:rPr>
                <w:rFonts w:ascii="Arial Narrow" w:hAnsi="Arial Narrow"/>
                <w:sz w:val="20"/>
                <w:szCs w:val="20"/>
              </w:rPr>
              <w:t xml:space="preserve"> S, et al. Efficacy of </w:t>
            </w:r>
            <w:proofErr w:type="spellStart"/>
            <w:r w:rsidRPr="00497E12">
              <w:rPr>
                <w:rFonts w:ascii="Arial Narrow" w:hAnsi="Arial Narrow"/>
                <w:sz w:val="20"/>
                <w:szCs w:val="20"/>
              </w:rPr>
              <w:t>everolimus</w:t>
            </w:r>
            <w:proofErr w:type="spellEnd"/>
            <w:r w:rsidRPr="00497E12">
              <w:rPr>
                <w:rFonts w:ascii="Arial Narrow" w:hAnsi="Arial Narrow"/>
                <w:sz w:val="20"/>
                <w:szCs w:val="20"/>
              </w:rPr>
              <w:t xml:space="preserve"> in advanced renal cell carcinoma: a double-blind, randomised, pla</w:t>
            </w:r>
            <w:r w:rsidR="001475BB" w:rsidRPr="00497E12">
              <w:rPr>
                <w:rFonts w:ascii="Arial Narrow" w:hAnsi="Arial Narrow"/>
                <w:sz w:val="20"/>
                <w:szCs w:val="20"/>
              </w:rPr>
              <w:t>cebo-controlled phase III trial. Lancet. 2008; 372 (9637): 449-456.</w:t>
            </w: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4D58C8" w:rsidRPr="00497E12" w:rsidRDefault="004D58C8" w:rsidP="001475BB">
            <w:pPr>
              <w:pStyle w:val="TableText0"/>
              <w:keepNext w:val="0"/>
              <w:spacing w:before="0" w:after="0"/>
              <w:jc w:val="center"/>
              <w:rPr>
                <w:szCs w:val="20"/>
              </w:rPr>
            </w:pPr>
          </w:p>
          <w:p w:rsidR="004D58C8" w:rsidRPr="00497E12" w:rsidRDefault="001475BB" w:rsidP="001475BB">
            <w:pPr>
              <w:pStyle w:val="TableText0"/>
              <w:keepNext w:val="0"/>
              <w:spacing w:before="0" w:after="0"/>
              <w:jc w:val="center"/>
              <w:rPr>
                <w:szCs w:val="20"/>
              </w:rPr>
            </w:pPr>
            <w:r w:rsidRPr="00497E12">
              <w:rPr>
                <w:szCs w:val="20"/>
              </w:rPr>
              <w:t>No</w:t>
            </w:r>
          </w:p>
          <w:p w:rsidR="004D58C8" w:rsidRPr="00497E12" w:rsidRDefault="004D58C8" w:rsidP="001475BB">
            <w:pPr>
              <w:pStyle w:val="TableText0"/>
              <w:spacing w:before="0" w:after="0"/>
              <w:jc w:val="center"/>
              <w:rPr>
                <w:szCs w:val="20"/>
              </w:rPr>
            </w:pPr>
          </w:p>
        </w:tc>
      </w:tr>
      <w:tr w:rsidR="004D58C8" w:rsidRPr="00497E12" w:rsidTr="008A00D2">
        <w:tc>
          <w:tcPr>
            <w:tcW w:w="751"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pStyle w:val="TableText0"/>
              <w:keepNext w:val="0"/>
              <w:spacing w:before="0" w:after="0"/>
              <w:rPr>
                <w:rFonts w:cs="Arial"/>
                <w:szCs w:val="20"/>
                <w:lang w:eastAsia="en-AU"/>
              </w:rPr>
            </w:pPr>
            <w:r w:rsidRPr="00497E12">
              <w:rPr>
                <w:rFonts w:cs="Arial"/>
                <w:szCs w:val="20"/>
                <w:lang w:eastAsia="en-AU"/>
              </w:rPr>
              <w:t>TARGET</w:t>
            </w:r>
          </w:p>
          <w:p w:rsidR="004D58C8" w:rsidRPr="00497E12" w:rsidRDefault="004D58C8" w:rsidP="004D58C8">
            <w:pPr>
              <w:pStyle w:val="TableText0"/>
              <w:keepNext w:val="0"/>
              <w:spacing w:before="0" w:after="0"/>
              <w:rPr>
                <w:rFonts w:cs="Arial"/>
                <w:lang w:eastAsia="en-AU"/>
              </w:rPr>
            </w:pPr>
            <w:r w:rsidRPr="00497E12">
              <w:rPr>
                <w:rFonts w:cs="Arial"/>
                <w:szCs w:val="20"/>
                <w:lang w:eastAsia="en-AU"/>
              </w:rPr>
              <w:t>(</w:t>
            </w:r>
            <w:proofErr w:type="spellStart"/>
            <w:r w:rsidRPr="00497E12">
              <w:rPr>
                <w:rFonts w:cs="Arial"/>
                <w:szCs w:val="20"/>
                <w:lang w:eastAsia="en-AU"/>
              </w:rPr>
              <w:t>sorafenib</w:t>
            </w:r>
            <w:proofErr w:type="spellEnd"/>
            <w:r w:rsidRPr="00497E12">
              <w:rPr>
                <w:rFonts w:cs="Arial"/>
                <w:szCs w:val="20"/>
                <w:lang w:eastAsia="en-AU"/>
              </w:rPr>
              <w:t xml:space="preserve"> vs. placebo)</w:t>
            </w:r>
          </w:p>
        </w:tc>
        <w:tc>
          <w:tcPr>
            <w:tcW w:w="600" w:type="pct"/>
            <w:tcBorders>
              <w:top w:val="single" w:sz="4" w:space="0" w:color="auto"/>
              <w:left w:val="single" w:sz="4" w:space="0" w:color="auto"/>
              <w:bottom w:val="single" w:sz="4" w:space="0" w:color="auto"/>
              <w:right w:val="single" w:sz="4" w:space="0" w:color="auto"/>
            </w:tcBorders>
          </w:tcPr>
          <w:p w:rsidR="004D58C8" w:rsidRPr="00497E12" w:rsidRDefault="006937C1" w:rsidP="004D58C8">
            <w:pPr>
              <w:pStyle w:val="TableText0"/>
              <w:keepNext w:val="0"/>
              <w:spacing w:before="0" w:after="0"/>
              <w:rPr>
                <w:rFonts w:cs="Arial"/>
                <w:lang w:eastAsia="en-AU"/>
              </w:rPr>
            </w:pPr>
            <w:r w:rsidRPr="00497E12">
              <w:rPr>
                <w:rFonts w:cs="Arial"/>
                <w:lang w:eastAsia="en-AU"/>
              </w:rPr>
              <w:t>R, DB, MC</w:t>
            </w:r>
          </w:p>
        </w:tc>
        <w:tc>
          <w:tcPr>
            <w:tcW w:w="2477"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jc w:val="left"/>
              <w:rPr>
                <w:rFonts w:ascii="Arial Narrow" w:hAnsi="Arial Narrow"/>
                <w:sz w:val="20"/>
                <w:szCs w:val="20"/>
              </w:rPr>
            </w:pP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Eisen</w:t>
            </w:r>
            <w:proofErr w:type="spellEnd"/>
            <w:r w:rsidRPr="00497E12">
              <w:rPr>
                <w:rFonts w:ascii="Arial Narrow" w:hAnsi="Arial Narrow"/>
                <w:sz w:val="20"/>
                <w:szCs w:val="20"/>
              </w:rPr>
              <w:t xml:space="preserve"> T, </w:t>
            </w:r>
            <w:proofErr w:type="spellStart"/>
            <w:proofErr w:type="gramStart"/>
            <w:r w:rsidRPr="00497E12">
              <w:rPr>
                <w:rFonts w:ascii="Arial Narrow" w:hAnsi="Arial Narrow"/>
                <w:sz w:val="20"/>
                <w:szCs w:val="20"/>
              </w:rPr>
              <w:t>Stadler</w:t>
            </w:r>
            <w:proofErr w:type="spellEnd"/>
            <w:proofErr w:type="gramEnd"/>
            <w:r w:rsidRPr="00497E12">
              <w:rPr>
                <w:rFonts w:ascii="Arial Narrow" w:hAnsi="Arial Narrow"/>
                <w:sz w:val="20"/>
                <w:szCs w:val="20"/>
              </w:rPr>
              <w:t xml:space="preserve"> WM, et al. </w:t>
            </w:r>
            <w:proofErr w:type="spellStart"/>
            <w:r w:rsidRPr="00497E12">
              <w:rPr>
                <w:rFonts w:ascii="Arial Narrow" w:hAnsi="Arial Narrow"/>
                <w:sz w:val="20"/>
                <w:szCs w:val="20"/>
              </w:rPr>
              <w:t>Sorafenib</w:t>
            </w:r>
            <w:proofErr w:type="spellEnd"/>
            <w:r w:rsidRPr="00497E12">
              <w:rPr>
                <w:rFonts w:ascii="Arial Narrow" w:hAnsi="Arial Narrow"/>
                <w:sz w:val="20"/>
                <w:szCs w:val="20"/>
              </w:rPr>
              <w:t xml:space="preserve"> for treatment of renal cell carcinoma: Final efficacy and safety results of the phase III treatment approaches in renal cancer global evaluation trial.</w:t>
            </w:r>
            <w:r w:rsidR="001475BB" w:rsidRPr="00497E12">
              <w:rPr>
                <w:rFonts w:ascii="Arial Narrow" w:hAnsi="Arial Narrow"/>
                <w:sz w:val="20"/>
                <w:szCs w:val="20"/>
              </w:rPr>
              <w:t xml:space="preserve"> Journal of Clinical Oncology. 2009; 27 (20): 3312-3318.</w:t>
            </w:r>
          </w:p>
          <w:p w:rsidR="004D58C8" w:rsidRPr="00497E12" w:rsidRDefault="004D58C8" w:rsidP="004D58C8">
            <w:pPr>
              <w:jc w:val="left"/>
              <w:rPr>
                <w:rFonts w:ascii="Arial Narrow" w:hAnsi="Arial Narrow"/>
                <w:sz w:val="20"/>
                <w:szCs w:val="20"/>
              </w:rPr>
            </w:pPr>
          </w:p>
          <w:p w:rsidR="004D58C8" w:rsidRPr="00497E12" w:rsidRDefault="004D58C8" w:rsidP="004D58C8">
            <w:pPr>
              <w:jc w:val="left"/>
              <w:rPr>
                <w:rFonts w:ascii="Arial Narrow" w:hAnsi="Arial Narrow"/>
                <w:sz w:val="20"/>
                <w:szCs w:val="20"/>
              </w:rPr>
            </w:pP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Eisen</w:t>
            </w:r>
            <w:proofErr w:type="spellEnd"/>
            <w:r w:rsidRPr="00497E12">
              <w:rPr>
                <w:rFonts w:ascii="Arial Narrow" w:hAnsi="Arial Narrow"/>
                <w:sz w:val="20"/>
                <w:szCs w:val="20"/>
              </w:rPr>
              <w:t xml:space="preserve"> T, </w:t>
            </w:r>
            <w:proofErr w:type="spellStart"/>
            <w:r w:rsidRPr="00497E12">
              <w:rPr>
                <w:rFonts w:ascii="Arial Narrow" w:hAnsi="Arial Narrow"/>
                <w:sz w:val="20"/>
                <w:szCs w:val="20"/>
              </w:rPr>
              <w:t>Stadler</w:t>
            </w:r>
            <w:proofErr w:type="spellEnd"/>
            <w:r w:rsidRPr="00497E12">
              <w:rPr>
                <w:rFonts w:ascii="Arial Narrow" w:hAnsi="Arial Narrow"/>
                <w:sz w:val="20"/>
                <w:szCs w:val="20"/>
              </w:rPr>
              <w:t xml:space="preserve"> WM, et al. </w:t>
            </w:r>
            <w:proofErr w:type="spellStart"/>
            <w:r w:rsidRPr="00497E12">
              <w:rPr>
                <w:rFonts w:ascii="Arial Narrow" w:hAnsi="Arial Narrow"/>
                <w:sz w:val="20"/>
                <w:szCs w:val="20"/>
              </w:rPr>
              <w:t>Sorafenib</w:t>
            </w:r>
            <w:proofErr w:type="spellEnd"/>
            <w:r w:rsidRPr="00497E12">
              <w:rPr>
                <w:rFonts w:ascii="Arial Narrow" w:hAnsi="Arial Narrow"/>
                <w:sz w:val="20"/>
                <w:szCs w:val="20"/>
              </w:rPr>
              <w:t xml:space="preserve"> in advanced clear-cell renal-cell carcinoma</w:t>
            </w:r>
            <w:r w:rsidR="001475BB" w:rsidRPr="00497E12">
              <w:rPr>
                <w:rFonts w:ascii="Arial Narrow" w:hAnsi="Arial Narrow"/>
                <w:sz w:val="20"/>
                <w:szCs w:val="20"/>
              </w:rPr>
              <w:t>. The New England Journal of Medicine. 2007; 356 (2): 125-134.</w:t>
            </w: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4D58C8" w:rsidRPr="00497E12" w:rsidRDefault="004D58C8" w:rsidP="001475BB">
            <w:pPr>
              <w:pStyle w:val="TableText0"/>
              <w:keepNext w:val="0"/>
              <w:spacing w:before="0" w:after="0"/>
              <w:jc w:val="center"/>
              <w:rPr>
                <w:szCs w:val="20"/>
              </w:rPr>
            </w:pPr>
          </w:p>
          <w:p w:rsidR="004D58C8" w:rsidRPr="00497E12" w:rsidRDefault="004D58C8" w:rsidP="001475BB">
            <w:pPr>
              <w:pStyle w:val="TableText0"/>
              <w:keepNext w:val="0"/>
              <w:spacing w:before="0" w:after="0"/>
              <w:jc w:val="center"/>
              <w:rPr>
                <w:szCs w:val="20"/>
              </w:rPr>
            </w:pPr>
          </w:p>
          <w:p w:rsidR="004D58C8" w:rsidRPr="00497E12" w:rsidRDefault="001475BB" w:rsidP="001475BB">
            <w:pPr>
              <w:pStyle w:val="TableText0"/>
              <w:spacing w:before="0" w:after="0"/>
              <w:jc w:val="center"/>
              <w:rPr>
                <w:szCs w:val="20"/>
              </w:rPr>
            </w:pPr>
            <w:r w:rsidRPr="00497E12">
              <w:rPr>
                <w:szCs w:val="20"/>
              </w:rPr>
              <w:t>No</w:t>
            </w:r>
          </w:p>
        </w:tc>
      </w:tr>
      <w:tr w:rsidR="004D58C8" w:rsidRPr="00497E12" w:rsidTr="008A00D2">
        <w:tc>
          <w:tcPr>
            <w:tcW w:w="751"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pStyle w:val="TableText0"/>
              <w:keepNext w:val="0"/>
              <w:spacing w:before="0" w:after="0"/>
              <w:rPr>
                <w:rFonts w:cs="Arial"/>
                <w:lang w:eastAsia="en-AU"/>
              </w:rPr>
            </w:pPr>
            <w:r w:rsidRPr="00497E12">
              <w:rPr>
                <w:rFonts w:cs="Arial"/>
                <w:szCs w:val="20"/>
                <w:lang w:eastAsia="en-AU"/>
              </w:rPr>
              <w:t>AXIS (</w:t>
            </w:r>
            <w:proofErr w:type="spellStart"/>
            <w:r w:rsidRPr="00497E12">
              <w:rPr>
                <w:rFonts w:cs="Arial"/>
                <w:szCs w:val="20"/>
                <w:lang w:eastAsia="en-AU"/>
              </w:rPr>
              <w:t>axitinib</w:t>
            </w:r>
            <w:proofErr w:type="spellEnd"/>
            <w:r w:rsidRPr="00497E12">
              <w:rPr>
                <w:rFonts w:cs="Arial"/>
                <w:szCs w:val="20"/>
                <w:lang w:eastAsia="en-AU"/>
              </w:rPr>
              <w:t xml:space="preserve"> vs. </w:t>
            </w:r>
            <w:proofErr w:type="spellStart"/>
            <w:r w:rsidRPr="00497E12">
              <w:rPr>
                <w:rFonts w:cs="Arial"/>
                <w:szCs w:val="20"/>
                <w:lang w:eastAsia="en-AU"/>
              </w:rPr>
              <w:t>sorafenib</w:t>
            </w:r>
            <w:proofErr w:type="spellEnd"/>
            <w:r w:rsidRPr="00497E12">
              <w:rPr>
                <w:rFonts w:cs="Arial"/>
                <w:szCs w:val="20"/>
                <w:lang w:eastAsia="en-AU"/>
              </w:rPr>
              <w:t>)</w:t>
            </w:r>
          </w:p>
        </w:tc>
        <w:tc>
          <w:tcPr>
            <w:tcW w:w="600" w:type="pct"/>
            <w:tcBorders>
              <w:top w:val="single" w:sz="4" w:space="0" w:color="auto"/>
              <w:left w:val="single" w:sz="4" w:space="0" w:color="auto"/>
              <w:bottom w:val="single" w:sz="4" w:space="0" w:color="auto"/>
              <w:right w:val="single" w:sz="4" w:space="0" w:color="auto"/>
            </w:tcBorders>
          </w:tcPr>
          <w:p w:rsidR="004D58C8" w:rsidRPr="00497E12" w:rsidRDefault="006937C1" w:rsidP="004D58C8">
            <w:pPr>
              <w:pStyle w:val="TableText0"/>
              <w:keepNext w:val="0"/>
              <w:spacing w:before="0" w:after="0"/>
              <w:rPr>
                <w:rFonts w:cs="Arial"/>
                <w:lang w:eastAsia="en-AU"/>
              </w:rPr>
            </w:pPr>
            <w:r w:rsidRPr="00497E12">
              <w:rPr>
                <w:rFonts w:cs="Arial"/>
                <w:lang w:eastAsia="en-AU"/>
              </w:rPr>
              <w:t>R, OL, MC</w:t>
            </w:r>
          </w:p>
        </w:tc>
        <w:tc>
          <w:tcPr>
            <w:tcW w:w="2477" w:type="pct"/>
            <w:tcBorders>
              <w:top w:val="single" w:sz="4" w:space="0" w:color="auto"/>
              <w:left w:val="single" w:sz="4" w:space="0" w:color="auto"/>
              <w:bottom w:val="single" w:sz="4" w:space="0" w:color="auto"/>
              <w:right w:val="single" w:sz="4" w:space="0" w:color="auto"/>
            </w:tcBorders>
          </w:tcPr>
          <w:p w:rsidR="004D58C8" w:rsidRPr="00497E12" w:rsidRDefault="004D58C8" w:rsidP="004D58C8">
            <w:pPr>
              <w:jc w:val="left"/>
              <w:rPr>
                <w:rFonts w:ascii="Arial Narrow" w:hAnsi="Arial Narrow"/>
                <w:sz w:val="20"/>
                <w:szCs w:val="20"/>
              </w:rPr>
            </w:pPr>
            <w:r w:rsidRPr="00497E12">
              <w:rPr>
                <w:rFonts w:ascii="Arial Narrow" w:hAnsi="Arial Narrow"/>
                <w:sz w:val="20"/>
                <w:szCs w:val="20"/>
              </w:rPr>
              <w:t xml:space="preserve">Motzer RJ, </w:t>
            </w: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Tomczak</w:t>
            </w:r>
            <w:proofErr w:type="spellEnd"/>
            <w:r w:rsidRPr="00497E12">
              <w:rPr>
                <w:rFonts w:ascii="Arial Narrow" w:hAnsi="Arial Narrow"/>
                <w:sz w:val="20"/>
                <w:szCs w:val="20"/>
              </w:rPr>
              <w:t xml:space="preserve"> P, et al. </w:t>
            </w:r>
            <w:proofErr w:type="spellStart"/>
            <w:r w:rsidRPr="00497E12">
              <w:rPr>
                <w:rFonts w:ascii="Arial Narrow" w:hAnsi="Arial Narrow"/>
                <w:sz w:val="20"/>
                <w:szCs w:val="20"/>
              </w:rPr>
              <w:t>Axitinib</w:t>
            </w:r>
            <w:proofErr w:type="spellEnd"/>
            <w:r w:rsidRPr="00497E12">
              <w:rPr>
                <w:rFonts w:ascii="Arial Narrow" w:hAnsi="Arial Narrow"/>
                <w:sz w:val="20"/>
                <w:szCs w:val="20"/>
              </w:rPr>
              <w:t xml:space="preserve"> versus </w:t>
            </w:r>
            <w:proofErr w:type="spellStart"/>
            <w:r w:rsidRPr="00497E12">
              <w:rPr>
                <w:rFonts w:ascii="Arial Narrow" w:hAnsi="Arial Narrow"/>
                <w:sz w:val="20"/>
                <w:szCs w:val="20"/>
              </w:rPr>
              <w:t>sorafenib</w:t>
            </w:r>
            <w:proofErr w:type="spellEnd"/>
            <w:r w:rsidRPr="00497E12">
              <w:rPr>
                <w:rFonts w:ascii="Arial Narrow" w:hAnsi="Arial Narrow"/>
                <w:sz w:val="20"/>
                <w:szCs w:val="20"/>
              </w:rPr>
              <w:t xml:space="preserve"> as second-line treatment for advanced renal cell carcinoma: overall survival analysis and updated results from a randomised phase 3 trial</w:t>
            </w:r>
            <w:r w:rsidR="001475BB" w:rsidRPr="00497E12">
              <w:rPr>
                <w:rFonts w:ascii="Arial Narrow" w:hAnsi="Arial Narrow"/>
                <w:sz w:val="20"/>
                <w:szCs w:val="20"/>
              </w:rPr>
              <w:t>. The Lancet Oncology. 2013; 14 (6): 552-562.</w:t>
            </w:r>
          </w:p>
          <w:p w:rsidR="004D58C8" w:rsidRPr="00497E12" w:rsidRDefault="004D58C8" w:rsidP="004D58C8">
            <w:pPr>
              <w:jc w:val="left"/>
              <w:rPr>
                <w:rFonts w:ascii="Arial Narrow" w:hAnsi="Arial Narrow"/>
                <w:sz w:val="20"/>
                <w:szCs w:val="20"/>
              </w:rPr>
            </w:pPr>
          </w:p>
          <w:p w:rsidR="004D58C8" w:rsidRPr="00497E12" w:rsidRDefault="004D58C8" w:rsidP="004D58C8">
            <w:pPr>
              <w:jc w:val="left"/>
              <w:rPr>
                <w:rFonts w:ascii="Arial Narrow" w:hAnsi="Arial Narrow"/>
                <w:sz w:val="20"/>
                <w:szCs w:val="20"/>
              </w:rPr>
            </w:pPr>
            <w:proofErr w:type="spellStart"/>
            <w:r w:rsidRPr="00497E12">
              <w:rPr>
                <w:rFonts w:ascii="Arial Narrow" w:hAnsi="Arial Narrow"/>
                <w:sz w:val="20"/>
                <w:szCs w:val="20"/>
              </w:rPr>
              <w:t>Rin</w:t>
            </w:r>
            <w:proofErr w:type="spellEnd"/>
            <w:r w:rsidRPr="00497E12">
              <w:rPr>
                <w:rFonts w:ascii="Arial Narrow" w:hAnsi="Arial Narrow"/>
                <w:sz w:val="20"/>
                <w:szCs w:val="20"/>
              </w:rPr>
              <w:t xml:space="preserve"> BI, </w:t>
            </w:r>
            <w:proofErr w:type="spellStart"/>
            <w:r w:rsidRPr="00497E12">
              <w:rPr>
                <w:rFonts w:ascii="Arial Narrow" w:hAnsi="Arial Narrow"/>
                <w:sz w:val="20"/>
                <w:szCs w:val="20"/>
              </w:rPr>
              <w:t>Escudier</w:t>
            </w:r>
            <w:proofErr w:type="spellEnd"/>
            <w:r w:rsidRPr="00497E12">
              <w:rPr>
                <w:rFonts w:ascii="Arial Narrow" w:hAnsi="Arial Narrow"/>
                <w:sz w:val="20"/>
                <w:szCs w:val="20"/>
              </w:rPr>
              <w:t xml:space="preserve"> B, </w:t>
            </w:r>
            <w:proofErr w:type="spellStart"/>
            <w:r w:rsidRPr="00497E12">
              <w:rPr>
                <w:rFonts w:ascii="Arial Narrow" w:hAnsi="Arial Narrow"/>
                <w:sz w:val="20"/>
                <w:szCs w:val="20"/>
              </w:rPr>
              <w:t>Tomczak</w:t>
            </w:r>
            <w:proofErr w:type="spellEnd"/>
            <w:r w:rsidRPr="00497E12">
              <w:rPr>
                <w:rFonts w:ascii="Arial Narrow" w:hAnsi="Arial Narrow"/>
                <w:sz w:val="20"/>
                <w:szCs w:val="20"/>
              </w:rPr>
              <w:t xml:space="preserve"> P, et al. Comparative effectiveness of </w:t>
            </w:r>
            <w:proofErr w:type="spellStart"/>
            <w:r w:rsidRPr="00497E12">
              <w:rPr>
                <w:rFonts w:ascii="Arial Narrow" w:hAnsi="Arial Narrow"/>
                <w:sz w:val="20"/>
                <w:szCs w:val="20"/>
              </w:rPr>
              <w:t>axitinib</w:t>
            </w:r>
            <w:proofErr w:type="spellEnd"/>
            <w:r w:rsidRPr="00497E12">
              <w:rPr>
                <w:rFonts w:ascii="Arial Narrow" w:hAnsi="Arial Narrow"/>
                <w:sz w:val="20"/>
                <w:szCs w:val="20"/>
              </w:rPr>
              <w:t xml:space="preserve"> versus </w:t>
            </w:r>
            <w:proofErr w:type="spellStart"/>
            <w:r w:rsidRPr="00497E12">
              <w:rPr>
                <w:rFonts w:ascii="Arial Narrow" w:hAnsi="Arial Narrow"/>
                <w:sz w:val="20"/>
                <w:szCs w:val="20"/>
              </w:rPr>
              <w:t>sorafenib</w:t>
            </w:r>
            <w:proofErr w:type="spellEnd"/>
            <w:r w:rsidRPr="00497E12">
              <w:rPr>
                <w:rFonts w:ascii="Arial Narrow" w:hAnsi="Arial Narrow"/>
                <w:sz w:val="20"/>
                <w:szCs w:val="20"/>
              </w:rPr>
              <w:t xml:space="preserve"> in advanced renal cell carcinoma (AXIS): a randomised phase 3 trial</w:t>
            </w:r>
            <w:r w:rsidR="001475BB" w:rsidRPr="00497E12">
              <w:rPr>
                <w:rFonts w:ascii="Arial Narrow" w:hAnsi="Arial Narrow"/>
                <w:sz w:val="20"/>
                <w:szCs w:val="20"/>
              </w:rPr>
              <w:t>. Lancet. 2011; 378 (9807):1931-1939.</w:t>
            </w:r>
          </w:p>
        </w:tc>
        <w:tc>
          <w:tcPr>
            <w:tcW w:w="1172" w:type="pct"/>
            <w:gridSpan w:val="2"/>
            <w:tcBorders>
              <w:top w:val="single" w:sz="4" w:space="0" w:color="auto"/>
              <w:left w:val="single" w:sz="4" w:space="0" w:color="auto"/>
              <w:bottom w:val="single" w:sz="4" w:space="0" w:color="auto"/>
              <w:right w:val="single" w:sz="4" w:space="0" w:color="auto"/>
            </w:tcBorders>
            <w:vAlign w:val="center"/>
          </w:tcPr>
          <w:p w:rsidR="00062BDB" w:rsidRPr="00497E12" w:rsidRDefault="00062BDB" w:rsidP="00062BDB">
            <w:pPr>
              <w:pStyle w:val="TableText0"/>
              <w:keepNext w:val="0"/>
              <w:spacing w:before="0" w:after="0"/>
              <w:jc w:val="center"/>
              <w:rPr>
                <w:szCs w:val="20"/>
              </w:rPr>
            </w:pPr>
          </w:p>
          <w:p w:rsidR="004D58C8" w:rsidRPr="00497E12" w:rsidRDefault="001475BB" w:rsidP="00062BDB">
            <w:pPr>
              <w:pStyle w:val="TableText0"/>
              <w:keepNext w:val="0"/>
              <w:spacing w:before="0" w:after="0"/>
              <w:jc w:val="center"/>
              <w:rPr>
                <w:szCs w:val="20"/>
              </w:rPr>
            </w:pPr>
            <w:r w:rsidRPr="00497E12">
              <w:rPr>
                <w:szCs w:val="20"/>
              </w:rPr>
              <w:t>No</w:t>
            </w:r>
          </w:p>
        </w:tc>
      </w:tr>
    </w:tbl>
    <w:p w:rsidR="00CF63F8" w:rsidRPr="00497E12" w:rsidRDefault="00CF63F8" w:rsidP="00CF63F8">
      <w:pPr>
        <w:ind w:left="709"/>
        <w:rPr>
          <w:rStyle w:val="CommentReference"/>
          <w:b w:val="0"/>
          <w:sz w:val="18"/>
        </w:rPr>
      </w:pPr>
      <w:r w:rsidRPr="00497E12">
        <w:rPr>
          <w:rStyle w:val="CommentReference"/>
          <w:b w:val="0"/>
          <w:sz w:val="18"/>
        </w:rPr>
        <w:t>Source: Table 10, p39 of the submission.</w:t>
      </w:r>
    </w:p>
    <w:p w:rsidR="00CF63F8" w:rsidRPr="00497E12" w:rsidRDefault="00CF63F8" w:rsidP="00CF63F8">
      <w:pPr>
        <w:ind w:left="709"/>
        <w:rPr>
          <w:rStyle w:val="CommentReference"/>
          <w:b w:val="0"/>
          <w:sz w:val="18"/>
        </w:rPr>
      </w:pPr>
      <w:r w:rsidRPr="00497E12">
        <w:rPr>
          <w:rStyle w:val="CommentReference"/>
          <w:b w:val="0"/>
          <w:sz w:val="18"/>
        </w:rPr>
        <w:t xml:space="preserve">Abbreviations: </w:t>
      </w:r>
      <w:r w:rsidR="006937C1" w:rsidRPr="00497E12">
        <w:rPr>
          <w:rStyle w:val="CommentReference"/>
          <w:b w:val="0"/>
          <w:sz w:val="18"/>
        </w:rPr>
        <w:t xml:space="preserve">DB=double blind; </w:t>
      </w:r>
      <w:r w:rsidRPr="00497E12">
        <w:rPr>
          <w:rStyle w:val="CommentReference"/>
          <w:b w:val="0"/>
          <w:sz w:val="18"/>
        </w:rPr>
        <w:t>MC=multicentre; OL=open-label; R=randomised.</w:t>
      </w:r>
    </w:p>
    <w:p w:rsidR="001F573F" w:rsidRPr="00497E12" w:rsidRDefault="001F573F" w:rsidP="00C230F8"/>
    <w:p w:rsidR="001B7FC7" w:rsidRPr="00497E12" w:rsidRDefault="00AB4E1C" w:rsidP="00A45A8D">
      <w:pPr>
        <w:pStyle w:val="ListParagraph"/>
        <w:widowControl/>
        <w:numPr>
          <w:ilvl w:val="1"/>
          <w:numId w:val="24"/>
        </w:numPr>
        <w:ind w:left="851" w:hanging="851"/>
      </w:pPr>
      <w:r w:rsidRPr="00497E12">
        <w:rPr>
          <w:szCs w:val="22"/>
        </w:rPr>
        <w:t>The submission claimed that the results of the indirect comparisons were considered uninformative because of (</w:t>
      </w:r>
      <w:proofErr w:type="spellStart"/>
      <w:r w:rsidRPr="00497E12">
        <w:rPr>
          <w:szCs w:val="22"/>
        </w:rPr>
        <w:t>i</w:t>
      </w:r>
      <w:proofErr w:type="spellEnd"/>
      <w:r w:rsidRPr="00497E12">
        <w:rPr>
          <w:szCs w:val="22"/>
        </w:rPr>
        <w:t xml:space="preserve">) </w:t>
      </w:r>
      <w:r w:rsidRPr="00497E12">
        <w:t>poor exchangeability of the trials, (ii) extensive cross-over in the placebo controlled trials (RECORD-1 and TARGET), and (iii) uncertainty associated with the nature of the indirect comparison. This was reasonable. The results of the indirect comparisons were not used to make any key clinical or economic claims in the s</w:t>
      </w:r>
      <w:r w:rsidR="00B96333" w:rsidRPr="00497E12">
        <w:t>ubmission.</w:t>
      </w:r>
    </w:p>
    <w:p w:rsidR="00AB4E1C" w:rsidRPr="00497E12" w:rsidRDefault="00AB4E1C" w:rsidP="00AB4E1C">
      <w:pPr>
        <w:widowControl/>
      </w:pPr>
    </w:p>
    <w:p w:rsidR="00CF63F8" w:rsidRPr="00497E12" w:rsidRDefault="00CF63F8" w:rsidP="00A45A8D">
      <w:pPr>
        <w:pStyle w:val="ListParagraph"/>
        <w:widowControl/>
        <w:numPr>
          <w:ilvl w:val="1"/>
          <w:numId w:val="24"/>
        </w:numPr>
        <w:ind w:left="851" w:hanging="851"/>
      </w:pPr>
      <w:r w:rsidRPr="00497E12">
        <w:t xml:space="preserve">The key features of the randomised trial used in the head-to-head comparison of </w:t>
      </w:r>
      <w:proofErr w:type="spellStart"/>
      <w:r w:rsidRPr="00497E12">
        <w:t>nivolumab</w:t>
      </w:r>
      <w:proofErr w:type="spellEnd"/>
      <w:r w:rsidRPr="00497E12">
        <w:t xml:space="preserve"> and </w:t>
      </w:r>
      <w:proofErr w:type="spellStart"/>
      <w:r w:rsidRPr="00497E12">
        <w:t>everolimus</w:t>
      </w:r>
      <w:proofErr w:type="spellEnd"/>
      <w:r w:rsidRPr="00497E12">
        <w:t xml:space="preserve"> are summarised in the table below.</w:t>
      </w:r>
    </w:p>
    <w:p w:rsidR="00CF63F8" w:rsidRPr="00497E12" w:rsidRDefault="00CF63F8" w:rsidP="00CF63F8">
      <w:pPr>
        <w:widowControl/>
        <w:rPr>
          <w:szCs w:val="22"/>
        </w:rPr>
      </w:pPr>
    </w:p>
    <w:p w:rsidR="00CF63F8" w:rsidRPr="00497E12" w:rsidRDefault="00CF63F8" w:rsidP="00CF63F8">
      <w:pPr>
        <w:ind w:left="709"/>
        <w:rPr>
          <w:rFonts w:ascii="Arial Narrow" w:hAnsi="Arial Narrow"/>
          <w:b/>
          <w:sz w:val="20"/>
        </w:rPr>
      </w:pPr>
      <w:r w:rsidRPr="00497E12">
        <w:rPr>
          <w:rFonts w:ascii="Arial Narrow" w:hAnsi="Arial Narrow"/>
          <w:b/>
          <w:sz w:val="20"/>
        </w:rPr>
        <w:lastRenderedPageBreak/>
        <w:t>Table 2: Key features of the included evidence</w:t>
      </w:r>
    </w:p>
    <w:tbl>
      <w:tblPr>
        <w:tblStyle w:val="TableGrid"/>
        <w:tblW w:w="4604" w:type="pct"/>
        <w:tblInd w:w="737" w:type="dxa"/>
        <w:tblCellMar>
          <w:left w:w="28" w:type="dxa"/>
          <w:right w:w="28" w:type="dxa"/>
        </w:tblCellMar>
        <w:tblLook w:val="04A0" w:firstRow="1" w:lastRow="0" w:firstColumn="1" w:lastColumn="0" w:noHBand="0" w:noVBand="1"/>
        <w:tblCaption w:val="Table 2: Key features of the included evidence"/>
      </w:tblPr>
      <w:tblGrid>
        <w:gridCol w:w="754"/>
        <w:gridCol w:w="412"/>
        <w:gridCol w:w="2382"/>
        <w:gridCol w:w="1131"/>
        <w:gridCol w:w="1402"/>
        <w:gridCol w:w="2283"/>
      </w:tblGrid>
      <w:tr w:rsidR="00CF63F8" w:rsidRPr="00497E12" w:rsidTr="009C5C98">
        <w:trPr>
          <w:tblHeader/>
        </w:trPr>
        <w:tc>
          <w:tcPr>
            <w:tcW w:w="451" w:type="pct"/>
            <w:vAlign w:val="center"/>
          </w:tcPr>
          <w:p w:rsidR="00CF63F8" w:rsidRPr="00497E12" w:rsidRDefault="00CF63F8" w:rsidP="009C5C98">
            <w:pPr>
              <w:jc w:val="left"/>
              <w:rPr>
                <w:rFonts w:ascii="Arial Narrow" w:hAnsi="Arial Narrow"/>
                <w:b/>
                <w:sz w:val="20"/>
              </w:rPr>
            </w:pPr>
            <w:r w:rsidRPr="00497E12">
              <w:rPr>
                <w:rFonts w:ascii="Arial Narrow" w:hAnsi="Arial Narrow"/>
                <w:b/>
                <w:sz w:val="20"/>
              </w:rPr>
              <w:t>Trial ID</w:t>
            </w:r>
          </w:p>
        </w:tc>
        <w:tc>
          <w:tcPr>
            <w:tcW w:w="246" w:type="pct"/>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N</w:t>
            </w:r>
          </w:p>
        </w:tc>
        <w:tc>
          <w:tcPr>
            <w:tcW w:w="1424" w:type="pct"/>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Comparison</w:t>
            </w:r>
          </w:p>
        </w:tc>
        <w:tc>
          <w:tcPr>
            <w:tcW w:w="676" w:type="pct"/>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Trial design</w:t>
            </w:r>
          </w:p>
        </w:tc>
        <w:tc>
          <w:tcPr>
            <w:tcW w:w="838" w:type="pct"/>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Primary outcome</w:t>
            </w:r>
          </w:p>
        </w:tc>
        <w:tc>
          <w:tcPr>
            <w:tcW w:w="1365" w:type="pct"/>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Use in the economic evaluation</w:t>
            </w:r>
          </w:p>
        </w:tc>
      </w:tr>
      <w:tr w:rsidR="00CF63F8" w:rsidRPr="00497E12" w:rsidTr="009C5C98">
        <w:tc>
          <w:tcPr>
            <w:tcW w:w="451" w:type="pct"/>
            <w:vAlign w:val="center"/>
          </w:tcPr>
          <w:p w:rsidR="00CF63F8" w:rsidRPr="00497E12" w:rsidRDefault="00CF63F8" w:rsidP="009C5C98">
            <w:pPr>
              <w:jc w:val="left"/>
              <w:rPr>
                <w:rFonts w:ascii="Arial Narrow" w:hAnsi="Arial Narrow"/>
                <w:sz w:val="20"/>
              </w:rPr>
            </w:pPr>
            <w:r w:rsidRPr="00497E12">
              <w:rPr>
                <w:rFonts w:ascii="Arial Narrow" w:hAnsi="Arial Narrow"/>
                <w:sz w:val="20"/>
              </w:rPr>
              <w:t>CA209-025</w:t>
            </w:r>
          </w:p>
        </w:tc>
        <w:tc>
          <w:tcPr>
            <w:tcW w:w="246" w:type="pct"/>
            <w:vAlign w:val="center"/>
          </w:tcPr>
          <w:p w:rsidR="00CF63F8" w:rsidRPr="00497E12" w:rsidRDefault="00CF63F8" w:rsidP="009C5C98">
            <w:pPr>
              <w:jc w:val="center"/>
              <w:rPr>
                <w:rFonts w:ascii="Arial Narrow" w:hAnsi="Arial Narrow"/>
                <w:sz w:val="20"/>
              </w:rPr>
            </w:pPr>
            <w:r w:rsidRPr="00497E12">
              <w:rPr>
                <w:rFonts w:ascii="Arial Narrow" w:hAnsi="Arial Narrow"/>
                <w:sz w:val="20"/>
              </w:rPr>
              <w:t>821</w:t>
            </w:r>
          </w:p>
        </w:tc>
        <w:tc>
          <w:tcPr>
            <w:tcW w:w="1424" w:type="pct"/>
            <w:vAlign w:val="center"/>
          </w:tcPr>
          <w:p w:rsidR="00CF63F8" w:rsidRPr="00497E12" w:rsidRDefault="00CF63F8" w:rsidP="009C5C98">
            <w:pPr>
              <w:jc w:val="center"/>
              <w:rPr>
                <w:rFonts w:ascii="Arial Narrow" w:hAnsi="Arial Narrow"/>
                <w:sz w:val="20"/>
                <w:highlight w:val="yellow"/>
              </w:rPr>
            </w:pPr>
            <w:proofErr w:type="spellStart"/>
            <w:r w:rsidRPr="00497E12">
              <w:rPr>
                <w:rFonts w:ascii="Arial Narrow" w:hAnsi="Arial Narrow"/>
                <w:sz w:val="20"/>
              </w:rPr>
              <w:t>Nivolumab</w:t>
            </w:r>
            <w:proofErr w:type="spellEnd"/>
            <w:r w:rsidRPr="00497E12">
              <w:rPr>
                <w:rFonts w:ascii="Arial Narrow" w:hAnsi="Arial Narrow"/>
                <w:sz w:val="20"/>
              </w:rPr>
              <w:t xml:space="preserve"> 3mg/kg Q2W n=410</w:t>
            </w:r>
          </w:p>
          <w:p w:rsidR="00CF63F8" w:rsidRPr="00497E12" w:rsidRDefault="00CF63F8" w:rsidP="009C5C98">
            <w:pPr>
              <w:jc w:val="center"/>
              <w:rPr>
                <w:rFonts w:ascii="Arial Narrow" w:hAnsi="Arial Narrow"/>
                <w:sz w:val="20"/>
                <w:highlight w:val="yellow"/>
              </w:rPr>
            </w:pPr>
            <w:proofErr w:type="spellStart"/>
            <w:r w:rsidRPr="00497E12">
              <w:rPr>
                <w:rFonts w:ascii="Arial Narrow" w:hAnsi="Arial Narrow"/>
                <w:sz w:val="20"/>
              </w:rPr>
              <w:t>Everolimus</w:t>
            </w:r>
            <w:proofErr w:type="spellEnd"/>
            <w:r w:rsidRPr="00497E12">
              <w:rPr>
                <w:rFonts w:ascii="Arial Narrow" w:hAnsi="Arial Narrow"/>
                <w:sz w:val="20"/>
              </w:rPr>
              <w:t xml:space="preserve"> 10mg </w:t>
            </w:r>
            <w:proofErr w:type="spellStart"/>
            <w:r w:rsidRPr="00497E12">
              <w:rPr>
                <w:rFonts w:ascii="Arial Narrow" w:hAnsi="Arial Narrow"/>
                <w:sz w:val="20"/>
              </w:rPr>
              <w:t>po</w:t>
            </w:r>
            <w:proofErr w:type="spellEnd"/>
            <w:r w:rsidRPr="00497E12">
              <w:rPr>
                <w:rFonts w:ascii="Arial Narrow" w:hAnsi="Arial Narrow"/>
                <w:sz w:val="20"/>
              </w:rPr>
              <w:t xml:space="preserve"> n=411</w:t>
            </w:r>
          </w:p>
        </w:tc>
        <w:tc>
          <w:tcPr>
            <w:tcW w:w="676" w:type="pct"/>
            <w:vAlign w:val="center"/>
          </w:tcPr>
          <w:p w:rsidR="00CF63F8" w:rsidRPr="00497E12" w:rsidRDefault="00CF63F8" w:rsidP="009C5C98">
            <w:pPr>
              <w:jc w:val="center"/>
              <w:rPr>
                <w:rFonts w:ascii="Arial Narrow" w:hAnsi="Arial Narrow"/>
                <w:sz w:val="20"/>
              </w:rPr>
            </w:pPr>
            <w:r w:rsidRPr="00497E12">
              <w:rPr>
                <w:rFonts w:ascii="Arial Narrow" w:hAnsi="Arial Narrow"/>
                <w:sz w:val="20"/>
              </w:rPr>
              <w:t xml:space="preserve">Phase III </w:t>
            </w:r>
          </w:p>
          <w:p w:rsidR="00CF63F8" w:rsidRPr="00497E12" w:rsidRDefault="00CF63F8" w:rsidP="009C5C98">
            <w:pPr>
              <w:jc w:val="center"/>
              <w:rPr>
                <w:rFonts w:ascii="Arial Narrow" w:hAnsi="Arial Narrow"/>
                <w:sz w:val="20"/>
              </w:rPr>
            </w:pPr>
            <w:r w:rsidRPr="00497E12">
              <w:rPr>
                <w:rFonts w:ascii="Arial Narrow" w:hAnsi="Arial Narrow"/>
                <w:sz w:val="20"/>
              </w:rPr>
              <w:t>R, OL, MC</w:t>
            </w:r>
          </w:p>
        </w:tc>
        <w:tc>
          <w:tcPr>
            <w:tcW w:w="838" w:type="pct"/>
            <w:vAlign w:val="center"/>
          </w:tcPr>
          <w:p w:rsidR="00CF63F8" w:rsidRPr="00497E12" w:rsidRDefault="00CF63F8" w:rsidP="009C5C98">
            <w:pPr>
              <w:jc w:val="center"/>
              <w:rPr>
                <w:rFonts w:ascii="Arial Narrow" w:hAnsi="Arial Narrow"/>
                <w:sz w:val="20"/>
              </w:rPr>
            </w:pPr>
            <w:r w:rsidRPr="00497E12">
              <w:rPr>
                <w:rFonts w:ascii="Arial Narrow" w:hAnsi="Arial Narrow"/>
                <w:sz w:val="20"/>
              </w:rPr>
              <w:t>Overall survival</w:t>
            </w:r>
          </w:p>
        </w:tc>
        <w:tc>
          <w:tcPr>
            <w:tcW w:w="1365" w:type="pct"/>
            <w:vAlign w:val="center"/>
          </w:tcPr>
          <w:p w:rsidR="00CF63F8" w:rsidRPr="00497E12" w:rsidRDefault="00CF63F8" w:rsidP="009C5C98">
            <w:pPr>
              <w:jc w:val="center"/>
              <w:rPr>
                <w:rFonts w:ascii="Arial Narrow" w:hAnsi="Arial Narrow"/>
                <w:sz w:val="20"/>
              </w:rPr>
            </w:pPr>
            <w:r w:rsidRPr="00497E12">
              <w:rPr>
                <w:rFonts w:ascii="Arial Narrow" w:hAnsi="Arial Narrow"/>
                <w:sz w:val="20"/>
              </w:rPr>
              <w:t>Extrapolated survival data</w:t>
            </w:r>
          </w:p>
        </w:tc>
      </w:tr>
    </w:tbl>
    <w:p w:rsidR="00CF63F8" w:rsidRPr="00497E12" w:rsidRDefault="00CF63F8" w:rsidP="00CF63F8">
      <w:pPr>
        <w:ind w:left="709"/>
        <w:rPr>
          <w:rFonts w:ascii="Arial Narrow" w:hAnsi="Arial Narrow"/>
          <w:sz w:val="18"/>
          <w:szCs w:val="18"/>
        </w:rPr>
      </w:pPr>
      <w:r w:rsidRPr="00497E12">
        <w:rPr>
          <w:rFonts w:ascii="Arial Narrow" w:hAnsi="Arial Narrow"/>
          <w:sz w:val="18"/>
          <w:szCs w:val="18"/>
        </w:rPr>
        <w:t>Source: Table 11, p42 of the submission.</w:t>
      </w:r>
    </w:p>
    <w:p w:rsidR="00CF63F8" w:rsidRPr="00497E12" w:rsidRDefault="00CF63F8" w:rsidP="00CF63F8">
      <w:pPr>
        <w:ind w:left="709"/>
        <w:rPr>
          <w:rFonts w:ascii="Arial Narrow" w:hAnsi="Arial Narrow"/>
          <w:sz w:val="18"/>
          <w:szCs w:val="18"/>
        </w:rPr>
      </w:pPr>
      <w:r w:rsidRPr="00497E12">
        <w:rPr>
          <w:rFonts w:ascii="Arial Narrow" w:hAnsi="Arial Narrow"/>
          <w:sz w:val="18"/>
          <w:szCs w:val="18"/>
        </w:rPr>
        <w:t xml:space="preserve">Abbreviations: MC=multicentre; </w:t>
      </w:r>
      <w:proofErr w:type="spellStart"/>
      <w:r w:rsidRPr="00497E12">
        <w:rPr>
          <w:rFonts w:ascii="Arial Narrow" w:hAnsi="Arial Narrow"/>
          <w:sz w:val="18"/>
          <w:szCs w:val="18"/>
        </w:rPr>
        <w:t>po</w:t>
      </w:r>
      <w:proofErr w:type="spellEnd"/>
      <w:r w:rsidRPr="00497E12">
        <w:rPr>
          <w:rFonts w:ascii="Arial Narrow" w:hAnsi="Arial Narrow"/>
          <w:sz w:val="18"/>
          <w:szCs w:val="18"/>
        </w:rPr>
        <w:t xml:space="preserve">=oral administration; OL=open-label; Q2W=every two weeks; R=randomised. </w:t>
      </w:r>
    </w:p>
    <w:p w:rsidR="00CF63F8" w:rsidRPr="00497E12" w:rsidRDefault="00CF63F8" w:rsidP="00CF63F8">
      <w:pPr>
        <w:widowControl/>
        <w:rPr>
          <w:szCs w:val="22"/>
        </w:rPr>
      </w:pPr>
    </w:p>
    <w:p w:rsidR="00345E1E" w:rsidRPr="00497E12" w:rsidRDefault="004C1D73" w:rsidP="00A45A8D">
      <w:pPr>
        <w:pStyle w:val="ListParagraph"/>
        <w:widowControl/>
        <w:numPr>
          <w:ilvl w:val="1"/>
          <w:numId w:val="24"/>
        </w:numPr>
        <w:ind w:left="851" w:hanging="851"/>
      </w:pPr>
      <w:r w:rsidRPr="00497E12">
        <w:t xml:space="preserve">As the pre-specified boundary for significance was crossed at the first interim analysis of overall survival (OS), CA209-025 was terminated early to allow the </w:t>
      </w:r>
      <w:proofErr w:type="spellStart"/>
      <w:r w:rsidRPr="00497E12">
        <w:t>everolimus</w:t>
      </w:r>
      <w:proofErr w:type="spellEnd"/>
      <w:r w:rsidRPr="00497E12">
        <w:t xml:space="preserve"> treated patients to receive </w:t>
      </w:r>
      <w:proofErr w:type="spellStart"/>
      <w:r w:rsidRPr="00497E12">
        <w:t>nivolumab</w:t>
      </w:r>
      <w:proofErr w:type="spellEnd"/>
      <w:r w:rsidRPr="00497E12">
        <w:t>. The outcomes presented in the submission were based on the 18 June 2015 database lock and were not confounded by cross-over.</w:t>
      </w:r>
    </w:p>
    <w:p w:rsidR="00CF63F8" w:rsidRPr="00497E12" w:rsidRDefault="00CF63F8" w:rsidP="00157273">
      <w:pPr>
        <w:widowControl/>
      </w:pPr>
    </w:p>
    <w:p w:rsidR="00CF63F8" w:rsidRPr="00497E12" w:rsidRDefault="00CF63F8" w:rsidP="00A45A8D">
      <w:pPr>
        <w:pStyle w:val="ListParagraph"/>
        <w:widowControl/>
        <w:numPr>
          <w:ilvl w:val="1"/>
          <w:numId w:val="24"/>
        </w:numPr>
        <w:ind w:left="851" w:hanging="851"/>
      </w:pPr>
      <w:r w:rsidRPr="00497E12">
        <w:t>There were two key consequences o</w:t>
      </w:r>
      <w:r w:rsidR="00882EDD" w:rsidRPr="00497E12">
        <w:t>f</w:t>
      </w:r>
      <w:r w:rsidRPr="00497E12">
        <w:t xml:space="preserve"> the early termination of the trial:</w:t>
      </w:r>
    </w:p>
    <w:p w:rsidR="00CF63F8" w:rsidRPr="00497E12" w:rsidRDefault="00CF63F8" w:rsidP="00400464">
      <w:pPr>
        <w:pStyle w:val="ListParagraph"/>
        <w:widowControl/>
        <w:numPr>
          <w:ilvl w:val="0"/>
          <w:numId w:val="3"/>
        </w:numPr>
      </w:pPr>
      <w:r w:rsidRPr="00497E12">
        <w:t xml:space="preserve">The mean duration of therapy was likely to have been underestimated. Patients in both treatment arms (16.3% for </w:t>
      </w:r>
      <w:proofErr w:type="spellStart"/>
      <w:r w:rsidRPr="00497E12">
        <w:t>nivolumab</w:t>
      </w:r>
      <w:proofErr w:type="spellEnd"/>
      <w:r w:rsidRPr="00497E12">
        <w:t xml:space="preserve">; 6.8% for </w:t>
      </w:r>
      <w:proofErr w:type="spellStart"/>
      <w:r w:rsidRPr="00497E12">
        <w:t>everolimus</w:t>
      </w:r>
      <w:proofErr w:type="spellEnd"/>
      <w:r w:rsidRPr="00497E12">
        <w:t>) were continuing therapy at time of the database lock.</w:t>
      </w:r>
    </w:p>
    <w:p w:rsidR="00CF63F8" w:rsidRPr="00497E12" w:rsidRDefault="00CF63F8" w:rsidP="00400464">
      <w:pPr>
        <w:pStyle w:val="ListParagraph"/>
        <w:widowControl/>
        <w:numPr>
          <w:ilvl w:val="0"/>
          <w:numId w:val="3"/>
        </w:numPr>
      </w:pPr>
      <w:r w:rsidRPr="00497E12">
        <w:t xml:space="preserve">The treatment effect on OS </w:t>
      </w:r>
      <w:r w:rsidR="00062BDB" w:rsidRPr="00497E12">
        <w:t xml:space="preserve">at the time of trial cessation </w:t>
      </w:r>
      <w:r w:rsidR="00020BB2" w:rsidRPr="00497E12">
        <w:t>may</w:t>
      </w:r>
      <w:r w:rsidRPr="00497E12">
        <w:t xml:space="preserve"> have been overestimated in favour of </w:t>
      </w:r>
      <w:proofErr w:type="spellStart"/>
      <w:r w:rsidRPr="00497E12">
        <w:t>nivolumab</w:t>
      </w:r>
      <w:proofErr w:type="spellEnd"/>
      <w:r w:rsidRPr="00497E12">
        <w:t>, as comparative treatment effects tend to become less favourable over time (</w:t>
      </w:r>
      <w:r w:rsidR="00345E1E" w:rsidRPr="00497E12">
        <w:t xml:space="preserve">paragraph 6.8, </w:t>
      </w:r>
      <w:r w:rsidR="00062BDB" w:rsidRPr="00497E12">
        <w:t xml:space="preserve">July 2015 </w:t>
      </w:r>
      <w:proofErr w:type="spellStart"/>
      <w:r w:rsidR="00062BDB" w:rsidRPr="00497E12">
        <w:t>nivolumab</w:t>
      </w:r>
      <w:proofErr w:type="spellEnd"/>
      <w:r w:rsidR="00062BDB" w:rsidRPr="00497E12">
        <w:t xml:space="preserve"> PSD).</w:t>
      </w:r>
    </w:p>
    <w:p w:rsidR="00CF63F8" w:rsidRPr="00497E12" w:rsidRDefault="00CF63F8" w:rsidP="00CF63F8">
      <w:pPr>
        <w:widowControl/>
        <w:ind w:left="709"/>
        <w:rPr>
          <w:i/>
        </w:rPr>
      </w:pPr>
      <w:r w:rsidRPr="00497E12">
        <w:t xml:space="preserve">Therefore, the treatment duration and treatment effect of OS estimated in the trial would be unlikely to </w:t>
      </w:r>
      <w:r w:rsidR="00345E1E" w:rsidRPr="00497E12">
        <w:t>be observed in the intended PBS setting</w:t>
      </w:r>
      <w:r w:rsidRPr="00497E12">
        <w:t>.</w:t>
      </w:r>
      <w:r w:rsidR="00020BB2" w:rsidRPr="00497E12">
        <w:t xml:space="preserve"> The ESC noted that the trial included patients with </w:t>
      </w:r>
      <w:r w:rsidR="00584626">
        <w:t xml:space="preserve">locally </w:t>
      </w:r>
      <w:r w:rsidR="00020BB2" w:rsidRPr="00497E12">
        <w:t>advanced disease (Stage III) for whom the prognosis for survival is better than those with Stage IV disease. Results were not stratified by disease stage, so it is not possible to discern the impact this had on (</w:t>
      </w:r>
      <w:proofErr w:type="spellStart"/>
      <w:r w:rsidR="00020BB2" w:rsidRPr="00497E12">
        <w:t>i</w:t>
      </w:r>
      <w:proofErr w:type="spellEnd"/>
      <w:r w:rsidR="00020BB2" w:rsidRPr="00497E12">
        <w:t xml:space="preserve">) the overall estimate of OS, or (ii) the incremental OS for </w:t>
      </w:r>
      <w:proofErr w:type="spellStart"/>
      <w:r w:rsidR="00020BB2" w:rsidRPr="00497E12">
        <w:t>nivolumab</w:t>
      </w:r>
      <w:proofErr w:type="spellEnd"/>
      <w:r w:rsidR="00020BB2" w:rsidRPr="00497E12">
        <w:t xml:space="preserve">, given that currently only Stage IV patients can access treatment on the PBS with TKIs or </w:t>
      </w:r>
      <w:proofErr w:type="spellStart"/>
      <w:r w:rsidR="00020BB2" w:rsidRPr="00497E12">
        <w:t>mTORs</w:t>
      </w:r>
      <w:proofErr w:type="spellEnd"/>
      <w:r w:rsidR="00020BB2" w:rsidRPr="00497E12">
        <w:t xml:space="preserve"> in the first and second</w:t>
      </w:r>
      <w:r w:rsidR="0064676B" w:rsidRPr="00497E12">
        <w:t>-</w:t>
      </w:r>
      <w:r w:rsidR="00020BB2" w:rsidRPr="00497E12">
        <w:t>line setting.</w:t>
      </w:r>
    </w:p>
    <w:p w:rsidR="00CF63F8" w:rsidRPr="00497E12" w:rsidRDefault="00CF63F8" w:rsidP="00CF63F8">
      <w:pPr>
        <w:widowControl/>
      </w:pPr>
    </w:p>
    <w:p w:rsidR="00CF63F8" w:rsidRPr="00497E12" w:rsidRDefault="00CF63F8" w:rsidP="00A45A8D">
      <w:pPr>
        <w:pStyle w:val="ListParagraph"/>
        <w:widowControl/>
        <w:numPr>
          <w:ilvl w:val="1"/>
          <w:numId w:val="24"/>
        </w:numPr>
        <w:ind w:left="851" w:hanging="851"/>
      </w:pPr>
      <w:r w:rsidRPr="00497E12">
        <w:t>In both arms of trial CA209-025, patients were able to continue receiving treatment beyond progression if they were assessed as still deriving clinical benefit and tolerating treatment. The submission claimed that progression based on discontinuation of treatment would be more clinically representative for the patients continuing treatment beyond progression. The submission therefore conducted a post-hoc analysis of trial CA209-025 where the definition of progression was defined as follows:</w:t>
      </w:r>
    </w:p>
    <w:p w:rsidR="00CF63F8" w:rsidRPr="00497E12" w:rsidRDefault="00CF63F8" w:rsidP="00400464">
      <w:pPr>
        <w:pStyle w:val="ListParagraph"/>
        <w:widowControl/>
        <w:numPr>
          <w:ilvl w:val="0"/>
          <w:numId w:val="3"/>
        </w:numPr>
      </w:pPr>
      <w:r w:rsidRPr="00497E12">
        <w:t>For patients who discontinued therapy prior to or at progression: same as RECIST v1.1-defined progression-free survival (PFS).</w:t>
      </w:r>
    </w:p>
    <w:p w:rsidR="00CF63F8" w:rsidRPr="00497E12" w:rsidRDefault="00CF63F8" w:rsidP="00400464">
      <w:pPr>
        <w:pStyle w:val="ListParagraph"/>
        <w:widowControl/>
        <w:numPr>
          <w:ilvl w:val="0"/>
          <w:numId w:val="3"/>
        </w:numPr>
      </w:pPr>
      <w:r w:rsidRPr="00497E12">
        <w:t xml:space="preserve">For patients who discontinued therapy after progression (44.1% for </w:t>
      </w:r>
      <w:proofErr w:type="spellStart"/>
      <w:r w:rsidRPr="00497E12">
        <w:t>nivolumab</w:t>
      </w:r>
      <w:proofErr w:type="spellEnd"/>
      <w:r w:rsidRPr="00497E12">
        <w:t xml:space="preserve">; 46.1% for </w:t>
      </w:r>
      <w:proofErr w:type="spellStart"/>
      <w:r w:rsidRPr="00497E12">
        <w:t>everolimus</w:t>
      </w:r>
      <w:proofErr w:type="spellEnd"/>
      <w:r w:rsidRPr="00497E12">
        <w:t>): the time of discontinuing therapy.</w:t>
      </w:r>
    </w:p>
    <w:p w:rsidR="00CF63F8" w:rsidRPr="00497E12" w:rsidRDefault="00CF63F8" w:rsidP="005C65C6">
      <w:pPr>
        <w:ind w:left="709"/>
      </w:pPr>
      <w:r w:rsidRPr="00497E12">
        <w:t xml:space="preserve">The submission referred to this definition of PFS as </w:t>
      </w:r>
      <w:r w:rsidR="00CB7AEE" w:rsidRPr="00497E12">
        <w:t>“</w:t>
      </w:r>
      <w:r w:rsidRPr="00497E12">
        <w:t>clinical PFS</w:t>
      </w:r>
      <w:r w:rsidR="00CB7AEE" w:rsidRPr="00497E12">
        <w:t>”</w:t>
      </w:r>
      <w:r w:rsidRPr="00497E12">
        <w:t xml:space="preserve">. The use of the </w:t>
      </w:r>
      <w:r w:rsidR="00CB7AEE" w:rsidRPr="00497E12">
        <w:t>“</w:t>
      </w:r>
      <w:r w:rsidRPr="00497E12">
        <w:t>treatment beyond progression</w:t>
      </w:r>
      <w:r w:rsidR="00CB7AEE" w:rsidRPr="00497E12">
        <w:t>”</w:t>
      </w:r>
      <w:r w:rsidRPr="00497E12">
        <w:t xml:space="preserve"> approach and </w:t>
      </w:r>
      <w:r w:rsidR="00CB7AEE" w:rsidRPr="00497E12">
        <w:t>“</w:t>
      </w:r>
      <w:r w:rsidRPr="00497E12">
        <w:t>clinical PFS</w:t>
      </w:r>
      <w:r w:rsidR="00CB7AEE" w:rsidRPr="00497E12">
        <w:t>”</w:t>
      </w:r>
      <w:r w:rsidRPr="00497E12">
        <w:t xml:space="preserve"> was consistent with the requested listing of </w:t>
      </w:r>
      <w:proofErr w:type="spellStart"/>
      <w:r w:rsidRPr="00497E12">
        <w:t>nivolumab</w:t>
      </w:r>
      <w:proofErr w:type="spellEnd"/>
      <w:r w:rsidRPr="00497E12">
        <w:t xml:space="preserve">. </w:t>
      </w:r>
      <w:r w:rsidR="00584626">
        <w:t xml:space="preserve">The use of the novel endpoint of “clinical PFS” was consistent with the treatment beyond progression approach </w:t>
      </w:r>
      <w:proofErr w:type="gramStart"/>
      <w:r w:rsidR="00584626">
        <w:t>however,</w:t>
      </w:r>
      <w:proofErr w:type="gramEnd"/>
      <w:r w:rsidR="00584626">
        <w:t xml:space="preserve"> it is a novel endpoint which has not been validated. Furthermore, this approach</w:t>
      </w:r>
      <w:r w:rsidRPr="00497E12">
        <w:t xml:space="preserve"> was not appropriate for </w:t>
      </w:r>
      <w:proofErr w:type="spellStart"/>
      <w:r w:rsidRPr="00497E12">
        <w:t>everolimus</w:t>
      </w:r>
      <w:proofErr w:type="spellEnd"/>
      <w:r w:rsidRPr="00497E12">
        <w:t xml:space="preserve"> given its PBS restriction for RCC, which would require patients to stop the treatment upon progression. </w:t>
      </w:r>
      <w:r w:rsidR="00825B0C" w:rsidRPr="00497E12">
        <w:t xml:space="preserve">In </w:t>
      </w:r>
      <w:r w:rsidR="00553A54" w:rsidRPr="00497E12">
        <w:t>the</w:t>
      </w:r>
      <w:r w:rsidR="00825B0C" w:rsidRPr="00497E12">
        <w:t xml:space="preserve"> </w:t>
      </w:r>
      <w:r w:rsidR="00E602E3" w:rsidRPr="00497E12">
        <w:t>Pre-Sub-Committee Response (</w:t>
      </w:r>
      <w:r w:rsidR="00825B0C" w:rsidRPr="00497E12">
        <w:t>PSCR</w:t>
      </w:r>
      <w:r w:rsidR="00E602E3" w:rsidRPr="00497E12">
        <w:t>)</w:t>
      </w:r>
      <w:r w:rsidR="00825B0C" w:rsidRPr="00497E12">
        <w:t>, the sponsor claim</w:t>
      </w:r>
      <w:r w:rsidR="00062BDB" w:rsidRPr="00497E12">
        <w:t>ed</w:t>
      </w:r>
      <w:r w:rsidR="00825B0C" w:rsidRPr="00497E12">
        <w:t xml:space="preserve"> that this appropriately reflects current practice according to the PBS stopping criteria for </w:t>
      </w:r>
      <w:proofErr w:type="spellStart"/>
      <w:r w:rsidR="00825B0C" w:rsidRPr="00497E12">
        <w:t>everolimus</w:t>
      </w:r>
      <w:proofErr w:type="spellEnd"/>
      <w:r w:rsidR="00825B0C" w:rsidRPr="00497E12">
        <w:t xml:space="preserve"> due to patients </w:t>
      </w:r>
      <w:r w:rsidR="00825B0C" w:rsidRPr="00497E12">
        <w:lastRenderedPageBreak/>
        <w:t xml:space="preserve">potentially progressing between scans in the clinical setting, and the advent of clinical </w:t>
      </w:r>
      <w:r w:rsidR="00584626">
        <w:t>symptom</w:t>
      </w:r>
      <w:r w:rsidR="00825B0C" w:rsidRPr="00497E12">
        <w:t xml:space="preserve">s precipitating the need for scans. However, </w:t>
      </w:r>
      <w:r w:rsidR="00CE1C31" w:rsidRPr="00497E12">
        <w:t xml:space="preserve">ESC noted that </w:t>
      </w:r>
      <w:r w:rsidR="00825B0C" w:rsidRPr="00497E12">
        <w:t xml:space="preserve">continuing treatment in the absence of evidence regarding a progression event as described above is not the equivalent of actively continuing treatment in the presence of a known progression event as occurred in the trial. The ESC </w:t>
      </w:r>
      <w:r w:rsidR="00CE1C31" w:rsidRPr="00497E12">
        <w:t xml:space="preserve">therefore </w:t>
      </w:r>
      <w:r w:rsidR="00825B0C" w:rsidRPr="00497E12">
        <w:t>agree</w:t>
      </w:r>
      <w:r w:rsidR="00062BDB" w:rsidRPr="00497E12">
        <w:t>d</w:t>
      </w:r>
      <w:r w:rsidR="00825B0C" w:rsidRPr="00497E12">
        <w:t xml:space="preserve"> with the </w:t>
      </w:r>
      <w:r w:rsidR="00062BDB" w:rsidRPr="00497E12">
        <w:t>commentary</w:t>
      </w:r>
      <w:r w:rsidR="00825B0C" w:rsidRPr="00497E12">
        <w:t xml:space="preserve"> that the</w:t>
      </w:r>
      <w:r w:rsidRPr="00497E12">
        <w:t xml:space="preserve"> circumstances of use for </w:t>
      </w:r>
      <w:proofErr w:type="spellStart"/>
      <w:r w:rsidRPr="00497E12">
        <w:t>everolimus</w:t>
      </w:r>
      <w:proofErr w:type="spellEnd"/>
      <w:r w:rsidRPr="00497E12">
        <w:t xml:space="preserve"> in the trial differed from the Australian clinical setting</w:t>
      </w:r>
      <w:r w:rsidR="00825B0C" w:rsidRPr="00497E12">
        <w:t xml:space="preserve"> and that</w:t>
      </w:r>
      <w:r w:rsidRPr="00497E12">
        <w:t xml:space="preserve"> the trial results presented in the submission, including the outcomes relating to </w:t>
      </w:r>
      <w:r w:rsidR="00CB7AEE" w:rsidRPr="00497E12">
        <w:t>“</w:t>
      </w:r>
      <w:r w:rsidRPr="00497E12">
        <w:t>clinical PFS</w:t>
      </w:r>
      <w:r w:rsidR="00CB7AEE" w:rsidRPr="00497E12">
        <w:t>”</w:t>
      </w:r>
      <w:r w:rsidRPr="00497E12">
        <w:t xml:space="preserve">, would be unlikely to be representative of the intended PBS setting. </w:t>
      </w:r>
      <w:r w:rsidR="00584626">
        <w:t>T</w:t>
      </w:r>
      <w:r w:rsidR="002C4694" w:rsidRPr="00497E12">
        <w:rPr>
          <w:iCs/>
        </w:rPr>
        <w:t>he ESC considered that</w:t>
      </w:r>
      <w:r w:rsidR="00AD28CA" w:rsidRPr="00497E12">
        <w:rPr>
          <w:iCs/>
        </w:rPr>
        <w:t xml:space="preserve"> treatment beyond clinical progression should be </w:t>
      </w:r>
      <w:r w:rsidR="00E01C69" w:rsidRPr="00497E12">
        <w:rPr>
          <w:iCs/>
        </w:rPr>
        <w:t xml:space="preserve">handled consistently </w:t>
      </w:r>
      <w:r w:rsidR="00AD28CA" w:rsidRPr="00497E12">
        <w:rPr>
          <w:iCs/>
        </w:rPr>
        <w:t xml:space="preserve">in </w:t>
      </w:r>
      <w:r w:rsidR="00E01C69" w:rsidRPr="00497E12">
        <w:rPr>
          <w:iCs/>
        </w:rPr>
        <w:t xml:space="preserve">the economic evaluation unless </w:t>
      </w:r>
      <w:r w:rsidR="00DA609A" w:rsidRPr="00497E12">
        <w:rPr>
          <w:szCs w:val="22"/>
        </w:rPr>
        <w:t>there is good evidence to justify prescribers using these medicines differently in Australian practice</w:t>
      </w:r>
      <w:r w:rsidR="00E01C69" w:rsidRPr="00497E12">
        <w:rPr>
          <w:szCs w:val="22"/>
        </w:rPr>
        <w:t>.</w:t>
      </w:r>
    </w:p>
    <w:p w:rsidR="00CF63F8" w:rsidRPr="00497E12" w:rsidRDefault="00CF63F8" w:rsidP="00CF63F8"/>
    <w:p w:rsidR="00CF63F8" w:rsidRPr="00497E12" w:rsidRDefault="00CF63F8" w:rsidP="00A45A8D">
      <w:pPr>
        <w:pStyle w:val="Heading2"/>
      </w:pPr>
      <w:bookmarkStart w:id="14" w:name="_Toc450136344"/>
      <w:r w:rsidRPr="00497E12">
        <w:t>Comparative effectiveness</w:t>
      </w:r>
      <w:bookmarkEnd w:id="14"/>
    </w:p>
    <w:p w:rsidR="00CF63F8" w:rsidRPr="00497E12" w:rsidRDefault="00CF63F8" w:rsidP="00CF63F8">
      <w:pPr>
        <w:rPr>
          <w:szCs w:val="22"/>
        </w:rPr>
      </w:pPr>
    </w:p>
    <w:p w:rsidR="00CF63F8" w:rsidRPr="00497E12" w:rsidRDefault="00CF63F8" w:rsidP="00A45A8D">
      <w:pPr>
        <w:pStyle w:val="ListParagraph"/>
        <w:widowControl/>
        <w:numPr>
          <w:ilvl w:val="1"/>
          <w:numId w:val="24"/>
        </w:numPr>
        <w:ind w:left="851" w:hanging="851"/>
      </w:pPr>
      <w:r w:rsidRPr="00497E12">
        <w:t>Table 3 provides the OS and PFS results from CA209-025 while Figures 1 to 3 provide the corresponding Kaplan-Meier curves.</w:t>
      </w:r>
    </w:p>
    <w:p w:rsidR="00CF63F8" w:rsidRPr="00497E12" w:rsidRDefault="00CF63F8" w:rsidP="00CF63F8">
      <w:pPr>
        <w:widowControl/>
      </w:pPr>
    </w:p>
    <w:p w:rsidR="00BD343A" w:rsidRPr="00497E12" w:rsidRDefault="00BD343A" w:rsidP="00BD343A">
      <w:pPr>
        <w:pStyle w:val="ListParagraph"/>
        <w:widowControl/>
        <w:rPr>
          <w:rFonts w:ascii="Arial Narrow" w:hAnsi="Arial Narrow"/>
          <w:b/>
          <w:sz w:val="20"/>
          <w:szCs w:val="22"/>
        </w:rPr>
      </w:pPr>
      <w:r w:rsidRPr="00497E12">
        <w:rPr>
          <w:rFonts w:ascii="Arial Narrow" w:hAnsi="Arial Narrow"/>
          <w:b/>
          <w:sz w:val="20"/>
          <w:szCs w:val="22"/>
        </w:rPr>
        <w:t>Table 3: Results of overall survival and progression-free survival in trial CA209-025</w:t>
      </w:r>
    </w:p>
    <w:tbl>
      <w:tblPr>
        <w:tblStyle w:val="TableGrid"/>
        <w:tblW w:w="4604" w:type="pct"/>
        <w:tblInd w:w="737" w:type="dxa"/>
        <w:tblCellMar>
          <w:left w:w="28" w:type="dxa"/>
          <w:right w:w="28" w:type="dxa"/>
        </w:tblCellMar>
        <w:tblLook w:val="04A0" w:firstRow="1" w:lastRow="0" w:firstColumn="1" w:lastColumn="0" w:noHBand="0" w:noVBand="1"/>
        <w:tblCaption w:val="Table 3: Results of overall survival and progression-free survival in trial CA209-025"/>
      </w:tblPr>
      <w:tblGrid>
        <w:gridCol w:w="1561"/>
        <w:gridCol w:w="1703"/>
        <w:gridCol w:w="1698"/>
        <w:gridCol w:w="1843"/>
        <w:gridCol w:w="1559"/>
      </w:tblGrid>
      <w:tr w:rsidR="00BD343A" w:rsidRPr="00497E12" w:rsidTr="00C64257">
        <w:trPr>
          <w:tblHeader/>
        </w:trPr>
        <w:tc>
          <w:tcPr>
            <w:tcW w:w="933" w:type="pct"/>
            <w:vAlign w:val="center"/>
          </w:tcPr>
          <w:p w:rsidR="00BD343A" w:rsidRPr="00497E12" w:rsidRDefault="00BD343A" w:rsidP="00D10CE3">
            <w:pPr>
              <w:ind w:right="-170"/>
              <w:jc w:val="left"/>
              <w:rPr>
                <w:rFonts w:ascii="Arial Narrow" w:hAnsi="Arial Narrow"/>
                <w:b/>
                <w:sz w:val="20"/>
              </w:rPr>
            </w:pPr>
          </w:p>
        </w:tc>
        <w:tc>
          <w:tcPr>
            <w:tcW w:w="1018" w:type="pct"/>
            <w:vAlign w:val="center"/>
          </w:tcPr>
          <w:p w:rsidR="00BD343A" w:rsidRPr="00497E12" w:rsidRDefault="00BD343A" w:rsidP="00D10CE3">
            <w:pPr>
              <w:ind w:right="-170"/>
              <w:rPr>
                <w:rFonts w:ascii="Arial Narrow" w:hAnsi="Arial Narrow"/>
                <w:b/>
                <w:sz w:val="20"/>
              </w:rPr>
            </w:pPr>
            <w:proofErr w:type="spellStart"/>
            <w:r w:rsidRPr="00497E12">
              <w:rPr>
                <w:rFonts w:ascii="Arial Narrow" w:hAnsi="Arial Narrow"/>
                <w:b/>
                <w:sz w:val="20"/>
              </w:rPr>
              <w:t>Nivolumab</w:t>
            </w:r>
            <w:proofErr w:type="spellEnd"/>
            <w:r w:rsidRPr="00497E12">
              <w:rPr>
                <w:rFonts w:ascii="Arial Narrow" w:hAnsi="Arial Narrow"/>
                <w:b/>
                <w:sz w:val="20"/>
              </w:rPr>
              <w:t xml:space="preserve"> (N=410)</w:t>
            </w:r>
          </w:p>
        </w:tc>
        <w:tc>
          <w:tcPr>
            <w:tcW w:w="1015" w:type="pct"/>
            <w:vAlign w:val="center"/>
          </w:tcPr>
          <w:p w:rsidR="00BD343A" w:rsidRPr="00497E12" w:rsidRDefault="00BD343A" w:rsidP="00D10CE3">
            <w:pPr>
              <w:ind w:right="-170"/>
              <w:rPr>
                <w:rFonts w:ascii="Arial Narrow" w:hAnsi="Arial Narrow"/>
                <w:b/>
                <w:sz w:val="20"/>
              </w:rPr>
            </w:pPr>
            <w:proofErr w:type="spellStart"/>
            <w:r w:rsidRPr="00497E12">
              <w:rPr>
                <w:rFonts w:ascii="Arial Narrow" w:hAnsi="Arial Narrow"/>
                <w:b/>
                <w:sz w:val="20"/>
              </w:rPr>
              <w:t>Everolimus</w:t>
            </w:r>
            <w:proofErr w:type="spellEnd"/>
            <w:r w:rsidRPr="00497E12">
              <w:rPr>
                <w:rFonts w:ascii="Arial Narrow" w:hAnsi="Arial Narrow"/>
                <w:b/>
                <w:sz w:val="20"/>
              </w:rPr>
              <w:t xml:space="preserve"> (N=411)</w:t>
            </w:r>
          </w:p>
        </w:tc>
        <w:tc>
          <w:tcPr>
            <w:tcW w:w="1102" w:type="pct"/>
            <w:vAlign w:val="center"/>
          </w:tcPr>
          <w:p w:rsidR="00BD343A" w:rsidRPr="00497E12" w:rsidRDefault="00BD343A" w:rsidP="00D10CE3">
            <w:pPr>
              <w:ind w:right="115"/>
              <w:jc w:val="center"/>
              <w:rPr>
                <w:rFonts w:ascii="Arial Narrow" w:hAnsi="Arial Narrow"/>
                <w:b/>
                <w:sz w:val="20"/>
              </w:rPr>
            </w:pPr>
            <w:r w:rsidRPr="00497E12">
              <w:rPr>
                <w:rFonts w:ascii="Arial Narrow" w:hAnsi="Arial Narrow"/>
                <w:b/>
                <w:sz w:val="20"/>
              </w:rPr>
              <w:t>Absolute difference</w:t>
            </w:r>
          </w:p>
        </w:tc>
        <w:tc>
          <w:tcPr>
            <w:tcW w:w="933" w:type="pct"/>
            <w:vAlign w:val="center"/>
          </w:tcPr>
          <w:p w:rsidR="00BD343A" w:rsidRPr="00497E12" w:rsidRDefault="00BD343A" w:rsidP="00D10CE3">
            <w:pPr>
              <w:ind w:right="115"/>
              <w:jc w:val="center"/>
              <w:rPr>
                <w:rFonts w:ascii="Arial Narrow" w:hAnsi="Arial Narrow"/>
                <w:b/>
                <w:sz w:val="20"/>
              </w:rPr>
            </w:pPr>
            <w:r w:rsidRPr="00497E12">
              <w:rPr>
                <w:rFonts w:ascii="Arial Narrow" w:hAnsi="Arial Narrow"/>
                <w:b/>
                <w:sz w:val="20"/>
              </w:rPr>
              <w:t>HR (95% CI)</w:t>
            </w:r>
          </w:p>
        </w:tc>
      </w:tr>
      <w:tr w:rsidR="00BD343A" w:rsidRPr="00497E12" w:rsidTr="00D10CE3">
        <w:tc>
          <w:tcPr>
            <w:tcW w:w="5000" w:type="pct"/>
            <w:gridSpan w:val="5"/>
            <w:vAlign w:val="center"/>
          </w:tcPr>
          <w:p w:rsidR="00BD343A" w:rsidRPr="00497E12" w:rsidRDefault="00BD343A" w:rsidP="00D10CE3">
            <w:pPr>
              <w:ind w:right="115"/>
              <w:jc w:val="left"/>
              <w:rPr>
                <w:rFonts w:ascii="Arial Narrow" w:hAnsi="Arial Narrow"/>
                <w:b/>
                <w:sz w:val="20"/>
              </w:rPr>
            </w:pPr>
            <w:r w:rsidRPr="00497E12">
              <w:rPr>
                <w:rFonts w:ascii="Arial Narrow" w:hAnsi="Arial Narrow"/>
                <w:b/>
                <w:sz w:val="20"/>
              </w:rPr>
              <w:t>Overall survival</w:t>
            </w:r>
          </w:p>
        </w:tc>
      </w:tr>
      <w:tr w:rsidR="00BD343A" w:rsidRPr="00497E12" w:rsidTr="00882EDD">
        <w:tc>
          <w:tcPr>
            <w:tcW w:w="933" w:type="pct"/>
          </w:tcPr>
          <w:p w:rsidR="00BD343A" w:rsidRPr="00497E12" w:rsidRDefault="00BD343A" w:rsidP="00D10CE3">
            <w:pPr>
              <w:ind w:right="-170"/>
              <w:jc w:val="left"/>
              <w:rPr>
                <w:rFonts w:ascii="Arial Narrow" w:hAnsi="Arial Narrow"/>
                <w:sz w:val="20"/>
              </w:rPr>
            </w:pPr>
            <w:r w:rsidRPr="00497E12">
              <w:rPr>
                <w:rFonts w:ascii="Arial Narrow" w:hAnsi="Arial Narrow"/>
                <w:sz w:val="20"/>
              </w:rPr>
              <w:t>Death, n (%)</w:t>
            </w:r>
          </w:p>
        </w:tc>
        <w:tc>
          <w:tcPr>
            <w:tcW w:w="1018" w:type="pct"/>
          </w:tcPr>
          <w:p w:rsidR="00BD343A" w:rsidRPr="00497E12" w:rsidRDefault="00BD343A" w:rsidP="00D10CE3">
            <w:pPr>
              <w:ind w:right="-170"/>
              <w:jc w:val="center"/>
              <w:rPr>
                <w:rFonts w:ascii="Arial Narrow" w:hAnsi="Arial Narrow"/>
                <w:sz w:val="20"/>
              </w:rPr>
            </w:pPr>
            <w:r w:rsidRPr="00497E12">
              <w:rPr>
                <w:rFonts w:ascii="Arial Narrow" w:hAnsi="Arial Narrow"/>
                <w:sz w:val="20"/>
              </w:rPr>
              <w:t>183 (44.6)</w:t>
            </w:r>
          </w:p>
        </w:tc>
        <w:tc>
          <w:tcPr>
            <w:tcW w:w="1015" w:type="pct"/>
          </w:tcPr>
          <w:p w:rsidR="00BD343A" w:rsidRPr="00497E12" w:rsidRDefault="00BD343A" w:rsidP="00D10CE3">
            <w:pPr>
              <w:ind w:right="-170"/>
              <w:jc w:val="center"/>
              <w:rPr>
                <w:rFonts w:ascii="Arial Narrow" w:hAnsi="Arial Narrow"/>
                <w:sz w:val="20"/>
              </w:rPr>
            </w:pPr>
            <w:r w:rsidRPr="00497E12">
              <w:rPr>
                <w:rFonts w:ascii="Arial Narrow" w:hAnsi="Arial Narrow"/>
                <w:sz w:val="20"/>
              </w:rPr>
              <w:t>215 (52.3)</w:t>
            </w:r>
          </w:p>
        </w:tc>
        <w:tc>
          <w:tcPr>
            <w:tcW w:w="1102" w:type="pct"/>
          </w:tcPr>
          <w:p w:rsidR="00BD343A" w:rsidRPr="00497E12" w:rsidRDefault="00BD343A" w:rsidP="00D10CE3">
            <w:pPr>
              <w:ind w:right="115"/>
              <w:jc w:val="center"/>
              <w:rPr>
                <w:rFonts w:ascii="Arial Narrow" w:hAnsi="Arial Narrow"/>
                <w:sz w:val="20"/>
              </w:rPr>
            </w:pPr>
            <w:r w:rsidRPr="00497E12">
              <w:rPr>
                <w:rFonts w:ascii="Arial Narrow" w:hAnsi="Arial Narrow"/>
                <w:sz w:val="20"/>
              </w:rPr>
              <w:t>-</w:t>
            </w:r>
          </w:p>
        </w:tc>
        <w:tc>
          <w:tcPr>
            <w:tcW w:w="933" w:type="pct"/>
          </w:tcPr>
          <w:p w:rsidR="00BD343A" w:rsidRPr="00497E12" w:rsidRDefault="00BD343A" w:rsidP="00D10CE3">
            <w:pPr>
              <w:ind w:right="115"/>
              <w:jc w:val="center"/>
              <w:rPr>
                <w:rFonts w:ascii="Arial Narrow" w:hAnsi="Arial Narrow"/>
                <w:sz w:val="20"/>
              </w:rPr>
            </w:pPr>
            <w:r w:rsidRPr="00497E12">
              <w:rPr>
                <w:rFonts w:ascii="Arial Narrow" w:hAnsi="Arial Narrow"/>
                <w:sz w:val="20"/>
              </w:rPr>
              <w:t>-</w:t>
            </w:r>
          </w:p>
        </w:tc>
      </w:tr>
      <w:tr w:rsidR="00BD343A" w:rsidRPr="00497E12" w:rsidTr="00882EDD">
        <w:tc>
          <w:tcPr>
            <w:tcW w:w="933" w:type="pct"/>
          </w:tcPr>
          <w:p w:rsidR="00BD343A" w:rsidRPr="00497E12" w:rsidRDefault="00BD343A" w:rsidP="00D10CE3">
            <w:pPr>
              <w:ind w:right="-170"/>
              <w:jc w:val="left"/>
              <w:rPr>
                <w:rFonts w:ascii="Arial Narrow" w:hAnsi="Arial Narrow"/>
                <w:sz w:val="20"/>
              </w:rPr>
            </w:pPr>
            <w:r w:rsidRPr="00497E12">
              <w:rPr>
                <w:rFonts w:ascii="Arial Narrow" w:hAnsi="Arial Narrow"/>
                <w:sz w:val="20"/>
              </w:rPr>
              <w:t>OS median months (95% CI)</w:t>
            </w:r>
          </w:p>
        </w:tc>
        <w:tc>
          <w:tcPr>
            <w:tcW w:w="1018"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25.00 (21.75, NR)</w:t>
            </w:r>
          </w:p>
        </w:tc>
        <w:tc>
          <w:tcPr>
            <w:tcW w:w="1015"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19.55 (17.64, 23.06)</w:t>
            </w:r>
          </w:p>
        </w:tc>
        <w:tc>
          <w:tcPr>
            <w:tcW w:w="1102" w:type="pct"/>
            <w:vAlign w:val="center"/>
          </w:tcPr>
          <w:p w:rsidR="00BD343A" w:rsidRPr="00497E12" w:rsidRDefault="00BD343A" w:rsidP="00D10CE3">
            <w:pPr>
              <w:ind w:right="115"/>
              <w:jc w:val="center"/>
              <w:rPr>
                <w:rFonts w:ascii="Arial Narrow" w:hAnsi="Arial Narrow"/>
                <w:sz w:val="20"/>
              </w:rPr>
            </w:pPr>
            <w:r w:rsidRPr="00497E12">
              <w:rPr>
                <w:rFonts w:ascii="Arial Narrow" w:hAnsi="Arial Narrow"/>
                <w:sz w:val="20"/>
              </w:rPr>
              <w:t>5.45</w:t>
            </w:r>
          </w:p>
        </w:tc>
        <w:tc>
          <w:tcPr>
            <w:tcW w:w="933" w:type="pct"/>
            <w:vAlign w:val="center"/>
          </w:tcPr>
          <w:p w:rsidR="00BD343A" w:rsidRPr="00497E12" w:rsidRDefault="00BD343A" w:rsidP="00D10CE3">
            <w:pPr>
              <w:ind w:right="115"/>
              <w:jc w:val="center"/>
              <w:rPr>
                <w:rFonts w:ascii="Arial Narrow" w:hAnsi="Arial Narrow"/>
                <w:sz w:val="20"/>
              </w:rPr>
            </w:pPr>
            <w:r w:rsidRPr="00497E12">
              <w:rPr>
                <w:rFonts w:ascii="Arial Narrow" w:hAnsi="Arial Narrow"/>
                <w:sz w:val="20"/>
              </w:rPr>
              <w:t>0.73 (0.57, 0.93)</w:t>
            </w:r>
            <w:r w:rsidRPr="00497E12">
              <w:rPr>
                <w:rFonts w:ascii="Arial Narrow" w:hAnsi="Arial Narrow"/>
                <w:sz w:val="20"/>
                <w:vertAlign w:val="superscript"/>
              </w:rPr>
              <w:t>a</w:t>
            </w:r>
          </w:p>
        </w:tc>
      </w:tr>
      <w:tr w:rsidR="00BD343A" w:rsidRPr="00497E12" w:rsidTr="00D10CE3">
        <w:tc>
          <w:tcPr>
            <w:tcW w:w="5000" w:type="pct"/>
            <w:gridSpan w:val="5"/>
            <w:vAlign w:val="center"/>
          </w:tcPr>
          <w:p w:rsidR="00BD343A" w:rsidRPr="00497E12" w:rsidRDefault="00BD343A" w:rsidP="00D10CE3">
            <w:pPr>
              <w:ind w:right="115"/>
              <w:jc w:val="left"/>
              <w:rPr>
                <w:rFonts w:ascii="Arial Narrow" w:hAnsi="Arial Narrow"/>
                <w:b/>
                <w:sz w:val="20"/>
              </w:rPr>
            </w:pPr>
            <w:r w:rsidRPr="00497E12">
              <w:rPr>
                <w:rFonts w:ascii="Arial Narrow" w:hAnsi="Arial Narrow"/>
                <w:b/>
                <w:sz w:val="20"/>
              </w:rPr>
              <w:t>RECIST v1.1-defined progression-free survival</w:t>
            </w:r>
          </w:p>
        </w:tc>
      </w:tr>
      <w:tr w:rsidR="00BD343A" w:rsidRPr="00497E12" w:rsidTr="00882EDD">
        <w:tc>
          <w:tcPr>
            <w:tcW w:w="933" w:type="pct"/>
          </w:tcPr>
          <w:p w:rsidR="00BD343A" w:rsidRPr="00497E12" w:rsidRDefault="00BD343A" w:rsidP="00D10CE3">
            <w:pPr>
              <w:ind w:right="-170"/>
              <w:jc w:val="left"/>
              <w:rPr>
                <w:rFonts w:ascii="Arial Narrow" w:hAnsi="Arial Narrow"/>
                <w:sz w:val="20"/>
              </w:rPr>
            </w:pPr>
            <w:r w:rsidRPr="00497E12">
              <w:rPr>
                <w:rFonts w:ascii="Arial Narrow" w:hAnsi="Arial Narrow"/>
                <w:sz w:val="20"/>
              </w:rPr>
              <w:t>Progressed, n (%)</w:t>
            </w:r>
          </w:p>
        </w:tc>
        <w:tc>
          <w:tcPr>
            <w:tcW w:w="1018"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311 (75.9)</w:t>
            </w:r>
          </w:p>
        </w:tc>
        <w:tc>
          <w:tcPr>
            <w:tcW w:w="1015"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312 (75.9)</w:t>
            </w:r>
          </w:p>
        </w:tc>
        <w:tc>
          <w:tcPr>
            <w:tcW w:w="1102" w:type="pct"/>
          </w:tcPr>
          <w:p w:rsidR="00BD343A" w:rsidRPr="00497E12" w:rsidRDefault="00BD343A" w:rsidP="00D10CE3">
            <w:pPr>
              <w:ind w:right="115"/>
              <w:jc w:val="center"/>
              <w:rPr>
                <w:rFonts w:ascii="Arial Narrow" w:hAnsi="Arial Narrow"/>
                <w:sz w:val="20"/>
              </w:rPr>
            </w:pPr>
            <w:r w:rsidRPr="00497E12">
              <w:rPr>
                <w:rFonts w:ascii="Arial Narrow" w:hAnsi="Arial Narrow"/>
                <w:sz w:val="20"/>
              </w:rPr>
              <w:t>-</w:t>
            </w:r>
          </w:p>
        </w:tc>
        <w:tc>
          <w:tcPr>
            <w:tcW w:w="933" w:type="pct"/>
          </w:tcPr>
          <w:p w:rsidR="00BD343A" w:rsidRPr="00497E12" w:rsidRDefault="00BD343A" w:rsidP="00D10CE3">
            <w:pPr>
              <w:ind w:right="115"/>
              <w:jc w:val="center"/>
              <w:rPr>
                <w:rFonts w:ascii="Arial Narrow" w:hAnsi="Arial Narrow"/>
                <w:sz w:val="20"/>
              </w:rPr>
            </w:pPr>
            <w:r w:rsidRPr="00497E12">
              <w:rPr>
                <w:rFonts w:ascii="Arial Narrow" w:hAnsi="Arial Narrow"/>
                <w:sz w:val="20"/>
              </w:rPr>
              <w:t>-</w:t>
            </w:r>
          </w:p>
        </w:tc>
      </w:tr>
      <w:tr w:rsidR="00BD343A" w:rsidRPr="00497E12" w:rsidTr="00882EDD">
        <w:tc>
          <w:tcPr>
            <w:tcW w:w="933" w:type="pct"/>
          </w:tcPr>
          <w:p w:rsidR="00BD343A" w:rsidRPr="00497E12" w:rsidRDefault="00BD343A" w:rsidP="00D10CE3">
            <w:pPr>
              <w:jc w:val="left"/>
              <w:rPr>
                <w:rFonts w:ascii="Arial Narrow" w:hAnsi="Arial Narrow"/>
                <w:sz w:val="20"/>
              </w:rPr>
            </w:pPr>
            <w:r w:rsidRPr="00497E12">
              <w:rPr>
                <w:rFonts w:ascii="Arial Narrow" w:hAnsi="Arial Narrow"/>
                <w:sz w:val="20"/>
              </w:rPr>
              <w:t>PFS median months</w:t>
            </w:r>
          </w:p>
          <w:p w:rsidR="00BD343A" w:rsidRPr="00497E12" w:rsidRDefault="00BD343A" w:rsidP="00D10CE3">
            <w:pPr>
              <w:ind w:right="-170"/>
              <w:jc w:val="left"/>
              <w:rPr>
                <w:rFonts w:ascii="Arial Narrow" w:hAnsi="Arial Narrow"/>
                <w:sz w:val="20"/>
              </w:rPr>
            </w:pPr>
            <w:r w:rsidRPr="00497E12">
              <w:rPr>
                <w:rFonts w:ascii="Arial Narrow" w:hAnsi="Arial Narrow"/>
                <w:sz w:val="20"/>
              </w:rPr>
              <w:t>(95% CI)</w:t>
            </w:r>
          </w:p>
        </w:tc>
        <w:tc>
          <w:tcPr>
            <w:tcW w:w="1018"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4.60 (3.71, 5.39)</w:t>
            </w:r>
          </w:p>
        </w:tc>
        <w:tc>
          <w:tcPr>
            <w:tcW w:w="1015" w:type="pct"/>
            <w:vAlign w:val="center"/>
          </w:tcPr>
          <w:p w:rsidR="00BD343A" w:rsidRPr="00497E12" w:rsidRDefault="00BD343A" w:rsidP="00D10CE3">
            <w:pPr>
              <w:ind w:right="-170"/>
              <w:jc w:val="center"/>
              <w:rPr>
                <w:rFonts w:ascii="Arial Narrow" w:hAnsi="Arial Narrow"/>
                <w:sz w:val="20"/>
              </w:rPr>
            </w:pPr>
            <w:r w:rsidRPr="00497E12">
              <w:rPr>
                <w:rFonts w:ascii="Arial Narrow" w:hAnsi="Arial Narrow"/>
                <w:sz w:val="20"/>
              </w:rPr>
              <w:t>4.44 (3.71, 5.52)</w:t>
            </w:r>
          </w:p>
        </w:tc>
        <w:tc>
          <w:tcPr>
            <w:tcW w:w="1102" w:type="pct"/>
            <w:vAlign w:val="center"/>
          </w:tcPr>
          <w:p w:rsidR="00BD343A" w:rsidRPr="00497E12" w:rsidRDefault="00BD343A" w:rsidP="00D10CE3">
            <w:pPr>
              <w:ind w:right="115"/>
              <w:jc w:val="center"/>
              <w:rPr>
                <w:rFonts w:ascii="Arial Narrow" w:hAnsi="Arial Narrow"/>
                <w:sz w:val="20"/>
              </w:rPr>
            </w:pPr>
            <w:r w:rsidRPr="00497E12">
              <w:rPr>
                <w:rFonts w:ascii="Arial Narrow" w:hAnsi="Arial Narrow"/>
                <w:sz w:val="20"/>
              </w:rPr>
              <w:t>0.16</w:t>
            </w:r>
          </w:p>
        </w:tc>
        <w:tc>
          <w:tcPr>
            <w:tcW w:w="933" w:type="pct"/>
            <w:vAlign w:val="center"/>
          </w:tcPr>
          <w:p w:rsidR="00BD343A" w:rsidRPr="00497E12" w:rsidRDefault="00BD343A" w:rsidP="00D10CE3">
            <w:pPr>
              <w:ind w:right="115"/>
              <w:jc w:val="center"/>
              <w:rPr>
                <w:rFonts w:ascii="Arial Narrow" w:hAnsi="Arial Narrow"/>
                <w:sz w:val="20"/>
              </w:rPr>
            </w:pPr>
            <w:r w:rsidRPr="00497E12">
              <w:rPr>
                <w:rFonts w:ascii="Arial Narrow" w:hAnsi="Arial Narrow"/>
                <w:sz w:val="20"/>
              </w:rPr>
              <w:t>0.88 (0.75, 1.03)</w:t>
            </w:r>
          </w:p>
        </w:tc>
      </w:tr>
      <w:tr w:rsidR="00BD343A" w:rsidRPr="00497E12" w:rsidTr="00D10CE3">
        <w:tc>
          <w:tcPr>
            <w:tcW w:w="5000" w:type="pct"/>
            <w:gridSpan w:val="5"/>
            <w:vAlign w:val="center"/>
          </w:tcPr>
          <w:p w:rsidR="00BD343A" w:rsidRPr="00497E12" w:rsidRDefault="00BD343A" w:rsidP="00D10CE3">
            <w:pPr>
              <w:ind w:right="115"/>
              <w:jc w:val="left"/>
              <w:rPr>
                <w:rFonts w:ascii="Arial Narrow" w:hAnsi="Arial Narrow"/>
                <w:b/>
                <w:sz w:val="20"/>
              </w:rPr>
            </w:pPr>
            <w:r w:rsidRPr="00497E12">
              <w:rPr>
                <w:rFonts w:ascii="Arial Narrow" w:hAnsi="Arial Narrow"/>
                <w:b/>
                <w:sz w:val="20"/>
              </w:rPr>
              <w:t>Clinical progression-free survival</w:t>
            </w:r>
          </w:p>
        </w:tc>
      </w:tr>
      <w:tr w:rsidR="00BD343A" w:rsidRPr="00497E12" w:rsidTr="00882EDD">
        <w:tc>
          <w:tcPr>
            <w:tcW w:w="933" w:type="pct"/>
          </w:tcPr>
          <w:p w:rsidR="00BD343A" w:rsidRPr="00497E12" w:rsidRDefault="00BD343A" w:rsidP="00D10CE3">
            <w:pPr>
              <w:jc w:val="left"/>
              <w:rPr>
                <w:rFonts w:ascii="Arial Narrow" w:hAnsi="Arial Narrow"/>
                <w:sz w:val="20"/>
              </w:rPr>
            </w:pPr>
            <w:r w:rsidRPr="00497E12">
              <w:rPr>
                <w:rFonts w:ascii="Arial Narrow" w:hAnsi="Arial Narrow"/>
                <w:sz w:val="20"/>
              </w:rPr>
              <w:t>PFS median months</w:t>
            </w:r>
          </w:p>
          <w:p w:rsidR="00BD343A" w:rsidRPr="00497E12" w:rsidRDefault="00BD343A" w:rsidP="00D10CE3">
            <w:pPr>
              <w:ind w:right="-170"/>
              <w:jc w:val="left"/>
              <w:rPr>
                <w:rFonts w:ascii="Arial Narrow" w:hAnsi="Arial Narrow"/>
                <w:sz w:val="20"/>
              </w:rPr>
            </w:pPr>
            <w:r w:rsidRPr="00497E12">
              <w:rPr>
                <w:rFonts w:ascii="Arial Narrow" w:hAnsi="Arial Narrow"/>
                <w:sz w:val="20"/>
              </w:rPr>
              <w:t>(95% CI)</w:t>
            </w:r>
          </w:p>
        </w:tc>
        <w:tc>
          <w:tcPr>
            <w:tcW w:w="1018" w:type="pct"/>
            <w:vAlign w:val="center"/>
          </w:tcPr>
          <w:p w:rsidR="00BD343A" w:rsidRPr="00497E12" w:rsidRDefault="00B32DC8" w:rsidP="00D10CE3">
            <w:pPr>
              <w:ind w:right="-170"/>
              <w:jc w:val="center"/>
              <w:rPr>
                <w:rFonts w:ascii="Arial Narrow" w:hAnsi="Arial Narrow"/>
                <w:sz w:val="20"/>
              </w:rPr>
            </w:pP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w:t>
            </w:r>
          </w:p>
        </w:tc>
        <w:tc>
          <w:tcPr>
            <w:tcW w:w="1015" w:type="pct"/>
            <w:vAlign w:val="center"/>
          </w:tcPr>
          <w:p w:rsidR="00BD343A" w:rsidRPr="00497E12" w:rsidRDefault="00B32DC8" w:rsidP="00D10CE3">
            <w:pPr>
              <w:ind w:right="-170"/>
              <w:jc w:val="center"/>
              <w:rPr>
                <w:rFonts w:ascii="Arial Narrow" w:hAnsi="Arial Narrow"/>
                <w:sz w:val="20"/>
              </w:rPr>
            </w:pP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w:t>
            </w:r>
          </w:p>
        </w:tc>
        <w:tc>
          <w:tcPr>
            <w:tcW w:w="1102" w:type="pct"/>
            <w:vAlign w:val="center"/>
          </w:tcPr>
          <w:p w:rsidR="00BD343A" w:rsidRPr="00B32DC8" w:rsidRDefault="00B32DC8" w:rsidP="00D10CE3">
            <w:pPr>
              <w:ind w:right="115"/>
              <w:jc w:val="center"/>
              <w:rPr>
                <w:rFonts w:ascii="Arial Narrow" w:hAnsi="Arial Narrow"/>
                <w:sz w:val="20"/>
                <w:highlight w:val="black"/>
              </w:rPr>
            </w:pPr>
            <w:r>
              <w:rPr>
                <w:rFonts w:ascii="Arial Narrow" w:hAnsi="Arial Narrow"/>
                <w:noProof/>
                <w:color w:val="000000"/>
                <w:sz w:val="20"/>
                <w:highlight w:val="black"/>
              </w:rPr>
              <w:t>'''''''''''</w:t>
            </w:r>
          </w:p>
        </w:tc>
        <w:tc>
          <w:tcPr>
            <w:tcW w:w="933" w:type="pct"/>
            <w:vAlign w:val="center"/>
          </w:tcPr>
          <w:p w:rsidR="00BD343A" w:rsidRPr="00497E12" w:rsidRDefault="00B32DC8" w:rsidP="00D10CE3">
            <w:pPr>
              <w:ind w:right="115"/>
              <w:jc w:val="center"/>
              <w:rPr>
                <w:rFonts w:ascii="Arial Narrow" w:hAnsi="Arial Narrow"/>
                <w:sz w:val="20"/>
              </w:rPr>
            </w:pP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 xml:space="preserve">, </w:t>
            </w:r>
            <w:r>
              <w:rPr>
                <w:rFonts w:ascii="Arial Narrow" w:hAnsi="Arial Narrow"/>
                <w:noProof/>
                <w:color w:val="000000"/>
                <w:sz w:val="20"/>
                <w:highlight w:val="black"/>
              </w:rPr>
              <w:t>'''''''''''</w:t>
            </w:r>
            <w:r w:rsidR="00BD343A" w:rsidRPr="00497E12">
              <w:rPr>
                <w:rFonts w:ascii="Arial Narrow" w:hAnsi="Arial Narrow"/>
                <w:sz w:val="20"/>
              </w:rPr>
              <w:t>)</w:t>
            </w:r>
            <w:r w:rsidR="00BD343A" w:rsidRPr="00497E12">
              <w:rPr>
                <w:rFonts w:ascii="Arial Narrow" w:hAnsi="Arial Narrow"/>
                <w:sz w:val="20"/>
                <w:vertAlign w:val="superscript"/>
              </w:rPr>
              <w:t>b</w:t>
            </w:r>
          </w:p>
        </w:tc>
      </w:tr>
    </w:tbl>
    <w:p w:rsidR="00BD343A" w:rsidRPr="00497E12" w:rsidRDefault="00BD343A" w:rsidP="00BD343A">
      <w:pPr>
        <w:pStyle w:val="TableFooter"/>
        <w:ind w:left="709"/>
      </w:pPr>
      <w:r w:rsidRPr="00497E12">
        <w:t>Sources: Table 26, p65 of the submission; Table 28, p68-69 of the submission.</w:t>
      </w:r>
    </w:p>
    <w:p w:rsidR="00BD343A" w:rsidRPr="00497E12" w:rsidRDefault="00BD343A" w:rsidP="00BD343A">
      <w:pPr>
        <w:pStyle w:val="TableFooter"/>
        <w:ind w:left="709"/>
      </w:pPr>
      <w:r w:rsidRPr="00497E12">
        <w:t>Abbreviations: HR=hazard ratio; NR=not reported; OS=overall survival; PFS=progression-free survival; RECIST=Response Evaluation Criteria in Solid Tumours.</w:t>
      </w:r>
    </w:p>
    <w:p w:rsidR="00BD343A" w:rsidRPr="00497E12" w:rsidRDefault="00BD343A" w:rsidP="00BD343A">
      <w:pPr>
        <w:pStyle w:val="TableFooter"/>
        <w:ind w:left="709"/>
        <w:rPr>
          <w:szCs w:val="18"/>
        </w:rPr>
      </w:pPr>
      <w:proofErr w:type="gramStart"/>
      <w:r w:rsidRPr="00497E12">
        <w:rPr>
          <w:szCs w:val="18"/>
          <w:vertAlign w:val="superscript"/>
        </w:rPr>
        <w:t>a</w:t>
      </w:r>
      <w:proofErr w:type="gramEnd"/>
      <w:r w:rsidRPr="00497E12">
        <w:rPr>
          <w:szCs w:val="18"/>
          <w:vertAlign w:val="superscript"/>
        </w:rPr>
        <w:t xml:space="preserve"> </w:t>
      </w:r>
      <w:r w:rsidRPr="00497E12">
        <w:rPr>
          <w:szCs w:val="18"/>
        </w:rPr>
        <w:t>98.52% CI. The 98.52% CI was used for the OS results as the trial outcomes were based on the interim analysis, where the pre-determined boundary for significance was at p-value</w:t>
      </w:r>
      <w:r w:rsidR="00610B06" w:rsidRPr="00497E12">
        <w:rPr>
          <w:szCs w:val="18"/>
        </w:rPr>
        <w:t xml:space="preserve"> of 0.0148 (100%-1.48%=98.52%).</w:t>
      </w:r>
    </w:p>
    <w:p w:rsidR="00BD343A" w:rsidRPr="00497E12" w:rsidRDefault="00BD343A" w:rsidP="00BD343A">
      <w:pPr>
        <w:pStyle w:val="TableFooter"/>
        <w:ind w:left="720"/>
        <w:rPr>
          <w:szCs w:val="18"/>
        </w:rPr>
      </w:pPr>
      <w:proofErr w:type="gramStart"/>
      <w:r w:rsidRPr="00497E12">
        <w:rPr>
          <w:szCs w:val="18"/>
          <w:vertAlign w:val="superscript"/>
        </w:rPr>
        <w:t>b</w:t>
      </w:r>
      <w:proofErr w:type="gramEnd"/>
      <w:r w:rsidRPr="00497E12">
        <w:rPr>
          <w:szCs w:val="18"/>
        </w:rPr>
        <w:t xml:space="preserve"> Rounded off to the second decimal digits during the evaluation.</w:t>
      </w:r>
    </w:p>
    <w:p w:rsidR="00CF63F8" w:rsidRPr="00497E12" w:rsidRDefault="00CF63F8" w:rsidP="00CF63F8">
      <w:pPr>
        <w:widowControl/>
      </w:pPr>
    </w:p>
    <w:p w:rsidR="00874C1E" w:rsidRPr="00497E12" w:rsidRDefault="00B96333" w:rsidP="00B96333">
      <w:pPr>
        <w:keepNext/>
        <w:ind w:left="720"/>
        <w:rPr>
          <w:rFonts w:ascii="Arial Narrow" w:hAnsi="Arial Narrow"/>
          <w:b/>
          <w:sz w:val="20"/>
        </w:rPr>
      </w:pPr>
      <w:r w:rsidRPr="00497E12">
        <w:rPr>
          <w:rFonts w:ascii="Arial Narrow" w:hAnsi="Arial Narrow"/>
          <w:b/>
          <w:sz w:val="20"/>
        </w:rPr>
        <w:lastRenderedPageBreak/>
        <w:t xml:space="preserve">Figure 1: </w:t>
      </w:r>
      <w:r w:rsidR="00874C1E" w:rsidRPr="00497E12">
        <w:rPr>
          <w:rFonts w:ascii="Arial Narrow" w:hAnsi="Arial Narrow"/>
          <w:b/>
          <w:sz w:val="20"/>
        </w:rPr>
        <w:t>Kaplan-Meier overall survival plot from trial CA209-025</w:t>
      </w:r>
    </w:p>
    <w:p w:rsidR="00874C1E" w:rsidRPr="00497E12" w:rsidRDefault="00874C1E" w:rsidP="00874C1E">
      <w:pPr>
        <w:ind w:left="720"/>
        <w:rPr>
          <w:rFonts w:ascii="Arial Narrow" w:hAnsi="Arial Narrow"/>
          <w:b/>
          <w:sz w:val="20"/>
        </w:rPr>
      </w:pPr>
      <w:r w:rsidRPr="00497E12">
        <w:rPr>
          <w:noProof/>
          <w:lang w:eastAsia="en-AU"/>
        </w:rPr>
        <w:drawing>
          <wp:inline distT="0" distB="0" distL="0" distR="0" wp14:anchorId="6954A202" wp14:editId="6ED80476">
            <wp:extent cx="5118100" cy="3105046"/>
            <wp:effectExtent l="19050" t="19050" r="25400" b="19685"/>
            <wp:docPr id="9" name="Picture 9" title="Figure 1: Kaplan-Meier overall survival plot from trial CA20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0223" cy="3148801"/>
                    </a:xfrm>
                    <a:prstGeom prst="rect">
                      <a:avLst/>
                    </a:prstGeom>
                    <a:ln>
                      <a:solidFill>
                        <a:schemeClr val="tx1"/>
                      </a:solidFill>
                    </a:ln>
                  </pic:spPr>
                </pic:pic>
              </a:graphicData>
            </a:graphic>
          </wp:inline>
        </w:drawing>
      </w:r>
    </w:p>
    <w:p w:rsidR="00874C1E" w:rsidRPr="00497E12" w:rsidRDefault="00874C1E" w:rsidP="00874C1E">
      <w:pPr>
        <w:pStyle w:val="TableFooter"/>
        <w:ind w:left="720"/>
      </w:pPr>
      <w:r w:rsidRPr="00497E12">
        <w:t>Source: Figure 6, p66 of the submission.</w:t>
      </w:r>
    </w:p>
    <w:p w:rsidR="00874C1E" w:rsidRPr="00497E12" w:rsidRDefault="00874C1E" w:rsidP="00CF63F8">
      <w:pPr>
        <w:widowControl/>
      </w:pPr>
    </w:p>
    <w:p w:rsidR="00874C1E" w:rsidRPr="00497E12" w:rsidRDefault="00874C1E" w:rsidP="00874C1E">
      <w:pPr>
        <w:keepNext/>
        <w:ind w:left="720"/>
        <w:rPr>
          <w:rFonts w:ascii="Arial Narrow" w:hAnsi="Arial Narrow"/>
          <w:b/>
          <w:sz w:val="20"/>
        </w:rPr>
      </w:pPr>
      <w:r w:rsidRPr="00497E12">
        <w:rPr>
          <w:rFonts w:ascii="Arial Narrow" w:hAnsi="Arial Narrow"/>
          <w:b/>
          <w:sz w:val="20"/>
        </w:rPr>
        <w:t>Figure 2: Kaplan-Meier RECIST v1.1-defined progression-free survival plot from trial CA209-025</w:t>
      </w:r>
    </w:p>
    <w:p w:rsidR="00874C1E" w:rsidRPr="00497E12" w:rsidRDefault="00874C1E" w:rsidP="00874C1E">
      <w:pPr>
        <w:keepNext/>
        <w:ind w:left="720"/>
        <w:rPr>
          <w:rFonts w:ascii="Arial Narrow" w:hAnsi="Arial Narrow"/>
          <w:b/>
          <w:sz w:val="20"/>
        </w:rPr>
      </w:pPr>
      <w:r w:rsidRPr="00497E12">
        <w:rPr>
          <w:noProof/>
          <w:lang w:eastAsia="en-AU"/>
        </w:rPr>
        <w:drawing>
          <wp:inline distT="0" distB="0" distL="0" distR="0" wp14:anchorId="7030059F" wp14:editId="7D548E08">
            <wp:extent cx="4889500" cy="2943079"/>
            <wp:effectExtent l="19050" t="19050" r="25400" b="10160"/>
            <wp:docPr id="1" name="Picture 1" title="Figure 2: Kaplan-Meier RECIST v1.1-defined progression-free survival plot from trial CA20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8598" cy="2954574"/>
                    </a:xfrm>
                    <a:prstGeom prst="rect">
                      <a:avLst/>
                    </a:prstGeom>
                    <a:ln>
                      <a:solidFill>
                        <a:schemeClr val="tx1"/>
                      </a:solidFill>
                    </a:ln>
                  </pic:spPr>
                </pic:pic>
              </a:graphicData>
            </a:graphic>
          </wp:inline>
        </w:drawing>
      </w:r>
    </w:p>
    <w:p w:rsidR="00874C1E" w:rsidRPr="00497E12" w:rsidRDefault="00874C1E" w:rsidP="00874C1E">
      <w:pPr>
        <w:pStyle w:val="TableFooter"/>
        <w:keepNext/>
        <w:ind w:left="720"/>
      </w:pPr>
      <w:r w:rsidRPr="00497E12">
        <w:t>Source: Figure 8, p70 of the submission.</w:t>
      </w:r>
    </w:p>
    <w:p w:rsidR="00874C1E" w:rsidRPr="00497E12" w:rsidRDefault="00874C1E" w:rsidP="00874C1E">
      <w:pPr>
        <w:pStyle w:val="TableFooter"/>
        <w:ind w:left="720"/>
      </w:pPr>
      <w:r w:rsidRPr="00497E12">
        <w:t>Abbreviation: RECIST=Response Evaluation Criteria in Solid Tumours.</w:t>
      </w:r>
    </w:p>
    <w:p w:rsidR="00874C1E" w:rsidRPr="00497E12" w:rsidRDefault="00874C1E" w:rsidP="00874C1E">
      <w:pPr>
        <w:rPr>
          <w:szCs w:val="22"/>
        </w:rPr>
      </w:pPr>
    </w:p>
    <w:p w:rsidR="00874C1E" w:rsidRPr="00497E12" w:rsidRDefault="00874C1E" w:rsidP="00B96333">
      <w:pPr>
        <w:keepNext/>
        <w:ind w:left="720"/>
        <w:rPr>
          <w:rFonts w:ascii="Arial Narrow" w:hAnsi="Arial Narrow"/>
          <w:b/>
          <w:sz w:val="20"/>
        </w:rPr>
      </w:pPr>
      <w:r w:rsidRPr="00497E12">
        <w:rPr>
          <w:rFonts w:ascii="Arial Narrow" w:hAnsi="Arial Narrow"/>
          <w:b/>
          <w:sz w:val="20"/>
        </w:rPr>
        <w:lastRenderedPageBreak/>
        <w:t>Figure 3: Kaplan-Meier clinical progression-free survival plot from trial CA209-025</w:t>
      </w:r>
    </w:p>
    <w:p w:rsidR="00874C1E" w:rsidRPr="00497E12" w:rsidRDefault="00B32DC8" w:rsidP="00874C1E">
      <w:pPr>
        <w:pStyle w:val="TableFooter"/>
        <w:ind w:left="720"/>
        <w:rPr>
          <w:rFonts w:ascii="Arial" w:hAnsi="Arial"/>
          <w:sz w:val="22"/>
        </w:rPr>
      </w:pPr>
      <w:r>
        <w:rPr>
          <w:rFonts w:ascii="Arial" w:hAnsi="Arial"/>
          <w:noProof/>
          <w:snapToGrid/>
          <w:sz w:val="22"/>
          <w:lang w:eastAsia="en-AU"/>
        </w:rPr>
        <w:drawing>
          <wp:inline distT="0" distB="0" distL="0" distR="0" wp14:anchorId="2FD9D10D" wp14:editId="5235BB36">
            <wp:extent cx="4889500" cy="2209165"/>
            <wp:effectExtent l="0" t="0" r="6350" b="635"/>
            <wp:docPr id="2" name="Picture 2" title="Figure 3: Kaplan-Meier clinical progression-free survival plot from trial CA209-025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89500" cy="2209165"/>
                    </a:xfrm>
                    <a:prstGeom prst="rect">
                      <a:avLst/>
                    </a:prstGeom>
                  </pic:spPr>
                </pic:pic>
              </a:graphicData>
            </a:graphic>
          </wp:inline>
        </w:drawing>
      </w:r>
    </w:p>
    <w:p w:rsidR="00874C1E" w:rsidRPr="00497E12" w:rsidRDefault="00874C1E" w:rsidP="00874C1E">
      <w:pPr>
        <w:pStyle w:val="TableFooter"/>
        <w:ind w:left="720"/>
      </w:pPr>
      <w:r w:rsidRPr="00497E12">
        <w:t>Source: Figure 9, p70 of the submission.</w:t>
      </w:r>
    </w:p>
    <w:p w:rsidR="00874C1E" w:rsidRPr="00497E12" w:rsidRDefault="00874C1E" w:rsidP="00874C1E">
      <w:pPr>
        <w:pStyle w:val="TableFooter"/>
        <w:rPr>
          <w:rFonts w:ascii="Arial" w:hAnsi="Arial"/>
          <w:sz w:val="22"/>
        </w:rPr>
      </w:pPr>
    </w:p>
    <w:p w:rsidR="00CF63F8" w:rsidRPr="00497E12" w:rsidRDefault="00CF63F8" w:rsidP="00A45A8D">
      <w:pPr>
        <w:pStyle w:val="ListParagraph"/>
        <w:widowControl/>
        <w:numPr>
          <w:ilvl w:val="1"/>
          <w:numId w:val="24"/>
        </w:numPr>
        <w:ind w:left="851" w:hanging="851"/>
      </w:pPr>
      <w:proofErr w:type="spellStart"/>
      <w:r w:rsidRPr="00497E12">
        <w:t>Nivolumab</w:t>
      </w:r>
      <w:proofErr w:type="spellEnd"/>
      <w:r w:rsidRPr="00497E12">
        <w:t xml:space="preserve"> treated patients had statistically significantly longer OS compared to </w:t>
      </w:r>
      <w:proofErr w:type="spellStart"/>
      <w:r w:rsidRPr="00497E12">
        <w:t>everolimus</w:t>
      </w:r>
      <w:proofErr w:type="spellEnd"/>
      <w:r w:rsidRPr="00497E12">
        <w:t xml:space="preserve"> treated patients</w:t>
      </w:r>
      <w:r w:rsidR="00584626">
        <w:t xml:space="preserve"> (p=0.002). A</w:t>
      </w:r>
      <w:r w:rsidR="00584626" w:rsidRPr="00497E12">
        <w:t>t the database lock (18 June 2015)</w:t>
      </w:r>
      <w:r w:rsidR="00584626">
        <w:t xml:space="preserve">, the median survival </w:t>
      </w:r>
      <w:r w:rsidR="00584626" w:rsidRPr="00497E12">
        <w:t xml:space="preserve"> </w:t>
      </w:r>
      <w:r w:rsidR="00584626">
        <w:t xml:space="preserve">was prolonged by </w:t>
      </w:r>
      <w:r w:rsidR="00584626" w:rsidRPr="00497E12">
        <w:t>5.45 months</w:t>
      </w:r>
      <w:r w:rsidR="00584626">
        <w:t>, and the estimated proportion of patients alive after 2 years of follow-up was improved from approximately 45% to 50%.</w:t>
      </w:r>
      <w:r w:rsidR="00584626" w:rsidRPr="00497E12">
        <w:t xml:space="preserve"> </w:t>
      </w:r>
      <w:r w:rsidR="00AA7DD6" w:rsidRPr="00497E12">
        <w:t xml:space="preserve">The ESC considered that there is a clear OS benefit demonstrated in the trial at </w:t>
      </w:r>
      <w:r w:rsidR="00DA4E05">
        <w:t xml:space="preserve">the </w:t>
      </w:r>
      <w:r w:rsidR="00AA7DD6" w:rsidRPr="00497E12">
        <w:t xml:space="preserve">time of trial termination. </w:t>
      </w:r>
      <w:r w:rsidRPr="00497E12">
        <w:t xml:space="preserve">Given the early termination of the trial and variation of circumstances of </w:t>
      </w:r>
      <w:proofErr w:type="spellStart"/>
      <w:r w:rsidRPr="00497E12">
        <w:t>everolimus</w:t>
      </w:r>
      <w:proofErr w:type="spellEnd"/>
      <w:r w:rsidRPr="00497E12">
        <w:t xml:space="preserve"> use between the trial and the clinical practice (whereas patients in the trial were allowed to continue </w:t>
      </w:r>
      <w:proofErr w:type="spellStart"/>
      <w:r w:rsidRPr="00497E12">
        <w:t>everolimus</w:t>
      </w:r>
      <w:proofErr w:type="spellEnd"/>
      <w:r w:rsidRPr="00497E12">
        <w:t xml:space="preserve"> therapy beyond progression, the PBS restriction does not permit therapy beyond progression), the </w:t>
      </w:r>
      <w:r w:rsidR="00AA7DD6" w:rsidRPr="00497E12">
        <w:t xml:space="preserve">extent of overall </w:t>
      </w:r>
      <w:r w:rsidRPr="00497E12">
        <w:t>survival benefit observed in the trial would be unlikely to be observ</w:t>
      </w:r>
      <w:r w:rsidR="00B96333" w:rsidRPr="00497E12">
        <w:t>ed in the proposed PBS setting.</w:t>
      </w:r>
      <w:r w:rsidR="004308E0">
        <w:t xml:space="preserve"> </w:t>
      </w:r>
      <w:r w:rsidR="004308E0" w:rsidRPr="00497E12">
        <w:t>The PSCR commented that the Kaplan-Meier curves remain parallel and that hence proportional hazards assumption holds true.</w:t>
      </w:r>
    </w:p>
    <w:p w:rsidR="00CF63F8" w:rsidRPr="00497E12" w:rsidRDefault="00CF63F8" w:rsidP="00CF63F8">
      <w:pPr>
        <w:widowControl/>
      </w:pPr>
    </w:p>
    <w:p w:rsidR="00CF63F8" w:rsidRPr="00497E12" w:rsidRDefault="00584626" w:rsidP="00A45A8D">
      <w:pPr>
        <w:pStyle w:val="ListParagraph"/>
        <w:widowControl/>
        <w:numPr>
          <w:ilvl w:val="1"/>
          <w:numId w:val="24"/>
        </w:numPr>
        <w:ind w:left="851" w:hanging="851"/>
      </w:pPr>
      <w:r>
        <w:t xml:space="preserve">There was no statistically significant difference in </w:t>
      </w:r>
      <w:r w:rsidR="00CF63F8" w:rsidRPr="00497E12">
        <w:t xml:space="preserve">RECIST v1.1-defined PFS </w:t>
      </w:r>
      <w:r w:rsidRPr="00584626">
        <w:t xml:space="preserve">for patients treated with </w:t>
      </w:r>
      <w:proofErr w:type="spellStart"/>
      <w:r w:rsidRPr="00584626">
        <w:t>nivolumab</w:t>
      </w:r>
      <w:proofErr w:type="spellEnd"/>
      <w:r w:rsidRPr="00584626">
        <w:t xml:space="preserve"> </w:t>
      </w:r>
      <w:r w:rsidR="00CF63F8" w:rsidRPr="00497E12">
        <w:t xml:space="preserve">compared to </w:t>
      </w:r>
      <w:proofErr w:type="spellStart"/>
      <w:r w:rsidR="00CF63F8" w:rsidRPr="00497E12">
        <w:t>everolimus</w:t>
      </w:r>
      <w:proofErr w:type="spellEnd"/>
      <w:r w:rsidR="00062BDB" w:rsidRPr="00497E12">
        <w:t xml:space="preserve">. </w:t>
      </w:r>
      <w:r w:rsidR="00CF63F8" w:rsidRPr="00497E12">
        <w:t xml:space="preserve">Post-hoc </w:t>
      </w:r>
      <w:r w:rsidR="00CB7AEE" w:rsidRPr="00497E12">
        <w:t>“</w:t>
      </w:r>
      <w:r w:rsidR="00CF63F8" w:rsidRPr="00497E12">
        <w:t>clinical PFS</w:t>
      </w:r>
      <w:r w:rsidR="00CB7AEE" w:rsidRPr="00497E12">
        <w:t>”</w:t>
      </w:r>
      <w:r w:rsidR="00CF63F8" w:rsidRPr="00497E12">
        <w:t xml:space="preserve"> demonstrated a statistically significantly longer median </w:t>
      </w:r>
      <w:r w:rsidR="00CB7AEE" w:rsidRPr="00497E12">
        <w:t>“</w:t>
      </w:r>
      <w:r w:rsidR="00CF63F8" w:rsidRPr="00497E12">
        <w:t>clinical PFS</w:t>
      </w:r>
      <w:r w:rsidR="00CB7AEE" w:rsidRPr="00497E12">
        <w:t xml:space="preserve">” for </w:t>
      </w:r>
      <w:proofErr w:type="spellStart"/>
      <w:r w:rsidR="00CB7AEE" w:rsidRPr="00497E12">
        <w:t>nivolumab</w:t>
      </w:r>
      <w:proofErr w:type="spellEnd"/>
      <w:r w:rsidR="00CB7AEE" w:rsidRPr="00497E12">
        <w:t>-</w:t>
      </w:r>
      <w:r w:rsidR="00CF63F8" w:rsidRPr="00497E12">
        <w:t xml:space="preserve">treated patients with a gain of </w:t>
      </w:r>
      <w:r w:rsidR="00B32DC8">
        <w:rPr>
          <w:noProof/>
          <w:color w:val="000000"/>
          <w:highlight w:val="black"/>
        </w:rPr>
        <w:t>'''''''''''</w:t>
      </w:r>
      <w:r w:rsidR="00CF63F8" w:rsidRPr="00497E12">
        <w:t xml:space="preserve"> months in comparison to </w:t>
      </w:r>
      <w:proofErr w:type="spellStart"/>
      <w:r w:rsidR="00CF63F8" w:rsidRPr="00497E12">
        <w:t>everolimus</w:t>
      </w:r>
      <w:proofErr w:type="spellEnd"/>
      <w:r>
        <w:t xml:space="preserve"> “clinical PFS”</w:t>
      </w:r>
      <w:r w:rsidR="00CF63F8" w:rsidRPr="00497E12">
        <w:t xml:space="preserve">. In the </w:t>
      </w:r>
      <w:proofErr w:type="spellStart"/>
      <w:r w:rsidR="00CF63F8" w:rsidRPr="00497E12">
        <w:t>everolimus</w:t>
      </w:r>
      <w:proofErr w:type="spellEnd"/>
      <w:r w:rsidR="00CF63F8" w:rsidRPr="00497E12">
        <w:t xml:space="preserve"> arm, the median </w:t>
      </w:r>
      <w:r w:rsidR="00CB7AEE" w:rsidRPr="00497E12">
        <w:t>“</w:t>
      </w:r>
      <w:r w:rsidR="00CF63F8" w:rsidRPr="00497E12">
        <w:t>clinical PFS</w:t>
      </w:r>
      <w:r w:rsidR="00CB7AEE" w:rsidRPr="00497E12">
        <w:t>”</w:t>
      </w:r>
      <w:r w:rsidR="00CF63F8" w:rsidRPr="00497E12">
        <w:t xml:space="preserve"> was greater than the median RECIST v1.1-defined PFS by </w:t>
      </w:r>
      <w:r w:rsidR="00B32DC8">
        <w:rPr>
          <w:noProof/>
          <w:color w:val="000000"/>
          <w:highlight w:val="black"/>
        </w:rPr>
        <w:t>''''''</w:t>
      </w:r>
      <w:r w:rsidR="00CF63F8" w:rsidRPr="00497E12">
        <w:t>% (</w:t>
      </w:r>
      <w:r w:rsidR="00B32DC8">
        <w:rPr>
          <w:noProof/>
          <w:color w:val="000000"/>
          <w:highlight w:val="black"/>
        </w:rPr>
        <w:t>'''''''''''</w:t>
      </w:r>
      <w:r w:rsidR="00CF63F8" w:rsidRPr="00497E12">
        <w:t xml:space="preserve"> months)</w:t>
      </w:r>
      <w:r w:rsidR="00825B0C" w:rsidRPr="00497E12">
        <w:t>, although the confidence intervals on these estimates overlap</w:t>
      </w:r>
      <w:r w:rsidR="00CF63F8" w:rsidRPr="00497E12">
        <w:t xml:space="preserve">. This difference would be unlikely to be observed in the actual clinical setting since patients would discontinue </w:t>
      </w:r>
      <w:proofErr w:type="spellStart"/>
      <w:r w:rsidR="00CF63F8" w:rsidRPr="00497E12">
        <w:t>everolimus</w:t>
      </w:r>
      <w:proofErr w:type="spellEnd"/>
      <w:r w:rsidR="00CF63F8" w:rsidRPr="00497E12">
        <w:t xml:space="preserve"> upon progression in practice and thus progression would refer to treatment discontinuation. This indicated that the </w:t>
      </w:r>
      <w:r w:rsidR="00CB7AEE" w:rsidRPr="00497E12">
        <w:t>“</w:t>
      </w:r>
      <w:r w:rsidR="00CF63F8" w:rsidRPr="00497E12">
        <w:t>clinical PFS</w:t>
      </w:r>
      <w:r w:rsidR="00CB7AEE" w:rsidRPr="00497E12">
        <w:t>”</w:t>
      </w:r>
      <w:r w:rsidR="00CF63F8" w:rsidRPr="00497E12">
        <w:t xml:space="preserve"> hazard ratio of </w:t>
      </w:r>
      <w:r w:rsidR="00B32DC8">
        <w:rPr>
          <w:noProof/>
          <w:color w:val="000000"/>
          <w:highlight w:val="black"/>
        </w:rPr>
        <w:t>''''''''''</w:t>
      </w:r>
      <w:r w:rsidR="00CF63F8" w:rsidRPr="00497E12">
        <w:t xml:space="preserve"> was likely to be a conservative estimate favouring </w:t>
      </w:r>
      <w:proofErr w:type="spellStart"/>
      <w:r w:rsidR="00CF63F8" w:rsidRPr="00497E12">
        <w:t>everolimus</w:t>
      </w:r>
      <w:proofErr w:type="spellEnd"/>
      <w:r w:rsidR="00CF63F8" w:rsidRPr="00497E12">
        <w:t>, and unlikely to be reproduced in the intended PBS setting.</w:t>
      </w:r>
      <w:r w:rsidR="00485AE7" w:rsidRPr="00497E12">
        <w:t xml:space="preserve"> The ESC noted that the PFS curves </w:t>
      </w:r>
      <w:r w:rsidR="00097D5F" w:rsidRPr="00497E12">
        <w:rPr>
          <w:szCs w:val="22"/>
        </w:rPr>
        <w:t xml:space="preserve">demonstrated ongoing accumulation of </w:t>
      </w:r>
      <w:r w:rsidR="00D922CD" w:rsidRPr="00497E12">
        <w:rPr>
          <w:szCs w:val="22"/>
        </w:rPr>
        <w:t xml:space="preserve">progression events </w:t>
      </w:r>
      <w:r w:rsidR="00097D5F" w:rsidRPr="00497E12">
        <w:t xml:space="preserve">to 100%, </w:t>
      </w:r>
      <w:r w:rsidR="00545C6B" w:rsidRPr="00497E12">
        <w:t xml:space="preserve">which </w:t>
      </w:r>
      <w:r w:rsidR="00097D5F" w:rsidRPr="00497E12">
        <w:rPr>
          <w:szCs w:val="22"/>
        </w:rPr>
        <w:t>did not support any claim for a prolonged effect in a proportion of treated patients</w:t>
      </w:r>
      <w:r w:rsidR="00485AE7" w:rsidRPr="00497E12">
        <w:t>.</w:t>
      </w:r>
    </w:p>
    <w:p w:rsidR="00CF63F8" w:rsidRPr="00497E12" w:rsidRDefault="00CF63F8" w:rsidP="00CF63F8">
      <w:pPr>
        <w:widowControl/>
        <w:rPr>
          <w:szCs w:val="22"/>
        </w:rPr>
      </w:pPr>
    </w:p>
    <w:p w:rsidR="00CF63F8" w:rsidRPr="00497E12" w:rsidRDefault="00CF63F8" w:rsidP="00A45A8D">
      <w:pPr>
        <w:pStyle w:val="Heading2"/>
      </w:pPr>
      <w:bookmarkStart w:id="15" w:name="_Toc450136345"/>
      <w:r w:rsidRPr="00497E12">
        <w:t>Comparative harms</w:t>
      </w:r>
      <w:bookmarkEnd w:id="15"/>
    </w:p>
    <w:p w:rsidR="00CF63F8" w:rsidRPr="00497E12" w:rsidRDefault="00CF63F8" w:rsidP="00CF63F8">
      <w:pPr>
        <w:ind w:left="720" w:hanging="720"/>
        <w:rPr>
          <w:szCs w:val="22"/>
        </w:rPr>
      </w:pPr>
    </w:p>
    <w:p w:rsidR="00CF63F8" w:rsidRPr="00497E12" w:rsidRDefault="00CF63F8" w:rsidP="00A45A8D">
      <w:pPr>
        <w:pStyle w:val="ListParagraph"/>
        <w:widowControl/>
        <w:numPr>
          <w:ilvl w:val="1"/>
          <w:numId w:val="24"/>
        </w:numPr>
        <w:ind w:left="851" w:hanging="851"/>
      </w:pPr>
      <w:r w:rsidRPr="00497E12">
        <w:t>Table 4 provides a summary of key adverse events (AEs) in CA209-025.</w:t>
      </w:r>
    </w:p>
    <w:p w:rsidR="008E1C50" w:rsidRPr="00497E12" w:rsidRDefault="008E1C50" w:rsidP="008E1C50">
      <w:pPr>
        <w:rPr>
          <w:szCs w:val="22"/>
        </w:rPr>
      </w:pPr>
    </w:p>
    <w:p w:rsidR="00F85A80" w:rsidRPr="00497E12" w:rsidRDefault="00F85A80">
      <w:pPr>
        <w:widowControl/>
        <w:jc w:val="left"/>
        <w:rPr>
          <w:rFonts w:ascii="Arial Narrow" w:hAnsi="Arial Narrow"/>
          <w:b/>
          <w:sz w:val="20"/>
        </w:rPr>
      </w:pPr>
    </w:p>
    <w:p w:rsidR="008E1C50" w:rsidRPr="00497E12" w:rsidRDefault="00B96333" w:rsidP="00097D5F">
      <w:pPr>
        <w:pStyle w:val="ListParagraph"/>
        <w:keepNext/>
        <w:rPr>
          <w:rFonts w:ascii="Arial Narrow" w:hAnsi="Arial Narrow"/>
          <w:b/>
          <w:sz w:val="20"/>
        </w:rPr>
      </w:pPr>
      <w:r w:rsidRPr="00497E12">
        <w:rPr>
          <w:rFonts w:ascii="Arial Narrow" w:hAnsi="Arial Narrow"/>
          <w:b/>
          <w:sz w:val="20"/>
        </w:rPr>
        <w:t xml:space="preserve">Table 4: </w:t>
      </w:r>
      <w:r w:rsidR="008E1C50" w:rsidRPr="00497E12">
        <w:rPr>
          <w:rFonts w:ascii="Arial Narrow" w:hAnsi="Arial Narrow"/>
          <w:b/>
          <w:sz w:val="20"/>
        </w:rPr>
        <w:t>Summary of key ad</w:t>
      </w:r>
      <w:r w:rsidRPr="00497E12">
        <w:rPr>
          <w:rFonts w:ascii="Arial Narrow" w:hAnsi="Arial Narrow"/>
          <w:b/>
          <w:sz w:val="20"/>
        </w:rPr>
        <w:t>verse events in trial CA209-025</w:t>
      </w:r>
    </w:p>
    <w:tbl>
      <w:tblPr>
        <w:tblStyle w:val="TableGrid"/>
        <w:tblW w:w="4610" w:type="pct"/>
        <w:tblInd w:w="704" w:type="dxa"/>
        <w:tblCellMar>
          <w:left w:w="28" w:type="dxa"/>
          <w:right w:w="28" w:type="dxa"/>
        </w:tblCellMar>
        <w:tblLook w:val="04A0" w:firstRow="1" w:lastRow="0" w:firstColumn="1" w:lastColumn="0" w:noHBand="0" w:noVBand="1"/>
        <w:tblCaption w:val="Table 4: Summary of key adverse events in trial CA209-025"/>
      </w:tblPr>
      <w:tblGrid>
        <w:gridCol w:w="2858"/>
        <w:gridCol w:w="1998"/>
        <w:gridCol w:w="1849"/>
        <w:gridCol w:w="1670"/>
      </w:tblGrid>
      <w:tr w:rsidR="008E1C50" w:rsidRPr="00497E12" w:rsidTr="00D10CE3">
        <w:trPr>
          <w:tblHeader/>
        </w:trPr>
        <w:tc>
          <w:tcPr>
            <w:tcW w:w="1706" w:type="pct"/>
          </w:tcPr>
          <w:p w:rsidR="008E1C50" w:rsidRPr="00497E12" w:rsidRDefault="008E1C50" w:rsidP="00D10CE3">
            <w:pPr>
              <w:pStyle w:val="TableText0"/>
              <w:tabs>
                <w:tab w:val="left" w:pos="142"/>
              </w:tabs>
              <w:spacing w:before="0" w:after="0"/>
              <w:rPr>
                <w:szCs w:val="20"/>
              </w:rPr>
            </w:pPr>
          </w:p>
        </w:tc>
        <w:tc>
          <w:tcPr>
            <w:tcW w:w="1193" w:type="pct"/>
          </w:tcPr>
          <w:p w:rsidR="008E1C50" w:rsidRPr="00497E12" w:rsidRDefault="008E1C50" w:rsidP="00D10CE3">
            <w:pPr>
              <w:jc w:val="center"/>
              <w:rPr>
                <w:rFonts w:ascii="Arial Narrow" w:hAnsi="Arial Narrow"/>
                <w:sz w:val="20"/>
                <w:szCs w:val="20"/>
              </w:rPr>
            </w:pPr>
            <w:proofErr w:type="spellStart"/>
            <w:r w:rsidRPr="00497E12">
              <w:rPr>
                <w:rFonts w:ascii="Arial Narrow" w:hAnsi="Arial Narrow"/>
                <w:b/>
                <w:sz w:val="20"/>
                <w:szCs w:val="20"/>
              </w:rPr>
              <w:t>Nivolumab</w:t>
            </w:r>
            <w:proofErr w:type="spellEnd"/>
            <w:r w:rsidRPr="00497E12">
              <w:rPr>
                <w:rFonts w:ascii="Arial Narrow" w:hAnsi="Arial Narrow"/>
                <w:b/>
                <w:sz w:val="20"/>
                <w:szCs w:val="20"/>
              </w:rPr>
              <w:t xml:space="preserve"> (N=406)</w:t>
            </w:r>
          </w:p>
        </w:tc>
        <w:tc>
          <w:tcPr>
            <w:tcW w:w="1104" w:type="pct"/>
          </w:tcPr>
          <w:p w:rsidR="008E1C50" w:rsidRPr="00497E12" w:rsidRDefault="008E1C50" w:rsidP="00D10CE3">
            <w:pPr>
              <w:jc w:val="center"/>
              <w:rPr>
                <w:rFonts w:ascii="Arial Narrow" w:hAnsi="Arial Narrow"/>
                <w:sz w:val="20"/>
                <w:szCs w:val="20"/>
              </w:rPr>
            </w:pPr>
            <w:proofErr w:type="spellStart"/>
            <w:r w:rsidRPr="00497E12">
              <w:rPr>
                <w:rFonts w:ascii="Arial Narrow" w:hAnsi="Arial Narrow"/>
                <w:b/>
                <w:sz w:val="20"/>
                <w:szCs w:val="20"/>
              </w:rPr>
              <w:t>Everolimus</w:t>
            </w:r>
            <w:proofErr w:type="spellEnd"/>
            <w:r w:rsidRPr="00497E12">
              <w:rPr>
                <w:rFonts w:ascii="Arial Narrow" w:hAnsi="Arial Narrow"/>
                <w:b/>
                <w:sz w:val="20"/>
                <w:szCs w:val="20"/>
              </w:rPr>
              <w:t xml:space="preserve"> (N=397)</w:t>
            </w:r>
          </w:p>
        </w:tc>
        <w:tc>
          <w:tcPr>
            <w:tcW w:w="997" w:type="pct"/>
          </w:tcPr>
          <w:p w:rsidR="008E1C50" w:rsidRPr="00497E12" w:rsidRDefault="008E1C50" w:rsidP="00D10CE3">
            <w:pPr>
              <w:jc w:val="center"/>
              <w:rPr>
                <w:rFonts w:ascii="Arial Narrow" w:hAnsi="Arial Narrow"/>
                <w:sz w:val="20"/>
                <w:szCs w:val="20"/>
              </w:rPr>
            </w:pPr>
            <w:r w:rsidRPr="00497E12">
              <w:rPr>
                <w:rFonts w:ascii="Arial Narrow" w:hAnsi="Arial Narrow"/>
                <w:b/>
                <w:sz w:val="20"/>
                <w:szCs w:val="20"/>
              </w:rPr>
              <w:t>RD% (95% CI)</w:t>
            </w:r>
          </w:p>
        </w:tc>
      </w:tr>
      <w:tr w:rsidR="008E1C50" w:rsidRPr="00497E12" w:rsidTr="00D10CE3">
        <w:tc>
          <w:tcPr>
            <w:tcW w:w="1706" w:type="pct"/>
          </w:tcPr>
          <w:p w:rsidR="008E1C50" w:rsidRPr="00497E12" w:rsidRDefault="008E1C50" w:rsidP="00D10CE3">
            <w:pPr>
              <w:pStyle w:val="TableText0"/>
              <w:tabs>
                <w:tab w:val="left" w:pos="142"/>
              </w:tabs>
              <w:spacing w:before="0" w:after="0"/>
              <w:rPr>
                <w:rFonts w:cs="Arial"/>
                <w:b/>
                <w:snapToGrid w:val="0"/>
                <w:szCs w:val="20"/>
              </w:rPr>
            </w:pPr>
            <w:r w:rsidRPr="00497E12">
              <w:rPr>
                <w:rFonts w:cs="Arial"/>
                <w:b/>
                <w:snapToGrid w:val="0"/>
                <w:szCs w:val="20"/>
              </w:rPr>
              <w:t>All causality AE (any grade), n (%)</w:t>
            </w:r>
          </w:p>
        </w:tc>
        <w:tc>
          <w:tcPr>
            <w:tcW w:w="1193"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397 (97.8)</w:t>
            </w:r>
          </w:p>
        </w:tc>
        <w:tc>
          <w:tcPr>
            <w:tcW w:w="1104"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386 (97.2)</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0.6 (-1.6, 2.7)</w:t>
            </w:r>
          </w:p>
        </w:tc>
      </w:tr>
      <w:tr w:rsidR="008E1C50" w:rsidRPr="00497E12" w:rsidTr="00D10CE3">
        <w:tc>
          <w:tcPr>
            <w:tcW w:w="5000" w:type="pct"/>
            <w:gridSpan w:val="4"/>
            <w:vAlign w:val="center"/>
          </w:tcPr>
          <w:p w:rsidR="008E1C50" w:rsidRPr="00497E12" w:rsidRDefault="008E1C50" w:rsidP="00D10CE3">
            <w:pPr>
              <w:jc w:val="left"/>
              <w:rPr>
                <w:rFonts w:ascii="Arial Narrow" w:hAnsi="Arial Narrow"/>
                <w:sz w:val="20"/>
                <w:szCs w:val="20"/>
              </w:rPr>
            </w:pPr>
            <w:r w:rsidRPr="00497E12">
              <w:rPr>
                <w:rFonts w:ascii="Arial Narrow" w:hAnsi="Arial Narrow"/>
                <w:b/>
                <w:snapToGrid/>
                <w:sz w:val="20"/>
                <w:szCs w:val="20"/>
              </w:rPr>
              <w:t>All causality SAE, n (%)</w:t>
            </w:r>
          </w:p>
        </w:tc>
      </w:tr>
      <w:tr w:rsidR="008E1C50" w:rsidRPr="00497E12" w:rsidTr="00D10CE3">
        <w:tc>
          <w:tcPr>
            <w:tcW w:w="1706" w:type="pct"/>
          </w:tcPr>
          <w:p w:rsidR="008E1C50" w:rsidRPr="00497E12" w:rsidRDefault="008E1C50" w:rsidP="00D10CE3">
            <w:pPr>
              <w:pStyle w:val="TableText0"/>
              <w:tabs>
                <w:tab w:val="left" w:pos="142"/>
              </w:tabs>
              <w:spacing w:before="0" w:after="0"/>
              <w:rPr>
                <w:rFonts w:cs="Arial"/>
                <w:snapToGrid w:val="0"/>
                <w:szCs w:val="20"/>
              </w:rPr>
            </w:pPr>
            <w:r w:rsidRPr="00497E12">
              <w:rPr>
                <w:rFonts w:cs="Arial"/>
                <w:snapToGrid w:val="0"/>
                <w:szCs w:val="20"/>
              </w:rPr>
              <w:t>Any grade</w:t>
            </w:r>
          </w:p>
        </w:tc>
        <w:tc>
          <w:tcPr>
            <w:tcW w:w="1193"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194 (47.8)</w:t>
            </w:r>
          </w:p>
        </w:tc>
        <w:tc>
          <w:tcPr>
            <w:tcW w:w="1104"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173 (43.6)</w:t>
            </w:r>
          </w:p>
        </w:tc>
        <w:tc>
          <w:tcPr>
            <w:tcW w:w="997"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4.2 (-2.7, 11.1)</w:t>
            </w:r>
          </w:p>
        </w:tc>
      </w:tr>
      <w:tr w:rsidR="008E1C50" w:rsidRPr="00497E12" w:rsidTr="00D10CE3">
        <w:tc>
          <w:tcPr>
            <w:tcW w:w="1706" w:type="pct"/>
          </w:tcPr>
          <w:p w:rsidR="008E1C50" w:rsidRPr="00497E12" w:rsidRDefault="008E1C50" w:rsidP="00D10CE3">
            <w:pPr>
              <w:pStyle w:val="TableText0"/>
              <w:tabs>
                <w:tab w:val="left" w:pos="142"/>
              </w:tabs>
              <w:spacing w:before="0" w:after="0"/>
              <w:rPr>
                <w:rFonts w:cs="Arial"/>
                <w:snapToGrid w:val="0"/>
                <w:szCs w:val="20"/>
              </w:rPr>
            </w:pPr>
            <w:r w:rsidRPr="00497E12">
              <w:rPr>
                <w:rFonts w:cs="Arial"/>
                <w:snapToGrid w:val="0"/>
                <w:szCs w:val="20"/>
              </w:rPr>
              <w:t>Grade 3 or 4</w:t>
            </w:r>
          </w:p>
        </w:tc>
        <w:tc>
          <w:tcPr>
            <w:tcW w:w="1193"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148 (36.5)</w:t>
            </w:r>
          </w:p>
        </w:tc>
        <w:tc>
          <w:tcPr>
            <w:tcW w:w="1104"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116 (29.2)</w:t>
            </w:r>
          </w:p>
        </w:tc>
        <w:tc>
          <w:tcPr>
            <w:tcW w:w="997" w:type="pct"/>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7.2 (0.8, 13.7)</w:t>
            </w:r>
          </w:p>
        </w:tc>
      </w:tr>
      <w:tr w:rsidR="008E1C50" w:rsidRPr="00497E12" w:rsidTr="00D10CE3">
        <w:tc>
          <w:tcPr>
            <w:tcW w:w="5000" w:type="pct"/>
            <w:gridSpan w:val="4"/>
          </w:tcPr>
          <w:p w:rsidR="008E1C50" w:rsidRPr="00497E12" w:rsidRDefault="008E1C50" w:rsidP="00D10CE3">
            <w:pPr>
              <w:jc w:val="left"/>
              <w:rPr>
                <w:rFonts w:ascii="Arial Narrow" w:hAnsi="Arial Narrow"/>
                <w:b/>
                <w:sz w:val="20"/>
                <w:szCs w:val="20"/>
              </w:rPr>
            </w:pPr>
            <w:r w:rsidRPr="00497E12">
              <w:rPr>
                <w:rFonts w:ascii="Arial Narrow" w:hAnsi="Arial Narrow" w:cs="Arial Narrow"/>
                <w:b/>
                <w:snapToGrid/>
                <w:sz w:val="20"/>
                <w:szCs w:val="20"/>
              </w:rPr>
              <w:t>Drug-related AEs, n (%)</w:t>
            </w:r>
          </w:p>
        </w:tc>
      </w:tr>
      <w:tr w:rsidR="008E1C50" w:rsidRPr="00497E12" w:rsidTr="00D10CE3">
        <w:tc>
          <w:tcPr>
            <w:tcW w:w="1706" w:type="pct"/>
          </w:tcPr>
          <w:p w:rsidR="008E1C50" w:rsidRPr="00497E12" w:rsidRDefault="008E1C50" w:rsidP="00D10CE3">
            <w:pPr>
              <w:pStyle w:val="TableText0"/>
              <w:tabs>
                <w:tab w:val="left" w:pos="142"/>
              </w:tabs>
              <w:spacing w:before="0" w:after="0"/>
              <w:rPr>
                <w:szCs w:val="20"/>
              </w:rPr>
            </w:pPr>
            <w:r w:rsidRPr="00497E12">
              <w:rPr>
                <w:szCs w:val="20"/>
              </w:rPr>
              <w:t>Any grade</w:t>
            </w:r>
          </w:p>
        </w:tc>
        <w:tc>
          <w:tcPr>
            <w:tcW w:w="1193"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319 (78.6)</w:t>
            </w:r>
          </w:p>
        </w:tc>
        <w:tc>
          <w:tcPr>
            <w:tcW w:w="1104"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349 (87.9)</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-9.3 (-14.5, -4.2)</w:t>
            </w:r>
          </w:p>
        </w:tc>
      </w:tr>
      <w:tr w:rsidR="008E1C50" w:rsidRPr="00497E12" w:rsidTr="00D10CE3">
        <w:tc>
          <w:tcPr>
            <w:tcW w:w="1706" w:type="pct"/>
          </w:tcPr>
          <w:p w:rsidR="008E1C50" w:rsidRPr="00497E12" w:rsidRDefault="008E1C50" w:rsidP="00D10CE3">
            <w:pPr>
              <w:pStyle w:val="TableText0"/>
              <w:tabs>
                <w:tab w:val="left" w:pos="142"/>
              </w:tabs>
              <w:spacing w:before="0" w:after="0"/>
              <w:rPr>
                <w:szCs w:val="20"/>
              </w:rPr>
            </w:pPr>
            <w:r w:rsidRPr="00497E12">
              <w:rPr>
                <w:szCs w:val="20"/>
              </w:rPr>
              <w:t>Grade 3 or 4 AE</w:t>
            </w:r>
          </w:p>
        </w:tc>
        <w:tc>
          <w:tcPr>
            <w:tcW w:w="1193"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cs="Times New Roman"/>
                <w:snapToGrid/>
                <w:sz w:val="20"/>
                <w:szCs w:val="20"/>
                <w:lang w:eastAsia="en-AU"/>
              </w:rPr>
              <w:t>76 (18.7)</w:t>
            </w:r>
          </w:p>
        </w:tc>
        <w:tc>
          <w:tcPr>
            <w:tcW w:w="1104"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cs="Times New Roman"/>
                <w:snapToGrid/>
                <w:sz w:val="20"/>
                <w:szCs w:val="20"/>
                <w:lang w:eastAsia="en-AU"/>
              </w:rPr>
              <w:t>145 (36.5)</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-17.8 (-23.9, -11.7)</w:t>
            </w:r>
          </w:p>
        </w:tc>
      </w:tr>
      <w:tr w:rsidR="008E1C50" w:rsidRPr="00497E12" w:rsidTr="00D10CE3">
        <w:tc>
          <w:tcPr>
            <w:tcW w:w="1706" w:type="pct"/>
          </w:tcPr>
          <w:p w:rsidR="008E1C50" w:rsidRPr="00497E12" w:rsidRDefault="008E1C50" w:rsidP="00D10CE3">
            <w:pPr>
              <w:pStyle w:val="TableText0"/>
              <w:tabs>
                <w:tab w:val="left" w:pos="142"/>
              </w:tabs>
              <w:spacing w:before="0" w:after="0"/>
              <w:rPr>
                <w:szCs w:val="20"/>
              </w:rPr>
            </w:pPr>
            <w:r w:rsidRPr="00497E12">
              <w:rPr>
                <w:szCs w:val="20"/>
              </w:rPr>
              <w:t>Grade 3 or 4 anaemia</w:t>
            </w:r>
          </w:p>
        </w:tc>
        <w:tc>
          <w:tcPr>
            <w:tcW w:w="1193"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7 (1.7)</w:t>
            </w:r>
          </w:p>
        </w:tc>
        <w:tc>
          <w:tcPr>
            <w:tcW w:w="1104"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31 (7.8)</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-6.1 (-9.0, -3.2)</w:t>
            </w:r>
          </w:p>
        </w:tc>
      </w:tr>
      <w:tr w:rsidR="008E1C50" w:rsidRPr="00497E12" w:rsidTr="00D10CE3">
        <w:tc>
          <w:tcPr>
            <w:tcW w:w="5000" w:type="pct"/>
            <w:gridSpan w:val="4"/>
          </w:tcPr>
          <w:p w:rsidR="008E1C50" w:rsidRPr="00497E12" w:rsidRDefault="008E1C50" w:rsidP="00D10CE3">
            <w:pPr>
              <w:jc w:val="left"/>
              <w:rPr>
                <w:rFonts w:ascii="Arial Narrow" w:hAnsi="Arial Narrow"/>
                <w:b/>
                <w:sz w:val="20"/>
                <w:szCs w:val="20"/>
              </w:rPr>
            </w:pPr>
            <w:r w:rsidRPr="00497E12">
              <w:rPr>
                <w:rFonts w:ascii="Arial Narrow" w:hAnsi="Arial Narrow"/>
                <w:b/>
                <w:sz w:val="20"/>
                <w:szCs w:val="20"/>
              </w:rPr>
              <w:t>AE leading to discontinuation, n (%)</w:t>
            </w:r>
          </w:p>
        </w:tc>
      </w:tr>
      <w:tr w:rsidR="008E1C50" w:rsidRPr="00497E12" w:rsidTr="00D10CE3">
        <w:tc>
          <w:tcPr>
            <w:tcW w:w="1706" w:type="pct"/>
          </w:tcPr>
          <w:p w:rsidR="008E1C50" w:rsidRPr="00497E12" w:rsidRDefault="008E1C50" w:rsidP="00D10CE3">
            <w:pPr>
              <w:pStyle w:val="TableText0"/>
              <w:tabs>
                <w:tab w:val="left" w:pos="142"/>
              </w:tabs>
              <w:spacing w:before="0" w:after="0"/>
              <w:rPr>
                <w:szCs w:val="20"/>
              </w:rPr>
            </w:pPr>
            <w:r w:rsidRPr="00497E12">
              <w:rPr>
                <w:szCs w:val="20"/>
              </w:rPr>
              <w:t>Any grade</w:t>
            </w:r>
          </w:p>
        </w:tc>
        <w:tc>
          <w:tcPr>
            <w:tcW w:w="1193"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72 (17.7)</w:t>
            </w:r>
          </w:p>
        </w:tc>
        <w:tc>
          <w:tcPr>
            <w:tcW w:w="1104"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82 (20.7)</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-2.9 (-8.4, 2.5)</w:t>
            </w:r>
          </w:p>
        </w:tc>
      </w:tr>
      <w:tr w:rsidR="008E1C50" w:rsidRPr="00497E12" w:rsidTr="00D10CE3">
        <w:tc>
          <w:tcPr>
            <w:tcW w:w="1706" w:type="pct"/>
          </w:tcPr>
          <w:p w:rsidR="008E1C50" w:rsidRPr="00497E12" w:rsidRDefault="008E1C50" w:rsidP="00D10CE3">
            <w:pPr>
              <w:pStyle w:val="TableText0"/>
              <w:tabs>
                <w:tab w:val="left" w:pos="142"/>
              </w:tabs>
              <w:spacing w:before="0" w:after="0"/>
              <w:rPr>
                <w:szCs w:val="20"/>
              </w:rPr>
            </w:pPr>
            <w:r w:rsidRPr="00497E12">
              <w:rPr>
                <w:szCs w:val="20"/>
              </w:rPr>
              <w:t>Grade 3 or 4 AE</w:t>
            </w:r>
          </w:p>
        </w:tc>
        <w:tc>
          <w:tcPr>
            <w:tcW w:w="1193"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45 (11.1)</w:t>
            </w:r>
          </w:p>
        </w:tc>
        <w:tc>
          <w:tcPr>
            <w:tcW w:w="1104" w:type="pct"/>
            <w:vAlign w:val="center"/>
          </w:tcPr>
          <w:p w:rsidR="008E1C50" w:rsidRPr="00497E12" w:rsidRDefault="008E1C50" w:rsidP="00D10CE3">
            <w:pPr>
              <w:jc w:val="center"/>
              <w:rPr>
                <w:rFonts w:ascii="Arial Narrow" w:hAnsi="Arial Narrow" w:cs="Times New Roman"/>
                <w:snapToGrid/>
                <w:sz w:val="20"/>
                <w:szCs w:val="20"/>
                <w:lang w:eastAsia="en-AU"/>
              </w:rPr>
            </w:pPr>
            <w:r w:rsidRPr="00497E12">
              <w:rPr>
                <w:rFonts w:ascii="Arial Narrow" w:hAnsi="Arial Narrow" w:cs="Times New Roman"/>
                <w:snapToGrid/>
                <w:sz w:val="20"/>
                <w:szCs w:val="20"/>
                <w:lang w:eastAsia="en-AU"/>
              </w:rPr>
              <w:t>45 (11.3)</w:t>
            </w:r>
          </w:p>
        </w:tc>
        <w:tc>
          <w:tcPr>
            <w:tcW w:w="997" w:type="pct"/>
            <w:vAlign w:val="center"/>
          </w:tcPr>
          <w:p w:rsidR="008E1C50" w:rsidRPr="00497E12" w:rsidRDefault="008E1C50" w:rsidP="00D10CE3">
            <w:pPr>
              <w:jc w:val="center"/>
              <w:rPr>
                <w:rFonts w:ascii="Arial Narrow" w:hAnsi="Arial Narrow"/>
                <w:sz w:val="20"/>
                <w:szCs w:val="20"/>
              </w:rPr>
            </w:pPr>
            <w:r w:rsidRPr="00497E12">
              <w:rPr>
                <w:rFonts w:ascii="Arial Narrow" w:hAnsi="Arial Narrow"/>
                <w:sz w:val="20"/>
                <w:szCs w:val="20"/>
              </w:rPr>
              <w:t>-0.3 (-4.6, 4.1)</w:t>
            </w:r>
          </w:p>
        </w:tc>
      </w:tr>
      <w:tr w:rsidR="008E1C50" w:rsidRPr="00497E12" w:rsidTr="00D10CE3">
        <w:tc>
          <w:tcPr>
            <w:tcW w:w="5000" w:type="pct"/>
            <w:gridSpan w:val="4"/>
          </w:tcPr>
          <w:p w:rsidR="008E1C50" w:rsidRPr="00497E12" w:rsidRDefault="008E1C50" w:rsidP="00D10CE3">
            <w:pPr>
              <w:jc w:val="left"/>
              <w:rPr>
                <w:rFonts w:ascii="Arial Narrow" w:hAnsi="Arial Narrow"/>
                <w:b/>
                <w:sz w:val="20"/>
                <w:szCs w:val="20"/>
              </w:rPr>
            </w:pPr>
            <w:r w:rsidRPr="00497E12">
              <w:rPr>
                <w:rFonts w:ascii="Arial Narrow" w:hAnsi="Arial Narrow" w:cs="Arial Narrow"/>
                <w:b/>
                <w:snapToGrid/>
                <w:sz w:val="20"/>
                <w:szCs w:val="20"/>
              </w:rPr>
              <w:t>Grade 3 or 4 IMAE, n (%)</w:t>
            </w:r>
          </w:p>
        </w:tc>
      </w:tr>
      <w:tr w:rsidR="008E1C50" w:rsidRPr="00497E12" w:rsidTr="00D10CE3">
        <w:tc>
          <w:tcPr>
            <w:tcW w:w="1706" w:type="pct"/>
          </w:tcPr>
          <w:p w:rsidR="008E1C50" w:rsidRPr="00497E12" w:rsidRDefault="008E1C50" w:rsidP="00D10CE3">
            <w:pPr>
              <w:tabs>
                <w:tab w:val="left" w:pos="142"/>
              </w:tabs>
              <w:jc w:val="left"/>
              <w:rPr>
                <w:rFonts w:ascii="Arial Narrow" w:hAnsi="Arial Narrow"/>
                <w:sz w:val="20"/>
                <w:szCs w:val="20"/>
              </w:rPr>
            </w:pPr>
            <w:r w:rsidRPr="00497E12">
              <w:rPr>
                <w:rFonts w:ascii="Arial Narrow" w:hAnsi="Arial Narrow"/>
                <w:sz w:val="20"/>
                <w:szCs w:val="20"/>
              </w:rPr>
              <w:t>Diarrhoea/Colitis</w:t>
            </w:r>
          </w:p>
        </w:tc>
        <w:tc>
          <w:tcPr>
            <w:tcW w:w="1193" w:type="pct"/>
          </w:tcPr>
          <w:p w:rsidR="008E1C50" w:rsidRPr="00497E12" w:rsidRDefault="00B32DC8" w:rsidP="00D10CE3">
            <w:pPr>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1104" w:type="pct"/>
          </w:tcPr>
          <w:p w:rsidR="008E1C50" w:rsidRPr="00B32DC8" w:rsidRDefault="00B32DC8" w:rsidP="00D10CE3">
            <w:pPr>
              <w:jc w:val="center"/>
              <w:rPr>
                <w:rFonts w:ascii="Arial Narrow" w:hAnsi="Arial Narrow"/>
                <w:sz w:val="20"/>
                <w:szCs w:val="20"/>
                <w:highlight w:val="black"/>
              </w:rPr>
            </w:pPr>
            <w:r>
              <w:rPr>
                <w:rFonts w:ascii="Arial Narrow" w:hAnsi="Arial Narrow" w:cs="Times New Roman"/>
                <w:noProof/>
                <w:snapToGrid/>
                <w:color w:val="000000"/>
                <w:sz w:val="20"/>
                <w:szCs w:val="20"/>
                <w:highlight w:val="black"/>
                <w:lang w:eastAsia="en-AU"/>
              </w:rPr>
              <w:t>''''</w:t>
            </w:r>
          </w:p>
        </w:tc>
        <w:tc>
          <w:tcPr>
            <w:tcW w:w="997" w:type="pct"/>
          </w:tcPr>
          <w:p w:rsidR="008E1C50" w:rsidRPr="00497E12" w:rsidRDefault="008E1C50" w:rsidP="00D10CE3">
            <w:pPr>
              <w:jc w:val="center"/>
              <w:rPr>
                <w:rFonts w:ascii="Arial Narrow" w:hAnsi="Arial Narrow"/>
                <w:b/>
                <w:sz w:val="20"/>
                <w:szCs w:val="20"/>
              </w:rPr>
            </w:pPr>
            <w:r w:rsidRPr="00497E12">
              <w:rPr>
                <w:rFonts w:ascii="Arial Narrow" w:hAnsi="Arial Narrow"/>
                <w:sz w:val="20"/>
                <w:szCs w:val="20"/>
              </w:rPr>
              <w:t>-</w:t>
            </w:r>
          </w:p>
        </w:tc>
      </w:tr>
      <w:tr w:rsidR="008E1C50" w:rsidRPr="00497E12" w:rsidTr="00D10CE3">
        <w:tc>
          <w:tcPr>
            <w:tcW w:w="1706" w:type="pct"/>
          </w:tcPr>
          <w:p w:rsidR="008E1C50" w:rsidRPr="00497E12" w:rsidRDefault="008E1C50" w:rsidP="00D10CE3">
            <w:pPr>
              <w:tabs>
                <w:tab w:val="left" w:pos="142"/>
              </w:tabs>
              <w:contextualSpacing/>
              <w:jc w:val="left"/>
              <w:rPr>
                <w:rFonts w:ascii="Arial Narrow" w:hAnsi="Arial Narrow"/>
                <w:sz w:val="20"/>
                <w:szCs w:val="20"/>
              </w:rPr>
            </w:pPr>
            <w:r w:rsidRPr="00497E12">
              <w:rPr>
                <w:rFonts w:ascii="Arial Narrow" w:hAnsi="Arial Narrow"/>
                <w:sz w:val="20"/>
                <w:szCs w:val="20"/>
              </w:rPr>
              <w:t>Hepatitis</w:t>
            </w:r>
          </w:p>
        </w:tc>
        <w:tc>
          <w:tcPr>
            <w:tcW w:w="1193" w:type="pct"/>
          </w:tcPr>
          <w:p w:rsidR="008E1C50" w:rsidRPr="00497E12" w:rsidRDefault="00B32DC8" w:rsidP="00D10CE3">
            <w:pPr>
              <w:contextualSpacing/>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1104" w:type="pct"/>
          </w:tcPr>
          <w:p w:rsidR="008E1C50" w:rsidRPr="00B32DC8" w:rsidRDefault="00B32DC8" w:rsidP="00D10CE3">
            <w:pPr>
              <w:contextualSpacing/>
              <w:jc w:val="center"/>
              <w:rPr>
                <w:rFonts w:ascii="Arial Narrow" w:hAnsi="Arial Narrow"/>
                <w:sz w:val="20"/>
                <w:szCs w:val="20"/>
                <w:highlight w:val="black"/>
              </w:rPr>
            </w:pPr>
            <w:r>
              <w:rPr>
                <w:rFonts w:ascii="Arial Narrow" w:hAnsi="Arial Narrow" w:cs="Times New Roman"/>
                <w:noProof/>
                <w:snapToGrid/>
                <w:color w:val="000000"/>
                <w:sz w:val="20"/>
                <w:szCs w:val="20"/>
                <w:highlight w:val="black"/>
                <w:lang w:eastAsia="en-AU"/>
              </w:rPr>
              <w:t>'''</w:t>
            </w:r>
          </w:p>
        </w:tc>
        <w:tc>
          <w:tcPr>
            <w:tcW w:w="997" w:type="pct"/>
          </w:tcPr>
          <w:p w:rsidR="008E1C50" w:rsidRPr="00497E12" w:rsidRDefault="008E1C50" w:rsidP="00D10CE3">
            <w:pPr>
              <w:contextualSpacing/>
              <w:jc w:val="center"/>
              <w:rPr>
                <w:rFonts w:ascii="Arial Narrow" w:hAnsi="Arial Narrow"/>
                <w:b/>
                <w:sz w:val="20"/>
                <w:szCs w:val="20"/>
              </w:rPr>
            </w:pPr>
            <w:r w:rsidRPr="00497E12">
              <w:rPr>
                <w:rFonts w:ascii="Arial Narrow" w:hAnsi="Arial Narrow"/>
                <w:sz w:val="20"/>
                <w:szCs w:val="20"/>
              </w:rPr>
              <w:t>-</w:t>
            </w:r>
          </w:p>
        </w:tc>
      </w:tr>
      <w:tr w:rsidR="008E1C50" w:rsidRPr="00497E12" w:rsidTr="00D10CE3">
        <w:tc>
          <w:tcPr>
            <w:tcW w:w="1706" w:type="pct"/>
          </w:tcPr>
          <w:p w:rsidR="008E1C50" w:rsidRPr="00497E12" w:rsidRDefault="008E1C50" w:rsidP="00D10CE3">
            <w:pPr>
              <w:tabs>
                <w:tab w:val="left" w:pos="142"/>
              </w:tabs>
              <w:contextualSpacing/>
              <w:jc w:val="left"/>
              <w:rPr>
                <w:rFonts w:ascii="Arial Narrow" w:hAnsi="Arial Narrow"/>
                <w:sz w:val="20"/>
                <w:szCs w:val="20"/>
              </w:rPr>
            </w:pPr>
            <w:r w:rsidRPr="00497E12">
              <w:rPr>
                <w:rFonts w:ascii="Arial Narrow" w:hAnsi="Arial Narrow"/>
                <w:sz w:val="20"/>
                <w:szCs w:val="20"/>
              </w:rPr>
              <w:t>Pneumonitis</w:t>
            </w:r>
          </w:p>
        </w:tc>
        <w:tc>
          <w:tcPr>
            <w:tcW w:w="1193" w:type="pct"/>
          </w:tcPr>
          <w:p w:rsidR="008E1C50" w:rsidRPr="00497E12" w:rsidRDefault="00B32DC8" w:rsidP="00D10CE3">
            <w:pPr>
              <w:contextualSpacing/>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1104" w:type="pct"/>
          </w:tcPr>
          <w:p w:rsidR="008E1C50" w:rsidRPr="00497E12" w:rsidRDefault="00B32DC8" w:rsidP="00D10CE3">
            <w:pPr>
              <w:contextualSpacing/>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997" w:type="pct"/>
          </w:tcPr>
          <w:p w:rsidR="008E1C50" w:rsidRPr="00497E12" w:rsidRDefault="008E1C50" w:rsidP="00D10CE3">
            <w:pPr>
              <w:contextualSpacing/>
              <w:jc w:val="center"/>
              <w:rPr>
                <w:rFonts w:ascii="Arial Narrow" w:hAnsi="Arial Narrow"/>
                <w:b/>
                <w:sz w:val="20"/>
                <w:szCs w:val="20"/>
              </w:rPr>
            </w:pPr>
            <w:r w:rsidRPr="00497E12">
              <w:rPr>
                <w:rFonts w:ascii="Arial Narrow" w:hAnsi="Arial Narrow"/>
                <w:sz w:val="20"/>
                <w:szCs w:val="20"/>
              </w:rPr>
              <w:t>-</w:t>
            </w:r>
          </w:p>
        </w:tc>
      </w:tr>
      <w:tr w:rsidR="008E1C50" w:rsidRPr="00497E12" w:rsidTr="00D10CE3">
        <w:tc>
          <w:tcPr>
            <w:tcW w:w="1706" w:type="pct"/>
          </w:tcPr>
          <w:p w:rsidR="008E1C50" w:rsidRPr="00497E12" w:rsidRDefault="008E1C50" w:rsidP="00D10CE3">
            <w:pPr>
              <w:tabs>
                <w:tab w:val="left" w:pos="142"/>
              </w:tabs>
              <w:contextualSpacing/>
              <w:jc w:val="left"/>
              <w:rPr>
                <w:rFonts w:ascii="Arial Narrow" w:hAnsi="Arial Narrow"/>
                <w:sz w:val="20"/>
                <w:szCs w:val="20"/>
              </w:rPr>
            </w:pPr>
            <w:r w:rsidRPr="00497E12">
              <w:rPr>
                <w:rFonts w:ascii="Arial Narrow" w:hAnsi="Arial Narrow"/>
                <w:sz w:val="20"/>
                <w:szCs w:val="20"/>
              </w:rPr>
              <w:t>Nephritis and renal dysfunction</w:t>
            </w:r>
          </w:p>
        </w:tc>
        <w:tc>
          <w:tcPr>
            <w:tcW w:w="1193" w:type="pct"/>
            <w:vAlign w:val="center"/>
          </w:tcPr>
          <w:p w:rsidR="008E1C50" w:rsidRPr="00497E12" w:rsidRDefault="00B32DC8" w:rsidP="00D10CE3">
            <w:pPr>
              <w:contextualSpacing/>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1104" w:type="pct"/>
            <w:vAlign w:val="center"/>
          </w:tcPr>
          <w:p w:rsidR="008E1C50" w:rsidRPr="00497E12" w:rsidRDefault="00B32DC8" w:rsidP="00D10CE3">
            <w:pPr>
              <w:contextualSpacing/>
              <w:jc w:val="center"/>
              <w:rPr>
                <w:rFonts w:ascii="Arial Narrow" w:hAnsi="Arial Narrow"/>
                <w:sz w:val="20"/>
                <w:szCs w:val="20"/>
              </w:rPr>
            </w:pP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 xml:space="preserve"> (</w:t>
            </w:r>
            <w:r>
              <w:rPr>
                <w:rFonts w:ascii="Arial Narrow" w:hAnsi="Arial Narrow" w:cs="Times New Roman"/>
                <w:noProof/>
                <w:snapToGrid/>
                <w:color w:val="000000"/>
                <w:sz w:val="20"/>
                <w:szCs w:val="20"/>
                <w:highlight w:val="black"/>
                <w:lang w:eastAsia="en-AU"/>
              </w:rPr>
              <w:t>'''''''''</w:t>
            </w:r>
            <w:r w:rsidR="008E1C50" w:rsidRPr="00497E12">
              <w:rPr>
                <w:rFonts w:ascii="Arial Narrow" w:hAnsi="Arial Narrow" w:cs="Times New Roman"/>
                <w:snapToGrid/>
                <w:sz w:val="20"/>
                <w:szCs w:val="20"/>
                <w:lang w:eastAsia="en-AU"/>
              </w:rPr>
              <w:t>)</w:t>
            </w:r>
          </w:p>
        </w:tc>
        <w:tc>
          <w:tcPr>
            <w:tcW w:w="997" w:type="pct"/>
            <w:vAlign w:val="center"/>
          </w:tcPr>
          <w:p w:rsidR="008E1C50" w:rsidRPr="00497E12" w:rsidRDefault="008E1C50" w:rsidP="00D10CE3">
            <w:pPr>
              <w:contextualSpacing/>
              <w:jc w:val="center"/>
              <w:rPr>
                <w:rFonts w:ascii="Arial Narrow" w:hAnsi="Arial Narrow"/>
                <w:b/>
                <w:sz w:val="20"/>
                <w:szCs w:val="20"/>
              </w:rPr>
            </w:pPr>
            <w:r w:rsidRPr="00497E12">
              <w:rPr>
                <w:rFonts w:ascii="Arial Narrow" w:hAnsi="Arial Narrow"/>
                <w:sz w:val="20"/>
                <w:szCs w:val="20"/>
              </w:rPr>
              <w:t>-</w:t>
            </w:r>
          </w:p>
        </w:tc>
      </w:tr>
    </w:tbl>
    <w:p w:rsidR="008E1C50" w:rsidRPr="00497E12" w:rsidRDefault="008E1C50" w:rsidP="008E1C50">
      <w:pPr>
        <w:tabs>
          <w:tab w:val="left" w:pos="142"/>
        </w:tabs>
        <w:ind w:left="720"/>
        <w:rPr>
          <w:rFonts w:ascii="Arial Narrow" w:hAnsi="Arial Narrow"/>
          <w:sz w:val="18"/>
          <w:szCs w:val="18"/>
        </w:rPr>
      </w:pPr>
      <w:r w:rsidRPr="00497E12">
        <w:rPr>
          <w:rFonts w:ascii="Arial Narrow" w:hAnsi="Arial Narrow"/>
          <w:sz w:val="18"/>
          <w:szCs w:val="18"/>
        </w:rPr>
        <w:t>Sources: Table 35, p84; Table 36, p85-86; Table 37, p86</w:t>
      </w:r>
      <w:r w:rsidR="00D65A35" w:rsidRPr="00497E12">
        <w:rPr>
          <w:rFonts w:ascii="Arial Narrow" w:hAnsi="Arial Narrow"/>
          <w:sz w:val="18"/>
          <w:szCs w:val="18"/>
        </w:rPr>
        <w:t xml:space="preserve"> of the submission</w:t>
      </w:r>
      <w:r w:rsidRPr="00497E12">
        <w:rPr>
          <w:rFonts w:ascii="Arial Narrow" w:hAnsi="Arial Narrow"/>
          <w:sz w:val="18"/>
          <w:szCs w:val="18"/>
        </w:rPr>
        <w:t>; Table 8.5.2-1, p160 of the CA209-025 CSR.</w:t>
      </w:r>
    </w:p>
    <w:p w:rsidR="008E1C50" w:rsidRPr="00497E12" w:rsidRDefault="008E1C50" w:rsidP="008E1C50">
      <w:pPr>
        <w:pStyle w:val="ListParagraph"/>
        <w:tabs>
          <w:tab w:val="left" w:pos="142"/>
        </w:tabs>
        <w:rPr>
          <w:rFonts w:ascii="Arial Narrow" w:hAnsi="Arial Narrow"/>
          <w:sz w:val="18"/>
          <w:szCs w:val="18"/>
        </w:rPr>
      </w:pPr>
      <w:r w:rsidRPr="00497E12">
        <w:rPr>
          <w:rFonts w:ascii="Arial Narrow" w:hAnsi="Arial Narrow"/>
          <w:sz w:val="18"/>
          <w:szCs w:val="18"/>
        </w:rPr>
        <w:t>Abbreviations: AE=adverse event; IMAE=immune mediated adverse event; RD=risk difference; SAE=serious adverse event.</w:t>
      </w:r>
    </w:p>
    <w:p w:rsidR="008E1C50" w:rsidRPr="00497E12" w:rsidRDefault="008E1C50" w:rsidP="00521D34"/>
    <w:p w:rsidR="00874C1E" w:rsidRPr="00497E12" w:rsidRDefault="00874C1E" w:rsidP="00A45A8D">
      <w:pPr>
        <w:pStyle w:val="ListParagraph"/>
        <w:widowControl/>
        <w:numPr>
          <w:ilvl w:val="1"/>
          <w:numId w:val="24"/>
        </w:numPr>
        <w:ind w:left="851" w:hanging="851"/>
      </w:pPr>
      <w:r w:rsidRPr="00497E12">
        <w:t>The submissi</w:t>
      </w:r>
      <w:r w:rsidR="00176C60" w:rsidRPr="00497E12">
        <w:t xml:space="preserve">on claimed that </w:t>
      </w:r>
      <w:proofErr w:type="spellStart"/>
      <w:r w:rsidR="00176C60" w:rsidRPr="00497E12">
        <w:t>nivolumab</w:t>
      </w:r>
      <w:proofErr w:type="spellEnd"/>
      <w:r w:rsidR="00176C60" w:rsidRPr="00497E12">
        <w:t xml:space="preserve"> had a</w:t>
      </w:r>
      <w:r w:rsidRPr="00497E12">
        <w:t xml:space="preserve"> favourable safety profile compared to </w:t>
      </w:r>
      <w:proofErr w:type="spellStart"/>
      <w:r w:rsidRPr="00497E12">
        <w:t>everolimus</w:t>
      </w:r>
      <w:proofErr w:type="spellEnd"/>
      <w:r w:rsidR="00176C60" w:rsidRPr="00497E12">
        <w:t>,</w:t>
      </w:r>
      <w:r w:rsidRPr="00497E12">
        <w:t xml:space="preserve"> </w:t>
      </w:r>
      <w:r w:rsidR="00176C60" w:rsidRPr="00497E12">
        <w:t>with</w:t>
      </w:r>
      <w:r w:rsidRPr="00497E12">
        <w:t xml:space="preserve"> </w:t>
      </w:r>
      <w:r w:rsidR="0063320B" w:rsidRPr="00497E12">
        <w:t xml:space="preserve">a </w:t>
      </w:r>
      <w:r w:rsidRPr="00497E12">
        <w:t>statistically significantly reduced incidence of drug-related AEs.</w:t>
      </w:r>
      <w:r w:rsidR="00521D34" w:rsidRPr="00497E12">
        <w:rPr>
          <w:shd w:val="clear" w:color="auto" w:fill="FFFFFF"/>
        </w:rPr>
        <w:t xml:space="preserve"> </w:t>
      </w:r>
      <w:r w:rsidR="0013227D">
        <w:t xml:space="preserve">Table 4 above indicates </w:t>
      </w:r>
      <w:r w:rsidR="00521D34" w:rsidRPr="00497E12">
        <w:t>statistically significantly reduced frequency of some drug-related AEs (</w:t>
      </w:r>
      <w:proofErr w:type="spellStart"/>
      <w:r w:rsidR="00521D34" w:rsidRPr="00497E12">
        <w:t>eg</w:t>
      </w:r>
      <w:proofErr w:type="spellEnd"/>
      <w:r w:rsidR="00521D34" w:rsidRPr="00497E12">
        <w:t xml:space="preserve"> anaemia, and stomatitis) for </w:t>
      </w:r>
      <w:proofErr w:type="spellStart"/>
      <w:r w:rsidR="00521D34" w:rsidRPr="00497E12">
        <w:t>nivolumab</w:t>
      </w:r>
      <w:proofErr w:type="spellEnd"/>
      <w:r w:rsidR="0013227D">
        <w:t xml:space="preserve"> however</w:t>
      </w:r>
      <w:r w:rsidR="00521D34" w:rsidRPr="00497E12">
        <w:t xml:space="preserve">, </w:t>
      </w:r>
      <w:r w:rsidR="0013227D">
        <w:t xml:space="preserve">no significant difference in all causality adverse events between groups, and a higher proportion of all causality grade 3 or 4 serious adverse events for </w:t>
      </w:r>
      <w:proofErr w:type="spellStart"/>
      <w:r w:rsidR="0013227D">
        <w:t>nivolumab</w:t>
      </w:r>
      <w:proofErr w:type="spellEnd"/>
      <w:r w:rsidR="0013227D">
        <w:t>. G</w:t>
      </w:r>
      <w:r w:rsidR="00521D34" w:rsidRPr="00497E12">
        <w:t>iven the small patient numbers, no comparisons could be made for immune-related events such as diarrhoea/colitis and pneumonit</w:t>
      </w:r>
      <w:r w:rsidR="00610B06" w:rsidRPr="00497E12">
        <w:t xml:space="preserve">is. </w:t>
      </w:r>
      <w:r w:rsidR="00521D34" w:rsidRPr="00497E12">
        <w:t xml:space="preserve">While the submission did not claim superior safety, four </w:t>
      </w:r>
      <w:proofErr w:type="gramStart"/>
      <w:r w:rsidR="00521D34" w:rsidRPr="00497E12">
        <w:t>grade</w:t>
      </w:r>
      <w:proofErr w:type="gramEnd"/>
      <w:r w:rsidR="00521D34" w:rsidRPr="00497E12">
        <w:t xml:space="preserve"> 3-4 IMAE</w:t>
      </w:r>
      <w:r w:rsidR="007C66AC" w:rsidRPr="00497E12">
        <w:t>s</w:t>
      </w:r>
      <w:r w:rsidR="00521D34" w:rsidRPr="00497E12">
        <w:t xml:space="preserve"> (colitis, hepatitis, pneumonitis, and nephritis and renal dysfunction) and drug-related grade 3-4 anaemia were included in the economic model.</w:t>
      </w:r>
    </w:p>
    <w:p w:rsidR="00CF63F8" w:rsidRPr="00497E12" w:rsidRDefault="00CF63F8" w:rsidP="00614919">
      <w:pPr>
        <w:widowControl/>
      </w:pPr>
    </w:p>
    <w:p w:rsidR="00CF63F8" w:rsidRPr="00497E12" w:rsidRDefault="00CF63F8" w:rsidP="00A45A8D">
      <w:pPr>
        <w:pStyle w:val="ListParagraph"/>
        <w:widowControl/>
        <w:numPr>
          <w:ilvl w:val="1"/>
          <w:numId w:val="24"/>
        </w:numPr>
        <w:ind w:left="851" w:hanging="851"/>
      </w:pPr>
      <w:r w:rsidRPr="00497E12">
        <w:t xml:space="preserve">Given the PBS restriction of </w:t>
      </w:r>
      <w:proofErr w:type="spellStart"/>
      <w:r w:rsidRPr="00497E12">
        <w:t>everolimus</w:t>
      </w:r>
      <w:proofErr w:type="spellEnd"/>
      <w:r w:rsidRPr="00497E12">
        <w:t xml:space="preserve">, patients would not be permitted to continue </w:t>
      </w:r>
      <w:proofErr w:type="spellStart"/>
      <w:r w:rsidRPr="00497E12">
        <w:t>everolimus</w:t>
      </w:r>
      <w:proofErr w:type="spellEnd"/>
      <w:r w:rsidRPr="00497E12">
        <w:t xml:space="preserve"> therapy beyond progression in clinical practice. However, </w:t>
      </w:r>
      <w:r w:rsidR="00874C1E" w:rsidRPr="00497E12">
        <w:t xml:space="preserve">in CA209-025, almost half of patients in the </w:t>
      </w:r>
      <w:proofErr w:type="spellStart"/>
      <w:r w:rsidR="00874C1E" w:rsidRPr="00497E12">
        <w:t>everolimus</w:t>
      </w:r>
      <w:proofErr w:type="spellEnd"/>
      <w:r w:rsidR="00874C1E" w:rsidRPr="00497E12">
        <w:t xml:space="preserve"> arm </w:t>
      </w:r>
      <w:r w:rsidRPr="00497E12">
        <w:t xml:space="preserve">(46.1%) were treated beyond progression and thus exposed to the drug longer in the trial than they would have been in clinical practice. Therefore, </w:t>
      </w:r>
      <w:r w:rsidR="001F30A8" w:rsidRPr="00497E12">
        <w:t xml:space="preserve">the </w:t>
      </w:r>
      <w:r w:rsidRPr="00497E12">
        <w:t xml:space="preserve">comparative safety of </w:t>
      </w:r>
      <w:proofErr w:type="spellStart"/>
      <w:r w:rsidRPr="00497E12">
        <w:t>nivolumab</w:t>
      </w:r>
      <w:proofErr w:type="spellEnd"/>
      <w:r w:rsidRPr="00497E12">
        <w:t xml:space="preserve"> to </w:t>
      </w:r>
      <w:proofErr w:type="spellStart"/>
      <w:r w:rsidRPr="00497E12">
        <w:t>everolimus</w:t>
      </w:r>
      <w:proofErr w:type="spellEnd"/>
      <w:r w:rsidRPr="00497E12">
        <w:t xml:space="preserve"> </w:t>
      </w:r>
      <w:r w:rsidR="001F30A8" w:rsidRPr="00497E12">
        <w:t>observed</w:t>
      </w:r>
      <w:r w:rsidRPr="00497E12">
        <w:t xml:space="preserve"> in CA209-025 was unlikely to represent the intended PBS setting.</w:t>
      </w:r>
    </w:p>
    <w:p w:rsidR="00CF63F8" w:rsidRPr="00497E12" w:rsidRDefault="00CF63F8" w:rsidP="00CF63F8">
      <w:pPr>
        <w:widowControl/>
        <w:rPr>
          <w:szCs w:val="22"/>
        </w:rPr>
      </w:pPr>
    </w:p>
    <w:p w:rsidR="00CF63F8" w:rsidRPr="00497E12" w:rsidRDefault="00CF63F8" w:rsidP="00A45A8D">
      <w:pPr>
        <w:pStyle w:val="Heading2"/>
      </w:pPr>
      <w:bookmarkStart w:id="16" w:name="_Toc450136346"/>
      <w:r w:rsidRPr="00497E12">
        <w:t>Benefits/harms</w:t>
      </w:r>
      <w:bookmarkEnd w:id="16"/>
    </w:p>
    <w:p w:rsidR="00CF63F8" w:rsidRPr="00497E12" w:rsidRDefault="00CF63F8" w:rsidP="00CF63F8">
      <w:pPr>
        <w:pStyle w:val="ListParagraph"/>
        <w:ind w:left="0"/>
        <w:rPr>
          <w:szCs w:val="22"/>
        </w:rPr>
      </w:pPr>
    </w:p>
    <w:p w:rsidR="00CF63F8" w:rsidRPr="00497E12" w:rsidRDefault="00CF63F8" w:rsidP="00A45A8D">
      <w:pPr>
        <w:pStyle w:val="ListParagraph"/>
        <w:widowControl/>
        <w:numPr>
          <w:ilvl w:val="1"/>
          <w:numId w:val="24"/>
        </w:numPr>
        <w:ind w:left="851" w:hanging="851"/>
      </w:pPr>
      <w:r w:rsidRPr="00497E12">
        <w:t xml:space="preserve">A summary of the comparative benefits and harms for </w:t>
      </w:r>
      <w:proofErr w:type="spellStart"/>
      <w:r w:rsidRPr="00497E12">
        <w:t>nivolumab</w:t>
      </w:r>
      <w:proofErr w:type="spellEnd"/>
      <w:r w:rsidRPr="00497E12">
        <w:t xml:space="preserve"> versus </w:t>
      </w:r>
      <w:proofErr w:type="spellStart"/>
      <w:r w:rsidRPr="00497E12">
        <w:t>everolimus</w:t>
      </w:r>
      <w:proofErr w:type="spellEnd"/>
      <w:r w:rsidRPr="00497E12">
        <w:t xml:space="preserve"> is presented in Table 5.</w:t>
      </w:r>
    </w:p>
    <w:p w:rsidR="00CF63F8" w:rsidRPr="00497E12" w:rsidRDefault="00CF63F8" w:rsidP="00CF63F8"/>
    <w:p w:rsidR="00F85A80" w:rsidRPr="00497E12" w:rsidRDefault="00F85A80">
      <w:pPr>
        <w:widowControl/>
        <w:jc w:val="left"/>
        <w:rPr>
          <w:rStyle w:val="CommentReference"/>
        </w:rPr>
      </w:pPr>
      <w:r w:rsidRPr="00497E12">
        <w:rPr>
          <w:rStyle w:val="CommentReference"/>
        </w:rPr>
        <w:br w:type="page"/>
      </w:r>
    </w:p>
    <w:p w:rsidR="00473369" w:rsidRPr="00497E12" w:rsidRDefault="00473369" w:rsidP="00473369">
      <w:pPr>
        <w:ind w:left="720"/>
        <w:rPr>
          <w:rStyle w:val="CommentReference"/>
        </w:rPr>
      </w:pPr>
      <w:r w:rsidRPr="00497E12">
        <w:rPr>
          <w:rStyle w:val="CommentReference"/>
        </w:rPr>
        <w:lastRenderedPageBreak/>
        <w:t xml:space="preserve">Table 5: Summary of comparative benefits and harms for </w:t>
      </w:r>
      <w:proofErr w:type="spellStart"/>
      <w:r w:rsidRPr="00497E12">
        <w:rPr>
          <w:rStyle w:val="CommentReference"/>
        </w:rPr>
        <w:t>nivolumab</w:t>
      </w:r>
      <w:proofErr w:type="spellEnd"/>
      <w:r w:rsidRPr="00497E12">
        <w:rPr>
          <w:rStyle w:val="CommentReference"/>
        </w:rPr>
        <w:t xml:space="preserve"> and </w:t>
      </w:r>
      <w:proofErr w:type="spellStart"/>
      <w:r w:rsidRPr="00497E12">
        <w:rPr>
          <w:rStyle w:val="CommentReference"/>
        </w:rPr>
        <w:t>everolimus</w:t>
      </w:r>
      <w:proofErr w:type="spellEnd"/>
      <w:r w:rsidRPr="00497E12">
        <w:rPr>
          <w:rStyle w:val="CommentReference"/>
        </w:rPr>
        <w:t xml:space="preserve"> from CA209-025</w:t>
      </w:r>
    </w:p>
    <w:tbl>
      <w:tblPr>
        <w:tblStyle w:val="TableGrid"/>
        <w:tblW w:w="4622" w:type="pct"/>
        <w:tblInd w:w="705" w:type="dxa"/>
        <w:tblLayout w:type="fixed"/>
        <w:tblCellMar>
          <w:left w:w="28" w:type="dxa"/>
          <w:right w:w="28" w:type="dxa"/>
        </w:tblCellMar>
        <w:tblLook w:val="04A0" w:firstRow="1" w:lastRow="0" w:firstColumn="1" w:lastColumn="0" w:noHBand="0" w:noVBand="1"/>
        <w:tblCaption w:val="Table 5: Summary of comparative benefits and harms for nivolumab and everolimus from CA209-025"/>
      </w:tblPr>
      <w:tblGrid>
        <w:gridCol w:w="2301"/>
        <w:gridCol w:w="284"/>
        <w:gridCol w:w="1133"/>
        <w:gridCol w:w="282"/>
        <w:gridCol w:w="850"/>
        <w:gridCol w:w="853"/>
        <w:gridCol w:w="149"/>
        <w:gridCol w:w="1001"/>
        <w:gridCol w:w="65"/>
        <w:gridCol w:w="1478"/>
      </w:tblGrid>
      <w:tr w:rsidR="00473369" w:rsidRPr="00497E12" w:rsidTr="00C64257">
        <w:trPr>
          <w:tblHeader/>
        </w:trPr>
        <w:tc>
          <w:tcPr>
            <w:tcW w:w="5000" w:type="pct"/>
            <w:gridSpan w:val="10"/>
            <w:shd w:val="clear" w:color="auto" w:fill="auto"/>
            <w:vAlign w:val="center"/>
          </w:tcPr>
          <w:p w:rsidR="00473369" w:rsidRPr="00497E12" w:rsidRDefault="00473369" w:rsidP="00565F46">
            <w:pPr>
              <w:rPr>
                <w:rFonts w:ascii="Arial Narrow" w:hAnsi="Arial Narrow"/>
                <w:b/>
                <w:color w:val="000000"/>
                <w:sz w:val="20"/>
                <w:szCs w:val="18"/>
              </w:rPr>
            </w:pPr>
            <w:r w:rsidRPr="00497E12">
              <w:rPr>
                <w:rFonts w:ascii="Arial Narrow" w:hAnsi="Arial Narrow"/>
                <w:b/>
                <w:color w:val="000000"/>
                <w:sz w:val="20"/>
                <w:szCs w:val="18"/>
              </w:rPr>
              <w:t>Benefits</w:t>
            </w:r>
          </w:p>
        </w:tc>
      </w:tr>
      <w:tr w:rsidR="00473369" w:rsidRPr="00497E12" w:rsidTr="00565F46">
        <w:tc>
          <w:tcPr>
            <w:tcW w:w="1370" w:type="pct"/>
            <w:shd w:val="clear" w:color="auto" w:fill="auto"/>
            <w:vAlign w:val="center"/>
          </w:tcPr>
          <w:p w:rsidR="00473369" w:rsidRPr="00497E12" w:rsidRDefault="00473369" w:rsidP="00565F46">
            <w:pPr>
              <w:jc w:val="center"/>
              <w:rPr>
                <w:rFonts w:ascii="Arial Narrow" w:hAnsi="Arial Narrow"/>
                <w:color w:val="000000"/>
                <w:sz w:val="20"/>
                <w:szCs w:val="18"/>
              </w:rPr>
            </w:pPr>
          </w:p>
        </w:tc>
        <w:tc>
          <w:tcPr>
            <w:tcW w:w="1012" w:type="pct"/>
            <w:gridSpan w:val="3"/>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sz w:val="20"/>
              </w:rPr>
              <w:t>Nivolumab</w:t>
            </w:r>
            <w:proofErr w:type="spellEnd"/>
          </w:p>
        </w:tc>
        <w:tc>
          <w:tcPr>
            <w:tcW w:w="1014" w:type="pct"/>
            <w:gridSpan w:val="2"/>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sz w:val="20"/>
              </w:rPr>
              <w:t>Everolimus</w:t>
            </w:r>
            <w:proofErr w:type="spellEnd"/>
          </w:p>
        </w:tc>
        <w:tc>
          <w:tcPr>
            <w:tcW w:w="724" w:type="pct"/>
            <w:gridSpan w:val="3"/>
            <w:vAlign w:val="center"/>
          </w:tcPr>
          <w:p w:rsidR="00473369" w:rsidRPr="00497E12" w:rsidRDefault="00473369" w:rsidP="00565F46">
            <w:pPr>
              <w:jc w:val="center"/>
              <w:rPr>
                <w:rFonts w:ascii="Arial Narrow" w:hAnsi="Arial Narrow"/>
                <w:b/>
                <w:color w:val="000000"/>
                <w:sz w:val="20"/>
                <w:szCs w:val="18"/>
              </w:rPr>
            </w:pPr>
            <w:r w:rsidRPr="00497E12">
              <w:rPr>
                <w:rFonts w:ascii="Arial Narrow" w:hAnsi="Arial Narrow"/>
                <w:b/>
                <w:sz w:val="20"/>
              </w:rPr>
              <w:t>Absolute difference</w:t>
            </w:r>
          </w:p>
        </w:tc>
        <w:tc>
          <w:tcPr>
            <w:tcW w:w="880" w:type="pct"/>
            <w:vAlign w:val="center"/>
          </w:tcPr>
          <w:p w:rsidR="00473369" w:rsidRPr="00497E12" w:rsidRDefault="00473369" w:rsidP="00565F46">
            <w:pPr>
              <w:jc w:val="center"/>
              <w:rPr>
                <w:rFonts w:ascii="Arial Narrow" w:hAnsi="Arial Narrow"/>
                <w:b/>
                <w:color w:val="000000"/>
                <w:sz w:val="20"/>
                <w:szCs w:val="18"/>
              </w:rPr>
            </w:pPr>
            <w:r w:rsidRPr="00497E12">
              <w:rPr>
                <w:rFonts w:ascii="Arial Narrow" w:hAnsi="Arial Narrow"/>
                <w:b/>
                <w:sz w:val="20"/>
              </w:rPr>
              <w:t>HR (95% CI)</w:t>
            </w:r>
          </w:p>
        </w:tc>
      </w:tr>
      <w:tr w:rsidR="00473369" w:rsidRPr="00497E12" w:rsidTr="00565F46">
        <w:tc>
          <w:tcPr>
            <w:tcW w:w="5000" w:type="pct"/>
            <w:gridSpan w:val="10"/>
            <w:shd w:val="clear" w:color="auto" w:fill="auto"/>
          </w:tcPr>
          <w:p w:rsidR="00473369" w:rsidRPr="00497E12" w:rsidRDefault="00473369" w:rsidP="00565F46">
            <w:pPr>
              <w:jc w:val="left"/>
              <w:rPr>
                <w:rFonts w:ascii="Arial Narrow" w:hAnsi="Arial Narrow"/>
                <w:b/>
                <w:sz w:val="20"/>
              </w:rPr>
            </w:pPr>
            <w:r w:rsidRPr="00497E12">
              <w:rPr>
                <w:rFonts w:ascii="Arial Narrow" w:hAnsi="Arial Narrow"/>
                <w:b/>
                <w:sz w:val="20"/>
              </w:rPr>
              <w:t>Overall survival</w:t>
            </w:r>
          </w:p>
        </w:tc>
      </w:tr>
      <w:tr w:rsidR="00473369" w:rsidRPr="00497E12" w:rsidTr="00565F46">
        <w:tc>
          <w:tcPr>
            <w:tcW w:w="1370" w:type="pct"/>
            <w:shd w:val="clear" w:color="auto" w:fill="auto"/>
          </w:tcPr>
          <w:p w:rsidR="00473369" w:rsidRPr="00497E12" w:rsidRDefault="00473369" w:rsidP="00565F46">
            <w:pPr>
              <w:rPr>
                <w:rFonts w:ascii="Arial Narrow" w:hAnsi="Arial Narrow"/>
                <w:color w:val="000000"/>
                <w:sz w:val="20"/>
                <w:szCs w:val="18"/>
              </w:rPr>
            </w:pPr>
            <w:r w:rsidRPr="00497E12">
              <w:rPr>
                <w:rFonts w:ascii="Arial Narrow" w:hAnsi="Arial Narrow"/>
                <w:sz w:val="20"/>
              </w:rPr>
              <w:t>Death, n (%)</w:t>
            </w:r>
          </w:p>
        </w:tc>
        <w:tc>
          <w:tcPr>
            <w:tcW w:w="1012" w:type="pct"/>
            <w:gridSpan w:val="3"/>
          </w:tcPr>
          <w:p w:rsidR="00473369" w:rsidRPr="00497E12" w:rsidRDefault="00473369" w:rsidP="00565F46">
            <w:pPr>
              <w:jc w:val="center"/>
              <w:rPr>
                <w:rFonts w:ascii="Arial Narrow" w:hAnsi="Arial Narrow"/>
                <w:sz w:val="20"/>
              </w:rPr>
            </w:pPr>
            <w:r w:rsidRPr="00497E12">
              <w:rPr>
                <w:rFonts w:ascii="Arial Narrow" w:hAnsi="Arial Narrow"/>
                <w:sz w:val="20"/>
              </w:rPr>
              <w:t>183/410</w:t>
            </w:r>
            <w:r w:rsidR="00A92BBC">
              <w:rPr>
                <w:rFonts w:ascii="Arial Narrow" w:hAnsi="Arial Narrow"/>
                <w:sz w:val="20"/>
              </w:rPr>
              <w:t xml:space="preserve"> (44.6)</w:t>
            </w:r>
          </w:p>
        </w:tc>
        <w:tc>
          <w:tcPr>
            <w:tcW w:w="1014" w:type="pct"/>
            <w:gridSpan w:val="2"/>
          </w:tcPr>
          <w:p w:rsidR="00473369" w:rsidRPr="00497E12" w:rsidRDefault="00473369" w:rsidP="00565F46">
            <w:pPr>
              <w:jc w:val="center"/>
              <w:rPr>
                <w:rFonts w:ascii="Arial Narrow" w:hAnsi="Arial Narrow"/>
                <w:sz w:val="20"/>
              </w:rPr>
            </w:pPr>
            <w:r w:rsidRPr="00497E12">
              <w:rPr>
                <w:rFonts w:ascii="Arial Narrow" w:hAnsi="Arial Narrow"/>
                <w:sz w:val="20"/>
              </w:rPr>
              <w:t>215/411</w:t>
            </w:r>
            <w:r w:rsidR="00A92BBC">
              <w:rPr>
                <w:rFonts w:ascii="Arial Narrow" w:hAnsi="Arial Narrow"/>
                <w:sz w:val="20"/>
              </w:rPr>
              <w:t xml:space="preserve"> (52.3)</w:t>
            </w:r>
          </w:p>
        </w:tc>
        <w:tc>
          <w:tcPr>
            <w:tcW w:w="724" w:type="pct"/>
            <w:gridSpan w:val="3"/>
          </w:tcPr>
          <w:p w:rsidR="00473369" w:rsidRPr="00497E12" w:rsidRDefault="00473369" w:rsidP="00D21790">
            <w:pPr>
              <w:jc w:val="center"/>
              <w:rPr>
                <w:rFonts w:ascii="Arial Narrow" w:hAnsi="Arial Narrow"/>
                <w:color w:val="000000"/>
                <w:sz w:val="20"/>
                <w:szCs w:val="18"/>
              </w:rPr>
            </w:pPr>
          </w:p>
        </w:tc>
        <w:tc>
          <w:tcPr>
            <w:tcW w:w="880" w:type="pct"/>
          </w:tcPr>
          <w:p w:rsidR="00473369" w:rsidRPr="00497E12" w:rsidRDefault="00473369" w:rsidP="00565F46">
            <w:pPr>
              <w:jc w:val="center"/>
              <w:rPr>
                <w:rFonts w:ascii="Arial Narrow" w:hAnsi="Arial Narrow"/>
                <w:sz w:val="20"/>
              </w:rPr>
            </w:pPr>
            <w:r w:rsidRPr="00497E12">
              <w:rPr>
                <w:rFonts w:ascii="Arial Narrow" w:hAnsi="Arial Narrow"/>
                <w:sz w:val="20"/>
              </w:rPr>
              <w:t>-</w:t>
            </w:r>
          </w:p>
        </w:tc>
      </w:tr>
      <w:tr w:rsidR="00473369" w:rsidRPr="00497E12" w:rsidTr="00565F46">
        <w:tc>
          <w:tcPr>
            <w:tcW w:w="1370" w:type="pct"/>
            <w:shd w:val="clear" w:color="auto" w:fill="auto"/>
          </w:tcPr>
          <w:p w:rsidR="00473369" w:rsidRPr="00497E12" w:rsidRDefault="00473369" w:rsidP="00565F46">
            <w:pPr>
              <w:rPr>
                <w:rFonts w:ascii="Arial Narrow" w:hAnsi="Arial Narrow"/>
                <w:color w:val="000000"/>
                <w:sz w:val="20"/>
                <w:szCs w:val="18"/>
              </w:rPr>
            </w:pPr>
            <w:r w:rsidRPr="00497E12">
              <w:rPr>
                <w:rFonts w:ascii="Arial Narrow" w:hAnsi="Arial Narrow"/>
                <w:sz w:val="20"/>
              </w:rPr>
              <w:t>OS median months (95% CI)</w:t>
            </w:r>
          </w:p>
        </w:tc>
        <w:tc>
          <w:tcPr>
            <w:tcW w:w="1012" w:type="pct"/>
            <w:gridSpan w:val="3"/>
            <w:vAlign w:val="center"/>
          </w:tcPr>
          <w:p w:rsidR="00473369" w:rsidRPr="00497E12" w:rsidRDefault="00473369" w:rsidP="00565F46">
            <w:pPr>
              <w:jc w:val="center"/>
              <w:rPr>
                <w:rFonts w:ascii="Arial Narrow" w:hAnsi="Arial Narrow"/>
                <w:sz w:val="20"/>
              </w:rPr>
            </w:pPr>
            <w:r w:rsidRPr="00497E12">
              <w:rPr>
                <w:rFonts w:ascii="Arial Narrow" w:hAnsi="Arial Narrow"/>
                <w:sz w:val="20"/>
              </w:rPr>
              <w:t>25.00 (21.75, NR)</w:t>
            </w:r>
          </w:p>
        </w:tc>
        <w:tc>
          <w:tcPr>
            <w:tcW w:w="1014" w:type="pct"/>
            <w:gridSpan w:val="2"/>
            <w:vAlign w:val="center"/>
          </w:tcPr>
          <w:p w:rsidR="00473369" w:rsidRPr="00497E12" w:rsidRDefault="00473369" w:rsidP="00565F46">
            <w:pPr>
              <w:jc w:val="center"/>
              <w:rPr>
                <w:rFonts w:ascii="Arial Narrow" w:hAnsi="Arial Narrow"/>
                <w:sz w:val="20"/>
              </w:rPr>
            </w:pPr>
            <w:r w:rsidRPr="00497E12">
              <w:rPr>
                <w:rFonts w:ascii="Arial Narrow" w:hAnsi="Arial Narrow"/>
                <w:sz w:val="20"/>
              </w:rPr>
              <w:t>19.55 (17.64, 23.06)</w:t>
            </w:r>
          </w:p>
        </w:tc>
        <w:tc>
          <w:tcPr>
            <w:tcW w:w="724" w:type="pct"/>
            <w:gridSpan w:val="3"/>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sz w:val="20"/>
              </w:rPr>
              <w:t>5.45</w:t>
            </w:r>
          </w:p>
        </w:tc>
        <w:tc>
          <w:tcPr>
            <w:tcW w:w="880" w:type="pct"/>
            <w:vAlign w:val="center"/>
          </w:tcPr>
          <w:p w:rsidR="00473369" w:rsidRPr="00497E12" w:rsidRDefault="00473369" w:rsidP="00565F46">
            <w:pPr>
              <w:jc w:val="center"/>
              <w:rPr>
                <w:rFonts w:ascii="Arial Narrow" w:hAnsi="Arial Narrow"/>
                <w:sz w:val="20"/>
              </w:rPr>
            </w:pPr>
            <w:r w:rsidRPr="00497E12">
              <w:rPr>
                <w:rFonts w:ascii="Arial Narrow" w:hAnsi="Arial Narrow"/>
                <w:sz w:val="20"/>
              </w:rPr>
              <w:t>0.73 (0.57, 0.93)</w:t>
            </w:r>
            <w:r w:rsidRPr="00497E12">
              <w:rPr>
                <w:rFonts w:ascii="Arial Narrow" w:hAnsi="Arial Narrow"/>
                <w:sz w:val="20"/>
                <w:vertAlign w:val="superscript"/>
              </w:rPr>
              <w:t>a</w:t>
            </w:r>
          </w:p>
        </w:tc>
      </w:tr>
      <w:tr w:rsidR="00473369" w:rsidRPr="00497E12" w:rsidTr="00565F46">
        <w:tc>
          <w:tcPr>
            <w:tcW w:w="5000" w:type="pct"/>
            <w:gridSpan w:val="10"/>
            <w:shd w:val="clear" w:color="auto" w:fill="auto"/>
            <w:vAlign w:val="center"/>
          </w:tcPr>
          <w:p w:rsidR="00473369" w:rsidRPr="00497E12" w:rsidRDefault="00473369" w:rsidP="00565F46">
            <w:pPr>
              <w:jc w:val="left"/>
              <w:rPr>
                <w:rFonts w:ascii="Arial Narrow" w:hAnsi="Arial Narrow"/>
                <w:b/>
                <w:sz w:val="20"/>
              </w:rPr>
            </w:pPr>
            <w:r w:rsidRPr="00497E12">
              <w:rPr>
                <w:rFonts w:ascii="Arial Narrow" w:hAnsi="Arial Narrow"/>
                <w:b/>
                <w:sz w:val="20"/>
              </w:rPr>
              <w:t>RECIST v1.1-defined progression-free survival</w:t>
            </w:r>
          </w:p>
        </w:tc>
      </w:tr>
      <w:tr w:rsidR="00473369" w:rsidRPr="00497E12" w:rsidTr="00565F46">
        <w:tc>
          <w:tcPr>
            <w:tcW w:w="1370" w:type="pct"/>
            <w:shd w:val="clear" w:color="auto" w:fill="auto"/>
          </w:tcPr>
          <w:p w:rsidR="00473369" w:rsidRPr="00497E12" w:rsidRDefault="00473369" w:rsidP="00565F46">
            <w:pPr>
              <w:rPr>
                <w:rFonts w:ascii="Arial Narrow" w:hAnsi="Arial Narrow"/>
                <w:color w:val="000000"/>
                <w:sz w:val="20"/>
                <w:szCs w:val="18"/>
              </w:rPr>
            </w:pPr>
            <w:r w:rsidRPr="00497E12">
              <w:rPr>
                <w:rFonts w:ascii="Arial Narrow" w:hAnsi="Arial Narrow"/>
                <w:sz w:val="20"/>
              </w:rPr>
              <w:t>Progressed, n (%)</w:t>
            </w:r>
          </w:p>
        </w:tc>
        <w:tc>
          <w:tcPr>
            <w:tcW w:w="1012" w:type="pct"/>
            <w:gridSpan w:val="3"/>
            <w:vAlign w:val="center"/>
          </w:tcPr>
          <w:p w:rsidR="00473369" w:rsidRPr="00497E12" w:rsidRDefault="00473369" w:rsidP="00565F46">
            <w:pPr>
              <w:jc w:val="center"/>
              <w:rPr>
                <w:rFonts w:ascii="Arial Narrow" w:hAnsi="Arial Narrow"/>
                <w:sz w:val="20"/>
              </w:rPr>
            </w:pPr>
            <w:r w:rsidRPr="00497E12">
              <w:rPr>
                <w:rFonts w:ascii="Arial Narrow" w:hAnsi="Arial Narrow"/>
                <w:sz w:val="20"/>
              </w:rPr>
              <w:t>311/410</w:t>
            </w:r>
            <w:r w:rsidR="00A92BBC">
              <w:rPr>
                <w:rFonts w:ascii="Arial Narrow" w:hAnsi="Arial Narrow"/>
                <w:sz w:val="20"/>
              </w:rPr>
              <w:t xml:space="preserve"> (75.9)</w:t>
            </w:r>
          </w:p>
        </w:tc>
        <w:tc>
          <w:tcPr>
            <w:tcW w:w="1014" w:type="pct"/>
            <w:gridSpan w:val="2"/>
            <w:vAlign w:val="center"/>
          </w:tcPr>
          <w:p w:rsidR="00473369" w:rsidRPr="00497E12" w:rsidRDefault="00473369" w:rsidP="00565F46">
            <w:pPr>
              <w:jc w:val="center"/>
              <w:rPr>
                <w:rFonts w:ascii="Arial Narrow" w:hAnsi="Arial Narrow"/>
                <w:sz w:val="20"/>
              </w:rPr>
            </w:pPr>
            <w:r w:rsidRPr="00497E12">
              <w:rPr>
                <w:rFonts w:ascii="Arial Narrow" w:hAnsi="Arial Narrow"/>
                <w:sz w:val="20"/>
              </w:rPr>
              <w:t>312/411</w:t>
            </w:r>
            <w:r w:rsidR="00A92BBC">
              <w:rPr>
                <w:rFonts w:ascii="Arial Narrow" w:hAnsi="Arial Narrow"/>
                <w:sz w:val="20"/>
              </w:rPr>
              <w:t xml:space="preserve"> (75.9)</w:t>
            </w:r>
          </w:p>
        </w:tc>
        <w:tc>
          <w:tcPr>
            <w:tcW w:w="724" w:type="pct"/>
            <w:gridSpan w:val="3"/>
          </w:tcPr>
          <w:p w:rsidR="00473369" w:rsidRPr="00497E12" w:rsidRDefault="00473369" w:rsidP="00565F46">
            <w:pPr>
              <w:jc w:val="center"/>
              <w:rPr>
                <w:rFonts w:ascii="Arial Narrow" w:hAnsi="Arial Narrow"/>
                <w:color w:val="000000"/>
                <w:sz w:val="20"/>
                <w:szCs w:val="18"/>
              </w:rPr>
            </w:pPr>
          </w:p>
        </w:tc>
        <w:tc>
          <w:tcPr>
            <w:tcW w:w="880" w:type="pct"/>
          </w:tcPr>
          <w:p w:rsidR="00473369" w:rsidRPr="00497E12" w:rsidRDefault="00473369" w:rsidP="00565F46">
            <w:pPr>
              <w:jc w:val="center"/>
              <w:rPr>
                <w:rFonts w:ascii="Arial Narrow" w:hAnsi="Arial Narrow"/>
                <w:sz w:val="20"/>
              </w:rPr>
            </w:pPr>
            <w:r w:rsidRPr="00497E12">
              <w:rPr>
                <w:rFonts w:ascii="Arial Narrow" w:hAnsi="Arial Narrow"/>
                <w:sz w:val="20"/>
              </w:rPr>
              <w:t>-</w:t>
            </w:r>
          </w:p>
        </w:tc>
      </w:tr>
      <w:tr w:rsidR="00473369" w:rsidRPr="00497E12" w:rsidTr="00565F46">
        <w:tc>
          <w:tcPr>
            <w:tcW w:w="1370" w:type="pct"/>
            <w:shd w:val="clear" w:color="auto" w:fill="auto"/>
          </w:tcPr>
          <w:p w:rsidR="00473369" w:rsidRPr="00497E12" w:rsidRDefault="00473369" w:rsidP="00565F46">
            <w:pPr>
              <w:jc w:val="left"/>
              <w:rPr>
                <w:rFonts w:ascii="Arial Narrow" w:hAnsi="Arial Narrow"/>
                <w:color w:val="000000"/>
                <w:sz w:val="20"/>
                <w:szCs w:val="18"/>
              </w:rPr>
            </w:pPr>
            <w:r w:rsidRPr="00497E12">
              <w:rPr>
                <w:rFonts w:ascii="Arial Narrow" w:hAnsi="Arial Narrow"/>
                <w:sz w:val="20"/>
              </w:rPr>
              <w:t>PFS median months (95% CI)</w:t>
            </w:r>
          </w:p>
        </w:tc>
        <w:tc>
          <w:tcPr>
            <w:tcW w:w="1012" w:type="pct"/>
            <w:gridSpan w:val="3"/>
            <w:vAlign w:val="center"/>
          </w:tcPr>
          <w:p w:rsidR="00473369" w:rsidRPr="00497E12" w:rsidRDefault="00473369" w:rsidP="00565F46">
            <w:pPr>
              <w:jc w:val="center"/>
              <w:rPr>
                <w:rFonts w:ascii="Arial Narrow" w:hAnsi="Arial Narrow"/>
                <w:sz w:val="20"/>
              </w:rPr>
            </w:pPr>
            <w:r w:rsidRPr="00497E12">
              <w:rPr>
                <w:rFonts w:ascii="Arial Narrow" w:hAnsi="Arial Narrow"/>
                <w:sz w:val="20"/>
              </w:rPr>
              <w:t>4.60 (3.71, 5.39)</w:t>
            </w:r>
          </w:p>
        </w:tc>
        <w:tc>
          <w:tcPr>
            <w:tcW w:w="1014" w:type="pct"/>
            <w:gridSpan w:val="2"/>
            <w:vAlign w:val="center"/>
          </w:tcPr>
          <w:p w:rsidR="00473369" w:rsidRPr="00497E12" w:rsidRDefault="00473369" w:rsidP="00565F46">
            <w:pPr>
              <w:jc w:val="center"/>
              <w:rPr>
                <w:rFonts w:ascii="Arial Narrow" w:hAnsi="Arial Narrow"/>
                <w:sz w:val="20"/>
              </w:rPr>
            </w:pPr>
            <w:r w:rsidRPr="00497E12">
              <w:rPr>
                <w:rFonts w:ascii="Arial Narrow" w:hAnsi="Arial Narrow"/>
                <w:sz w:val="20"/>
              </w:rPr>
              <w:t>4.44 (3.71, 5.52)</w:t>
            </w:r>
          </w:p>
        </w:tc>
        <w:tc>
          <w:tcPr>
            <w:tcW w:w="724" w:type="pct"/>
            <w:gridSpan w:val="3"/>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sz w:val="20"/>
              </w:rPr>
              <w:t>0.16</w:t>
            </w:r>
          </w:p>
        </w:tc>
        <w:tc>
          <w:tcPr>
            <w:tcW w:w="880" w:type="pct"/>
            <w:vAlign w:val="center"/>
          </w:tcPr>
          <w:p w:rsidR="00473369" w:rsidRPr="00497E12" w:rsidRDefault="00473369" w:rsidP="00565F46">
            <w:pPr>
              <w:jc w:val="center"/>
              <w:rPr>
                <w:rFonts w:ascii="Arial Narrow" w:hAnsi="Arial Narrow"/>
                <w:sz w:val="20"/>
              </w:rPr>
            </w:pPr>
            <w:r w:rsidRPr="00497E12">
              <w:rPr>
                <w:rFonts w:ascii="Arial Narrow" w:hAnsi="Arial Narrow"/>
                <w:sz w:val="20"/>
              </w:rPr>
              <w:t>0.88 (0.75, 1.03)</w:t>
            </w:r>
          </w:p>
        </w:tc>
      </w:tr>
      <w:tr w:rsidR="00473369" w:rsidRPr="00497E12" w:rsidTr="00565F46">
        <w:tc>
          <w:tcPr>
            <w:tcW w:w="5000" w:type="pct"/>
            <w:gridSpan w:val="10"/>
            <w:tcBorders>
              <w:top w:val="double" w:sz="4" w:space="0" w:color="auto"/>
            </w:tcBorders>
            <w:shd w:val="clear" w:color="auto" w:fill="auto"/>
            <w:vAlign w:val="center"/>
          </w:tcPr>
          <w:p w:rsidR="00473369" w:rsidRPr="00497E12" w:rsidRDefault="00473369" w:rsidP="00565F46">
            <w:pPr>
              <w:rPr>
                <w:rFonts w:ascii="Arial Narrow" w:hAnsi="Arial Narrow"/>
                <w:b/>
                <w:color w:val="000000"/>
                <w:sz w:val="20"/>
                <w:szCs w:val="18"/>
              </w:rPr>
            </w:pPr>
            <w:proofErr w:type="spellStart"/>
            <w:r w:rsidRPr="00497E12">
              <w:rPr>
                <w:rFonts w:ascii="Arial Narrow" w:hAnsi="Arial Narrow"/>
                <w:b/>
                <w:color w:val="000000"/>
                <w:sz w:val="20"/>
                <w:szCs w:val="18"/>
              </w:rPr>
              <w:t>Harms</w:t>
            </w:r>
            <w:r w:rsidRPr="00497E12">
              <w:rPr>
                <w:rFonts w:ascii="Arial Narrow" w:hAnsi="Arial Narrow"/>
                <w:sz w:val="20"/>
                <w:szCs w:val="20"/>
                <w:vertAlign w:val="superscript"/>
              </w:rPr>
              <w:t>c</w:t>
            </w:r>
            <w:proofErr w:type="spellEnd"/>
          </w:p>
        </w:tc>
      </w:tr>
      <w:tr w:rsidR="00473369" w:rsidRPr="00497E12" w:rsidTr="00565F46">
        <w:tc>
          <w:tcPr>
            <w:tcW w:w="1539" w:type="pct"/>
            <w:gridSpan w:val="2"/>
            <w:vMerge w:val="restart"/>
            <w:shd w:val="clear" w:color="auto" w:fill="auto"/>
            <w:vAlign w:val="center"/>
          </w:tcPr>
          <w:p w:rsidR="00473369" w:rsidRPr="00497E12" w:rsidRDefault="00473369" w:rsidP="00565F46">
            <w:pPr>
              <w:rPr>
                <w:rFonts w:ascii="Arial Narrow" w:hAnsi="Arial Narrow"/>
                <w:b/>
                <w:color w:val="000000"/>
                <w:sz w:val="20"/>
                <w:szCs w:val="18"/>
              </w:rPr>
            </w:pPr>
          </w:p>
        </w:tc>
        <w:tc>
          <w:tcPr>
            <w:tcW w:w="675" w:type="pct"/>
            <w:vMerge w:val="restart"/>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sz w:val="20"/>
                <w:szCs w:val="20"/>
              </w:rPr>
              <w:t>Nivolumab</w:t>
            </w:r>
            <w:proofErr w:type="spellEnd"/>
          </w:p>
        </w:tc>
        <w:tc>
          <w:tcPr>
            <w:tcW w:w="674" w:type="pct"/>
            <w:gridSpan w:val="2"/>
            <w:vMerge w:val="restart"/>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sz w:val="20"/>
                <w:szCs w:val="20"/>
              </w:rPr>
              <w:t>Everolimus</w:t>
            </w:r>
            <w:proofErr w:type="spellEnd"/>
          </w:p>
        </w:tc>
        <w:tc>
          <w:tcPr>
            <w:tcW w:w="1193" w:type="pct"/>
            <w:gridSpan w:val="3"/>
            <w:vAlign w:val="center"/>
          </w:tcPr>
          <w:p w:rsidR="00473369" w:rsidRPr="00497E12" w:rsidRDefault="00473369" w:rsidP="00565F46">
            <w:pPr>
              <w:jc w:val="center"/>
              <w:rPr>
                <w:rFonts w:ascii="Arial Narrow" w:hAnsi="Arial Narrow"/>
                <w:b/>
                <w:color w:val="000000"/>
                <w:sz w:val="20"/>
                <w:szCs w:val="18"/>
              </w:rPr>
            </w:pPr>
            <w:r w:rsidRPr="00497E12">
              <w:rPr>
                <w:rFonts w:ascii="Arial Narrow" w:hAnsi="Arial Narrow"/>
                <w:b/>
                <w:color w:val="000000"/>
                <w:sz w:val="20"/>
                <w:szCs w:val="18"/>
              </w:rPr>
              <w:t>Event rate/100 patients</w:t>
            </w:r>
          </w:p>
        </w:tc>
        <w:tc>
          <w:tcPr>
            <w:tcW w:w="919" w:type="pct"/>
            <w:gridSpan w:val="2"/>
            <w:vMerge w:val="restart"/>
            <w:vAlign w:val="center"/>
          </w:tcPr>
          <w:p w:rsidR="00473369" w:rsidRPr="00497E12" w:rsidRDefault="00473369" w:rsidP="00565F46">
            <w:pPr>
              <w:jc w:val="center"/>
              <w:rPr>
                <w:rFonts w:ascii="Arial Narrow" w:hAnsi="Arial Narrow"/>
                <w:b/>
                <w:color w:val="000000"/>
                <w:sz w:val="20"/>
                <w:szCs w:val="18"/>
              </w:rPr>
            </w:pPr>
            <w:r w:rsidRPr="00497E12">
              <w:rPr>
                <w:rFonts w:ascii="Arial Narrow" w:hAnsi="Arial Narrow"/>
                <w:b/>
                <w:color w:val="000000"/>
                <w:sz w:val="20"/>
                <w:szCs w:val="18"/>
              </w:rPr>
              <w:t>RD%</w:t>
            </w:r>
          </w:p>
          <w:p w:rsidR="00473369" w:rsidRPr="00497E12" w:rsidRDefault="00473369" w:rsidP="00565F46">
            <w:pPr>
              <w:jc w:val="center"/>
              <w:rPr>
                <w:rFonts w:ascii="Arial Narrow" w:hAnsi="Arial Narrow"/>
                <w:b/>
                <w:color w:val="000000"/>
                <w:sz w:val="20"/>
                <w:szCs w:val="18"/>
              </w:rPr>
            </w:pPr>
            <w:r w:rsidRPr="00497E12">
              <w:rPr>
                <w:rFonts w:ascii="Arial Narrow" w:hAnsi="Arial Narrow"/>
                <w:b/>
                <w:color w:val="000000"/>
                <w:sz w:val="20"/>
                <w:szCs w:val="18"/>
              </w:rPr>
              <w:t>(95% CI)</w:t>
            </w:r>
          </w:p>
        </w:tc>
      </w:tr>
      <w:tr w:rsidR="00473369" w:rsidRPr="00497E12" w:rsidTr="00565F46">
        <w:tc>
          <w:tcPr>
            <w:tcW w:w="1539" w:type="pct"/>
            <w:gridSpan w:val="2"/>
            <w:vMerge/>
            <w:shd w:val="clear" w:color="auto" w:fill="auto"/>
            <w:vAlign w:val="center"/>
          </w:tcPr>
          <w:p w:rsidR="00473369" w:rsidRPr="00497E12" w:rsidRDefault="00473369" w:rsidP="00565F46">
            <w:pPr>
              <w:rPr>
                <w:rFonts w:ascii="Arial Narrow" w:hAnsi="Arial Narrow"/>
                <w:b/>
                <w:color w:val="000000"/>
                <w:sz w:val="20"/>
                <w:szCs w:val="18"/>
              </w:rPr>
            </w:pPr>
          </w:p>
        </w:tc>
        <w:tc>
          <w:tcPr>
            <w:tcW w:w="675" w:type="pct"/>
            <w:vMerge/>
            <w:vAlign w:val="center"/>
          </w:tcPr>
          <w:p w:rsidR="00473369" w:rsidRPr="00497E12" w:rsidRDefault="00473369" w:rsidP="00565F46">
            <w:pPr>
              <w:jc w:val="center"/>
              <w:rPr>
                <w:rFonts w:ascii="Arial Narrow" w:hAnsi="Arial Narrow"/>
                <w:b/>
                <w:color w:val="000000"/>
                <w:sz w:val="20"/>
                <w:szCs w:val="18"/>
              </w:rPr>
            </w:pPr>
          </w:p>
        </w:tc>
        <w:tc>
          <w:tcPr>
            <w:tcW w:w="674" w:type="pct"/>
            <w:gridSpan w:val="2"/>
            <w:vMerge/>
            <w:vAlign w:val="center"/>
          </w:tcPr>
          <w:p w:rsidR="00473369" w:rsidRPr="00497E12" w:rsidRDefault="00473369" w:rsidP="00565F46">
            <w:pPr>
              <w:jc w:val="center"/>
              <w:rPr>
                <w:rFonts w:ascii="Arial Narrow" w:hAnsi="Arial Narrow"/>
                <w:b/>
                <w:color w:val="000000"/>
                <w:sz w:val="20"/>
                <w:szCs w:val="18"/>
              </w:rPr>
            </w:pPr>
          </w:p>
        </w:tc>
        <w:tc>
          <w:tcPr>
            <w:tcW w:w="597" w:type="pct"/>
            <w:gridSpan w:val="2"/>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color w:val="000000"/>
                <w:sz w:val="20"/>
                <w:szCs w:val="18"/>
              </w:rPr>
              <w:t>Nivolumab</w:t>
            </w:r>
            <w:proofErr w:type="spellEnd"/>
          </w:p>
        </w:tc>
        <w:tc>
          <w:tcPr>
            <w:tcW w:w="596" w:type="pct"/>
            <w:vAlign w:val="center"/>
          </w:tcPr>
          <w:p w:rsidR="00473369" w:rsidRPr="00497E12" w:rsidRDefault="00473369" w:rsidP="00565F46">
            <w:pPr>
              <w:jc w:val="center"/>
              <w:rPr>
                <w:rFonts w:ascii="Arial Narrow" w:hAnsi="Arial Narrow"/>
                <w:b/>
                <w:color w:val="000000"/>
                <w:sz w:val="20"/>
                <w:szCs w:val="18"/>
              </w:rPr>
            </w:pPr>
            <w:proofErr w:type="spellStart"/>
            <w:r w:rsidRPr="00497E12">
              <w:rPr>
                <w:rFonts w:ascii="Arial Narrow" w:hAnsi="Arial Narrow"/>
                <w:b/>
                <w:color w:val="000000"/>
                <w:sz w:val="20"/>
                <w:szCs w:val="18"/>
              </w:rPr>
              <w:t>Everolimus</w:t>
            </w:r>
            <w:proofErr w:type="spellEnd"/>
          </w:p>
        </w:tc>
        <w:tc>
          <w:tcPr>
            <w:tcW w:w="919" w:type="pct"/>
            <w:gridSpan w:val="2"/>
            <w:vMerge/>
            <w:vAlign w:val="center"/>
          </w:tcPr>
          <w:p w:rsidR="00473369" w:rsidRPr="00497E12" w:rsidRDefault="00473369" w:rsidP="00565F46">
            <w:pPr>
              <w:jc w:val="center"/>
              <w:rPr>
                <w:rFonts w:ascii="Arial Narrow" w:hAnsi="Arial Narrow"/>
                <w:b/>
                <w:color w:val="000000"/>
                <w:sz w:val="20"/>
                <w:szCs w:val="18"/>
              </w:rPr>
            </w:pPr>
          </w:p>
        </w:tc>
      </w:tr>
      <w:tr w:rsidR="00473369" w:rsidRPr="00497E12" w:rsidTr="00565F46">
        <w:tc>
          <w:tcPr>
            <w:tcW w:w="1539" w:type="pct"/>
            <w:gridSpan w:val="2"/>
            <w:shd w:val="clear" w:color="auto" w:fill="auto"/>
          </w:tcPr>
          <w:p w:rsidR="00473369" w:rsidRPr="00497E12" w:rsidRDefault="00473369" w:rsidP="00565F46">
            <w:pPr>
              <w:rPr>
                <w:rFonts w:ascii="Arial Narrow" w:hAnsi="Arial Narrow"/>
                <w:color w:val="000000"/>
                <w:sz w:val="20"/>
                <w:szCs w:val="18"/>
              </w:rPr>
            </w:pPr>
            <w:r w:rsidRPr="00497E12">
              <w:rPr>
                <w:rFonts w:ascii="Arial Narrow" w:hAnsi="Arial Narrow"/>
                <w:color w:val="000000"/>
                <w:sz w:val="20"/>
                <w:szCs w:val="18"/>
              </w:rPr>
              <w:t>Any drug-related AE (graded ≥3)</w:t>
            </w:r>
          </w:p>
        </w:tc>
        <w:tc>
          <w:tcPr>
            <w:tcW w:w="675" w:type="pct"/>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s="Times New Roman"/>
                <w:snapToGrid/>
                <w:sz w:val="20"/>
                <w:szCs w:val="20"/>
                <w:lang w:eastAsia="en-AU"/>
              </w:rPr>
              <w:t>76/406</w:t>
            </w:r>
          </w:p>
        </w:tc>
        <w:tc>
          <w:tcPr>
            <w:tcW w:w="674" w:type="pct"/>
            <w:gridSpan w:val="2"/>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s="Times New Roman"/>
                <w:snapToGrid/>
                <w:sz w:val="20"/>
                <w:szCs w:val="20"/>
                <w:lang w:eastAsia="en-AU"/>
              </w:rPr>
              <w:t>145/397</w:t>
            </w:r>
          </w:p>
        </w:tc>
        <w:tc>
          <w:tcPr>
            <w:tcW w:w="597" w:type="pct"/>
            <w:gridSpan w:val="2"/>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olor w:val="000000"/>
                <w:sz w:val="20"/>
                <w:szCs w:val="18"/>
              </w:rPr>
              <w:t>18.7</w:t>
            </w:r>
          </w:p>
        </w:tc>
        <w:tc>
          <w:tcPr>
            <w:tcW w:w="596" w:type="pct"/>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olor w:val="000000"/>
                <w:sz w:val="20"/>
                <w:szCs w:val="18"/>
              </w:rPr>
              <w:t>36.5</w:t>
            </w:r>
          </w:p>
        </w:tc>
        <w:tc>
          <w:tcPr>
            <w:tcW w:w="919" w:type="pct"/>
            <w:gridSpan w:val="2"/>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sz w:val="20"/>
                <w:szCs w:val="20"/>
              </w:rPr>
              <w:t>-17.8 (-23.9, -11.7)</w:t>
            </w:r>
          </w:p>
        </w:tc>
      </w:tr>
      <w:tr w:rsidR="00473369" w:rsidRPr="00497E12" w:rsidTr="00565F46">
        <w:tc>
          <w:tcPr>
            <w:tcW w:w="1539" w:type="pct"/>
            <w:gridSpan w:val="2"/>
            <w:shd w:val="clear" w:color="auto" w:fill="auto"/>
          </w:tcPr>
          <w:p w:rsidR="00473369" w:rsidRPr="00497E12" w:rsidRDefault="00473369" w:rsidP="00565F46">
            <w:pPr>
              <w:rPr>
                <w:rFonts w:ascii="Arial Narrow" w:hAnsi="Arial Narrow"/>
                <w:sz w:val="20"/>
              </w:rPr>
            </w:pPr>
            <w:r w:rsidRPr="00497E12">
              <w:rPr>
                <w:rFonts w:ascii="Arial Narrow" w:hAnsi="Arial Narrow"/>
                <w:color w:val="000000"/>
                <w:sz w:val="20"/>
                <w:szCs w:val="18"/>
              </w:rPr>
              <w:t>Drug-related anaemia (graded ≥3)</w:t>
            </w:r>
          </w:p>
        </w:tc>
        <w:tc>
          <w:tcPr>
            <w:tcW w:w="675" w:type="pct"/>
            <w:vAlign w:val="center"/>
          </w:tcPr>
          <w:p w:rsidR="00473369" w:rsidRPr="00497E12" w:rsidRDefault="00473369" w:rsidP="00565F46">
            <w:pPr>
              <w:jc w:val="center"/>
              <w:rPr>
                <w:rFonts w:ascii="Arial Narrow" w:hAnsi="Arial Narrow"/>
                <w:sz w:val="20"/>
                <w:szCs w:val="20"/>
              </w:rPr>
            </w:pPr>
            <w:r w:rsidRPr="00497E12">
              <w:rPr>
                <w:rFonts w:ascii="Arial Narrow" w:hAnsi="Arial Narrow" w:cs="Times New Roman"/>
                <w:snapToGrid/>
                <w:sz w:val="20"/>
                <w:szCs w:val="20"/>
                <w:lang w:eastAsia="en-AU"/>
              </w:rPr>
              <w:t>7/406</w:t>
            </w:r>
          </w:p>
        </w:tc>
        <w:tc>
          <w:tcPr>
            <w:tcW w:w="674" w:type="pct"/>
            <w:gridSpan w:val="2"/>
            <w:vAlign w:val="center"/>
          </w:tcPr>
          <w:p w:rsidR="00473369" w:rsidRPr="00497E12" w:rsidRDefault="00473369" w:rsidP="00565F46">
            <w:pPr>
              <w:jc w:val="center"/>
              <w:rPr>
                <w:rFonts w:ascii="Arial Narrow" w:hAnsi="Arial Narrow"/>
                <w:sz w:val="20"/>
                <w:szCs w:val="20"/>
              </w:rPr>
            </w:pPr>
            <w:r w:rsidRPr="00497E12">
              <w:rPr>
                <w:rFonts w:ascii="Arial Narrow" w:hAnsi="Arial Narrow" w:cs="Times New Roman"/>
                <w:snapToGrid/>
                <w:sz w:val="20"/>
                <w:szCs w:val="20"/>
                <w:lang w:eastAsia="en-AU"/>
              </w:rPr>
              <w:t>31/397</w:t>
            </w:r>
          </w:p>
        </w:tc>
        <w:tc>
          <w:tcPr>
            <w:tcW w:w="597" w:type="pct"/>
            <w:gridSpan w:val="2"/>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olor w:val="000000"/>
                <w:sz w:val="20"/>
                <w:szCs w:val="18"/>
              </w:rPr>
              <w:t>1.7</w:t>
            </w:r>
          </w:p>
        </w:tc>
        <w:tc>
          <w:tcPr>
            <w:tcW w:w="596" w:type="pct"/>
            <w:vAlign w:val="center"/>
          </w:tcPr>
          <w:p w:rsidR="00473369" w:rsidRPr="00497E12" w:rsidRDefault="00473369" w:rsidP="00565F46">
            <w:pPr>
              <w:jc w:val="center"/>
              <w:rPr>
                <w:rFonts w:ascii="Arial Narrow" w:hAnsi="Arial Narrow"/>
                <w:color w:val="000000"/>
                <w:sz w:val="20"/>
                <w:szCs w:val="18"/>
              </w:rPr>
            </w:pPr>
            <w:r w:rsidRPr="00497E12">
              <w:rPr>
                <w:rFonts w:ascii="Arial Narrow" w:hAnsi="Arial Narrow"/>
                <w:color w:val="000000"/>
                <w:sz w:val="20"/>
                <w:szCs w:val="18"/>
              </w:rPr>
              <w:t>7.8</w:t>
            </w:r>
          </w:p>
        </w:tc>
        <w:tc>
          <w:tcPr>
            <w:tcW w:w="919" w:type="pct"/>
            <w:gridSpan w:val="2"/>
            <w:vAlign w:val="center"/>
          </w:tcPr>
          <w:p w:rsidR="00473369" w:rsidRPr="00497E12" w:rsidRDefault="00473369" w:rsidP="00565F46">
            <w:pPr>
              <w:jc w:val="center"/>
              <w:rPr>
                <w:rFonts w:ascii="Arial Narrow" w:hAnsi="Arial Narrow"/>
                <w:sz w:val="20"/>
                <w:szCs w:val="20"/>
              </w:rPr>
            </w:pPr>
            <w:r w:rsidRPr="00497E12">
              <w:rPr>
                <w:rFonts w:ascii="Arial Narrow" w:hAnsi="Arial Narrow"/>
                <w:sz w:val="20"/>
                <w:szCs w:val="20"/>
              </w:rPr>
              <w:t>-6.1 (-9.0, -3.2)</w:t>
            </w:r>
          </w:p>
        </w:tc>
      </w:tr>
    </w:tbl>
    <w:p w:rsidR="00473369" w:rsidRPr="00497E12" w:rsidRDefault="00473369" w:rsidP="00473369">
      <w:pPr>
        <w:pStyle w:val="TableFooter"/>
        <w:ind w:firstLine="720"/>
      </w:pPr>
      <w:r w:rsidRPr="00497E12">
        <w:t>Source: compiled during the evaluation.</w:t>
      </w:r>
    </w:p>
    <w:p w:rsidR="00473369" w:rsidRPr="00497E12" w:rsidRDefault="00473369" w:rsidP="00473369">
      <w:pPr>
        <w:pStyle w:val="TableFooter"/>
        <w:ind w:left="720"/>
      </w:pPr>
      <w:r w:rsidRPr="00497E12">
        <w:t>Abbreviations: AE=adverse event; HR=hazard ratio; NR=not reported; OS=overall survival; PFS=progression-free survival; RD=risk difference.</w:t>
      </w:r>
    </w:p>
    <w:p w:rsidR="00473369" w:rsidRPr="00497E12" w:rsidRDefault="00473369" w:rsidP="00473369">
      <w:pPr>
        <w:pStyle w:val="TableFooter"/>
        <w:ind w:left="709"/>
        <w:rPr>
          <w:szCs w:val="18"/>
        </w:rPr>
      </w:pPr>
      <w:proofErr w:type="gramStart"/>
      <w:r w:rsidRPr="00497E12">
        <w:rPr>
          <w:szCs w:val="18"/>
          <w:vertAlign w:val="superscript"/>
        </w:rPr>
        <w:t>a</w:t>
      </w:r>
      <w:proofErr w:type="gramEnd"/>
      <w:r w:rsidRPr="00497E12">
        <w:rPr>
          <w:szCs w:val="18"/>
          <w:vertAlign w:val="superscript"/>
        </w:rPr>
        <w:t xml:space="preserve"> </w:t>
      </w:r>
      <w:r w:rsidRPr="00497E12">
        <w:rPr>
          <w:szCs w:val="18"/>
        </w:rPr>
        <w:t>98.52% CI. The 98.52% CI was used for the OS results as the trial outcomes were based on the interim analysis, where the pre-determined boundary for significance was at p-value of 0.0148 (100%-1.48%=98.52%).</w:t>
      </w:r>
    </w:p>
    <w:p w:rsidR="00473369" w:rsidRPr="00497E12" w:rsidRDefault="00473369" w:rsidP="00473369">
      <w:pPr>
        <w:pStyle w:val="TableFooter"/>
        <w:ind w:left="720"/>
        <w:rPr>
          <w:szCs w:val="18"/>
        </w:rPr>
      </w:pPr>
      <w:proofErr w:type="gramStart"/>
      <w:r w:rsidRPr="00497E12">
        <w:rPr>
          <w:szCs w:val="18"/>
          <w:vertAlign w:val="superscript"/>
        </w:rPr>
        <w:t>b</w:t>
      </w:r>
      <w:proofErr w:type="gramEnd"/>
      <w:r w:rsidRPr="00497E12">
        <w:rPr>
          <w:szCs w:val="18"/>
        </w:rPr>
        <w:t xml:space="preserve"> Rounded off to the second decimal digits during the evaluation.</w:t>
      </w:r>
    </w:p>
    <w:p w:rsidR="00473369" w:rsidRPr="00497E12" w:rsidRDefault="00473369" w:rsidP="00473369">
      <w:pPr>
        <w:pStyle w:val="TableFooter"/>
        <w:ind w:left="720"/>
        <w:rPr>
          <w:szCs w:val="18"/>
        </w:rPr>
      </w:pPr>
      <w:proofErr w:type="gramStart"/>
      <w:r w:rsidRPr="00497E12">
        <w:rPr>
          <w:szCs w:val="18"/>
          <w:vertAlign w:val="superscript"/>
        </w:rPr>
        <w:t>c</w:t>
      </w:r>
      <w:proofErr w:type="gramEnd"/>
      <w:r w:rsidRPr="00497E12">
        <w:rPr>
          <w:szCs w:val="18"/>
          <w:vertAlign w:val="superscript"/>
        </w:rPr>
        <w:t xml:space="preserve"> </w:t>
      </w:r>
      <w:r w:rsidRPr="00497E12">
        <w:rPr>
          <w:szCs w:val="18"/>
        </w:rPr>
        <w:t>Statistical comparisons were not undertaken for Grade 3 or 4 IMAE during the evaluation due to the small patient numbers reported. Thus, no comparative conclusion could be made.</w:t>
      </w:r>
    </w:p>
    <w:p w:rsidR="00CF63F8" w:rsidRPr="00497E12" w:rsidRDefault="00CF63F8" w:rsidP="00CF63F8"/>
    <w:p w:rsidR="00CF63F8" w:rsidRPr="00497E12" w:rsidRDefault="00CF63F8" w:rsidP="00A45A8D">
      <w:pPr>
        <w:pStyle w:val="ListParagraph"/>
        <w:widowControl/>
        <w:numPr>
          <w:ilvl w:val="1"/>
          <w:numId w:val="24"/>
        </w:numPr>
        <w:ind w:left="851" w:hanging="851"/>
      </w:pPr>
      <w:r w:rsidRPr="00497E12">
        <w:t xml:space="preserve">On the basis of the direct evidence presented by the submission, for every 100 patients treated with </w:t>
      </w:r>
      <w:proofErr w:type="spellStart"/>
      <w:r w:rsidRPr="00497E12">
        <w:t>nivolumab</w:t>
      </w:r>
      <w:proofErr w:type="spellEnd"/>
      <w:r w:rsidRPr="00497E12">
        <w:t xml:space="preserve"> in comparison to </w:t>
      </w:r>
      <w:proofErr w:type="spellStart"/>
      <w:r w:rsidRPr="00497E12">
        <w:t>everolimus</w:t>
      </w:r>
      <w:proofErr w:type="spellEnd"/>
      <w:r w:rsidRPr="00497E12">
        <w:t>:</w:t>
      </w:r>
    </w:p>
    <w:p w:rsidR="00CF63F8" w:rsidRPr="00497E12" w:rsidRDefault="00CF63F8" w:rsidP="00400464">
      <w:pPr>
        <w:pStyle w:val="ListParagraph"/>
        <w:widowControl/>
        <w:numPr>
          <w:ilvl w:val="0"/>
          <w:numId w:val="4"/>
        </w:numPr>
        <w:ind w:left="993" w:hanging="284"/>
        <w:rPr>
          <w:szCs w:val="22"/>
        </w:rPr>
      </w:pPr>
      <w:r w:rsidRPr="00497E12">
        <w:t xml:space="preserve">Approximately 18 fewer patients would have </w:t>
      </w:r>
      <w:proofErr w:type="gramStart"/>
      <w:r w:rsidRPr="00497E12">
        <w:t>grade</w:t>
      </w:r>
      <w:proofErr w:type="gramEnd"/>
      <w:r w:rsidRPr="00497E12">
        <w:t xml:space="preserve"> 3 or 4 drug-related AEs over a mean </w:t>
      </w:r>
      <w:r w:rsidR="007E2346" w:rsidRPr="00497E12">
        <w:t xml:space="preserve">duration of </w:t>
      </w:r>
      <w:r w:rsidRPr="00497E12">
        <w:t>follow up of 22 months.</w:t>
      </w:r>
    </w:p>
    <w:p w:rsidR="00CF63F8" w:rsidRPr="00BD4769" w:rsidRDefault="00CF63F8" w:rsidP="00400464">
      <w:pPr>
        <w:pStyle w:val="ListParagraph"/>
        <w:widowControl/>
        <w:numPr>
          <w:ilvl w:val="0"/>
          <w:numId w:val="4"/>
        </w:numPr>
        <w:ind w:left="993" w:hanging="284"/>
        <w:rPr>
          <w:szCs w:val="22"/>
        </w:rPr>
      </w:pPr>
      <w:r w:rsidRPr="00497E12">
        <w:t xml:space="preserve">Approximately 6 fewer patients would have grade 3 or 4 drug-related anaemia over a mean </w:t>
      </w:r>
      <w:r w:rsidR="007E2346" w:rsidRPr="00497E12">
        <w:t xml:space="preserve">duration of </w:t>
      </w:r>
      <w:r w:rsidRPr="00497E12">
        <w:t>follow up of 22 months.</w:t>
      </w:r>
    </w:p>
    <w:p w:rsidR="00BD4769" w:rsidRPr="00BD4769" w:rsidRDefault="00BD4769" w:rsidP="00A45A8D">
      <w:pPr>
        <w:widowControl/>
        <w:ind w:left="851"/>
        <w:rPr>
          <w:szCs w:val="22"/>
        </w:rPr>
      </w:pPr>
      <w:r>
        <w:rPr>
          <w:szCs w:val="22"/>
        </w:rPr>
        <w:t xml:space="preserve">The evidence also reported there would be a difference in median overall survival of approximately 5 months in a group of patients treated with </w:t>
      </w:r>
      <w:proofErr w:type="spellStart"/>
      <w:r>
        <w:rPr>
          <w:szCs w:val="22"/>
        </w:rPr>
        <w:t>nivolumab</w:t>
      </w:r>
      <w:proofErr w:type="spellEnd"/>
      <w:r>
        <w:rPr>
          <w:szCs w:val="22"/>
        </w:rPr>
        <w:t xml:space="preserve"> compared to </w:t>
      </w:r>
      <w:proofErr w:type="spellStart"/>
      <w:proofErr w:type="gramStart"/>
      <w:r>
        <w:rPr>
          <w:szCs w:val="22"/>
        </w:rPr>
        <w:t>everolimus</w:t>
      </w:r>
      <w:proofErr w:type="spellEnd"/>
      <w:r>
        <w:rPr>
          <w:szCs w:val="22"/>
        </w:rPr>
        <w:t>,</w:t>
      </w:r>
      <w:proofErr w:type="gramEnd"/>
      <w:r>
        <w:rPr>
          <w:szCs w:val="22"/>
        </w:rPr>
        <w:t xml:space="preserve"> however there would be no difference in median progression-free survival between these two groups. </w:t>
      </w:r>
    </w:p>
    <w:p w:rsidR="00CF63F8" w:rsidRPr="00497E12" w:rsidRDefault="00CF63F8" w:rsidP="00CF63F8"/>
    <w:p w:rsidR="00CF63F8" w:rsidRPr="00497E12" w:rsidRDefault="00CF63F8" w:rsidP="00A45A8D">
      <w:pPr>
        <w:pStyle w:val="Heading2"/>
      </w:pPr>
      <w:bookmarkStart w:id="17" w:name="_Toc450136347"/>
      <w:r w:rsidRPr="00497E12">
        <w:t>Clinical claim</w:t>
      </w:r>
      <w:bookmarkEnd w:id="17"/>
    </w:p>
    <w:p w:rsidR="00CF63F8" w:rsidRPr="00497E12" w:rsidRDefault="00CF63F8" w:rsidP="00CF63F8">
      <w:pPr>
        <w:ind w:left="720" w:hanging="720"/>
        <w:rPr>
          <w:szCs w:val="22"/>
        </w:rPr>
      </w:pPr>
    </w:p>
    <w:p w:rsidR="00CF63F8" w:rsidRPr="00497E12" w:rsidRDefault="00CF63F8" w:rsidP="00A45A8D">
      <w:pPr>
        <w:pStyle w:val="ListParagraph"/>
        <w:widowControl/>
        <w:numPr>
          <w:ilvl w:val="1"/>
          <w:numId w:val="24"/>
        </w:numPr>
        <w:ind w:left="851" w:hanging="851"/>
        <w:rPr>
          <w:szCs w:val="22"/>
        </w:rPr>
      </w:pPr>
      <w:r w:rsidRPr="00497E12">
        <w:t xml:space="preserve">The submission described </w:t>
      </w:r>
      <w:proofErr w:type="spellStart"/>
      <w:r w:rsidRPr="00497E12">
        <w:t>nivolumab</w:t>
      </w:r>
      <w:proofErr w:type="spellEnd"/>
      <w:r w:rsidRPr="00497E12">
        <w:t xml:space="preserve"> as superior in terms of comparative efficacy and favourable in terms of co</w:t>
      </w:r>
      <w:r w:rsidR="00B96333" w:rsidRPr="00497E12">
        <w:t xml:space="preserve">mparative safety to </w:t>
      </w:r>
      <w:proofErr w:type="spellStart"/>
      <w:r w:rsidR="00B96333" w:rsidRPr="00497E12">
        <w:t>everolimus</w:t>
      </w:r>
      <w:proofErr w:type="spellEnd"/>
      <w:r w:rsidR="00B96333" w:rsidRPr="00497E12">
        <w:t>.</w:t>
      </w:r>
    </w:p>
    <w:p w:rsidR="00CF63F8" w:rsidRPr="00497E12" w:rsidRDefault="00CF63F8" w:rsidP="00CF63F8">
      <w:pPr>
        <w:widowControl/>
        <w:rPr>
          <w:szCs w:val="22"/>
        </w:rPr>
      </w:pPr>
    </w:p>
    <w:p w:rsidR="00AD6CDD" w:rsidRPr="00497E12" w:rsidRDefault="00AD6CDD" w:rsidP="00A45A8D">
      <w:pPr>
        <w:pStyle w:val="ListParagraph"/>
        <w:widowControl/>
        <w:numPr>
          <w:ilvl w:val="1"/>
          <w:numId w:val="24"/>
        </w:numPr>
        <w:ind w:left="851" w:hanging="851"/>
        <w:rPr>
          <w:szCs w:val="22"/>
        </w:rPr>
      </w:pPr>
      <w:r w:rsidRPr="00497E12">
        <w:t xml:space="preserve">The claim was adequately supported in relation to superior comparative efficacy as a statistically significant advantage in OS in the </w:t>
      </w:r>
      <w:proofErr w:type="spellStart"/>
      <w:r w:rsidRPr="00497E12">
        <w:t>nivolumab</w:t>
      </w:r>
      <w:proofErr w:type="spellEnd"/>
      <w:r w:rsidRPr="00497E12">
        <w:t xml:space="preserve"> group was demonstrated</w:t>
      </w:r>
      <w:r w:rsidR="001C26DA">
        <w:t>,</w:t>
      </w:r>
      <w:r w:rsidRPr="00497E12">
        <w:t xml:space="preserve"> </w:t>
      </w:r>
      <w:r w:rsidR="001C26DA">
        <w:t>t</w:t>
      </w:r>
      <w:r w:rsidRPr="00497E12">
        <w:t xml:space="preserve">here was no statistically significant advantage for </w:t>
      </w:r>
      <w:proofErr w:type="spellStart"/>
      <w:r w:rsidRPr="00497E12">
        <w:t>nivolumab</w:t>
      </w:r>
      <w:proofErr w:type="spellEnd"/>
      <w:r w:rsidRPr="00497E12">
        <w:t xml:space="preserve"> for RECIST v1.1-defined PFS, there was a statistically significant advantage for </w:t>
      </w:r>
      <w:proofErr w:type="spellStart"/>
      <w:r w:rsidRPr="00497E12">
        <w:t>nivolumab</w:t>
      </w:r>
      <w:proofErr w:type="spellEnd"/>
      <w:r w:rsidRPr="00497E12">
        <w:t xml:space="preserve"> for the post-hoc assessment of </w:t>
      </w:r>
      <w:r w:rsidR="00091EDE" w:rsidRPr="00497E12">
        <w:t>‘</w:t>
      </w:r>
      <w:r w:rsidRPr="00497E12">
        <w:t>clinical PFS</w:t>
      </w:r>
      <w:r w:rsidR="00091EDE" w:rsidRPr="00497E12">
        <w:t>’</w:t>
      </w:r>
      <w:r w:rsidRPr="00497E12">
        <w:t xml:space="preserve"> (</w:t>
      </w:r>
      <w:proofErr w:type="spellStart"/>
      <w:r w:rsidRPr="00497E12">
        <w:t>ie</w:t>
      </w:r>
      <w:proofErr w:type="spellEnd"/>
      <w:r w:rsidRPr="00497E12">
        <w:t xml:space="preserve"> based on treatment discontinuation), with this latter outcome used in the economic evaluation. </w:t>
      </w:r>
      <w:r w:rsidR="009F18B1" w:rsidRPr="00497E12">
        <w:t xml:space="preserve">The ESC </w:t>
      </w:r>
      <w:r w:rsidR="001C26DA">
        <w:t>questioned whether</w:t>
      </w:r>
      <w:r w:rsidR="009F18B1" w:rsidRPr="00497E12">
        <w:t xml:space="preserve"> the PBAC </w:t>
      </w:r>
      <w:r w:rsidR="008C26C2" w:rsidRPr="00497E12">
        <w:t xml:space="preserve">should </w:t>
      </w:r>
      <w:r w:rsidR="009F18B1" w:rsidRPr="00497E12">
        <w:t xml:space="preserve">accept </w:t>
      </w:r>
      <w:r w:rsidR="00091EDE" w:rsidRPr="00497E12">
        <w:t>‘</w:t>
      </w:r>
      <w:r w:rsidR="009F18B1" w:rsidRPr="00497E12">
        <w:t>clinical PFS</w:t>
      </w:r>
      <w:r w:rsidR="00091EDE" w:rsidRPr="00497E12">
        <w:t>’</w:t>
      </w:r>
      <w:r w:rsidR="009F18B1" w:rsidRPr="00497E12">
        <w:t xml:space="preserve">, defined for the purposes of this submission, as </w:t>
      </w:r>
      <w:r w:rsidR="00097D5F" w:rsidRPr="00497E12">
        <w:t>the basis for estimating the proportions of time in the various health states defined for the economic evaluation</w:t>
      </w:r>
      <w:r w:rsidR="009F18B1" w:rsidRPr="00497E12">
        <w:t>; noting that other measures have been proposed to modify response criteria for immunotherapy (</w:t>
      </w:r>
      <w:proofErr w:type="spellStart"/>
      <w:r w:rsidR="00097D5F" w:rsidRPr="00497E12">
        <w:t>eg</w:t>
      </w:r>
      <w:proofErr w:type="spellEnd"/>
      <w:r w:rsidR="00097D5F" w:rsidRPr="00497E12">
        <w:t xml:space="preserve"> </w:t>
      </w:r>
      <w:r w:rsidR="009F18B1" w:rsidRPr="00497E12">
        <w:t xml:space="preserve">WHO </w:t>
      </w:r>
      <w:proofErr w:type="spellStart"/>
      <w:r w:rsidR="009F18B1" w:rsidRPr="00497E12">
        <w:t>irRC</w:t>
      </w:r>
      <w:proofErr w:type="spellEnd"/>
      <w:r w:rsidR="009F18B1" w:rsidRPr="00497E12">
        <w:t xml:space="preserve"> and </w:t>
      </w:r>
      <w:proofErr w:type="spellStart"/>
      <w:r w:rsidR="009F18B1" w:rsidRPr="00497E12">
        <w:t>irRECIST</w:t>
      </w:r>
      <w:proofErr w:type="spellEnd"/>
      <w:r w:rsidR="009F18B1" w:rsidRPr="00497E12">
        <w:t>).</w:t>
      </w:r>
      <w:r w:rsidR="0061123B" w:rsidRPr="00497E12">
        <w:t xml:space="preserve"> </w:t>
      </w:r>
      <w:r w:rsidR="008C26C2" w:rsidRPr="00497E12">
        <w:t xml:space="preserve">The PBAC did not support the use of </w:t>
      </w:r>
      <w:r w:rsidR="00091EDE" w:rsidRPr="00497E12">
        <w:t>‘</w:t>
      </w:r>
      <w:r w:rsidR="008C26C2" w:rsidRPr="00497E12">
        <w:t>clinical PFS</w:t>
      </w:r>
      <w:r w:rsidR="00091EDE" w:rsidRPr="00497E12">
        <w:t>’</w:t>
      </w:r>
      <w:r w:rsidR="008C26C2" w:rsidRPr="00497E12">
        <w:t xml:space="preserve"> </w:t>
      </w:r>
      <w:r w:rsidR="0061123B" w:rsidRPr="00497E12">
        <w:t xml:space="preserve">as an endpoint as this analysis was conducted post-hoc and not </w:t>
      </w:r>
      <w:r w:rsidR="00CB7AEE" w:rsidRPr="00497E12">
        <w:t>validated</w:t>
      </w:r>
      <w:r w:rsidR="0061123B" w:rsidRPr="00497E12">
        <w:t>.</w:t>
      </w:r>
    </w:p>
    <w:p w:rsidR="00AD6CDD" w:rsidRPr="00497E12" w:rsidRDefault="00AD6CDD" w:rsidP="00AD6CDD">
      <w:pPr>
        <w:widowControl/>
        <w:rPr>
          <w:szCs w:val="22"/>
        </w:rPr>
      </w:pPr>
    </w:p>
    <w:p w:rsidR="0015175D" w:rsidRPr="00497E12" w:rsidRDefault="00AD6CDD" w:rsidP="00A45A8D">
      <w:pPr>
        <w:pStyle w:val="ListParagraph"/>
        <w:widowControl/>
        <w:numPr>
          <w:ilvl w:val="1"/>
          <w:numId w:val="24"/>
        </w:numPr>
        <w:ind w:left="851" w:hanging="851"/>
        <w:rPr>
          <w:szCs w:val="22"/>
        </w:rPr>
      </w:pPr>
      <w:r w:rsidRPr="00497E12">
        <w:t xml:space="preserve">The safety claim was supported by </w:t>
      </w:r>
      <w:r w:rsidR="007E2346" w:rsidRPr="00497E12">
        <w:t xml:space="preserve">a </w:t>
      </w:r>
      <w:r w:rsidRPr="00497E12">
        <w:t>statistically significantly reduced frequency of some drug-related AEs (</w:t>
      </w:r>
      <w:proofErr w:type="spellStart"/>
      <w:r w:rsidRPr="00497E12">
        <w:t>eg</w:t>
      </w:r>
      <w:proofErr w:type="spellEnd"/>
      <w:r w:rsidRPr="00497E12">
        <w:t xml:space="preserve"> anaemia and stomatitis) for </w:t>
      </w:r>
      <w:proofErr w:type="spellStart"/>
      <w:r w:rsidRPr="00497E12">
        <w:t>nivolumab</w:t>
      </w:r>
      <w:proofErr w:type="spellEnd"/>
      <w:r w:rsidRPr="00497E12">
        <w:t xml:space="preserve">. However, </w:t>
      </w:r>
      <w:r w:rsidR="0015175D" w:rsidRPr="00497E12">
        <w:t xml:space="preserve">as noted above, given that almost half of patients in the </w:t>
      </w:r>
      <w:proofErr w:type="spellStart"/>
      <w:r w:rsidR="0015175D" w:rsidRPr="00497E12">
        <w:t>everolimus</w:t>
      </w:r>
      <w:proofErr w:type="spellEnd"/>
      <w:r w:rsidR="0015175D" w:rsidRPr="00497E12">
        <w:t xml:space="preserve"> arm (46.1%) were treated beyond progression and thus exposed to the drug longer in the trial than they would have been in clinical practice, the comparative safety of </w:t>
      </w:r>
      <w:proofErr w:type="spellStart"/>
      <w:r w:rsidR="0015175D" w:rsidRPr="00497E12">
        <w:t>nivolumab</w:t>
      </w:r>
      <w:proofErr w:type="spellEnd"/>
      <w:r w:rsidR="0015175D" w:rsidRPr="00497E12">
        <w:t xml:space="preserve"> to </w:t>
      </w:r>
      <w:proofErr w:type="spellStart"/>
      <w:r w:rsidR="0015175D" w:rsidRPr="00497E12">
        <w:t>everolimus</w:t>
      </w:r>
      <w:proofErr w:type="spellEnd"/>
      <w:r w:rsidR="0015175D" w:rsidRPr="00497E12">
        <w:t xml:space="preserve"> observed in CA209-025 was unlikely to represent the intended PBS setting.</w:t>
      </w:r>
      <w:r w:rsidR="00E65A02" w:rsidRPr="00497E12">
        <w:t xml:space="preserve"> The PBAC considered that the difficulty in attributing causality with a novel immunotherapy did not support the claim of less drug related AE’s.</w:t>
      </w:r>
    </w:p>
    <w:p w:rsidR="00CF63F8" w:rsidRPr="00497E12" w:rsidRDefault="00CF63F8" w:rsidP="0015175D"/>
    <w:p w:rsidR="00CF63F8" w:rsidRPr="00497E12" w:rsidRDefault="00CF63F8" w:rsidP="00A45A8D">
      <w:pPr>
        <w:pStyle w:val="ListParagraph"/>
        <w:widowControl/>
        <w:numPr>
          <w:ilvl w:val="1"/>
          <w:numId w:val="24"/>
        </w:numPr>
        <w:ind w:left="851" w:hanging="851"/>
        <w:rPr>
          <w:szCs w:val="22"/>
        </w:rPr>
      </w:pPr>
      <w:r w:rsidRPr="00497E12">
        <w:t>Importantly, the trial outcomes presented in the submission were unlikely to be representative of the Australian clinical setting for the following reasons:</w:t>
      </w:r>
    </w:p>
    <w:p w:rsidR="00CF63F8" w:rsidRPr="00497E12" w:rsidRDefault="001A3F0F" w:rsidP="00400464">
      <w:pPr>
        <w:pStyle w:val="ListParagraph"/>
        <w:numPr>
          <w:ilvl w:val="0"/>
          <w:numId w:val="6"/>
        </w:numPr>
      </w:pPr>
      <w:r w:rsidRPr="00497E12">
        <w:t xml:space="preserve">The early termination of the trial: As the pre-specified boundary for significance was crossed at the interim analysis of OS (the 18 June 2015 database lock), the trial was stopped early to allow </w:t>
      </w:r>
      <w:proofErr w:type="spellStart"/>
      <w:r w:rsidRPr="00497E12">
        <w:t>everolimus</w:t>
      </w:r>
      <w:proofErr w:type="spellEnd"/>
      <w:r w:rsidRPr="00497E12">
        <w:t xml:space="preserve"> treated patients to receive </w:t>
      </w:r>
      <w:proofErr w:type="spellStart"/>
      <w:r w:rsidRPr="00497E12">
        <w:t>nivolumab</w:t>
      </w:r>
      <w:proofErr w:type="spellEnd"/>
      <w:r w:rsidRPr="00497E12">
        <w:t xml:space="preserve"> (that is, prior to allowing for cross-over). The early termination was likely to have underestimated the duration of therapy, and overestimated the treatment effect of OS in favour of </w:t>
      </w:r>
      <w:proofErr w:type="spellStart"/>
      <w:r w:rsidRPr="00497E12">
        <w:t>nivolumab</w:t>
      </w:r>
      <w:proofErr w:type="spellEnd"/>
      <w:r w:rsidRPr="00497E12">
        <w:t>.</w:t>
      </w:r>
    </w:p>
    <w:p w:rsidR="00CF63F8" w:rsidRPr="00497E12" w:rsidRDefault="001A3F0F" w:rsidP="00400464">
      <w:pPr>
        <w:pStyle w:val="ListParagraph"/>
        <w:numPr>
          <w:ilvl w:val="0"/>
          <w:numId w:val="6"/>
        </w:numPr>
      </w:pPr>
      <w:r w:rsidRPr="00497E12">
        <w:t xml:space="preserve">Variation of circumstances of use for </w:t>
      </w:r>
      <w:proofErr w:type="spellStart"/>
      <w:r w:rsidRPr="00497E12">
        <w:t>everolimus</w:t>
      </w:r>
      <w:proofErr w:type="spellEnd"/>
      <w:r w:rsidRPr="00497E12">
        <w:t xml:space="preserve">: Patients in the </w:t>
      </w:r>
      <w:proofErr w:type="spellStart"/>
      <w:r w:rsidRPr="00497E12">
        <w:t>everolimus</w:t>
      </w:r>
      <w:proofErr w:type="spellEnd"/>
      <w:r w:rsidRPr="00497E12">
        <w:t xml:space="preserve"> group of the trial were allowed to continue treatment beyond progression. However, this is not permitted in clinical practice in Australia, as the PBS restriction for </w:t>
      </w:r>
      <w:proofErr w:type="spellStart"/>
      <w:r w:rsidRPr="00497E12">
        <w:t>everolimus</w:t>
      </w:r>
      <w:proofErr w:type="spellEnd"/>
      <w:r w:rsidRPr="00497E12">
        <w:t xml:space="preserve"> does not allow continuation of therapy beyond progression. </w:t>
      </w:r>
      <w:r w:rsidR="009F18B1" w:rsidRPr="00497E12">
        <w:t xml:space="preserve">The ESC noted that this was conservative against </w:t>
      </w:r>
      <w:proofErr w:type="spellStart"/>
      <w:r w:rsidR="009F18B1" w:rsidRPr="00497E12">
        <w:t>nivolumab</w:t>
      </w:r>
      <w:proofErr w:type="spellEnd"/>
      <w:r w:rsidR="009F18B1" w:rsidRPr="00497E12">
        <w:t xml:space="preserve">. However, the </w:t>
      </w:r>
      <w:r w:rsidR="00097D5F" w:rsidRPr="00497E12">
        <w:t xml:space="preserve">trial also </w:t>
      </w:r>
      <w:r w:rsidR="009F18B1" w:rsidRPr="00497E12">
        <w:t xml:space="preserve">included patients with advanced disease </w:t>
      </w:r>
      <w:r w:rsidR="00545C6B" w:rsidRPr="00497E12">
        <w:t>who</w:t>
      </w:r>
      <w:r w:rsidR="009F18B1" w:rsidRPr="00497E12">
        <w:t xml:space="preserve"> </w:t>
      </w:r>
      <w:r w:rsidR="00097D5F" w:rsidRPr="00497E12">
        <w:t>would</w:t>
      </w:r>
      <w:r w:rsidR="009F18B1" w:rsidRPr="00497E12">
        <w:t xml:space="preserve"> not </w:t>
      </w:r>
      <w:r w:rsidR="00097D5F" w:rsidRPr="00497E12">
        <w:t xml:space="preserve">be </w:t>
      </w:r>
      <w:r w:rsidR="009F18B1" w:rsidRPr="00497E12">
        <w:t xml:space="preserve">able to receive </w:t>
      </w:r>
      <w:proofErr w:type="spellStart"/>
      <w:r w:rsidR="009F18B1" w:rsidRPr="00497E12">
        <w:t>everolimus</w:t>
      </w:r>
      <w:proofErr w:type="spellEnd"/>
      <w:r w:rsidR="009F18B1" w:rsidRPr="00497E12">
        <w:t xml:space="preserve"> on the PBS. Such patients have an improved prognosis for survival, resulting in a bias towards </w:t>
      </w:r>
      <w:proofErr w:type="spellStart"/>
      <w:r w:rsidR="009F18B1" w:rsidRPr="00497E12">
        <w:t>nivolumab</w:t>
      </w:r>
      <w:proofErr w:type="spellEnd"/>
      <w:r w:rsidR="009F18B1" w:rsidRPr="00497E12">
        <w:t>.</w:t>
      </w:r>
    </w:p>
    <w:p w:rsidR="00CF63F8" w:rsidRPr="00497E12" w:rsidRDefault="00CF63F8" w:rsidP="00CF63F8"/>
    <w:p w:rsidR="005B55FB" w:rsidRPr="00497E12" w:rsidRDefault="005B55FB" w:rsidP="00A45A8D">
      <w:pPr>
        <w:pStyle w:val="ListParagraph"/>
        <w:widowControl/>
        <w:numPr>
          <w:ilvl w:val="1"/>
          <w:numId w:val="24"/>
        </w:numPr>
        <w:ind w:left="851" w:hanging="851"/>
      </w:pPr>
      <w:r w:rsidRPr="00497E12">
        <w:t>The PBAC considered that the claim of superior comparative effectiveness was reasonable.</w:t>
      </w:r>
    </w:p>
    <w:p w:rsidR="005B55FB" w:rsidRPr="00497E12" w:rsidRDefault="005B55FB" w:rsidP="005B55FB">
      <w:pPr>
        <w:widowControl/>
      </w:pPr>
    </w:p>
    <w:p w:rsidR="005B55FB" w:rsidRPr="00497E12" w:rsidRDefault="005B55FB" w:rsidP="00A45A8D">
      <w:pPr>
        <w:pStyle w:val="ListParagraph"/>
        <w:widowControl/>
        <w:numPr>
          <w:ilvl w:val="1"/>
          <w:numId w:val="24"/>
        </w:numPr>
        <w:ind w:left="851" w:hanging="851"/>
      </w:pPr>
      <w:r w:rsidRPr="00497E12">
        <w:t xml:space="preserve">The PBAC considered that the claim of </w:t>
      </w:r>
      <w:r w:rsidR="00B97375" w:rsidRPr="00497E12">
        <w:t>favourable</w:t>
      </w:r>
      <w:r w:rsidRPr="00497E12">
        <w:t xml:space="preserve"> comparative safety was not adequately supported by the data.</w:t>
      </w:r>
    </w:p>
    <w:p w:rsidR="005B55FB" w:rsidRPr="00497E12" w:rsidRDefault="005B55FB" w:rsidP="00CF63F8"/>
    <w:p w:rsidR="00CF63F8" w:rsidRPr="00497E12" w:rsidRDefault="00CF63F8" w:rsidP="00A45A8D">
      <w:pPr>
        <w:pStyle w:val="Heading2"/>
      </w:pPr>
      <w:bookmarkStart w:id="18" w:name="_Toc450136348"/>
      <w:r w:rsidRPr="00497E12">
        <w:t>Economic analysis</w:t>
      </w:r>
      <w:bookmarkEnd w:id="18"/>
    </w:p>
    <w:p w:rsidR="00CF63F8" w:rsidRPr="00497E12" w:rsidRDefault="00CF63F8" w:rsidP="00CF63F8">
      <w:pPr>
        <w:ind w:left="720" w:hanging="720"/>
        <w:rPr>
          <w:szCs w:val="22"/>
        </w:rPr>
      </w:pPr>
    </w:p>
    <w:p w:rsidR="00CF63F8" w:rsidRPr="00497E12" w:rsidRDefault="00CF63F8" w:rsidP="00A45A8D">
      <w:pPr>
        <w:pStyle w:val="ListParagraph"/>
        <w:widowControl/>
        <w:numPr>
          <w:ilvl w:val="1"/>
          <w:numId w:val="24"/>
        </w:numPr>
        <w:ind w:left="851" w:hanging="851"/>
      </w:pPr>
      <w:r w:rsidRPr="00497E12">
        <w:t xml:space="preserve">The submission presented a modelled cost utility analysis of </w:t>
      </w:r>
      <w:proofErr w:type="spellStart"/>
      <w:r w:rsidRPr="00497E12">
        <w:t>ni</w:t>
      </w:r>
      <w:r w:rsidR="00B96333" w:rsidRPr="00497E12">
        <w:t>volumab</w:t>
      </w:r>
      <w:proofErr w:type="spellEnd"/>
      <w:r w:rsidR="00B96333" w:rsidRPr="00497E12">
        <w:t xml:space="preserve"> compared to </w:t>
      </w:r>
      <w:proofErr w:type="spellStart"/>
      <w:r w:rsidR="00B96333" w:rsidRPr="00497E12">
        <w:t>everolimus</w:t>
      </w:r>
      <w:proofErr w:type="spellEnd"/>
      <w:r w:rsidR="00B96333" w:rsidRPr="00497E12">
        <w:t>.</w:t>
      </w:r>
    </w:p>
    <w:p w:rsidR="005B55FB" w:rsidRPr="00497E12" w:rsidRDefault="005B55FB">
      <w:pPr>
        <w:widowControl/>
        <w:jc w:val="left"/>
        <w:rPr>
          <w:szCs w:val="22"/>
        </w:rPr>
      </w:pPr>
      <w:r w:rsidRPr="00497E12">
        <w:rPr>
          <w:szCs w:val="22"/>
        </w:rPr>
        <w:br w:type="page"/>
      </w:r>
    </w:p>
    <w:p w:rsidR="00CF63F8" w:rsidRPr="00497E12" w:rsidRDefault="00CF63F8" w:rsidP="00CF63F8">
      <w:pPr>
        <w:widowControl/>
        <w:rPr>
          <w:szCs w:val="22"/>
        </w:rPr>
      </w:pPr>
    </w:p>
    <w:p w:rsidR="00CF63F8" w:rsidRPr="00497E12" w:rsidRDefault="00CF63F8" w:rsidP="00CF63F8">
      <w:pPr>
        <w:ind w:firstLine="720"/>
        <w:rPr>
          <w:rStyle w:val="CommentReference"/>
        </w:rPr>
      </w:pPr>
      <w:r w:rsidRPr="00497E12">
        <w:rPr>
          <w:rStyle w:val="CommentReference"/>
        </w:rPr>
        <w:t>Table 6: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23"/>
        <w:gridCol w:w="6522"/>
      </w:tblGrid>
      <w:tr w:rsidR="00CF63F8" w:rsidRPr="00497E12" w:rsidTr="009C5C98">
        <w:trPr>
          <w:tblHeader/>
        </w:trPr>
        <w:tc>
          <w:tcPr>
            <w:tcW w:w="1092" w:type="pct"/>
            <w:shd w:val="clear" w:color="auto" w:fill="auto"/>
            <w:vAlign w:val="center"/>
          </w:tcPr>
          <w:p w:rsidR="00CF63F8" w:rsidRPr="00497E12" w:rsidRDefault="00CF63F8" w:rsidP="009C5C98">
            <w:pPr>
              <w:jc w:val="left"/>
              <w:rPr>
                <w:rFonts w:ascii="Arial Narrow" w:hAnsi="Arial Narrow"/>
                <w:b/>
                <w:sz w:val="20"/>
              </w:rPr>
            </w:pPr>
            <w:r w:rsidRPr="00497E12">
              <w:rPr>
                <w:rFonts w:ascii="Arial Narrow" w:hAnsi="Arial Narrow"/>
                <w:b/>
                <w:sz w:val="20"/>
              </w:rPr>
              <w:t>Component</w:t>
            </w:r>
          </w:p>
        </w:tc>
        <w:tc>
          <w:tcPr>
            <w:tcW w:w="3908"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Summary</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Time horizon</w:t>
            </w:r>
          </w:p>
        </w:tc>
        <w:tc>
          <w:tcPr>
            <w:tcW w:w="3908" w:type="pct"/>
            <w:shd w:val="clear" w:color="auto" w:fill="auto"/>
          </w:tcPr>
          <w:p w:rsidR="00CF63F8" w:rsidRPr="00497E12" w:rsidRDefault="00CF63F8" w:rsidP="009C5C98">
            <w:pPr>
              <w:jc w:val="left"/>
              <w:rPr>
                <w:rFonts w:ascii="Arial Narrow" w:hAnsi="Arial Narrow"/>
                <w:sz w:val="20"/>
              </w:rPr>
            </w:pPr>
            <w:r w:rsidRPr="00497E12">
              <w:rPr>
                <w:rFonts w:ascii="Arial Narrow" w:hAnsi="Arial Narrow"/>
                <w:sz w:val="20"/>
                <w:szCs w:val="20"/>
              </w:rPr>
              <w:t>10 years in the model base case versus 25 months (</w:t>
            </w:r>
            <w:r w:rsidR="009F18B1" w:rsidRPr="00497E12">
              <w:rPr>
                <w:rFonts w:ascii="Arial Narrow" w:hAnsi="Arial Narrow"/>
                <w:sz w:val="20"/>
                <w:szCs w:val="20"/>
              </w:rPr>
              <w:t>median</w:t>
            </w:r>
            <w:r w:rsidRPr="00497E12">
              <w:rPr>
                <w:rFonts w:ascii="Arial Narrow" w:hAnsi="Arial Narrow"/>
                <w:sz w:val="20"/>
                <w:szCs w:val="20"/>
              </w:rPr>
              <w:t xml:space="preserve"> KM data available) in trial CA209-025. </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Outcomes</w:t>
            </w:r>
          </w:p>
        </w:tc>
        <w:tc>
          <w:tcPr>
            <w:tcW w:w="3908" w:type="pct"/>
            <w:shd w:val="clear" w:color="auto" w:fill="auto"/>
          </w:tcPr>
          <w:p w:rsidR="00CF63F8" w:rsidRPr="00497E12" w:rsidRDefault="00CF63F8" w:rsidP="009C5C98">
            <w:pPr>
              <w:jc w:val="left"/>
              <w:rPr>
                <w:rFonts w:ascii="Arial Narrow" w:hAnsi="Arial Narrow"/>
                <w:sz w:val="20"/>
              </w:rPr>
            </w:pPr>
            <w:r w:rsidRPr="00497E12">
              <w:rPr>
                <w:rFonts w:ascii="Arial Narrow" w:hAnsi="Arial Narrow"/>
                <w:sz w:val="20"/>
              </w:rPr>
              <w:t>LYs and QALYs</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Methods used to generate results</w:t>
            </w:r>
          </w:p>
        </w:tc>
        <w:tc>
          <w:tcPr>
            <w:tcW w:w="3908"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 xml:space="preserve">Markov model. </w:t>
            </w:r>
            <w:r w:rsidR="00091EDE" w:rsidRPr="00497E12">
              <w:rPr>
                <w:rFonts w:ascii="Arial Narrow" w:hAnsi="Arial Narrow"/>
                <w:sz w:val="20"/>
              </w:rPr>
              <w:t>‘</w:t>
            </w:r>
            <w:r w:rsidRPr="00497E12">
              <w:rPr>
                <w:rFonts w:ascii="Arial Narrow" w:hAnsi="Arial Narrow"/>
                <w:sz w:val="20"/>
              </w:rPr>
              <w:t>Clinical PFS</w:t>
            </w:r>
            <w:r w:rsidR="00091EDE" w:rsidRPr="00497E12">
              <w:rPr>
                <w:rFonts w:ascii="Arial Narrow" w:hAnsi="Arial Narrow"/>
                <w:sz w:val="20"/>
              </w:rPr>
              <w:t>’</w:t>
            </w:r>
            <w:r w:rsidRPr="00497E12">
              <w:rPr>
                <w:rFonts w:ascii="Arial Narrow" w:hAnsi="Arial Narrow"/>
                <w:sz w:val="20"/>
              </w:rPr>
              <w:t xml:space="preserve"> and OS were extrapolated using parametric function</w:t>
            </w:r>
            <w:r w:rsidR="0096609C" w:rsidRPr="00497E12">
              <w:rPr>
                <w:rFonts w:ascii="Arial Narrow" w:hAnsi="Arial Narrow"/>
                <w:sz w:val="20"/>
              </w:rPr>
              <w:t>s</w:t>
            </w:r>
            <w:r w:rsidRPr="00497E12">
              <w:rPr>
                <w:rFonts w:ascii="Arial Narrow" w:hAnsi="Arial Narrow"/>
                <w:sz w:val="20"/>
              </w:rPr>
              <w:t>.</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Health states</w:t>
            </w:r>
          </w:p>
        </w:tc>
        <w:tc>
          <w:tcPr>
            <w:tcW w:w="3908"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Three mutually exclusive states of clinical PF, clinical DP and death (absorbing)</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Cycle length</w:t>
            </w:r>
          </w:p>
        </w:tc>
        <w:tc>
          <w:tcPr>
            <w:tcW w:w="3908" w:type="pct"/>
            <w:shd w:val="clear" w:color="auto" w:fill="auto"/>
          </w:tcPr>
          <w:p w:rsidR="00CF63F8" w:rsidRPr="00497E12" w:rsidRDefault="00610B06" w:rsidP="00074704">
            <w:pPr>
              <w:jc w:val="left"/>
              <w:rPr>
                <w:rFonts w:ascii="Arial Narrow" w:hAnsi="Arial Narrow"/>
                <w:sz w:val="20"/>
              </w:rPr>
            </w:pPr>
            <w:r w:rsidRPr="00497E12">
              <w:rPr>
                <w:rFonts w:ascii="Arial Narrow" w:hAnsi="Arial Narrow"/>
                <w:sz w:val="20"/>
              </w:rPr>
              <w:t xml:space="preserve">Two weeks. </w:t>
            </w:r>
            <w:r w:rsidR="00CF63F8" w:rsidRPr="00497E12">
              <w:rPr>
                <w:rFonts w:ascii="Arial Narrow" w:hAnsi="Arial Narrow"/>
                <w:sz w:val="20"/>
              </w:rPr>
              <w:t>Half cycle correction applied</w:t>
            </w:r>
            <w:r w:rsidR="009F18B1" w:rsidRPr="00497E12">
              <w:rPr>
                <w:rFonts w:ascii="Arial Narrow" w:hAnsi="Arial Narrow"/>
                <w:sz w:val="20"/>
              </w:rPr>
              <w:t xml:space="preserve"> (but not to second</w:t>
            </w:r>
            <w:r w:rsidR="0063539C" w:rsidRPr="00497E12">
              <w:rPr>
                <w:rFonts w:ascii="Arial Narrow" w:hAnsi="Arial Narrow"/>
                <w:sz w:val="20"/>
              </w:rPr>
              <w:t>-</w:t>
            </w:r>
            <w:r w:rsidR="009F18B1" w:rsidRPr="00497E12">
              <w:rPr>
                <w:rFonts w:ascii="Arial Narrow" w:hAnsi="Arial Narrow"/>
                <w:sz w:val="20"/>
              </w:rPr>
              <w:t xml:space="preserve"> or third</w:t>
            </w:r>
            <w:r w:rsidR="0063539C" w:rsidRPr="00497E12">
              <w:rPr>
                <w:rFonts w:ascii="Arial Narrow" w:hAnsi="Arial Narrow"/>
                <w:sz w:val="20"/>
              </w:rPr>
              <w:t>-</w:t>
            </w:r>
            <w:r w:rsidR="00091EDE" w:rsidRPr="00497E12">
              <w:rPr>
                <w:rFonts w:ascii="Arial Narrow" w:hAnsi="Arial Narrow"/>
                <w:sz w:val="20"/>
              </w:rPr>
              <w:t>line costs with ‘upfront loading’</w:t>
            </w:r>
            <w:r w:rsidR="009F18B1" w:rsidRPr="00497E12">
              <w:rPr>
                <w:rFonts w:ascii="Arial Narrow" w:hAnsi="Arial Narrow"/>
                <w:sz w:val="20"/>
              </w:rPr>
              <w:t>)</w:t>
            </w:r>
            <w:r w:rsidR="00CF63F8" w:rsidRPr="00497E12">
              <w:rPr>
                <w:rFonts w:ascii="Arial Narrow" w:hAnsi="Arial Narrow"/>
                <w:sz w:val="20"/>
              </w:rPr>
              <w:t>.</w:t>
            </w:r>
          </w:p>
        </w:tc>
      </w:tr>
      <w:tr w:rsidR="00CF63F8" w:rsidRPr="00497E12" w:rsidTr="009C5C98">
        <w:tc>
          <w:tcPr>
            <w:tcW w:w="1092"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Transition probabilities</w:t>
            </w:r>
          </w:p>
        </w:tc>
        <w:tc>
          <w:tcPr>
            <w:tcW w:w="3908" w:type="pct"/>
            <w:shd w:val="clear" w:color="auto" w:fill="auto"/>
          </w:tcPr>
          <w:p w:rsidR="00CF63F8" w:rsidRPr="00497E12" w:rsidRDefault="00CF63F8" w:rsidP="009C5C98">
            <w:pPr>
              <w:jc w:val="left"/>
              <w:rPr>
                <w:rFonts w:ascii="Arial Narrow" w:hAnsi="Arial Narrow"/>
                <w:sz w:val="20"/>
              </w:rPr>
            </w:pPr>
            <w:r w:rsidRPr="00497E12">
              <w:rPr>
                <w:rFonts w:ascii="Arial Narrow" w:hAnsi="Arial Narrow"/>
                <w:sz w:val="20"/>
              </w:rPr>
              <w:t xml:space="preserve">Economic model based on log-logistic extrapolations of </w:t>
            </w:r>
            <w:r w:rsidR="00CB7AEE" w:rsidRPr="00497E12">
              <w:rPr>
                <w:rFonts w:ascii="Arial Narrow" w:hAnsi="Arial Narrow"/>
                <w:sz w:val="20"/>
              </w:rPr>
              <w:t>“</w:t>
            </w:r>
            <w:r w:rsidRPr="00497E12">
              <w:rPr>
                <w:rFonts w:ascii="Arial Narrow" w:hAnsi="Arial Narrow"/>
                <w:sz w:val="20"/>
              </w:rPr>
              <w:t>clinical PFS</w:t>
            </w:r>
            <w:r w:rsidR="00CB7AEE" w:rsidRPr="00497E12">
              <w:rPr>
                <w:rFonts w:ascii="Arial Narrow" w:hAnsi="Arial Narrow"/>
                <w:sz w:val="20"/>
              </w:rPr>
              <w:t>”</w:t>
            </w:r>
            <w:r w:rsidRPr="00497E12">
              <w:rPr>
                <w:rFonts w:ascii="Arial Narrow" w:hAnsi="Arial Narrow"/>
                <w:sz w:val="20"/>
              </w:rPr>
              <w:t xml:space="preserve"> and OS</w:t>
            </w:r>
          </w:p>
        </w:tc>
      </w:tr>
    </w:tbl>
    <w:p w:rsidR="00CF63F8" w:rsidRPr="00497E12" w:rsidRDefault="00CF63F8" w:rsidP="00CF63F8">
      <w:pPr>
        <w:pStyle w:val="TableFooter"/>
        <w:ind w:firstLine="720"/>
      </w:pPr>
      <w:r w:rsidRPr="00497E12">
        <w:t xml:space="preserve">Source: compiled during the evaluation. </w:t>
      </w:r>
    </w:p>
    <w:p w:rsidR="00CF63F8" w:rsidRPr="00497E12" w:rsidRDefault="00CF63F8" w:rsidP="00CF63F8">
      <w:pPr>
        <w:pStyle w:val="TableFooter"/>
        <w:ind w:left="720"/>
      </w:pPr>
      <w:r w:rsidRPr="00497E12">
        <w:t>Abbreviations: DP=disease progression; KM=Kaplan-Meier; LYs=life years; OS=overall survival; PF=progression free; PFS=progressi</w:t>
      </w:r>
      <w:r w:rsidR="00826777" w:rsidRPr="00497E12">
        <w:t>on-free survival; QALYs=quality-</w:t>
      </w:r>
      <w:r w:rsidRPr="00497E12">
        <w:t>adjusted life years.</w:t>
      </w:r>
    </w:p>
    <w:p w:rsidR="00CF63F8" w:rsidRPr="00497E12" w:rsidRDefault="00CF63F8" w:rsidP="00CF63F8">
      <w:pPr>
        <w:widowControl/>
        <w:rPr>
          <w:szCs w:val="22"/>
        </w:rPr>
      </w:pPr>
    </w:p>
    <w:p w:rsidR="00CF63F8" w:rsidRPr="00497E12" w:rsidRDefault="00CF63F8" w:rsidP="00A45A8D">
      <w:pPr>
        <w:pStyle w:val="ListParagraph"/>
        <w:widowControl/>
        <w:numPr>
          <w:ilvl w:val="1"/>
          <w:numId w:val="24"/>
        </w:numPr>
        <w:ind w:left="851" w:hanging="851"/>
      </w:pPr>
      <w:r w:rsidRPr="00497E12">
        <w:t>Key drivers of the model are identified in the table below.</w:t>
      </w:r>
    </w:p>
    <w:p w:rsidR="00CF63F8" w:rsidRPr="00497E12" w:rsidRDefault="00CF63F8" w:rsidP="00CF63F8">
      <w:pPr>
        <w:widowControl/>
        <w:rPr>
          <w:szCs w:val="22"/>
        </w:rPr>
      </w:pPr>
    </w:p>
    <w:p w:rsidR="007A0FD9" w:rsidRDefault="007A0FD9">
      <w:pPr>
        <w:widowControl/>
        <w:jc w:val="left"/>
        <w:rPr>
          <w:rStyle w:val="CommentReference"/>
        </w:rPr>
      </w:pPr>
      <w:r>
        <w:rPr>
          <w:rStyle w:val="CommentReference"/>
        </w:rPr>
        <w:br w:type="page"/>
      </w:r>
    </w:p>
    <w:p w:rsidR="00CF63F8" w:rsidRPr="00497E12" w:rsidRDefault="00CF63F8" w:rsidP="00CF63F8">
      <w:pPr>
        <w:ind w:firstLine="720"/>
        <w:rPr>
          <w:rStyle w:val="CommentReference"/>
        </w:rPr>
      </w:pPr>
      <w:r w:rsidRPr="00497E12">
        <w:rPr>
          <w:rStyle w:val="CommentReference"/>
        </w:rPr>
        <w:lastRenderedPageBreak/>
        <w:t>Table 7: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1"/>
        <w:gridCol w:w="1427"/>
        <w:gridCol w:w="5237"/>
      </w:tblGrid>
      <w:tr w:rsidR="00CF63F8" w:rsidRPr="00497E12" w:rsidTr="009C5C98">
        <w:tc>
          <w:tcPr>
            <w:tcW w:w="1007" w:type="pct"/>
            <w:shd w:val="clear" w:color="auto" w:fill="auto"/>
            <w:vAlign w:val="center"/>
          </w:tcPr>
          <w:p w:rsidR="00CF63F8" w:rsidRPr="00497E12" w:rsidRDefault="00CF63F8" w:rsidP="009C5C98">
            <w:pPr>
              <w:jc w:val="left"/>
              <w:rPr>
                <w:rFonts w:ascii="Arial Narrow" w:hAnsi="Arial Narrow"/>
                <w:b/>
                <w:sz w:val="20"/>
              </w:rPr>
            </w:pPr>
            <w:r w:rsidRPr="00497E12">
              <w:rPr>
                <w:rFonts w:ascii="Arial Narrow" w:hAnsi="Arial Narrow"/>
                <w:b/>
                <w:sz w:val="20"/>
              </w:rPr>
              <w:t>Description</w:t>
            </w:r>
          </w:p>
        </w:tc>
        <w:tc>
          <w:tcPr>
            <w:tcW w:w="855"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Method/Value</w:t>
            </w:r>
          </w:p>
        </w:tc>
        <w:tc>
          <w:tcPr>
            <w:tcW w:w="3138"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Impact</w:t>
            </w:r>
          </w:p>
        </w:tc>
      </w:tr>
      <w:tr w:rsidR="00CF63F8" w:rsidRPr="00497E12" w:rsidTr="009C5C98">
        <w:tc>
          <w:tcPr>
            <w:tcW w:w="1007"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Hazard ratio for OS</w:t>
            </w:r>
          </w:p>
        </w:tc>
        <w:tc>
          <w:tcPr>
            <w:tcW w:w="855" w:type="pct"/>
            <w:shd w:val="clear" w:color="auto" w:fill="auto"/>
            <w:vAlign w:val="center"/>
          </w:tcPr>
          <w:p w:rsidR="00CF63F8" w:rsidRPr="00497E12" w:rsidRDefault="00CF63F8" w:rsidP="009C5C98">
            <w:pPr>
              <w:jc w:val="center"/>
              <w:rPr>
                <w:rFonts w:ascii="Arial Narrow" w:hAnsi="Arial Narrow"/>
                <w:sz w:val="20"/>
              </w:rPr>
            </w:pPr>
            <w:r w:rsidRPr="00497E12">
              <w:rPr>
                <w:rFonts w:ascii="Arial Narrow" w:hAnsi="Arial Narrow"/>
                <w:sz w:val="20"/>
              </w:rPr>
              <w:t>0.73</w:t>
            </w:r>
          </w:p>
        </w:tc>
        <w:tc>
          <w:tcPr>
            <w:tcW w:w="3138" w:type="pct"/>
            <w:shd w:val="clear" w:color="auto" w:fill="auto"/>
            <w:vAlign w:val="center"/>
          </w:tcPr>
          <w:p w:rsidR="00CF63F8" w:rsidRPr="00497E12" w:rsidRDefault="00CF63F8" w:rsidP="00D922CD">
            <w:pPr>
              <w:jc w:val="left"/>
              <w:rPr>
                <w:rFonts w:ascii="Arial Narrow" w:hAnsi="Arial Narrow"/>
                <w:sz w:val="20"/>
              </w:rPr>
            </w:pPr>
            <w:r w:rsidRPr="00497E12">
              <w:rPr>
                <w:rFonts w:ascii="Arial Narrow" w:hAnsi="Arial Narrow"/>
                <w:sz w:val="20"/>
              </w:rPr>
              <w:t xml:space="preserve">High, unclear. The modelled incremental OS was potentially biased. The early termination of the trial was likely to have overestimated the treatment effect of OS favouring </w:t>
            </w:r>
            <w:proofErr w:type="spellStart"/>
            <w:r w:rsidRPr="00497E12">
              <w:rPr>
                <w:rFonts w:ascii="Arial Narrow" w:hAnsi="Arial Narrow"/>
                <w:sz w:val="20"/>
              </w:rPr>
              <w:t>nivolumab</w:t>
            </w:r>
            <w:proofErr w:type="spellEnd"/>
            <w:r w:rsidRPr="00497E12">
              <w:rPr>
                <w:rFonts w:ascii="Arial Narrow" w:hAnsi="Arial Narrow"/>
                <w:sz w:val="20"/>
              </w:rPr>
              <w:t xml:space="preserve">, while allowing treatment beyond progression in the </w:t>
            </w:r>
            <w:proofErr w:type="spellStart"/>
            <w:r w:rsidRPr="00497E12">
              <w:rPr>
                <w:rFonts w:ascii="Arial Narrow" w:hAnsi="Arial Narrow"/>
                <w:sz w:val="20"/>
              </w:rPr>
              <w:t>everolimus</w:t>
            </w:r>
            <w:proofErr w:type="spellEnd"/>
            <w:r w:rsidRPr="00497E12">
              <w:rPr>
                <w:rFonts w:ascii="Arial Narrow" w:hAnsi="Arial Narrow"/>
                <w:sz w:val="20"/>
              </w:rPr>
              <w:t xml:space="preserve"> arm could have biased the survival benefit against </w:t>
            </w:r>
            <w:proofErr w:type="spellStart"/>
            <w:r w:rsidRPr="00497E12">
              <w:rPr>
                <w:rFonts w:ascii="Arial Narrow" w:hAnsi="Arial Narrow"/>
                <w:sz w:val="20"/>
              </w:rPr>
              <w:t>nivolumab</w:t>
            </w:r>
            <w:proofErr w:type="spellEnd"/>
            <w:r w:rsidRPr="00497E12">
              <w:rPr>
                <w:rFonts w:ascii="Arial Narrow" w:hAnsi="Arial Narrow"/>
                <w:sz w:val="20"/>
              </w:rPr>
              <w:t xml:space="preserve">. </w:t>
            </w:r>
            <w:r w:rsidR="00EF2495" w:rsidRPr="00497E12">
              <w:rPr>
                <w:rFonts w:ascii="Arial Narrow" w:hAnsi="Arial Narrow"/>
                <w:sz w:val="20"/>
              </w:rPr>
              <w:t xml:space="preserve">The ESC noted </w:t>
            </w:r>
            <w:r w:rsidR="00097D5F" w:rsidRPr="00497E12">
              <w:rPr>
                <w:rFonts w:ascii="Arial Narrow" w:hAnsi="Arial Narrow"/>
                <w:sz w:val="20"/>
              </w:rPr>
              <w:t xml:space="preserve">that </w:t>
            </w:r>
            <w:r w:rsidR="00D922CD" w:rsidRPr="00497E12">
              <w:rPr>
                <w:rFonts w:ascii="Arial Narrow" w:hAnsi="Arial Narrow"/>
                <w:sz w:val="20"/>
              </w:rPr>
              <w:t xml:space="preserve">inclusion </w:t>
            </w:r>
            <w:r w:rsidR="00EF2495" w:rsidRPr="00497E12">
              <w:rPr>
                <w:rFonts w:ascii="Arial Narrow" w:hAnsi="Arial Narrow"/>
                <w:sz w:val="20"/>
              </w:rPr>
              <w:t xml:space="preserve">of Stage III patients </w:t>
            </w:r>
            <w:r w:rsidR="00D922CD" w:rsidRPr="00497E12">
              <w:rPr>
                <w:rFonts w:ascii="Arial Narrow" w:hAnsi="Arial Narrow"/>
                <w:sz w:val="20"/>
              </w:rPr>
              <w:t xml:space="preserve">in the trial </w:t>
            </w:r>
            <w:r w:rsidR="00EF2495" w:rsidRPr="00497E12">
              <w:rPr>
                <w:rFonts w:ascii="Arial Narrow" w:hAnsi="Arial Narrow"/>
                <w:sz w:val="20"/>
              </w:rPr>
              <w:t>would also have affected the resulting HR</w:t>
            </w:r>
            <w:r w:rsidR="00097D5F" w:rsidRPr="00497E12">
              <w:rPr>
                <w:rFonts w:ascii="Arial Narrow" w:hAnsi="Arial Narrow"/>
                <w:sz w:val="20"/>
              </w:rPr>
              <w:t xml:space="preserve"> to an unknown extent</w:t>
            </w:r>
            <w:r w:rsidR="00EF2495" w:rsidRPr="00497E12">
              <w:rPr>
                <w:rFonts w:ascii="Arial Narrow" w:hAnsi="Arial Narrow"/>
                <w:sz w:val="20"/>
              </w:rPr>
              <w:t>. T</w:t>
            </w:r>
            <w:r w:rsidRPr="00497E12">
              <w:rPr>
                <w:rFonts w:ascii="Arial Narrow" w:hAnsi="Arial Narrow"/>
                <w:sz w:val="20"/>
              </w:rPr>
              <w:t>he direction and magnitude of the overall bias on the OS results could not be determined.</w:t>
            </w:r>
          </w:p>
        </w:tc>
      </w:tr>
      <w:tr w:rsidR="00CF63F8" w:rsidRPr="00497E12" w:rsidTr="009C5C98">
        <w:tc>
          <w:tcPr>
            <w:tcW w:w="1007"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 xml:space="preserve">Duration of therapy with </w:t>
            </w:r>
            <w:proofErr w:type="spellStart"/>
            <w:r w:rsidRPr="00497E12">
              <w:rPr>
                <w:rFonts w:ascii="Arial Narrow" w:hAnsi="Arial Narrow"/>
                <w:sz w:val="20"/>
              </w:rPr>
              <w:t>nivolumab</w:t>
            </w:r>
            <w:proofErr w:type="spellEnd"/>
          </w:p>
        </w:tc>
        <w:tc>
          <w:tcPr>
            <w:tcW w:w="855" w:type="pct"/>
            <w:shd w:val="clear" w:color="auto" w:fill="auto"/>
            <w:vAlign w:val="center"/>
          </w:tcPr>
          <w:p w:rsidR="00CF63F8" w:rsidRPr="00497E12" w:rsidRDefault="00CF63F8" w:rsidP="009C5C98">
            <w:pPr>
              <w:jc w:val="center"/>
              <w:rPr>
                <w:rFonts w:ascii="Arial Narrow" w:hAnsi="Arial Narrow"/>
                <w:sz w:val="20"/>
              </w:rPr>
            </w:pPr>
            <w:r w:rsidRPr="00497E12">
              <w:rPr>
                <w:rFonts w:ascii="Arial Narrow" w:hAnsi="Arial Narrow"/>
                <w:sz w:val="20"/>
              </w:rPr>
              <w:t>19.2 infusions</w:t>
            </w:r>
          </w:p>
        </w:tc>
        <w:tc>
          <w:tcPr>
            <w:tcW w:w="3138" w:type="pct"/>
            <w:shd w:val="clear" w:color="auto" w:fill="auto"/>
            <w:vAlign w:val="center"/>
          </w:tcPr>
          <w:p w:rsidR="00CF63F8" w:rsidRPr="00497E12" w:rsidRDefault="00CF63F8" w:rsidP="00097D5F">
            <w:pPr>
              <w:widowControl/>
              <w:jc w:val="left"/>
              <w:rPr>
                <w:szCs w:val="22"/>
              </w:rPr>
            </w:pPr>
            <w:r w:rsidRPr="00497E12">
              <w:rPr>
                <w:rFonts w:ascii="Arial Narrow" w:hAnsi="Arial Narrow"/>
                <w:sz w:val="20"/>
              </w:rPr>
              <w:t xml:space="preserve">High, favours </w:t>
            </w:r>
            <w:proofErr w:type="spellStart"/>
            <w:r w:rsidRPr="00497E12">
              <w:rPr>
                <w:rFonts w:ascii="Arial Narrow" w:hAnsi="Arial Narrow"/>
                <w:sz w:val="20"/>
              </w:rPr>
              <w:t>nivolumab</w:t>
            </w:r>
            <w:proofErr w:type="spellEnd"/>
            <w:r w:rsidRPr="00497E12">
              <w:rPr>
                <w:rFonts w:ascii="Arial Narrow" w:hAnsi="Arial Narrow"/>
                <w:sz w:val="20"/>
              </w:rPr>
              <w:t xml:space="preserve">. For </w:t>
            </w:r>
            <w:proofErr w:type="spellStart"/>
            <w:r w:rsidRPr="00497E12">
              <w:rPr>
                <w:rFonts w:ascii="Arial Narrow" w:hAnsi="Arial Narrow"/>
                <w:sz w:val="20"/>
              </w:rPr>
              <w:t>nivolumab</w:t>
            </w:r>
            <w:proofErr w:type="spellEnd"/>
            <w:r w:rsidRPr="00497E12">
              <w:rPr>
                <w:rFonts w:ascii="Arial Narrow" w:hAnsi="Arial Narrow"/>
                <w:sz w:val="20"/>
              </w:rPr>
              <w:t xml:space="preserve">, the duration of therapy and consequently its cost were likely underestimated given the early termination of the trial. </w:t>
            </w:r>
            <w:proofErr w:type="spellStart"/>
            <w:r w:rsidR="00EF2495" w:rsidRPr="00497E12">
              <w:rPr>
                <w:rFonts w:ascii="Arial Narrow" w:hAnsi="Arial Narrow"/>
                <w:sz w:val="20"/>
              </w:rPr>
              <w:t>N</w:t>
            </w:r>
            <w:r w:rsidRPr="00497E12">
              <w:rPr>
                <w:rFonts w:ascii="Arial Narrow" w:hAnsi="Arial Narrow"/>
                <w:sz w:val="20"/>
              </w:rPr>
              <w:t>ivolumab</w:t>
            </w:r>
            <w:proofErr w:type="spellEnd"/>
            <w:r w:rsidRPr="00497E12">
              <w:rPr>
                <w:rFonts w:ascii="Arial Narrow" w:hAnsi="Arial Narrow"/>
                <w:sz w:val="20"/>
              </w:rPr>
              <w:t xml:space="preserve"> costs </w:t>
            </w:r>
            <w:r w:rsidR="00D10CE3" w:rsidRPr="00497E12">
              <w:rPr>
                <w:rFonts w:ascii="Arial Narrow" w:hAnsi="Arial Narrow"/>
                <w:sz w:val="20"/>
              </w:rPr>
              <w:t>were</w:t>
            </w:r>
            <w:r w:rsidRPr="00497E12">
              <w:rPr>
                <w:rFonts w:ascii="Arial Narrow" w:hAnsi="Arial Narrow"/>
                <w:sz w:val="20"/>
              </w:rPr>
              <w:t xml:space="preserve"> only applied for 19.2 infusion</w:t>
            </w:r>
            <w:r w:rsidR="0096609C" w:rsidRPr="00497E12">
              <w:rPr>
                <w:rFonts w:ascii="Arial Narrow" w:hAnsi="Arial Narrow"/>
                <w:sz w:val="20"/>
              </w:rPr>
              <w:t>s</w:t>
            </w:r>
            <w:r w:rsidRPr="00497E12">
              <w:rPr>
                <w:rFonts w:ascii="Arial Narrow" w:hAnsi="Arial Narrow"/>
                <w:sz w:val="20"/>
              </w:rPr>
              <w:t xml:space="preserve"> (</w:t>
            </w:r>
            <w:r w:rsidR="0040521F" w:rsidRPr="00497E12">
              <w:rPr>
                <w:rFonts w:ascii="Arial Narrow" w:hAnsi="Arial Narrow"/>
                <w:sz w:val="20"/>
              </w:rPr>
              <w:t>dosed every 2 weeks</w:t>
            </w:r>
            <w:r w:rsidRPr="00497E12">
              <w:rPr>
                <w:rFonts w:ascii="Arial Narrow" w:hAnsi="Arial Narrow"/>
                <w:sz w:val="20"/>
              </w:rPr>
              <w:t>)</w:t>
            </w:r>
            <w:r w:rsidR="00097D5F" w:rsidRPr="00497E12">
              <w:rPr>
                <w:rFonts w:ascii="Arial Narrow" w:hAnsi="Arial Narrow"/>
                <w:sz w:val="20"/>
              </w:rPr>
              <w:t>,</w:t>
            </w:r>
            <w:r w:rsidRPr="00497E12">
              <w:rPr>
                <w:rFonts w:ascii="Arial Narrow" w:hAnsi="Arial Narrow"/>
                <w:sz w:val="20"/>
              </w:rPr>
              <w:t xml:space="preserve"> while the model ha</w:t>
            </w:r>
            <w:r w:rsidR="00D10CE3" w:rsidRPr="00497E12">
              <w:rPr>
                <w:rFonts w:ascii="Arial Narrow" w:hAnsi="Arial Narrow"/>
                <w:sz w:val="20"/>
              </w:rPr>
              <w:t>d</w:t>
            </w:r>
            <w:r w:rsidRPr="00497E12">
              <w:rPr>
                <w:rFonts w:ascii="Arial Narrow" w:hAnsi="Arial Narrow"/>
                <w:sz w:val="20"/>
              </w:rPr>
              <w:t xml:space="preserve"> a 10</w:t>
            </w:r>
            <w:r w:rsidR="00097D5F" w:rsidRPr="00497E12">
              <w:rPr>
                <w:rFonts w:ascii="Arial Narrow" w:hAnsi="Arial Narrow"/>
                <w:sz w:val="20"/>
              </w:rPr>
              <w:t>-</w:t>
            </w:r>
            <w:r w:rsidRPr="00497E12">
              <w:rPr>
                <w:rFonts w:ascii="Arial Narrow" w:hAnsi="Arial Narrow"/>
                <w:sz w:val="20"/>
              </w:rPr>
              <w:t>year duration.</w:t>
            </w:r>
            <w:r w:rsidR="00EF2495" w:rsidRPr="00497E12">
              <w:rPr>
                <w:rFonts w:ascii="Arial Narrow" w:hAnsi="Arial Narrow"/>
                <w:sz w:val="20"/>
              </w:rPr>
              <w:t xml:space="preserve"> The ESC noted that </w:t>
            </w:r>
            <w:proofErr w:type="spellStart"/>
            <w:r w:rsidR="00097D5F" w:rsidRPr="00497E12">
              <w:rPr>
                <w:rFonts w:ascii="Arial Narrow" w:hAnsi="Arial Narrow"/>
                <w:sz w:val="20"/>
              </w:rPr>
              <w:t>nivolumab</w:t>
            </w:r>
            <w:proofErr w:type="spellEnd"/>
            <w:r w:rsidR="00097D5F" w:rsidRPr="00497E12">
              <w:rPr>
                <w:rFonts w:ascii="Arial Narrow" w:hAnsi="Arial Narrow"/>
                <w:sz w:val="20"/>
              </w:rPr>
              <w:t xml:space="preserve"> costs would be</w:t>
            </w:r>
            <w:r w:rsidR="00EF2495" w:rsidRPr="00497E12">
              <w:rPr>
                <w:rFonts w:ascii="Arial Narrow" w:hAnsi="Arial Narrow"/>
                <w:sz w:val="20"/>
              </w:rPr>
              <w:t xml:space="preserve"> more appropriately </w:t>
            </w:r>
            <w:r w:rsidR="00DA3C75" w:rsidRPr="00497E12">
              <w:rPr>
                <w:rFonts w:ascii="Arial Narrow" w:hAnsi="Arial Narrow"/>
                <w:sz w:val="20"/>
              </w:rPr>
              <w:t>modelled</w:t>
            </w:r>
            <w:r w:rsidR="00EF2495" w:rsidRPr="00497E12">
              <w:rPr>
                <w:rFonts w:ascii="Arial Narrow" w:hAnsi="Arial Narrow"/>
                <w:sz w:val="20"/>
              </w:rPr>
              <w:t xml:space="preserve"> on a per-cycle basis.</w:t>
            </w:r>
          </w:p>
        </w:tc>
      </w:tr>
      <w:tr w:rsidR="00CF63F8" w:rsidRPr="00497E12" w:rsidTr="009C5C98">
        <w:tc>
          <w:tcPr>
            <w:tcW w:w="1007"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Mean patient weight</w:t>
            </w:r>
          </w:p>
        </w:tc>
        <w:tc>
          <w:tcPr>
            <w:tcW w:w="855" w:type="pct"/>
            <w:shd w:val="clear" w:color="auto" w:fill="auto"/>
            <w:vAlign w:val="center"/>
          </w:tcPr>
          <w:p w:rsidR="00CF63F8" w:rsidRPr="00497E12" w:rsidRDefault="00B32DC8" w:rsidP="009C5C98">
            <w:pPr>
              <w:jc w:val="center"/>
              <w:rPr>
                <w:rFonts w:ascii="Arial Narrow" w:hAnsi="Arial Narrow"/>
                <w:sz w:val="20"/>
              </w:rPr>
            </w:pPr>
            <w:r>
              <w:rPr>
                <w:rFonts w:ascii="Arial Narrow" w:hAnsi="Arial Narrow"/>
                <w:noProof/>
                <w:color w:val="000000"/>
                <w:sz w:val="20"/>
                <w:highlight w:val="black"/>
              </w:rPr>
              <w:t>'''''''''''</w:t>
            </w:r>
            <w:r w:rsidR="00097D5F" w:rsidRPr="00497E12">
              <w:rPr>
                <w:rFonts w:ascii="Arial Narrow" w:hAnsi="Arial Narrow"/>
                <w:sz w:val="20"/>
              </w:rPr>
              <w:t> </w:t>
            </w:r>
            <w:r w:rsidR="00CF63F8" w:rsidRPr="00497E12">
              <w:rPr>
                <w:rFonts w:ascii="Arial Narrow" w:hAnsi="Arial Narrow"/>
                <w:sz w:val="20"/>
              </w:rPr>
              <w:t>kg</w:t>
            </w:r>
          </w:p>
        </w:tc>
        <w:tc>
          <w:tcPr>
            <w:tcW w:w="3138" w:type="pct"/>
            <w:shd w:val="clear" w:color="auto" w:fill="auto"/>
            <w:vAlign w:val="center"/>
          </w:tcPr>
          <w:p w:rsidR="00CF63F8" w:rsidRPr="00497E12" w:rsidRDefault="00CF63F8" w:rsidP="00272F5C">
            <w:pPr>
              <w:jc w:val="left"/>
              <w:rPr>
                <w:rFonts w:ascii="Arial Narrow" w:hAnsi="Arial Narrow"/>
                <w:sz w:val="20"/>
              </w:rPr>
            </w:pPr>
            <w:r w:rsidRPr="00497E12">
              <w:rPr>
                <w:rFonts w:ascii="Arial Narrow" w:hAnsi="Arial Narrow"/>
                <w:sz w:val="20"/>
              </w:rPr>
              <w:t xml:space="preserve">Moderate, favours </w:t>
            </w:r>
            <w:proofErr w:type="spellStart"/>
            <w:r w:rsidRPr="00497E12">
              <w:rPr>
                <w:rFonts w:ascii="Arial Narrow" w:hAnsi="Arial Narrow"/>
                <w:sz w:val="20"/>
              </w:rPr>
              <w:t>nivolumab</w:t>
            </w:r>
            <w:proofErr w:type="spellEnd"/>
            <w:r w:rsidRPr="00497E12">
              <w:rPr>
                <w:rFonts w:ascii="Arial Narrow" w:hAnsi="Arial Narrow"/>
                <w:sz w:val="20"/>
              </w:rPr>
              <w:t xml:space="preserve">. While the base case </w:t>
            </w:r>
            <w:r w:rsidR="00B32DC8">
              <w:rPr>
                <w:rFonts w:ascii="Arial Narrow" w:hAnsi="Arial Narrow"/>
                <w:noProof/>
                <w:color w:val="000000"/>
                <w:sz w:val="20"/>
                <w:highlight w:val="black"/>
              </w:rPr>
              <w:t>'''''''''''</w:t>
            </w:r>
            <w:r w:rsidR="00097D5F" w:rsidRPr="00497E12">
              <w:rPr>
                <w:rFonts w:ascii="Arial Narrow" w:hAnsi="Arial Narrow"/>
                <w:sz w:val="20"/>
              </w:rPr>
              <w:t> </w:t>
            </w:r>
            <w:r w:rsidRPr="00497E12">
              <w:rPr>
                <w:rFonts w:ascii="Arial Narrow" w:hAnsi="Arial Narrow"/>
                <w:sz w:val="20"/>
              </w:rPr>
              <w:t>kg was derived from the sponsor’s NPP, the greater weight of 82.4</w:t>
            </w:r>
            <w:r w:rsidR="00097D5F" w:rsidRPr="00497E12">
              <w:rPr>
                <w:rFonts w:ascii="Arial Narrow" w:hAnsi="Arial Narrow"/>
                <w:sz w:val="20"/>
              </w:rPr>
              <w:t> </w:t>
            </w:r>
            <w:r w:rsidRPr="00497E12">
              <w:rPr>
                <w:rFonts w:ascii="Arial Narrow" w:hAnsi="Arial Narrow"/>
                <w:sz w:val="20"/>
              </w:rPr>
              <w:t>kg was observed in the trial and this resulted in greater vial use. Consideration for patient weight distribution and associated vial wastage would have been more informative.</w:t>
            </w:r>
          </w:p>
        </w:tc>
      </w:tr>
      <w:tr w:rsidR="00CF63F8" w:rsidRPr="00497E12" w:rsidTr="009C5C98">
        <w:tc>
          <w:tcPr>
            <w:tcW w:w="1007" w:type="pct"/>
            <w:shd w:val="clear" w:color="auto" w:fill="auto"/>
            <w:vAlign w:val="center"/>
          </w:tcPr>
          <w:p w:rsidR="00CF63F8" w:rsidRPr="00497E12" w:rsidRDefault="00CF63F8" w:rsidP="009C5C98">
            <w:pPr>
              <w:jc w:val="left"/>
              <w:rPr>
                <w:rFonts w:ascii="Arial Narrow" w:hAnsi="Arial Narrow"/>
                <w:sz w:val="20"/>
              </w:rPr>
            </w:pPr>
            <w:r w:rsidRPr="00497E12">
              <w:rPr>
                <w:rFonts w:ascii="Arial Narrow" w:hAnsi="Arial Narrow"/>
                <w:sz w:val="20"/>
              </w:rPr>
              <w:t>Time horizon</w:t>
            </w:r>
          </w:p>
        </w:tc>
        <w:tc>
          <w:tcPr>
            <w:tcW w:w="855" w:type="pct"/>
            <w:shd w:val="clear" w:color="auto" w:fill="auto"/>
            <w:vAlign w:val="center"/>
          </w:tcPr>
          <w:p w:rsidR="00CF63F8" w:rsidRPr="00497E12" w:rsidRDefault="00CF63F8" w:rsidP="009C5C98">
            <w:pPr>
              <w:jc w:val="center"/>
              <w:rPr>
                <w:rFonts w:ascii="Arial Narrow" w:hAnsi="Arial Narrow"/>
                <w:sz w:val="20"/>
              </w:rPr>
            </w:pPr>
            <w:r w:rsidRPr="00497E12">
              <w:rPr>
                <w:rFonts w:ascii="Arial Narrow" w:hAnsi="Arial Narrow"/>
                <w:sz w:val="20"/>
              </w:rPr>
              <w:t>10 years</w:t>
            </w:r>
          </w:p>
        </w:tc>
        <w:tc>
          <w:tcPr>
            <w:tcW w:w="3138" w:type="pct"/>
            <w:shd w:val="clear" w:color="auto" w:fill="auto"/>
            <w:vAlign w:val="center"/>
          </w:tcPr>
          <w:p w:rsidR="00CF63F8" w:rsidRPr="00497E12" w:rsidRDefault="00CF63F8" w:rsidP="00D922CD">
            <w:pPr>
              <w:jc w:val="left"/>
              <w:rPr>
                <w:rFonts w:ascii="Arial Narrow" w:hAnsi="Arial Narrow"/>
                <w:sz w:val="20"/>
              </w:rPr>
            </w:pPr>
            <w:r w:rsidRPr="00497E12">
              <w:rPr>
                <w:rFonts w:ascii="Arial Narrow" w:hAnsi="Arial Narrow"/>
                <w:sz w:val="20"/>
              </w:rPr>
              <w:t xml:space="preserve">Moderate, favours </w:t>
            </w:r>
            <w:proofErr w:type="spellStart"/>
            <w:r w:rsidRPr="00497E12">
              <w:rPr>
                <w:rFonts w:ascii="Arial Narrow" w:hAnsi="Arial Narrow"/>
                <w:sz w:val="20"/>
              </w:rPr>
              <w:t>nivolumab</w:t>
            </w:r>
            <w:proofErr w:type="spellEnd"/>
            <w:r w:rsidRPr="00497E12">
              <w:rPr>
                <w:rFonts w:ascii="Arial Narrow" w:hAnsi="Arial Narrow"/>
                <w:sz w:val="20"/>
              </w:rPr>
              <w:t>. Given the immaturity of the trial data and the poor prognosis of patients wit</w:t>
            </w:r>
            <w:r w:rsidR="00D922CD" w:rsidRPr="00497E12">
              <w:rPr>
                <w:rFonts w:ascii="Arial Narrow" w:hAnsi="Arial Narrow"/>
                <w:sz w:val="20"/>
              </w:rPr>
              <w:t>h advanced/metastatic RCC, a 10-</w:t>
            </w:r>
            <w:r w:rsidRPr="00497E12">
              <w:rPr>
                <w:rFonts w:ascii="Arial Narrow" w:hAnsi="Arial Narrow"/>
                <w:sz w:val="20"/>
              </w:rPr>
              <w:t>year time horizon was considered optimistic.</w:t>
            </w:r>
            <w:r w:rsidR="00EF2495" w:rsidRPr="00497E12">
              <w:rPr>
                <w:rFonts w:ascii="Arial Narrow" w:hAnsi="Arial Narrow"/>
                <w:sz w:val="20"/>
              </w:rPr>
              <w:t xml:space="preserve"> The ESC noted that the PBAC has previously accepted 5</w:t>
            </w:r>
            <w:r w:rsidR="00097D5F" w:rsidRPr="00497E12">
              <w:rPr>
                <w:rFonts w:ascii="Arial Narrow" w:hAnsi="Arial Narrow"/>
                <w:sz w:val="20"/>
              </w:rPr>
              <w:t>-</w:t>
            </w:r>
            <w:r w:rsidR="00EF2495" w:rsidRPr="00497E12">
              <w:rPr>
                <w:rFonts w:ascii="Arial Narrow" w:hAnsi="Arial Narrow"/>
                <w:sz w:val="20"/>
              </w:rPr>
              <w:t xml:space="preserve">year time horizons </w:t>
            </w:r>
            <w:r w:rsidR="00535593" w:rsidRPr="00497E12">
              <w:rPr>
                <w:rFonts w:ascii="Arial Narrow" w:hAnsi="Arial Narrow"/>
                <w:sz w:val="20"/>
              </w:rPr>
              <w:t xml:space="preserve">with </w:t>
            </w:r>
            <w:r w:rsidR="00097D5F" w:rsidRPr="00497E12">
              <w:rPr>
                <w:rFonts w:ascii="Arial Narrow" w:hAnsi="Arial Narrow"/>
                <w:sz w:val="20"/>
              </w:rPr>
              <w:t xml:space="preserve">second-line treatment of </w:t>
            </w:r>
            <w:r w:rsidR="00D922CD" w:rsidRPr="00497E12">
              <w:rPr>
                <w:rFonts w:ascii="Arial Narrow" w:hAnsi="Arial Narrow"/>
                <w:sz w:val="20"/>
              </w:rPr>
              <w:t xml:space="preserve">metastatic </w:t>
            </w:r>
            <w:r w:rsidR="00097D5F" w:rsidRPr="00497E12">
              <w:rPr>
                <w:rFonts w:ascii="Arial Narrow" w:hAnsi="Arial Narrow"/>
                <w:sz w:val="20"/>
              </w:rPr>
              <w:t>RCC</w:t>
            </w:r>
            <w:r w:rsidR="00EF2495" w:rsidRPr="00497E12">
              <w:rPr>
                <w:rFonts w:ascii="Arial Narrow" w:hAnsi="Arial Narrow"/>
                <w:sz w:val="20"/>
              </w:rPr>
              <w:t>, with 10</w:t>
            </w:r>
            <w:r w:rsidR="00827C38" w:rsidRPr="00497E12">
              <w:rPr>
                <w:rFonts w:ascii="Arial Narrow" w:hAnsi="Arial Narrow"/>
                <w:sz w:val="20"/>
              </w:rPr>
              <w:t>-</w:t>
            </w:r>
            <w:r w:rsidR="00EF2495" w:rsidRPr="00497E12">
              <w:rPr>
                <w:rFonts w:ascii="Arial Narrow" w:hAnsi="Arial Narrow"/>
                <w:sz w:val="20"/>
              </w:rPr>
              <w:t>year time horizons only associated with first</w:t>
            </w:r>
            <w:r w:rsidR="00097D5F" w:rsidRPr="00497E12">
              <w:rPr>
                <w:rFonts w:ascii="Arial Narrow" w:hAnsi="Arial Narrow"/>
                <w:sz w:val="20"/>
              </w:rPr>
              <w:t>-</w:t>
            </w:r>
            <w:r w:rsidR="00EF2495" w:rsidRPr="00497E12">
              <w:rPr>
                <w:rFonts w:ascii="Arial Narrow" w:hAnsi="Arial Narrow"/>
                <w:sz w:val="20"/>
              </w:rPr>
              <w:t xml:space="preserve">line </w:t>
            </w:r>
            <w:r w:rsidR="00097D5F" w:rsidRPr="00497E12">
              <w:rPr>
                <w:rFonts w:ascii="Arial Narrow" w:hAnsi="Arial Narrow"/>
                <w:sz w:val="20"/>
              </w:rPr>
              <w:t xml:space="preserve">treatment of </w:t>
            </w:r>
            <w:r w:rsidR="00D922CD" w:rsidRPr="00497E12">
              <w:rPr>
                <w:rFonts w:ascii="Arial Narrow" w:hAnsi="Arial Narrow"/>
                <w:sz w:val="20"/>
              </w:rPr>
              <w:t xml:space="preserve">metastatic </w:t>
            </w:r>
            <w:r w:rsidR="00097D5F" w:rsidRPr="00497E12">
              <w:rPr>
                <w:rFonts w:ascii="Arial Narrow" w:hAnsi="Arial Narrow"/>
                <w:sz w:val="20"/>
              </w:rPr>
              <w:t>RCC</w:t>
            </w:r>
            <w:r w:rsidR="00545C6B" w:rsidRPr="00497E12">
              <w:rPr>
                <w:rFonts w:ascii="Arial Narrow" w:hAnsi="Arial Narrow"/>
                <w:sz w:val="20"/>
              </w:rPr>
              <w:t xml:space="preserve">. </w:t>
            </w:r>
            <w:r w:rsidR="00EF2495" w:rsidRPr="00497E12">
              <w:rPr>
                <w:rFonts w:ascii="Arial Narrow" w:hAnsi="Arial Narrow"/>
                <w:sz w:val="20"/>
              </w:rPr>
              <w:t>The ESC noted that</w:t>
            </w:r>
            <w:r w:rsidR="0064676B" w:rsidRPr="00497E12">
              <w:rPr>
                <w:rFonts w:ascii="Arial Narrow" w:hAnsi="Arial Narrow"/>
                <w:sz w:val="20"/>
              </w:rPr>
              <w:t>, if appropriate,</w:t>
            </w:r>
            <w:r w:rsidR="00EF2495" w:rsidRPr="00497E12">
              <w:rPr>
                <w:rFonts w:ascii="Arial Narrow" w:hAnsi="Arial Narrow"/>
                <w:sz w:val="20"/>
              </w:rPr>
              <w:t xml:space="preserve"> the inclusion of advanced (stage III) patients m</w:t>
            </w:r>
            <w:r w:rsidR="0064676B" w:rsidRPr="00497E12">
              <w:rPr>
                <w:rFonts w:ascii="Arial Narrow" w:hAnsi="Arial Narrow"/>
                <w:sz w:val="20"/>
              </w:rPr>
              <w:t xml:space="preserve">ight warrant </w:t>
            </w:r>
            <w:r w:rsidR="00EF2495" w:rsidRPr="00497E12">
              <w:rPr>
                <w:rFonts w:ascii="Arial Narrow" w:hAnsi="Arial Narrow"/>
                <w:sz w:val="20"/>
              </w:rPr>
              <w:t>increas</w:t>
            </w:r>
            <w:r w:rsidR="00D922CD" w:rsidRPr="00497E12">
              <w:rPr>
                <w:rFonts w:ascii="Arial Narrow" w:hAnsi="Arial Narrow"/>
                <w:sz w:val="20"/>
              </w:rPr>
              <w:t xml:space="preserve">ing </w:t>
            </w:r>
            <w:r w:rsidR="00EF2495" w:rsidRPr="00497E12">
              <w:rPr>
                <w:rFonts w:ascii="Arial Narrow" w:hAnsi="Arial Narrow"/>
                <w:sz w:val="20"/>
              </w:rPr>
              <w:t xml:space="preserve">the acceptable time </w:t>
            </w:r>
            <w:r w:rsidR="0064676B" w:rsidRPr="00497E12">
              <w:rPr>
                <w:rFonts w:ascii="Arial Narrow" w:hAnsi="Arial Narrow"/>
                <w:sz w:val="20"/>
              </w:rPr>
              <w:t>horizon beyond 5 years</w:t>
            </w:r>
            <w:r w:rsidR="00EF2495" w:rsidRPr="00497E12">
              <w:rPr>
                <w:rFonts w:ascii="Arial Narrow" w:hAnsi="Arial Narrow"/>
                <w:sz w:val="20"/>
              </w:rPr>
              <w:t>.</w:t>
            </w:r>
          </w:p>
        </w:tc>
      </w:tr>
      <w:tr w:rsidR="00A75D61" w:rsidRPr="00497E12" w:rsidTr="00862A66">
        <w:tc>
          <w:tcPr>
            <w:tcW w:w="1007" w:type="pct"/>
            <w:shd w:val="clear" w:color="auto" w:fill="auto"/>
            <w:vAlign w:val="center"/>
          </w:tcPr>
          <w:p w:rsidR="00A75D61" w:rsidRPr="00497E12" w:rsidRDefault="00A75D61" w:rsidP="00862A66">
            <w:pPr>
              <w:jc w:val="left"/>
              <w:rPr>
                <w:rFonts w:ascii="Arial Narrow" w:hAnsi="Arial Narrow"/>
                <w:sz w:val="20"/>
              </w:rPr>
            </w:pPr>
            <w:r w:rsidRPr="00497E12">
              <w:rPr>
                <w:rFonts w:ascii="Arial Narrow" w:hAnsi="Arial Narrow"/>
                <w:sz w:val="20"/>
              </w:rPr>
              <w:t>Extrapolation method</w:t>
            </w:r>
          </w:p>
        </w:tc>
        <w:tc>
          <w:tcPr>
            <w:tcW w:w="855" w:type="pct"/>
            <w:shd w:val="clear" w:color="auto" w:fill="auto"/>
            <w:vAlign w:val="center"/>
          </w:tcPr>
          <w:p w:rsidR="00A75D61" w:rsidRPr="00497E12" w:rsidRDefault="00A75D61" w:rsidP="00862A66">
            <w:pPr>
              <w:jc w:val="center"/>
              <w:rPr>
                <w:rFonts w:ascii="Arial Narrow" w:hAnsi="Arial Narrow"/>
                <w:sz w:val="20"/>
              </w:rPr>
            </w:pPr>
            <w:r w:rsidRPr="00497E12">
              <w:rPr>
                <w:rFonts w:ascii="Arial Narrow" w:hAnsi="Arial Narrow"/>
                <w:sz w:val="20"/>
              </w:rPr>
              <w:t>Log-logistic survival curves</w:t>
            </w:r>
          </w:p>
        </w:tc>
        <w:tc>
          <w:tcPr>
            <w:tcW w:w="3138" w:type="pct"/>
            <w:shd w:val="clear" w:color="auto" w:fill="auto"/>
            <w:vAlign w:val="center"/>
          </w:tcPr>
          <w:p w:rsidR="00A75D61" w:rsidRPr="00497E12" w:rsidRDefault="00A75D61" w:rsidP="00091EDE">
            <w:pPr>
              <w:widowControl/>
              <w:jc w:val="left"/>
              <w:rPr>
                <w:szCs w:val="22"/>
              </w:rPr>
            </w:pPr>
            <w:r w:rsidRPr="00497E12">
              <w:rPr>
                <w:rFonts w:ascii="Arial Narrow" w:hAnsi="Arial Narrow"/>
                <w:sz w:val="20"/>
              </w:rPr>
              <w:t>Likely high, unclear. Log-logistic extrapolation was employed in the base case analysis of the economic evaluation</w:t>
            </w:r>
            <w:r w:rsidR="00A656FE" w:rsidRPr="00497E12">
              <w:rPr>
                <w:rFonts w:ascii="Arial Narrow" w:hAnsi="Arial Narrow"/>
                <w:sz w:val="20"/>
              </w:rPr>
              <w:t>, which is inconsistent with the trial evidence, which does not support any claim for a prolonged effect in a proportion of treated patients.</w:t>
            </w:r>
            <w:r w:rsidRPr="00497E12">
              <w:rPr>
                <w:rFonts w:ascii="Arial Narrow" w:hAnsi="Arial Narrow"/>
                <w:sz w:val="20"/>
              </w:rPr>
              <w:t xml:space="preserve"> Only the log-normal (</w:t>
            </w:r>
            <w:r w:rsidR="00091EDE" w:rsidRPr="00497E12">
              <w:rPr>
                <w:rFonts w:ascii="Arial Narrow" w:hAnsi="Arial Narrow"/>
                <w:sz w:val="20"/>
              </w:rPr>
              <w:t>‘</w:t>
            </w:r>
            <w:r w:rsidRPr="00497E12">
              <w:rPr>
                <w:rFonts w:ascii="Arial Narrow" w:hAnsi="Arial Narrow"/>
                <w:sz w:val="20"/>
              </w:rPr>
              <w:t xml:space="preserve">clinical </w:t>
            </w:r>
            <w:proofErr w:type="gramStart"/>
            <w:r w:rsidRPr="00497E12">
              <w:rPr>
                <w:rFonts w:ascii="Arial Narrow" w:hAnsi="Arial Narrow"/>
                <w:sz w:val="20"/>
              </w:rPr>
              <w:t>PFS</w:t>
            </w:r>
            <w:r w:rsidR="00091EDE" w:rsidRPr="00497E12">
              <w:rPr>
                <w:rFonts w:ascii="Arial Narrow" w:hAnsi="Arial Narrow"/>
                <w:sz w:val="20"/>
              </w:rPr>
              <w:t>’</w:t>
            </w:r>
            <w:r w:rsidRPr="00497E12">
              <w:rPr>
                <w:rFonts w:ascii="Arial Narrow" w:hAnsi="Arial Narrow"/>
                <w:sz w:val="20"/>
              </w:rPr>
              <w:t xml:space="preserve">), and the Weibull (OS and </w:t>
            </w:r>
            <w:r w:rsidR="00091EDE" w:rsidRPr="00497E12">
              <w:rPr>
                <w:rFonts w:ascii="Arial Narrow" w:hAnsi="Arial Narrow"/>
                <w:sz w:val="20"/>
              </w:rPr>
              <w:t>‘</w:t>
            </w:r>
            <w:r w:rsidRPr="00497E12">
              <w:rPr>
                <w:rFonts w:ascii="Arial Narrow" w:hAnsi="Arial Narrow"/>
                <w:sz w:val="20"/>
              </w:rPr>
              <w:t>clinical PFS</w:t>
            </w:r>
            <w:r w:rsidR="00091EDE" w:rsidRPr="00497E12">
              <w:rPr>
                <w:rFonts w:ascii="Arial Narrow" w:hAnsi="Arial Narrow"/>
                <w:sz w:val="20"/>
              </w:rPr>
              <w:t>’</w:t>
            </w:r>
            <w:r w:rsidRPr="00497E12">
              <w:rPr>
                <w:rFonts w:ascii="Arial Narrow" w:hAnsi="Arial Narrow"/>
                <w:sz w:val="20"/>
              </w:rPr>
              <w:t>)</w:t>
            </w:r>
            <w:proofErr w:type="gramEnd"/>
            <w:r w:rsidRPr="00497E12">
              <w:rPr>
                <w:rFonts w:ascii="Arial Narrow" w:hAnsi="Arial Narrow"/>
                <w:sz w:val="20"/>
              </w:rPr>
              <w:t xml:space="preserve"> extrapolation methods were tested in sensitivity analyses. One of the better fits based on the goodness of fit statistics, the gamma distribution should </w:t>
            </w:r>
            <w:r w:rsidR="00A656FE" w:rsidRPr="00497E12">
              <w:rPr>
                <w:rFonts w:ascii="Arial Narrow" w:hAnsi="Arial Narrow"/>
                <w:sz w:val="20"/>
              </w:rPr>
              <w:t xml:space="preserve">also </w:t>
            </w:r>
            <w:r w:rsidRPr="00497E12">
              <w:rPr>
                <w:rFonts w:ascii="Arial Narrow" w:hAnsi="Arial Narrow"/>
                <w:sz w:val="20"/>
              </w:rPr>
              <w:t>have been considered.</w:t>
            </w:r>
          </w:p>
        </w:tc>
      </w:tr>
      <w:tr w:rsidR="00EF2495" w:rsidRPr="00497E12" w:rsidTr="005C27C0">
        <w:tc>
          <w:tcPr>
            <w:tcW w:w="1007" w:type="pct"/>
            <w:shd w:val="clear" w:color="auto" w:fill="auto"/>
            <w:vAlign w:val="center"/>
          </w:tcPr>
          <w:p w:rsidR="00EF2495" w:rsidRPr="00497E12" w:rsidRDefault="00EF2495" w:rsidP="005C27C0">
            <w:pPr>
              <w:jc w:val="left"/>
              <w:rPr>
                <w:rFonts w:ascii="Arial Narrow" w:hAnsi="Arial Narrow"/>
                <w:sz w:val="20"/>
              </w:rPr>
            </w:pPr>
            <w:r w:rsidRPr="00497E12">
              <w:rPr>
                <w:rFonts w:ascii="Arial Narrow" w:hAnsi="Arial Narrow"/>
                <w:sz w:val="20"/>
              </w:rPr>
              <w:t>Utility values</w:t>
            </w:r>
          </w:p>
        </w:tc>
        <w:tc>
          <w:tcPr>
            <w:tcW w:w="855" w:type="pct"/>
            <w:shd w:val="clear" w:color="auto" w:fill="auto"/>
            <w:vAlign w:val="center"/>
          </w:tcPr>
          <w:p w:rsidR="00EF2495" w:rsidRPr="00497E12" w:rsidRDefault="00EF2495" w:rsidP="005C27C0">
            <w:pPr>
              <w:jc w:val="center"/>
              <w:rPr>
                <w:rFonts w:ascii="Arial Narrow" w:hAnsi="Arial Narrow"/>
                <w:sz w:val="20"/>
              </w:rPr>
            </w:pPr>
            <w:r w:rsidRPr="00497E12">
              <w:rPr>
                <w:rFonts w:ascii="Arial Narrow" w:hAnsi="Arial Narrow"/>
                <w:sz w:val="20"/>
              </w:rPr>
              <w:t>Trial based difference for Clinical PF</w:t>
            </w:r>
          </w:p>
        </w:tc>
        <w:tc>
          <w:tcPr>
            <w:tcW w:w="3138" w:type="pct"/>
            <w:shd w:val="clear" w:color="auto" w:fill="auto"/>
            <w:vAlign w:val="center"/>
          </w:tcPr>
          <w:p w:rsidR="00EF2495" w:rsidRPr="00497E12" w:rsidRDefault="00EF2495" w:rsidP="00333690">
            <w:pPr>
              <w:jc w:val="left"/>
              <w:rPr>
                <w:rFonts w:ascii="Arial Narrow" w:hAnsi="Arial Narrow"/>
                <w:sz w:val="20"/>
              </w:rPr>
            </w:pPr>
            <w:r w:rsidRPr="00497E12">
              <w:rPr>
                <w:rFonts w:ascii="Arial Narrow" w:hAnsi="Arial Narrow"/>
                <w:sz w:val="20"/>
              </w:rPr>
              <w:t xml:space="preserve">Moderate, favours </w:t>
            </w:r>
            <w:proofErr w:type="spellStart"/>
            <w:r w:rsidRPr="00497E12">
              <w:rPr>
                <w:rFonts w:ascii="Arial Narrow" w:hAnsi="Arial Narrow"/>
                <w:sz w:val="20"/>
              </w:rPr>
              <w:t>nivolumab</w:t>
            </w:r>
            <w:proofErr w:type="spellEnd"/>
            <w:r w:rsidRPr="00497E12">
              <w:rPr>
                <w:rFonts w:ascii="Arial Narrow" w:hAnsi="Arial Narrow"/>
                <w:sz w:val="20"/>
              </w:rPr>
              <w:t xml:space="preserve">. The ESC noted that the observed difference </w:t>
            </w:r>
            <w:r w:rsidR="00DA609A" w:rsidRPr="00497E12">
              <w:rPr>
                <w:rFonts w:ascii="Arial Narrow" w:hAnsi="Arial Narrow"/>
                <w:sz w:val="20"/>
              </w:rPr>
              <w:t xml:space="preserve">between </w:t>
            </w:r>
            <w:r w:rsidR="009A50FA" w:rsidRPr="00497E12">
              <w:rPr>
                <w:rFonts w:ascii="Arial Narrow" w:hAnsi="Arial Narrow"/>
                <w:sz w:val="20"/>
              </w:rPr>
              <w:t xml:space="preserve">treatment </w:t>
            </w:r>
            <w:r w:rsidR="00DA609A" w:rsidRPr="00497E12">
              <w:rPr>
                <w:rFonts w:ascii="Arial Narrow" w:hAnsi="Arial Narrow"/>
                <w:sz w:val="20"/>
              </w:rPr>
              <w:t xml:space="preserve">groups </w:t>
            </w:r>
            <w:r w:rsidRPr="00497E12">
              <w:rPr>
                <w:rFonts w:ascii="Arial Narrow" w:hAnsi="Arial Narrow"/>
                <w:sz w:val="20"/>
              </w:rPr>
              <w:t xml:space="preserve">in utility values for clinical progression free was </w:t>
            </w:r>
            <w:r w:rsidR="00B32DC8">
              <w:rPr>
                <w:rFonts w:ascii="Arial Narrow" w:hAnsi="Arial Narrow"/>
                <w:noProof/>
                <w:color w:val="000000"/>
                <w:sz w:val="20"/>
                <w:highlight w:val="black"/>
              </w:rPr>
              <w:t>'''''''''''</w:t>
            </w:r>
            <w:r w:rsidRPr="00497E12">
              <w:rPr>
                <w:rFonts w:ascii="Arial Narrow" w:hAnsi="Arial Narrow"/>
                <w:sz w:val="20"/>
              </w:rPr>
              <w:t>, which is at the margins of what is considered meaningful, and produced an ICER</w:t>
            </w:r>
            <w:r w:rsidR="00333690" w:rsidRPr="00497E12">
              <w:rPr>
                <w:rFonts w:ascii="Arial Narrow" w:hAnsi="Arial Narrow"/>
                <w:sz w:val="20"/>
              </w:rPr>
              <w:t>/QALY</w:t>
            </w:r>
            <w:r w:rsidRPr="00497E12">
              <w:rPr>
                <w:rFonts w:ascii="Arial Narrow" w:hAnsi="Arial Narrow"/>
                <w:sz w:val="20"/>
              </w:rPr>
              <w:t xml:space="preserve"> of $</w:t>
            </w:r>
            <w:r w:rsidR="00060D25">
              <w:rPr>
                <w:rFonts w:ascii="Arial Narrow" w:hAnsi="Arial Narrow"/>
                <w:sz w:val="20"/>
              </w:rPr>
              <w:t>75,000 - $105,000</w:t>
            </w:r>
            <w:r w:rsidRPr="00497E12">
              <w:rPr>
                <w:rFonts w:ascii="Arial Narrow" w:hAnsi="Arial Narrow"/>
                <w:sz w:val="20"/>
              </w:rPr>
              <w:t>.</w:t>
            </w:r>
          </w:p>
        </w:tc>
      </w:tr>
    </w:tbl>
    <w:p w:rsidR="00CF63F8" w:rsidRPr="00497E12" w:rsidRDefault="00CF63F8" w:rsidP="00CF63F8">
      <w:pPr>
        <w:pStyle w:val="TableFooter"/>
        <w:ind w:firstLine="720"/>
      </w:pPr>
      <w:r w:rsidRPr="00497E12">
        <w:t>Source: compiled during the evaluation.</w:t>
      </w:r>
    </w:p>
    <w:p w:rsidR="00CF63F8" w:rsidRPr="00497E12" w:rsidRDefault="00CF63F8" w:rsidP="00CF63F8">
      <w:pPr>
        <w:pStyle w:val="TableFooter"/>
        <w:ind w:left="720"/>
      </w:pPr>
      <w:r w:rsidRPr="00497E12">
        <w:t>Abbreviations: NPP=named patient program; OS=overall survival; PFS=progression-free survival</w:t>
      </w:r>
      <w:r w:rsidR="001A251D" w:rsidRPr="00497E12">
        <w:t>; RCC=renal cell carcinoma</w:t>
      </w:r>
      <w:r w:rsidRPr="00497E12">
        <w:t>.</w:t>
      </w:r>
    </w:p>
    <w:p w:rsidR="00CF63F8" w:rsidRPr="00497E12" w:rsidRDefault="00CF63F8" w:rsidP="00CF63F8">
      <w:pPr>
        <w:widowControl/>
        <w:rPr>
          <w:szCs w:val="22"/>
        </w:rPr>
      </w:pPr>
    </w:p>
    <w:p w:rsidR="00CF63F8" w:rsidRPr="00497E12" w:rsidRDefault="00CF63F8" w:rsidP="00A45A8D">
      <w:pPr>
        <w:pStyle w:val="ListParagraph"/>
        <w:widowControl/>
        <w:numPr>
          <w:ilvl w:val="1"/>
          <w:numId w:val="24"/>
        </w:numPr>
        <w:rPr>
          <w:szCs w:val="22"/>
        </w:rPr>
      </w:pPr>
      <w:r w:rsidRPr="00497E12">
        <w:t xml:space="preserve">The table below provides the results of the modelled evaluation. The model presented by the submission used $82.67 for the preparation fee, and $5,241.90 for the dispensed price per maximum quantity (DPMQ) for </w:t>
      </w:r>
      <w:proofErr w:type="spellStart"/>
      <w:r w:rsidRPr="00497E12">
        <w:t>everolimus</w:t>
      </w:r>
      <w:proofErr w:type="spellEnd"/>
      <w:r w:rsidRPr="00497E12">
        <w:t xml:space="preserve">. Updating of these during the evaluation ($102.67 preparation fee; $5,276.87 DPMQ for </w:t>
      </w:r>
      <w:proofErr w:type="spellStart"/>
      <w:r w:rsidRPr="00497E12">
        <w:t>everolimus</w:t>
      </w:r>
      <w:proofErr w:type="spellEnd"/>
      <w:r w:rsidRPr="00497E12">
        <w:t>) changed the incremental cost per QALY g</w:t>
      </w:r>
      <w:r w:rsidR="0063539C" w:rsidRPr="00497E12">
        <w:t>ained from $</w:t>
      </w:r>
      <w:r w:rsidR="009F1A88">
        <w:t>45,000 - $75,000/QALY</w:t>
      </w:r>
      <w:r w:rsidR="0063539C" w:rsidRPr="00497E12">
        <w:t xml:space="preserve"> to $</w:t>
      </w:r>
      <w:r w:rsidR="009F1A88">
        <w:t>45,000 - $75,000/QALY</w:t>
      </w:r>
      <w:r w:rsidR="0063539C" w:rsidRPr="00497E12">
        <w:t>.</w:t>
      </w:r>
    </w:p>
    <w:p w:rsidR="00CF63F8" w:rsidRPr="00497E12" w:rsidRDefault="00CF63F8" w:rsidP="00CF63F8">
      <w:pPr>
        <w:widowControl/>
        <w:rPr>
          <w:szCs w:val="22"/>
        </w:rPr>
      </w:pPr>
    </w:p>
    <w:p w:rsidR="00F85A80" w:rsidRPr="00497E12" w:rsidRDefault="00F85A80">
      <w:pPr>
        <w:widowControl/>
        <w:jc w:val="left"/>
        <w:rPr>
          <w:rStyle w:val="CommentReference"/>
        </w:rPr>
      </w:pPr>
      <w:r w:rsidRPr="00497E12">
        <w:rPr>
          <w:rStyle w:val="CommentReference"/>
        </w:rPr>
        <w:br w:type="page"/>
      </w:r>
    </w:p>
    <w:p w:rsidR="00CF63F8" w:rsidRPr="00497E12" w:rsidRDefault="00CF63F8" w:rsidP="00CF63F8">
      <w:pPr>
        <w:ind w:firstLine="720"/>
        <w:rPr>
          <w:rStyle w:val="CommentReference"/>
        </w:rPr>
      </w:pPr>
      <w:r w:rsidRPr="00497E12">
        <w:rPr>
          <w:rStyle w:val="CommentReference"/>
        </w:rPr>
        <w:lastRenderedPageBreak/>
        <w:t>Table 8: Results of the economic evaluation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9"/>
        <w:gridCol w:w="2377"/>
        <w:gridCol w:w="2225"/>
        <w:gridCol w:w="2214"/>
      </w:tblGrid>
      <w:tr w:rsidR="00CF63F8" w:rsidRPr="00497E12" w:rsidTr="009C5C98">
        <w:tc>
          <w:tcPr>
            <w:tcW w:w="911" w:type="pct"/>
          </w:tcPr>
          <w:p w:rsidR="00CF63F8" w:rsidRPr="00497E12" w:rsidRDefault="00CF63F8" w:rsidP="009C5C98">
            <w:pPr>
              <w:rPr>
                <w:rFonts w:ascii="Arial Narrow" w:hAnsi="Arial Narrow"/>
                <w:b/>
                <w:sz w:val="20"/>
              </w:rPr>
            </w:pPr>
            <w:r w:rsidRPr="00497E12">
              <w:rPr>
                <w:rFonts w:ascii="Arial Narrow" w:hAnsi="Arial Narrow"/>
                <w:b/>
                <w:sz w:val="20"/>
              </w:rPr>
              <w:t>Component</w:t>
            </w:r>
          </w:p>
        </w:tc>
        <w:tc>
          <w:tcPr>
            <w:tcW w:w="1426" w:type="pct"/>
          </w:tcPr>
          <w:p w:rsidR="00CF63F8" w:rsidRPr="00497E12" w:rsidRDefault="00CF63F8" w:rsidP="009C5C98">
            <w:pPr>
              <w:jc w:val="center"/>
              <w:rPr>
                <w:rFonts w:ascii="Arial Narrow" w:hAnsi="Arial Narrow"/>
                <w:b/>
                <w:sz w:val="20"/>
              </w:rPr>
            </w:pPr>
            <w:proofErr w:type="spellStart"/>
            <w:r w:rsidRPr="00497E12">
              <w:rPr>
                <w:rFonts w:ascii="Arial Narrow" w:hAnsi="Arial Narrow"/>
                <w:b/>
                <w:sz w:val="20"/>
              </w:rPr>
              <w:t>Nivolumab</w:t>
            </w:r>
            <w:proofErr w:type="spellEnd"/>
          </w:p>
        </w:tc>
        <w:tc>
          <w:tcPr>
            <w:tcW w:w="1335" w:type="pct"/>
          </w:tcPr>
          <w:p w:rsidR="00CF63F8" w:rsidRPr="00497E12" w:rsidRDefault="00CF63F8" w:rsidP="009C5C98">
            <w:pPr>
              <w:jc w:val="center"/>
              <w:rPr>
                <w:rFonts w:ascii="Arial Narrow" w:hAnsi="Arial Narrow"/>
                <w:b/>
                <w:sz w:val="20"/>
              </w:rPr>
            </w:pPr>
            <w:proofErr w:type="spellStart"/>
            <w:r w:rsidRPr="00497E12">
              <w:rPr>
                <w:rFonts w:ascii="Arial Narrow" w:hAnsi="Arial Narrow"/>
                <w:b/>
                <w:sz w:val="20"/>
              </w:rPr>
              <w:t>Everolimus</w:t>
            </w:r>
            <w:proofErr w:type="spellEnd"/>
          </w:p>
        </w:tc>
        <w:tc>
          <w:tcPr>
            <w:tcW w:w="1328" w:type="pct"/>
          </w:tcPr>
          <w:p w:rsidR="00CF63F8" w:rsidRPr="00497E12" w:rsidRDefault="00CF63F8" w:rsidP="009C5C98">
            <w:pPr>
              <w:jc w:val="center"/>
              <w:rPr>
                <w:rFonts w:ascii="Arial Narrow" w:hAnsi="Arial Narrow"/>
                <w:b/>
                <w:sz w:val="20"/>
              </w:rPr>
            </w:pPr>
            <w:r w:rsidRPr="00497E12">
              <w:rPr>
                <w:rFonts w:ascii="Arial Narrow" w:hAnsi="Arial Narrow"/>
                <w:b/>
                <w:sz w:val="20"/>
              </w:rPr>
              <w:t>Increment</w:t>
            </w:r>
          </w:p>
        </w:tc>
      </w:tr>
      <w:tr w:rsidR="00CF63F8" w:rsidRPr="00497E12" w:rsidTr="009C5C98">
        <w:tc>
          <w:tcPr>
            <w:tcW w:w="911" w:type="pct"/>
          </w:tcPr>
          <w:p w:rsidR="00CF63F8" w:rsidRPr="00497E12" w:rsidRDefault="00CF63F8" w:rsidP="009C5C98">
            <w:pPr>
              <w:rPr>
                <w:rFonts w:ascii="Arial Narrow" w:hAnsi="Arial Narrow"/>
                <w:sz w:val="20"/>
              </w:rPr>
            </w:pPr>
            <w:proofErr w:type="spellStart"/>
            <w:r w:rsidRPr="00497E12">
              <w:rPr>
                <w:rFonts w:ascii="Arial Narrow" w:hAnsi="Arial Narrow"/>
                <w:sz w:val="20"/>
              </w:rPr>
              <w:t>Costs</w:t>
            </w:r>
            <w:r w:rsidRPr="00497E12">
              <w:rPr>
                <w:rFonts w:ascii="Arial Narrow" w:hAnsi="Arial Narrow"/>
                <w:sz w:val="20"/>
                <w:vertAlign w:val="superscript"/>
              </w:rPr>
              <w:t>a</w:t>
            </w:r>
            <w:proofErr w:type="spellEnd"/>
          </w:p>
        </w:tc>
        <w:tc>
          <w:tcPr>
            <w:tcW w:w="1426" w:type="pct"/>
          </w:tcPr>
          <w:p w:rsidR="00CF63F8" w:rsidRPr="00497E12" w:rsidRDefault="00CF63F8" w:rsidP="009C5C98">
            <w:pPr>
              <w:jc w:val="center"/>
              <w:rPr>
                <w:rFonts w:ascii="Arial Narrow" w:hAnsi="Arial Narrow"/>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1335" w:type="pct"/>
          </w:tcPr>
          <w:p w:rsidR="00CF63F8" w:rsidRPr="00497E12" w:rsidRDefault="00CF63F8" w:rsidP="009C5C98">
            <w:pPr>
              <w:jc w:val="center"/>
              <w:rPr>
                <w:rFonts w:ascii="Arial Narrow" w:hAnsi="Arial Narrow"/>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1328" w:type="pct"/>
          </w:tcPr>
          <w:p w:rsidR="00CF63F8" w:rsidRPr="00497E12" w:rsidRDefault="00CF63F8" w:rsidP="009C5C98">
            <w:pPr>
              <w:jc w:val="center"/>
              <w:rPr>
                <w:rFonts w:ascii="Arial Narrow" w:hAnsi="Arial Narrow"/>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r>
      <w:tr w:rsidR="00CF63F8" w:rsidRPr="00497E12" w:rsidTr="009C5C98">
        <w:tc>
          <w:tcPr>
            <w:tcW w:w="911" w:type="pct"/>
          </w:tcPr>
          <w:p w:rsidR="00CF63F8" w:rsidRPr="00497E12" w:rsidRDefault="00CF63F8" w:rsidP="009C5C98">
            <w:pPr>
              <w:rPr>
                <w:rFonts w:ascii="Arial Narrow" w:hAnsi="Arial Narrow"/>
                <w:sz w:val="20"/>
              </w:rPr>
            </w:pPr>
            <w:r w:rsidRPr="00497E12">
              <w:rPr>
                <w:rFonts w:ascii="Arial Narrow" w:hAnsi="Arial Narrow"/>
                <w:sz w:val="20"/>
              </w:rPr>
              <w:t>QALYs</w:t>
            </w:r>
          </w:p>
        </w:tc>
        <w:tc>
          <w:tcPr>
            <w:tcW w:w="1426" w:type="pct"/>
            <w:vAlign w:val="center"/>
          </w:tcPr>
          <w:p w:rsidR="00CF63F8" w:rsidRPr="00B32DC8" w:rsidRDefault="00B32DC8" w:rsidP="009C5C98">
            <w:pPr>
              <w:jc w:val="center"/>
              <w:rPr>
                <w:rFonts w:ascii="Arial Narrow" w:hAnsi="Arial Narrow"/>
                <w:sz w:val="20"/>
                <w:highlight w:val="black"/>
              </w:rPr>
            </w:pPr>
            <w:r>
              <w:rPr>
                <w:rFonts w:ascii="Arial Narrow" w:hAnsi="Arial Narrow"/>
                <w:noProof/>
                <w:color w:val="000000"/>
                <w:sz w:val="20"/>
                <w:szCs w:val="20"/>
                <w:highlight w:val="black"/>
              </w:rPr>
              <w:t>''''''''''</w:t>
            </w:r>
          </w:p>
        </w:tc>
        <w:tc>
          <w:tcPr>
            <w:tcW w:w="1335" w:type="pct"/>
            <w:vAlign w:val="center"/>
          </w:tcPr>
          <w:p w:rsidR="00CF63F8" w:rsidRPr="00B32DC8" w:rsidRDefault="00B32DC8" w:rsidP="009C5C98">
            <w:pPr>
              <w:jc w:val="center"/>
              <w:rPr>
                <w:rFonts w:ascii="Arial Narrow" w:hAnsi="Arial Narrow"/>
                <w:sz w:val="20"/>
                <w:highlight w:val="black"/>
              </w:rPr>
            </w:pPr>
            <w:r>
              <w:rPr>
                <w:rFonts w:ascii="Arial Narrow" w:hAnsi="Arial Narrow"/>
                <w:noProof/>
                <w:color w:val="000000"/>
                <w:sz w:val="20"/>
                <w:szCs w:val="20"/>
                <w:highlight w:val="black"/>
              </w:rPr>
              <w:t>''''''''''''</w:t>
            </w:r>
          </w:p>
        </w:tc>
        <w:tc>
          <w:tcPr>
            <w:tcW w:w="1328" w:type="pct"/>
          </w:tcPr>
          <w:p w:rsidR="00CF63F8" w:rsidRPr="00B32DC8" w:rsidRDefault="00B32DC8" w:rsidP="009C5C98">
            <w:pPr>
              <w:jc w:val="center"/>
              <w:rPr>
                <w:rFonts w:ascii="Arial Narrow" w:hAnsi="Arial Narrow"/>
                <w:sz w:val="20"/>
                <w:highlight w:val="black"/>
              </w:rPr>
            </w:pPr>
            <w:r>
              <w:rPr>
                <w:rFonts w:ascii="Arial Narrow" w:hAnsi="Arial Narrow"/>
                <w:noProof/>
                <w:color w:val="000000"/>
                <w:sz w:val="20"/>
                <w:szCs w:val="20"/>
                <w:highlight w:val="black"/>
              </w:rPr>
              <w:t>''''''''''</w:t>
            </w:r>
          </w:p>
        </w:tc>
      </w:tr>
      <w:tr w:rsidR="00CF63F8" w:rsidRPr="00497E12" w:rsidTr="009C5C98">
        <w:tc>
          <w:tcPr>
            <w:tcW w:w="3672" w:type="pct"/>
            <w:gridSpan w:val="3"/>
          </w:tcPr>
          <w:p w:rsidR="00CF63F8" w:rsidRPr="00497E12" w:rsidRDefault="00CF63F8" w:rsidP="009C5C98">
            <w:pPr>
              <w:rPr>
                <w:rFonts w:ascii="Arial Narrow" w:hAnsi="Arial Narrow"/>
                <w:b/>
                <w:sz w:val="20"/>
              </w:rPr>
            </w:pPr>
            <w:r w:rsidRPr="00497E12">
              <w:rPr>
                <w:rFonts w:ascii="Arial Narrow" w:hAnsi="Arial Narrow"/>
                <w:b/>
                <w:sz w:val="20"/>
              </w:rPr>
              <w:t>Incremental cost/ LY gained</w:t>
            </w:r>
          </w:p>
        </w:tc>
        <w:tc>
          <w:tcPr>
            <w:tcW w:w="1328" w:type="pct"/>
          </w:tcPr>
          <w:p w:rsidR="00CF63F8" w:rsidRPr="00497E12" w:rsidRDefault="00CF63F8" w:rsidP="009C5C98">
            <w:pPr>
              <w:widowControl/>
              <w:jc w:val="center"/>
              <w:rPr>
                <w:rFonts w:ascii="Arial Narrow" w:hAnsi="Arial Narrow"/>
                <w:b/>
                <w:bCs/>
                <w:snapToGrid/>
                <w:sz w:val="20"/>
                <w:szCs w:val="20"/>
                <w:lang w:eastAsia="ko-KR"/>
              </w:rPr>
            </w:pPr>
            <w:r w:rsidRPr="00497E12">
              <w:rPr>
                <w:rFonts w:ascii="Arial Narrow" w:hAnsi="Arial Narrow"/>
                <w:b/>
                <w:bCs/>
                <w:sz w:val="20"/>
                <w:szCs w:val="20"/>
              </w:rPr>
              <w:t>$</w:t>
            </w:r>
            <w:r w:rsidR="00B32DC8">
              <w:rPr>
                <w:rFonts w:ascii="Arial Narrow" w:hAnsi="Arial Narrow"/>
                <w:b/>
                <w:bCs/>
                <w:noProof/>
                <w:color w:val="000000"/>
                <w:sz w:val="20"/>
                <w:szCs w:val="20"/>
                <w:highlight w:val="black"/>
              </w:rPr>
              <w:t>'''''''''''''</w:t>
            </w:r>
          </w:p>
        </w:tc>
      </w:tr>
      <w:tr w:rsidR="00CF63F8" w:rsidRPr="00497E12" w:rsidTr="009C5C98">
        <w:tc>
          <w:tcPr>
            <w:tcW w:w="3672" w:type="pct"/>
            <w:gridSpan w:val="3"/>
          </w:tcPr>
          <w:p w:rsidR="00CF63F8" w:rsidRPr="00497E12" w:rsidRDefault="00CF63F8" w:rsidP="009C5C98">
            <w:pPr>
              <w:rPr>
                <w:rFonts w:ascii="Arial Narrow" w:hAnsi="Arial Narrow"/>
                <w:b/>
                <w:sz w:val="20"/>
              </w:rPr>
            </w:pPr>
            <w:r w:rsidRPr="00497E12">
              <w:rPr>
                <w:rFonts w:ascii="Arial Narrow" w:hAnsi="Arial Narrow"/>
                <w:b/>
                <w:sz w:val="20"/>
              </w:rPr>
              <w:t>Incremental cost/ QALY gained</w:t>
            </w:r>
          </w:p>
        </w:tc>
        <w:tc>
          <w:tcPr>
            <w:tcW w:w="1328" w:type="pct"/>
          </w:tcPr>
          <w:p w:rsidR="00CF63F8" w:rsidRPr="00497E12" w:rsidRDefault="00CF63F8" w:rsidP="009C5C98">
            <w:pPr>
              <w:widowControl/>
              <w:jc w:val="center"/>
              <w:rPr>
                <w:rFonts w:ascii="Arial Narrow" w:hAnsi="Arial Narrow"/>
                <w:b/>
                <w:bCs/>
                <w:snapToGrid/>
                <w:sz w:val="20"/>
                <w:szCs w:val="20"/>
                <w:lang w:eastAsia="ko-KR"/>
              </w:rPr>
            </w:pPr>
            <w:r w:rsidRPr="00497E12">
              <w:rPr>
                <w:rFonts w:ascii="Arial Narrow" w:hAnsi="Arial Narrow"/>
                <w:b/>
                <w:bCs/>
                <w:sz w:val="20"/>
                <w:szCs w:val="20"/>
              </w:rPr>
              <w:t>$</w:t>
            </w:r>
            <w:r w:rsidR="00B32DC8">
              <w:rPr>
                <w:rFonts w:ascii="Arial Narrow" w:hAnsi="Arial Narrow"/>
                <w:b/>
                <w:bCs/>
                <w:noProof/>
                <w:color w:val="000000"/>
                <w:sz w:val="20"/>
                <w:szCs w:val="20"/>
                <w:highlight w:val="black"/>
              </w:rPr>
              <w:t>''''''''''''''</w:t>
            </w:r>
          </w:p>
        </w:tc>
      </w:tr>
    </w:tbl>
    <w:p w:rsidR="00CF63F8" w:rsidRPr="00497E12" w:rsidRDefault="00CF63F8" w:rsidP="00CF63F8">
      <w:pPr>
        <w:pStyle w:val="TableFooter"/>
        <w:ind w:firstLine="720"/>
        <w:rPr>
          <w:szCs w:val="18"/>
        </w:rPr>
      </w:pPr>
      <w:r w:rsidRPr="00497E12">
        <w:rPr>
          <w:szCs w:val="18"/>
        </w:rPr>
        <w:t>Sources: Table 77, p163-164 of the submi</w:t>
      </w:r>
      <w:r w:rsidR="00FF7B32" w:rsidRPr="00497E12">
        <w:rPr>
          <w:szCs w:val="18"/>
        </w:rPr>
        <w:t>ssion</w:t>
      </w:r>
      <w:r w:rsidRPr="00497E12">
        <w:rPr>
          <w:szCs w:val="18"/>
        </w:rPr>
        <w:t>.</w:t>
      </w:r>
    </w:p>
    <w:p w:rsidR="00CF63F8" w:rsidRPr="00497E12" w:rsidRDefault="00CF63F8" w:rsidP="00CF63F8">
      <w:pPr>
        <w:pStyle w:val="TableFooter"/>
        <w:ind w:firstLine="709"/>
        <w:rPr>
          <w:szCs w:val="18"/>
        </w:rPr>
      </w:pPr>
      <w:r w:rsidRPr="00497E12">
        <w:rPr>
          <w:szCs w:val="18"/>
        </w:rPr>
        <w:t>Abbreviati</w:t>
      </w:r>
      <w:r w:rsidR="00826777" w:rsidRPr="00497E12">
        <w:rPr>
          <w:szCs w:val="18"/>
        </w:rPr>
        <w:t>ons: LY=life year; QALY=quality-</w:t>
      </w:r>
      <w:r w:rsidRPr="00497E12">
        <w:rPr>
          <w:szCs w:val="18"/>
        </w:rPr>
        <w:t>adjusted life year.</w:t>
      </w:r>
    </w:p>
    <w:p w:rsidR="00CF63F8" w:rsidRPr="00497E12" w:rsidRDefault="00CF63F8" w:rsidP="00CF63F8">
      <w:pPr>
        <w:pStyle w:val="TableFooter"/>
        <w:keepNext/>
        <w:ind w:left="709"/>
        <w:contextualSpacing/>
      </w:pPr>
      <w:proofErr w:type="spellStart"/>
      <w:proofErr w:type="gramStart"/>
      <w:r w:rsidRPr="00497E12">
        <w:rPr>
          <w:vertAlign w:val="superscript"/>
        </w:rPr>
        <w:t>a</w:t>
      </w:r>
      <w:proofErr w:type="spellEnd"/>
      <w:proofErr w:type="gramEnd"/>
      <w:r w:rsidRPr="00497E12">
        <w:t xml:space="preserve"> Costs have been updated during the evaluation for the preparation fee (from $82.67 to $102.67) and the DPMQ for </w:t>
      </w:r>
      <w:proofErr w:type="spellStart"/>
      <w:r w:rsidRPr="00497E12">
        <w:t>everolimus</w:t>
      </w:r>
      <w:proofErr w:type="spellEnd"/>
      <w:r w:rsidR="00826777" w:rsidRPr="00497E12">
        <w:t xml:space="preserve"> (from $5,241.90 to $5,276.87).</w:t>
      </w:r>
    </w:p>
    <w:p w:rsidR="00CF63F8" w:rsidRPr="00497E12" w:rsidRDefault="00CF63F8" w:rsidP="00CF63F8">
      <w:pPr>
        <w:pStyle w:val="TableFooter"/>
        <w:ind w:left="709"/>
        <w:rPr>
          <w:szCs w:val="18"/>
        </w:rPr>
      </w:pPr>
      <w:r w:rsidRPr="00497E12">
        <w:rPr>
          <w:szCs w:val="18"/>
        </w:rPr>
        <w:t xml:space="preserve">Note: </w:t>
      </w:r>
      <w:r w:rsidRPr="00497E12">
        <w:t xml:space="preserve">The submission reported the results of its economic evaluation for a cohort of 1,000 patients. </w:t>
      </w:r>
      <w:r w:rsidRPr="00497E12">
        <w:rPr>
          <w:iCs/>
        </w:rPr>
        <w:t>These values were divided by 1,000 (individual patient average values) during the evaluation for clarity.</w:t>
      </w:r>
    </w:p>
    <w:p w:rsidR="00CF63F8" w:rsidRPr="00497E12" w:rsidRDefault="00CF63F8" w:rsidP="00CF63F8"/>
    <w:p w:rsidR="00CF63F8" w:rsidRPr="00497E12" w:rsidRDefault="00CF63F8" w:rsidP="00A45A8D">
      <w:pPr>
        <w:pStyle w:val="ListParagraph"/>
        <w:widowControl/>
        <w:numPr>
          <w:ilvl w:val="1"/>
          <w:numId w:val="24"/>
        </w:numPr>
        <w:ind w:left="851" w:hanging="851"/>
      </w:pPr>
      <w:r w:rsidRPr="00497E12">
        <w:t xml:space="preserve">The submission’s </w:t>
      </w:r>
      <w:r w:rsidR="00882EDD" w:rsidRPr="00497E12">
        <w:t>base case</w:t>
      </w:r>
      <w:r w:rsidRPr="00497E12">
        <w:t xml:space="preserve"> incremental cost-effectiveness ratio (ICER) </w:t>
      </w:r>
      <w:r w:rsidR="00882EDD" w:rsidRPr="00497E12">
        <w:t xml:space="preserve">per quality-adjusted life year (QALY) </w:t>
      </w:r>
      <w:r w:rsidRPr="00497E12">
        <w:t>was considered unreli</w:t>
      </w:r>
      <w:r w:rsidR="00826777" w:rsidRPr="00497E12">
        <w:t>able for the following reasons:</w:t>
      </w:r>
    </w:p>
    <w:p w:rsidR="00F77528" w:rsidRPr="00497E12" w:rsidRDefault="00F77528" w:rsidP="00F77528">
      <w:pPr>
        <w:pStyle w:val="ListParagraph"/>
        <w:widowControl/>
        <w:numPr>
          <w:ilvl w:val="0"/>
          <w:numId w:val="3"/>
        </w:numPr>
      </w:pPr>
      <w:r w:rsidRPr="00497E12">
        <w:rPr>
          <w:szCs w:val="22"/>
        </w:rPr>
        <w:t xml:space="preserve">The extrapolation of OS from relatively immature trial data was likely to have overestimated the incremental benefit in favour of </w:t>
      </w:r>
      <w:proofErr w:type="spellStart"/>
      <w:r w:rsidRPr="00497E12">
        <w:rPr>
          <w:szCs w:val="22"/>
        </w:rPr>
        <w:t>nivolumab</w:t>
      </w:r>
      <w:proofErr w:type="spellEnd"/>
      <w:r w:rsidRPr="00497E12">
        <w:rPr>
          <w:szCs w:val="22"/>
        </w:rPr>
        <w:t>. The ICER was highly sensitive to variations in incremental OS arising from the extrapolation assumptions including the biological plausibility of the extrapolation methods examined and the choice of time horizon.</w:t>
      </w:r>
    </w:p>
    <w:p w:rsidR="00AA7DD6" w:rsidRPr="00497E12" w:rsidRDefault="00CF63F8" w:rsidP="00F77528">
      <w:pPr>
        <w:pStyle w:val="ListParagraph"/>
        <w:widowControl/>
        <w:numPr>
          <w:ilvl w:val="0"/>
          <w:numId w:val="3"/>
        </w:numPr>
      </w:pPr>
      <w:r w:rsidRPr="00497E12">
        <w:rPr>
          <w:szCs w:val="22"/>
        </w:rPr>
        <w:t xml:space="preserve">The submission’s economic model was an incomplete cost-effectiveness analysis as it did not endeavour to incorporate the full cost of </w:t>
      </w:r>
      <w:proofErr w:type="spellStart"/>
      <w:r w:rsidRPr="00497E12">
        <w:rPr>
          <w:szCs w:val="22"/>
        </w:rPr>
        <w:t>nivolumab</w:t>
      </w:r>
      <w:proofErr w:type="spellEnd"/>
      <w:r w:rsidRPr="00497E12">
        <w:rPr>
          <w:szCs w:val="22"/>
        </w:rPr>
        <w:t xml:space="preserve"> therapy. </w:t>
      </w:r>
      <w:r w:rsidR="00B1638D" w:rsidRPr="00497E12">
        <w:rPr>
          <w:szCs w:val="22"/>
        </w:rPr>
        <w:t>T</w:t>
      </w:r>
      <w:r w:rsidR="00D10CE3" w:rsidRPr="00497E12">
        <w:rPr>
          <w:szCs w:val="22"/>
        </w:rPr>
        <w:t xml:space="preserve">he submission </w:t>
      </w:r>
      <w:r w:rsidR="00182E76" w:rsidRPr="00497E12">
        <w:t xml:space="preserve">used the cost of </w:t>
      </w:r>
      <w:proofErr w:type="spellStart"/>
      <w:r w:rsidR="00182E76" w:rsidRPr="00497E12">
        <w:t>nivolumab</w:t>
      </w:r>
      <w:proofErr w:type="spellEnd"/>
      <w:r w:rsidR="00182E76" w:rsidRPr="00497E12">
        <w:t xml:space="preserve"> over 19.2 infusions (dosed every 2 weeks) to represent the total cost of patient treatme</w:t>
      </w:r>
      <w:r w:rsidR="0007793E" w:rsidRPr="00497E12">
        <w:t xml:space="preserve">nt with </w:t>
      </w:r>
      <w:proofErr w:type="spellStart"/>
      <w:r w:rsidR="0007793E" w:rsidRPr="00497E12">
        <w:t>nivolumab</w:t>
      </w:r>
      <w:proofErr w:type="spellEnd"/>
      <w:r w:rsidR="0007793E" w:rsidRPr="00497E12">
        <w:t xml:space="preserve"> over the 10-</w:t>
      </w:r>
      <w:r w:rsidR="00182E76" w:rsidRPr="00497E12">
        <w:t xml:space="preserve">year time horizon. </w:t>
      </w:r>
      <w:r w:rsidR="001039A8" w:rsidRPr="00497E12">
        <w:t>The submission stated this was done as the duration of therapy is uncertain and the intention is to negotiate with the Government to manage the risk</w:t>
      </w:r>
      <w:r w:rsidR="00135790" w:rsidRPr="00497E12">
        <w:t xml:space="preserve"> to cost-eff</w:t>
      </w:r>
      <w:r w:rsidR="002C7FEC" w:rsidRPr="00497E12">
        <w:t>e</w:t>
      </w:r>
      <w:r w:rsidR="00135790" w:rsidRPr="00497E12">
        <w:t>ctiven</w:t>
      </w:r>
      <w:r w:rsidR="002C7FEC" w:rsidRPr="00497E12">
        <w:t>e</w:t>
      </w:r>
      <w:r w:rsidR="00135790" w:rsidRPr="00497E12">
        <w:t>ss (and overall cost to the PBS/RPBS)</w:t>
      </w:r>
      <w:r w:rsidR="001039A8" w:rsidRPr="00497E12">
        <w:t xml:space="preserve">. This justification </w:t>
      </w:r>
      <w:r w:rsidR="0055646E" w:rsidRPr="00497E12">
        <w:t>wa</w:t>
      </w:r>
      <w:r w:rsidR="001039A8" w:rsidRPr="00497E12">
        <w:t xml:space="preserve">s not reasonable. Any negotiations with the Government about the financial risk would only concern the distribution of costs between Government and the sponsor. </w:t>
      </w:r>
      <w:r w:rsidR="00B75C8E" w:rsidRPr="00497E12">
        <w:t xml:space="preserve">The ESC noted that the model results were highly sensitive to how </w:t>
      </w:r>
      <w:r w:rsidR="0064676B" w:rsidRPr="00497E12">
        <w:t xml:space="preserve">the </w:t>
      </w:r>
      <w:r w:rsidR="00B75C8E" w:rsidRPr="00497E12">
        <w:t>duration of therapy was included</w:t>
      </w:r>
      <w:r w:rsidR="007D1DE5" w:rsidRPr="00497E12">
        <w:t xml:space="preserve"> (see Table </w:t>
      </w:r>
      <w:r w:rsidR="00826777" w:rsidRPr="00497E12">
        <w:t>9</w:t>
      </w:r>
      <w:r w:rsidR="007D1DE5" w:rsidRPr="00497E12">
        <w:t>)</w:t>
      </w:r>
      <w:r w:rsidR="00B75C8E" w:rsidRPr="00497E12">
        <w:t xml:space="preserve">. </w:t>
      </w:r>
      <w:r w:rsidR="00AA7DD6" w:rsidRPr="00497E12">
        <w:t xml:space="preserve">The ESC advised that early termination of the trial was also likely to have underestimated the duration of therapy. Patients in both treatment arms (16.3% for </w:t>
      </w:r>
      <w:proofErr w:type="spellStart"/>
      <w:r w:rsidR="00AA7DD6" w:rsidRPr="00497E12">
        <w:t>nivolumab</w:t>
      </w:r>
      <w:proofErr w:type="spellEnd"/>
      <w:r w:rsidR="00AA7DD6" w:rsidRPr="00497E12">
        <w:t xml:space="preserve">; 6.8% for </w:t>
      </w:r>
      <w:proofErr w:type="spellStart"/>
      <w:r w:rsidR="00AA7DD6" w:rsidRPr="00497E12">
        <w:t>everolimus</w:t>
      </w:r>
      <w:proofErr w:type="spellEnd"/>
      <w:r w:rsidR="00AA7DD6" w:rsidRPr="00497E12">
        <w:t>) were continuing therapy at time of trial termination. The ESC noted that this pose</w:t>
      </w:r>
      <w:r w:rsidR="00831D6D" w:rsidRPr="00497E12">
        <w:t>d</w:t>
      </w:r>
      <w:r w:rsidR="00AA7DD6" w:rsidRPr="00497E12">
        <w:t xml:space="preserve"> a financial risk known to the sponsor.</w:t>
      </w:r>
    </w:p>
    <w:p w:rsidR="00AA7DD6" w:rsidRPr="00497E12" w:rsidRDefault="00AA7DD6" w:rsidP="00AA7DD6">
      <w:pPr>
        <w:pStyle w:val="ListParagraph"/>
        <w:widowControl/>
        <w:numPr>
          <w:ilvl w:val="0"/>
          <w:numId w:val="3"/>
        </w:numPr>
      </w:pPr>
      <w:r w:rsidRPr="00497E12">
        <w:rPr>
          <w:szCs w:val="22"/>
        </w:rPr>
        <w:t>The ESC advised that c</w:t>
      </w:r>
      <w:r w:rsidRPr="00497E12">
        <w:t xml:space="preserve">ircumstances of use for </w:t>
      </w:r>
      <w:proofErr w:type="spellStart"/>
      <w:r w:rsidRPr="00497E12">
        <w:t>everolimus</w:t>
      </w:r>
      <w:proofErr w:type="spellEnd"/>
      <w:r w:rsidRPr="00497E12">
        <w:t xml:space="preserve"> in the trial differed from the PBS setting. </w:t>
      </w:r>
      <w:proofErr w:type="spellStart"/>
      <w:r w:rsidRPr="00497E12">
        <w:t>Everolimus</w:t>
      </w:r>
      <w:proofErr w:type="spellEnd"/>
      <w:r w:rsidRPr="00497E12">
        <w:t xml:space="preserve"> therapy was allowed to continue beyond progression in the trial, whereas its PBS restriction would require patients to discontinue </w:t>
      </w:r>
      <w:proofErr w:type="spellStart"/>
      <w:r w:rsidRPr="00497E12">
        <w:t>everolimus</w:t>
      </w:r>
      <w:proofErr w:type="spellEnd"/>
      <w:r w:rsidRPr="00497E12">
        <w:t xml:space="preserve"> therapy upon progression. The ESC was aware that, despite the PBS listing for continuing treatment of </w:t>
      </w:r>
      <w:proofErr w:type="spellStart"/>
      <w:r w:rsidRPr="00497E12">
        <w:t>everolimus</w:t>
      </w:r>
      <w:proofErr w:type="spellEnd"/>
      <w:r w:rsidRPr="00497E12">
        <w:t xml:space="preserve"> stating “must have stable or responding disease according to the RECIST criteria”, there is no mandate to perform scans (necessary for assessment of response by RECIST) and judgment of progressive disease is a clinical decision based on symptomatic disease in practice. Hence, the submitted trial may reflect current clinical practice if not the PBS restriction.</w:t>
      </w:r>
    </w:p>
    <w:p w:rsidR="00CF63F8" w:rsidRPr="00497E12" w:rsidRDefault="00B75C8E" w:rsidP="00AA7DD6">
      <w:pPr>
        <w:pStyle w:val="ListParagraph"/>
        <w:widowControl/>
        <w:numPr>
          <w:ilvl w:val="0"/>
          <w:numId w:val="3"/>
        </w:numPr>
      </w:pPr>
      <w:r w:rsidRPr="00497E12">
        <w:t xml:space="preserve">Given that both </w:t>
      </w:r>
      <w:proofErr w:type="spellStart"/>
      <w:r w:rsidRPr="00497E12">
        <w:t>nivolumab</w:t>
      </w:r>
      <w:proofErr w:type="spellEnd"/>
      <w:r w:rsidRPr="00497E12">
        <w:t xml:space="preserve"> and </w:t>
      </w:r>
      <w:proofErr w:type="spellStart"/>
      <w:r w:rsidRPr="00497E12">
        <w:t>everolimus</w:t>
      </w:r>
      <w:proofErr w:type="spellEnd"/>
      <w:r w:rsidRPr="00497E12">
        <w:t xml:space="preserve"> are ongoing therapy, allocating treatment on a </w:t>
      </w:r>
      <w:r w:rsidR="00E14A1D" w:rsidRPr="00497E12">
        <w:t>per-cycle basis to both groups w</w:t>
      </w:r>
      <w:r w:rsidR="0064676B" w:rsidRPr="00497E12">
        <w:t>ould be more</w:t>
      </w:r>
      <w:r w:rsidRPr="00497E12">
        <w:t xml:space="preserve"> appropriate. </w:t>
      </w:r>
      <w:r w:rsidR="007D1DE5" w:rsidRPr="00497E12">
        <w:t>In the PSCR, t</w:t>
      </w:r>
      <w:r w:rsidRPr="00497E12">
        <w:t>his resulted in an ICER</w:t>
      </w:r>
      <w:r w:rsidR="00882EDD" w:rsidRPr="00497E12">
        <w:t>/QALY</w:t>
      </w:r>
      <w:r w:rsidRPr="00497E12">
        <w:t xml:space="preserve"> of $</w:t>
      </w:r>
      <w:r w:rsidR="009F1A88">
        <w:t>75,000 - $105,000</w:t>
      </w:r>
      <w:r w:rsidR="002267C8" w:rsidRPr="00497E12">
        <w:t xml:space="preserve"> (with treatment costs for both </w:t>
      </w:r>
      <w:proofErr w:type="spellStart"/>
      <w:r w:rsidR="002267C8" w:rsidRPr="00497E12">
        <w:t>nivolumab</w:t>
      </w:r>
      <w:proofErr w:type="spellEnd"/>
      <w:r w:rsidR="002267C8" w:rsidRPr="00497E12">
        <w:t xml:space="preserve"> and </w:t>
      </w:r>
      <w:proofErr w:type="spellStart"/>
      <w:r w:rsidR="002267C8" w:rsidRPr="00497E12">
        <w:t>everolimus</w:t>
      </w:r>
      <w:proofErr w:type="spellEnd"/>
      <w:r w:rsidR="002267C8" w:rsidRPr="00497E12">
        <w:t xml:space="preserve"> applied over the model’s 10-year time horizon instead of the ‘front-loading’ approach used in the submission’s base case where drug costs were applied in the first cycle of the model based on a </w:t>
      </w:r>
      <w:r w:rsidR="002267C8" w:rsidRPr="00497E12">
        <w:lastRenderedPageBreak/>
        <w:t xml:space="preserve">treatment duration of 19.2 infusions for </w:t>
      </w:r>
      <w:proofErr w:type="spellStart"/>
      <w:r w:rsidR="002267C8" w:rsidRPr="00497E12">
        <w:t>nivolumab</w:t>
      </w:r>
      <w:proofErr w:type="spellEnd"/>
      <w:r w:rsidR="002267C8" w:rsidRPr="00497E12">
        <w:t xml:space="preserve"> and </w:t>
      </w:r>
      <w:r w:rsidR="00B32DC8">
        <w:rPr>
          <w:noProof/>
          <w:color w:val="000000"/>
          <w:highlight w:val="black"/>
        </w:rPr>
        <w:t>''''''''''''</w:t>
      </w:r>
      <w:r w:rsidR="002267C8" w:rsidRPr="00497E12">
        <w:t xml:space="preserve"> month</w:t>
      </w:r>
      <w:r w:rsidR="00882EDD" w:rsidRPr="00497E12">
        <w:t xml:space="preserve">s of therapy with </w:t>
      </w:r>
      <w:proofErr w:type="spellStart"/>
      <w:r w:rsidR="00882EDD" w:rsidRPr="00497E12">
        <w:t>everolimus</w:t>
      </w:r>
      <w:proofErr w:type="spellEnd"/>
      <w:r w:rsidR="00882EDD" w:rsidRPr="00497E12">
        <w:t xml:space="preserve">). </w:t>
      </w:r>
      <w:r w:rsidR="002267C8" w:rsidRPr="00497E12">
        <w:t xml:space="preserve">The commentary had presented a sensitivity analysis extending only </w:t>
      </w:r>
      <w:proofErr w:type="spellStart"/>
      <w:r w:rsidR="002267C8" w:rsidRPr="00497E12">
        <w:t>nivolumab</w:t>
      </w:r>
      <w:proofErr w:type="spellEnd"/>
      <w:r w:rsidR="002267C8" w:rsidRPr="00497E12">
        <w:t xml:space="preserve"> costs throughout the 10-year model duration, but applying the </w:t>
      </w:r>
      <w:proofErr w:type="spellStart"/>
      <w:r w:rsidR="002267C8" w:rsidRPr="00497E12">
        <w:t>everolimus</w:t>
      </w:r>
      <w:proofErr w:type="spellEnd"/>
      <w:r w:rsidR="002267C8" w:rsidRPr="00497E12">
        <w:t xml:space="preserve"> costs in the ‘front-loading’ approach used by the submission, which resulted in an ICER</w:t>
      </w:r>
      <w:r w:rsidR="00882EDD" w:rsidRPr="00497E12">
        <w:t>/QALY</w:t>
      </w:r>
      <w:r w:rsidR="002267C8" w:rsidRPr="00497E12">
        <w:t xml:space="preserve"> of $</w:t>
      </w:r>
      <w:r w:rsidR="009F1A88">
        <w:t>105,000 - $200,000</w:t>
      </w:r>
      <w:r w:rsidR="002267C8" w:rsidRPr="00497E12">
        <w:t xml:space="preserve">. The ESC noted that the ICER based on per-cycle costs with treatment costs for both drugs over 10 years instead of the submission’s ‘front-loading’ approach would be much higher if restricted to a more appropriate 5-year time horizon. The PBAC noted that assuming on-going therapy with both </w:t>
      </w:r>
      <w:proofErr w:type="spellStart"/>
      <w:r w:rsidR="002267C8" w:rsidRPr="00497E12">
        <w:t>nivolumab</w:t>
      </w:r>
      <w:proofErr w:type="spellEnd"/>
      <w:r w:rsidR="002267C8" w:rsidRPr="00497E12">
        <w:t xml:space="preserve"> and </w:t>
      </w:r>
      <w:proofErr w:type="spellStart"/>
      <w:r w:rsidR="002267C8" w:rsidRPr="00497E12">
        <w:t>everolimus</w:t>
      </w:r>
      <w:proofErr w:type="spellEnd"/>
      <w:r w:rsidR="002267C8" w:rsidRPr="00497E12">
        <w:t xml:space="preserve"> resulted in an ICER</w:t>
      </w:r>
      <w:r w:rsidR="00882EDD" w:rsidRPr="00497E12">
        <w:t>/QALY</w:t>
      </w:r>
      <w:r w:rsidR="002267C8" w:rsidRPr="00497E12">
        <w:t xml:space="preserve"> of $</w:t>
      </w:r>
      <w:proofErr w:type="gramStart"/>
      <w:r w:rsidR="009F1A88">
        <w:t>105,000  $</w:t>
      </w:r>
      <w:proofErr w:type="gramEnd"/>
      <w:r w:rsidR="009F1A88">
        <w:t>200,000</w:t>
      </w:r>
      <w:r w:rsidR="002267C8" w:rsidRPr="00497E12">
        <w:t xml:space="preserve"> </w:t>
      </w:r>
      <w:r w:rsidR="00F51D17" w:rsidRPr="00497E12">
        <w:t xml:space="preserve">using a time horizon of 5 years </w:t>
      </w:r>
      <w:r w:rsidR="002267C8" w:rsidRPr="00497E12">
        <w:t>compared to $</w:t>
      </w:r>
      <w:r w:rsidR="009F1A88">
        <w:t>75,000 - $105,000</w:t>
      </w:r>
      <w:r w:rsidR="002267C8" w:rsidRPr="00497E12">
        <w:t xml:space="preserve"> presented in the PSCR</w:t>
      </w:r>
      <w:r w:rsidR="00F51D17" w:rsidRPr="00497E12">
        <w:t xml:space="preserve"> using a time horizon of 10 years</w:t>
      </w:r>
      <w:r w:rsidR="002267C8" w:rsidRPr="00497E12">
        <w:t>.</w:t>
      </w:r>
    </w:p>
    <w:p w:rsidR="00CF63F8" w:rsidRPr="00497E12" w:rsidRDefault="00485AE7" w:rsidP="00400464">
      <w:pPr>
        <w:pStyle w:val="ListParagraph"/>
        <w:widowControl/>
        <w:numPr>
          <w:ilvl w:val="0"/>
          <w:numId w:val="3"/>
        </w:numPr>
      </w:pPr>
      <w:r w:rsidRPr="00497E12">
        <w:t>However</w:t>
      </w:r>
      <w:r w:rsidR="00B0543F" w:rsidRPr="00497E12">
        <w:t>,</w:t>
      </w:r>
      <w:r w:rsidRPr="00497E12">
        <w:t xml:space="preserve"> the ESC noted that </w:t>
      </w:r>
      <w:r w:rsidRPr="00497E12">
        <w:rPr>
          <w:szCs w:val="22"/>
        </w:rPr>
        <w:t>t</w:t>
      </w:r>
      <w:r w:rsidR="00CF63F8" w:rsidRPr="00497E12">
        <w:rPr>
          <w:szCs w:val="22"/>
        </w:rPr>
        <w:t xml:space="preserve">he use of </w:t>
      </w:r>
      <w:proofErr w:type="spellStart"/>
      <w:r w:rsidR="00CF63F8" w:rsidRPr="00497E12">
        <w:rPr>
          <w:szCs w:val="22"/>
        </w:rPr>
        <w:t>everolimus</w:t>
      </w:r>
      <w:proofErr w:type="spellEnd"/>
      <w:r w:rsidR="00CF63F8" w:rsidRPr="00497E12">
        <w:rPr>
          <w:szCs w:val="22"/>
        </w:rPr>
        <w:t xml:space="preserve"> in the trial </w:t>
      </w:r>
      <w:r w:rsidR="00AC4983" w:rsidRPr="00497E12">
        <w:rPr>
          <w:szCs w:val="22"/>
        </w:rPr>
        <w:t xml:space="preserve">and used in the analysis </w:t>
      </w:r>
      <w:r w:rsidR="00CF63F8" w:rsidRPr="00497E12">
        <w:rPr>
          <w:szCs w:val="22"/>
        </w:rPr>
        <w:t xml:space="preserve">differed from the likely Australian clinical setting as the PBS listing for </w:t>
      </w:r>
      <w:proofErr w:type="spellStart"/>
      <w:r w:rsidR="00CF63F8" w:rsidRPr="00497E12">
        <w:rPr>
          <w:szCs w:val="22"/>
        </w:rPr>
        <w:t>everolimus</w:t>
      </w:r>
      <w:proofErr w:type="spellEnd"/>
      <w:r w:rsidR="00CF63F8" w:rsidRPr="00497E12">
        <w:rPr>
          <w:szCs w:val="22"/>
        </w:rPr>
        <w:t xml:space="preserve"> would require therapy to be discontinued upon progression. </w:t>
      </w:r>
      <w:r w:rsidR="00AC4983" w:rsidRPr="00497E12">
        <w:rPr>
          <w:szCs w:val="22"/>
        </w:rPr>
        <w:t>The ESC disagreed with the sponsor</w:t>
      </w:r>
      <w:r w:rsidR="00535593" w:rsidRPr="00497E12">
        <w:rPr>
          <w:szCs w:val="22"/>
        </w:rPr>
        <w:t>’</w:t>
      </w:r>
      <w:r w:rsidR="00AC4983" w:rsidRPr="00497E12">
        <w:rPr>
          <w:szCs w:val="22"/>
        </w:rPr>
        <w:t xml:space="preserve">s claim in the </w:t>
      </w:r>
      <w:proofErr w:type="gramStart"/>
      <w:r w:rsidR="00AC4983" w:rsidRPr="00497E12">
        <w:rPr>
          <w:szCs w:val="22"/>
        </w:rPr>
        <w:t>PSCR</w:t>
      </w:r>
      <w:r w:rsidR="001D3D4D" w:rsidRPr="00497E12">
        <w:rPr>
          <w:szCs w:val="22"/>
        </w:rPr>
        <w:t xml:space="preserve"> </w:t>
      </w:r>
      <w:r w:rsidR="00AC4983" w:rsidRPr="00497E12">
        <w:rPr>
          <w:szCs w:val="22"/>
        </w:rPr>
        <w:t xml:space="preserve"> that</w:t>
      </w:r>
      <w:proofErr w:type="gramEnd"/>
      <w:r w:rsidR="00AC4983" w:rsidRPr="00497E12">
        <w:rPr>
          <w:szCs w:val="22"/>
        </w:rPr>
        <w:t xml:space="preserve"> current clinical practice is consistent with treatment beyond progression. </w:t>
      </w:r>
      <w:r w:rsidR="00535593" w:rsidRPr="00497E12">
        <w:rPr>
          <w:szCs w:val="22"/>
        </w:rPr>
        <w:t>The ESC advised</w:t>
      </w:r>
      <w:r w:rsidR="00AC4983" w:rsidRPr="00497E12">
        <w:rPr>
          <w:szCs w:val="22"/>
        </w:rPr>
        <w:t xml:space="preserve"> that modelling of treatment duration (on a per-cycle basis) would be best applied to both treatment arms</w:t>
      </w:r>
      <w:r w:rsidR="00A75D61" w:rsidRPr="00497E12">
        <w:rPr>
          <w:szCs w:val="22"/>
        </w:rPr>
        <w:t xml:space="preserve">, and that the model should </w:t>
      </w:r>
      <w:r w:rsidR="00DC07AA" w:rsidRPr="00497E12">
        <w:rPr>
          <w:szCs w:val="22"/>
        </w:rPr>
        <w:t xml:space="preserve">be based on </w:t>
      </w:r>
      <w:r w:rsidR="00A75D61" w:rsidRPr="00497E12">
        <w:rPr>
          <w:szCs w:val="22"/>
        </w:rPr>
        <w:t xml:space="preserve">similar assumptions across the two arms in terms of duration of </w:t>
      </w:r>
      <w:proofErr w:type="spellStart"/>
      <w:r w:rsidR="00A75D61" w:rsidRPr="00497E12">
        <w:rPr>
          <w:szCs w:val="22"/>
        </w:rPr>
        <w:t>nivolumab</w:t>
      </w:r>
      <w:proofErr w:type="spellEnd"/>
      <w:r w:rsidR="00A75D61" w:rsidRPr="00497E12">
        <w:rPr>
          <w:szCs w:val="22"/>
        </w:rPr>
        <w:t xml:space="preserve"> and </w:t>
      </w:r>
      <w:proofErr w:type="spellStart"/>
      <w:r w:rsidR="00A75D61" w:rsidRPr="00497E12">
        <w:rPr>
          <w:szCs w:val="22"/>
        </w:rPr>
        <w:t>everolimus</w:t>
      </w:r>
      <w:proofErr w:type="spellEnd"/>
      <w:r w:rsidR="00A75D61" w:rsidRPr="00497E12">
        <w:rPr>
          <w:szCs w:val="22"/>
        </w:rPr>
        <w:t xml:space="preserve"> therapy after progression </w:t>
      </w:r>
      <w:r w:rsidR="00DC07AA" w:rsidRPr="00497E12">
        <w:rPr>
          <w:szCs w:val="22"/>
        </w:rPr>
        <w:t xml:space="preserve">reflecting their PBS restrictions </w:t>
      </w:r>
      <w:r w:rsidR="00A75D61" w:rsidRPr="00497E12">
        <w:rPr>
          <w:szCs w:val="22"/>
        </w:rPr>
        <w:t xml:space="preserve">unless </w:t>
      </w:r>
      <w:r w:rsidR="00DA609A" w:rsidRPr="00497E12">
        <w:rPr>
          <w:szCs w:val="22"/>
        </w:rPr>
        <w:t>there is good evidence to justify prescribers using these medicines differently in Australian practice</w:t>
      </w:r>
      <w:r w:rsidR="00AC4983" w:rsidRPr="00497E12">
        <w:rPr>
          <w:szCs w:val="22"/>
        </w:rPr>
        <w:t>.</w:t>
      </w:r>
    </w:p>
    <w:p w:rsidR="00AC4983" w:rsidRPr="00497E12" w:rsidRDefault="00AC4983" w:rsidP="00144BCC">
      <w:pPr>
        <w:pStyle w:val="ListParagraph"/>
        <w:widowControl/>
        <w:numPr>
          <w:ilvl w:val="0"/>
          <w:numId w:val="3"/>
        </w:numPr>
      </w:pPr>
      <w:r w:rsidRPr="00497E12">
        <w:t xml:space="preserve">The ESC agreed with the </w:t>
      </w:r>
      <w:proofErr w:type="gramStart"/>
      <w:r w:rsidRPr="00497E12">
        <w:t xml:space="preserve">PSCR </w:t>
      </w:r>
      <w:r w:rsidR="001D3D4D" w:rsidRPr="00497E12">
        <w:t xml:space="preserve"> </w:t>
      </w:r>
      <w:r w:rsidRPr="00497E12">
        <w:t>that</w:t>
      </w:r>
      <w:proofErr w:type="gramEnd"/>
      <w:r w:rsidRPr="00497E12">
        <w:t xml:space="preserve"> it would be standard for economic models to contain the same health states in both treatment groups. Incorporating treatment cessation at RECIST</w:t>
      </w:r>
      <w:r w:rsidR="00535593" w:rsidRPr="00497E12">
        <w:t>-</w:t>
      </w:r>
      <w:r w:rsidRPr="00497E12">
        <w:t xml:space="preserve">defined progression might be accomplished either through the use of a tunnel state or fourth health state in the model. </w:t>
      </w:r>
      <w:r w:rsidR="00535593" w:rsidRPr="00497E12">
        <w:t>The ESC</w:t>
      </w:r>
      <w:r w:rsidRPr="00497E12">
        <w:t xml:space="preserve"> observed that such a structure could have been informed by the data from the </w:t>
      </w:r>
      <w:r w:rsidR="00535593" w:rsidRPr="00497E12">
        <w:t>trial</w:t>
      </w:r>
      <w:r w:rsidRPr="00497E12">
        <w:t xml:space="preserve"> for which patients’ RECIST progression status or </w:t>
      </w:r>
      <w:r w:rsidR="00CB7AEE" w:rsidRPr="00497E12">
        <w:t>“</w:t>
      </w:r>
      <w:r w:rsidRPr="00497E12">
        <w:t>clinical PFS</w:t>
      </w:r>
      <w:r w:rsidR="00CB7AEE" w:rsidRPr="00497E12">
        <w:t>”</w:t>
      </w:r>
      <w:r w:rsidRPr="00497E12">
        <w:t xml:space="preserve"> status were known</w:t>
      </w:r>
      <w:r w:rsidR="00535593" w:rsidRPr="00497E12">
        <w:t>,</w:t>
      </w:r>
      <w:r w:rsidRPr="00497E12">
        <w:t xml:space="preserve"> e.g. for </w:t>
      </w:r>
      <w:proofErr w:type="spellStart"/>
      <w:r w:rsidRPr="00497E12">
        <w:t>nivolumab</w:t>
      </w:r>
      <w:proofErr w:type="spellEnd"/>
      <w:r w:rsidRPr="00497E12">
        <w:t xml:space="preserve"> there were 311 patients with a RECIST</w:t>
      </w:r>
      <w:r w:rsidR="00535593" w:rsidRPr="00497E12">
        <w:t>-</w:t>
      </w:r>
      <w:r w:rsidRPr="00497E12">
        <w:t>defined progression event (excluding death), of whom 179 continued treatment beyond progression.</w:t>
      </w:r>
      <w:r w:rsidR="00144BCC" w:rsidRPr="00497E12">
        <w:t xml:space="preserve"> However, the ESC also advised that basing the economic model on the health state “</w:t>
      </w:r>
      <w:r w:rsidR="00AC6F93" w:rsidRPr="00497E12">
        <w:t>c</w:t>
      </w:r>
      <w:r w:rsidR="00144BCC" w:rsidRPr="00497E12">
        <w:t>linical PFS” and assuming that treatment continues in this health state beyond RECIST-defined progression introduces uncertainty because the prognostic value of this health state is unknown.</w:t>
      </w:r>
    </w:p>
    <w:p w:rsidR="00CF63F8" w:rsidRPr="00497E12" w:rsidRDefault="00CF63F8" w:rsidP="00400464">
      <w:pPr>
        <w:pStyle w:val="ListParagraph"/>
        <w:widowControl/>
        <w:numPr>
          <w:ilvl w:val="0"/>
          <w:numId w:val="3"/>
        </w:numPr>
      </w:pPr>
      <w:r w:rsidRPr="00497E12">
        <w:rPr>
          <w:szCs w:val="22"/>
        </w:rPr>
        <w:t xml:space="preserve">The </w:t>
      </w:r>
      <w:r w:rsidR="00F77528" w:rsidRPr="00497E12">
        <w:rPr>
          <w:szCs w:val="22"/>
        </w:rPr>
        <w:t>Commentary-</w:t>
      </w:r>
      <w:r w:rsidR="00333690" w:rsidRPr="00497E12">
        <w:rPr>
          <w:szCs w:val="22"/>
        </w:rPr>
        <w:t xml:space="preserve">updated </w:t>
      </w:r>
      <w:r w:rsidRPr="00497E12">
        <w:rPr>
          <w:szCs w:val="22"/>
        </w:rPr>
        <w:t>base case ICER</w:t>
      </w:r>
      <w:r w:rsidR="00882EDD" w:rsidRPr="00497E12">
        <w:rPr>
          <w:szCs w:val="22"/>
        </w:rPr>
        <w:t>/QALY</w:t>
      </w:r>
      <w:r w:rsidR="00F51D17" w:rsidRPr="00497E12">
        <w:rPr>
          <w:szCs w:val="22"/>
        </w:rPr>
        <w:t xml:space="preserve"> ($</w:t>
      </w:r>
      <w:r w:rsidR="00986CB3">
        <w:rPr>
          <w:szCs w:val="22"/>
        </w:rPr>
        <w:t>45,000 - $75,000</w:t>
      </w:r>
      <w:r w:rsidR="00F51D17" w:rsidRPr="00497E12">
        <w:rPr>
          <w:szCs w:val="22"/>
        </w:rPr>
        <w:t>)</w:t>
      </w:r>
      <w:r w:rsidRPr="00497E12">
        <w:rPr>
          <w:szCs w:val="22"/>
        </w:rPr>
        <w:t xml:space="preserve"> was sensitive to incremental OS (98.52% CI; varying </w:t>
      </w:r>
      <w:r w:rsidR="00F51D17" w:rsidRPr="00497E12">
        <w:rPr>
          <w:szCs w:val="22"/>
        </w:rPr>
        <w:t xml:space="preserve">the </w:t>
      </w:r>
      <w:r w:rsidRPr="00497E12">
        <w:rPr>
          <w:szCs w:val="22"/>
        </w:rPr>
        <w:t>ICER</w:t>
      </w:r>
      <w:r w:rsidR="00F51D17" w:rsidRPr="00497E12">
        <w:rPr>
          <w:szCs w:val="22"/>
        </w:rPr>
        <w:t>/QALY</w:t>
      </w:r>
      <w:r w:rsidRPr="00497E12">
        <w:rPr>
          <w:szCs w:val="22"/>
        </w:rPr>
        <w:t xml:space="preserve"> from $</w:t>
      </w:r>
      <w:r w:rsidR="00986CB3">
        <w:rPr>
          <w:szCs w:val="22"/>
        </w:rPr>
        <w:t>45,000 - $75,000</w:t>
      </w:r>
      <w:r w:rsidRPr="00497E12">
        <w:rPr>
          <w:szCs w:val="22"/>
        </w:rPr>
        <w:t xml:space="preserve"> to $</w:t>
      </w:r>
      <w:r w:rsidR="00986CB3">
        <w:rPr>
          <w:szCs w:val="22"/>
        </w:rPr>
        <w:t>105,000 - $200,000</w:t>
      </w:r>
      <w:r w:rsidRPr="00497E12">
        <w:rPr>
          <w:szCs w:val="22"/>
        </w:rPr>
        <w:t xml:space="preserve">), duration of therapy with </w:t>
      </w:r>
      <w:proofErr w:type="spellStart"/>
      <w:r w:rsidRPr="00497E12">
        <w:rPr>
          <w:szCs w:val="22"/>
        </w:rPr>
        <w:t>nivolumab</w:t>
      </w:r>
      <w:proofErr w:type="spellEnd"/>
      <w:r w:rsidRPr="00497E12">
        <w:rPr>
          <w:szCs w:val="22"/>
        </w:rPr>
        <w:t xml:space="preserve"> (20% increase; $</w:t>
      </w:r>
      <w:r w:rsidR="00986CB3">
        <w:rPr>
          <w:szCs w:val="22"/>
        </w:rPr>
        <w:t>75,000 - $105,000</w:t>
      </w:r>
      <w:r w:rsidRPr="00497E12">
        <w:rPr>
          <w:szCs w:val="22"/>
        </w:rPr>
        <w:t>), time horizon (truncating at year five; $</w:t>
      </w:r>
      <w:r w:rsidR="00986CB3">
        <w:rPr>
          <w:szCs w:val="22"/>
        </w:rPr>
        <w:t>75,000 - $105,000</w:t>
      </w:r>
      <w:r w:rsidRPr="00497E12">
        <w:rPr>
          <w:szCs w:val="22"/>
        </w:rPr>
        <w:t>) and patient weight (82.4</w:t>
      </w:r>
      <w:r w:rsidR="00882EDD" w:rsidRPr="00497E12">
        <w:rPr>
          <w:szCs w:val="22"/>
        </w:rPr>
        <w:t> </w:t>
      </w:r>
      <w:r w:rsidRPr="00497E12">
        <w:rPr>
          <w:szCs w:val="22"/>
        </w:rPr>
        <w:t>kg derived from the trial CA209-025; $</w:t>
      </w:r>
      <w:r w:rsidR="00986CB3">
        <w:rPr>
          <w:szCs w:val="22"/>
        </w:rPr>
        <w:t>75,000 - $105,000</w:t>
      </w:r>
      <w:r w:rsidRPr="00497E12">
        <w:rPr>
          <w:szCs w:val="22"/>
        </w:rPr>
        <w:t>).</w:t>
      </w:r>
    </w:p>
    <w:p w:rsidR="00B92AF6" w:rsidRPr="00497E12" w:rsidRDefault="00B92AF6" w:rsidP="00400464">
      <w:pPr>
        <w:pStyle w:val="ListParagraph"/>
        <w:widowControl/>
        <w:numPr>
          <w:ilvl w:val="0"/>
          <w:numId w:val="3"/>
        </w:numPr>
        <w:rPr>
          <w:szCs w:val="22"/>
        </w:rPr>
      </w:pPr>
      <w:r w:rsidRPr="00497E12">
        <w:rPr>
          <w:szCs w:val="22"/>
        </w:rPr>
        <w:t xml:space="preserve">The ESC noted that the submission excluded radiotherapy from the cost of subsequent treatment, yet nearly a third of patients in each group received such care. This should have been addressed given the potential impact on cost-effectiveness, and to be consistent with the inclusion of patients who received immunotherapy in the estimates of subsequent therapy, even though the use of such therapies did not differ between groups. The submission also excluded the cost of </w:t>
      </w:r>
      <w:proofErr w:type="spellStart"/>
      <w:r w:rsidRPr="00497E12">
        <w:rPr>
          <w:szCs w:val="22"/>
        </w:rPr>
        <w:t>pazopanib</w:t>
      </w:r>
      <w:proofErr w:type="spellEnd"/>
      <w:r w:rsidRPr="00497E12">
        <w:rPr>
          <w:szCs w:val="22"/>
        </w:rPr>
        <w:t xml:space="preserve"> use as subsequent therapy; alth</w:t>
      </w:r>
      <w:r w:rsidR="00FC7C26" w:rsidRPr="00497E12">
        <w:rPr>
          <w:szCs w:val="22"/>
        </w:rPr>
        <w:t>ough this was used in the trial, the PBAC n</w:t>
      </w:r>
      <w:r w:rsidR="00F51D17" w:rsidRPr="00497E12">
        <w:rPr>
          <w:szCs w:val="22"/>
        </w:rPr>
        <w:t xml:space="preserve">oted that </w:t>
      </w:r>
      <w:proofErr w:type="spellStart"/>
      <w:r w:rsidR="00F51D17" w:rsidRPr="00497E12">
        <w:rPr>
          <w:szCs w:val="22"/>
        </w:rPr>
        <w:t>pazopanib</w:t>
      </w:r>
      <w:proofErr w:type="spellEnd"/>
      <w:r w:rsidR="00F51D17" w:rsidRPr="00497E12">
        <w:rPr>
          <w:szCs w:val="22"/>
        </w:rPr>
        <w:t xml:space="preserve"> is only PBS-</w:t>
      </w:r>
      <w:r w:rsidR="00FC7C26" w:rsidRPr="00497E12">
        <w:rPr>
          <w:szCs w:val="22"/>
        </w:rPr>
        <w:t>listed for first-line treatment in this indication</w:t>
      </w:r>
      <w:r w:rsidR="00F77528" w:rsidRPr="00497E12">
        <w:rPr>
          <w:szCs w:val="22"/>
        </w:rPr>
        <w:t>, and</w:t>
      </w:r>
      <w:r w:rsidR="00FC7C26" w:rsidRPr="00497E12">
        <w:rPr>
          <w:szCs w:val="22"/>
        </w:rPr>
        <w:t xml:space="preserve"> so </w:t>
      </w:r>
      <w:r w:rsidR="00F51D17" w:rsidRPr="00497E12">
        <w:rPr>
          <w:szCs w:val="22"/>
        </w:rPr>
        <w:t xml:space="preserve">considered that </w:t>
      </w:r>
      <w:r w:rsidR="00EB34DE" w:rsidRPr="00497E12">
        <w:rPr>
          <w:szCs w:val="22"/>
        </w:rPr>
        <w:t>its</w:t>
      </w:r>
      <w:r w:rsidR="00FC7C26" w:rsidRPr="00497E12">
        <w:rPr>
          <w:szCs w:val="22"/>
        </w:rPr>
        <w:t xml:space="preserve"> exclusion was acceptable.</w:t>
      </w:r>
    </w:p>
    <w:p w:rsidR="00B92AF6" w:rsidRPr="00497E12" w:rsidRDefault="00B92AF6" w:rsidP="00400464">
      <w:pPr>
        <w:pStyle w:val="ListParagraph"/>
        <w:widowControl/>
        <w:numPr>
          <w:ilvl w:val="0"/>
          <w:numId w:val="3"/>
        </w:numPr>
      </w:pPr>
      <w:r w:rsidRPr="00497E12">
        <w:lastRenderedPageBreak/>
        <w:t xml:space="preserve">The ESC </w:t>
      </w:r>
      <w:r w:rsidR="00E14A1D" w:rsidRPr="00497E12">
        <w:t xml:space="preserve">also </w:t>
      </w:r>
      <w:r w:rsidRPr="00497E12">
        <w:t xml:space="preserve">noted that the population included in the trial, and in the proposed PBS population of advanced or metastatic RCC (Stage III or Stage IV RCC), includes patients for whom the efficacy and cost-effectiveness of </w:t>
      </w:r>
      <w:proofErr w:type="spellStart"/>
      <w:r w:rsidRPr="00497E12">
        <w:t>everolimus</w:t>
      </w:r>
      <w:proofErr w:type="spellEnd"/>
      <w:r w:rsidRPr="00497E12">
        <w:t xml:space="preserve"> have not been previously assessed. This further complicate</w:t>
      </w:r>
      <w:r w:rsidR="00827C38" w:rsidRPr="00497E12">
        <w:t>d</w:t>
      </w:r>
      <w:r w:rsidRPr="00497E12">
        <w:t xml:space="preserve"> the consideration of the incremental effectiveness and cost-effectiveness. The </w:t>
      </w:r>
      <w:r w:rsidR="00827C38" w:rsidRPr="00497E12">
        <w:t xml:space="preserve">ESC suggested that any PBS-listing </w:t>
      </w:r>
      <w:r w:rsidRPr="00497E12">
        <w:t xml:space="preserve">of </w:t>
      </w:r>
      <w:proofErr w:type="spellStart"/>
      <w:r w:rsidRPr="00497E12">
        <w:t>nivolumab</w:t>
      </w:r>
      <w:proofErr w:type="spellEnd"/>
      <w:r w:rsidRPr="00497E12">
        <w:t xml:space="preserve"> </w:t>
      </w:r>
      <w:r w:rsidR="00827C38" w:rsidRPr="00497E12">
        <w:t xml:space="preserve">be restricted </w:t>
      </w:r>
      <w:r w:rsidRPr="00497E12">
        <w:t xml:space="preserve">to Stage IV disease, </w:t>
      </w:r>
      <w:r w:rsidR="00DC07AA" w:rsidRPr="00497E12">
        <w:t>consistent</w:t>
      </w:r>
      <w:r w:rsidRPr="00497E12">
        <w:t xml:space="preserve"> with the first</w:t>
      </w:r>
      <w:r w:rsidR="0064676B" w:rsidRPr="00497E12">
        <w:t>-</w:t>
      </w:r>
      <w:r w:rsidRPr="00497E12">
        <w:t xml:space="preserve"> and second</w:t>
      </w:r>
      <w:r w:rsidR="0064676B" w:rsidRPr="00497E12">
        <w:t>-</w:t>
      </w:r>
      <w:r w:rsidRPr="00497E12">
        <w:t xml:space="preserve">line agents currently listed for the treatment of RCC. The sponsor is requested to address </w:t>
      </w:r>
      <w:r w:rsidR="00827C38" w:rsidRPr="00497E12">
        <w:t xml:space="preserve">whether this would </w:t>
      </w:r>
      <w:r w:rsidR="00314BD0" w:rsidRPr="00497E12">
        <w:t xml:space="preserve">also </w:t>
      </w:r>
      <w:r w:rsidR="00827C38" w:rsidRPr="00497E12">
        <w:t xml:space="preserve">likely improve the estimates of incremental </w:t>
      </w:r>
      <w:r w:rsidRPr="00497E12">
        <w:t xml:space="preserve">effectiveness and cost-effectiveness </w:t>
      </w:r>
      <w:r w:rsidR="00827C38" w:rsidRPr="00497E12">
        <w:t xml:space="preserve">of </w:t>
      </w:r>
      <w:proofErr w:type="spellStart"/>
      <w:r w:rsidR="00827C38" w:rsidRPr="00497E12">
        <w:t>nivolumab</w:t>
      </w:r>
      <w:proofErr w:type="spellEnd"/>
      <w:r w:rsidRPr="00497E12">
        <w:t>.</w:t>
      </w:r>
    </w:p>
    <w:p w:rsidR="007D1DE5" w:rsidRPr="00497E12" w:rsidRDefault="007D1DE5" w:rsidP="007D1DE5">
      <w:pPr>
        <w:widowControl/>
      </w:pPr>
    </w:p>
    <w:p w:rsidR="007D1DE5" w:rsidRPr="00497E12" w:rsidRDefault="007D1DE5" w:rsidP="007D1DE5">
      <w:pPr>
        <w:widowControl/>
        <w:ind w:left="709"/>
        <w:rPr>
          <w:rFonts w:ascii="Arial Narrow" w:hAnsi="Arial Narrow"/>
          <w:b/>
          <w:sz w:val="20"/>
          <w:szCs w:val="22"/>
        </w:rPr>
      </w:pPr>
      <w:r w:rsidRPr="00497E12">
        <w:rPr>
          <w:rFonts w:ascii="Arial Narrow" w:hAnsi="Arial Narrow"/>
          <w:b/>
          <w:sz w:val="20"/>
          <w:szCs w:val="22"/>
        </w:rPr>
        <w:t>Table 9: Comparison of model</w:t>
      </w:r>
      <w:r w:rsidR="0037553C" w:rsidRPr="00497E12">
        <w:rPr>
          <w:rFonts w:ascii="Arial Narrow" w:hAnsi="Arial Narrow"/>
          <w:b/>
          <w:sz w:val="20"/>
          <w:szCs w:val="22"/>
        </w:rPr>
        <w:t>led</w:t>
      </w:r>
      <w:r w:rsidRPr="00497E12">
        <w:rPr>
          <w:rFonts w:ascii="Arial Narrow" w:hAnsi="Arial Narrow"/>
          <w:b/>
          <w:sz w:val="20"/>
          <w:szCs w:val="22"/>
        </w:rPr>
        <w:t xml:space="preserve"> </w:t>
      </w:r>
      <w:r w:rsidR="0037553C" w:rsidRPr="00497E12">
        <w:rPr>
          <w:rFonts w:ascii="Arial Narrow" w:hAnsi="Arial Narrow"/>
          <w:b/>
          <w:sz w:val="20"/>
          <w:szCs w:val="22"/>
        </w:rPr>
        <w:t xml:space="preserve">ICER </w:t>
      </w:r>
      <w:r w:rsidRPr="00497E12">
        <w:rPr>
          <w:rFonts w:ascii="Arial Narrow" w:hAnsi="Arial Narrow"/>
          <w:b/>
          <w:sz w:val="20"/>
          <w:szCs w:val="22"/>
        </w:rPr>
        <w:t>results</w:t>
      </w:r>
    </w:p>
    <w:tbl>
      <w:tblPr>
        <w:tblStyle w:val="TableGrid"/>
        <w:tblW w:w="4682" w:type="pct"/>
        <w:tblInd w:w="737" w:type="dxa"/>
        <w:tblCellMar>
          <w:left w:w="28" w:type="dxa"/>
          <w:right w:w="28" w:type="dxa"/>
        </w:tblCellMar>
        <w:tblLook w:val="04A0" w:firstRow="1" w:lastRow="0" w:firstColumn="1" w:lastColumn="0" w:noHBand="0" w:noVBand="1"/>
        <w:tblCaption w:val="Table 9: Comparison of modelled ICER results"/>
      </w:tblPr>
      <w:tblGrid>
        <w:gridCol w:w="1028"/>
        <w:gridCol w:w="1027"/>
        <w:gridCol w:w="1670"/>
        <w:gridCol w:w="1543"/>
        <w:gridCol w:w="1539"/>
        <w:gridCol w:w="1698"/>
      </w:tblGrid>
      <w:tr w:rsidR="0037553C" w:rsidRPr="00497E12" w:rsidTr="00C64257">
        <w:trPr>
          <w:tblHeader/>
        </w:trPr>
        <w:tc>
          <w:tcPr>
            <w:tcW w:w="604" w:type="pct"/>
            <w:vAlign w:val="center"/>
          </w:tcPr>
          <w:p w:rsidR="0037553C" w:rsidRPr="00497E12" w:rsidRDefault="0037553C" w:rsidP="0037553C">
            <w:pPr>
              <w:jc w:val="left"/>
              <w:rPr>
                <w:rFonts w:ascii="Arial Narrow" w:hAnsi="Arial Narrow"/>
                <w:b/>
                <w:sz w:val="20"/>
              </w:rPr>
            </w:pPr>
            <w:r w:rsidRPr="00497E12">
              <w:rPr>
                <w:rFonts w:ascii="Arial Narrow" w:hAnsi="Arial Narrow"/>
                <w:b/>
                <w:sz w:val="20"/>
              </w:rPr>
              <w:t>Source</w:t>
            </w:r>
          </w:p>
        </w:tc>
        <w:tc>
          <w:tcPr>
            <w:tcW w:w="604" w:type="pct"/>
            <w:vAlign w:val="center"/>
          </w:tcPr>
          <w:p w:rsidR="0037553C" w:rsidRPr="00497E12" w:rsidRDefault="0037553C" w:rsidP="0037553C">
            <w:pPr>
              <w:jc w:val="center"/>
              <w:rPr>
                <w:rFonts w:ascii="Arial Narrow" w:hAnsi="Arial Narrow"/>
                <w:b/>
                <w:sz w:val="20"/>
              </w:rPr>
            </w:pPr>
            <w:r w:rsidRPr="00497E12">
              <w:rPr>
                <w:rFonts w:ascii="Arial Narrow" w:hAnsi="Arial Narrow"/>
                <w:b/>
                <w:sz w:val="20"/>
              </w:rPr>
              <w:t>Time horizon</w:t>
            </w:r>
          </w:p>
        </w:tc>
        <w:tc>
          <w:tcPr>
            <w:tcW w:w="982" w:type="pct"/>
            <w:vAlign w:val="center"/>
          </w:tcPr>
          <w:p w:rsidR="0037553C" w:rsidRPr="00497E12" w:rsidRDefault="0037553C" w:rsidP="0037553C">
            <w:pPr>
              <w:jc w:val="center"/>
              <w:rPr>
                <w:rFonts w:ascii="Arial Narrow" w:hAnsi="Arial Narrow"/>
                <w:b/>
                <w:sz w:val="20"/>
              </w:rPr>
            </w:pPr>
            <w:r w:rsidRPr="00497E12">
              <w:rPr>
                <w:rFonts w:ascii="Arial Narrow" w:hAnsi="Arial Narrow"/>
                <w:b/>
                <w:sz w:val="20"/>
              </w:rPr>
              <w:t>Treatment cost calculations</w:t>
            </w:r>
          </w:p>
        </w:tc>
        <w:tc>
          <w:tcPr>
            <w:tcW w:w="907" w:type="pct"/>
            <w:vAlign w:val="center"/>
          </w:tcPr>
          <w:p w:rsidR="0037553C" w:rsidRPr="00497E12" w:rsidRDefault="0037553C" w:rsidP="0037553C">
            <w:pPr>
              <w:jc w:val="center"/>
              <w:rPr>
                <w:rFonts w:ascii="Arial Narrow" w:hAnsi="Arial Narrow"/>
                <w:b/>
                <w:sz w:val="20"/>
              </w:rPr>
            </w:pPr>
            <w:r w:rsidRPr="00497E12">
              <w:rPr>
                <w:rFonts w:ascii="Arial Narrow" w:hAnsi="Arial Narrow"/>
                <w:b/>
                <w:sz w:val="20"/>
              </w:rPr>
              <w:t xml:space="preserve">Ongoing </w:t>
            </w:r>
            <w:proofErr w:type="spellStart"/>
            <w:r w:rsidRPr="00497E12">
              <w:rPr>
                <w:rFonts w:ascii="Arial Narrow" w:hAnsi="Arial Narrow"/>
                <w:b/>
                <w:sz w:val="20"/>
              </w:rPr>
              <w:t>everolimus</w:t>
            </w:r>
            <w:proofErr w:type="spellEnd"/>
          </w:p>
        </w:tc>
        <w:tc>
          <w:tcPr>
            <w:tcW w:w="905" w:type="pct"/>
            <w:vAlign w:val="center"/>
          </w:tcPr>
          <w:p w:rsidR="0037553C" w:rsidRPr="00497E12" w:rsidRDefault="0037553C" w:rsidP="0037553C">
            <w:pPr>
              <w:jc w:val="center"/>
              <w:rPr>
                <w:rFonts w:ascii="Arial Narrow" w:hAnsi="Arial Narrow"/>
                <w:b/>
                <w:sz w:val="20"/>
              </w:rPr>
            </w:pPr>
            <w:r w:rsidRPr="00497E12">
              <w:rPr>
                <w:rFonts w:ascii="Arial Narrow" w:hAnsi="Arial Narrow"/>
                <w:b/>
                <w:sz w:val="20"/>
              </w:rPr>
              <w:t xml:space="preserve">Ongoing </w:t>
            </w:r>
            <w:proofErr w:type="spellStart"/>
            <w:r w:rsidRPr="00497E12">
              <w:rPr>
                <w:rFonts w:ascii="Arial Narrow" w:hAnsi="Arial Narrow"/>
                <w:b/>
                <w:sz w:val="20"/>
              </w:rPr>
              <w:t>nivolumab</w:t>
            </w:r>
            <w:proofErr w:type="spellEnd"/>
          </w:p>
        </w:tc>
        <w:tc>
          <w:tcPr>
            <w:tcW w:w="998" w:type="pct"/>
          </w:tcPr>
          <w:p w:rsidR="0037553C" w:rsidRPr="00497E12" w:rsidRDefault="0037553C" w:rsidP="0037553C">
            <w:pPr>
              <w:jc w:val="center"/>
              <w:rPr>
                <w:rFonts w:ascii="Arial Narrow" w:hAnsi="Arial Narrow"/>
                <w:b/>
                <w:sz w:val="20"/>
              </w:rPr>
            </w:pPr>
            <w:r w:rsidRPr="00497E12">
              <w:rPr>
                <w:rFonts w:ascii="Arial Narrow" w:hAnsi="Arial Narrow"/>
                <w:b/>
                <w:sz w:val="20"/>
              </w:rPr>
              <w:t>ICER/QALY</w:t>
            </w:r>
          </w:p>
        </w:tc>
      </w:tr>
      <w:tr w:rsidR="0037553C" w:rsidRPr="00497E12" w:rsidTr="0037553C">
        <w:tc>
          <w:tcPr>
            <w:tcW w:w="604" w:type="pct"/>
            <w:vAlign w:val="center"/>
          </w:tcPr>
          <w:p w:rsidR="0037553C" w:rsidRPr="00497E12" w:rsidRDefault="0037553C" w:rsidP="0037553C">
            <w:pPr>
              <w:jc w:val="left"/>
              <w:rPr>
                <w:rFonts w:ascii="Arial Narrow" w:hAnsi="Arial Narrow"/>
                <w:sz w:val="20"/>
              </w:rPr>
            </w:pPr>
            <w:r w:rsidRPr="00497E12">
              <w:rPr>
                <w:rFonts w:ascii="Arial Narrow" w:hAnsi="Arial Narrow"/>
                <w:sz w:val="20"/>
              </w:rPr>
              <w:t>Submission</w:t>
            </w:r>
          </w:p>
        </w:tc>
        <w:tc>
          <w:tcPr>
            <w:tcW w:w="604" w:type="pct"/>
            <w:vAlign w:val="center"/>
          </w:tcPr>
          <w:p w:rsidR="0037553C" w:rsidRPr="00497E12" w:rsidRDefault="0037553C" w:rsidP="0037553C">
            <w:pPr>
              <w:jc w:val="center"/>
              <w:rPr>
                <w:rFonts w:ascii="Arial Narrow" w:hAnsi="Arial Narrow"/>
                <w:sz w:val="20"/>
              </w:rPr>
            </w:pPr>
            <w:r w:rsidRPr="00497E12">
              <w:rPr>
                <w:rFonts w:ascii="Arial Narrow" w:hAnsi="Arial Narrow"/>
                <w:sz w:val="20"/>
              </w:rPr>
              <w:t>10 years</w:t>
            </w:r>
          </w:p>
        </w:tc>
        <w:tc>
          <w:tcPr>
            <w:tcW w:w="982" w:type="pct"/>
            <w:vAlign w:val="center"/>
          </w:tcPr>
          <w:p w:rsidR="0037553C" w:rsidRPr="00497E12" w:rsidRDefault="0037553C" w:rsidP="0037553C">
            <w:pPr>
              <w:jc w:val="center"/>
              <w:rPr>
                <w:rFonts w:ascii="Arial Narrow" w:hAnsi="Arial Narrow"/>
                <w:sz w:val="20"/>
              </w:rPr>
            </w:pPr>
            <w:r w:rsidRPr="00497E12">
              <w:rPr>
                <w:rFonts w:ascii="Arial Narrow" w:hAnsi="Arial Narrow"/>
                <w:sz w:val="20"/>
              </w:rPr>
              <w:t>Per course</w:t>
            </w:r>
          </w:p>
        </w:tc>
        <w:tc>
          <w:tcPr>
            <w:tcW w:w="907" w:type="pct"/>
            <w:vAlign w:val="center"/>
          </w:tcPr>
          <w:p w:rsidR="0037553C" w:rsidRPr="00497E12" w:rsidRDefault="00826777" w:rsidP="0037553C">
            <w:pPr>
              <w:jc w:val="center"/>
              <w:rPr>
                <w:rFonts w:ascii="Arial Narrow" w:hAnsi="Arial Narrow"/>
                <w:sz w:val="20"/>
              </w:rPr>
            </w:pPr>
            <w:r w:rsidRPr="00497E12">
              <w:rPr>
                <w:rFonts w:ascii="Arial Narrow" w:hAnsi="Arial Narrow"/>
                <w:sz w:val="20"/>
              </w:rPr>
              <w:t>No</w:t>
            </w:r>
          </w:p>
        </w:tc>
        <w:tc>
          <w:tcPr>
            <w:tcW w:w="905" w:type="pct"/>
            <w:vAlign w:val="center"/>
          </w:tcPr>
          <w:p w:rsidR="0037553C" w:rsidRPr="00497E12" w:rsidRDefault="00826777" w:rsidP="0037553C">
            <w:pPr>
              <w:jc w:val="center"/>
              <w:rPr>
                <w:rFonts w:ascii="Arial Narrow" w:hAnsi="Arial Narrow"/>
                <w:sz w:val="20"/>
              </w:rPr>
            </w:pPr>
            <w:r w:rsidRPr="00497E12">
              <w:rPr>
                <w:rFonts w:ascii="Arial Narrow" w:hAnsi="Arial Narrow"/>
                <w:sz w:val="20"/>
              </w:rPr>
              <w:t>No</w:t>
            </w:r>
          </w:p>
        </w:tc>
        <w:tc>
          <w:tcPr>
            <w:tcW w:w="998" w:type="pct"/>
          </w:tcPr>
          <w:p w:rsidR="0037553C" w:rsidRPr="00497E12" w:rsidRDefault="00826777" w:rsidP="0037553C">
            <w:pPr>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p>
        </w:tc>
      </w:tr>
      <w:tr w:rsidR="00826777" w:rsidRPr="00497E12" w:rsidTr="0037553C">
        <w:tc>
          <w:tcPr>
            <w:tcW w:w="604" w:type="pct"/>
            <w:vAlign w:val="center"/>
          </w:tcPr>
          <w:p w:rsidR="00826777" w:rsidRPr="00497E12" w:rsidRDefault="00826777" w:rsidP="0037553C">
            <w:pPr>
              <w:jc w:val="left"/>
              <w:rPr>
                <w:rFonts w:ascii="Arial Narrow" w:hAnsi="Arial Narrow"/>
                <w:sz w:val="20"/>
              </w:rPr>
            </w:pPr>
            <w:r w:rsidRPr="00497E12">
              <w:rPr>
                <w:rFonts w:ascii="Arial Narrow" w:hAnsi="Arial Narrow"/>
                <w:sz w:val="20"/>
              </w:rPr>
              <w:t>Commentary</w:t>
            </w:r>
          </w:p>
        </w:tc>
        <w:tc>
          <w:tcPr>
            <w:tcW w:w="604"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10 years</w:t>
            </w:r>
          </w:p>
        </w:tc>
        <w:tc>
          <w:tcPr>
            <w:tcW w:w="982"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Per cycle</w:t>
            </w:r>
          </w:p>
        </w:tc>
        <w:tc>
          <w:tcPr>
            <w:tcW w:w="907"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Yes</w:t>
            </w:r>
          </w:p>
        </w:tc>
        <w:tc>
          <w:tcPr>
            <w:tcW w:w="905"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No</w:t>
            </w:r>
          </w:p>
        </w:tc>
        <w:tc>
          <w:tcPr>
            <w:tcW w:w="998" w:type="pct"/>
          </w:tcPr>
          <w:p w:rsidR="00826777" w:rsidRPr="00497E12" w:rsidRDefault="00826777" w:rsidP="0037553C">
            <w:pPr>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p>
        </w:tc>
      </w:tr>
      <w:tr w:rsidR="00826777" w:rsidRPr="00497E12" w:rsidTr="0037553C">
        <w:tc>
          <w:tcPr>
            <w:tcW w:w="604" w:type="pct"/>
            <w:vAlign w:val="center"/>
          </w:tcPr>
          <w:p w:rsidR="00826777" w:rsidRPr="00497E12" w:rsidRDefault="00826777" w:rsidP="0037553C">
            <w:pPr>
              <w:jc w:val="left"/>
              <w:rPr>
                <w:rFonts w:ascii="Arial Narrow" w:hAnsi="Arial Narrow"/>
                <w:sz w:val="20"/>
              </w:rPr>
            </w:pPr>
            <w:r w:rsidRPr="00497E12">
              <w:rPr>
                <w:rFonts w:ascii="Arial Narrow" w:hAnsi="Arial Narrow"/>
                <w:sz w:val="20"/>
              </w:rPr>
              <w:t>PSCR</w:t>
            </w:r>
          </w:p>
        </w:tc>
        <w:tc>
          <w:tcPr>
            <w:tcW w:w="604"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10 years</w:t>
            </w:r>
          </w:p>
        </w:tc>
        <w:tc>
          <w:tcPr>
            <w:tcW w:w="982"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Per cycle</w:t>
            </w:r>
          </w:p>
        </w:tc>
        <w:tc>
          <w:tcPr>
            <w:tcW w:w="907"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Yes</w:t>
            </w:r>
          </w:p>
        </w:tc>
        <w:tc>
          <w:tcPr>
            <w:tcW w:w="905"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Yes</w:t>
            </w:r>
          </w:p>
        </w:tc>
        <w:tc>
          <w:tcPr>
            <w:tcW w:w="998" w:type="pct"/>
          </w:tcPr>
          <w:p w:rsidR="00826777" w:rsidRPr="00497E12" w:rsidRDefault="00826777" w:rsidP="0037553C">
            <w:pPr>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p>
        </w:tc>
      </w:tr>
      <w:tr w:rsidR="00826777" w:rsidRPr="00497E12" w:rsidTr="0037553C">
        <w:tc>
          <w:tcPr>
            <w:tcW w:w="604" w:type="pct"/>
            <w:vAlign w:val="center"/>
          </w:tcPr>
          <w:p w:rsidR="00826777" w:rsidRPr="00497E12" w:rsidRDefault="00F51D17" w:rsidP="00F51D17">
            <w:pPr>
              <w:jc w:val="left"/>
              <w:rPr>
                <w:rFonts w:ascii="Arial Narrow" w:hAnsi="Arial Narrow"/>
                <w:sz w:val="20"/>
              </w:rPr>
            </w:pPr>
            <w:r w:rsidRPr="00497E12">
              <w:rPr>
                <w:rFonts w:ascii="Arial Narrow" w:hAnsi="Arial Narrow"/>
                <w:sz w:val="20"/>
              </w:rPr>
              <w:t>PBAC</w:t>
            </w:r>
          </w:p>
        </w:tc>
        <w:tc>
          <w:tcPr>
            <w:tcW w:w="604"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5 years</w:t>
            </w:r>
          </w:p>
        </w:tc>
        <w:tc>
          <w:tcPr>
            <w:tcW w:w="982"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Per cycle</w:t>
            </w:r>
          </w:p>
        </w:tc>
        <w:tc>
          <w:tcPr>
            <w:tcW w:w="907"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Yes</w:t>
            </w:r>
          </w:p>
        </w:tc>
        <w:tc>
          <w:tcPr>
            <w:tcW w:w="905" w:type="pct"/>
            <w:vAlign w:val="center"/>
          </w:tcPr>
          <w:p w:rsidR="00826777" w:rsidRPr="00497E12" w:rsidRDefault="00826777" w:rsidP="0037553C">
            <w:pPr>
              <w:jc w:val="center"/>
              <w:rPr>
                <w:rFonts w:ascii="Arial Narrow" w:hAnsi="Arial Narrow"/>
                <w:sz w:val="20"/>
              </w:rPr>
            </w:pPr>
            <w:r w:rsidRPr="00497E12">
              <w:rPr>
                <w:rFonts w:ascii="Arial Narrow" w:hAnsi="Arial Narrow"/>
                <w:sz w:val="20"/>
              </w:rPr>
              <w:t>Yes</w:t>
            </w:r>
          </w:p>
        </w:tc>
        <w:tc>
          <w:tcPr>
            <w:tcW w:w="998" w:type="pct"/>
          </w:tcPr>
          <w:p w:rsidR="00826777" w:rsidRPr="00497E12" w:rsidRDefault="002267C8" w:rsidP="0037553C">
            <w:pPr>
              <w:jc w:val="center"/>
              <w:rPr>
                <w:rFonts w:ascii="Arial Narrow" w:hAnsi="Arial Narrow"/>
                <w:sz w:val="20"/>
                <w:vertAlign w:val="superscript"/>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vertAlign w:val="superscript"/>
              </w:rPr>
              <w:t>1</w:t>
            </w:r>
          </w:p>
        </w:tc>
      </w:tr>
    </w:tbl>
    <w:p w:rsidR="00CF63F8" w:rsidRPr="00497E12" w:rsidRDefault="00826777" w:rsidP="00826777">
      <w:pPr>
        <w:widowControl/>
        <w:ind w:left="709"/>
        <w:rPr>
          <w:rFonts w:ascii="Arial Narrow" w:hAnsi="Arial Narrow"/>
          <w:sz w:val="18"/>
          <w:szCs w:val="18"/>
        </w:rPr>
      </w:pPr>
      <w:r w:rsidRPr="00497E12">
        <w:rPr>
          <w:rFonts w:ascii="Arial Narrow" w:hAnsi="Arial Narrow"/>
          <w:sz w:val="18"/>
          <w:szCs w:val="18"/>
        </w:rPr>
        <w:t>Abbreviations: ICER=incremental cost-effectiveness ratio; QALY= quality-adjusted life year</w:t>
      </w:r>
    </w:p>
    <w:p w:rsidR="002267C8" w:rsidRDefault="002267C8" w:rsidP="00826777">
      <w:pPr>
        <w:widowControl/>
        <w:ind w:left="709"/>
        <w:rPr>
          <w:rFonts w:ascii="Arial Narrow" w:hAnsi="Arial Narrow"/>
          <w:sz w:val="18"/>
          <w:szCs w:val="18"/>
        </w:rPr>
      </w:pPr>
      <w:r w:rsidRPr="00497E12">
        <w:rPr>
          <w:rFonts w:ascii="Arial Narrow" w:hAnsi="Arial Narrow"/>
          <w:sz w:val="18"/>
          <w:szCs w:val="18"/>
          <w:vertAlign w:val="superscript"/>
        </w:rPr>
        <w:t>1</w:t>
      </w:r>
      <w:r w:rsidRPr="00497E12">
        <w:rPr>
          <w:rFonts w:ascii="Arial Narrow" w:hAnsi="Arial Narrow"/>
          <w:sz w:val="18"/>
          <w:szCs w:val="18"/>
        </w:rPr>
        <w:t xml:space="preserve"> </w:t>
      </w:r>
      <w:r w:rsidR="00451298" w:rsidRPr="00497E12">
        <w:rPr>
          <w:rFonts w:ascii="Arial Narrow" w:hAnsi="Arial Narrow"/>
          <w:sz w:val="18"/>
          <w:szCs w:val="18"/>
        </w:rPr>
        <w:t>Calculated and p</w:t>
      </w:r>
      <w:r w:rsidRPr="00497E12">
        <w:rPr>
          <w:rFonts w:ascii="Arial Narrow" w:hAnsi="Arial Narrow"/>
          <w:sz w:val="18"/>
          <w:szCs w:val="18"/>
        </w:rPr>
        <w:t>resented at PBAC</w:t>
      </w:r>
      <w:r w:rsidR="00451298" w:rsidRPr="00497E12">
        <w:rPr>
          <w:rFonts w:ascii="Arial Narrow" w:hAnsi="Arial Narrow"/>
          <w:sz w:val="18"/>
          <w:szCs w:val="18"/>
        </w:rPr>
        <w:t xml:space="preserve"> meeting</w:t>
      </w:r>
    </w:p>
    <w:p w:rsidR="00986CB3" w:rsidRDefault="00986CB3" w:rsidP="00826777">
      <w:pPr>
        <w:widowControl/>
        <w:ind w:left="709"/>
        <w:rPr>
          <w:rFonts w:ascii="Arial Narrow" w:hAnsi="Arial Narrow"/>
          <w:sz w:val="18"/>
          <w:szCs w:val="18"/>
        </w:rPr>
      </w:pPr>
    </w:p>
    <w:p w:rsidR="00986CB3" w:rsidRPr="00986CB3" w:rsidRDefault="00986CB3" w:rsidP="00A45A8D">
      <w:pPr>
        <w:widowControl/>
        <w:ind w:left="851"/>
        <w:rPr>
          <w:szCs w:val="22"/>
        </w:rPr>
      </w:pPr>
      <w:r w:rsidRPr="00986CB3">
        <w:rPr>
          <w:szCs w:val="22"/>
        </w:rPr>
        <w:t>The redacted table shows ICERs in the range of $45,000 - $75,000, $75,000 - $105,000/QALY and $105,000 - $200,000/QALY.</w:t>
      </w:r>
    </w:p>
    <w:p w:rsidR="00400464" w:rsidRPr="00497E12" w:rsidRDefault="00400464" w:rsidP="00F51D17">
      <w:pPr>
        <w:widowControl/>
      </w:pPr>
    </w:p>
    <w:p w:rsidR="00400464" w:rsidRPr="00497E12" w:rsidRDefault="00400464" w:rsidP="00A45A8D">
      <w:pPr>
        <w:pStyle w:val="ListParagraph"/>
        <w:widowControl/>
        <w:numPr>
          <w:ilvl w:val="1"/>
          <w:numId w:val="24"/>
        </w:numPr>
        <w:ind w:left="851" w:hanging="851"/>
      </w:pPr>
      <w:r w:rsidRPr="00497E12">
        <w:t xml:space="preserve">The PBAC </w:t>
      </w:r>
      <w:r w:rsidR="00333690" w:rsidRPr="00497E12">
        <w:t xml:space="preserve">also </w:t>
      </w:r>
      <w:r w:rsidRPr="00497E12">
        <w:t xml:space="preserve">considered the following </w:t>
      </w:r>
      <w:r w:rsidR="00333690" w:rsidRPr="00497E12">
        <w:t>matters</w:t>
      </w:r>
      <w:r w:rsidRPr="00497E12">
        <w:t xml:space="preserve"> in </w:t>
      </w:r>
      <w:r w:rsidR="00EE5F86" w:rsidRPr="00497E12">
        <w:t>assessing</w:t>
      </w:r>
      <w:r w:rsidRPr="00497E12">
        <w:t xml:space="preserve"> the economic evaluation of </w:t>
      </w:r>
      <w:proofErr w:type="spellStart"/>
      <w:r w:rsidRPr="00497E12">
        <w:t>nivolumab</w:t>
      </w:r>
      <w:proofErr w:type="spellEnd"/>
      <w:r w:rsidRPr="00497E12">
        <w:t>. Table 10 below provides a summary of the costing methodology used in the submission’s model base case, where initial drug costs were applied in the first cycle of the model only (‘front-loaded’) as well as the methodology that was used for the ‘per-cycle’ approach applied in a commentary sensitivity analysis and in the PSCR.</w:t>
      </w:r>
    </w:p>
    <w:p w:rsidR="00400464" w:rsidRPr="00497E12" w:rsidRDefault="00400464" w:rsidP="00400464">
      <w:pPr>
        <w:widowControl/>
      </w:pPr>
    </w:p>
    <w:p w:rsidR="00400464" w:rsidRPr="00497E12" w:rsidRDefault="00400464" w:rsidP="00333690">
      <w:pPr>
        <w:widowControl/>
        <w:ind w:left="709"/>
        <w:jc w:val="left"/>
        <w:rPr>
          <w:rFonts w:ascii="Arial Narrow" w:hAnsi="Arial Narrow"/>
          <w:b/>
          <w:sz w:val="20"/>
          <w:szCs w:val="22"/>
        </w:rPr>
      </w:pPr>
      <w:r w:rsidRPr="00497E12">
        <w:rPr>
          <w:rFonts w:ascii="Arial Narrow" w:hAnsi="Arial Narrow"/>
          <w:b/>
          <w:sz w:val="20"/>
          <w:szCs w:val="22"/>
        </w:rPr>
        <w:t>Table 10: Treatment cost calculations per course and per cycle</w:t>
      </w:r>
    </w:p>
    <w:tbl>
      <w:tblPr>
        <w:tblStyle w:val="TableGrid"/>
        <w:tblW w:w="4594" w:type="pct"/>
        <w:tblInd w:w="737" w:type="dxa"/>
        <w:tblCellMar>
          <w:left w:w="28" w:type="dxa"/>
          <w:right w:w="28" w:type="dxa"/>
        </w:tblCellMar>
        <w:tblLook w:val="04A0" w:firstRow="1" w:lastRow="0" w:firstColumn="1" w:lastColumn="0" w:noHBand="0" w:noVBand="1"/>
        <w:tblCaption w:val="Table 10: Treatment cost calculations per course and per cycle"/>
      </w:tblPr>
      <w:tblGrid>
        <w:gridCol w:w="1727"/>
        <w:gridCol w:w="6618"/>
      </w:tblGrid>
      <w:tr w:rsidR="00400464" w:rsidRPr="00497E12" w:rsidTr="00C64257">
        <w:trPr>
          <w:tblHeader/>
        </w:trPr>
        <w:tc>
          <w:tcPr>
            <w:tcW w:w="1035" w:type="pct"/>
            <w:vAlign w:val="center"/>
          </w:tcPr>
          <w:p w:rsidR="00400464" w:rsidRPr="00497E12" w:rsidRDefault="00400464" w:rsidP="00EB34DE">
            <w:pPr>
              <w:jc w:val="left"/>
              <w:rPr>
                <w:rFonts w:ascii="Arial Narrow" w:hAnsi="Arial Narrow"/>
                <w:b/>
                <w:sz w:val="20"/>
              </w:rPr>
            </w:pPr>
            <w:r w:rsidRPr="00497E12">
              <w:rPr>
                <w:rFonts w:ascii="Arial Narrow" w:hAnsi="Arial Narrow"/>
                <w:b/>
                <w:sz w:val="20"/>
              </w:rPr>
              <w:t>Method</w:t>
            </w:r>
          </w:p>
        </w:tc>
        <w:tc>
          <w:tcPr>
            <w:tcW w:w="3965" w:type="pct"/>
            <w:vAlign w:val="center"/>
          </w:tcPr>
          <w:p w:rsidR="00400464" w:rsidRPr="00497E12" w:rsidRDefault="00400464" w:rsidP="00EB34DE">
            <w:pPr>
              <w:jc w:val="center"/>
              <w:rPr>
                <w:rFonts w:ascii="Arial Narrow" w:hAnsi="Arial Narrow"/>
                <w:b/>
                <w:sz w:val="20"/>
              </w:rPr>
            </w:pPr>
            <w:r w:rsidRPr="00497E12">
              <w:rPr>
                <w:rFonts w:ascii="Arial Narrow" w:hAnsi="Arial Narrow"/>
                <w:b/>
                <w:sz w:val="20"/>
              </w:rPr>
              <w:t>Costing</w:t>
            </w:r>
          </w:p>
        </w:tc>
      </w:tr>
      <w:tr w:rsidR="00400464" w:rsidRPr="00497E12" w:rsidTr="00333690">
        <w:tc>
          <w:tcPr>
            <w:tcW w:w="1035" w:type="pct"/>
            <w:vAlign w:val="center"/>
          </w:tcPr>
          <w:p w:rsidR="00400464" w:rsidRPr="00497E12" w:rsidRDefault="00400464" w:rsidP="00EB34DE">
            <w:pPr>
              <w:jc w:val="left"/>
              <w:rPr>
                <w:rFonts w:ascii="Arial Narrow" w:hAnsi="Arial Narrow"/>
                <w:sz w:val="20"/>
              </w:rPr>
            </w:pPr>
            <w:r w:rsidRPr="00497E12">
              <w:rPr>
                <w:rFonts w:ascii="Arial Narrow" w:hAnsi="Arial Narrow"/>
                <w:sz w:val="20"/>
              </w:rPr>
              <w:t>Per course - submission base case</w:t>
            </w:r>
          </w:p>
        </w:tc>
        <w:tc>
          <w:tcPr>
            <w:tcW w:w="3965" w:type="pct"/>
            <w:vAlign w:val="center"/>
          </w:tcPr>
          <w:p w:rsidR="00400464" w:rsidRPr="00497E12" w:rsidRDefault="00400464" w:rsidP="00400464">
            <w:pPr>
              <w:pStyle w:val="ListParagraph"/>
              <w:numPr>
                <w:ilvl w:val="0"/>
                <w:numId w:val="16"/>
              </w:numPr>
              <w:ind w:left="113" w:hanging="113"/>
              <w:jc w:val="left"/>
              <w:rPr>
                <w:rFonts w:ascii="Arial Narrow" w:hAnsi="Arial Narrow"/>
                <w:sz w:val="20"/>
              </w:rPr>
            </w:pPr>
            <w:r w:rsidRPr="00497E12">
              <w:rPr>
                <w:rFonts w:ascii="Arial Narrow" w:hAnsi="Arial Narrow"/>
                <w:sz w:val="20"/>
              </w:rPr>
              <w:t>For the ‘per course’ method of treatment costing, the cost of treatment was applied in</w:t>
            </w:r>
            <w:r w:rsidR="00333690" w:rsidRPr="00497E12">
              <w:rPr>
                <w:rFonts w:ascii="Arial Narrow" w:hAnsi="Arial Narrow"/>
                <w:sz w:val="20"/>
              </w:rPr>
              <w:t xml:space="preserve"> the first cycle of the model. </w:t>
            </w:r>
            <w:r w:rsidRPr="00497E12">
              <w:rPr>
                <w:rFonts w:ascii="Arial Narrow" w:hAnsi="Arial Narrow"/>
                <w:sz w:val="20"/>
              </w:rPr>
              <w:t>Cost was based on requested price plus infusion cost multiplied by the number of infusions (19.2).</w:t>
            </w:r>
          </w:p>
          <w:p w:rsidR="00400464" w:rsidRPr="00497E12" w:rsidRDefault="00400464" w:rsidP="00400464">
            <w:pPr>
              <w:pStyle w:val="ListParagraph"/>
              <w:numPr>
                <w:ilvl w:val="0"/>
                <w:numId w:val="16"/>
              </w:numPr>
              <w:ind w:left="113" w:hanging="113"/>
              <w:jc w:val="left"/>
              <w:rPr>
                <w:rFonts w:ascii="Arial Narrow" w:hAnsi="Arial Narrow"/>
                <w:sz w:val="20"/>
              </w:rPr>
            </w:pPr>
            <w:r w:rsidRPr="00497E12">
              <w:rPr>
                <w:rFonts w:ascii="Arial Narrow" w:hAnsi="Arial Narrow"/>
                <w:sz w:val="20"/>
              </w:rPr>
              <w:t xml:space="preserve">The number of </w:t>
            </w:r>
            <w:proofErr w:type="spellStart"/>
            <w:r w:rsidRPr="00497E12">
              <w:rPr>
                <w:rFonts w:ascii="Arial Narrow" w:hAnsi="Arial Narrow"/>
                <w:sz w:val="20"/>
              </w:rPr>
              <w:t>nivolumab</w:t>
            </w:r>
            <w:proofErr w:type="spellEnd"/>
            <w:r w:rsidRPr="00497E12">
              <w:rPr>
                <w:rFonts w:ascii="Arial Narrow" w:hAnsi="Arial Narrow"/>
                <w:sz w:val="20"/>
              </w:rPr>
              <w:t xml:space="preserve"> infusions was sourced from trial CA209-025 and was the mean number of infusions received in the trial up to the end of follow-up.</w:t>
            </w:r>
            <w:r w:rsidR="00333690" w:rsidRPr="00497E12">
              <w:rPr>
                <w:rFonts w:ascii="Arial Narrow" w:hAnsi="Arial Narrow"/>
                <w:sz w:val="20"/>
              </w:rPr>
              <w:t xml:space="preserve"> </w:t>
            </w:r>
            <w:r w:rsidRPr="00497E12">
              <w:rPr>
                <w:rFonts w:ascii="Arial Narrow" w:hAnsi="Arial Narrow"/>
                <w:sz w:val="20"/>
              </w:rPr>
              <w:t xml:space="preserve">19.2 infusions </w:t>
            </w:r>
            <w:proofErr w:type="gramStart"/>
            <w:r w:rsidRPr="00497E12">
              <w:rPr>
                <w:rFonts w:ascii="Arial Narrow" w:hAnsi="Arial Narrow"/>
                <w:sz w:val="20"/>
              </w:rPr>
              <w:t>represents</w:t>
            </w:r>
            <w:proofErr w:type="gramEnd"/>
            <w:r w:rsidRPr="00497E12">
              <w:rPr>
                <w:rFonts w:ascii="Arial Narrow" w:hAnsi="Arial Narrow"/>
                <w:sz w:val="20"/>
              </w:rPr>
              <w:t xml:space="preserve"> 8.8 months of treatment.</w:t>
            </w:r>
          </w:p>
          <w:p w:rsidR="00400464" w:rsidRPr="00497E12" w:rsidRDefault="00400464" w:rsidP="00400464">
            <w:pPr>
              <w:pStyle w:val="ListParagraph"/>
              <w:numPr>
                <w:ilvl w:val="0"/>
                <w:numId w:val="16"/>
              </w:numPr>
              <w:ind w:left="113" w:hanging="113"/>
              <w:jc w:val="left"/>
              <w:rPr>
                <w:rFonts w:ascii="Arial Narrow" w:hAnsi="Arial Narrow"/>
                <w:sz w:val="20"/>
              </w:rPr>
            </w:pPr>
            <w:r w:rsidRPr="00497E12">
              <w:rPr>
                <w:rFonts w:ascii="Arial Narrow" w:hAnsi="Arial Narrow"/>
                <w:sz w:val="20"/>
              </w:rPr>
              <w:t xml:space="preserve">For </w:t>
            </w:r>
            <w:proofErr w:type="spellStart"/>
            <w:r w:rsidRPr="00497E12">
              <w:rPr>
                <w:rFonts w:ascii="Arial Narrow" w:hAnsi="Arial Narrow"/>
                <w:sz w:val="20"/>
              </w:rPr>
              <w:t>everolimus</w:t>
            </w:r>
            <w:proofErr w:type="spellEnd"/>
            <w:r w:rsidRPr="00497E12">
              <w:rPr>
                <w:rFonts w:ascii="Arial Narrow" w:hAnsi="Arial Narrow"/>
                <w:sz w:val="20"/>
              </w:rPr>
              <w:t xml:space="preserve"> a treatment duration of </w:t>
            </w:r>
            <w:r w:rsidR="00B32DC8">
              <w:rPr>
                <w:rFonts w:ascii="Arial Narrow" w:hAnsi="Arial Narrow"/>
                <w:noProof/>
                <w:color w:val="000000"/>
                <w:sz w:val="20"/>
                <w:highlight w:val="black"/>
              </w:rPr>
              <w:t>'''''''''''</w:t>
            </w:r>
            <w:r w:rsidRPr="00497E12">
              <w:rPr>
                <w:rFonts w:ascii="Arial Narrow" w:hAnsi="Arial Narrow"/>
                <w:sz w:val="20"/>
              </w:rPr>
              <w:t xml:space="preserve"> months, requi</w:t>
            </w:r>
            <w:r w:rsidR="00333690" w:rsidRPr="00497E12">
              <w:rPr>
                <w:rFonts w:ascii="Arial Narrow" w:hAnsi="Arial Narrow"/>
                <w:sz w:val="20"/>
              </w:rPr>
              <w:t xml:space="preserve">ring </w:t>
            </w:r>
            <w:r w:rsidR="00B32DC8">
              <w:rPr>
                <w:rFonts w:ascii="Arial Narrow" w:hAnsi="Arial Narrow"/>
                <w:noProof/>
                <w:color w:val="000000"/>
                <w:sz w:val="20"/>
                <w:highlight w:val="black"/>
              </w:rPr>
              <w:t>'''''''</w:t>
            </w:r>
            <w:r w:rsidR="00333690" w:rsidRPr="00497E12">
              <w:rPr>
                <w:rFonts w:ascii="Arial Narrow" w:hAnsi="Arial Narrow"/>
                <w:sz w:val="20"/>
              </w:rPr>
              <w:t xml:space="preserve"> scripts, was applied. </w:t>
            </w:r>
            <w:r w:rsidRPr="00497E12">
              <w:rPr>
                <w:rFonts w:ascii="Arial Narrow" w:hAnsi="Arial Narrow"/>
                <w:sz w:val="20"/>
              </w:rPr>
              <w:t>This treatment duration was sourced from the follow-up of CA209-025.</w:t>
            </w:r>
          </w:p>
          <w:p w:rsidR="00400464" w:rsidRPr="00497E12" w:rsidRDefault="00400464" w:rsidP="00400464">
            <w:pPr>
              <w:pStyle w:val="ListParagraph"/>
              <w:numPr>
                <w:ilvl w:val="0"/>
                <w:numId w:val="16"/>
              </w:numPr>
              <w:ind w:left="113" w:hanging="113"/>
              <w:jc w:val="left"/>
              <w:rPr>
                <w:rFonts w:ascii="Arial Narrow" w:hAnsi="Arial Narrow"/>
                <w:sz w:val="20"/>
              </w:rPr>
            </w:pPr>
            <w:r w:rsidRPr="00497E12">
              <w:rPr>
                <w:rFonts w:ascii="Arial Narrow" w:hAnsi="Arial Narrow"/>
                <w:sz w:val="20"/>
              </w:rPr>
              <w:t xml:space="preserve">The same duration of </w:t>
            </w:r>
            <w:r w:rsidR="00B32DC8">
              <w:rPr>
                <w:rFonts w:ascii="Arial Narrow" w:hAnsi="Arial Narrow"/>
                <w:noProof/>
                <w:color w:val="000000"/>
                <w:sz w:val="20"/>
                <w:highlight w:val="black"/>
              </w:rPr>
              <w:t>'''''''''''</w:t>
            </w:r>
            <w:r w:rsidRPr="00497E12">
              <w:rPr>
                <w:rFonts w:ascii="Arial Narrow" w:hAnsi="Arial Narrow"/>
                <w:sz w:val="20"/>
              </w:rPr>
              <w:t xml:space="preserve"> months was assumed to apply to the subsequent use of </w:t>
            </w:r>
            <w:proofErr w:type="spellStart"/>
            <w:r w:rsidRPr="00497E12">
              <w:rPr>
                <w:rFonts w:ascii="Arial Narrow" w:hAnsi="Arial Narrow"/>
                <w:sz w:val="20"/>
              </w:rPr>
              <w:t>sorafenib</w:t>
            </w:r>
            <w:proofErr w:type="spellEnd"/>
            <w:r w:rsidRPr="00497E12">
              <w:rPr>
                <w:rFonts w:ascii="Arial Narrow" w:hAnsi="Arial Narrow"/>
                <w:sz w:val="20"/>
              </w:rPr>
              <w:t xml:space="preserve"> and </w:t>
            </w:r>
            <w:proofErr w:type="spellStart"/>
            <w:r w:rsidRPr="00497E12">
              <w:rPr>
                <w:rFonts w:ascii="Arial Narrow" w:hAnsi="Arial Narrow"/>
                <w:sz w:val="20"/>
              </w:rPr>
              <w:t>axitinib</w:t>
            </w:r>
            <w:proofErr w:type="spellEnd"/>
            <w:r w:rsidRPr="00497E12">
              <w:rPr>
                <w:rFonts w:ascii="Arial Narrow" w:hAnsi="Arial Narrow"/>
                <w:sz w:val="20"/>
              </w:rPr>
              <w:t xml:space="preserve"> in those patients who were modelled to receive it (and also to the subsequent use of </w:t>
            </w:r>
            <w:proofErr w:type="spellStart"/>
            <w:r w:rsidRPr="00497E12">
              <w:rPr>
                <w:rFonts w:ascii="Arial Narrow" w:hAnsi="Arial Narrow"/>
                <w:sz w:val="20"/>
              </w:rPr>
              <w:t>everolimus</w:t>
            </w:r>
            <w:proofErr w:type="spellEnd"/>
            <w:r w:rsidRPr="00497E12">
              <w:rPr>
                <w:rFonts w:ascii="Arial Narrow" w:hAnsi="Arial Narrow"/>
                <w:sz w:val="20"/>
              </w:rPr>
              <w:t xml:space="preserve"> in those patients treated with </w:t>
            </w:r>
            <w:proofErr w:type="spellStart"/>
            <w:r w:rsidRPr="00497E12">
              <w:rPr>
                <w:rFonts w:ascii="Arial Narrow" w:hAnsi="Arial Narrow"/>
                <w:sz w:val="20"/>
              </w:rPr>
              <w:t>nivolumab</w:t>
            </w:r>
            <w:proofErr w:type="spellEnd"/>
            <w:r w:rsidRPr="00497E12">
              <w:rPr>
                <w:rFonts w:ascii="Arial Narrow" w:hAnsi="Arial Narrow"/>
                <w:sz w:val="20"/>
              </w:rPr>
              <w:t xml:space="preserve"> who were modelled to receive it).</w:t>
            </w:r>
          </w:p>
          <w:p w:rsidR="00400464" w:rsidRPr="00497E12" w:rsidRDefault="00400464" w:rsidP="00400464">
            <w:pPr>
              <w:pStyle w:val="ListParagraph"/>
              <w:numPr>
                <w:ilvl w:val="0"/>
                <w:numId w:val="16"/>
              </w:numPr>
              <w:ind w:left="113" w:hanging="113"/>
              <w:jc w:val="left"/>
              <w:rPr>
                <w:rFonts w:ascii="Arial Narrow" w:hAnsi="Arial Narrow"/>
                <w:sz w:val="20"/>
              </w:rPr>
            </w:pPr>
            <w:r w:rsidRPr="00497E12">
              <w:rPr>
                <w:rFonts w:ascii="Arial Narrow" w:hAnsi="Arial Narrow"/>
                <w:sz w:val="20"/>
              </w:rPr>
              <w:t xml:space="preserve">The model used these durations separately, </w:t>
            </w:r>
            <w:proofErr w:type="spellStart"/>
            <w:r w:rsidRPr="00497E12">
              <w:rPr>
                <w:rFonts w:ascii="Arial Narrow" w:hAnsi="Arial Narrow"/>
                <w:sz w:val="20"/>
              </w:rPr>
              <w:t>eg</w:t>
            </w:r>
            <w:proofErr w:type="spellEnd"/>
            <w:r w:rsidRPr="00497E12">
              <w:rPr>
                <w:rFonts w:ascii="Arial Narrow" w:hAnsi="Arial Narrow"/>
                <w:sz w:val="20"/>
              </w:rPr>
              <w:t xml:space="preserve"> a patient would receive </w:t>
            </w:r>
            <w:proofErr w:type="spellStart"/>
            <w:r w:rsidRPr="00497E12">
              <w:rPr>
                <w:rFonts w:ascii="Arial Narrow" w:hAnsi="Arial Narrow"/>
                <w:sz w:val="20"/>
              </w:rPr>
              <w:t>everolimus</w:t>
            </w:r>
            <w:proofErr w:type="spellEnd"/>
            <w:r w:rsidRPr="00497E12">
              <w:rPr>
                <w:rFonts w:ascii="Arial Narrow" w:hAnsi="Arial Narrow"/>
                <w:sz w:val="20"/>
              </w:rPr>
              <w:t xml:space="preserve"> for </w:t>
            </w:r>
            <w:r w:rsidR="00B32DC8">
              <w:rPr>
                <w:rFonts w:ascii="Arial Narrow" w:hAnsi="Arial Narrow"/>
                <w:noProof/>
                <w:color w:val="000000"/>
                <w:sz w:val="20"/>
                <w:highlight w:val="black"/>
              </w:rPr>
              <w:t>''''''''''''</w:t>
            </w:r>
            <w:r w:rsidRPr="00497E12">
              <w:rPr>
                <w:rFonts w:ascii="Arial Narrow" w:hAnsi="Arial Narrow"/>
                <w:sz w:val="20"/>
              </w:rPr>
              <w:t xml:space="preserve"> months, and then would receive </w:t>
            </w:r>
            <w:proofErr w:type="spellStart"/>
            <w:r w:rsidRPr="00497E12">
              <w:rPr>
                <w:rFonts w:ascii="Arial Narrow" w:hAnsi="Arial Narrow"/>
                <w:sz w:val="20"/>
              </w:rPr>
              <w:t>sorafenib</w:t>
            </w:r>
            <w:proofErr w:type="spellEnd"/>
            <w:r w:rsidRPr="00497E12">
              <w:rPr>
                <w:rFonts w:ascii="Arial Narrow" w:hAnsi="Arial Narrow"/>
                <w:sz w:val="20"/>
              </w:rPr>
              <w:t xml:space="preserve"> or </w:t>
            </w:r>
            <w:proofErr w:type="spellStart"/>
            <w:r w:rsidRPr="00497E12">
              <w:rPr>
                <w:rFonts w:ascii="Arial Narrow" w:hAnsi="Arial Narrow"/>
                <w:sz w:val="20"/>
              </w:rPr>
              <w:t>axitinib</w:t>
            </w:r>
            <w:proofErr w:type="spellEnd"/>
            <w:r w:rsidRPr="00497E12">
              <w:rPr>
                <w:rFonts w:ascii="Arial Narrow" w:hAnsi="Arial Narrow"/>
                <w:sz w:val="20"/>
              </w:rPr>
              <w:t xml:space="preserve"> for </w:t>
            </w:r>
            <w:r w:rsidR="00B32DC8">
              <w:rPr>
                <w:rFonts w:ascii="Arial Narrow" w:hAnsi="Arial Narrow"/>
                <w:noProof/>
                <w:color w:val="000000"/>
                <w:sz w:val="20"/>
                <w:highlight w:val="black"/>
              </w:rPr>
              <w:t>''''''''''</w:t>
            </w:r>
            <w:r w:rsidRPr="00497E12">
              <w:rPr>
                <w:rFonts w:ascii="Arial Narrow" w:hAnsi="Arial Narrow"/>
                <w:sz w:val="20"/>
              </w:rPr>
              <w:t xml:space="preserve"> months.</w:t>
            </w:r>
          </w:p>
        </w:tc>
      </w:tr>
      <w:tr w:rsidR="00400464" w:rsidRPr="00497E12" w:rsidTr="00333690">
        <w:tc>
          <w:tcPr>
            <w:tcW w:w="1035" w:type="pct"/>
            <w:vAlign w:val="center"/>
          </w:tcPr>
          <w:p w:rsidR="00400464" w:rsidRPr="00497E12" w:rsidRDefault="00400464" w:rsidP="00EB34DE">
            <w:pPr>
              <w:jc w:val="left"/>
              <w:rPr>
                <w:rFonts w:ascii="Arial Narrow" w:hAnsi="Arial Narrow"/>
                <w:sz w:val="20"/>
              </w:rPr>
            </w:pPr>
            <w:r w:rsidRPr="00497E12">
              <w:rPr>
                <w:rFonts w:ascii="Arial Narrow" w:hAnsi="Arial Narrow"/>
                <w:sz w:val="20"/>
              </w:rPr>
              <w:t>Per cycle - sensitivity analysis and PSCR</w:t>
            </w:r>
          </w:p>
        </w:tc>
        <w:tc>
          <w:tcPr>
            <w:tcW w:w="3965" w:type="pct"/>
            <w:vAlign w:val="center"/>
          </w:tcPr>
          <w:p w:rsidR="00400464" w:rsidRPr="00497E12" w:rsidRDefault="00400464" w:rsidP="00400464">
            <w:pPr>
              <w:pStyle w:val="ListParagraph"/>
              <w:numPr>
                <w:ilvl w:val="0"/>
                <w:numId w:val="17"/>
              </w:numPr>
              <w:ind w:left="113" w:hanging="113"/>
              <w:jc w:val="left"/>
              <w:rPr>
                <w:rFonts w:ascii="Arial Narrow" w:hAnsi="Arial Narrow"/>
                <w:sz w:val="20"/>
              </w:rPr>
            </w:pPr>
            <w:r w:rsidRPr="00497E12">
              <w:rPr>
                <w:rFonts w:ascii="Arial Narrow" w:hAnsi="Arial Narrow"/>
                <w:sz w:val="20"/>
              </w:rPr>
              <w:t>For the ‘per-cycle’ method of costing, treatment costs were applied in each cycle of the model over its 10-year duration.</w:t>
            </w:r>
          </w:p>
          <w:p w:rsidR="00400464" w:rsidRPr="00497E12" w:rsidRDefault="00400464" w:rsidP="00400464">
            <w:pPr>
              <w:pStyle w:val="ListParagraph"/>
              <w:numPr>
                <w:ilvl w:val="0"/>
                <w:numId w:val="17"/>
              </w:numPr>
              <w:ind w:left="113" w:hanging="113"/>
              <w:jc w:val="left"/>
              <w:rPr>
                <w:rFonts w:ascii="Arial Narrow" w:hAnsi="Arial Narrow"/>
                <w:sz w:val="20"/>
              </w:rPr>
            </w:pPr>
            <w:r w:rsidRPr="00497E12">
              <w:rPr>
                <w:rFonts w:ascii="Arial Narrow" w:hAnsi="Arial Narrow"/>
                <w:sz w:val="20"/>
              </w:rPr>
              <w:t xml:space="preserve">Treatment costs were based on the proportion of patients in the progression-free state, </w:t>
            </w:r>
            <w:proofErr w:type="spellStart"/>
            <w:r w:rsidRPr="00497E12">
              <w:rPr>
                <w:rFonts w:ascii="Arial Narrow" w:hAnsi="Arial Narrow"/>
                <w:sz w:val="20"/>
              </w:rPr>
              <w:t>ie</w:t>
            </w:r>
            <w:proofErr w:type="spellEnd"/>
            <w:r w:rsidRPr="00497E12">
              <w:rPr>
                <w:rFonts w:ascii="Arial Narrow" w:hAnsi="Arial Narrow"/>
                <w:sz w:val="20"/>
              </w:rPr>
              <w:t xml:space="preserve"> these patients were assumed to be receiving on-going treatment, in each cycle multiplied by the requested price and administration cost.</w:t>
            </w:r>
          </w:p>
        </w:tc>
      </w:tr>
    </w:tbl>
    <w:p w:rsidR="00400464" w:rsidRPr="00497E12" w:rsidRDefault="00400464" w:rsidP="00400464">
      <w:pPr>
        <w:widowControl/>
      </w:pPr>
    </w:p>
    <w:p w:rsidR="00400464" w:rsidRPr="00497E12" w:rsidRDefault="00400464" w:rsidP="00A45A8D">
      <w:pPr>
        <w:pStyle w:val="ListParagraph"/>
        <w:widowControl/>
        <w:numPr>
          <w:ilvl w:val="1"/>
          <w:numId w:val="24"/>
        </w:numPr>
        <w:ind w:left="851" w:hanging="851"/>
      </w:pPr>
      <w:r w:rsidRPr="00497E12">
        <w:lastRenderedPageBreak/>
        <w:t>Treatment duration based on the per-cycle approach (</w:t>
      </w:r>
      <w:r w:rsidR="00B32DC8">
        <w:rPr>
          <w:noProof/>
          <w:color w:val="000000"/>
          <w:highlight w:val="black"/>
        </w:rPr>
        <w:t>''''''''''</w:t>
      </w:r>
      <w:r w:rsidRPr="00497E12">
        <w:t xml:space="preserve"> infusions of </w:t>
      </w:r>
      <w:proofErr w:type="spellStart"/>
      <w:r w:rsidRPr="00497E12">
        <w:t>nivolumab</w:t>
      </w:r>
      <w:proofErr w:type="spellEnd"/>
      <w:r w:rsidRPr="00497E12">
        <w:t xml:space="preserve"> or </w:t>
      </w:r>
      <w:r w:rsidR="00B32DC8">
        <w:rPr>
          <w:noProof/>
          <w:color w:val="000000"/>
          <w:highlight w:val="black"/>
        </w:rPr>
        <w:t>'''''''''''</w:t>
      </w:r>
      <w:r w:rsidRPr="00497E12">
        <w:t xml:space="preserve"> months of treatment, a</w:t>
      </w:r>
      <w:r w:rsidR="00333690" w:rsidRPr="00497E12">
        <w:t xml:space="preserve">nd </w:t>
      </w:r>
      <w:r w:rsidR="00B32DC8">
        <w:rPr>
          <w:noProof/>
          <w:color w:val="000000"/>
          <w:highlight w:val="black"/>
        </w:rPr>
        <w:t>''''''''''</w:t>
      </w:r>
      <w:r w:rsidR="00333690" w:rsidRPr="00497E12">
        <w:t xml:space="preserve"> months of </w:t>
      </w:r>
      <w:proofErr w:type="spellStart"/>
      <w:r w:rsidR="00333690" w:rsidRPr="00497E12">
        <w:t>everolimus</w:t>
      </w:r>
      <w:proofErr w:type="spellEnd"/>
      <w:r w:rsidR="00333690" w:rsidRPr="00497E12">
        <w:t>)</w:t>
      </w:r>
      <w:r w:rsidR="00EE5F86" w:rsidRPr="00497E12">
        <w:t xml:space="preserve"> was greater than that used in the submission base case</w:t>
      </w:r>
      <w:r w:rsidR="00333690" w:rsidRPr="00497E12">
        <w:t xml:space="preserve">. </w:t>
      </w:r>
      <w:r w:rsidRPr="00497E12">
        <w:t>These treatment durations represent the mean time on treatment predicted by the model</w:t>
      </w:r>
      <w:r w:rsidR="00EE5F86" w:rsidRPr="00497E12">
        <w:t xml:space="preserve"> assuming that treatment continues to disease progression and then stops</w:t>
      </w:r>
      <w:r w:rsidRPr="00497E12">
        <w:t>.</w:t>
      </w:r>
    </w:p>
    <w:p w:rsidR="00400464" w:rsidRPr="00497E12" w:rsidRDefault="00400464" w:rsidP="00400464">
      <w:pPr>
        <w:widowControl/>
      </w:pPr>
    </w:p>
    <w:p w:rsidR="00400464" w:rsidRPr="00497E12" w:rsidRDefault="00400464" w:rsidP="00A45A8D">
      <w:pPr>
        <w:pStyle w:val="ListParagraph"/>
        <w:widowControl/>
        <w:numPr>
          <w:ilvl w:val="1"/>
          <w:numId w:val="24"/>
        </w:numPr>
        <w:ind w:left="851" w:hanging="851"/>
      </w:pPr>
      <w:r w:rsidRPr="00497E12">
        <w:t xml:space="preserve">The per-cycle </w:t>
      </w:r>
      <w:proofErr w:type="gramStart"/>
      <w:r w:rsidRPr="00497E12">
        <w:t>approach</w:t>
      </w:r>
      <w:proofErr w:type="gramEnd"/>
      <w:r w:rsidRPr="00497E12">
        <w:t xml:space="preserve"> provided a calculation of treatment cost based on the proportion of patients in each cycle of the model who had not progressed, </w:t>
      </w:r>
      <w:proofErr w:type="spellStart"/>
      <w:r w:rsidRPr="00497E12">
        <w:t>ie</w:t>
      </w:r>
      <w:proofErr w:type="spellEnd"/>
      <w:r w:rsidRPr="00497E12">
        <w:t xml:space="preserve"> were assumed to be</w:t>
      </w:r>
      <w:r w:rsidR="00333690" w:rsidRPr="00497E12">
        <w:t xml:space="preserve"> receiving on-going treatment. </w:t>
      </w:r>
      <w:r w:rsidRPr="00497E12">
        <w:t xml:space="preserve">The model thus predicted that the average treatment duration with </w:t>
      </w:r>
      <w:proofErr w:type="spellStart"/>
      <w:r w:rsidRPr="00497E12">
        <w:t>nivolumab</w:t>
      </w:r>
      <w:proofErr w:type="spellEnd"/>
      <w:r w:rsidRPr="00497E12">
        <w:t xml:space="preserve"> was </w:t>
      </w:r>
      <w:r w:rsidR="00B32DC8">
        <w:rPr>
          <w:noProof/>
          <w:color w:val="000000"/>
          <w:highlight w:val="black"/>
        </w:rPr>
        <w:t>''''''''''</w:t>
      </w:r>
      <w:r w:rsidRPr="00497E12">
        <w:t xml:space="preserve"> months, a likely better estimate than the </w:t>
      </w:r>
      <w:r w:rsidR="00B32DC8">
        <w:rPr>
          <w:noProof/>
          <w:color w:val="000000"/>
          <w:highlight w:val="black"/>
        </w:rPr>
        <w:t>'''''''</w:t>
      </w:r>
      <w:r w:rsidRPr="00497E12">
        <w:t xml:space="preserve"> months used in the submission’s base case model, which reflected the truncated treatment duration reported in the trial.</w:t>
      </w:r>
    </w:p>
    <w:p w:rsidR="00EE5F86" w:rsidRPr="00497E12" w:rsidRDefault="00EE5F86" w:rsidP="00EE5F86"/>
    <w:p w:rsidR="00EE5F86" w:rsidRPr="00497E12" w:rsidRDefault="00EE5F86" w:rsidP="00A45A8D">
      <w:pPr>
        <w:pStyle w:val="ListParagraph"/>
        <w:widowControl/>
        <w:numPr>
          <w:ilvl w:val="1"/>
          <w:numId w:val="24"/>
        </w:numPr>
        <w:ind w:left="851" w:hanging="851"/>
      </w:pP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each have a special pricing arrangement for the second-line treatment of RCC, with effective prices for </w:t>
      </w:r>
      <w:proofErr w:type="spellStart"/>
      <w:r w:rsidRPr="00497E12">
        <w:t>everolimus</w:t>
      </w:r>
      <w:proofErr w:type="spellEnd"/>
      <w:r w:rsidR="003E4D10" w:rsidRPr="00497E12">
        <w:t xml:space="preserve"> (10 mg; Max </w:t>
      </w:r>
      <w:proofErr w:type="spellStart"/>
      <w:r w:rsidR="003E4D10" w:rsidRPr="00497E12">
        <w:t>Qty</w:t>
      </w:r>
      <w:proofErr w:type="spellEnd"/>
      <w:r w:rsidR="003E4D10" w:rsidRPr="00497E12">
        <w:t xml:space="preserve"> 30)</w:t>
      </w:r>
      <w:r w:rsidRPr="00497E12">
        <w:t xml:space="preserve">, </w:t>
      </w:r>
      <w:proofErr w:type="spellStart"/>
      <w:r w:rsidRPr="00497E12">
        <w:t>axitinib</w:t>
      </w:r>
      <w:proofErr w:type="spellEnd"/>
      <w:r w:rsidRPr="00497E12">
        <w:t xml:space="preserve"> </w:t>
      </w:r>
      <w:r w:rsidR="003E4D10" w:rsidRPr="00497E12">
        <w:t xml:space="preserve">(5 mg; Max </w:t>
      </w:r>
      <w:proofErr w:type="spellStart"/>
      <w:r w:rsidR="003E4D10" w:rsidRPr="00497E12">
        <w:t>Qty</w:t>
      </w:r>
      <w:proofErr w:type="spellEnd"/>
      <w:r w:rsidR="003E4D10" w:rsidRPr="00497E12">
        <w:t xml:space="preserve"> 56) </w:t>
      </w:r>
      <w:r w:rsidRPr="00497E12">
        <w:t xml:space="preserve">and </w:t>
      </w:r>
      <w:proofErr w:type="spellStart"/>
      <w:r w:rsidRPr="00497E12">
        <w:t>sorafenib</w:t>
      </w:r>
      <w:proofErr w:type="spellEnd"/>
      <w:r w:rsidR="003E4D10" w:rsidRPr="00497E12">
        <w:t xml:space="preserve"> (200 mg; Max </w:t>
      </w:r>
      <w:proofErr w:type="spellStart"/>
      <w:r w:rsidR="003E4D10" w:rsidRPr="00497E12">
        <w:t>Qty</w:t>
      </w:r>
      <w:proofErr w:type="spellEnd"/>
      <w:r w:rsidR="003E4D10" w:rsidRPr="00497E12">
        <w:t xml:space="preserve"> 120)</w:t>
      </w:r>
      <w:r w:rsidRPr="00497E12">
        <w:t xml:space="preserve">. The ICERs (without adjusting to calculate treatment costs on a per cycle basis) for the requested listing of </w:t>
      </w:r>
      <w:proofErr w:type="spellStart"/>
      <w:r w:rsidRPr="00497E12">
        <w:t>nivolumab</w:t>
      </w:r>
      <w:proofErr w:type="spellEnd"/>
      <w:r w:rsidRPr="00497E12">
        <w:t xml:space="preserve"> using the effective prices of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are presented in Table 1</w:t>
      </w:r>
      <w:r w:rsidR="00AE47D4" w:rsidRPr="00497E12">
        <w:t>1</w:t>
      </w:r>
      <w:r w:rsidRPr="00497E12">
        <w:t xml:space="preserve"> below.</w:t>
      </w:r>
    </w:p>
    <w:p w:rsidR="00EE5F86" w:rsidRPr="00497E12" w:rsidRDefault="00EE5F86" w:rsidP="00EE5F86">
      <w:pPr>
        <w:pStyle w:val="BodyText"/>
        <w:jc w:val="both"/>
      </w:pPr>
    </w:p>
    <w:p w:rsidR="00EE5F86" w:rsidRPr="00497E12" w:rsidRDefault="00EE5F86" w:rsidP="00AE47D4">
      <w:pPr>
        <w:pStyle w:val="BodyText"/>
        <w:keepNext/>
        <w:ind w:left="709"/>
        <w:rPr>
          <w:rStyle w:val="CommentReference"/>
        </w:rPr>
      </w:pPr>
      <w:r w:rsidRPr="00497E12">
        <w:rPr>
          <w:rStyle w:val="CommentReference"/>
        </w:rPr>
        <w:t>T</w:t>
      </w:r>
      <w:r w:rsidR="00DF2DF6" w:rsidRPr="00497E12">
        <w:rPr>
          <w:rStyle w:val="CommentReference"/>
        </w:rPr>
        <w:t>a</w:t>
      </w:r>
      <w:r w:rsidRPr="00497E12">
        <w:rPr>
          <w:rStyle w:val="CommentReference"/>
        </w:rPr>
        <w:t>ble 1</w:t>
      </w:r>
      <w:r w:rsidR="00AE47D4" w:rsidRPr="00497E12">
        <w:rPr>
          <w:rStyle w:val="CommentReference"/>
        </w:rPr>
        <w:t>1</w:t>
      </w:r>
      <w:r w:rsidRPr="00497E12">
        <w:rPr>
          <w:rStyle w:val="CommentReference"/>
        </w:rPr>
        <w:t xml:space="preserve">: Results of the economic evaluation </w:t>
      </w:r>
      <w:r w:rsidRPr="00497E12">
        <w:rPr>
          <w:rFonts w:ascii="Arial Narrow" w:hAnsi="Arial Narrow"/>
          <w:b/>
          <w:sz w:val="20"/>
        </w:rPr>
        <w:t xml:space="preserve">using effective prices of </w:t>
      </w:r>
      <w:proofErr w:type="spellStart"/>
      <w:r w:rsidRPr="00497E12">
        <w:rPr>
          <w:rFonts w:ascii="Arial Narrow" w:hAnsi="Arial Narrow"/>
          <w:b/>
          <w:sz w:val="20"/>
        </w:rPr>
        <w:t>everolimus</w:t>
      </w:r>
      <w:proofErr w:type="spellEnd"/>
      <w:r w:rsidRPr="00497E12">
        <w:rPr>
          <w:rFonts w:ascii="Arial Narrow" w:hAnsi="Arial Narrow"/>
          <w:b/>
          <w:sz w:val="20"/>
        </w:rPr>
        <w:t xml:space="preserve">, </w:t>
      </w:r>
      <w:proofErr w:type="spellStart"/>
      <w:r w:rsidRPr="00497E12">
        <w:rPr>
          <w:rFonts w:ascii="Arial Narrow" w:hAnsi="Arial Narrow"/>
          <w:b/>
          <w:sz w:val="20"/>
        </w:rPr>
        <w:t>axitinib</w:t>
      </w:r>
      <w:proofErr w:type="spellEnd"/>
      <w:r w:rsidRPr="00497E12">
        <w:rPr>
          <w:rFonts w:ascii="Arial Narrow" w:hAnsi="Arial Narrow"/>
          <w:b/>
          <w:sz w:val="20"/>
        </w:rPr>
        <w:t xml:space="preserve"> and </w:t>
      </w:r>
      <w:proofErr w:type="spellStart"/>
      <w:r w:rsidRPr="00497E12">
        <w:rPr>
          <w:rFonts w:ascii="Arial Narrow" w:hAnsi="Arial Narrow"/>
          <w:b/>
          <w:sz w:val="20"/>
        </w:rPr>
        <w:t>sorafenib</w:t>
      </w:r>
      <w:proofErr w:type="spellEnd"/>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0"/>
        <w:gridCol w:w="2380"/>
        <w:gridCol w:w="2185"/>
        <w:gridCol w:w="2250"/>
      </w:tblGrid>
      <w:tr w:rsidR="00EE5F86" w:rsidRPr="00497E12" w:rsidTr="00AE47D4">
        <w:tc>
          <w:tcPr>
            <w:tcW w:w="917" w:type="pct"/>
          </w:tcPr>
          <w:p w:rsidR="00EE5F86" w:rsidRPr="00497E12" w:rsidRDefault="00EE5F86" w:rsidP="00766FBA">
            <w:pPr>
              <w:keepNext/>
              <w:rPr>
                <w:rFonts w:ascii="Arial Narrow" w:hAnsi="Arial Narrow"/>
                <w:b/>
                <w:sz w:val="20"/>
              </w:rPr>
            </w:pPr>
            <w:r w:rsidRPr="00497E12">
              <w:rPr>
                <w:rFonts w:ascii="Arial Narrow" w:hAnsi="Arial Narrow"/>
                <w:b/>
                <w:sz w:val="20"/>
              </w:rPr>
              <w:t>Component</w:t>
            </w:r>
          </w:p>
        </w:tc>
        <w:tc>
          <w:tcPr>
            <w:tcW w:w="1426" w:type="pct"/>
          </w:tcPr>
          <w:p w:rsidR="00EE5F86" w:rsidRPr="00497E12" w:rsidRDefault="00EE5F86" w:rsidP="00766FBA">
            <w:pPr>
              <w:keepNext/>
              <w:jc w:val="center"/>
              <w:rPr>
                <w:rFonts w:ascii="Arial Narrow" w:hAnsi="Arial Narrow"/>
                <w:b/>
                <w:sz w:val="20"/>
              </w:rPr>
            </w:pPr>
            <w:proofErr w:type="spellStart"/>
            <w:r w:rsidRPr="00497E12">
              <w:rPr>
                <w:rFonts w:ascii="Arial Narrow" w:hAnsi="Arial Narrow"/>
                <w:b/>
                <w:sz w:val="20"/>
              </w:rPr>
              <w:t>Nivolumab</w:t>
            </w:r>
            <w:proofErr w:type="spellEnd"/>
          </w:p>
        </w:tc>
        <w:tc>
          <w:tcPr>
            <w:tcW w:w="1309" w:type="pct"/>
          </w:tcPr>
          <w:p w:rsidR="00EE5F86" w:rsidRPr="00497E12" w:rsidRDefault="00EE5F86" w:rsidP="00766FBA">
            <w:pPr>
              <w:keepNext/>
              <w:jc w:val="center"/>
              <w:rPr>
                <w:rFonts w:ascii="Arial Narrow" w:hAnsi="Arial Narrow"/>
                <w:b/>
                <w:sz w:val="20"/>
              </w:rPr>
            </w:pPr>
            <w:proofErr w:type="spellStart"/>
            <w:r w:rsidRPr="00497E12">
              <w:rPr>
                <w:rFonts w:ascii="Arial Narrow" w:hAnsi="Arial Narrow"/>
                <w:b/>
                <w:sz w:val="20"/>
              </w:rPr>
              <w:t>Everolimus</w:t>
            </w:r>
            <w:proofErr w:type="spellEnd"/>
          </w:p>
        </w:tc>
        <w:tc>
          <w:tcPr>
            <w:tcW w:w="1349" w:type="pct"/>
          </w:tcPr>
          <w:p w:rsidR="00EE5F86" w:rsidRPr="00497E12" w:rsidRDefault="00EE5F86" w:rsidP="00766FBA">
            <w:pPr>
              <w:keepNext/>
              <w:jc w:val="center"/>
              <w:rPr>
                <w:rFonts w:ascii="Arial Narrow" w:hAnsi="Arial Narrow"/>
                <w:b/>
                <w:sz w:val="20"/>
              </w:rPr>
            </w:pPr>
            <w:r w:rsidRPr="00497E12">
              <w:rPr>
                <w:rFonts w:ascii="Arial Narrow" w:hAnsi="Arial Narrow"/>
                <w:b/>
                <w:sz w:val="20"/>
              </w:rPr>
              <w:t>Increment</w:t>
            </w:r>
          </w:p>
        </w:tc>
      </w:tr>
      <w:tr w:rsidR="00EE5F86" w:rsidRPr="00497E12" w:rsidTr="00AE47D4">
        <w:tc>
          <w:tcPr>
            <w:tcW w:w="917" w:type="pct"/>
          </w:tcPr>
          <w:p w:rsidR="00EE5F86" w:rsidRPr="001C26DA" w:rsidRDefault="00EE5F86" w:rsidP="00766FBA">
            <w:pPr>
              <w:keepNext/>
              <w:rPr>
                <w:rFonts w:ascii="Arial Narrow" w:hAnsi="Arial Narrow"/>
                <w:sz w:val="20"/>
              </w:rPr>
            </w:pPr>
            <w:proofErr w:type="spellStart"/>
            <w:r w:rsidRPr="001C26DA">
              <w:rPr>
                <w:rFonts w:ascii="Arial Narrow" w:hAnsi="Arial Narrow"/>
                <w:sz w:val="20"/>
              </w:rPr>
              <w:t>Costs</w:t>
            </w:r>
            <w:r w:rsidRPr="001C26DA">
              <w:rPr>
                <w:rFonts w:ascii="Arial Narrow" w:hAnsi="Arial Narrow"/>
                <w:sz w:val="20"/>
                <w:vertAlign w:val="superscript"/>
              </w:rPr>
              <w:t>a</w:t>
            </w:r>
            <w:proofErr w:type="spellEnd"/>
          </w:p>
        </w:tc>
        <w:tc>
          <w:tcPr>
            <w:tcW w:w="1426" w:type="pct"/>
            <w:tcBorders>
              <w:top w:val="single" w:sz="4" w:space="0" w:color="auto"/>
              <w:left w:val="single" w:sz="4" w:space="0" w:color="auto"/>
              <w:bottom w:val="single" w:sz="4" w:space="0" w:color="auto"/>
              <w:right w:val="single" w:sz="4" w:space="0" w:color="auto"/>
            </w:tcBorders>
          </w:tcPr>
          <w:p w:rsidR="00EE5F86" w:rsidRPr="001C26DA" w:rsidRDefault="00EE5F86" w:rsidP="00766FBA">
            <w:pPr>
              <w:keepNext/>
              <w:jc w:val="center"/>
              <w:rPr>
                <w:rFonts w:ascii="Arial Narrow" w:hAnsi="Arial Narrow"/>
                <w:i/>
                <w:sz w:val="20"/>
              </w:rPr>
            </w:pPr>
            <w:r w:rsidRPr="001C26DA">
              <w:rPr>
                <w:rFonts w:ascii="Arial Narrow" w:hAnsi="Arial Narrow"/>
                <w:i/>
                <w:sz w:val="20"/>
              </w:rPr>
              <w:t>$</w:t>
            </w:r>
            <w:r w:rsidR="00955CB5">
              <w:rPr>
                <w:rFonts w:ascii="Arial Narrow" w:hAnsi="Arial Narrow"/>
                <w:i/>
                <w:noProof/>
                <w:color w:val="000000"/>
                <w:sz w:val="20"/>
                <w:highlight w:val="black"/>
              </w:rPr>
              <w:t>'''''''''''''''''</w:t>
            </w:r>
          </w:p>
        </w:tc>
        <w:tc>
          <w:tcPr>
            <w:tcW w:w="1309" w:type="pct"/>
            <w:tcBorders>
              <w:top w:val="single" w:sz="4" w:space="0" w:color="auto"/>
              <w:left w:val="single" w:sz="4" w:space="0" w:color="auto"/>
              <w:bottom w:val="single" w:sz="4" w:space="0" w:color="auto"/>
              <w:right w:val="single" w:sz="4" w:space="0" w:color="auto"/>
            </w:tcBorders>
          </w:tcPr>
          <w:p w:rsidR="00EE5F86" w:rsidRPr="001C26DA" w:rsidRDefault="00EE5F86" w:rsidP="00766FBA">
            <w:pPr>
              <w:keepNext/>
              <w:jc w:val="center"/>
              <w:rPr>
                <w:rFonts w:ascii="Arial Narrow" w:hAnsi="Arial Narrow"/>
                <w:i/>
                <w:sz w:val="20"/>
              </w:rPr>
            </w:pPr>
            <w:r w:rsidRPr="001C26DA">
              <w:rPr>
                <w:rFonts w:ascii="Arial Narrow" w:hAnsi="Arial Narrow"/>
                <w:i/>
                <w:sz w:val="20"/>
              </w:rPr>
              <w:t>$</w:t>
            </w:r>
            <w:r w:rsidR="00955CB5">
              <w:rPr>
                <w:rFonts w:ascii="Arial Narrow" w:hAnsi="Arial Narrow"/>
                <w:i/>
                <w:noProof/>
                <w:color w:val="000000"/>
                <w:sz w:val="20"/>
                <w:highlight w:val="black"/>
              </w:rPr>
              <w:t>''''''''''''''''</w:t>
            </w:r>
          </w:p>
        </w:tc>
        <w:tc>
          <w:tcPr>
            <w:tcW w:w="1349" w:type="pct"/>
            <w:tcBorders>
              <w:top w:val="single" w:sz="4" w:space="0" w:color="auto"/>
              <w:left w:val="single" w:sz="4" w:space="0" w:color="auto"/>
              <w:bottom w:val="single" w:sz="4" w:space="0" w:color="auto"/>
              <w:right w:val="single" w:sz="4" w:space="0" w:color="auto"/>
            </w:tcBorders>
          </w:tcPr>
          <w:p w:rsidR="00EE5F86" w:rsidRPr="001C26DA" w:rsidRDefault="00EE5F86" w:rsidP="00766FBA">
            <w:pPr>
              <w:keepNext/>
              <w:jc w:val="center"/>
              <w:rPr>
                <w:rFonts w:ascii="Arial Narrow" w:hAnsi="Arial Narrow"/>
                <w:i/>
                <w:sz w:val="20"/>
              </w:rPr>
            </w:pPr>
            <w:r w:rsidRPr="001C26DA">
              <w:rPr>
                <w:rFonts w:ascii="Arial Narrow" w:hAnsi="Arial Narrow"/>
                <w:i/>
                <w:sz w:val="20"/>
              </w:rPr>
              <w:t>$</w:t>
            </w:r>
            <w:r w:rsidR="00955CB5">
              <w:rPr>
                <w:rFonts w:ascii="Arial Narrow" w:hAnsi="Arial Narrow"/>
                <w:i/>
                <w:noProof/>
                <w:color w:val="000000"/>
                <w:sz w:val="20"/>
                <w:highlight w:val="black"/>
              </w:rPr>
              <w:t>'''''''''''''''</w:t>
            </w:r>
          </w:p>
        </w:tc>
      </w:tr>
      <w:tr w:rsidR="00EE5F86" w:rsidRPr="00497E12" w:rsidTr="00AE47D4">
        <w:tc>
          <w:tcPr>
            <w:tcW w:w="917" w:type="pct"/>
          </w:tcPr>
          <w:p w:rsidR="00EE5F86" w:rsidRPr="001C26DA" w:rsidRDefault="00EE5F86" w:rsidP="00766FBA">
            <w:pPr>
              <w:keepNext/>
              <w:rPr>
                <w:rFonts w:ascii="Arial Narrow" w:hAnsi="Arial Narrow"/>
                <w:sz w:val="20"/>
              </w:rPr>
            </w:pPr>
            <w:r w:rsidRPr="001C26DA">
              <w:rPr>
                <w:rFonts w:ascii="Arial Narrow" w:hAnsi="Arial Narrow"/>
                <w:sz w:val="20"/>
              </w:rPr>
              <w:t>LY</w:t>
            </w:r>
          </w:p>
        </w:tc>
        <w:tc>
          <w:tcPr>
            <w:tcW w:w="1426"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c>
          <w:tcPr>
            <w:tcW w:w="1309"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c>
          <w:tcPr>
            <w:tcW w:w="1349"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r>
      <w:tr w:rsidR="00EE5F86" w:rsidRPr="00497E12" w:rsidTr="00AE47D4">
        <w:tc>
          <w:tcPr>
            <w:tcW w:w="3651" w:type="pct"/>
            <w:gridSpan w:val="3"/>
          </w:tcPr>
          <w:p w:rsidR="00EE5F86" w:rsidRPr="001C26DA" w:rsidRDefault="00EE5F86" w:rsidP="00766FBA">
            <w:pPr>
              <w:keepNext/>
              <w:rPr>
                <w:rFonts w:ascii="Arial Narrow" w:hAnsi="Arial Narrow"/>
                <w:b/>
                <w:sz w:val="20"/>
              </w:rPr>
            </w:pPr>
            <w:r w:rsidRPr="001C26DA">
              <w:rPr>
                <w:rFonts w:ascii="Arial Narrow" w:hAnsi="Arial Narrow"/>
                <w:b/>
                <w:sz w:val="20"/>
              </w:rPr>
              <w:t xml:space="preserve">Incremental cost/LY gained </w:t>
            </w:r>
            <w:r w:rsidRPr="001C26DA">
              <w:rPr>
                <w:rFonts w:ascii="Arial Narrow" w:hAnsi="Arial Narrow"/>
                <w:b/>
                <w:i/>
                <w:sz w:val="20"/>
              </w:rPr>
              <w:t>(submission base case = $</w:t>
            </w:r>
            <w:r w:rsidR="00B32DC8">
              <w:rPr>
                <w:rFonts w:ascii="Arial Narrow" w:hAnsi="Arial Narrow"/>
                <w:b/>
                <w:i/>
                <w:noProof/>
                <w:color w:val="000000"/>
                <w:sz w:val="20"/>
                <w:highlight w:val="black"/>
              </w:rPr>
              <w:t>''''''''''''</w:t>
            </w:r>
            <w:r w:rsidRPr="001C26DA">
              <w:rPr>
                <w:rFonts w:ascii="Arial Narrow" w:hAnsi="Arial Narrow"/>
                <w:b/>
                <w:i/>
                <w:sz w:val="20"/>
              </w:rPr>
              <w:t>)</w:t>
            </w:r>
          </w:p>
        </w:tc>
        <w:tc>
          <w:tcPr>
            <w:tcW w:w="1349" w:type="pct"/>
          </w:tcPr>
          <w:p w:rsidR="00EE5F86" w:rsidRPr="001C26DA" w:rsidRDefault="00EE5F86" w:rsidP="00766FBA">
            <w:pPr>
              <w:keepNext/>
              <w:jc w:val="center"/>
              <w:rPr>
                <w:rFonts w:ascii="Arial Narrow" w:hAnsi="Arial Narrow"/>
                <w:b/>
                <w:i/>
                <w:sz w:val="20"/>
              </w:rPr>
            </w:pPr>
            <w:r w:rsidRPr="001C26DA">
              <w:rPr>
                <w:rFonts w:ascii="Arial Narrow" w:hAnsi="Arial Narrow"/>
                <w:b/>
                <w:i/>
                <w:sz w:val="20"/>
              </w:rPr>
              <w:t>$</w:t>
            </w:r>
            <w:r w:rsidR="00955CB5">
              <w:rPr>
                <w:rFonts w:ascii="Arial Narrow" w:hAnsi="Arial Narrow"/>
                <w:b/>
                <w:i/>
                <w:noProof/>
                <w:color w:val="000000"/>
                <w:sz w:val="20"/>
                <w:highlight w:val="black"/>
              </w:rPr>
              <w:t>''''''''''''''''</w:t>
            </w:r>
          </w:p>
        </w:tc>
      </w:tr>
      <w:tr w:rsidR="00EE5F86" w:rsidRPr="00497E12" w:rsidTr="00AE47D4">
        <w:tc>
          <w:tcPr>
            <w:tcW w:w="917" w:type="pct"/>
          </w:tcPr>
          <w:p w:rsidR="00EE5F86" w:rsidRPr="001C26DA" w:rsidRDefault="00EE5F86" w:rsidP="00766FBA">
            <w:pPr>
              <w:keepNext/>
              <w:rPr>
                <w:rFonts w:ascii="Arial Narrow" w:hAnsi="Arial Narrow"/>
                <w:sz w:val="20"/>
              </w:rPr>
            </w:pPr>
            <w:r w:rsidRPr="001C26DA">
              <w:rPr>
                <w:rFonts w:ascii="Arial Narrow" w:hAnsi="Arial Narrow"/>
                <w:sz w:val="20"/>
              </w:rPr>
              <w:t>QALY</w:t>
            </w:r>
          </w:p>
        </w:tc>
        <w:tc>
          <w:tcPr>
            <w:tcW w:w="1426"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c>
          <w:tcPr>
            <w:tcW w:w="1309"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c>
          <w:tcPr>
            <w:tcW w:w="1349" w:type="pct"/>
            <w:tcBorders>
              <w:top w:val="single" w:sz="4" w:space="0" w:color="auto"/>
              <w:left w:val="single" w:sz="4" w:space="0" w:color="auto"/>
              <w:bottom w:val="single" w:sz="4" w:space="0" w:color="auto"/>
              <w:right w:val="single" w:sz="4" w:space="0" w:color="auto"/>
            </w:tcBorders>
          </w:tcPr>
          <w:p w:rsidR="00EE5F86" w:rsidRPr="00B32DC8" w:rsidRDefault="00B32DC8" w:rsidP="00766FBA">
            <w:pPr>
              <w:keepNext/>
              <w:jc w:val="center"/>
              <w:rPr>
                <w:rFonts w:ascii="Arial Narrow" w:hAnsi="Arial Narrow"/>
                <w:sz w:val="20"/>
                <w:highlight w:val="black"/>
              </w:rPr>
            </w:pPr>
            <w:r>
              <w:rPr>
                <w:rFonts w:ascii="Arial Narrow" w:hAnsi="Arial Narrow"/>
                <w:noProof/>
                <w:color w:val="000000"/>
                <w:sz w:val="20"/>
                <w:highlight w:val="black"/>
              </w:rPr>
              <w:t>''''''''''</w:t>
            </w:r>
          </w:p>
        </w:tc>
      </w:tr>
      <w:tr w:rsidR="00EE5F86" w:rsidRPr="00497E12" w:rsidTr="00AE47D4">
        <w:tc>
          <w:tcPr>
            <w:tcW w:w="3651" w:type="pct"/>
            <w:gridSpan w:val="3"/>
          </w:tcPr>
          <w:p w:rsidR="00EE5F86" w:rsidRPr="001C26DA" w:rsidRDefault="00EE5F86" w:rsidP="00766FBA">
            <w:pPr>
              <w:keepNext/>
              <w:rPr>
                <w:rFonts w:ascii="Arial Narrow" w:hAnsi="Arial Narrow"/>
                <w:b/>
                <w:sz w:val="20"/>
              </w:rPr>
            </w:pPr>
            <w:r w:rsidRPr="001C26DA">
              <w:rPr>
                <w:rFonts w:ascii="Arial Narrow" w:hAnsi="Arial Narrow"/>
                <w:b/>
                <w:sz w:val="20"/>
              </w:rPr>
              <w:t xml:space="preserve">Incremental cost/QALY gained </w:t>
            </w:r>
            <w:r w:rsidRPr="001C26DA">
              <w:rPr>
                <w:rFonts w:ascii="Arial Narrow" w:hAnsi="Arial Narrow"/>
                <w:b/>
                <w:i/>
                <w:sz w:val="20"/>
              </w:rPr>
              <w:t>(submission base case = $</w:t>
            </w:r>
            <w:r w:rsidR="00B32DC8">
              <w:rPr>
                <w:rFonts w:ascii="Arial Narrow" w:hAnsi="Arial Narrow"/>
                <w:b/>
                <w:i/>
                <w:noProof/>
                <w:color w:val="000000"/>
                <w:sz w:val="20"/>
                <w:highlight w:val="black"/>
              </w:rPr>
              <w:t>''''''''''''</w:t>
            </w:r>
            <w:r w:rsidRPr="001C26DA">
              <w:rPr>
                <w:rFonts w:ascii="Arial Narrow" w:hAnsi="Arial Narrow"/>
                <w:b/>
                <w:i/>
                <w:sz w:val="20"/>
              </w:rPr>
              <w:t>)</w:t>
            </w:r>
          </w:p>
        </w:tc>
        <w:tc>
          <w:tcPr>
            <w:tcW w:w="1349" w:type="pct"/>
          </w:tcPr>
          <w:p w:rsidR="00EE5F86" w:rsidRPr="001C26DA" w:rsidRDefault="00EE5F86" w:rsidP="00766FBA">
            <w:pPr>
              <w:keepNext/>
              <w:jc w:val="center"/>
              <w:rPr>
                <w:rFonts w:ascii="Arial Narrow" w:hAnsi="Arial Narrow"/>
                <w:b/>
                <w:i/>
                <w:sz w:val="20"/>
              </w:rPr>
            </w:pPr>
            <w:r w:rsidRPr="001C26DA">
              <w:rPr>
                <w:rFonts w:ascii="Arial Narrow" w:hAnsi="Arial Narrow"/>
                <w:b/>
                <w:i/>
                <w:sz w:val="20"/>
              </w:rPr>
              <w:t>$</w:t>
            </w:r>
            <w:r w:rsidR="00955CB5">
              <w:rPr>
                <w:rFonts w:ascii="Arial Narrow" w:hAnsi="Arial Narrow"/>
                <w:b/>
                <w:i/>
                <w:noProof/>
                <w:color w:val="000000"/>
                <w:sz w:val="20"/>
                <w:highlight w:val="black"/>
              </w:rPr>
              <w:t>''''''''''''''''</w:t>
            </w:r>
            <w:r w:rsidRPr="001C26DA">
              <w:rPr>
                <w:rFonts w:ascii="Arial Narrow" w:hAnsi="Arial Narrow"/>
                <w:b/>
                <w:i/>
                <w:sz w:val="20"/>
              </w:rPr>
              <w:t xml:space="preserve"> (10 years)</w:t>
            </w:r>
            <w:r w:rsidRPr="001C26DA">
              <w:rPr>
                <w:rFonts w:ascii="Arial Narrow" w:hAnsi="Arial Narrow"/>
                <w:b/>
                <w:i/>
                <w:sz w:val="20"/>
              </w:rPr>
              <w:br/>
              <w:t>$</w:t>
            </w:r>
            <w:r w:rsidR="00955CB5">
              <w:rPr>
                <w:rFonts w:ascii="Arial Narrow" w:hAnsi="Arial Narrow"/>
                <w:b/>
                <w:i/>
                <w:noProof/>
                <w:color w:val="000000"/>
                <w:sz w:val="20"/>
                <w:highlight w:val="black"/>
              </w:rPr>
              <w:t>'''''''''''''''''</w:t>
            </w:r>
            <w:r w:rsidRPr="001C26DA">
              <w:rPr>
                <w:rFonts w:ascii="Arial Narrow" w:hAnsi="Arial Narrow"/>
                <w:b/>
                <w:i/>
                <w:sz w:val="20"/>
              </w:rPr>
              <w:t xml:space="preserve"> (5 years)</w:t>
            </w:r>
          </w:p>
        </w:tc>
      </w:tr>
    </w:tbl>
    <w:p w:rsidR="00EE5F86" w:rsidRPr="00497E12" w:rsidRDefault="00EE5F86" w:rsidP="00AE47D4">
      <w:pPr>
        <w:pStyle w:val="TableFooter"/>
        <w:keepNext/>
        <w:ind w:left="709"/>
        <w:rPr>
          <w:szCs w:val="18"/>
        </w:rPr>
      </w:pPr>
      <w:r w:rsidRPr="00497E12">
        <w:rPr>
          <w:szCs w:val="18"/>
        </w:rPr>
        <w:t>Source: Section D workbook.</w:t>
      </w:r>
    </w:p>
    <w:p w:rsidR="00EE5F86" w:rsidRPr="00497E12" w:rsidRDefault="00EE5F86" w:rsidP="00AE47D4">
      <w:pPr>
        <w:pStyle w:val="TableFooter"/>
        <w:keepNext/>
        <w:ind w:left="709"/>
        <w:rPr>
          <w:szCs w:val="18"/>
        </w:rPr>
      </w:pPr>
      <w:r w:rsidRPr="00497E12">
        <w:rPr>
          <w:szCs w:val="18"/>
        </w:rPr>
        <w:t xml:space="preserve">Abbreviations: LY=life year; QALY=quality-adjusted life year. </w:t>
      </w:r>
    </w:p>
    <w:p w:rsidR="00EE5F86" w:rsidRPr="00497E12" w:rsidRDefault="00EE5F86" w:rsidP="00AE47D4">
      <w:pPr>
        <w:pStyle w:val="TableFooter"/>
        <w:keepNext/>
        <w:ind w:left="709"/>
        <w:contextualSpacing/>
      </w:pPr>
      <w:proofErr w:type="spellStart"/>
      <w:proofErr w:type="gramStart"/>
      <w:r w:rsidRPr="00497E12">
        <w:rPr>
          <w:vertAlign w:val="superscript"/>
        </w:rPr>
        <w:t>a</w:t>
      </w:r>
      <w:proofErr w:type="spellEnd"/>
      <w:proofErr w:type="gramEnd"/>
      <w:r w:rsidRPr="00497E12">
        <w:t xml:space="preserve"> Costs have been updated during the evaluation for the preparation fee (from $82.67 to $102.67).</w:t>
      </w:r>
    </w:p>
    <w:p w:rsidR="00EE5F86" w:rsidRPr="00497E12" w:rsidRDefault="00EE5F86" w:rsidP="00AE47D4">
      <w:pPr>
        <w:pStyle w:val="TableFooter"/>
        <w:ind w:left="709"/>
        <w:rPr>
          <w:i/>
          <w:szCs w:val="18"/>
        </w:rPr>
      </w:pPr>
      <w:r w:rsidRPr="00497E12">
        <w:rPr>
          <w:szCs w:val="18"/>
        </w:rPr>
        <w:t>Note:</w:t>
      </w:r>
      <w:r w:rsidRPr="00497E12">
        <w:rPr>
          <w:i/>
          <w:szCs w:val="18"/>
        </w:rPr>
        <w:t xml:space="preserve"> </w:t>
      </w:r>
      <w:r w:rsidRPr="00497E12">
        <w:t xml:space="preserve">The submission reported the results of its economic evaluation for a cohort of 1,000 patients. </w:t>
      </w:r>
      <w:r w:rsidRPr="00497E12">
        <w:rPr>
          <w:iCs/>
        </w:rPr>
        <w:t>These values were divided by 1,000 (individual patient average values) during the evaluation for clarity.</w:t>
      </w:r>
    </w:p>
    <w:p w:rsidR="00400464" w:rsidRPr="00497E12" w:rsidRDefault="00400464" w:rsidP="00CF63F8">
      <w:pPr>
        <w:widowControl/>
        <w:rPr>
          <w:szCs w:val="22"/>
        </w:rPr>
      </w:pPr>
    </w:p>
    <w:p w:rsidR="00CF63F8" w:rsidRPr="00497E12" w:rsidRDefault="00CF63F8" w:rsidP="00A45A8D">
      <w:pPr>
        <w:pStyle w:val="Heading2"/>
      </w:pPr>
      <w:bookmarkStart w:id="19" w:name="_Toc450136349"/>
      <w:r w:rsidRPr="00497E12">
        <w:t>Drug cost/patient/course: $</w:t>
      </w:r>
      <w:bookmarkEnd w:id="19"/>
      <w:r w:rsidR="00B32DC8">
        <w:rPr>
          <w:noProof/>
          <w:color w:val="000000"/>
          <w:highlight w:val="black"/>
        </w:rPr>
        <w:t>''''''''''''''''''</w:t>
      </w:r>
    </w:p>
    <w:p w:rsidR="00CF63F8" w:rsidRPr="00497E12" w:rsidRDefault="00CF63F8" w:rsidP="00CF63F8">
      <w:pPr>
        <w:widowControl/>
        <w:rPr>
          <w:szCs w:val="22"/>
        </w:rPr>
      </w:pPr>
    </w:p>
    <w:p w:rsidR="00D10CE3" w:rsidRPr="00497E12" w:rsidRDefault="00D10CE3" w:rsidP="00A45A8D">
      <w:pPr>
        <w:pStyle w:val="ListParagraph"/>
        <w:widowControl/>
        <w:numPr>
          <w:ilvl w:val="1"/>
          <w:numId w:val="24"/>
        </w:numPr>
        <w:ind w:left="851" w:hanging="851"/>
      </w:pPr>
      <w:r w:rsidRPr="00497E12">
        <w:t xml:space="preserve">A summary of the estimated drug cost/patient/course for </w:t>
      </w:r>
      <w:proofErr w:type="spellStart"/>
      <w:r w:rsidRPr="00497E12">
        <w:t>nivolumab</w:t>
      </w:r>
      <w:proofErr w:type="spellEnd"/>
      <w:r w:rsidRPr="00497E12">
        <w:t xml:space="preserve"> i</w:t>
      </w:r>
      <w:r w:rsidR="00074704" w:rsidRPr="00497E12">
        <w:t>s presented in the table below.</w:t>
      </w:r>
    </w:p>
    <w:p w:rsidR="00683313" w:rsidRPr="00497E12" w:rsidRDefault="00683313" w:rsidP="00683313">
      <w:pPr>
        <w:widowControl/>
      </w:pPr>
    </w:p>
    <w:p w:rsidR="00F85A80" w:rsidRPr="00497E12" w:rsidRDefault="00F85A80">
      <w:pPr>
        <w:widowControl/>
        <w:jc w:val="left"/>
        <w:rPr>
          <w:rFonts w:ascii="Arial Narrow" w:hAnsi="Arial Narrow"/>
          <w:b/>
          <w:sz w:val="20"/>
          <w:szCs w:val="22"/>
        </w:rPr>
      </w:pPr>
      <w:r w:rsidRPr="00497E12">
        <w:rPr>
          <w:rFonts w:ascii="Arial Narrow" w:hAnsi="Arial Narrow"/>
          <w:b/>
          <w:sz w:val="20"/>
          <w:szCs w:val="22"/>
        </w:rPr>
        <w:br w:type="page"/>
      </w:r>
    </w:p>
    <w:p w:rsidR="00410867" w:rsidRPr="00497E12" w:rsidRDefault="00410867" w:rsidP="00410867">
      <w:pPr>
        <w:pStyle w:val="ListParagraph"/>
        <w:widowControl/>
        <w:rPr>
          <w:rFonts w:ascii="Arial Narrow" w:hAnsi="Arial Narrow"/>
          <w:b/>
          <w:sz w:val="20"/>
          <w:szCs w:val="22"/>
        </w:rPr>
      </w:pPr>
      <w:r w:rsidRPr="00497E12">
        <w:rPr>
          <w:rFonts w:ascii="Arial Narrow" w:hAnsi="Arial Narrow"/>
          <w:b/>
          <w:sz w:val="20"/>
          <w:szCs w:val="22"/>
        </w:rPr>
        <w:lastRenderedPageBreak/>
        <w:t xml:space="preserve">Table </w:t>
      </w:r>
      <w:r w:rsidR="00826777" w:rsidRPr="00497E12">
        <w:rPr>
          <w:rFonts w:ascii="Arial Narrow" w:hAnsi="Arial Narrow"/>
          <w:b/>
          <w:sz w:val="20"/>
          <w:szCs w:val="22"/>
        </w:rPr>
        <w:t>1</w:t>
      </w:r>
      <w:r w:rsidR="00AE47D4" w:rsidRPr="00497E12">
        <w:rPr>
          <w:rFonts w:ascii="Arial Narrow" w:hAnsi="Arial Narrow"/>
          <w:b/>
          <w:sz w:val="20"/>
          <w:szCs w:val="22"/>
        </w:rPr>
        <w:t>2</w:t>
      </w:r>
      <w:r w:rsidRPr="00497E12">
        <w:rPr>
          <w:rFonts w:ascii="Arial Narrow" w:hAnsi="Arial Narrow"/>
          <w:b/>
          <w:sz w:val="20"/>
          <w:szCs w:val="22"/>
        </w:rPr>
        <w:t xml:space="preserve">: Summary of drug cost/patient/course for </w:t>
      </w:r>
      <w:proofErr w:type="spellStart"/>
      <w:r w:rsidRPr="00497E12">
        <w:rPr>
          <w:rFonts w:ascii="Arial Narrow" w:hAnsi="Arial Narrow"/>
          <w:b/>
          <w:sz w:val="20"/>
          <w:szCs w:val="22"/>
        </w:rPr>
        <w:t>nivolumab</w:t>
      </w:r>
      <w:proofErr w:type="spellEnd"/>
    </w:p>
    <w:tbl>
      <w:tblPr>
        <w:tblStyle w:val="TableGrid"/>
        <w:tblW w:w="4594" w:type="pct"/>
        <w:tblInd w:w="737" w:type="dxa"/>
        <w:tblCellMar>
          <w:left w:w="28" w:type="dxa"/>
          <w:right w:w="28" w:type="dxa"/>
        </w:tblCellMar>
        <w:tblLook w:val="04A0" w:firstRow="1" w:lastRow="0" w:firstColumn="1" w:lastColumn="0" w:noHBand="0" w:noVBand="1"/>
        <w:tblCaption w:val="Table 12: Summary of drug cost/patient/course for nivolumab"/>
      </w:tblPr>
      <w:tblGrid>
        <w:gridCol w:w="983"/>
        <w:gridCol w:w="2657"/>
        <w:gridCol w:w="1810"/>
        <w:gridCol w:w="1077"/>
        <w:gridCol w:w="1818"/>
      </w:tblGrid>
      <w:tr w:rsidR="00410867" w:rsidRPr="00497E12" w:rsidTr="00C64257">
        <w:trPr>
          <w:tblHeader/>
        </w:trPr>
        <w:tc>
          <w:tcPr>
            <w:tcW w:w="594" w:type="pct"/>
            <w:vAlign w:val="center"/>
          </w:tcPr>
          <w:p w:rsidR="00410867" w:rsidRPr="00497E12" w:rsidRDefault="00410867" w:rsidP="00C230F8">
            <w:pPr>
              <w:jc w:val="left"/>
              <w:rPr>
                <w:rFonts w:ascii="Arial Narrow" w:hAnsi="Arial Narrow"/>
                <w:b/>
                <w:sz w:val="20"/>
              </w:rPr>
            </w:pPr>
            <w:r w:rsidRPr="00497E12">
              <w:rPr>
                <w:rFonts w:ascii="Arial Narrow" w:hAnsi="Arial Narrow"/>
                <w:b/>
                <w:sz w:val="20"/>
              </w:rPr>
              <w:t>Parameter</w:t>
            </w:r>
          </w:p>
        </w:tc>
        <w:tc>
          <w:tcPr>
            <w:tcW w:w="1597" w:type="pct"/>
            <w:vAlign w:val="center"/>
          </w:tcPr>
          <w:p w:rsidR="00410867" w:rsidRPr="00497E12" w:rsidRDefault="00410867" w:rsidP="00C230F8">
            <w:pPr>
              <w:jc w:val="center"/>
              <w:rPr>
                <w:rFonts w:ascii="Arial Narrow" w:hAnsi="Arial Narrow"/>
                <w:b/>
                <w:sz w:val="20"/>
              </w:rPr>
            </w:pPr>
            <w:r w:rsidRPr="00497E12">
              <w:rPr>
                <w:rFonts w:ascii="Arial Narrow" w:hAnsi="Arial Narrow"/>
                <w:b/>
                <w:sz w:val="20"/>
              </w:rPr>
              <w:t>Source</w:t>
            </w:r>
          </w:p>
        </w:tc>
        <w:tc>
          <w:tcPr>
            <w:tcW w:w="1089" w:type="pct"/>
            <w:vAlign w:val="center"/>
          </w:tcPr>
          <w:p w:rsidR="00410867" w:rsidRPr="00497E12" w:rsidRDefault="00410867" w:rsidP="00C230F8">
            <w:pPr>
              <w:jc w:val="center"/>
              <w:rPr>
                <w:rFonts w:ascii="Arial Narrow" w:hAnsi="Arial Narrow"/>
                <w:b/>
                <w:sz w:val="20"/>
              </w:rPr>
            </w:pPr>
            <w:r w:rsidRPr="00497E12">
              <w:rPr>
                <w:rFonts w:ascii="Arial Narrow" w:hAnsi="Arial Narrow"/>
                <w:b/>
                <w:sz w:val="20"/>
              </w:rPr>
              <w:t>Number of vials and doses</w:t>
            </w:r>
          </w:p>
        </w:tc>
        <w:tc>
          <w:tcPr>
            <w:tcW w:w="626" w:type="pct"/>
            <w:vAlign w:val="center"/>
          </w:tcPr>
          <w:p w:rsidR="00410867" w:rsidRPr="00497E12" w:rsidRDefault="00410867" w:rsidP="00C230F8">
            <w:pPr>
              <w:jc w:val="center"/>
              <w:rPr>
                <w:rFonts w:ascii="Arial Narrow" w:hAnsi="Arial Narrow"/>
                <w:b/>
                <w:sz w:val="20"/>
              </w:rPr>
            </w:pPr>
            <w:r w:rsidRPr="00497E12">
              <w:rPr>
                <w:rFonts w:ascii="Arial Narrow" w:hAnsi="Arial Narrow"/>
                <w:b/>
                <w:sz w:val="20"/>
              </w:rPr>
              <w:t>Drug cost/infusion</w:t>
            </w:r>
          </w:p>
        </w:tc>
        <w:tc>
          <w:tcPr>
            <w:tcW w:w="1094" w:type="pct"/>
            <w:vAlign w:val="center"/>
          </w:tcPr>
          <w:p w:rsidR="00410867" w:rsidRPr="00497E12" w:rsidRDefault="00410867" w:rsidP="00C230F8">
            <w:pPr>
              <w:jc w:val="center"/>
              <w:rPr>
                <w:rFonts w:ascii="Arial Narrow" w:hAnsi="Arial Narrow"/>
                <w:b/>
                <w:sz w:val="20"/>
              </w:rPr>
            </w:pPr>
            <w:r w:rsidRPr="00497E12">
              <w:rPr>
                <w:rFonts w:ascii="Arial Narrow" w:hAnsi="Arial Narrow"/>
                <w:b/>
                <w:sz w:val="20"/>
              </w:rPr>
              <w:t>Drug cost/patient/course</w:t>
            </w:r>
          </w:p>
        </w:tc>
      </w:tr>
      <w:tr w:rsidR="00410867" w:rsidRPr="00497E12" w:rsidTr="00C230F8">
        <w:tc>
          <w:tcPr>
            <w:tcW w:w="594" w:type="pct"/>
            <w:vAlign w:val="center"/>
          </w:tcPr>
          <w:p w:rsidR="00410867" w:rsidRPr="00497E12" w:rsidRDefault="00410867" w:rsidP="00C230F8">
            <w:pPr>
              <w:jc w:val="left"/>
              <w:rPr>
                <w:rFonts w:ascii="Arial Narrow" w:hAnsi="Arial Narrow"/>
                <w:sz w:val="20"/>
              </w:rPr>
            </w:pPr>
            <w:r w:rsidRPr="00497E12">
              <w:rPr>
                <w:rFonts w:ascii="Arial Narrow" w:hAnsi="Arial Narrow"/>
                <w:sz w:val="20"/>
              </w:rPr>
              <w:t>Doses per patient</w:t>
            </w:r>
          </w:p>
        </w:tc>
        <w:tc>
          <w:tcPr>
            <w:tcW w:w="1597" w:type="pc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CA209-025: 3mg/kg; mean number of infusions = 19.2</w:t>
            </w:r>
          </w:p>
        </w:tc>
        <w:tc>
          <w:tcPr>
            <w:tcW w:w="1089" w:type="pc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 xml:space="preserve">Average dose of </w:t>
            </w:r>
            <w:r w:rsidR="00B32DC8">
              <w:rPr>
                <w:rFonts w:ascii="Arial Narrow" w:hAnsi="Arial Narrow"/>
                <w:noProof/>
                <w:color w:val="000000"/>
                <w:sz w:val="20"/>
                <w:highlight w:val="black"/>
              </w:rPr>
              <w:t>'''''''''''''''</w:t>
            </w:r>
            <w:r w:rsidRPr="00497E12">
              <w:rPr>
                <w:rFonts w:ascii="Arial Narrow" w:hAnsi="Arial Narrow"/>
                <w:sz w:val="20"/>
              </w:rPr>
              <w:t>mg per infusion</w:t>
            </w:r>
          </w:p>
          <w:p w:rsidR="00410867" w:rsidRPr="00497E12" w:rsidRDefault="00410867" w:rsidP="00C230F8">
            <w:pPr>
              <w:jc w:val="center"/>
              <w:rPr>
                <w:rFonts w:ascii="Arial Narrow" w:hAnsi="Arial Narrow"/>
                <w:sz w:val="20"/>
              </w:rPr>
            </w:pPr>
            <w:r w:rsidRPr="00497E12">
              <w:rPr>
                <w:rFonts w:ascii="Arial Narrow" w:hAnsi="Arial Narrow"/>
                <w:sz w:val="20"/>
              </w:rPr>
              <w:t>(dosing every 2 weeks)</w:t>
            </w:r>
          </w:p>
        </w:tc>
        <w:tc>
          <w:tcPr>
            <w:tcW w:w="626" w:type="pct"/>
            <w:vMerge w:val="restar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vertAlign w:val="superscript"/>
              </w:rPr>
              <w:t>a</w:t>
            </w:r>
          </w:p>
        </w:tc>
        <w:tc>
          <w:tcPr>
            <w:tcW w:w="1094" w:type="pct"/>
            <w:vMerge w:val="restar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w:t>
            </w:r>
            <w:r w:rsidR="00B32DC8">
              <w:rPr>
                <w:rFonts w:ascii="Arial Narrow" w:hAnsi="Arial Narrow"/>
                <w:noProof/>
                <w:color w:val="000000"/>
                <w:sz w:val="20"/>
                <w:highlight w:val="black"/>
              </w:rPr>
              <w:t>''''''''''''''''''''''''''</w:t>
            </w:r>
            <w:r w:rsidRPr="00497E12">
              <w:rPr>
                <w:rFonts w:ascii="Arial Narrow" w:hAnsi="Arial Narrow"/>
                <w:sz w:val="20"/>
                <w:vertAlign w:val="superscript"/>
              </w:rPr>
              <w:t>b</w:t>
            </w:r>
            <w:r w:rsidRPr="00497E12">
              <w:rPr>
                <w:rFonts w:ascii="Arial Narrow" w:hAnsi="Arial Narrow"/>
                <w:sz w:val="20"/>
              </w:rPr>
              <w:t xml:space="preserve"> </w:t>
            </w:r>
          </w:p>
        </w:tc>
      </w:tr>
      <w:tr w:rsidR="00410867" w:rsidRPr="00497E12" w:rsidTr="00C230F8">
        <w:trPr>
          <w:trHeight w:val="70"/>
        </w:trPr>
        <w:tc>
          <w:tcPr>
            <w:tcW w:w="594" w:type="pct"/>
            <w:vAlign w:val="center"/>
          </w:tcPr>
          <w:p w:rsidR="00410867" w:rsidRPr="00497E12" w:rsidRDefault="00410867" w:rsidP="00C230F8">
            <w:pPr>
              <w:jc w:val="left"/>
              <w:rPr>
                <w:rFonts w:ascii="Arial Narrow" w:hAnsi="Arial Narrow"/>
                <w:sz w:val="20"/>
              </w:rPr>
            </w:pPr>
            <w:r w:rsidRPr="00497E12">
              <w:rPr>
                <w:rFonts w:ascii="Arial Narrow" w:hAnsi="Arial Narrow"/>
                <w:sz w:val="20"/>
              </w:rPr>
              <w:t>Vials per infusion</w:t>
            </w:r>
          </w:p>
        </w:tc>
        <w:tc>
          <w:tcPr>
            <w:tcW w:w="1597" w:type="pc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 xml:space="preserve">NPP: mean weight of </w:t>
            </w:r>
            <w:r w:rsidR="00B32DC8">
              <w:rPr>
                <w:rFonts w:ascii="Arial Narrow" w:hAnsi="Arial Narrow"/>
                <w:noProof/>
                <w:color w:val="000000"/>
                <w:sz w:val="20"/>
                <w:highlight w:val="black"/>
              </w:rPr>
              <w:t>''''''''''</w:t>
            </w:r>
            <w:r w:rsidRPr="00497E12">
              <w:rPr>
                <w:rFonts w:ascii="Arial Narrow" w:hAnsi="Arial Narrow"/>
                <w:sz w:val="20"/>
              </w:rPr>
              <w:t xml:space="preserve">kg for </w:t>
            </w:r>
            <w:proofErr w:type="spellStart"/>
            <w:r w:rsidRPr="00497E12">
              <w:rPr>
                <w:rFonts w:ascii="Arial Narrow" w:hAnsi="Arial Narrow"/>
                <w:sz w:val="20"/>
              </w:rPr>
              <w:t>nivolumab</w:t>
            </w:r>
            <w:proofErr w:type="spellEnd"/>
            <w:r w:rsidRPr="00497E12">
              <w:rPr>
                <w:rFonts w:ascii="Arial Narrow" w:hAnsi="Arial Narrow"/>
                <w:sz w:val="20"/>
              </w:rPr>
              <w:t xml:space="preserve"> patients</w:t>
            </w:r>
          </w:p>
        </w:tc>
        <w:tc>
          <w:tcPr>
            <w:tcW w:w="1089" w:type="pct"/>
            <w:vAlign w:val="center"/>
          </w:tcPr>
          <w:p w:rsidR="00410867" w:rsidRPr="00497E12" w:rsidRDefault="00410867" w:rsidP="00C230F8">
            <w:pPr>
              <w:jc w:val="center"/>
              <w:rPr>
                <w:rFonts w:ascii="Arial Narrow" w:hAnsi="Arial Narrow"/>
                <w:sz w:val="20"/>
              </w:rPr>
            </w:pPr>
            <w:r w:rsidRPr="00497E12">
              <w:rPr>
                <w:rFonts w:ascii="Arial Narrow" w:hAnsi="Arial Narrow"/>
                <w:sz w:val="20"/>
              </w:rPr>
              <w:t xml:space="preserve">40mg: </w:t>
            </w:r>
            <w:r w:rsidR="00B32DC8">
              <w:rPr>
                <w:rFonts w:ascii="Arial Narrow" w:hAnsi="Arial Narrow"/>
                <w:noProof/>
                <w:color w:val="000000"/>
                <w:sz w:val="20"/>
                <w:highlight w:val="black"/>
              </w:rPr>
              <w:t>'''''''''' '''''''''</w:t>
            </w:r>
          </w:p>
          <w:p w:rsidR="00410867" w:rsidRPr="00497E12" w:rsidRDefault="00410867" w:rsidP="00C230F8">
            <w:pPr>
              <w:jc w:val="center"/>
              <w:rPr>
                <w:rFonts w:ascii="Arial Narrow" w:hAnsi="Arial Narrow"/>
                <w:sz w:val="20"/>
              </w:rPr>
            </w:pPr>
            <w:r w:rsidRPr="00497E12">
              <w:rPr>
                <w:rFonts w:ascii="Arial Narrow" w:hAnsi="Arial Narrow"/>
                <w:sz w:val="20"/>
              </w:rPr>
              <w:t xml:space="preserve">100mg: </w:t>
            </w:r>
            <w:r w:rsidR="00B32DC8">
              <w:rPr>
                <w:rFonts w:ascii="Arial Narrow" w:hAnsi="Arial Narrow"/>
                <w:noProof/>
                <w:color w:val="000000"/>
                <w:sz w:val="20"/>
                <w:highlight w:val="black"/>
              </w:rPr>
              <w:t>'''''''' ''''''''''</w:t>
            </w:r>
          </w:p>
        </w:tc>
        <w:tc>
          <w:tcPr>
            <w:tcW w:w="626" w:type="pct"/>
            <w:vMerge/>
            <w:vAlign w:val="center"/>
          </w:tcPr>
          <w:p w:rsidR="00410867" w:rsidRPr="00497E12" w:rsidRDefault="00410867" w:rsidP="00C230F8">
            <w:pPr>
              <w:jc w:val="center"/>
              <w:rPr>
                <w:rFonts w:ascii="Arial Narrow" w:hAnsi="Arial Narrow"/>
                <w:sz w:val="20"/>
              </w:rPr>
            </w:pPr>
          </w:p>
        </w:tc>
        <w:tc>
          <w:tcPr>
            <w:tcW w:w="1094" w:type="pct"/>
            <w:vMerge/>
            <w:vAlign w:val="center"/>
          </w:tcPr>
          <w:p w:rsidR="00410867" w:rsidRPr="00497E12" w:rsidRDefault="00410867" w:rsidP="00C230F8">
            <w:pPr>
              <w:jc w:val="center"/>
              <w:rPr>
                <w:rFonts w:ascii="Arial Narrow" w:hAnsi="Arial Narrow"/>
                <w:sz w:val="20"/>
              </w:rPr>
            </w:pPr>
          </w:p>
        </w:tc>
      </w:tr>
    </w:tbl>
    <w:p w:rsidR="00410867" w:rsidRPr="00497E12" w:rsidRDefault="00410867" w:rsidP="00410867">
      <w:pPr>
        <w:tabs>
          <w:tab w:val="left" w:pos="851"/>
        </w:tabs>
        <w:ind w:left="720"/>
        <w:rPr>
          <w:rFonts w:ascii="Arial Narrow" w:hAnsi="Arial Narrow"/>
          <w:sz w:val="18"/>
          <w:szCs w:val="18"/>
        </w:rPr>
      </w:pPr>
      <w:r w:rsidRPr="00497E12">
        <w:rPr>
          <w:rFonts w:ascii="Arial Narrow" w:hAnsi="Arial Narrow"/>
          <w:sz w:val="18"/>
          <w:szCs w:val="18"/>
        </w:rPr>
        <w:t>Sources: Table 60, p130; Table 61, p131 of the submission.</w:t>
      </w:r>
    </w:p>
    <w:p w:rsidR="00410867" w:rsidRPr="00497E12" w:rsidRDefault="00410867" w:rsidP="00410867">
      <w:pPr>
        <w:tabs>
          <w:tab w:val="left" w:pos="851"/>
        </w:tabs>
        <w:ind w:left="720"/>
        <w:rPr>
          <w:rFonts w:ascii="Arial Narrow" w:hAnsi="Arial Narrow"/>
          <w:sz w:val="18"/>
          <w:szCs w:val="18"/>
        </w:rPr>
      </w:pPr>
      <w:r w:rsidRPr="00497E12">
        <w:rPr>
          <w:rFonts w:ascii="Arial Narrow" w:hAnsi="Arial Narrow"/>
          <w:sz w:val="18"/>
          <w:szCs w:val="18"/>
        </w:rPr>
        <w:t>Abbreviation: NPP=named patient program.</w:t>
      </w:r>
    </w:p>
    <w:p w:rsidR="00410867" w:rsidRPr="00B44475" w:rsidRDefault="00410867" w:rsidP="00410867">
      <w:pPr>
        <w:tabs>
          <w:tab w:val="left" w:pos="851"/>
        </w:tabs>
        <w:ind w:left="720"/>
        <w:rPr>
          <w:rFonts w:ascii="Arial Narrow" w:hAnsi="Arial Narrow"/>
          <w:sz w:val="18"/>
          <w:szCs w:val="18"/>
        </w:rPr>
      </w:pPr>
      <w:proofErr w:type="spellStart"/>
      <w:proofErr w:type="gramStart"/>
      <w:r w:rsidRPr="00B44475">
        <w:rPr>
          <w:rFonts w:ascii="Arial Narrow" w:hAnsi="Arial Narrow"/>
          <w:sz w:val="18"/>
          <w:szCs w:val="18"/>
          <w:vertAlign w:val="superscript"/>
        </w:rPr>
        <w:t>a</w:t>
      </w:r>
      <w:proofErr w:type="spellEnd"/>
      <w:proofErr w:type="gramEnd"/>
      <w:r w:rsidRPr="00B44475">
        <w:rPr>
          <w:rFonts w:ascii="Arial Narrow" w:hAnsi="Arial Narrow"/>
          <w:sz w:val="18"/>
          <w:szCs w:val="18"/>
        </w:rPr>
        <w:tab/>
        <w:t>The cost included (</w:t>
      </w:r>
      <w:proofErr w:type="spellStart"/>
      <w:r w:rsidRPr="00B44475">
        <w:rPr>
          <w:rFonts w:ascii="Arial Narrow" w:hAnsi="Arial Narrow"/>
          <w:sz w:val="18"/>
          <w:szCs w:val="18"/>
        </w:rPr>
        <w:t>i</w:t>
      </w:r>
      <w:proofErr w:type="spellEnd"/>
      <w:r w:rsidRPr="00B44475">
        <w:rPr>
          <w:rFonts w:ascii="Arial Narrow" w:hAnsi="Arial Narrow"/>
          <w:sz w:val="18"/>
          <w:szCs w:val="18"/>
        </w:rPr>
        <w:t>) ex-manufacturer price ($</w:t>
      </w:r>
      <w:r w:rsidR="00B32DC8">
        <w:rPr>
          <w:rFonts w:ascii="Arial Narrow" w:hAnsi="Arial Narrow"/>
          <w:noProof/>
          <w:color w:val="000000"/>
          <w:sz w:val="18"/>
          <w:szCs w:val="18"/>
          <w:highlight w:val="black"/>
        </w:rPr>
        <w:t>'''''''''''''</w:t>
      </w:r>
      <w:r w:rsidRPr="00B44475">
        <w:rPr>
          <w:rFonts w:ascii="Arial Narrow" w:hAnsi="Arial Narrow"/>
          <w:sz w:val="18"/>
          <w:szCs w:val="18"/>
        </w:rPr>
        <w:t>) for the required vials (one 40mg; two 100mg), mark-up fee of $</w:t>
      </w:r>
      <w:r w:rsidR="00B32DC8">
        <w:rPr>
          <w:rFonts w:ascii="Arial Narrow" w:hAnsi="Arial Narrow"/>
          <w:noProof/>
          <w:color w:val="000000"/>
          <w:sz w:val="18"/>
          <w:szCs w:val="18"/>
          <w:highlight w:val="black"/>
        </w:rPr>
        <w:t>'''''''</w:t>
      </w:r>
      <w:r w:rsidR="00B44475">
        <w:rPr>
          <w:rFonts w:ascii="Arial Narrow" w:hAnsi="Arial Narrow"/>
          <w:sz w:val="18"/>
          <w:szCs w:val="18"/>
        </w:rPr>
        <w:t xml:space="preserve"> </w:t>
      </w:r>
      <w:r w:rsidR="00B44475" w:rsidRPr="00B44475">
        <w:rPr>
          <w:rFonts w:ascii="Arial Narrow" w:hAnsi="Arial Narrow"/>
          <w:sz w:val="18"/>
          <w:szCs w:val="18"/>
        </w:rPr>
        <w:t xml:space="preserve">for private setting, and applicable fees of $102.67 and $140.26 in public and private settings respectively. The total drug cost per infusion was calculated based on an assumption that the public vs. private weighting would be </w:t>
      </w:r>
      <w:r w:rsidR="00B32DC8">
        <w:rPr>
          <w:rFonts w:ascii="Arial Narrow" w:hAnsi="Arial Narrow"/>
          <w:noProof/>
          <w:color w:val="000000"/>
          <w:sz w:val="18"/>
          <w:szCs w:val="18"/>
          <w:highlight w:val="black"/>
        </w:rPr>
        <w:t>''''''</w:t>
      </w:r>
      <w:r w:rsidR="00B44475" w:rsidRPr="00B44475">
        <w:rPr>
          <w:rFonts w:ascii="Arial Narrow" w:hAnsi="Arial Narrow"/>
          <w:sz w:val="18"/>
          <w:szCs w:val="18"/>
        </w:rPr>
        <w:t xml:space="preserve">% vs. </w:t>
      </w:r>
      <w:r w:rsidR="00B32DC8">
        <w:rPr>
          <w:rFonts w:ascii="Arial Narrow" w:hAnsi="Arial Narrow"/>
          <w:noProof/>
          <w:color w:val="000000"/>
          <w:sz w:val="18"/>
          <w:szCs w:val="18"/>
          <w:highlight w:val="black"/>
        </w:rPr>
        <w:t>''''''</w:t>
      </w:r>
      <w:r w:rsidR="00B44475" w:rsidRPr="00B44475">
        <w:rPr>
          <w:rFonts w:ascii="Arial Narrow" w:hAnsi="Arial Narrow"/>
          <w:sz w:val="18"/>
          <w:szCs w:val="18"/>
        </w:rPr>
        <w:t>%. The submission used $82.67 for the preparation fee as part of the applicable fee, which was updated to $102.67 during the evaluation</w:t>
      </w:r>
      <w:r w:rsidRPr="00B44475">
        <w:rPr>
          <w:rFonts w:ascii="Arial Narrow" w:hAnsi="Arial Narrow"/>
          <w:sz w:val="18"/>
          <w:szCs w:val="18"/>
        </w:rPr>
        <w:t xml:space="preserve">. </w:t>
      </w:r>
    </w:p>
    <w:p w:rsidR="00410867" w:rsidRPr="00B44475" w:rsidRDefault="00410867" w:rsidP="00410867">
      <w:pPr>
        <w:widowControl/>
        <w:ind w:left="709"/>
        <w:rPr>
          <w:rFonts w:ascii="Arial Narrow" w:hAnsi="Arial Narrow"/>
          <w:sz w:val="18"/>
          <w:szCs w:val="18"/>
        </w:rPr>
      </w:pPr>
      <w:proofErr w:type="gramStart"/>
      <w:r w:rsidRPr="00B44475">
        <w:rPr>
          <w:rFonts w:ascii="Arial Narrow" w:hAnsi="Arial Narrow"/>
          <w:sz w:val="18"/>
          <w:szCs w:val="18"/>
          <w:vertAlign w:val="superscript"/>
        </w:rPr>
        <w:t>b</w:t>
      </w:r>
      <w:proofErr w:type="gramEnd"/>
      <w:r w:rsidRPr="00B44475">
        <w:rPr>
          <w:rFonts w:ascii="Arial Narrow" w:hAnsi="Arial Narrow"/>
          <w:sz w:val="18"/>
          <w:szCs w:val="18"/>
          <w:vertAlign w:val="superscript"/>
        </w:rPr>
        <w:t xml:space="preserve"> </w:t>
      </w:r>
      <w:r w:rsidRPr="00B44475">
        <w:rPr>
          <w:rFonts w:ascii="Arial Narrow" w:hAnsi="Arial Narrow"/>
          <w:sz w:val="18"/>
          <w:szCs w:val="18"/>
        </w:rPr>
        <w:t>Including administration cost (MBS item 13915: $55.30 per infusion (85% MBS benefit)), the total drug and administration cost per patient per course would be $</w:t>
      </w:r>
      <w:r w:rsidR="00B32DC8">
        <w:rPr>
          <w:rFonts w:ascii="Arial Narrow" w:hAnsi="Arial Narrow"/>
          <w:noProof/>
          <w:color w:val="000000"/>
          <w:sz w:val="18"/>
          <w:szCs w:val="18"/>
          <w:highlight w:val="black"/>
        </w:rPr>
        <w:t>'''''''''''''''''''''''</w:t>
      </w:r>
      <w:r w:rsidRPr="00B44475">
        <w:rPr>
          <w:rFonts w:ascii="Arial Narrow" w:hAnsi="Arial Narrow"/>
          <w:sz w:val="18"/>
          <w:szCs w:val="18"/>
        </w:rPr>
        <w:t>.</w:t>
      </w:r>
    </w:p>
    <w:p w:rsidR="00410867" w:rsidRPr="00497E12" w:rsidRDefault="00410867" w:rsidP="00683313">
      <w:pPr>
        <w:widowControl/>
      </w:pPr>
    </w:p>
    <w:p w:rsidR="00CF63F8" w:rsidRPr="00497E12" w:rsidRDefault="00410867" w:rsidP="00A45A8D">
      <w:pPr>
        <w:pStyle w:val="ListParagraph"/>
        <w:widowControl/>
        <w:numPr>
          <w:ilvl w:val="1"/>
          <w:numId w:val="24"/>
        </w:numPr>
        <w:ind w:left="851" w:hanging="851"/>
      </w:pPr>
      <w:r w:rsidRPr="00497E12">
        <w:t xml:space="preserve">The submission acknowledged that the full cost of </w:t>
      </w:r>
      <w:proofErr w:type="spellStart"/>
      <w:r w:rsidRPr="00497E12">
        <w:t>nivolumab</w:t>
      </w:r>
      <w:proofErr w:type="spellEnd"/>
      <w:r w:rsidRPr="00497E12">
        <w:t xml:space="preserve"> per course of treatment is unknown due to the unknown duration of use and indicated the sponsor was willing to negotiate to manage the risk to cost-effectiveness and overall cost to the PBS</w:t>
      </w:r>
      <w:r w:rsidR="00EF47FE">
        <w:t xml:space="preserve"> via a Risk Share Arrangement</w:t>
      </w:r>
      <w:r w:rsidRPr="00497E12">
        <w:t>.</w:t>
      </w:r>
    </w:p>
    <w:p w:rsidR="00CF63F8" w:rsidRPr="00497E12" w:rsidRDefault="00CF63F8" w:rsidP="00410867"/>
    <w:p w:rsidR="00CF63F8" w:rsidRPr="00497E12" w:rsidRDefault="00CF63F8" w:rsidP="00A45A8D">
      <w:pPr>
        <w:pStyle w:val="Heading2"/>
      </w:pPr>
      <w:bookmarkStart w:id="20" w:name="_Toc450136350"/>
      <w:r w:rsidRPr="00497E12">
        <w:t>Estimated PBS usage &amp; financial implications</w:t>
      </w:r>
      <w:bookmarkEnd w:id="20"/>
    </w:p>
    <w:p w:rsidR="00CF63F8" w:rsidRPr="00497E12" w:rsidRDefault="00CF63F8" w:rsidP="00CF63F8">
      <w:pPr>
        <w:ind w:left="720" w:hanging="720"/>
        <w:rPr>
          <w:szCs w:val="22"/>
        </w:rPr>
      </w:pPr>
    </w:p>
    <w:p w:rsidR="00CF63F8" w:rsidRPr="00497E12" w:rsidRDefault="00CF63F8" w:rsidP="00A45A8D">
      <w:pPr>
        <w:pStyle w:val="ListParagraph"/>
        <w:widowControl/>
        <w:numPr>
          <w:ilvl w:val="1"/>
          <w:numId w:val="24"/>
        </w:numPr>
        <w:ind w:left="851" w:hanging="851"/>
        <w:rPr>
          <w:szCs w:val="22"/>
        </w:rPr>
      </w:pPr>
      <w:r w:rsidRPr="00497E12">
        <w:t xml:space="preserve">This submission </w:t>
      </w:r>
      <w:r w:rsidR="001E62F9" w:rsidRPr="00497E12">
        <w:t>was not</w:t>
      </w:r>
      <w:r w:rsidRPr="00497E12">
        <w:t xml:space="preserve"> considered by DUSC. The submission used an epidemiological approach to estimate the number of patients who would be eligible for </w:t>
      </w:r>
      <w:proofErr w:type="spellStart"/>
      <w:r w:rsidRPr="00497E12">
        <w:t>nivolumab</w:t>
      </w:r>
      <w:proofErr w:type="spellEnd"/>
      <w:r w:rsidRPr="00497E12">
        <w:t xml:space="preserve">, and a market share approach to estimate the proportion of patients likely to be displaced from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w:t>
      </w:r>
    </w:p>
    <w:p w:rsidR="00CF63F8" w:rsidRPr="00497E12" w:rsidRDefault="00CF63F8" w:rsidP="00CF63F8">
      <w:pPr>
        <w:widowControl/>
        <w:rPr>
          <w:szCs w:val="22"/>
        </w:rPr>
      </w:pPr>
    </w:p>
    <w:p w:rsidR="00CF63F8" w:rsidRPr="00497E12" w:rsidRDefault="00CF63F8" w:rsidP="00A45A8D">
      <w:pPr>
        <w:pStyle w:val="ListParagraph"/>
        <w:widowControl/>
        <w:numPr>
          <w:ilvl w:val="1"/>
          <w:numId w:val="24"/>
        </w:numPr>
        <w:ind w:left="851" w:hanging="851"/>
        <w:rPr>
          <w:szCs w:val="22"/>
        </w:rPr>
      </w:pPr>
      <w:r w:rsidRPr="00497E12">
        <w:t xml:space="preserve">Estimated use and financial implications are presented in the table below. During the evaluation, the preparation fee and the DPMQ for </w:t>
      </w:r>
      <w:proofErr w:type="spellStart"/>
      <w:r w:rsidRPr="00497E12">
        <w:t>everolimus</w:t>
      </w:r>
      <w:proofErr w:type="spellEnd"/>
      <w:r w:rsidRPr="00497E12">
        <w:t xml:space="preserve"> were updated to match the current price. Furthermore, the 85% benefit was applied to MBS item 13309</w:t>
      </w:r>
      <w:r w:rsidR="00314BD0" w:rsidRPr="00497E12">
        <w:t xml:space="preserve"> (blood transfusion)</w:t>
      </w:r>
      <w:r w:rsidRPr="00497E12">
        <w:t>. These corrections changed the overall cost to Government from</w:t>
      </w:r>
      <w:r w:rsidR="001E7DE4">
        <w:t xml:space="preserve"> more than</w:t>
      </w:r>
      <w:r w:rsidRPr="00497E12">
        <w:t xml:space="preserve"> $</w:t>
      </w:r>
      <w:r w:rsidR="001E7DE4">
        <w:t>100 million</w:t>
      </w:r>
      <w:r w:rsidRPr="00497E12">
        <w:t xml:space="preserve"> </w:t>
      </w:r>
      <w:r w:rsidR="00144BCC" w:rsidRPr="00497E12">
        <w:t xml:space="preserve">over the first five years of listing </w:t>
      </w:r>
      <w:r w:rsidRPr="00497E12">
        <w:t xml:space="preserve">estimated in the submission to </w:t>
      </w:r>
      <w:r w:rsidR="001E7DE4">
        <w:t xml:space="preserve">more than </w:t>
      </w:r>
      <w:r w:rsidRPr="00497E12">
        <w:t>$1</w:t>
      </w:r>
      <w:r w:rsidR="001E7DE4">
        <w:t>00 million</w:t>
      </w:r>
      <w:r w:rsidRPr="00497E12">
        <w:t>.</w:t>
      </w:r>
    </w:p>
    <w:p w:rsidR="00CF63F8" w:rsidRPr="00497E12" w:rsidRDefault="00CF63F8" w:rsidP="00CF63F8">
      <w:pPr>
        <w:widowControl/>
        <w:rPr>
          <w:szCs w:val="22"/>
        </w:rPr>
      </w:pPr>
    </w:p>
    <w:p w:rsidR="00CF63F8" w:rsidRPr="00497E12" w:rsidRDefault="00CF63F8" w:rsidP="00CF63F8">
      <w:pPr>
        <w:ind w:firstLine="709"/>
        <w:rPr>
          <w:rStyle w:val="CommentReference"/>
        </w:rPr>
      </w:pPr>
      <w:r w:rsidRPr="00497E12">
        <w:rPr>
          <w:rStyle w:val="CommentReference"/>
        </w:rPr>
        <w:t xml:space="preserve">Table </w:t>
      </w:r>
      <w:r w:rsidR="00D10CE3" w:rsidRPr="00497E12">
        <w:rPr>
          <w:rStyle w:val="CommentReference"/>
        </w:rPr>
        <w:t>1</w:t>
      </w:r>
      <w:r w:rsidR="00AE47D4" w:rsidRPr="00497E12">
        <w:rPr>
          <w:rStyle w:val="CommentReference"/>
        </w:rPr>
        <w:t>3</w:t>
      </w:r>
      <w:r w:rsidRPr="00497E12">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4"/>
        <w:gridCol w:w="1071"/>
        <w:gridCol w:w="1133"/>
        <w:gridCol w:w="1275"/>
        <w:gridCol w:w="1150"/>
        <w:gridCol w:w="1152"/>
      </w:tblGrid>
      <w:tr w:rsidR="00CF63F8" w:rsidRPr="00497E12" w:rsidTr="009C5C98">
        <w:trPr>
          <w:tblHeader/>
        </w:trPr>
        <w:tc>
          <w:tcPr>
            <w:tcW w:w="1536" w:type="pct"/>
            <w:shd w:val="clear" w:color="auto" w:fill="auto"/>
            <w:vAlign w:val="center"/>
          </w:tcPr>
          <w:p w:rsidR="00CF63F8" w:rsidRPr="00497E12" w:rsidRDefault="00CF63F8" w:rsidP="009C5C98">
            <w:pPr>
              <w:tabs>
                <w:tab w:val="left" w:pos="142"/>
              </w:tabs>
              <w:jc w:val="left"/>
              <w:rPr>
                <w:rFonts w:ascii="Arial Narrow" w:hAnsi="Arial Narrow"/>
                <w:b/>
                <w:sz w:val="20"/>
              </w:rPr>
            </w:pPr>
          </w:p>
        </w:tc>
        <w:tc>
          <w:tcPr>
            <w:tcW w:w="642"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Year 1</w:t>
            </w:r>
          </w:p>
        </w:tc>
        <w:tc>
          <w:tcPr>
            <w:tcW w:w="679"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Year 2</w:t>
            </w:r>
          </w:p>
        </w:tc>
        <w:tc>
          <w:tcPr>
            <w:tcW w:w="764"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Year 3</w:t>
            </w:r>
          </w:p>
        </w:tc>
        <w:tc>
          <w:tcPr>
            <w:tcW w:w="689"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Year 4</w:t>
            </w:r>
          </w:p>
        </w:tc>
        <w:tc>
          <w:tcPr>
            <w:tcW w:w="690" w:type="pct"/>
            <w:shd w:val="clear" w:color="auto" w:fill="auto"/>
            <w:vAlign w:val="center"/>
          </w:tcPr>
          <w:p w:rsidR="00CF63F8" w:rsidRPr="00497E12" w:rsidRDefault="00CF63F8" w:rsidP="009C5C98">
            <w:pPr>
              <w:jc w:val="center"/>
              <w:rPr>
                <w:rFonts w:ascii="Arial Narrow" w:hAnsi="Arial Narrow"/>
                <w:b/>
                <w:sz w:val="20"/>
              </w:rPr>
            </w:pPr>
            <w:r w:rsidRPr="00497E12">
              <w:rPr>
                <w:rFonts w:ascii="Arial Narrow" w:hAnsi="Arial Narrow"/>
                <w:b/>
                <w:sz w:val="20"/>
              </w:rPr>
              <w:t>Year 5</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sz w:val="20"/>
              </w:rPr>
            </w:pPr>
            <w:proofErr w:type="spellStart"/>
            <w:r w:rsidRPr="00497E12">
              <w:rPr>
                <w:rFonts w:ascii="Arial Narrow" w:hAnsi="Arial Narrow"/>
                <w:sz w:val="20"/>
              </w:rPr>
              <w:t>Nivolumab</w:t>
            </w:r>
            <w:proofErr w:type="spellEnd"/>
            <w:r w:rsidRPr="00497E12">
              <w:rPr>
                <w:rFonts w:ascii="Arial Narrow" w:hAnsi="Arial Narrow"/>
                <w:sz w:val="20"/>
              </w:rPr>
              <w:t xml:space="preserve"> treated patients</w:t>
            </w:r>
          </w:p>
        </w:tc>
        <w:tc>
          <w:tcPr>
            <w:tcW w:w="642" w:type="pct"/>
            <w:shd w:val="clear" w:color="auto" w:fill="auto"/>
            <w:vAlign w:val="center"/>
          </w:tcPr>
          <w:p w:rsidR="00CF63F8" w:rsidRPr="00B32DC8" w:rsidRDefault="00B32DC8" w:rsidP="009C5C98">
            <w:pPr>
              <w:jc w:val="center"/>
              <w:rPr>
                <w:rFonts w:ascii="Arial Narrow" w:hAnsi="Arial Narrow"/>
                <w:bCs/>
                <w:color w:val="000000"/>
                <w:sz w:val="20"/>
                <w:highlight w:val="black"/>
              </w:rPr>
            </w:pPr>
            <w:r>
              <w:rPr>
                <w:rFonts w:ascii="Arial Narrow" w:hAnsi="Arial Narrow" w:cs="Times New Roman"/>
                <w:noProof/>
                <w:color w:val="000000"/>
                <w:sz w:val="20"/>
                <w:highlight w:val="black"/>
                <w:lang w:eastAsia="en-AU"/>
              </w:rPr>
              <w:t>'''''''''</w:t>
            </w:r>
          </w:p>
        </w:tc>
        <w:tc>
          <w:tcPr>
            <w:tcW w:w="679" w:type="pct"/>
            <w:shd w:val="clear" w:color="auto" w:fill="auto"/>
            <w:vAlign w:val="center"/>
          </w:tcPr>
          <w:p w:rsidR="00CF63F8" w:rsidRPr="00B32DC8" w:rsidRDefault="00B32DC8" w:rsidP="009C5C98">
            <w:pPr>
              <w:jc w:val="center"/>
              <w:rPr>
                <w:rFonts w:ascii="Arial Narrow" w:hAnsi="Arial Narrow"/>
                <w:bCs/>
                <w:color w:val="000000"/>
                <w:sz w:val="20"/>
                <w:highlight w:val="black"/>
              </w:rPr>
            </w:pPr>
            <w:r>
              <w:rPr>
                <w:rFonts w:ascii="Arial Narrow" w:hAnsi="Arial Narrow" w:cs="Times New Roman"/>
                <w:noProof/>
                <w:color w:val="000000"/>
                <w:sz w:val="20"/>
                <w:highlight w:val="black"/>
                <w:lang w:eastAsia="en-AU"/>
              </w:rPr>
              <w:t>'''''''''</w:t>
            </w:r>
          </w:p>
        </w:tc>
        <w:tc>
          <w:tcPr>
            <w:tcW w:w="764" w:type="pct"/>
            <w:shd w:val="clear" w:color="auto" w:fill="auto"/>
            <w:vAlign w:val="center"/>
          </w:tcPr>
          <w:p w:rsidR="00CF63F8" w:rsidRPr="00B32DC8" w:rsidRDefault="00B32DC8" w:rsidP="009C5C98">
            <w:pPr>
              <w:jc w:val="center"/>
              <w:rPr>
                <w:rFonts w:ascii="Arial Narrow" w:hAnsi="Arial Narrow"/>
                <w:bCs/>
                <w:color w:val="000000"/>
                <w:sz w:val="20"/>
                <w:highlight w:val="black"/>
              </w:rPr>
            </w:pPr>
            <w:r>
              <w:rPr>
                <w:rFonts w:ascii="Arial Narrow" w:hAnsi="Arial Narrow" w:cs="Times New Roman"/>
                <w:noProof/>
                <w:color w:val="000000"/>
                <w:sz w:val="20"/>
                <w:highlight w:val="black"/>
                <w:lang w:eastAsia="en-AU"/>
              </w:rPr>
              <w:t>''''''''''</w:t>
            </w:r>
          </w:p>
        </w:tc>
        <w:tc>
          <w:tcPr>
            <w:tcW w:w="689" w:type="pct"/>
            <w:shd w:val="clear" w:color="auto" w:fill="auto"/>
            <w:vAlign w:val="center"/>
          </w:tcPr>
          <w:p w:rsidR="00CF63F8" w:rsidRPr="00B32DC8" w:rsidRDefault="00B32DC8" w:rsidP="009C5C98">
            <w:pPr>
              <w:jc w:val="center"/>
              <w:rPr>
                <w:rFonts w:ascii="Arial Narrow" w:hAnsi="Arial Narrow"/>
                <w:bCs/>
                <w:color w:val="000000"/>
                <w:sz w:val="20"/>
                <w:highlight w:val="black"/>
              </w:rPr>
            </w:pPr>
            <w:r>
              <w:rPr>
                <w:rFonts w:ascii="Arial Narrow" w:hAnsi="Arial Narrow" w:cs="Times New Roman"/>
                <w:noProof/>
                <w:color w:val="000000"/>
                <w:sz w:val="20"/>
                <w:highlight w:val="black"/>
                <w:lang w:eastAsia="en-AU"/>
              </w:rPr>
              <w:t>'''''''''</w:t>
            </w:r>
          </w:p>
        </w:tc>
        <w:tc>
          <w:tcPr>
            <w:tcW w:w="690" w:type="pct"/>
            <w:shd w:val="clear" w:color="auto" w:fill="auto"/>
            <w:vAlign w:val="center"/>
          </w:tcPr>
          <w:p w:rsidR="00CF63F8" w:rsidRPr="00B32DC8" w:rsidRDefault="00B32DC8" w:rsidP="009C5C98">
            <w:pPr>
              <w:jc w:val="center"/>
              <w:rPr>
                <w:rFonts w:ascii="Arial Narrow" w:hAnsi="Arial Narrow"/>
                <w:bCs/>
                <w:color w:val="000000"/>
                <w:sz w:val="20"/>
                <w:highlight w:val="black"/>
              </w:rPr>
            </w:pPr>
            <w:r>
              <w:rPr>
                <w:rFonts w:ascii="Arial Narrow" w:hAnsi="Arial Narrow" w:cs="Times New Roman"/>
                <w:noProof/>
                <w:color w:val="000000"/>
                <w:sz w:val="20"/>
                <w:highlight w:val="black"/>
                <w:lang w:eastAsia="en-AU"/>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sz w:val="20"/>
              </w:rPr>
            </w:pPr>
            <w:proofErr w:type="spellStart"/>
            <w:r w:rsidRPr="00497E12">
              <w:rPr>
                <w:rFonts w:ascii="Arial Narrow" w:hAnsi="Arial Narrow"/>
                <w:sz w:val="20"/>
              </w:rPr>
              <w:t>Nivolumab</w:t>
            </w:r>
            <w:proofErr w:type="spellEnd"/>
            <w:r w:rsidRPr="00497E12">
              <w:rPr>
                <w:rFonts w:ascii="Arial Narrow" w:hAnsi="Arial Narrow"/>
                <w:sz w:val="20"/>
              </w:rPr>
              <w:t xml:space="preserve"> cost</w:t>
            </w:r>
          </w:p>
        </w:tc>
        <w:tc>
          <w:tcPr>
            <w:tcW w:w="642" w:type="pct"/>
            <w:shd w:val="clear" w:color="auto" w:fill="auto"/>
            <w:vAlign w:val="bottom"/>
          </w:tcPr>
          <w:p w:rsidR="00CF63F8" w:rsidRPr="00497E12" w:rsidRDefault="00CF63F8" w:rsidP="009C5C98">
            <w:pPr>
              <w:jc w:val="center"/>
              <w:rPr>
                <w:rFonts w:ascii="Arial Narrow" w:hAnsi="Arial Narrow"/>
                <w:bCs/>
                <w:color w:val="000000"/>
                <w:sz w:val="20"/>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79" w:type="pct"/>
            <w:shd w:val="clear" w:color="auto" w:fill="auto"/>
            <w:vAlign w:val="bottom"/>
          </w:tcPr>
          <w:p w:rsidR="00CF63F8" w:rsidRPr="00497E12" w:rsidRDefault="00CF63F8" w:rsidP="009C5C98">
            <w:pPr>
              <w:jc w:val="center"/>
              <w:rPr>
                <w:rFonts w:ascii="Arial Narrow" w:hAnsi="Arial Narrow"/>
                <w:bCs/>
                <w:color w:val="000000"/>
                <w:sz w:val="20"/>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764" w:type="pct"/>
            <w:shd w:val="clear" w:color="auto" w:fill="auto"/>
            <w:vAlign w:val="bottom"/>
          </w:tcPr>
          <w:p w:rsidR="00CF63F8" w:rsidRPr="00497E12" w:rsidRDefault="00CF63F8" w:rsidP="009C5C98">
            <w:pPr>
              <w:jc w:val="center"/>
              <w:rPr>
                <w:rFonts w:ascii="Arial Narrow" w:hAnsi="Arial Narrow"/>
                <w:bCs/>
                <w:color w:val="000000"/>
                <w:sz w:val="20"/>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89" w:type="pct"/>
            <w:shd w:val="clear" w:color="auto" w:fill="auto"/>
            <w:vAlign w:val="bottom"/>
          </w:tcPr>
          <w:p w:rsidR="00CF63F8" w:rsidRPr="00497E12" w:rsidRDefault="00CF63F8" w:rsidP="009C5C98">
            <w:pPr>
              <w:jc w:val="center"/>
              <w:rPr>
                <w:rFonts w:ascii="Arial Narrow" w:hAnsi="Arial Narrow"/>
                <w:bCs/>
                <w:color w:val="000000"/>
                <w:sz w:val="20"/>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90" w:type="pct"/>
            <w:shd w:val="clear" w:color="auto" w:fill="auto"/>
            <w:vAlign w:val="bottom"/>
          </w:tcPr>
          <w:p w:rsidR="00CF63F8" w:rsidRPr="00497E12" w:rsidRDefault="00CF63F8" w:rsidP="009C5C98">
            <w:pPr>
              <w:jc w:val="center"/>
              <w:rPr>
                <w:rFonts w:ascii="Arial Narrow" w:hAnsi="Arial Narrow"/>
                <w:bCs/>
                <w:color w:val="000000"/>
                <w:sz w:val="20"/>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sz w:val="20"/>
              </w:rPr>
            </w:pPr>
            <w:r w:rsidRPr="00497E12">
              <w:rPr>
                <w:rFonts w:ascii="Arial Narrow" w:hAnsi="Arial Narrow"/>
                <w:sz w:val="20"/>
              </w:rPr>
              <w:t>Substituted therapies</w:t>
            </w:r>
          </w:p>
        </w:tc>
        <w:tc>
          <w:tcPr>
            <w:tcW w:w="642"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79"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764"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89"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90"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sz w:val="20"/>
              </w:rPr>
            </w:pPr>
            <w:r w:rsidRPr="00497E12">
              <w:rPr>
                <w:rFonts w:ascii="Arial Narrow" w:hAnsi="Arial Narrow" w:cs="Times New Roman"/>
                <w:sz w:val="20"/>
                <w:lang w:eastAsia="en-AU"/>
              </w:rPr>
              <w:t>Net cost to the PBS/RPBS</w:t>
            </w:r>
          </w:p>
        </w:tc>
        <w:tc>
          <w:tcPr>
            <w:tcW w:w="642"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79"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764"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89"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c>
          <w:tcPr>
            <w:tcW w:w="690" w:type="pct"/>
            <w:shd w:val="clear" w:color="auto" w:fill="auto"/>
            <w:vAlign w:val="bottom"/>
          </w:tcPr>
          <w:p w:rsidR="00CF63F8" w:rsidRPr="00497E12" w:rsidRDefault="00CF63F8" w:rsidP="009C5C98">
            <w:pPr>
              <w:jc w:val="center"/>
              <w:rPr>
                <w:rFonts w:ascii="Arial Narrow" w:hAnsi="Arial Narrow" w:cs="Times New Roman"/>
                <w:sz w:val="20"/>
                <w:lang w:eastAsia="en-AU"/>
              </w:rPr>
            </w:pPr>
            <w:r w:rsidRPr="00497E12">
              <w:rPr>
                <w:rFonts w:ascii="Arial Narrow" w:hAnsi="Arial Narrow" w:cs="Times New Roman"/>
                <w:sz w:val="20"/>
                <w:lang w:eastAsia="en-AU"/>
              </w:rPr>
              <w:t>$</w:t>
            </w:r>
            <w:r w:rsidR="00B32DC8">
              <w:rPr>
                <w:rFonts w:ascii="Arial Narrow" w:hAnsi="Arial Narrow" w:cs="Times New Roman"/>
                <w:noProof/>
                <w:color w:val="000000"/>
                <w:sz w:val="20"/>
                <w:highlight w:val="black"/>
                <w:lang w:eastAsia="en-AU"/>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cs="Times New Roman"/>
                <w:sz w:val="20"/>
                <w:lang w:eastAsia="en-AU"/>
              </w:rPr>
            </w:pPr>
            <w:r w:rsidRPr="00497E12">
              <w:rPr>
                <w:rFonts w:ascii="Arial Narrow" w:hAnsi="Arial Narrow" w:cs="Times New Roman"/>
                <w:sz w:val="20"/>
                <w:lang w:eastAsia="en-AU"/>
              </w:rPr>
              <w:t>Net cost to the MBS</w:t>
            </w:r>
          </w:p>
        </w:tc>
        <w:tc>
          <w:tcPr>
            <w:tcW w:w="642" w:type="pct"/>
            <w:shd w:val="clear" w:color="auto" w:fill="auto"/>
            <w:vAlign w:val="bottom"/>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79" w:type="pct"/>
            <w:shd w:val="clear" w:color="auto" w:fill="auto"/>
            <w:vAlign w:val="bottom"/>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764" w:type="pct"/>
            <w:shd w:val="clear" w:color="auto" w:fill="auto"/>
            <w:vAlign w:val="bottom"/>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89" w:type="pct"/>
            <w:shd w:val="clear" w:color="auto" w:fill="auto"/>
            <w:vAlign w:val="bottom"/>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90" w:type="pct"/>
            <w:shd w:val="clear" w:color="auto" w:fill="auto"/>
            <w:vAlign w:val="bottom"/>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cs="Times New Roman"/>
                <w:sz w:val="20"/>
                <w:lang w:eastAsia="en-AU"/>
              </w:rPr>
            </w:pPr>
            <w:r w:rsidRPr="00497E12">
              <w:rPr>
                <w:rFonts w:ascii="Arial Narrow" w:hAnsi="Arial Narrow" w:cs="Times New Roman"/>
                <w:sz w:val="20"/>
                <w:lang w:eastAsia="en-AU"/>
              </w:rPr>
              <w:t>Net cost to State and territory governments</w:t>
            </w:r>
          </w:p>
        </w:tc>
        <w:tc>
          <w:tcPr>
            <w:tcW w:w="642" w:type="pct"/>
            <w:shd w:val="clear" w:color="auto" w:fill="auto"/>
            <w:vAlign w:val="center"/>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79" w:type="pct"/>
            <w:shd w:val="clear" w:color="auto" w:fill="auto"/>
            <w:vAlign w:val="center"/>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764" w:type="pct"/>
            <w:shd w:val="clear" w:color="auto" w:fill="auto"/>
            <w:vAlign w:val="center"/>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89" w:type="pct"/>
            <w:shd w:val="clear" w:color="auto" w:fill="auto"/>
            <w:vAlign w:val="center"/>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c>
          <w:tcPr>
            <w:tcW w:w="690" w:type="pct"/>
            <w:shd w:val="clear" w:color="auto" w:fill="auto"/>
            <w:vAlign w:val="center"/>
          </w:tcPr>
          <w:p w:rsidR="00CF63F8" w:rsidRPr="00497E12" w:rsidRDefault="00CF63F8" w:rsidP="009C5C98">
            <w:pPr>
              <w:jc w:val="center"/>
              <w:rPr>
                <w:rFonts w:ascii="Arial Narrow" w:hAnsi="Arial Narrow"/>
                <w:color w:val="000000"/>
                <w:sz w:val="20"/>
              </w:rPr>
            </w:pPr>
            <w:r w:rsidRPr="00497E12">
              <w:rPr>
                <w:rFonts w:ascii="Arial Narrow" w:hAnsi="Arial Narrow" w:cs="Times New Roman"/>
                <w:sz w:val="20"/>
              </w:rPr>
              <w:t>$</w:t>
            </w:r>
            <w:r w:rsidR="00B32DC8">
              <w:rPr>
                <w:rFonts w:ascii="Arial Narrow" w:hAnsi="Arial Narrow" w:cs="Times New Roman"/>
                <w:noProof/>
                <w:color w:val="000000"/>
                <w:sz w:val="20"/>
                <w:highlight w:val="black"/>
              </w:rPr>
              <w:t>'''''''''''''''''''''</w:t>
            </w:r>
          </w:p>
        </w:tc>
      </w:tr>
      <w:tr w:rsidR="00CF63F8" w:rsidRPr="00497E12" w:rsidTr="009C5C98">
        <w:tc>
          <w:tcPr>
            <w:tcW w:w="1536" w:type="pct"/>
            <w:shd w:val="clear" w:color="auto" w:fill="auto"/>
            <w:vAlign w:val="center"/>
          </w:tcPr>
          <w:p w:rsidR="00CF63F8" w:rsidRPr="00497E12" w:rsidRDefault="00CF63F8" w:rsidP="009C5C98">
            <w:pPr>
              <w:tabs>
                <w:tab w:val="left" w:pos="142"/>
              </w:tabs>
              <w:jc w:val="left"/>
              <w:rPr>
                <w:rFonts w:ascii="Arial Narrow" w:hAnsi="Arial Narrow"/>
                <w:b/>
                <w:sz w:val="20"/>
              </w:rPr>
            </w:pPr>
            <w:r w:rsidRPr="00497E12">
              <w:rPr>
                <w:rFonts w:ascii="Arial Narrow" w:hAnsi="Arial Narrow" w:cs="Times New Roman"/>
                <w:b/>
                <w:sz w:val="20"/>
                <w:lang w:eastAsia="en-AU"/>
              </w:rPr>
              <w:t>Net cost to health budget</w:t>
            </w:r>
          </w:p>
        </w:tc>
        <w:tc>
          <w:tcPr>
            <w:tcW w:w="642" w:type="pct"/>
            <w:shd w:val="clear" w:color="auto" w:fill="auto"/>
            <w:vAlign w:val="bottom"/>
          </w:tcPr>
          <w:p w:rsidR="00CF63F8" w:rsidRPr="00497E12" w:rsidRDefault="00CF63F8" w:rsidP="009C5C98">
            <w:pPr>
              <w:jc w:val="center"/>
              <w:rPr>
                <w:rFonts w:ascii="Arial Narrow" w:hAnsi="Arial Narrow" w:cs="Times New Roman"/>
                <w:b/>
                <w:sz w:val="20"/>
                <w:lang w:eastAsia="en-AU"/>
              </w:rPr>
            </w:pPr>
            <w:r w:rsidRPr="00497E12">
              <w:rPr>
                <w:rFonts w:ascii="Arial Narrow" w:hAnsi="Arial Narrow" w:cs="Times New Roman"/>
                <w:b/>
                <w:sz w:val="20"/>
                <w:lang w:eastAsia="en-AU"/>
              </w:rPr>
              <w:t>$</w:t>
            </w:r>
            <w:r w:rsidR="00B32DC8">
              <w:rPr>
                <w:rFonts w:ascii="Arial Narrow" w:hAnsi="Arial Narrow" w:cs="Times New Roman"/>
                <w:b/>
                <w:noProof/>
                <w:color w:val="000000"/>
                <w:sz w:val="20"/>
                <w:highlight w:val="black"/>
                <w:lang w:eastAsia="en-AU"/>
              </w:rPr>
              <w:t>'''''''''''''''''''''</w:t>
            </w:r>
          </w:p>
        </w:tc>
        <w:tc>
          <w:tcPr>
            <w:tcW w:w="679" w:type="pct"/>
            <w:shd w:val="clear" w:color="auto" w:fill="auto"/>
            <w:vAlign w:val="bottom"/>
          </w:tcPr>
          <w:p w:rsidR="00CF63F8" w:rsidRPr="00497E12" w:rsidRDefault="00CF63F8" w:rsidP="009C5C98">
            <w:pPr>
              <w:jc w:val="center"/>
              <w:rPr>
                <w:rFonts w:ascii="Arial Narrow" w:hAnsi="Arial Narrow" w:cs="Times New Roman"/>
                <w:b/>
                <w:sz w:val="20"/>
                <w:lang w:eastAsia="en-AU"/>
              </w:rPr>
            </w:pPr>
            <w:r w:rsidRPr="00497E12">
              <w:rPr>
                <w:rFonts w:ascii="Arial Narrow" w:hAnsi="Arial Narrow" w:cs="Times New Roman"/>
                <w:b/>
                <w:sz w:val="20"/>
                <w:lang w:eastAsia="en-AU"/>
              </w:rPr>
              <w:t>$</w:t>
            </w:r>
            <w:r w:rsidR="00B32DC8">
              <w:rPr>
                <w:rFonts w:ascii="Arial Narrow" w:hAnsi="Arial Narrow" w:cs="Times New Roman"/>
                <w:b/>
                <w:noProof/>
                <w:color w:val="000000"/>
                <w:sz w:val="20"/>
                <w:highlight w:val="black"/>
                <w:lang w:eastAsia="en-AU"/>
              </w:rPr>
              <w:t>'''''''''''''''''''''</w:t>
            </w:r>
          </w:p>
        </w:tc>
        <w:tc>
          <w:tcPr>
            <w:tcW w:w="764" w:type="pct"/>
            <w:shd w:val="clear" w:color="auto" w:fill="auto"/>
            <w:vAlign w:val="bottom"/>
          </w:tcPr>
          <w:p w:rsidR="00CF63F8" w:rsidRPr="00497E12" w:rsidRDefault="00CF63F8" w:rsidP="009C5C98">
            <w:pPr>
              <w:jc w:val="center"/>
              <w:rPr>
                <w:rFonts w:ascii="Arial Narrow" w:hAnsi="Arial Narrow" w:cs="Times New Roman"/>
                <w:b/>
                <w:sz w:val="20"/>
                <w:lang w:eastAsia="en-AU"/>
              </w:rPr>
            </w:pPr>
            <w:r w:rsidRPr="00497E12">
              <w:rPr>
                <w:rFonts w:ascii="Arial Narrow" w:hAnsi="Arial Narrow" w:cs="Times New Roman"/>
                <w:b/>
                <w:sz w:val="20"/>
                <w:lang w:eastAsia="en-AU"/>
              </w:rPr>
              <w:t>$</w:t>
            </w:r>
            <w:r w:rsidR="00B32DC8">
              <w:rPr>
                <w:rFonts w:ascii="Arial Narrow" w:hAnsi="Arial Narrow" w:cs="Times New Roman"/>
                <w:b/>
                <w:noProof/>
                <w:color w:val="000000"/>
                <w:sz w:val="20"/>
                <w:highlight w:val="black"/>
                <w:lang w:eastAsia="en-AU"/>
              </w:rPr>
              <w:t>''''''''''''''''''''''</w:t>
            </w:r>
          </w:p>
        </w:tc>
        <w:tc>
          <w:tcPr>
            <w:tcW w:w="689" w:type="pct"/>
            <w:shd w:val="clear" w:color="auto" w:fill="auto"/>
            <w:vAlign w:val="bottom"/>
          </w:tcPr>
          <w:p w:rsidR="00CF63F8" w:rsidRPr="00497E12" w:rsidRDefault="00CF63F8" w:rsidP="009C5C98">
            <w:pPr>
              <w:jc w:val="center"/>
              <w:rPr>
                <w:rFonts w:ascii="Arial Narrow" w:hAnsi="Arial Narrow" w:cs="Times New Roman"/>
                <w:b/>
                <w:sz w:val="20"/>
                <w:lang w:eastAsia="en-AU"/>
              </w:rPr>
            </w:pPr>
            <w:r w:rsidRPr="00497E12">
              <w:rPr>
                <w:rFonts w:ascii="Arial Narrow" w:hAnsi="Arial Narrow" w:cs="Times New Roman"/>
                <w:b/>
                <w:sz w:val="20"/>
                <w:lang w:eastAsia="en-AU"/>
              </w:rPr>
              <w:t>$</w:t>
            </w:r>
            <w:r w:rsidR="00B32DC8">
              <w:rPr>
                <w:rFonts w:ascii="Arial Narrow" w:hAnsi="Arial Narrow" w:cs="Times New Roman"/>
                <w:b/>
                <w:noProof/>
                <w:color w:val="000000"/>
                <w:sz w:val="20"/>
                <w:highlight w:val="black"/>
                <w:lang w:eastAsia="en-AU"/>
              </w:rPr>
              <w:t>''''''''''''''''''''''</w:t>
            </w:r>
          </w:p>
        </w:tc>
        <w:tc>
          <w:tcPr>
            <w:tcW w:w="690" w:type="pct"/>
            <w:shd w:val="clear" w:color="auto" w:fill="auto"/>
            <w:vAlign w:val="bottom"/>
          </w:tcPr>
          <w:p w:rsidR="00CF63F8" w:rsidRPr="00497E12" w:rsidRDefault="00CF63F8" w:rsidP="009C5C98">
            <w:pPr>
              <w:jc w:val="center"/>
              <w:rPr>
                <w:rFonts w:ascii="Arial Narrow" w:hAnsi="Arial Narrow" w:cs="Times New Roman"/>
                <w:b/>
                <w:sz w:val="20"/>
                <w:lang w:eastAsia="en-AU"/>
              </w:rPr>
            </w:pPr>
            <w:r w:rsidRPr="00497E12">
              <w:rPr>
                <w:rFonts w:ascii="Arial Narrow" w:hAnsi="Arial Narrow" w:cs="Times New Roman"/>
                <w:b/>
                <w:sz w:val="20"/>
                <w:lang w:eastAsia="en-AU"/>
              </w:rPr>
              <w:t>$</w:t>
            </w:r>
            <w:r w:rsidR="00B32DC8">
              <w:rPr>
                <w:rFonts w:ascii="Arial Narrow" w:hAnsi="Arial Narrow" w:cs="Times New Roman"/>
                <w:b/>
                <w:noProof/>
                <w:color w:val="000000"/>
                <w:sz w:val="20"/>
                <w:highlight w:val="black"/>
                <w:lang w:eastAsia="en-AU"/>
              </w:rPr>
              <w:t>''''''''''''''''''''</w:t>
            </w:r>
          </w:p>
        </w:tc>
      </w:tr>
    </w:tbl>
    <w:p w:rsidR="00CF63F8" w:rsidRPr="00497E12" w:rsidRDefault="00CF63F8" w:rsidP="001A251D">
      <w:pPr>
        <w:pStyle w:val="TableFooter"/>
        <w:ind w:left="720"/>
        <w:rPr>
          <w:szCs w:val="18"/>
        </w:rPr>
      </w:pPr>
      <w:r w:rsidRPr="00497E12">
        <w:rPr>
          <w:szCs w:val="18"/>
        </w:rPr>
        <w:t xml:space="preserve">Sources: </w:t>
      </w:r>
      <w:r w:rsidR="001A251D" w:rsidRPr="00497E12">
        <w:rPr>
          <w:szCs w:val="18"/>
        </w:rPr>
        <w:t xml:space="preserve">Table 85, p181; </w:t>
      </w:r>
      <w:r w:rsidRPr="00497E12">
        <w:rPr>
          <w:szCs w:val="18"/>
        </w:rPr>
        <w:t>Table 86, p182; Table 89, p186; Table 93, p190 of the submission</w:t>
      </w:r>
      <w:r w:rsidR="00FF7B32" w:rsidRPr="00497E12">
        <w:rPr>
          <w:szCs w:val="18"/>
        </w:rPr>
        <w:t>.</w:t>
      </w:r>
    </w:p>
    <w:p w:rsidR="00CF63F8" w:rsidRPr="00497E12" w:rsidRDefault="00CF63F8" w:rsidP="00CF63F8">
      <w:pPr>
        <w:pStyle w:val="TableFooter"/>
        <w:ind w:firstLine="720"/>
        <w:rPr>
          <w:szCs w:val="18"/>
        </w:rPr>
      </w:pPr>
      <w:r w:rsidRPr="00497E12">
        <w:rPr>
          <w:szCs w:val="18"/>
        </w:rPr>
        <w:t>Abbreviation: MBS=Medicare Benefits Schedule.</w:t>
      </w:r>
    </w:p>
    <w:p w:rsidR="00CF63F8" w:rsidRPr="00497E12" w:rsidRDefault="00CF63F8" w:rsidP="00CF63F8">
      <w:pPr>
        <w:pStyle w:val="TableFooter"/>
        <w:keepNext/>
        <w:ind w:left="720"/>
        <w:rPr>
          <w:szCs w:val="18"/>
        </w:rPr>
      </w:pPr>
      <w:r w:rsidRPr="00497E12">
        <w:rPr>
          <w:szCs w:val="18"/>
        </w:rPr>
        <w:t>Note: Costs have been updated for the MBS item fee</w:t>
      </w:r>
      <w:r w:rsidRPr="00497E12">
        <w:rPr>
          <w:szCs w:val="18"/>
          <w:vertAlign w:val="superscript"/>
        </w:rPr>
        <w:t xml:space="preserve"> </w:t>
      </w:r>
      <w:r w:rsidRPr="00497E12">
        <w:rPr>
          <w:szCs w:val="18"/>
        </w:rPr>
        <w:t xml:space="preserve">(applying the 85% MBS benefit for the MBS item 13309; from $284.85 to $242.15), the preparation fee (from $82.67 to $102.67) and the DPMQ for </w:t>
      </w:r>
      <w:proofErr w:type="spellStart"/>
      <w:r w:rsidRPr="00497E12">
        <w:rPr>
          <w:szCs w:val="18"/>
        </w:rPr>
        <w:t>everolimus</w:t>
      </w:r>
      <w:proofErr w:type="spellEnd"/>
      <w:r w:rsidRPr="00497E12">
        <w:rPr>
          <w:szCs w:val="18"/>
        </w:rPr>
        <w:t xml:space="preserve"> (from $5,241.90 to $5,276.87). </w:t>
      </w:r>
    </w:p>
    <w:p w:rsidR="00CF63F8" w:rsidRDefault="00CF63F8" w:rsidP="00CF63F8">
      <w:pPr>
        <w:widowControl/>
        <w:rPr>
          <w:szCs w:val="22"/>
        </w:rPr>
      </w:pPr>
    </w:p>
    <w:p w:rsidR="00060D25" w:rsidRDefault="00060D25" w:rsidP="00060D25">
      <w:pPr>
        <w:widowControl/>
        <w:ind w:left="720"/>
        <w:rPr>
          <w:szCs w:val="22"/>
        </w:rPr>
      </w:pPr>
      <w:r>
        <w:rPr>
          <w:szCs w:val="22"/>
        </w:rPr>
        <w:lastRenderedPageBreak/>
        <w:t>The redacted table shows that at year 5, the estimated number of patients was less than 10,000 per year, and the net cost to the PBS/RPBS would be $20 million - $30 million per year.</w:t>
      </w:r>
    </w:p>
    <w:p w:rsidR="00060D25" w:rsidRPr="00497E12" w:rsidRDefault="00060D25" w:rsidP="00CF63F8">
      <w:pPr>
        <w:widowControl/>
        <w:rPr>
          <w:szCs w:val="22"/>
        </w:rPr>
      </w:pPr>
    </w:p>
    <w:p w:rsidR="00CF63F8" w:rsidRPr="00497E12" w:rsidRDefault="00CF63F8" w:rsidP="00A45A8D">
      <w:pPr>
        <w:pStyle w:val="ListParagraph"/>
        <w:widowControl/>
        <w:numPr>
          <w:ilvl w:val="1"/>
          <w:numId w:val="24"/>
        </w:numPr>
        <w:ind w:left="851" w:hanging="851"/>
      </w:pPr>
      <w:r w:rsidRPr="00497E12">
        <w:t xml:space="preserve">The </w:t>
      </w:r>
      <w:r w:rsidR="00230066" w:rsidRPr="00497E12">
        <w:t xml:space="preserve">ESC advised that the </w:t>
      </w:r>
      <w:r w:rsidRPr="00497E12">
        <w:t xml:space="preserve">overall net costs </w:t>
      </w:r>
      <w:r w:rsidR="00144BCC" w:rsidRPr="00497E12">
        <w:t xml:space="preserve">to the health budget </w:t>
      </w:r>
      <w:r w:rsidRPr="00497E12">
        <w:t xml:space="preserve">were highly unreliable </w:t>
      </w:r>
      <w:r w:rsidR="00230066" w:rsidRPr="00497E12">
        <w:t xml:space="preserve">mainly due to </w:t>
      </w:r>
      <w:r w:rsidRPr="00497E12">
        <w:t>the underestimat</w:t>
      </w:r>
      <w:r w:rsidR="00230066" w:rsidRPr="00497E12">
        <w:t>ion of</w:t>
      </w:r>
      <w:r w:rsidRPr="00497E12">
        <w:t xml:space="preserve"> duration of </w:t>
      </w:r>
      <w:proofErr w:type="spellStart"/>
      <w:r w:rsidRPr="00497E12">
        <w:t>nivolumab</w:t>
      </w:r>
      <w:proofErr w:type="spellEnd"/>
      <w:r w:rsidRPr="00497E12">
        <w:t xml:space="preserve"> treatment</w:t>
      </w:r>
      <w:r w:rsidR="00230066" w:rsidRPr="00497E12">
        <w:t xml:space="preserve">, overestimation of the duration of therapy for replacement therapies, and the potential for more patients with RCC to receive a first-line TKI in order to become eligible for </w:t>
      </w:r>
      <w:proofErr w:type="spellStart"/>
      <w:r w:rsidR="00230066" w:rsidRPr="00497E12">
        <w:t>nivolumab</w:t>
      </w:r>
      <w:proofErr w:type="spellEnd"/>
      <w:r w:rsidRPr="00497E12">
        <w:t xml:space="preserve">. </w:t>
      </w:r>
      <w:r w:rsidR="001D3D4D" w:rsidRPr="00497E12">
        <w:t>The ESC noted that the same issues</w:t>
      </w:r>
      <w:r w:rsidR="00E14A1D" w:rsidRPr="00497E12">
        <w:t xml:space="preserve"> that</w:t>
      </w:r>
      <w:r w:rsidR="001D3D4D" w:rsidRPr="00497E12">
        <w:t xml:space="preserve"> were highlighted in paragraph 6.2</w:t>
      </w:r>
      <w:r w:rsidR="006F69DD" w:rsidRPr="00497E12">
        <w:t>6</w:t>
      </w:r>
      <w:r w:rsidR="001D3D4D" w:rsidRPr="00497E12">
        <w:t xml:space="preserve"> in regards to duration of </w:t>
      </w:r>
      <w:r w:rsidR="00A75D61" w:rsidRPr="00497E12">
        <w:t xml:space="preserve">post-progression </w:t>
      </w:r>
      <w:r w:rsidR="001D3D4D" w:rsidRPr="00497E12">
        <w:t xml:space="preserve">therapy </w:t>
      </w:r>
      <w:r w:rsidR="00A85120" w:rsidRPr="00497E12">
        <w:t xml:space="preserve">also </w:t>
      </w:r>
      <w:r w:rsidR="001D3D4D" w:rsidRPr="00497E12">
        <w:t>appl</w:t>
      </w:r>
      <w:r w:rsidR="00A85120" w:rsidRPr="00497E12">
        <w:t xml:space="preserve">ied to estimating </w:t>
      </w:r>
      <w:r w:rsidR="001D3D4D" w:rsidRPr="00497E12">
        <w:t xml:space="preserve">the magnitude of </w:t>
      </w:r>
      <w:r w:rsidR="00A75D61" w:rsidRPr="00497E12">
        <w:t>these net costs</w:t>
      </w:r>
      <w:r w:rsidR="001D3D4D" w:rsidRPr="00497E12">
        <w:t>.</w:t>
      </w:r>
    </w:p>
    <w:p w:rsidR="00CF63F8" w:rsidRPr="00497E12" w:rsidRDefault="00CF63F8" w:rsidP="00CF63F8">
      <w:pPr>
        <w:widowControl/>
      </w:pPr>
    </w:p>
    <w:p w:rsidR="00CF63F8" w:rsidRPr="00497E12" w:rsidRDefault="00CF63F8" w:rsidP="00C93DB3">
      <w:pPr>
        <w:pStyle w:val="ListParagraph"/>
        <w:widowControl/>
        <w:numPr>
          <w:ilvl w:val="1"/>
          <w:numId w:val="24"/>
        </w:numPr>
        <w:ind w:left="851" w:hanging="851"/>
      </w:pPr>
      <w:r w:rsidRPr="00497E12">
        <w:t xml:space="preserve">The overall </w:t>
      </w:r>
      <w:r w:rsidR="00EA27C9" w:rsidRPr="00497E12">
        <w:t xml:space="preserve">net </w:t>
      </w:r>
      <w:r w:rsidRPr="00497E12">
        <w:t>costs were most sensitive to following three assumptions:</w:t>
      </w:r>
    </w:p>
    <w:p w:rsidR="00CF63F8" w:rsidRPr="00497E12" w:rsidRDefault="00CF63F8" w:rsidP="00060D25">
      <w:pPr>
        <w:pStyle w:val="ListParagraph"/>
        <w:widowControl/>
        <w:numPr>
          <w:ilvl w:val="0"/>
          <w:numId w:val="3"/>
        </w:numPr>
      </w:pPr>
      <w:r w:rsidRPr="00497E12">
        <w:t xml:space="preserve">The duration of </w:t>
      </w:r>
      <w:proofErr w:type="spellStart"/>
      <w:r w:rsidRPr="00497E12">
        <w:t>nivolumab</w:t>
      </w:r>
      <w:proofErr w:type="spellEnd"/>
      <w:r w:rsidRPr="00497E12">
        <w:t xml:space="preserve"> treatment: Increasing the duration of treatment with </w:t>
      </w:r>
      <w:proofErr w:type="spellStart"/>
      <w:r w:rsidRPr="00497E12">
        <w:t>nivolumab</w:t>
      </w:r>
      <w:proofErr w:type="spellEnd"/>
      <w:r w:rsidRPr="00497E12">
        <w:t xml:space="preserve"> by 20% increased </w:t>
      </w:r>
      <w:r w:rsidR="00D41655" w:rsidRPr="00497E12">
        <w:t>the overall net costs to</w:t>
      </w:r>
      <w:r w:rsidR="00212F60">
        <w:t xml:space="preserve"> more than</w:t>
      </w:r>
      <w:r w:rsidR="00D41655" w:rsidRPr="00497E12">
        <w:t xml:space="preserve"> $</w:t>
      </w:r>
      <w:r w:rsidR="00212F60">
        <w:t>100</w:t>
      </w:r>
      <w:r w:rsidR="00060D25">
        <w:t> </w:t>
      </w:r>
      <w:r w:rsidR="00212F60">
        <w:t>million</w:t>
      </w:r>
      <w:r w:rsidR="00D41655" w:rsidRPr="00497E12">
        <w:t>.</w:t>
      </w:r>
    </w:p>
    <w:p w:rsidR="00CF63F8" w:rsidRPr="00497E12" w:rsidRDefault="00CF63F8" w:rsidP="00400464">
      <w:pPr>
        <w:pStyle w:val="ListParagraph"/>
        <w:widowControl/>
        <w:numPr>
          <w:ilvl w:val="0"/>
          <w:numId w:val="3"/>
        </w:numPr>
      </w:pPr>
      <w:r w:rsidRPr="00497E12">
        <w:t xml:space="preserve">The </w:t>
      </w:r>
      <w:r w:rsidR="00F720A2">
        <w:t xml:space="preserve">rate of initiation of second-line therapy: It was assumed that </w:t>
      </w:r>
      <w:r w:rsidRPr="00497E12">
        <w:t xml:space="preserve">80% </w:t>
      </w:r>
      <w:r w:rsidR="00B50EAC" w:rsidRPr="00497E12">
        <w:t xml:space="preserve">of current patients </w:t>
      </w:r>
      <w:r w:rsidRPr="00497E12">
        <w:t>initiat</w:t>
      </w:r>
      <w:r w:rsidR="005D7959">
        <w:t>e</w:t>
      </w:r>
      <w:r w:rsidRPr="00497E12">
        <w:t xml:space="preserve"> second</w:t>
      </w:r>
      <w:r w:rsidR="0064676B" w:rsidRPr="00497E12">
        <w:t>-</w:t>
      </w:r>
      <w:r w:rsidRPr="00497E12">
        <w:t xml:space="preserve">line therapy </w:t>
      </w:r>
      <w:r w:rsidR="00B50EAC" w:rsidRPr="00497E12">
        <w:t xml:space="preserve">and </w:t>
      </w:r>
      <w:r w:rsidR="005D7959">
        <w:t xml:space="preserve">that this would increase to </w:t>
      </w:r>
      <w:r w:rsidR="00B50EAC" w:rsidRPr="00497E12">
        <w:t xml:space="preserve">90% of patients </w:t>
      </w:r>
      <w:r w:rsidR="005D7959">
        <w:t>following listing of second-line</w:t>
      </w:r>
      <w:r w:rsidR="00F720A2">
        <w:t xml:space="preserve"> </w:t>
      </w:r>
      <w:proofErr w:type="spellStart"/>
      <w:r w:rsidRPr="00497E12">
        <w:t>nivolumab</w:t>
      </w:r>
      <w:proofErr w:type="spellEnd"/>
      <w:r w:rsidR="00F720A2">
        <w:t>.</w:t>
      </w:r>
      <w:r w:rsidRPr="00497E12">
        <w:t xml:space="preserve"> The submission based </w:t>
      </w:r>
      <w:r w:rsidR="00B50EAC" w:rsidRPr="00497E12">
        <w:t xml:space="preserve">these estimates </w:t>
      </w:r>
      <w:r w:rsidRPr="00497E12">
        <w:t>on advice from the sponsor’s Advisory Board (N=8)</w:t>
      </w:r>
      <w:r w:rsidR="00B50EAC" w:rsidRPr="00497E12">
        <w:t>, although the Minutes of the Advisory Board showed the panel failed to reach agreement on this issue</w:t>
      </w:r>
      <w:r w:rsidRPr="00497E12">
        <w:t xml:space="preserve">. If no increase in the proportion of patients </w:t>
      </w:r>
      <w:r w:rsidR="00B50EAC" w:rsidRPr="00497E12">
        <w:t xml:space="preserve">from current therapy to </w:t>
      </w:r>
      <w:proofErr w:type="spellStart"/>
      <w:r w:rsidR="00B50EAC" w:rsidRPr="00497E12">
        <w:t>nivolumab</w:t>
      </w:r>
      <w:proofErr w:type="spellEnd"/>
      <w:r w:rsidR="00B50EAC" w:rsidRPr="00497E12">
        <w:t xml:space="preserve"> </w:t>
      </w:r>
      <w:r w:rsidRPr="00497E12">
        <w:t xml:space="preserve">was assumed, the overall costs </w:t>
      </w:r>
      <w:r w:rsidR="001D3D4D" w:rsidRPr="00497E12">
        <w:t>w</w:t>
      </w:r>
      <w:r w:rsidR="00A85120" w:rsidRPr="00497E12">
        <w:t>ould be</w:t>
      </w:r>
      <w:r w:rsidRPr="00497E12">
        <w:t xml:space="preserve"> $</w:t>
      </w:r>
      <w:r w:rsidR="00212F60">
        <w:t>$60 - $100 million</w:t>
      </w:r>
      <w:r w:rsidR="00212F60" w:rsidRPr="00497E12">
        <w:t xml:space="preserve"> </w:t>
      </w:r>
      <w:r w:rsidR="001D3D4D" w:rsidRPr="00497E12">
        <w:t>rather than $</w:t>
      </w:r>
      <w:r w:rsidR="00212F60">
        <w:t>60 - $100 million</w:t>
      </w:r>
      <w:r w:rsidR="00610B06" w:rsidRPr="00497E12">
        <w:t>.</w:t>
      </w:r>
    </w:p>
    <w:p w:rsidR="00A134ED" w:rsidRPr="00497E12" w:rsidRDefault="00CF63F8" w:rsidP="00400464">
      <w:pPr>
        <w:pStyle w:val="FootnoteText"/>
        <w:widowControl/>
        <w:numPr>
          <w:ilvl w:val="0"/>
          <w:numId w:val="3"/>
        </w:numPr>
        <w:rPr>
          <w:i/>
          <w:szCs w:val="22"/>
        </w:rPr>
      </w:pPr>
      <w:r w:rsidRPr="00497E12">
        <w:rPr>
          <w:sz w:val="22"/>
          <w:szCs w:val="22"/>
        </w:rPr>
        <w:t>The number of patients treated with a first</w:t>
      </w:r>
      <w:r w:rsidR="0064676B" w:rsidRPr="00497E12">
        <w:rPr>
          <w:sz w:val="22"/>
          <w:szCs w:val="22"/>
        </w:rPr>
        <w:t>-</w:t>
      </w:r>
      <w:r w:rsidRPr="00497E12">
        <w:rPr>
          <w:sz w:val="22"/>
          <w:szCs w:val="22"/>
        </w:rPr>
        <w:t>line TKI: Using the June 2014 DUSC report, the submission tested the sensitivity of the number of patients treated with a first</w:t>
      </w:r>
      <w:r w:rsidR="0064676B" w:rsidRPr="00497E12">
        <w:rPr>
          <w:sz w:val="22"/>
          <w:szCs w:val="22"/>
        </w:rPr>
        <w:t>-</w:t>
      </w:r>
      <w:r w:rsidRPr="00497E12">
        <w:rPr>
          <w:sz w:val="22"/>
          <w:szCs w:val="22"/>
        </w:rPr>
        <w:t xml:space="preserve">line TKI to the overall costs. When it was assumed that </w:t>
      </w:r>
      <w:r w:rsidR="00212F60">
        <w:rPr>
          <w:sz w:val="22"/>
          <w:szCs w:val="22"/>
        </w:rPr>
        <w:t>less than 10,000</w:t>
      </w:r>
      <w:r w:rsidRPr="00497E12">
        <w:rPr>
          <w:sz w:val="22"/>
          <w:szCs w:val="22"/>
        </w:rPr>
        <w:t xml:space="preserve"> patients were treated over the five years following the listing of </w:t>
      </w:r>
      <w:proofErr w:type="spellStart"/>
      <w:r w:rsidRPr="00497E12">
        <w:rPr>
          <w:sz w:val="22"/>
          <w:szCs w:val="22"/>
        </w:rPr>
        <w:t>nivolumab</w:t>
      </w:r>
      <w:proofErr w:type="spellEnd"/>
      <w:r w:rsidRPr="00497E12">
        <w:rPr>
          <w:sz w:val="22"/>
          <w:szCs w:val="22"/>
        </w:rPr>
        <w:t>, the overall costs decreased to $</w:t>
      </w:r>
      <w:r w:rsidR="00212F60">
        <w:rPr>
          <w:sz w:val="22"/>
          <w:szCs w:val="22"/>
        </w:rPr>
        <w:t>60 - $100 million</w:t>
      </w:r>
      <w:r w:rsidRPr="00497E12">
        <w:rPr>
          <w:sz w:val="22"/>
          <w:szCs w:val="22"/>
        </w:rPr>
        <w:t xml:space="preserve">. </w:t>
      </w:r>
      <w:r w:rsidR="001D3D4D" w:rsidRPr="00497E12">
        <w:rPr>
          <w:sz w:val="22"/>
          <w:szCs w:val="22"/>
        </w:rPr>
        <w:t>The Minutes of the Advisory Board showed that some members of the panel also considered that the use of TKIs in the first</w:t>
      </w:r>
      <w:r w:rsidR="0064676B" w:rsidRPr="00497E12">
        <w:rPr>
          <w:sz w:val="22"/>
          <w:szCs w:val="22"/>
        </w:rPr>
        <w:t>-</w:t>
      </w:r>
      <w:r w:rsidR="001D3D4D" w:rsidRPr="00497E12">
        <w:rPr>
          <w:sz w:val="22"/>
          <w:szCs w:val="22"/>
        </w:rPr>
        <w:t>line setting might increase (amongst patients with low</w:t>
      </w:r>
      <w:r w:rsidR="00A85120" w:rsidRPr="00497E12">
        <w:rPr>
          <w:sz w:val="22"/>
          <w:szCs w:val="22"/>
        </w:rPr>
        <w:t>-</w:t>
      </w:r>
      <w:r w:rsidR="001D3D4D" w:rsidRPr="00497E12">
        <w:rPr>
          <w:sz w:val="22"/>
          <w:szCs w:val="22"/>
        </w:rPr>
        <w:t xml:space="preserve">volume disease) by a small amount, presumably to afford them </w:t>
      </w:r>
      <w:r w:rsidR="00A85120" w:rsidRPr="00497E12">
        <w:rPr>
          <w:sz w:val="22"/>
          <w:szCs w:val="22"/>
        </w:rPr>
        <w:t xml:space="preserve">subsequent </w:t>
      </w:r>
      <w:r w:rsidR="001D3D4D" w:rsidRPr="00497E12">
        <w:rPr>
          <w:sz w:val="22"/>
          <w:szCs w:val="22"/>
        </w:rPr>
        <w:t xml:space="preserve">access to </w:t>
      </w:r>
      <w:proofErr w:type="spellStart"/>
      <w:r w:rsidR="001D3D4D" w:rsidRPr="00497E12">
        <w:rPr>
          <w:sz w:val="22"/>
          <w:szCs w:val="22"/>
        </w:rPr>
        <w:t>nivolumab</w:t>
      </w:r>
      <w:proofErr w:type="spellEnd"/>
      <w:r w:rsidR="001D3D4D" w:rsidRPr="00497E12">
        <w:rPr>
          <w:sz w:val="22"/>
          <w:szCs w:val="22"/>
        </w:rPr>
        <w:t>. This was not modelled in the financial implications. Assuming a 5% increase in the number of patients receiving a TKI, the overall cost to Government increased from $</w:t>
      </w:r>
      <w:r w:rsidR="00212F60">
        <w:rPr>
          <w:sz w:val="22"/>
          <w:szCs w:val="22"/>
        </w:rPr>
        <w:t xml:space="preserve">60 - $100 million </w:t>
      </w:r>
      <w:r w:rsidR="001D3D4D" w:rsidRPr="00497E12">
        <w:rPr>
          <w:sz w:val="22"/>
          <w:szCs w:val="22"/>
        </w:rPr>
        <w:t xml:space="preserve">to </w:t>
      </w:r>
      <w:r w:rsidR="00212F60">
        <w:rPr>
          <w:sz w:val="22"/>
          <w:szCs w:val="22"/>
        </w:rPr>
        <w:t xml:space="preserve">more than </w:t>
      </w:r>
      <w:r w:rsidR="001D3D4D" w:rsidRPr="00497E12">
        <w:rPr>
          <w:sz w:val="22"/>
          <w:szCs w:val="22"/>
        </w:rPr>
        <w:t>$1</w:t>
      </w:r>
      <w:r w:rsidR="00212F60">
        <w:rPr>
          <w:sz w:val="22"/>
          <w:szCs w:val="22"/>
        </w:rPr>
        <w:t>00 million</w:t>
      </w:r>
      <w:r w:rsidR="001D3D4D" w:rsidRPr="00497E12">
        <w:rPr>
          <w:sz w:val="22"/>
          <w:szCs w:val="22"/>
        </w:rPr>
        <w:t>.</w:t>
      </w:r>
    </w:p>
    <w:p w:rsidR="005F35DC" w:rsidRPr="00497E12" w:rsidRDefault="005F35DC" w:rsidP="0063539C">
      <w:pPr>
        <w:pStyle w:val="FootnoteText"/>
        <w:widowControl/>
        <w:rPr>
          <w:szCs w:val="22"/>
        </w:rPr>
      </w:pPr>
    </w:p>
    <w:p w:rsidR="00CF63F8" w:rsidRPr="00497E12" w:rsidRDefault="001D3D4D" w:rsidP="00C93DB3">
      <w:pPr>
        <w:pStyle w:val="ListParagraph"/>
        <w:widowControl/>
        <w:numPr>
          <w:ilvl w:val="1"/>
          <w:numId w:val="24"/>
        </w:numPr>
        <w:ind w:left="851" w:hanging="851"/>
        <w:rPr>
          <w:szCs w:val="22"/>
        </w:rPr>
      </w:pPr>
      <w:r w:rsidRPr="00497E12">
        <w:t>The</w:t>
      </w:r>
      <w:r w:rsidRPr="00497E12">
        <w:rPr>
          <w:szCs w:val="22"/>
        </w:rPr>
        <w:t xml:space="preserve"> ESC advised that the number of </w:t>
      </w:r>
      <w:r w:rsidR="00172CAF" w:rsidRPr="00497E12">
        <w:rPr>
          <w:szCs w:val="22"/>
        </w:rPr>
        <w:t>patients accessing first</w:t>
      </w:r>
      <w:r w:rsidR="0064676B" w:rsidRPr="00497E12">
        <w:rPr>
          <w:szCs w:val="22"/>
        </w:rPr>
        <w:t>-</w:t>
      </w:r>
      <w:r w:rsidR="00172CAF" w:rsidRPr="00497E12">
        <w:rPr>
          <w:szCs w:val="22"/>
        </w:rPr>
        <w:t xml:space="preserve">line treatment with a TKI would be expected to increase </w:t>
      </w:r>
      <w:r w:rsidR="00A85120" w:rsidRPr="00497E12">
        <w:rPr>
          <w:szCs w:val="22"/>
        </w:rPr>
        <w:t xml:space="preserve">in order </w:t>
      </w:r>
      <w:r w:rsidR="00172CAF" w:rsidRPr="00497E12">
        <w:rPr>
          <w:szCs w:val="22"/>
        </w:rPr>
        <w:t xml:space="preserve">to </w:t>
      </w:r>
      <w:r w:rsidR="00A85120" w:rsidRPr="00497E12">
        <w:rPr>
          <w:szCs w:val="22"/>
        </w:rPr>
        <w:t xml:space="preserve">become eligible for </w:t>
      </w:r>
      <w:r w:rsidR="00172CAF" w:rsidRPr="00497E12">
        <w:rPr>
          <w:szCs w:val="22"/>
        </w:rPr>
        <w:t xml:space="preserve">subsequent treatment with </w:t>
      </w:r>
      <w:proofErr w:type="spellStart"/>
      <w:r w:rsidR="00172CAF" w:rsidRPr="00497E12">
        <w:rPr>
          <w:szCs w:val="22"/>
        </w:rPr>
        <w:t>nivol</w:t>
      </w:r>
      <w:r w:rsidR="00A134ED" w:rsidRPr="00497E12">
        <w:rPr>
          <w:szCs w:val="22"/>
        </w:rPr>
        <w:t>umab</w:t>
      </w:r>
      <w:proofErr w:type="spellEnd"/>
      <w:r w:rsidR="00A85120" w:rsidRPr="00497E12">
        <w:rPr>
          <w:szCs w:val="22"/>
        </w:rPr>
        <w:t>,</w:t>
      </w:r>
      <w:r w:rsidR="00A134ED" w:rsidRPr="00497E12">
        <w:rPr>
          <w:szCs w:val="22"/>
        </w:rPr>
        <w:t xml:space="preserve"> especially if </w:t>
      </w:r>
      <w:r w:rsidR="00DA609A" w:rsidRPr="00497E12">
        <w:rPr>
          <w:szCs w:val="22"/>
        </w:rPr>
        <w:t>S</w:t>
      </w:r>
      <w:r w:rsidR="00A134ED" w:rsidRPr="00497E12">
        <w:rPr>
          <w:szCs w:val="22"/>
        </w:rPr>
        <w:t xml:space="preserve">tage III RCC </w:t>
      </w:r>
      <w:r w:rsidR="00423258">
        <w:rPr>
          <w:szCs w:val="22"/>
        </w:rPr>
        <w:t>wa</w:t>
      </w:r>
      <w:r w:rsidR="00423258" w:rsidRPr="00497E12">
        <w:rPr>
          <w:szCs w:val="22"/>
        </w:rPr>
        <w:t xml:space="preserve">s </w:t>
      </w:r>
      <w:r w:rsidR="00A134ED" w:rsidRPr="00497E12">
        <w:rPr>
          <w:szCs w:val="22"/>
        </w:rPr>
        <w:t>included in the restriction.</w:t>
      </w:r>
      <w:r w:rsidR="00D93173" w:rsidRPr="00497E12">
        <w:rPr>
          <w:szCs w:val="22"/>
        </w:rPr>
        <w:t xml:space="preserve"> The PBAC agreed that the indication should be restricted to Stage IV clear cell variant of RCC consistent with other second-line therapies including </w:t>
      </w:r>
      <w:proofErr w:type="spellStart"/>
      <w:r w:rsidR="00D93173" w:rsidRPr="00497E12">
        <w:rPr>
          <w:szCs w:val="22"/>
        </w:rPr>
        <w:t>everolimus</w:t>
      </w:r>
      <w:proofErr w:type="spellEnd"/>
      <w:r w:rsidR="00D93173" w:rsidRPr="00497E12">
        <w:rPr>
          <w:szCs w:val="22"/>
        </w:rPr>
        <w:t>.</w:t>
      </w:r>
    </w:p>
    <w:p w:rsidR="00AE47D4" w:rsidRPr="00497E12" w:rsidRDefault="00AE47D4" w:rsidP="00AE47D4"/>
    <w:p w:rsidR="00CF63F8" w:rsidRPr="00497E12" w:rsidRDefault="00AE47D4" w:rsidP="00C93DB3">
      <w:pPr>
        <w:pStyle w:val="ListParagraph"/>
        <w:widowControl/>
        <w:numPr>
          <w:ilvl w:val="1"/>
          <w:numId w:val="24"/>
        </w:numPr>
        <w:ind w:left="851" w:hanging="851"/>
      </w:pP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each have a </w:t>
      </w:r>
      <w:r w:rsidR="00497E12">
        <w:t>S</w:t>
      </w:r>
      <w:r w:rsidR="00497E12" w:rsidRPr="00497E12">
        <w:t xml:space="preserve">pecial </w:t>
      </w:r>
      <w:r w:rsidR="00497E12">
        <w:t>P</w:t>
      </w:r>
      <w:r w:rsidR="00497E12" w:rsidRPr="00497E12">
        <w:t xml:space="preserve">ricing </w:t>
      </w:r>
      <w:r w:rsidR="00497E12">
        <w:t>A</w:t>
      </w:r>
      <w:r w:rsidR="00497E12" w:rsidRPr="00497E12">
        <w:t xml:space="preserve">rrangement </w:t>
      </w:r>
      <w:r w:rsidRPr="00497E12">
        <w:t xml:space="preserve">for the second-line treatment of RCC. The actual costs to Government for the requested listing of </w:t>
      </w:r>
      <w:proofErr w:type="spellStart"/>
      <w:r w:rsidRPr="00497E12">
        <w:t>nivolumab</w:t>
      </w:r>
      <w:proofErr w:type="spellEnd"/>
      <w:r w:rsidRPr="00497E12">
        <w:t xml:space="preserve"> using </w:t>
      </w:r>
      <w:r w:rsidR="00230066" w:rsidRPr="00497E12">
        <w:t xml:space="preserve">the approach in the submission and </w:t>
      </w:r>
      <w:r w:rsidRPr="00497E12">
        <w:t xml:space="preserve">the effective prices of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are presented in Table 14 below.</w:t>
      </w:r>
    </w:p>
    <w:p w:rsidR="00AE47D4" w:rsidRPr="00497E12" w:rsidRDefault="00AE47D4" w:rsidP="00AE47D4">
      <w:pPr>
        <w:pStyle w:val="FootnoteText"/>
        <w:widowControl/>
        <w:rPr>
          <w:szCs w:val="22"/>
        </w:rPr>
      </w:pPr>
    </w:p>
    <w:p w:rsidR="00AE47D4" w:rsidRPr="00497E12" w:rsidRDefault="00AE47D4" w:rsidP="00AE47D4">
      <w:pPr>
        <w:keepNext/>
        <w:ind w:left="709"/>
      </w:pPr>
      <w:r w:rsidRPr="00497E12">
        <w:rPr>
          <w:rFonts w:ascii="Arial Narrow" w:hAnsi="Arial Narrow"/>
          <w:b/>
          <w:sz w:val="20"/>
        </w:rPr>
        <w:lastRenderedPageBreak/>
        <w:t xml:space="preserve">Table 14: Cost to Government health budgets for the requested listing of </w:t>
      </w:r>
      <w:proofErr w:type="spellStart"/>
      <w:r w:rsidRPr="00497E12">
        <w:rPr>
          <w:rFonts w:ascii="Arial Narrow" w:hAnsi="Arial Narrow"/>
          <w:b/>
          <w:sz w:val="20"/>
        </w:rPr>
        <w:t>nivolumab</w:t>
      </w:r>
      <w:proofErr w:type="spellEnd"/>
      <w:r w:rsidRPr="00497E12">
        <w:rPr>
          <w:rFonts w:ascii="Arial Narrow" w:hAnsi="Arial Narrow"/>
          <w:b/>
          <w:sz w:val="20"/>
        </w:rPr>
        <w:t xml:space="preserve"> using effective prices of </w:t>
      </w:r>
      <w:proofErr w:type="spellStart"/>
      <w:r w:rsidRPr="00497E12">
        <w:rPr>
          <w:rFonts w:ascii="Arial Narrow" w:hAnsi="Arial Narrow"/>
          <w:b/>
          <w:sz w:val="20"/>
        </w:rPr>
        <w:t>everolimus</w:t>
      </w:r>
      <w:proofErr w:type="spellEnd"/>
      <w:r w:rsidRPr="00497E12">
        <w:rPr>
          <w:rFonts w:ascii="Arial Narrow" w:hAnsi="Arial Narrow"/>
          <w:b/>
          <w:sz w:val="20"/>
        </w:rPr>
        <w:t xml:space="preserve">, </w:t>
      </w:r>
      <w:proofErr w:type="spellStart"/>
      <w:r w:rsidRPr="00497E12">
        <w:rPr>
          <w:rFonts w:ascii="Arial Narrow" w:hAnsi="Arial Narrow"/>
          <w:b/>
          <w:sz w:val="20"/>
        </w:rPr>
        <w:t>axitinib</w:t>
      </w:r>
      <w:proofErr w:type="spellEnd"/>
      <w:r w:rsidRPr="00497E12">
        <w:rPr>
          <w:rFonts w:ascii="Arial Narrow" w:hAnsi="Arial Narrow"/>
          <w:b/>
          <w:sz w:val="20"/>
        </w:rPr>
        <w:t xml:space="preserve"> and </w:t>
      </w:r>
      <w:proofErr w:type="spellStart"/>
      <w:r w:rsidRPr="00497E12">
        <w:rPr>
          <w:rFonts w:ascii="Arial Narrow" w:hAnsi="Arial Narrow"/>
          <w:b/>
          <w:sz w:val="20"/>
        </w:rPr>
        <w:t>sorafenib</w:t>
      </w:r>
      <w:proofErr w:type="spellEnd"/>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693"/>
        <w:gridCol w:w="1134"/>
        <w:gridCol w:w="1134"/>
        <w:gridCol w:w="1134"/>
        <w:gridCol w:w="1134"/>
        <w:gridCol w:w="1134"/>
      </w:tblGrid>
      <w:tr w:rsidR="00AE47D4" w:rsidRPr="001C26DA" w:rsidTr="003E4D10">
        <w:trPr>
          <w:tblHeader/>
        </w:trPr>
        <w:tc>
          <w:tcPr>
            <w:tcW w:w="2693" w:type="dxa"/>
            <w:shd w:val="clear" w:color="auto" w:fill="FFFFFF" w:themeFill="background1"/>
            <w:noWrap/>
            <w:vAlign w:val="center"/>
            <w:hideMark/>
          </w:tcPr>
          <w:p w:rsidR="00AE47D4" w:rsidRPr="00497E12" w:rsidRDefault="00AE47D4" w:rsidP="003E4D10">
            <w:pPr>
              <w:keepNext/>
              <w:widowControl/>
              <w:jc w:val="center"/>
              <w:rPr>
                <w:rFonts w:ascii="Arial Narrow" w:hAnsi="Arial Narrow"/>
                <w:b/>
                <w:bCs/>
                <w:snapToGrid/>
                <w:color w:val="000000"/>
                <w:sz w:val="20"/>
                <w:lang w:eastAsia="en-AU"/>
              </w:rPr>
            </w:pPr>
          </w:p>
        </w:tc>
        <w:tc>
          <w:tcPr>
            <w:tcW w:w="1134" w:type="dxa"/>
            <w:shd w:val="clear" w:color="auto" w:fill="FFFFFF" w:themeFill="background1"/>
            <w:noWrap/>
            <w:vAlign w:val="center"/>
            <w:hideMark/>
          </w:tcPr>
          <w:p w:rsidR="00AE47D4" w:rsidRPr="001C26DA" w:rsidRDefault="00AE47D4" w:rsidP="003E4D10">
            <w:pPr>
              <w:keepNext/>
              <w:widowControl/>
              <w:jc w:val="center"/>
              <w:rPr>
                <w:rFonts w:ascii="Arial Narrow" w:hAnsi="Arial Narrow"/>
                <w:b/>
                <w:bCs/>
                <w:snapToGrid/>
                <w:color w:val="000000"/>
                <w:sz w:val="20"/>
                <w:lang w:eastAsia="en-AU"/>
              </w:rPr>
            </w:pPr>
            <w:r w:rsidRPr="001C26DA">
              <w:rPr>
                <w:rFonts w:ascii="Arial Narrow" w:hAnsi="Arial Narrow"/>
                <w:b/>
                <w:bCs/>
                <w:snapToGrid/>
                <w:color w:val="000000"/>
                <w:sz w:val="20"/>
                <w:lang w:eastAsia="en-AU"/>
              </w:rPr>
              <w:t>Year 1</w:t>
            </w:r>
          </w:p>
        </w:tc>
        <w:tc>
          <w:tcPr>
            <w:tcW w:w="1134" w:type="dxa"/>
            <w:shd w:val="clear" w:color="auto" w:fill="FFFFFF" w:themeFill="background1"/>
            <w:noWrap/>
            <w:vAlign w:val="center"/>
            <w:hideMark/>
          </w:tcPr>
          <w:p w:rsidR="00AE47D4" w:rsidRPr="001C26DA" w:rsidRDefault="00AE47D4" w:rsidP="003E4D10">
            <w:pPr>
              <w:keepNext/>
              <w:widowControl/>
              <w:jc w:val="center"/>
              <w:rPr>
                <w:rFonts w:ascii="Arial Narrow" w:hAnsi="Arial Narrow"/>
                <w:b/>
                <w:bCs/>
                <w:snapToGrid/>
                <w:color w:val="000000"/>
                <w:sz w:val="20"/>
                <w:lang w:eastAsia="en-AU"/>
              </w:rPr>
            </w:pPr>
            <w:r w:rsidRPr="001C26DA">
              <w:rPr>
                <w:rFonts w:ascii="Arial Narrow" w:hAnsi="Arial Narrow"/>
                <w:b/>
                <w:bCs/>
                <w:snapToGrid/>
                <w:color w:val="000000"/>
                <w:sz w:val="20"/>
                <w:lang w:eastAsia="en-AU"/>
              </w:rPr>
              <w:t>Year 2</w:t>
            </w:r>
          </w:p>
        </w:tc>
        <w:tc>
          <w:tcPr>
            <w:tcW w:w="1134" w:type="dxa"/>
            <w:shd w:val="clear" w:color="auto" w:fill="FFFFFF" w:themeFill="background1"/>
            <w:noWrap/>
            <w:vAlign w:val="center"/>
            <w:hideMark/>
          </w:tcPr>
          <w:p w:rsidR="00AE47D4" w:rsidRPr="001C26DA" w:rsidRDefault="00AE47D4" w:rsidP="003E4D10">
            <w:pPr>
              <w:keepNext/>
              <w:widowControl/>
              <w:jc w:val="center"/>
              <w:rPr>
                <w:rFonts w:ascii="Arial Narrow" w:hAnsi="Arial Narrow"/>
                <w:b/>
                <w:bCs/>
                <w:snapToGrid/>
                <w:color w:val="000000"/>
                <w:sz w:val="20"/>
                <w:lang w:eastAsia="en-AU"/>
              </w:rPr>
            </w:pPr>
            <w:r w:rsidRPr="001C26DA">
              <w:rPr>
                <w:rFonts w:ascii="Arial Narrow" w:hAnsi="Arial Narrow"/>
                <w:b/>
                <w:bCs/>
                <w:snapToGrid/>
                <w:color w:val="000000"/>
                <w:sz w:val="20"/>
                <w:lang w:eastAsia="en-AU"/>
              </w:rPr>
              <w:t>Year 3</w:t>
            </w:r>
          </w:p>
        </w:tc>
        <w:tc>
          <w:tcPr>
            <w:tcW w:w="1134" w:type="dxa"/>
            <w:shd w:val="clear" w:color="auto" w:fill="FFFFFF" w:themeFill="background1"/>
            <w:noWrap/>
            <w:vAlign w:val="center"/>
            <w:hideMark/>
          </w:tcPr>
          <w:p w:rsidR="00AE47D4" w:rsidRPr="001C26DA" w:rsidRDefault="00AE47D4" w:rsidP="003E4D10">
            <w:pPr>
              <w:keepNext/>
              <w:widowControl/>
              <w:jc w:val="center"/>
              <w:rPr>
                <w:rFonts w:ascii="Arial Narrow" w:hAnsi="Arial Narrow"/>
                <w:b/>
                <w:bCs/>
                <w:snapToGrid/>
                <w:color w:val="000000"/>
                <w:sz w:val="20"/>
                <w:lang w:eastAsia="en-AU"/>
              </w:rPr>
            </w:pPr>
            <w:r w:rsidRPr="001C26DA">
              <w:rPr>
                <w:rFonts w:ascii="Arial Narrow" w:hAnsi="Arial Narrow"/>
                <w:b/>
                <w:bCs/>
                <w:snapToGrid/>
                <w:color w:val="000000"/>
                <w:sz w:val="20"/>
                <w:lang w:eastAsia="en-AU"/>
              </w:rPr>
              <w:t>Year 4</w:t>
            </w:r>
          </w:p>
        </w:tc>
        <w:tc>
          <w:tcPr>
            <w:tcW w:w="1134" w:type="dxa"/>
            <w:shd w:val="clear" w:color="auto" w:fill="FFFFFF" w:themeFill="background1"/>
            <w:noWrap/>
            <w:vAlign w:val="center"/>
            <w:hideMark/>
          </w:tcPr>
          <w:p w:rsidR="00AE47D4" w:rsidRPr="001C26DA" w:rsidRDefault="00AE47D4" w:rsidP="003E4D10">
            <w:pPr>
              <w:keepNext/>
              <w:widowControl/>
              <w:jc w:val="center"/>
              <w:rPr>
                <w:rFonts w:ascii="Arial Narrow" w:hAnsi="Arial Narrow"/>
                <w:b/>
                <w:bCs/>
                <w:snapToGrid/>
                <w:color w:val="000000"/>
                <w:sz w:val="20"/>
                <w:lang w:eastAsia="en-AU"/>
              </w:rPr>
            </w:pPr>
            <w:r w:rsidRPr="001C26DA">
              <w:rPr>
                <w:rFonts w:ascii="Arial Narrow" w:hAnsi="Arial Narrow"/>
                <w:b/>
                <w:bCs/>
                <w:snapToGrid/>
                <w:color w:val="000000"/>
                <w:sz w:val="20"/>
                <w:lang w:eastAsia="en-AU"/>
              </w:rPr>
              <w:t>Year 5</w:t>
            </w:r>
          </w:p>
        </w:tc>
      </w:tr>
      <w:tr w:rsidR="003E4D10" w:rsidRPr="001C26DA" w:rsidTr="003E4D10">
        <w:tc>
          <w:tcPr>
            <w:tcW w:w="2693" w:type="dxa"/>
            <w:shd w:val="clear" w:color="auto" w:fill="FFFFFF" w:themeFill="background1"/>
            <w:vAlign w:val="center"/>
            <w:hideMark/>
          </w:tcPr>
          <w:p w:rsidR="00AE47D4" w:rsidRPr="001C26DA" w:rsidRDefault="00AE47D4" w:rsidP="003E4D10">
            <w:pPr>
              <w:keepNext/>
              <w:widowControl/>
              <w:jc w:val="left"/>
              <w:rPr>
                <w:rFonts w:ascii="Arial Narrow" w:hAnsi="Arial Narrow"/>
                <w:snapToGrid/>
                <w:color w:val="000000"/>
                <w:sz w:val="20"/>
                <w:lang w:eastAsia="en-AU"/>
              </w:rPr>
            </w:pPr>
            <w:r w:rsidRPr="001C26DA">
              <w:rPr>
                <w:rFonts w:ascii="Arial Narrow" w:hAnsi="Arial Narrow"/>
                <w:snapToGrid/>
                <w:color w:val="000000"/>
                <w:sz w:val="20"/>
                <w:lang w:eastAsia="en-AU"/>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955CB5">
              <w:rPr>
                <w:rFonts w:ascii="Arial Narrow" w:hAnsi="Arial Narrow"/>
                <w:noProof/>
                <w:color w:val="000000"/>
                <w:sz w:val="20"/>
                <w:highlight w:val="black"/>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955CB5">
              <w:rPr>
                <w:rFonts w:ascii="Arial Narrow" w:hAnsi="Arial Narrow"/>
                <w:noProof/>
                <w:color w:val="000000"/>
                <w:sz w:val="20"/>
                <w:highlight w:val="black"/>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955CB5">
              <w:rPr>
                <w:rFonts w:ascii="Arial Narrow" w:hAnsi="Arial Narrow"/>
                <w:noProof/>
                <w:color w:val="000000"/>
                <w:sz w:val="20"/>
                <w:highlight w:val="black"/>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955CB5">
              <w:rPr>
                <w:rFonts w:ascii="Arial Narrow" w:hAnsi="Arial Narrow"/>
                <w:noProof/>
                <w:color w:val="000000"/>
                <w:sz w:val="20"/>
                <w:highlight w:val="black"/>
              </w:rPr>
              <w:t>''''''''''''''''''''''''</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955CB5">
              <w:rPr>
                <w:rFonts w:ascii="Arial Narrow" w:hAnsi="Arial Narrow"/>
                <w:noProof/>
                <w:color w:val="000000"/>
                <w:sz w:val="20"/>
                <w:highlight w:val="black"/>
              </w:rPr>
              <w:t>''''''''''''''''''''''''''''</w:t>
            </w:r>
          </w:p>
        </w:tc>
      </w:tr>
      <w:tr w:rsidR="003E4D10" w:rsidRPr="001C26DA" w:rsidTr="003E4D10">
        <w:tc>
          <w:tcPr>
            <w:tcW w:w="2693" w:type="dxa"/>
            <w:shd w:val="clear" w:color="auto" w:fill="FFFFFF" w:themeFill="background1"/>
            <w:vAlign w:val="center"/>
            <w:hideMark/>
          </w:tcPr>
          <w:p w:rsidR="00AE47D4" w:rsidRPr="001C26DA" w:rsidRDefault="00AE47D4" w:rsidP="003E4D10">
            <w:pPr>
              <w:keepNext/>
              <w:widowControl/>
              <w:jc w:val="left"/>
              <w:rPr>
                <w:rFonts w:ascii="Arial Narrow" w:hAnsi="Arial Narrow"/>
                <w:snapToGrid/>
                <w:color w:val="000000"/>
                <w:sz w:val="20"/>
                <w:lang w:eastAsia="en-AU"/>
              </w:rPr>
            </w:pPr>
            <w:r w:rsidRPr="001C26DA">
              <w:rPr>
                <w:rFonts w:ascii="Arial Narrow" w:hAnsi="Arial Narrow"/>
                <w:snapToGrid/>
                <w:color w:val="000000"/>
                <w:sz w:val="20"/>
                <w:lang w:eastAsia="en-AU"/>
              </w:rPr>
              <w:t>Net impact on other budgets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B32DC8">
              <w:rPr>
                <w:rFonts w:ascii="Arial Narrow" w:hAnsi="Arial Narrow"/>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B32DC8">
              <w:rPr>
                <w:rFonts w:ascii="Arial Narrow" w:hAnsi="Arial Narrow"/>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B32DC8">
              <w:rPr>
                <w:rFonts w:ascii="Arial Narrow" w:hAnsi="Arial Narrow"/>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B32DC8">
              <w:rPr>
                <w:rFonts w:ascii="Arial Narrow" w:hAnsi="Arial Narrow"/>
                <w:noProof/>
                <w:color w:val="000000"/>
                <w:sz w:val="20"/>
                <w:highlight w:val="black"/>
              </w:rPr>
              <w:t>''''''''''''''''''''''</w:t>
            </w:r>
          </w:p>
        </w:tc>
        <w:tc>
          <w:tcPr>
            <w:tcW w:w="1134" w:type="dxa"/>
            <w:tcBorders>
              <w:top w:val="nil"/>
              <w:left w:val="nil"/>
              <w:bottom w:val="single" w:sz="4" w:space="0" w:color="auto"/>
              <w:right w:val="single" w:sz="8" w:space="0" w:color="auto"/>
            </w:tcBorders>
            <w:shd w:val="clear" w:color="auto" w:fill="auto"/>
            <w:noWrap/>
            <w:vAlign w:val="bottom"/>
            <w:hideMark/>
          </w:tcPr>
          <w:p w:rsidR="00AE47D4" w:rsidRPr="001C26DA" w:rsidRDefault="00AE47D4" w:rsidP="003E4D10">
            <w:pPr>
              <w:keepNext/>
              <w:widowControl/>
              <w:jc w:val="center"/>
              <w:rPr>
                <w:rFonts w:ascii="Arial Narrow" w:hAnsi="Arial Narrow"/>
                <w:sz w:val="20"/>
              </w:rPr>
            </w:pPr>
            <w:r w:rsidRPr="001C26DA">
              <w:rPr>
                <w:rFonts w:ascii="Arial Narrow" w:hAnsi="Arial Narrow"/>
                <w:sz w:val="20"/>
              </w:rPr>
              <w:t>$</w:t>
            </w:r>
            <w:r w:rsidR="00B32DC8">
              <w:rPr>
                <w:rFonts w:ascii="Arial Narrow" w:hAnsi="Arial Narrow"/>
                <w:noProof/>
                <w:color w:val="000000"/>
                <w:sz w:val="20"/>
                <w:highlight w:val="black"/>
              </w:rPr>
              <w:t>'''''''''''''''''</w:t>
            </w:r>
          </w:p>
        </w:tc>
      </w:tr>
      <w:tr w:rsidR="003E4D10" w:rsidRPr="00497E12" w:rsidTr="003E4D10">
        <w:tc>
          <w:tcPr>
            <w:tcW w:w="2693" w:type="dxa"/>
            <w:shd w:val="clear" w:color="auto" w:fill="FFFFFF" w:themeFill="background1"/>
            <w:vAlign w:val="center"/>
            <w:hideMark/>
          </w:tcPr>
          <w:p w:rsidR="00AE47D4" w:rsidRPr="001C26DA" w:rsidRDefault="003E4D10" w:rsidP="003E4D10">
            <w:pPr>
              <w:keepNext/>
              <w:widowControl/>
              <w:jc w:val="left"/>
              <w:rPr>
                <w:rFonts w:ascii="Arial Narrow" w:hAnsi="Arial Narrow"/>
                <w:b/>
                <w:snapToGrid/>
                <w:color w:val="000000"/>
                <w:sz w:val="20"/>
                <w:lang w:eastAsia="en-AU"/>
              </w:rPr>
            </w:pPr>
            <w:r w:rsidRPr="001C26DA">
              <w:rPr>
                <w:rFonts w:ascii="Arial Narrow" w:hAnsi="Arial Narrow"/>
                <w:b/>
                <w:snapToGrid/>
                <w:color w:val="000000"/>
                <w:sz w:val="20"/>
                <w:lang w:eastAsia="en-AU"/>
              </w:rPr>
              <w:t>N</w:t>
            </w:r>
            <w:r w:rsidR="00AE47D4" w:rsidRPr="001C26DA">
              <w:rPr>
                <w:rFonts w:ascii="Arial Narrow" w:hAnsi="Arial Narrow"/>
                <w:b/>
                <w:snapToGrid/>
                <w:color w:val="000000"/>
                <w:sz w:val="20"/>
                <w:lang w:eastAsia="en-AU"/>
              </w:rPr>
              <w:t xml:space="preserve">et cost to </w:t>
            </w:r>
            <w:r w:rsidRPr="001C26DA">
              <w:rPr>
                <w:rFonts w:ascii="Arial Narrow" w:hAnsi="Arial Narrow"/>
                <w:b/>
                <w:snapToGrid/>
                <w:color w:val="000000"/>
                <w:sz w:val="20"/>
                <w:lang w:eastAsia="en-AU"/>
              </w:rPr>
              <w:t>health budget</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b/>
                <w:sz w:val="20"/>
              </w:rPr>
            </w:pPr>
            <w:r w:rsidRPr="001C26DA">
              <w:rPr>
                <w:rFonts w:ascii="Arial Narrow" w:hAnsi="Arial Narrow"/>
                <w:b/>
                <w:sz w:val="20"/>
              </w:rPr>
              <w:t>$</w:t>
            </w:r>
            <w:r w:rsidR="00955CB5">
              <w:rPr>
                <w:rFonts w:ascii="Arial Narrow" w:hAnsi="Arial Narrow"/>
                <w:b/>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b/>
                <w:sz w:val="20"/>
              </w:rPr>
            </w:pPr>
            <w:r w:rsidRPr="001C26DA">
              <w:rPr>
                <w:rFonts w:ascii="Arial Narrow" w:hAnsi="Arial Narrow"/>
                <w:b/>
                <w:sz w:val="20"/>
              </w:rPr>
              <w:t>$</w:t>
            </w:r>
            <w:r w:rsidR="00955CB5">
              <w:rPr>
                <w:rFonts w:ascii="Arial Narrow" w:hAnsi="Arial Narrow"/>
                <w:b/>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b/>
                <w:sz w:val="20"/>
              </w:rPr>
            </w:pPr>
            <w:r w:rsidRPr="001C26DA">
              <w:rPr>
                <w:rFonts w:ascii="Arial Narrow" w:hAnsi="Arial Narrow"/>
                <w:b/>
                <w:sz w:val="20"/>
              </w:rPr>
              <w:t>$</w:t>
            </w:r>
            <w:r w:rsidR="00955CB5">
              <w:rPr>
                <w:rFonts w:ascii="Arial Narrow" w:hAnsi="Arial Narrow"/>
                <w:b/>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AE47D4" w:rsidRPr="001C26DA" w:rsidRDefault="00AE47D4" w:rsidP="003E4D10">
            <w:pPr>
              <w:keepNext/>
              <w:widowControl/>
              <w:jc w:val="center"/>
              <w:rPr>
                <w:rFonts w:ascii="Arial Narrow" w:hAnsi="Arial Narrow"/>
                <w:b/>
                <w:sz w:val="20"/>
              </w:rPr>
            </w:pPr>
            <w:r w:rsidRPr="001C26DA">
              <w:rPr>
                <w:rFonts w:ascii="Arial Narrow" w:hAnsi="Arial Narrow"/>
                <w:b/>
                <w:sz w:val="20"/>
              </w:rPr>
              <w:t>$</w:t>
            </w:r>
            <w:r w:rsidR="00955CB5">
              <w:rPr>
                <w:rFonts w:ascii="Arial Narrow" w:hAnsi="Arial Narrow"/>
                <w:b/>
                <w:noProof/>
                <w:color w:val="000000"/>
                <w:sz w:val="20"/>
                <w:highlight w:val="black"/>
              </w:rPr>
              <w:t>''''''''''''''''''''</w:t>
            </w:r>
          </w:p>
        </w:tc>
        <w:tc>
          <w:tcPr>
            <w:tcW w:w="1134" w:type="dxa"/>
            <w:tcBorders>
              <w:top w:val="nil"/>
              <w:left w:val="nil"/>
              <w:bottom w:val="single" w:sz="8" w:space="0" w:color="auto"/>
              <w:right w:val="single" w:sz="8" w:space="0" w:color="auto"/>
            </w:tcBorders>
            <w:shd w:val="clear" w:color="auto" w:fill="auto"/>
            <w:noWrap/>
            <w:vAlign w:val="bottom"/>
            <w:hideMark/>
          </w:tcPr>
          <w:p w:rsidR="00AE47D4" w:rsidRPr="00497E12" w:rsidRDefault="00AE47D4" w:rsidP="003E4D10">
            <w:pPr>
              <w:keepNext/>
              <w:widowControl/>
              <w:jc w:val="center"/>
              <w:rPr>
                <w:rFonts w:ascii="Arial Narrow" w:hAnsi="Arial Narrow"/>
                <w:b/>
                <w:sz w:val="20"/>
              </w:rPr>
            </w:pPr>
            <w:r w:rsidRPr="001C26DA">
              <w:rPr>
                <w:rFonts w:ascii="Arial Narrow" w:hAnsi="Arial Narrow"/>
                <w:b/>
                <w:sz w:val="20"/>
              </w:rPr>
              <w:t>$</w:t>
            </w:r>
            <w:r w:rsidR="00955CB5">
              <w:rPr>
                <w:rFonts w:ascii="Arial Narrow" w:hAnsi="Arial Narrow"/>
                <w:b/>
                <w:noProof/>
                <w:color w:val="000000"/>
                <w:sz w:val="20"/>
                <w:highlight w:val="black"/>
              </w:rPr>
              <w:t>'''''''''''''''''''''</w:t>
            </w:r>
          </w:p>
        </w:tc>
      </w:tr>
    </w:tbl>
    <w:p w:rsidR="00AE47D4" w:rsidRPr="00497E12" w:rsidRDefault="00AE47D4" w:rsidP="003E4D10">
      <w:pPr>
        <w:keepNext/>
        <w:ind w:left="709"/>
        <w:rPr>
          <w:rFonts w:ascii="Arial Narrow" w:hAnsi="Arial Narrow"/>
          <w:sz w:val="18"/>
          <w:szCs w:val="18"/>
        </w:rPr>
      </w:pPr>
      <w:r w:rsidRPr="00497E12">
        <w:rPr>
          <w:rFonts w:ascii="Arial Narrow" w:hAnsi="Arial Narrow"/>
          <w:sz w:val="18"/>
          <w:szCs w:val="18"/>
        </w:rPr>
        <w:t>Source: Section E workbook.</w:t>
      </w:r>
    </w:p>
    <w:p w:rsidR="00AE47D4" w:rsidRPr="00497E12" w:rsidRDefault="00AE47D4" w:rsidP="003E4D10">
      <w:pPr>
        <w:pStyle w:val="TableFooter"/>
        <w:keepNext/>
        <w:ind w:left="709"/>
        <w:rPr>
          <w:szCs w:val="18"/>
        </w:rPr>
      </w:pPr>
      <w:r w:rsidRPr="00497E12">
        <w:rPr>
          <w:szCs w:val="18"/>
        </w:rPr>
        <w:t>Note: Costs have been updated for the MBS item fee</w:t>
      </w:r>
      <w:r w:rsidRPr="00497E12">
        <w:rPr>
          <w:szCs w:val="18"/>
          <w:vertAlign w:val="superscript"/>
        </w:rPr>
        <w:t xml:space="preserve"> </w:t>
      </w:r>
      <w:r w:rsidRPr="00497E12">
        <w:rPr>
          <w:szCs w:val="18"/>
        </w:rPr>
        <w:t>(applying the 85% MBS benefit for the MBS item 13309; from $284.85 to $242.15), the preparation fee (from $82.67 to $102.67).</w:t>
      </w:r>
    </w:p>
    <w:p w:rsidR="00AE47D4" w:rsidRPr="00497E12" w:rsidRDefault="00AE47D4" w:rsidP="00AE47D4">
      <w:pPr>
        <w:pStyle w:val="FootnoteText"/>
        <w:widowControl/>
        <w:rPr>
          <w:szCs w:val="22"/>
        </w:rPr>
      </w:pPr>
    </w:p>
    <w:p w:rsidR="00CF63F8" w:rsidRPr="00497E12" w:rsidRDefault="00CF63F8" w:rsidP="00A45A8D">
      <w:pPr>
        <w:pStyle w:val="Heading2"/>
      </w:pPr>
      <w:bookmarkStart w:id="21" w:name="_Toc450136351"/>
      <w:r w:rsidRPr="00497E12">
        <w:t>Quality Use of Medicines</w:t>
      </w:r>
      <w:bookmarkEnd w:id="21"/>
    </w:p>
    <w:p w:rsidR="00CF63F8" w:rsidRPr="00497E12" w:rsidRDefault="00CF63F8" w:rsidP="00CF63F8">
      <w:pPr>
        <w:widowControl/>
        <w:rPr>
          <w:szCs w:val="22"/>
        </w:rPr>
      </w:pPr>
    </w:p>
    <w:p w:rsidR="00CF63F8" w:rsidRPr="00497E12" w:rsidRDefault="00CF63F8" w:rsidP="00C93DB3">
      <w:pPr>
        <w:pStyle w:val="ListParagraph"/>
        <w:widowControl/>
        <w:numPr>
          <w:ilvl w:val="1"/>
          <w:numId w:val="24"/>
        </w:numPr>
        <w:ind w:left="851" w:hanging="851"/>
      </w:pPr>
      <w:r w:rsidRPr="00497E12">
        <w:t>The submission provided a summary of the sponsor’s current practice and plans regarding</w:t>
      </w:r>
      <w:r w:rsidR="00610B06" w:rsidRPr="00497E12">
        <w:t xml:space="preserve"> the quality use of medicines. </w:t>
      </w:r>
      <w:r w:rsidRPr="00497E12">
        <w:t>Details were provided on:</w:t>
      </w:r>
    </w:p>
    <w:p w:rsidR="00CF63F8" w:rsidRPr="00497E12" w:rsidRDefault="00CF63F8" w:rsidP="00400464">
      <w:pPr>
        <w:pStyle w:val="ListParagraph"/>
        <w:numPr>
          <w:ilvl w:val="0"/>
          <w:numId w:val="2"/>
        </w:numPr>
      </w:pPr>
      <w:r w:rsidRPr="00497E12">
        <w:t xml:space="preserve">Education initiatives supporting </w:t>
      </w:r>
      <w:proofErr w:type="spellStart"/>
      <w:r w:rsidRPr="00497E12">
        <w:t>nivolumab</w:t>
      </w:r>
      <w:proofErr w:type="spellEnd"/>
      <w:r w:rsidRPr="00497E12">
        <w:t xml:space="preserve"> use:</w:t>
      </w:r>
    </w:p>
    <w:p w:rsidR="00CF63F8" w:rsidRPr="00497E12" w:rsidRDefault="00CF63F8" w:rsidP="00400464">
      <w:pPr>
        <w:pStyle w:val="ListParagraph"/>
        <w:numPr>
          <w:ilvl w:val="1"/>
          <w:numId w:val="2"/>
        </w:numPr>
      </w:pPr>
      <w:r w:rsidRPr="00497E12">
        <w:t xml:space="preserve">Physician education; </w:t>
      </w:r>
    </w:p>
    <w:p w:rsidR="00CF63F8" w:rsidRPr="00497E12" w:rsidRDefault="00CF63F8" w:rsidP="00400464">
      <w:pPr>
        <w:pStyle w:val="ListParagraph"/>
        <w:numPr>
          <w:ilvl w:val="1"/>
          <w:numId w:val="2"/>
        </w:numPr>
      </w:pPr>
      <w:r w:rsidRPr="00497E12">
        <w:t>Immuno-oncology preceptorship and peer-to-peer mentorship;</w:t>
      </w:r>
    </w:p>
    <w:p w:rsidR="00CF63F8" w:rsidRPr="00497E12" w:rsidRDefault="00CF63F8" w:rsidP="00400464">
      <w:pPr>
        <w:pStyle w:val="ListParagraph"/>
        <w:numPr>
          <w:ilvl w:val="1"/>
          <w:numId w:val="2"/>
        </w:numPr>
      </w:pPr>
      <w:r w:rsidRPr="00497E12">
        <w:t xml:space="preserve">Nursing and pharmacy in-services; </w:t>
      </w:r>
    </w:p>
    <w:p w:rsidR="00CF63F8" w:rsidRPr="00497E12" w:rsidRDefault="00CF63F8" w:rsidP="00400464">
      <w:pPr>
        <w:pStyle w:val="ListParagraph"/>
        <w:numPr>
          <w:ilvl w:val="1"/>
          <w:numId w:val="2"/>
        </w:numPr>
      </w:pPr>
      <w:r w:rsidRPr="00497E12">
        <w:t>Educational materials and tools for awareness and management of immune-related adverse reactions (</w:t>
      </w:r>
      <w:proofErr w:type="spellStart"/>
      <w:r w:rsidRPr="00497E12">
        <w:t>irAR</w:t>
      </w:r>
      <w:proofErr w:type="spellEnd"/>
      <w:r w:rsidRPr="00497E12">
        <w:t>).</w:t>
      </w:r>
    </w:p>
    <w:p w:rsidR="00CF63F8" w:rsidRPr="00497E12" w:rsidRDefault="00CF63F8" w:rsidP="00400464">
      <w:pPr>
        <w:pStyle w:val="ListParagraph"/>
        <w:numPr>
          <w:ilvl w:val="0"/>
          <w:numId w:val="2"/>
        </w:numPr>
      </w:pPr>
      <w:r w:rsidRPr="00497E12">
        <w:t xml:space="preserve">Guidance on monitoring and treating </w:t>
      </w:r>
      <w:proofErr w:type="spellStart"/>
      <w:r w:rsidRPr="00497E12">
        <w:t>irARs</w:t>
      </w:r>
      <w:proofErr w:type="spellEnd"/>
      <w:r w:rsidRPr="00497E12">
        <w:t>.</w:t>
      </w:r>
    </w:p>
    <w:p w:rsidR="00CF63F8" w:rsidRPr="00497E12" w:rsidRDefault="00CF63F8" w:rsidP="0063539C">
      <w:pPr>
        <w:widowControl/>
      </w:pPr>
    </w:p>
    <w:p w:rsidR="00CF63F8" w:rsidRPr="00497E12" w:rsidRDefault="00CF63F8" w:rsidP="00A45A8D">
      <w:pPr>
        <w:pStyle w:val="Heading2"/>
      </w:pPr>
      <w:bookmarkStart w:id="22" w:name="_Toc450136352"/>
      <w:r w:rsidRPr="00497E12">
        <w:t>Financial Management – Risk Sharing Arrangements</w:t>
      </w:r>
      <w:bookmarkEnd w:id="22"/>
    </w:p>
    <w:p w:rsidR="00CF63F8" w:rsidRPr="00497E12" w:rsidRDefault="00CF63F8" w:rsidP="00CF63F8">
      <w:pPr>
        <w:widowControl/>
        <w:rPr>
          <w:szCs w:val="22"/>
        </w:rPr>
      </w:pPr>
    </w:p>
    <w:p w:rsidR="00CF63F8" w:rsidRPr="00497E12" w:rsidRDefault="00CF63F8" w:rsidP="00C93DB3">
      <w:pPr>
        <w:pStyle w:val="ListParagraph"/>
        <w:widowControl/>
        <w:numPr>
          <w:ilvl w:val="1"/>
          <w:numId w:val="24"/>
        </w:numPr>
        <w:ind w:left="851" w:hanging="851"/>
      </w:pPr>
      <w:r w:rsidRPr="00497E12">
        <w:t>The submission requested a Special Pricing Arrangement (SPA) with a rebate proposed to accommodate the difference between a publishe</w:t>
      </w:r>
      <w:r w:rsidR="0063539C" w:rsidRPr="00497E12">
        <w:t>d price and an effective price.</w:t>
      </w:r>
    </w:p>
    <w:p w:rsidR="00CF63F8" w:rsidRPr="00497E12" w:rsidRDefault="00CF63F8" w:rsidP="00CF63F8">
      <w:pPr>
        <w:widowControl/>
      </w:pPr>
    </w:p>
    <w:p w:rsidR="00CF63F8" w:rsidRPr="00497E12" w:rsidRDefault="00CF63F8" w:rsidP="00C93DB3">
      <w:pPr>
        <w:pStyle w:val="ListParagraph"/>
        <w:widowControl/>
        <w:numPr>
          <w:ilvl w:val="1"/>
          <w:numId w:val="24"/>
        </w:numPr>
        <w:ind w:left="851" w:hanging="851"/>
      </w:pPr>
      <w:r w:rsidRPr="00497E12">
        <w:t xml:space="preserve">The submission stated that the existing cap arrangements that would apply to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r w:rsidRPr="00497E12">
        <w:t xml:space="preserve"> would be inappropriate for </w:t>
      </w:r>
      <w:proofErr w:type="spellStart"/>
      <w:r w:rsidRPr="00497E12">
        <w:t>nivolumab</w:t>
      </w:r>
      <w:proofErr w:type="spellEnd"/>
      <w:r w:rsidRPr="00497E12">
        <w:t xml:space="preserve"> given the cost-effectiveness claim made, the future treatment algorithm, the likelihood </w:t>
      </w:r>
      <w:proofErr w:type="spellStart"/>
      <w:r w:rsidRPr="00497E12">
        <w:t>nivolumab</w:t>
      </w:r>
      <w:proofErr w:type="spellEnd"/>
      <w:r w:rsidRPr="00497E12">
        <w:t xml:space="preserve"> would displace current second</w:t>
      </w:r>
      <w:r w:rsidR="0064676B" w:rsidRPr="00497E12">
        <w:t>-</w:t>
      </w:r>
      <w:r w:rsidRPr="00497E12">
        <w:t>line RCC treatments to third</w:t>
      </w:r>
      <w:r w:rsidR="0064676B" w:rsidRPr="00497E12">
        <w:t>-</w:t>
      </w:r>
      <w:r w:rsidRPr="00497E12">
        <w:t xml:space="preserve">line, and that </w:t>
      </w:r>
      <w:proofErr w:type="spellStart"/>
      <w:r w:rsidRPr="00497E12">
        <w:t>nivolumab</w:t>
      </w:r>
      <w:proofErr w:type="spellEnd"/>
      <w:r w:rsidRPr="00497E12">
        <w:t xml:space="preserve"> treatment may continue beyond RECIST defined progression. The submission acknowledged that the duration of therapy for </w:t>
      </w:r>
      <w:proofErr w:type="spellStart"/>
      <w:r w:rsidRPr="00497E12">
        <w:t>nivolumab</w:t>
      </w:r>
      <w:proofErr w:type="spellEnd"/>
      <w:r w:rsidRPr="00497E12">
        <w:t xml:space="preserve"> is uncertain and given the sensitivity of the ICER and financial estimates to the duration of therapy, the sponsor would be committed to negotiations to manage the risk to cost-effectiveness and overall cost to the PBS. The submission did not propose any further details for a </w:t>
      </w:r>
      <w:r w:rsidR="00497E12">
        <w:t>R</w:t>
      </w:r>
      <w:r w:rsidR="00497E12" w:rsidRPr="00497E12">
        <w:t xml:space="preserve">isk </w:t>
      </w:r>
      <w:r w:rsidR="00497E12">
        <w:t>S</w:t>
      </w:r>
      <w:r w:rsidR="00497E12" w:rsidRPr="00497E12">
        <w:t xml:space="preserve">haring </w:t>
      </w:r>
      <w:r w:rsidR="00497E12">
        <w:t>A</w:t>
      </w:r>
      <w:r w:rsidR="00497E12" w:rsidRPr="00497E12">
        <w:t>rrangement</w:t>
      </w:r>
      <w:r w:rsidRPr="00497E12">
        <w:t>.</w:t>
      </w:r>
    </w:p>
    <w:p w:rsidR="005F35DC" w:rsidRPr="00497E12" w:rsidRDefault="005F35DC" w:rsidP="0063539C">
      <w:pPr>
        <w:widowControl/>
        <w:ind w:left="-11"/>
      </w:pPr>
    </w:p>
    <w:p w:rsidR="005F35DC" w:rsidRPr="00497E12" w:rsidRDefault="005F35DC" w:rsidP="00C93DB3">
      <w:pPr>
        <w:pStyle w:val="ListParagraph"/>
        <w:widowControl/>
        <w:numPr>
          <w:ilvl w:val="1"/>
          <w:numId w:val="24"/>
        </w:numPr>
        <w:ind w:left="851" w:hanging="851"/>
      </w:pPr>
      <w:r w:rsidRPr="00497E12">
        <w:t xml:space="preserve">The ESC suggested that the proposed details of any such </w:t>
      </w:r>
      <w:r w:rsidR="00497E12">
        <w:t>R</w:t>
      </w:r>
      <w:r w:rsidR="00497E12" w:rsidRPr="00497E12">
        <w:t>isk</w:t>
      </w:r>
      <w:r w:rsidR="00497E12">
        <w:t xml:space="preserve"> S</w:t>
      </w:r>
      <w:r w:rsidRPr="00497E12">
        <w:t xml:space="preserve">haring </w:t>
      </w:r>
      <w:r w:rsidR="00497E12">
        <w:t>A</w:t>
      </w:r>
      <w:r w:rsidR="00497E12" w:rsidRPr="00497E12">
        <w:t xml:space="preserve">rrangement </w:t>
      </w:r>
      <w:r w:rsidR="00A85120" w:rsidRPr="00497E12">
        <w:t>would be informative</w:t>
      </w:r>
      <w:r w:rsidR="00D41655" w:rsidRPr="00497E12">
        <w:t xml:space="preserve"> for PBAC consideration</w:t>
      </w:r>
      <w:r w:rsidRPr="00497E12">
        <w:t xml:space="preserve">. The ESC </w:t>
      </w:r>
      <w:r w:rsidR="00A85120" w:rsidRPr="00497E12">
        <w:t xml:space="preserve">also </w:t>
      </w:r>
      <w:r w:rsidRPr="00497E12">
        <w:t>noted that</w:t>
      </w:r>
      <w:r w:rsidR="00A85120" w:rsidRPr="00497E12">
        <w:t>,</w:t>
      </w:r>
      <w:r w:rsidRPr="00497E12">
        <w:t xml:space="preserve"> given concerns on potential differences in trial</w:t>
      </w:r>
      <w:r w:rsidR="00A85120" w:rsidRPr="00497E12">
        <w:t>-</w:t>
      </w:r>
      <w:r w:rsidRPr="00497E12">
        <w:t xml:space="preserve">based efficacy and clinical effectiveness, the local clinical community is proposing a study to monitor the effectiveness of </w:t>
      </w:r>
      <w:proofErr w:type="spellStart"/>
      <w:r w:rsidRPr="00497E12">
        <w:t>nivolumab</w:t>
      </w:r>
      <w:proofErr w:type="spellEnd"/>
      <w:r w:rsidRPr="00497E12">
        <w:t xml:space="preserve"> in local practice.</w:t>
      </w:r>
      <w:r w:rsidR="0022696A" w:rsidRPr="00497E12">
        <w:t xml:space="preserve"> The PBAC noted the </w:t>
      </w:r>
      <w:r w:rsidR="002E3752" w:rsidRPr="00497E12">
        <w:t>sponsor’s</w:t>
      </w:r>
      <w:r w:rsidR="0022696A" w:rsidRPr="00497E12">
        <w:t xml:space="preserve"> willingness to enter into a </w:t>
      </w:r>
      <w:r w:rsidR="00497E12">
        <w:t>R</w:t>
      </w:r>
      <w:r w:rsidR="00497E12" w:rsidRPr="00497E12">
        <w:t xml:space="preserve">isk </w:t>
      </w:r>
      <w:r w:rsidR="00497E12">
        <w:t>S</w:t>
      </w:r>
      <w:r w:rsidR="00497E12" w:rsidRPr="00497E12">
        <w:t xml:space="preserve">haring </w:t>
      </w:r>
      <w:r w:rsidR="00497E12">
        <w:t>A</w:t>
      </w:r>
      <w:r w:rsidR="00497E12" w:rsidRPr="00497E12">
        <w:t xml:space="preserve">rrangement </w:t>
      </w:r>
      <w:r w:rsidR="0022696A" w:rsidRPr="00497E12">
        <w:t xml:space="preserve">and agreed that one would be </w:t>
      </w:r>
      <w:r w:rsidR="006F69DD" w:rsidRPr="00497E12">
        <w:t>necessary</w:t>
      </w:r>
      <w:r w:rsidR="0022696A" w:rsidRPr="00497E12">
        <w:t xml:space="preserve"> to mitigate the financial risk from the uncertain </w:t>
      </w:r>
      <w:r w:rsidR="006F69DD" w:rsidRPr="00497E12">
        <w:t xml:space="preserve">duration of treatment with </w:t>
      </w:r>
      <w:proofErr w:type="spellStart"/>
      <w:r w:rsidR="006F69DD" w:rsidRPr="00497E12">
        <w:t>nivolumab</w:t>
      </w:r>
      <w:proofErr w:type="spellEnd"/>
      <w:r w:rsidR="006F69DD" w:rsidRPr="00497E12">
        <w:t>.</w:t>
      </w:r>
    </w:p>
    <w:p w:rsidR="005B55FB" w:rsidRPr="00497E12" w:rsidRDefault="005B55FB" w:rsidP="005B55FB"/>
    <w:p w:rsidR="005B55FB" w:rsidRPr="00497E12" w:rsidRDefault="005B55FB" w:rsidP="00C93DB3">
      <w:pPr>
        <w:ind w:firstLine="851"/>
        <w:rPr>
          <w:bCs/>
          <w:szCs w:val="22"/>
        </w:rPr>
      </w:pPr>
      <w:r w:rsidRPr="00497E12">
        <w:rPr>
          <w:bCs/>
          <w:i/>
          <w:szCs w:val="22"/>
        </w:rPr>
        <w:t>For more detail on PBAC’s view, see section 7 “PBAC outcome”</w:t>
      </w:r>
      <w:r w:rsidR="00EE5F86" w:rsidRPr="00497E12">
        <w:rPr>
          <w:bCs/>
          <w:i/>
          <w:szCs w:val="22"/>
        </w:rPr>
        <w:t>.</w:t>
      </w:r>
    </w:p>
    <w:p w:rsidR="005B55FB" w:rsidRPr="00423258" w:rsidRDefault="005B55FB" w:rsidP="005B55FB">
      <w:pPr>
        <w:widowControl/>
      </w:pPr>
    </w:p>
    <w:p w:rsidR="00711DDD" w:rsidRPr="00423258" w:rsidRDefault="00711DDD" w:rsidP="005B55FB">
      <w:pPr>
        <w:widowControl/>
      </w:pPr>
    </w:p>
    <w:p w:rsidR="005B55FB" w:rsidRPr="00B73F89" w:rsidRDefault="005B55FB" w:rsidP="00A45A8D">
      <w:pPr>
        <w:pStyle w:val="Heading1"/>
      </w:pPr>
      <w:r w:rsidRPr="00B73F89">
        <w:t>PBAC Outcome</w:t>
      </w:r>
    </w:p>
    <w:p w:rsidR="00423258" w:rsidRDefault="00423258" w:rsidP="00423258">
      <w:pPr>
        <w:widowControl/>
      </w:pPr>
    </w:p>
    <w:p w:rsidR="00451298" w:rsidRPr="00497E12" w:rsidRDefault="00451298" w:rsidP="00416368">
      <w:pPr>
        <w:pStyle w:val="ListParagraph"/>
        <w:numPr>
          <w:ilvl w:val="1"/>
          <w:numId w:val="26"/>
        </w:numPr>
        <w:ind w:left="851" w:hanging="851"/>
      </w:pPr>
      <w:bookmarkStart w:id="23" w:name="_GoBack"/>
      <w:bookmarkEnd w:id="23"/>
      <w:r w:rsidRPr="00497E12">
        <w:t xml:space="preserve">The PBAC decided not to recommend </w:t>
      </w:r>
      <w:r w:rsidR="00FE5810" w:rsidRPr="00497E12">
        <w:t xml:space="preserve">that </w:t>
      </w:r>
      <w:proofErr w:type="spellStart"/>
      <w:r w:rsidRPr="00497E12">
        <w:t>nivolumab</w:t>
      </w:r>
      <w:proofErr w:type="spellEnd"/>
      <w:r w:rsidRPr="00497E12">
        <w:t xml:space="preserve"> </w:t>
      </w:r>
      <w:r w:rsidR="00FE5810" w:rsidRPr="00497E12">
        <w:t xml:space="preserve">be listed in the </w:t>
      </w:r>
      <w:r w:rsidRPr="00497E12">
        <w:t xml:space="preserve">PBS </w:t>
      </w:r>
      <w:r w:rsidR="00FE5810" w:rsidRPr="00497E12">
        <w:t>for the treatment of advanced or metastatic clear cell variant renal cell carcinoma (RCC)</w:t>
      </w:r>
      <w:r w:rsidRPr="00497E12">
        <w:t xml:space="preserve"> based on an unacceptably high and uncertain incremental cost-effectiveness ratio </w:t>
      </w:r>
      <w:r w:rsidR="00DF2DF6" w:rsidRPr="00497E12">
        <w:t xml:space="preserve">(ICER) </w:t>
      </w:r>
      <w:r w:rsidRPr="00497E12">
        <w:t xml:space="preserve">at the requested </w:t>
      </w:r>
      <w:r w:rsidR="00766FBA" w:rsidRPr="00497E12">
        <w:t xml:space="preserve">effective </w:t>
      </w:r>
      <w:r w:rsidRPr="00497E12">
        <w:t>price</w:t>
      </w:r>
      <w:r w:rsidR="00FE5810" w:rsidRPr="00497E12">
        <w:t>. The PBAC also noted that the relevant TGA delegate’s overview was not yet available for its consideration.</w:t>
      </w:r>
    </w:p>
    <w:p w:rsidR="005B55FB" w:rsidRPr="00497E12" w:rsidRDefault="005B55FB" w:rsidP="0034066E">
      <w:pPr>
        <w:widowControl/>
        <w:rPr>
          <w:highlight w:val="yellow"/>
        </w:rPr>
      </w:pPr>
    </w:p>
    <w:p w:rsidR="005B55FB" w:rsidRPr="00497E12" w:rsidRDefault="00F33AC7" w:rsidP="00416368">
      <w:pPr>
        <w:pStyle w:val="ListParagraph"/>
        <w:widowControl/>
        <w:numPr>
          <w:ilvl w:val="1"/>
          <w:numId w:val="26"/>
        </w:numPr>
        <w:ind w:left="851" w:hanging="851"/>
      </w:pPr>
      <w:r w:rsidRPr="00497E12">
        <w:t xml:space="preserve">The PBAC recognised the clinical need </w:t>
      </w:r>
      <w:r w:rsidR="00FE5810" w:rsidRPr="00497E12">
        <w:t xml:space="preserve">for </w:t>
      </w:r>
      <w:proofErr w:type="spellStart"/>
      <w:r w:rsidRPr="00497E12">
        <w:t>nivolumab</w:t>
      </w:r>
      <w:proofErr w:type="spellEnd"/>
      <w:r w:rsidRPr="00497E12">
        <w:t xml:space="preserve"> </w:t>
      </w:r>
      <w:r w:rsidR="005D7959">
        <w:t xml:space="preserve">in patients with </w:t>
      </w:r>
      <w:r w:rsidR="001C26DA">
        <w:t xml:space="preserve">clear cell </w:t>
      </w:r>
      <w:r w:rsidR="005D7959">
        <w:t>renal ca</w:t>
      </w:r>
      <w:r w:rsidR="001C26DA">
        <w:t>rcinoma</w:t>
      </w:r>
      <w:r w:rsidR="005D7959">
        <w:t xml:space="preserve"> who ha</w:t>
      </w:r>
      <w:r w:rsidR="00F720A2">
        <w:t>d failed first-line treatments.</w:t>
      </w:r>
    </w:p>
    <w:p w:rsidR="005F1EBD" w:rsidRPr="00497E12" w:rsidRDefault="005F1EBD" w:rsidP="005F1EBD">
      <w:pPr>
        <w:widowControl/>
      </w:pPr>
    </w:p>
    <w:p w:rsidR="00766FBA" w:rsidRPr="00497E12" w:rsidRDefault="009D4094" w:rsidP="00416368">
      <w:pPr>
        <w:pStyle w:val="ListParagraph"/>
        <w:widowControl/>
        <w:numPr>
          <w:ilvl w:val="1"/>
          <w:numId w:val="26"/>
        </w:numPr>
        <w:ind w:left="851" w:hanging="851"/>
      </w:pPr>
      <w:r w:rsidRPr="00497E12">
        <w:t xml:space="preserve">The PBAC agreed with the ESC that any PBS-listing of </w:t>
      </w:r>
      <w:proofErr w:type="spellStart"/>
      <w:r w:rsidRPr="00497E12">
        <w:t>nivolumab</w:t>
      </w:r>
      <w:proofErr w:type="spellEnd"/>
      <w:r w:rsidRPr="00497E12">
        <w:t xml:space="preserve"> be restricted to Stage IV disease, consistent with the first- and second-line agents currently listed for the treatment of RCC. </w:t>
      </w:r>
      <w:r w:rsidR="00766FBA" w:rsidRPr="00497E12">
        <w:t xml:space="preserve">Consistent with the recruited population in the key trial, the PBAC </w:t>
      </w:r>
      <w:r w:rsidRPr="00497E12">
        <w:t xml:space="preserve">also </w:t>
      </w:r>
      <w:r w:rsidR="00766FBA" w:rsidRPr="00497E12">
        <w:t xml:space="preserve">foreshadowed that any PBS restriction would be limited to patients with a WHO performance score of 0 to 2. </w:t>
      </w:r>
      <w:r w:rsidR="00A6092C" w:rsidRPr="00497E12">
        <w:t>Further, any</w:t>
      </w:r>
      <w:r w:rsidR="00766FBA" w:rsidRPr="00497E12">
        <w:t xml:space="preserve"> PBS restriction for continuation would be modelled on the existing restriction for </w:t>
      </w:r>
      <w:proofErr w:type="spellStart"/>
      <w:r w:rsidR="00766FBA" w:rsidRPr="00497E12">
        <w:t>nivolumab</w:t>
      </w:r>
      <w:proofErr w:type="spellEnd"/>
      <w:r w:rsidR="00766FBA" w:rsidRPr="00497E12">
        <w:t xml:space="preserve"> in </w:t>
      </w:r>
      <w:r w:rsidR="00A6092C" w:rsidRPr="00497E12">
        <w:t>melanoma to account for</w:t>
      </w:r>
      <w:r w:rsidR="001C26DA" w:rsidRPr="001C26DA">
        <w:t xml:space="preserve"> the rare circumstance of</w:t>
      </w:r>
      <w:r w:rsidR="00A6092C" w:rsidRPr="00497E12">
        <w:t xml:space="preserve"> pseudo</w:t>
      </w:r>
      <w:r w:rsidR="00F77C7D">
        <w:t>-</w:t>
      </w:r>
      <w:r w:rsidR="00A6092C" w:rsidRPr="00497E12">
        <w:t>progression.</w:t>
      </w:r>
    </w:p>
    <w:p w:rsidR="00766FBA" w:rsidRPr="00497E12" w:rsidRDefault="00766FBA" w:rsidP="00766FBA"/>
    <w:p w:rsidR="005F1EBD" w:rsidRPr="00497E12" w:rsidRDefault="005F1EBD" w:rsidP="00416368">
      <w:pPr>
        <w:pStyle w:val="ListParagraph"/>
        <w:widowControl/>
        <w:numPr>
          <w:ilvl w:val="1"/>
          <w:numId w:val="26"/>
        </w:numPr>
        <w:ind w:left="851" w:hanging="851"/>
      </w:pPr>
      <w:r w:rsidRPr="00497E12">
        <w:t xml:space="preserve">The PBAC considered that </w:t>
      </w:r>
      <w:proofErr w:type="spellStart"/>
      <w:r w:rsidRPr="00497E12">
        <w:t>everolimus</w:t>
      </w:r>
      <w:proofErr w:type="spellEnd"/>
      <w:r w:rsidRPr="00497E12">
        <w:t xml:space="preserve"> was an appropriate comparator and that </w:t>
      </w:r>
      <w:proofErr w:type="spellStart"/>
      <w:r w:rsidRPr="00497E12">
        <w:t>axitinib</w:t>
      </w:r>
      <w:proofErr w:type="spellEnd"/>
      <w:r w:rsidRPr="00497E12">
        <w:t xml:space="preserve"> and </w:t>
      </w:r>
      <w:proofErr w:type="spellStart"/>
      <w:r w:rsidRPr="00497E12">
        <w:t>sorafenib</w:t>
      </w:r>
      <w:proofErr w:type="spellEnd"/>
      <w:r w:rsidRPr="00497E12">
        <w:t xml:space="preserve"> were secondary comparators.</w:t>
      </w:r>
    </w:p>
    <w:p w:rsidR="002E3752" w:rsidRPr="00497E12" w:rsidRDefault="002E3752" w:rsidP="00FE5810">
      <w:pPr>
        <w:widowControl/>
      </w:pPr>
    </w:p>
    <w:p w:rsidR="002E3752" w:rsidRPr="00497E12" w:rsidRDefault="002E3752" w:rsidP="00416368">
      <w:pPr>
        <w:pStyle w:val="ListParagraph"/>
        <w:widowControl/>
        <w:numPr>
          <w:ilvl w:val="1"/>
          <w:numId w:val="26"/>
        </w:numPr>
        <w:ind w:left="851" w:hanging="851"/>
      </w:pPr>
      <w:r w:rsidRPr="00497E12">
        <w:t xml:space="preserve">The PBAC noted that there was no significant difference between </w:t>
      </w:r>
      <w:proofErr w:type="spellStart"/>
      <w:r w:rsidRPr="00497E12">
        <w:t>everolimus</w:t>
      </w:r>
      <w:proofErr w:type="spellEnd"/>
      <w:r w:rsidRPr="00497E12">
        <w:t xml:space="preserve"> and </w:t>
      </w:r>
      <w:proofErr w:type="spellStart"/>
      <w:r w:rsidRPr="00497E12">
        <w:t>nivolumab</w:t>
      </w:r>
      <w:proofErr w:type="spellEnd"/>
      <w:r w:rsidRPr="00497E12">
        <w:t xml:space="preserve"> treatment in </w:t>
      </w:r>
      <w:r w:rsidR="001702B2" w:rsidRPr="00497E12">
        <w:t>progression-free survival (</w:t>
      </w:r>
      <w:r w:rsidRPr="00497E12">
        <w:t>PFS</w:t>
      </w:r>
      <w:r w:rsidR="001702B2" w:rsidRPr="00497E12">
        <w:t xml:space="preserve">) as defined </w:t>
      </w:r>
      <w:r w:rsidR="00E602E3" w:rsidRPr="00497E12">
        <w:t>by RECIST v1.1 for the pre</w:t>
      </w:r>
      <w:r w:rsidR="00F77C7D">
        <w:t>-</w:t>
      </w:r>
      <w:r w:rsidR="00E602E3" w:rsidRPr="00497E12">
        <w:t>specified analysis of the trial</w:t>
      </w:r>
      <w:r w:rsidRPr="00497E12">
        <w:t xml:space="preserve">. The PBAC indicated that the </w:t>
      </w:r>
      <w:r w:rsidR="00AD4F39">
        <w:t>post</w:t>
      </w:r>
      <w:r w:rsidR="00F720A2">
        <w:t xml:space="preserve"> </w:t>
      </w:r>
      <w:r w:rsidR="00AD4F39">
        <w:t xml:space="preserve">hoc </w:t>
      </w:r>
      <w:r w:rsidRPr="00497E12">
        <w:t xml:space="preserve">use of a </w:t>
      </w:r>
      <w:r w:rsidR="006A6C6E">
        <w:t>“</w:t>
      </w:r>
      <w:r w:rsidRPr="00497E12">
        <w:t>clinical</w:t>
      </w:r>
      <w:r w:rsidR="001702B2" w:rsidRPr="00497E12">
        <w:t xml:space="preserve"> PFS</w:t>
      </w:r>
      <w:r w:rsidR="006A6C6E">
        <w:t>”</w:t>
      </w:r>
      <w:r w:rsidRPr="00497E12">
        <w:t xml:space="preserve"> outcome for economic modelling was not validated</w:t>
      </w:r>
      <w:r w:rsidR="00AD4F39">
        <w:t xml:space="preserve">, nor necessarily representative of use in Australian practice. </w:t>
      </w:r>
      <w:r w:rsidR="003C309A">
        <w:t>Consequently</w:t>
      </w:r>
      <w:r w:rsidR="006E1805" w:rsidRPr="00497E12">
        <w:t>, t</w:t>
      </w:r>
      <w:r w:rsidRPr="00497E12">
        <w:t xml:space="preserve">he PBAC recommended that the </w:t>
      </w:r>
      <w:r w:rsidR="007866DC" w:rsidRPr="00497E12">
        <w:t xml:space="preserve">more </w:t>
      </w:r>
      <w:r w:rsidRPr="00497E12">
        <w:t xml:space="preserve">standard PFS </w:t>
      </w:r>
      <w:r w:rsidR="007866DC" w:rsidRPr="00497E12">
        <w:t xml:space="preserve">(allowing the </w:t>
      </w:r>
      <w:r w:rsidRPr="00497E12">
        <w:t xml:space="preserve">RECIST criteria </w:t>
      </w:r>
      <w:r w:rsidR="007866DC" w:rsidRPr="00497E12">
        <w:t xml:space="preserve">to be modified to avoid stopping the medicine in the context of early pseudo-progression as determined for </w:t>
      </w:r>
      <w:proofErr w:type="spellStart"/>
      <w:r w:rsidR="007866DC" w:rsidRPr="00497E12">
        <w:t>nivolumab</w:t>
      </w:r>
      <w:proofErr w:type="spellEnd"/>
      <w:r w:rsidR="007866DC" w:rsidRPr="00497E12">
        <w:t xml:space="preserve"> in melanoma) </w:t>
      </w:r>
      <w:r w:rsidRPr="00497E12">
        <w:t xml:space="preserve">be used in </w:t>
      </w:r>
      <w:r w:rsidR="006F4C68" w:rsidRPr="00497E12">
        <w:t xml:space="preserve">any future </w:t>
      </w:r>
      <w:r w:rsidR="006E1805" w:rsidRPr="00497E12">
        <w:t xml:space="preserve">PBS </w:t>
      </w:r>
      <w:r w:rsidRPr="00497E12">
        <w:t>restriction and in the economic modelling.</w:t>
      </w:r>
    </w:p>
    <w:p w:rsidR="007866DC" w:rsidRPr="00497E12" w:rsidRDefault="007866DC" w:rsidP="007866DC"/>
    <w:p w:rsidR="007866DC" w:rsidRPr="00497E12" w:rsidRDefault="001702B2" w:rsidP="00416368">
      <w:pPr>
        <w:pStyle w:val="ListParagraph"/>
        <w:widowControl/>
        <w:numPr>
          <w:ilvl w:val="1"/>
          <w:numId w:val="26"/>
        </w:numPr>
        <w:ind w:left="851" w:hanging="851"/>
      </w:pPr>
      <w:r w:rsidRPr="00497E12">
        <w:t xml:space="preserve">The PBAC accepted </w:t>
      </w:r>
      <w:r w:rsidR="00E602E3" w:rsidRPr="00497E12">
        <w:t xml:space="preserve">that, according to the primary analysis of the key trial, </w:t>
      </w:r>
      <w:proofErr w:type="spellStart"/>
      <w:r w:rsidR="00E602E3" w:rsidRPr="00497E12">
        <w:t>nivolumab</w:t>
      </w:r>
      <w:proofErr w:type="spellEnd"/>
      <w:r w:rsidR="00E602E3" w:rsidRPr="00497E12">
        <w:t xml:space="preserve"> </w:t>
      </w:r>
      <w:r w:rsidRPr="00497E12">
        <w:t>statistically significant</w:t>
      </w:r>
      <w:r w:rsidR="00E602E3" w:rsidRPr="00497E12">
        <w:t>ly</w:t>
      </w:r>
      <w:r w:rsidRPr="00497E12">
        <w:t xml:space="preserve"> </w:t>
      </w:r>
      <w:r w:rsidR="00E602E3" w:rsidRPr="00497E12">
        <w:t xml:space="preserve">increased overall </w:t>
      </w:r>
      <w:r w:rsidRPr="00497E12">
        <w:t xml:space="preserve">survival </w:t>
      </w:r>
      <w:r w:rsidR="00E602E3" w:rsidRPr="00497E12">
        <w:t xml:space="preserve">compared to </w:t>
      </w:r>
      <w:proofErr w:type="spellStart"/>
      <w:r w:rsidR="00E602E3" w:rsidRPr="00497E12">
        <w:t>everolimus</w:t>
      </w:r>
      <w:proofErr w:type="spellEnd"/>
      <w:r w:rsidR="00E602E3" w:rsidRPr="00497E12">
        <w:t>.</w:t>
      </w:r>
      <w:r w:rsidRPr="00497E12">
        <w:t xml:space="preserve"> </w:t>
      </w:r>
      <w:r w:rsidR="007866DC" w:rsidRPr="00497E12">
        <w:t xml:space="preserve">The PBAC noted that there was no clear relationship between </w:t>
      </w:r>
      <w:r w:rsidR="001C26DA">
        <w:t xml:space="preserve">the </w:t>
      </w:r>
      <w:r w:rsidR="001C26DA" w:rsidRPr="001C26DA">
        <w:t xml:space="preserve">relative survival benefit for </w:t>
      </w:r>
      <w:proofErr w:type="spellStart"/>
      <w:r w:rsidR="001C26DA" w:rsidRPr="001C26DA">
        <w:t>nivol</w:t>
      </w:r>
      <w:r w:rsidR="001C26DA">
        <w:t>u</w:t>
      </w:r>
      <w:r w:rsidR="001C26DA" w:rsidRPr="001C26DA">
        <w:t>mab</w:t>
      </w:r>
      <w:proofErr w:type="spellEnd"/>
      <w:r w:rsidR="001C26DA" w:rsidRPr="001C26DA">
        <w:t xml:space="preserve"> according to </w:t>
      </w:r>
      <w:r w:rsidR="007866DC" w:rsidRPr="00497E12">
        <w:t xml:space="preserve">expression of PDL-1 </w:t>
      </w:r>
      <w:r w:rsidR="001C26DA">
        <w:t xml:space="preserve">at a 1% or 5% </w:t>
      </w:r>
      <w:r w:rsidR="00DA3C75">
        <w:t>cut</w:t>
      </w:r>
      <w:r w:rsidR="0000580A">
        <w:t>-</w:t>
      </w:r>
      <w:r w:rsidR="00DA3C75">
        <w:t>off</w:t>
      </w:r>
      <w:r w:rsidR="001C26DA" w:rsidRPr="00497E12">
        <w:t>.</w:t>
      </w:r>
      <w:r w:rsidR="001C26DA">
        <w:t xml:space="preserve"> Therefore it</w:t>
      </w:r>
      <w:r w:rsidR="00FD00BF">
        <w:t xml:space="preserve"> was</w:t>
      </w:r>
      <w:r w:rsidR="001C26DA">
        <w:t xml:space="preserve"> agreed that PDL-1 status should not be a consideration in any PBS restriction for </w:t>
      </w:r>
      <w:proofErr w:type="spellStart"/>
      <w:r w:rsidR="001C26DA">
        <w:t>nivolumab</w:t>
      </w:r>
      <w:proofErr w:type="spellEnd"/>
      <w:r w:rsidR="001C26DA">
        <w:t xml:space="preserve"> in renal cell carcinoma at this time.</w:t>
      </w:r>
    </w:p>
    <w:p w:rsidR="00E65A02" w:rsidRPr="00497E12" w:rsidRDefault="00E65A02" w:rsidP="00E65A02">
      <w:pPr>
        <w:widowControl/>
      </w:pPr>
    </w:p>
    <w:p w:rsidR="00BB1D5C" w:rsidRPr="00497E12" w:rsidRDefault="00BB1D5C" w:rsidP="00416368">
      <w:pPr>
        <w:pStyle w:val="ListParagraph"/>
        <w:widowControl/>
        <w:numPr>
          <w:ilvl w:val="1"/>
          <w:numId w:val="26"/>
        </w:numPr>
        <w:ind w:left="851" w:hanging="851"/>
      </w:pPr>
      <w:r w:rsidRPr="00497E12">
        <w:t>The PBAC considered that the</w:t>
      </w:r>
      <w:r w:rsidR="00792DFE" w:rsidRPr="00497E12">
        <w:t xml:space="preserve"> early stopping of the </w:t>
      </w:r>
      <w:r w:rsidR="007866DC" w:rsidRPr="00497E12">
        <w:t xml:space="preserve">key </w:t>
      </w:r>
      <w:r w:rsidR="00792DFE" w:rsidRPr="00497E12">
        <w:t>tr</w:t>
      </w:r>
      <w:r w:rsidR="007866DC" w:rsidRPr="00497E12">
        <w:t>i</w:t>
      </w:r>
      <w:r w:rsidR="00792DFE" w:rsidRPr="00497E12">
        <w:t>al after the planned interim analysis me</w:t>
      </w:r>
      <w:r w:rsidR="007866DC" w:rsidRPr="00497E12">
        <w:t xml:space="preserve">t </w:t>
      </w:r>
      <w:r w:rsidR="00792DFE" w:rsidRPr="00497E12">
        <w:t xml:space="preserve">the </w:t>
      </w:r>
      <w:r w:rsidR="007866DC" w:rsidRPr="00497E12">
        <w:t>pre</w:t>
      </w:r>
      <w:r w:rsidR="00F77C7D">
        <w:t>-</w:t>
      </w:r>
      <w:r w:rsidR="007866DC" w:rsidRPr="00497E12">
        <w:t xml:space="preserve">specified </w:t>
      </w:r>
      <w:r w:rsidR="00792DFE" w:rsidRPr="00497E12">
        <w:t xml:space="preserve">early stopping rule </w:t>
      </w:r>
      <w:r w:rsidR="00F77C7D">
        <w:t xml:space="preserve">but </w:t>
      </w:r>
      <w:r w:rsidR="00792DFE" w:rsidRPr="00497E12">
        <w:t xml:space="preserve">may have over-estimated the </w:t>
      </w:r>
      <w:r w:rsidR="004C66F8" w:rsidRPr="00497E12">
        <w:t>degree of</w:t>
      </w:r>
      <w:r w:rsidR="007866DC" w:rsidRPr="00497E12">
        <w:t xml:space="preserve"> overall </w:t>
      </w:r>
      <w:r w:rsidR="00792DFE" w:rsidRPr="00497E12">
        <w:t xml:space="preserve">survival </w:t>
      </w:r>
      <w:r w:rsidR="007866DC" w:rsidRPr="00497E12">
        <w:t>gain</w:t>
      </w:r>
      <w:r w:rsidR="004C66F8" w:rsidRPr="00497E12">
        <w:t xml:space="preserve"> because this general bias in stopping trials early has been demonstrated in meta-analyses</w:t>
      </w:r>
      <w:r w:rsidR="00F77528" w:rsidRPr="00497E12">
        <w:t xml:space="preserve"> and because </w:t>
      </w:r>
      <w:r w:rsidR="006E1805" w:rsidRPr="00497E12">
        <w:t xml:space="preserve">hazard ratios </w:t>
      </w:r>
      <w:r w:rsidR="00F77528" w:rsidRPr="00497E12">
        <w:t>tend to become less favourable over time.</w:t>
      </w:r>
      <w:r w:rsidR="001702B2" w:rsidRPr="00497E12">
        <w:t xml:space="preserve"> The early stopping of this trial</w:t>
      </w:r>
      <w:r w:rsidR="007866DC" w:rsidRPr="00497E12">
        <w:t xml:space="preserve"> </w:t>
      </w:r>
      <w:r w:rsidR="00792DFE" w:rsidRPr="00497E12">
        <w:t xml:space="preserve">under-estimated the </w:t>
      </w:r>
      <w:r w:rsidR="007866DC" w:rsidRPr="00497E12">
        <w:t xml:space="preserve">average </w:t>
      </w:r>
      <w:r w:rsidR="00792DFE" w:rsidRPr="00497E12">
        <w:t xml:space="preserve">treatment duration of </w:t>
      </w:r>
      <w:proofErr w:type="spellStart"/>
      <w:r w:rsidR="00792DFE" w:rsidRPr="00497E12">
        <w:t>nivolumab</w:t>
      </w:r>
      <w:proofErr w:type="spellEnd"/>
      <w:r w:rsidR="001702B2" w:rsidRPr="00497E12">
        <w:t xml:space="preserve"> because some trial participants were still receiving </w:t>
      </w:r>
      <w:proofErr w:type="spellStart"/>
      <w:r w:rsidR="001702B2" w:rsidRPr="00497E12">
        <w:t>nivolumab</w:t>
      </w:r>
      <w:proofErr w:type="spellEnd"/>
      <w:r w:rsidR="001702B2" w:rsidRPr="00497E12">
        <w:t xml:space="preserve"> when the trial was stopped</w:t>
      </w:r>
      <w:r w:rsidR="00792DFE" w:rsidRPr="00497E12">
        <w:t>.</w:t>
      </w:r>
      <w:r w:rsidR="006F4C68" w:rsidRPr="00497E12">
        <w:t xml:space="preserve"> The PBAC considered that the uncertainty around the duration of treatment </w:t>
      </w:r>
      <w:r w:rsidR="00F77C7D">
        <w:t xml:space="preserve">of </w:t>
      </w:r>
      <w:r w:rsidR="001702B2" w:rsidRPr="00497E12">
        <w:t xml:space="preserve">a PBS listing </w:t>
      </w:r>
      <w:r w:rsidR="006F4C68" w:rsidRPr="00497E12">
        <w:t xml:space="preserve">could be addressed </w:t>
      </w:r>
      <w:r w:rsidR="00F77C7D">
        <w:t xml:space="preserve">through </w:t>
      </w:r>
      <w:r w:rsidR="006F4C68" w:rsidRPr="00497E12">
        <w:t>a</w:t>
      </w:r>
      <w:r w:rsidR="00F77C7D">
        <w:t>n</w:t>
      </w:r>
      <w:r w:rsidR="006F4C68" w:rsidRPr="00497E12">
        <w:t xml:space="preserve"> </w:t>
      </w:r>
      <w:r w:rsidR="003C4E69" w:rsidRPr="00497E12">
        <w:t>RSA</w:t>
      </w:r>
      <w:r w:rsidR="007866DC" w:rsidRPr="00497E12">
        <w:t xml:space="preserve">, where the </w:t>
      </w:r>
      <w:r w:rsidR="001702B2" w:rsidRPr="00497E12">
        <w:t xml:space="preserve">expenditure </w:t>
      </w:r>
      <w:r w:rsidR="007866DC" w:rsidRPr="00497E12">
        <w:t xml:space="preserve">caps </w:t>
      </w:r>
      <w:r w:rsidR="001702B2" w:rsidRPr="00497E12">
        <w:t xml:space="preserve">would be </w:t>
      </w:r>
      <w:r w:rsidR="001702B2" w:rsidRPr="00497E12">
        <w:lastRenderedPageBreak/>
        <w:t xml:space="preserve">calculated to </w:t>
      </w:r>
      <w:r w:rsidR="007866DC" w:rsidRPr="00497E12">
        <w:t xml:space="preserve">reflect the duration of </w:t>
      </w:r>
      <w:proofErr w:type="spellStart"/>
      <w:r w:rsidR="007866DC" w:rsidRPr="00497E12">
        <w:t>nivolumab</w:t>
      </w:r>
      <w:proofErr w:type="spellEnd"/>
      <w:r w:rsidR="007866DC" w:rsidRPr="00497E12">
        <w:t xml:space="preserve"> treatment reported </w:t>
      </w:r>
      <w:r w:rsidR="001702B2" w:rsidRPr="00497E12">
        <w:t>by</w:t>
      </w:r>
      <w:r w:rsidR="007866DC" w:rsidRPr="00497E12">
        <w:t xml:space="preserve"> the interim analysis of the key trial</w:t>
      </w:r>
      <w:r w:rsidR="006F4C68" w:rsidRPr="00497E12">
        <w:t>.</w:t>
      </w:r>
    </w:p>
    <w:p w:rsidR="00792DFE" w:rsidRPr="00497E12" w:rsidRDefault="00792DFE" w:rsidP="00792DFE">
      <w:pPr>
        <w:widowControl/>
      </w:pPr>
    </w:p>
    <w:p w:rsidR="007866DC" w:rsidRPr="00497E12" w:rsidRDefault="007866DC" w:rsidP="00416368">
      <w:pPr>
        <w:pStyle w:val="ListParagraph"/>
        <w:widowControl/>
        <w:numPr>
          <w:ilvl w:val="1"/>
          <w:numId w:val="26"/>
        </w:numPr>
        <w:ind w:left="851" w:hanging="851"/>
      </w:pPr>
      <w:r w:rsidRPr="00497E12">
        <w:t xml:space="preserve">The PBAC considered that the difficulty in determining causality of AEs in the </w:t>
      </w:r>
      <w:proofErr w:type="spellStart"/>
      <w:r w:rsidRPr="00497E12">
        <w:t>nivolumab</w:t>
      </w:r>
      <w:proofErr w:type="spellEnd"/>
      <w:r w:rsidRPr="00497E12">
        <w:t xml:space="preserve"> arm of the </w:t>
      </w:r>
      <w:r w:rsidR="004C66F8" w:rsidRPr="00497E12">
        <w:t xml:space="preserve">key </w:t>
      </w:r>
      <w:r w:rsidRPr="00497E12">
        <w:t>tr</w:t>
      </w:r>
      <w:r w:rsidR="004C66F8" w:rsidRPr="00497E12">
        <w:t>i</w:t>
      </w:r>
      <w:r w:rsidRPr="00497E12">
        <w:t>al did not support the claim of less drug</w:t>
      </w:r>
      <w:r w:rsidR="004C66F8" w:rsidRPr="00497E12">
        <w:t>-</w:t>
      </w:r>
      <w:r w:rsidRPr="00497E12">
        <w:t>related AEs. The PBAC indica</w:t>
      </w:r>
      <w:r w:rsidR="007A03FF" w:rsidRPr="00497E12">
        <w:t>ted that the clinical claim of ‘</w:t>
      </w:r>
      <w:r w:rsidRPr="00497E12">
        <w:t>favourable</w:t>
      </w:r>
      <w:r w:rsidR="007A03FF" w:rsidRPr="00497E12">
        <w:t>’</w:t>
      </w:r>
      <w:r w:rsidRPr="00497E12">
        <w:t xml:space="preserve"> safety </w:t>
      </w:r>
      <w:r w:rsidR="004C66F8" w:rsidRPr="00497E12">
        <w:t xml:space="preserve">for </w:t>
      </w:r>
      <w:proofErr w:type="spellStart"/>
      <w:r w:rsidR="004C66F8" w:rsidRPr="00497E12">
        <w:t>nivolumab</w:t>
      </w:r>
      <w:proofErr w:type="spellEnd"/>
      <w:r w:rsidR="004C66F8" w:rsidRPr="00497E12">
        <w:t xml:space="preserve"> </w:t>
      </w:r>
      <w:r w:rsidRPr="00497E12">
        <w:t xml:space="preserve">over </w:t>
      </w:r>
      <w:proofErr w:type="spellStart"/>
      <w:r w:rsidRPr="00497E12">
        <w:t>everolimus</w:t>
      </w:r>
      <w:proofErr w:type="spellEnd"/>
      <w:r w:rsidRPr="00497E12">
        <w:t xml:space="preserve"> was not adequately supported by the data supplied.</w:t>
      </w:r>
    </w:p>
    <w:p w:rsidR="007866DC" w:rsidRPr="00497E12" w:rsidRDefault="007866DC" w:rsidP="007866DC">
      <w:pPr>
        <w:widowControl/>
      </w:pPr>
    </w:p>
    <w:p w:rsidR="00792DFE" w:rsidRPr="00497E12" w:rsidRDefault="00792DFE" w:rsidP="00416368">
      <w:pPr>
        <w:pStyle w:val="ListParagraph"/>
        <w:widowControl/>
        <w:numPr>
          <w:ilvl w:val="1"/>
          <w:numId w:val="26"/>
        </w:numPr>
        <w:ind w:left="851" w:hanging="851"/>
      </w:pPr>
      <w:r w:rsidRPr="00497E12">
        <w:t xml:space="preserve">The PBAC </w:t>
      </w:r>
      <w:r w:rsidR="001702B2" w:rsidRPr="00497E12">
        <w:t xml:space="preserve">advised </w:t>
      </w:r>
      <w:r w:rsidRPr="00497E12">
        <w:t xml:space="preserve">that the model should </w:t>
      </w:r>
      <w:r w:rsidR="00F401CC" w:rsidRPr="00497E12">
        <w:t>be restricted to</w:t>
      </w:r>
      <w:r w:rsidRPr="00497E12">
        <w:t xml:space="preserve"> a 5</w:t>
      </w:r>
      <w:r w:rsidR="007866DC" w:rsidRPr="00497E12">
        <w:t>-</w:t>
      </w:r>
      <w:r w:rsidRPr="00497E12">
        <w:t>year time horizon not the 10</w:t>
      </w:r>
      <w:r w:rsidR="001702B2" w:rsidRPr="00497E12">
        <w:t>-</w:t>
      </w:r>
      <w:r w:rsidRPr="00497E12">
        <w:t xml:space="preserve">year </w:t>
      </w:r>
      <w:r w:rsidR="001702B2" w:rsidRPr="00497E12">
        <w:t xml:space="preserve">time horizon </w:t>
      </w:r>
      <w:r w:rsidRPr="00497E12">
        <w:t>as proposed in the submission</w:t>
      </w:r>
      <w:r w:rsidR="008E3AD3" w:rsidRPr="00497E12">
        <w:t>, in the PSCR,</w:t>
      </w:r>
      <w:r w:rsidRPr="00497E12">
        <w:t xml:space="preserve"> and in the Pre-PBAC response</w:t>
      </w:r>
      <w:r w:rsidR="005F1EBD" w:rsidRPr="00497E12">
        <w:t>,</w:t>
      </w:r>
      <w:r w:rsidRPr="00497E12">
        <w:t xml:space="preserve"> </w:t>
      </w:r>
      <w:r w:rsidR="008354DB" w:rsidRPr="00497E12">
        <w:t xml:space="preserve">consistent with the Committee’s previous </w:t>
      </w:r>
      <w:r w:rsidR="00E73BC9" w:rsidRPr="00497E12">
        <w:t xml:space="preserve">preference for a </w:t>
      </w:r>
      <w:r w:rsidR="008354DB" w:rsidRPr="00497E12">
        <w:t>5-year time horizon with second-line treatment of metastatic RCC</w:t>
      </w:r>
      <w:r w:rsidR="00E73BC9" w:rsidRPr="00497E12">
        <w:t xml:space="preserve">. </w:t>
      </w:r>
      <w:r w:rsidR="004C66F8" w:rsidRPr="00497E12">
        <w:t xml:space="preserve">The PBAC also advised that </w:t>
      </w:r>
      <w:r w:rsidR="006F4C68" w:rsidRPr="00497E12">
        <w:t xml:space="preserve">treatment costs </w:t>
      </w:r>
      <w:r w:rsidR="004C66F8" w:rsidRPr="00497E12">
        <w:t xml:space="preserve">should </w:t>
      </w:r>
      <w:r w:rsidR="003C4E69" w:rsidRPr="00497E12">
        <w:t xml:space="preserve">be </w:t>
      </w:r>
      <w:r w:rsidR="006F4C68" w:rsidRPr="00497E12">
        <w:t xml:space="preserve">applied in each cycle of the model </w:t>
      </w:r>
      <w:r w:rsidR="003159AC" w:rsidRPr="00497E12">
        <w:t xml:space="preserve">whilst in the progression-free health state </w:t>
      </w:r>
      <w:r w:rsidR="00920793" w:rsidRPr="00497E12">
        <w:t>because</w:t>
      </w:r>
      <w:r w:rsidR="00502B4A" w:rsidRPr="00497E12">
        <w:t xml:space="preserve"> this </w:t>
      </w:r>
      <w:r w:rsidR="003C4E69" w:rsidRPr="00497E12">
        <w:t xml:space="preserve">would </w:t>
      </w:r>
      <w:r w:rsidR="003159AC" w:rsidRPr="00497E12">
        <w:t xml:space="preserve">more likely </w:t>
      </w:r>
      <w:r w:rsidR="003C4E69" w:rsidRPr="00497E12">
        <w:t>reflect</w:t>
      </w:r>
      <w:r w:rsidR="00502B4A" w:rsidRPr="00497E12">
        <w:t xml:space="preserve"> the duration of use of </w:t>
      </w:r>
      <w:proofErr w:type="spellStart"/>
      <w:r w:rsidR="00502B4A" w:rsidRPr="00497E12">
        <w:t>nivolumab</w:t>
      </w:r>
      <w:proofErr w:type="spellEnd"/>
      <w:r w:rsidR="00502B4A" w:rsidRPr="00497E12">
        <w:t xml:space="preserve"> and </w:t>
      </w:r>
      <w:proofErr w:type="spellStart"/>
      <w:r w:rsidR="00502B4A" w:rsidRPr="00497E12">
        <w:t>everolimus</w:t>
      </w:r>
      <w:proofErr w:type="spellEnd"/>
      <w:r w:rsidRPr="00497E12">
        <w:t>.</w:t>
      </w:r>
      <w:r w:rsidR="00920793" w:rsidRPr="00497E12">
        <w:t xml:space="preserve"> The PBAC noted that, when the model was specified </w:t>
      </w:r>
      <w:r w:rsidR="00F77C7D" w:rsidRPr="00497E12">
        <w:t>accord</w:t>
      </w:r>
      <w:r w:rsidR="00F77C7D">
        <w:t>ing</w:t>
      </w:r>
      <w:r w:rsidR="00F77C7D" w:rsidRPr="00497E12">
        <w:t xml:space="preserve"> </w:t>
      </w:r>
      <w:r w:rsidR="00F77C7D">
        <w:t xml:space="preserve">to </w:t>
      </w:r>
      <w:r w:rsidR="00920793" w:rsidRPr="00497E12">
        <w:t>this advice, the ICER/QALY using published prices was unacceptably high at $</w:t>
      </w:r>
      <w:r w:rsidR="005C6F71">
        <w:t>105,000 - $200,000</w:t>
      </w:r>
      <w:r w:rsidR="00920793" w:rsidRPr="00497E12">
        <w:t xml:space="preserve"> and would be even higher using the effective prices of </w:t>
      </w:r>
      <w:proofErr w:type="spellStart"/>
      <w:r w:rsidR="00920793" w:rsidRPr="00497E12">
        <w:t>everolimus</w:t>
      </w:r>
      <w:proofErr w:type="spellEnd"/>
      <w:r w:rsidR="00920793" w:rsidRPr="00497E12">
        <w:t xml:space="preserve">, </w:t>
      </w:r>
      <w:proofErr w:type="spellStart"/>
      <w:r w:rsidR="00920793" w:rsidRPr="00497E12">
        <w:t>axitinib</w:t>
      </w:r>
      <w:proofErr w:type="spellEnd"/>
      <w:r w:rsidR="00920793" w:rsidRPr="00497E12">
        <w:t xml:space="preserve"> and </w:t>
      </w:r>
      <w:proofErr w:type="spellStart"/>
      <w:r w:rsidR="00920793" w:rsidRPr="00497E12">
        <w:t>sorafenib</w:t>
      </w:r>
      <w:proofErr w:type="spellEnd"/>
      <w:r w:rsidR="00920793" w:rsidRPr="00497E12">
        <w:t>.</w:t>
      </w:r>
      <w:r w:rsidR="005568D6" w:rsidRPr="00497E12">
        <w:t xml:space="preserve"> The PBAC noted that the sponsor could not be aware of these effective prices, but </w:t>
      </w:r>
      <w:r w:rsidR="00F77C7D">
        <w:t xml:space="preserve">noted </w:t>
      </w:r>
      <w:r w:rsidR="005568D6" w:rsidRPr="00497E12">
        <w:t xml:space="preserve">that these could be appropriately revealed following a </w:t>
      </w:r>
      <w:r w:rsidR="005D7959">
        <w:t xml:space="preserve">positive </w:t>
      </w:r>
      <w:r w:rsidR="005568D6" w:rsidRPr="00497E12">
        <w:t>PBAC recommendation.</w:t>
      </w:r>
      <w:r w:rsidR="00502B4A" w:rsidRPr="00497E12">
        <w:t xml:space="preserve"> The PBAC also noted that</w:t>
      </w:r>
      <w:r w:rsidR="00643248" w:rsidRPr="00497E12">
        <w:t xml:space="preserve"> the sponsor </w:t>
      </w:r>
      <w:r w:rsidR="00502B4A" w:rsidRPr="00497E12">
        <w:t xml:space="preserve">had </w:t>
      </w:r>
      <w:r w:rsidR="00643248" w:rsidRPr="00497E12">
        <w:t xml:space="preserve">indicated </w:t>
      </w:r>
      <w:r w:rsidR="00502B4A" w:rsidRPr="00497E12">
        <w:t>in its pre-PBAC response that it was prepared</w:t>
      </w:r>
      <w:r w:rsidR="00643248" w:rsidRPr="00497E12">
        <w:t xml:space="preserve"> to compromise on price, but considered that the suggest</w:t>
      </w:r>
      <w:r w:rsidR="007A03FF" w:rsidRPr="00497E12">
        <w:t>ion of ‘</w:t>
      </w:r>
      <w:r w:rsidR="00643248" w:rsidRPr="00497E12">
        <w:t>designating expenditure tiers rather than a full adjustment in price</w:t>
      </w:r>
      <w:r w:rsidR="007A03FF" w:rsidRPr="00497E12">
        <w:t>’</w:t>
      </w:r>
      <w:r w:rsidR="00643248" w:rsidRPr="00497E12">
        <w:t xml:space="preserve"> did not provide sufficient basis for any recommendation to list.</w:t>
      </w:r>
    </w:p>
    <w:p w:rsidR="00F401CC" w:rsidRPr="00497E12" w:rsidRDefault="00F401CC" w:rsidP="00FE5810">
      <w:pPr>
        <w:widowControl/>
      </w:pPr>
    </w:p>
    <w:p w:rsidR="00502B4A" w:rsidRPr="00497E12" w:rsidRDefault="00502B4A" w:rsidP="00416368">
      <w:pPr>
        <w:pStyle w:val="ListParagraph"/>
        <w:widowControl/>
        <w:numPr>
          <w:ilvl w:val="1"/>
          <w:numId w:val="26"/>
        </w:numPr>
        <w:ind w:left="851" w:hanging="851"/>
      </w:pPr>
      <w:r w:rsidRPr="00497E12">
        <w:t>The PBAC proposed the following respecified base case for the model:</w:t>
      </w:r>
    </w:p>
    <w:p w:rsidR="00502B4A" w:rsidRPr="00497E12" w:rsidRDefault="00B32DC8" w:rsidP="00502B4A">
      <w:pPr>
        <w:pStyle w:val="ListParagraph"/>
        <w:widowControl/>
        <w:numPr>
          <w:ilvl w:val="0"/>
          <w:numId w:val="19"/>
        </w:numPr>
        <w:ind w:left="1134"/>
      </w:pPr>
      <w:r>
        <w:rPr>
          <w:noProof/>
          <w:color w:val="000000"/>
          <w:highlight w:val="black"/>
        </w:rPr>
        <w:t>'''''''''''</w:t>
      </w:r>
      <w:r w:rsidR="00216093" w:rsidRPr="00497E12">
        <w:t xml:space="preserve"> infusions</w:t>
      </w:r>
      <w:r w:rsidR="00502B4A" w:rsidRPr="00497E12">
        <w:t xml:space="preserve"> of </w:t>
      </w:r>
      <w:proofErr w:type="spellStart"/>
      <w:r w:rsidR="00216093" w:rsidRPr="00497E12">
        <w:t>nivolumab</w:t>
      </w:r>
      <w:proofErr w:type="spellEnd"/>
      <w:r w:rsidR="00216093" w:rsidRPr="00497E12">
        <w:t xml:space="preserve"> </w:t>
      </w:r>
      <w:r w:rsidR="003159AC" w:rsidRPr="00497E12">
        <w:t xml:space="preserve">reflecting time to progression in the key trial and </w:t>
      </w:r>
      <w:r w:rsidR="00216093" w:rsidRPr="00497E12">
        <w:t>costed according to the per cycle approach in the model</w:t>
      </w:r>
    </w:p>
    <w:p w:rsidR="00216093" w:rsidRPr="00F720A2" w:rsidRDefault="00216093" w:rsidP="00502B4A">
      <w:pPr>
        <w:pStyle w:val="ListParagraph"/>
        <w:widowControl/>
        <w:numPr>
          <w:ilvl w:val="0"/>
          <w:numId w:val="19"/>
        </w:numPr>
        <w:ind w:left="1134"/>
      </w:pPr>
      <w:r w:rsidRPr="00F720A2">
        <w:t xml:space="preserve">the mean duration of use of </w:t>
      </w:r>
      <w:proofErr w:type="spellStart"/>
      <w:r w:rsidRPr="00F720A2">
        <w:t>everolimus</w:t>
      </w:r>
      <w:proofErr w:type="spellEnd"/>
      <w:r w:rsidRPr="00F720A2">
        <w:t xml:space="preserve"> and subsequent TKIs as observed in the PBS costed according to the per cycle approach in the model</w:t>
      </w:r>
    </w:p>
    <w:p w:rsidR="00216093" w:rsidRPr="00497E12" w:rsidRDefault="00216093" w:rsidP="00502B4A">
      <w:pPr>
        <w:pStyle w:val="ListParagraph"/>
        <w:widowControl/>
        <w:numPr>
          <w:ilvl w:val="0"/>
          <w:numId w:val="19"/>
        </w:numPr>
        <w:ind w:left="1134"/>
      </w:pPr>
      <w:r w:rsidRPr="00497E12">
        <w:t>5-year time horizon for the model</w:t>
      </w:r>
    </w:p>
    <w:p w:rsidR="00216093" w:rsidRPr="00497E12" w:rsidRDefault="00216093" w:rsidP="00502B4A">
      <w:pPr>
        <w:pStyle w:val="ListParagraph"/>
        <w:widowControl/>
        <w:numPr>
          <w:ilvl w:val="0"/>
          <w:numId w:val="19"/>
        </w:numPr>
        <w:ind w:left="1134"/>
      </w:pPr>
      <w:r w:rsidRPr="00497E12">
        <w:t>no other changes to the method of generating the QALY estimates by the model</w:t>
      </w:r>
    </w:p>
    <w:p w:rsidR="00216093" w:rsidRPr="00497E12" w:rsidRDefault="00216093" w:rsidP="00502B4A">
      <w:pPr>
        <w:pStyle w:val="ListParagraph"/>
        <w:widowControl/>
        <w:numPr>
          <w:ilvl w:val="0"/>
          <w:numId w:val="19"/>
        </w:numPr>
        <w:ind w:left="1134"/>
      </w:pPr>
      <w:r w:rsidRPr="00497E12">
        <w:t xml:space="preserve">effective prices of </w:t>
      </w:r>
      <w:proofErr w:type="spellStart"/>
      <w:r w:rsidRPr="00497E12">
        <w:t>everolimus</w:t>
      </w:r>
      <w:proofErr w:type="spellEnd"/>
      <w:r w:rsidRPr="00497E12">
        <w:t xml:space="preserve">, </w:t>
      </w:r>
      <w:proofErr w:type="spellStart"/>
      <w:r w:rsidRPr="00497E12">
        <w:t>axitinib</w:t>
      </w:r>
      <w:proofErr w:type="spellEnd"/>
      <w:r w:rsidRPr="00497E12">
        <w:t xml:space="preserve"> and </w:t>
      </w:r>
      <w:proofErr w:type="spellStart"/>
      <w:r w:rsidRPr="00497E12">
        <w:t>sorafenib</w:t>
      </w:r>
      <w:proofErr w:type="spellEnd"/>
    </w:p>
    <w:p w:rsidR="00216093" w:rsidRPr="00497E12" w:rsidRDefault="00FD7213" w:rsidP="00502B4A">
      <w:pPr>
        <w:pStyle w:val="ListParagraph"/>
        <w:widowControl/>
        <w:numPr>
          <w:ilvl w:val="0"/>
          <w:numId w:val="19"/>
        </w:numPr>
        <w:ind w:left="1134"/>
      </w:pPr>
      <w:proofErr w:type="gramStart"/>
      <w:r w:rsidRPr="00497E12">
        <w:t>back-calculated</w:t>
      </w:r>
      <w:proofErr w:type="gramEnd"/>
      <w:r w:rsidRPr="00497E12">
        <w:t xml:space="preserve"> effective price of </w:t>
      </w:r>
      <w:proofErr w:type="spellStart"/>
      <w:r w:rsidRPr="00497E12">
        <w:t>nivolumab</w:t>
      </w:r>
      <w:proofErr w:type="spellEnd"/>
      <w:r w:rsidRPr="00497E12">
        <w:t xml:space="preserve"> to give the submission’s base case ICER/QALY of </w:t>
      </w:r>
      <w:r w:rsidR="005C160D">
        <w:t xml:space="preserve">no greater than </w:t>
      </w:r>
      <w:r w:rsidR="00A733F9" w:rsidRPr="00497E12">
        <w:t>$</w:t>
      </w:r>
      <w:r w:rsidR="005C6F71">
        <w:t>45,000 - $75,000</w:t>
      </w:r>
      <w:r w:rsidRPr="00497E12">
        <w:t>.</w:t>
      </w:r>
    </w:p>
    <w:p w:rsidR="00502B4A" w:rsidRPr="00497E12" w:rsidRDefault="00502B4A" w:rsidP="00502B4A"/>
    <w:p w:rsidR="00792DFE" w:rsidRPr="00497E12" w:rsidRDefault="00684208" w:rsidP="00416368">
      <w:pPr>
        <w:pStyle w:val="ListParagraph"/>
        <w:widowControl/>
        <w:numPr>
          <w:ilvl w:val="1"/>
          <w:numId w:val="26"/>
        </w:numPr>
        <w:ind w:left="851" w:hanging="851"/>
      </w:pPr>
      <w:r w:rsidRPr="00497E12">
        <w:t xml:space="preserve">The PBAC noted that </w:t>
      </w:r>
      <w:r w:rsidR="00323CA3" w:rsidRPr="00497E12">
        <w:t xml:space="preserve">recent </w:t>
      </w:r>
      <w:r w:rsidRPr="00497E12">
        <w:t>PBS data indicated that approximately 16</w:t>
      </w:r>
      <w:r w:rsidR="00323CA3" w:rsidRPr="00497E12">
        <w:t>.0</w:t>
      </w:r>
      <w:r w:rsidR="00A733F9" w:rsidRPr="00497E12">
        <w:t>%</w:t>
      </w:r>
      <w:r w:rsidR="00323CA3" w:rsidRPr="00497E12">
        <w:t xml:space="preserve"> (in 2013) to </w:t>
      </w:r>
      <w:r w:rsidRPr="00497E12">
        <w:t xml:space="preserve">24.8% </w:t>
      </w:r>
      <w:r w:rsidR="00323CA3" w:rsidRPr="00497E12">
        <w:t xml:space="preserve">(in 2014) </w:t>
      </w:r>
      <w:r w:rsidRPr="00497E12">
        <w:t xml:space="preserve">of patients initiating on a TKI for RCC </w:t>
      </w:r>
      <w:r w:rsidR="000D05B7" w:rsidRPr="00497E12">
        <w:t xml:space="preserve">went on to </w:t>
      </w:r>
      <w:r w:rsidR="00323CA3" w:rsidRPr="00497E12">
        <w:t xml:space="preserve">be prescribed </w:t>
      </w:r>
      <w:r w:rsidR="000D05B7" w:rsidRPr="00497E12">
        <w:t>a second</w:t>
      </w:r>
      <w:r w:rsidR="008E3AD3" w:rsidRPr="00497E12">
        <w:t>-</w:t>
      </w:r>
      <w:r w:rsidR="000D05B7" w:rsidRPr="00497E12">
        <w:t xml:space="preserve">line therapy, </w:t>
      </w:r>
      <w:r w:rsidR="00323CA3" w:rsidRPr="00497E12">
        <w:t xml:space="preserve">which suggested that </w:t>
      </w:r>
      <w:r w:rsidR="000D05B7" w:rsidRPr="00497E12">
        <w:t>the submission</w:t>
      </w:r>
      <w:r w:rsidR="00323CA3" w:rsidRPr="00497E12">
        <w:t xml:space="preserve">’s assumed </w:t>
      </w:r>
      <w:r w:rsidR="000D05B7" w:rsidRPr="00497E12">
        <w:t>uptake</w:t>
      </w:r>
      <w:r w:rsidR="00323CA3" w:rsidRPr="00497E12">
        <w:t>s</w:t>
      </w:r>
      <w:r w:rsidR="000D05B7" w:rsidRPr="00497E12">
        <w:t xml:space="preserve"> </w:t>
      </w:r>
      <w:r w:rsidR="00323CA3" w:rsidRPr="00497E12">
        <w:t>(</w:t>
      </w:r>
      <w:r w:rsidR="000D05B7" w:rsidRPr="00497E12">
        <w:t xml:space="preserve">of 80% </w:t>
      </w:r>
      <w:r w:rsidR="00323CA3" w:rsidRPr="00497E12">
        <w:t xml:space="preserve">for current second-line therapy and </w:t>
      </w:r>
      <w:r w:rsidR="000D05B7" w:rsidRPr="00497E12">
        <w:t>90%</w:t>
      </w:r>
      <w:r w:rsidR="008E3AD3" w:rsidRPr="00497E12">
        <w:t xml:space="preserve"> </w:t>
      </w:r>
      <w:r w:rsidR="00323CA3" w:rsidRPr="00497E12">
        <w:t xml:space="preserve">for </w:t>
      </w:r>
      <w:proofErr w:type="spellStart"/>
      <w:r w:rsidR="00B50EAC" w:rsidRPr="00497E12">
        <w:t>nivolumab</w:t>
      </w:r>
      <w:proofErr w:type="spellEnd"/>
      <w:r w:rsidR="00323CA3" w:rsidRPr="00497E12">
        <w:t xml:space="preserve"> once listed) were substantial overestimates</w:t>
      </w:r>
      <w:r w:rsidR="000D05B7" w:rsidRPr="00497E12">
        <w:t>.</w:t>
      </w:r>
    </w:p>
    <w:p w:rsidR="00F401CC" w:rsidRPr="00497E12" w:rsidRDefault="00F401CC" w:rsidP="00F401CC">
      <w:pPr>
        <w:widowControl/>
      </w:pPr>
    </w:p>
    <w:p w:rsidR="00920793" w:rsidRPr="00497E12" w:rsidRDefault="00F401CC" w:rsidP="00416368">
      <w:pPr>
        <w:pStyle w:val="ListParagraph"/>
        <w:widowControl/>
        <w:numPr>
          <w:ilvl w:val="1"/>
          <w:numId w:val="26"/>
        </w:numPr>
        <w:ind w:left="851" w:hanging="851"/>
      </w:pPr>
      <w:r w:rsidRPr="00497E12">
        <w:t>The PBAC indicated that</w:t>
      </w:r>
      <w:r w:rsidR="00A733F9" w:rsidRPr="00497E12">
        <w:t xml:space="preserve">, despite the underestimation of the duration of </w:t>
      </w:r>
      <w:proofErr w:type="spellStart"/>
      <w:r w:rsidR="00A733F9" w:rsidRPr="00497E12">
        <w:t>nivolumab</w:t>
      </w:r>
      <w:proofErr w:type="spellEnd"/>
      <w:r w:rsidR="00A733F9" w:rsidRPr="00497E12">
        <w:t xml:space="preserve"> treatment</w:t>
      </w:r>
      <w:r w:rsidR="00BC216D" w:rsidRPr="00497E12">
        <w:t>,</w:t>
      </w:r>
      <w:r w:rsidRPr="00497E12">
        <w:t xml:space="preserve"> the</w:t>
      </w:r>
      <w:r w:rsidR="00D157F3" w:rsidRPr="00497E12">
        <w:t xml:space="preserve"> </w:t>
      </w:r>
      <w:r w:rsidRPr="00497E12">
        <w:t>resultant financial estimates were unreliabl</w:t>
      </w:r>
      <w:r w:rsidR="00502B4A" w:rsidRPr="00497E12">
        <w:t>y high</w:t>
      </w:r>
      <w:r w:rsidRPr="00497E12">
        <w:t xml:space="preserve"> </w:t>
      </w:r>
      <w:r w:rsidR="00A733F9" w:rsidRPr="00497E12">
        <w:t>due to</w:t>
      </w:r>
      <w:r w:rsidR="00D157F3" w:rsidRPr="00497E12">
        <w:t xml:space="preserve"> </w:t>
      </w:r>
      <w:r w:rsidR="00A733F9" w:rsidRPr="00497E12">
        <w:t xml:space="preserve">overestimation of the duration of therapy for replacement therapies acting as </w:t>
      </w:r>
      <w:r w:rsidR="00D157F3" w:rsidRPr="00497E12">
        <w:t>cost off-sets</w:t>
      </w:r>
      <w:r w:rsidR="00A733F9" w:rsidRPr="00497E12">
        <w:t>,</w:t>
      </w:r>
      <w:r w:rsidR="00D157F3" w:rsidRPr="00497E12">
        <w:t xml:space="preserve"> </w:t>
      </w:r>
      <w:r w:rsidR="00A733F9" w:rsidRPr="00497E12">
        <w:t>overestimated</w:t>
      </w:r>
      <w:r w:rsidR="00D157F3" w:rsidRPr="00497E12">
        <w:t xml:space="preserve"> uptake of </w:t>
      </w:r>
      <w:proofErr w:type="spellStart"/>
      <w:r w:rsidR="00D157F3" w:rsidRPr="00497E12">
        <w:t>nivolumab</w:t>
      </w:r>
      <w:proofErr w:type="spellEnd"/>
      <w:r w:rsidR="00D157F3" w:rsidRPr="00497E12">
        <w:t xml:space="preserve"> in second</w:t>
      </w:r>
      <w:r w:rsidR="008E3AD3" w:rsidRPr="00497E12">
        <w:t>-</w:t>
      </w:r>
      <w:r w:rsidR="00D157F3" w:rsidRPr="00497E12">
        <w:t>line therapy</w:t>
      </w:r>
      <w:r w:rsidR="005568D6" w:rsidRPr="00497E12">
        <w:t xml:space="preserve">, and reliance on published rather than effective prices of </w:t>
      </w:r>
      <w:proofErr w:type="spellStart"/>
      <w:r w:rsidR="005568D6" w:rsidRPr="00497E12">
        <w:t>everolimus</w:t>
      </w:r>
      <w:proofErr w:type="spellEnd"/>
      <w:r w:rsidR="005568D6" w:rsidRPr="00497E12">
        <w:t xml:space="preserve">, </w:t>
      </w:r>
      <w:proofErr w:type="spellStart"/>
      <w:r w:rsidR="005568D6" w:rsidRPr="00497E12">
        <w:t>axitinib</w:t>
      </w:r>
      <w:proofErr w:type="spellEnd"/>
      <w:r w:rsidR="005568D6" w:rsidRPr="00497E12">
        <w:t xml:space="preserve"> and </w:t>
      </w:r>
      <w:proofErr w:type="spellStart"/>
      <w:r w:rsidR="005568D6" w:rsidRPr="00497E12">
        <w:t>sorafenib</w:t>
      </w:r>
      <w:proofErr w:type="spellEnd"/>
      <w:r w:rsidR="00D157F3" w:rsidRPr="00497E12">
        <w:t>.</w:t>
      </w:r>
      <w:r w:rsidR="00502B4A" w:rsidRPr="00497E12">
        <w:t xml:space="preserve"> In particular, the PBAC advised that the </w:t>
      </w:r>
      <w:r w:rsidR="00D05A7E" w:rsidRPr="00497E12">
        <w:t xml:space="preserve">assumed </w:t>
      </w:r>
      <w:r w:rsidR="00502B4A" w:rsidRPr="00497E12">
        <w:t xml:space="preserve">uptake rate </w:t>
      </w:r>
      <w:r w:rsidR="00D05A7E" w:rsidRPr="00497E12">
        <w:t xml:space="preserve">of </w:t>
      </w:r>
      <w:r w:rsidR="00502B4A" w:rsidRPr="00497E12">
        <w:t xml:space="preserve">90% for </w:t>
      </w:r>
      <w:proofErr w:type="spellStart"/>
      <w:r w:rsidR="00502B4A" w:rsidRPr="00497E12">
        <w:t>nivolumab</w:t>
      </w:r>
      <w:proofErr w:type="spellEnd"/>
      <w:r w:rsidR="00502B4A" w:rsidRPr="00497E12">
        <w:t xml:space="preserve"> </w:t>
      </w:r>
      <w:r w:rsidR="00BC216D" w:rsidRPr="00497E12">
        <w:t>w</w:t>
      </w:r>
      <w:r w:rsidR="00D05A7E" w:rsidRPr="00497E12">
        <w:t>as</w:t>
      </w:r>
      <w:r w:rsidR="00BC216D" w:rsidRPr="00497E12">
        <w:t xml:space="preserve"> implausibly high </w:t>
      </w:r>
      <w:r w:rsidR="00502B4A" w:rsidRPr="00497E12">
        <w:t xml:space="preserve">compared to the existing uptake rate of </w:t>
      </w:r>
      <w:r w:rsidR="00BC216D" w:rsidRPr="00497E12">
        <w:t>16% to 25</w:t>
      </w:r>
      <w:r w:rsidR="00502B4A" w:rsidRPr="00497E12">
        <w:t xml:space="preserve">% for </w:t>
      </w:r>
      <w:r w:rsidR="005C160D">
        <w:t xml:space="preserve">any </w:t>
      </w:r>
      <w:r w:rsidR="00502B4A" w:rsidRPr="00497E12">
        <w:lastRenderedPageBreak/>
        <w:t xml:space="preserve">second-line </w:t>
      </w:r>
      <w:r w:rsidR="005C160D">
        <w:t xml:space="preserve">treatment following a </w:t>
      </w:r>
      <w:r w:rsidR="00502B4A" w:rsidRPr="00497E12">
        <w:t>TKI.</w:t>
      </w:r>
      <w:r w:rsidR="00216093" w:rsidRPr="00497E12">
        <w:t xml:space="preserve"> </w:t>
      </w:r>
      <w:r w:rsidR="00F720A2">
        <w:t xml:space="preserve">However, the </w:t>
      </w:r>
      <w:r w:rsidR="005C160D">
        <w:t xml:space="preserve">PBAC </w:t>
      </w:r>
      <w:r w:rsidR="00F720A2">
        <w:t xml:space="preserve">also </w:t>
      </w:r>
      <w:r w:rsidR="005C160D">
        <w:t>noted that the submission possibly underestimated the num</w:t>
      </w:r>
      <w:r w:rsidR="00F720A2">
        <w:t>ber of patients receiving first-</w:t>
      </w:r>
      <w:r w:rsidR="005C160D">
        <w:t xml:space="preserve">line TKIs. </w:t>
      </w:r>
      <w:r w:rsidR="00216093" w:rsidRPr="00497E12">
        <w:t xml:space="preserve">Accordingly, the PBAC recommended that </w:t>
      </w:r>
      <w:r w:rsidR="00D05A7E" w:rsidRPr="00497E12">
        <w:t xml:space="preserve">a </w:t>
      </w:r>
      <w:r w:rsidR="00216093" w:rsidRPr="00497E12">
        <w:t xml:space="preserve">reduced </w:t>
      </w:r>
      <w:r w:rsidR="00FD7213" w:rsidRPr="00497E12">
        <w:t xml:space="preserve">uptake rate of </w:t>
      </w:r>
      <w:proofErr w:type="spellStart"/>
      <w:r w:rsidR="00FD7213" w:rsidRPr="00497E12">
        <w:t>nivolumab</w:t>
      </w:r>
      <w:proofErr w:type="spellEnd"/>
      <w:r w:rsidR="00FD7213" w:rsidRPr="00497E12">
        <w:t xml:space="preserve"> should be identified </w:t>
      </w:r>
      <w:r w:rsidR="00BC216D" w:rsidRPr="00497E12">
        <w:t>(</w:t>
      </w:r>
      <w:r w:rsidR="00FD7213" w:rsidRPr="00497E12">
        <w:t>and justified</w:t>
      </w:r>
      <w:r w:rsidR="00BC216D" w:rsidRPr="00497E12">
        <w:t>)</w:t>
      </w:r>
      <w:r w:rsidR="00FD7213" w:rsidRPr="00497E12">
        <w:t xml:space="preserve"> in order to support a </w:t>
      </w:r>
      <w:r w:rsidR="003F1730">
        <w:t>R</w:t>
      </w:r>
      <w:r w:rsidR="003F1730" w:rsidRPr="00497E12">
        <w:t xml:space="preserve">isk </w:t>
      </w:r>
      <w:r w:rsidR="003F1730">
        <w:t>S</w:t>
      </w:r>
      <w:r w:rsidR="003F1730" w:rsidRPr="00497E12">
        <w:t xml:space="preserve">haring </w:t>
      </w:r>
      <w:r w:rsidR="003F1730">
        <w:t>A</w:t>
      </w:r>
      <w:r w:rsidR="003F1730" w:rsidRPr="00497E12">
        <w:t>rrangement</w:t>
      </w:r>
      <w:r w:rsidR="00FD7213" w:rsidRPr="00497E12">
        <w:t>.</w:t>
      </w:r>
    </w:p>
    <w:p w:rsidR="00920793" w:rsidRPr="00497E12" w:rsidRDefault="00920793" w:rsidP="00920793"/>
    <w:p w:rsidR="00F401CC" w:rsidRPr="00497E12" w:rsidRDefault="00D157F3" w:rsidP="00416368">
      <w:pPr>
        <w:pStyle w:val="ListParagraph"/>
        <w:widowControl/>
        <w:numPr>
          <w:ilvl w:val="1"/>
          <w:numId w:val="26"/>
        </w:numPr>
        <w:ind w:left="851" w:hanging="851"/>
      </w:pPr>
      <w:r w:rsidRPr="00497E12">
        <w:t>The PBAC indicated that any resubmission should address the above i</w:t>
      </w:r>
      <w:r w:rsidR="008E3AD3" w:rsidRPr="00497E12">
        <w:t>ssues in the form of a major re</w:t>
      </w:r>
      <w:r w:rsidRPr="00497E12">
        <w:t>submission.</w:t>
      </w:r>
    </w:p>
    <w:p w:rsidR="00D157F3" w:rsidRPr="00497E12" w:rsidRDefault="00D157F3" w:rsidP="00D157F3">
      <w:pPr>
        <w:widowControl/>
      </w:pPr>
    </w:p>
    <w:p w:rsidR="005B55FB" w:rsidRPr="00497E12" w:rsidRDefault="005B55FB" w:rsidP="00416368">
      <w:pPr>
        <w:pStyle w:val="ListParagraph"/>
        <w:widowControl/>
        <w:numPr>
          <w:ilvl w:val="1"/>
          <w:numId w:val="26"/>
        </w:numPr>
        <w:ind w:left="851" w:hanging="851"/>
        <w:rPr>
          <w:szCs w:val="20"/>
        </w:rPr>
      </w:pPr>
      <w:r w:rsidRPr="00497E12">
        <w:rPr>
          <w:bCs/>
          <w:szCs w:val="20"/>
        </w:rPr>
        <w:t>The PBA</w:t>
      </w:r>
      <w:r w:rsidR="00D157F3" w:rsidRPr="00497E12">
        <w:rPr>
          <w:bCs/>
          <w:szCs w:val="20"/>
        </w:rPr>
        <w:t>C noted that this submission is</w:t>
      </w:r>
      <w:r w:rsidRPr="00497E12">
        <w:rPr>
          <w:bCs/>
          <w:szCs w:val="20"/>
        </w:rPr>
        <w:t xml:space="preserve"> eligible for an Independent Review</w:t>
      </w:r>
      <w:r w:rsidR="00D157F3" w:rsidRPr="00497E12">
        <w:rPr>
          <w:bCs/>
          <w:szCs w:val="20"/>
        </w:rPr>
        <w:t xml:space="preserve"> as the requested listing is for an entirely different disease (RCC) to that which </w:t>
      </w:r>
      <w:proofErr w:type="spellStart"/>
      <w:r w:rsidR="00D157F3" w:rsidRPr="00497E12">
        <w:rPr>
          <w:bCs/>
          <w:szCs w:val="20"/>
        </w:rPr>
        <w:t>nivolumab</w:t>
      </w:r>
      <w:proofErr w:type="spellEnd"/>
      <w:r w:rsidR="00D157F3" w:rsidRPr="00497E12">
        <w:rPr>
          <w:bCs/>
          <w:szCs w:val="20"/>
        </w:rPr>
        <w:t xml:space="preserve"> is currently subsidised (melanoma).</w:t>
      </w:r>
    </w:p>
    <w:p w:rsidR="005B55FB" w:rsidRPr="00497E12" w:rsidRDefault="005B55FB" w:rsidP="005B55FB">
      <w:pPr>
        <w:rPr>
          <w:bCs/>
          <w:szCs w:val="20"/>
          <w:highlight w:val="yellow"/>
        </w:rPr>
      </w:pPr>
    </w:p>
    <w:p w:rsidR="005B55FB" w:rsidRPr="00497E12" w:rsidRDefault="005B55FB" w:rsidP="005B55FB">
      <w:pPr>
        <w:rPr>
          <w:b/>
          <w:bCs/>
          <w:szCs w:val="20"/>
        </w:rPr>
      </w:pPr>
      <w:r w:rsidRPr="00497E12">
        <w:rPr>
          <w:b/>
          <w:bCs/>
          <w:szCs w:val="20"/>
        </w:rPr>
        <w:t>Outcome:</w:t>
      </w:r>
    </w:p>
    <w:p w:rsidR="00D019A3" w:rsidRPr="00347F75" w:rsidRDefault="005B55FB" w:rsidP="005B55FB">
      <w:pPr>
        <w:rPr>
          <w:bCs/>
          <w:szCs w:val="20"/>
        </w:rPr>
      </w:pPr>
      <w:r w:rsidRPr="00497E12">
        <w:rPr>
          <w:bCs/>
          <w:szCs w:val="20"/>
        </w:rPr>
        <w:t>Rejec</w:t>
      </w:r>
      <w:r w:rsidR="00D157F3" w:rsidRPr="00497E12">
        <w:rPr>
          <w:bCs/>
          <w:szCs w:val="20"/>
        </w:rPr>
        <w:t>ted</w:t>
      </w:r>
    </w:p>
    <w:bookmarkEnd w:id="1"/>
    <w:bookmarkEnd w:id="2"/>
    <w:bookmarkEnd w:id="3"/>
    <w:bookmarkEnd w:id="4"/>
    <w:bookmarkEnd w:id="5"/>
    <w:p w:rsidR="005F35DC" w:rsidRDefault="005F35DC" w:rsidP="00553A54">
      <w:pPr>
        <w:widowControl/>
        <w:ind w:left="709" w:hanging="709"/>
      </w:pPr>
    </w:p>
    <w:p w:rsidR="005C6F71" w:rsidRPr="005C6F71" w:rsidRDefault="005C6F71" w:rsidP="00A45A8D">
      <w:pPr>
        <w:pStyle w:val="Heading1"/>
      </w:pPr>
      <w:r w:rsidRPr="005C6F71">
        <w:t>Context for Decision</w:t>
      </w:r>
    </w:p>
    <w:p w:rsidR="005C6F71" w:rsidRPr="005C6F71" w:rsidRDefault="005C6F71" w:rsidP="00C93DB3">
      <w:pPr>
        <w:widowControl/>
        <w:ind w:left="851" w:hanging="131"/>
        <w:jc w:val="left"/>
        <w:rPr>
          <w:rFonts w:cs="Times New Roman"/>
          <w:bCs/>
          <w:snapToGrid/>
          <w:lang w:eastAsia="en-AU"/>
        </w:rPr>
      </w:pPr>
    </w:p>
    <w:p w:rsidR="005C6F71" w:rsidRPr="005C6F71" w:rsidRDefault="005C6F71" w:rsidP="005C6F71">
      <w:pPr>
        <w:widowControl/>
        <w:ind w:left="720"/>
        <w:jc w:val="left"/>
        <w:rPr>
          <w:rFonts w:cs="Times New Roman"/>
          <w:bCs/>
          <w:snapToGrid/>
          <w:lang w:eastAsia="en-AU"/>
        </w:rPr>
      </w:pPr>
      <w:r w:rsidRPr="005C6F71">
        <w:rPr>
          <w:rFonts w:cs="Times New Roman"/>
          <w:bCs/>
          <w:snapToGrid/>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C6F71" w:rsidRPr="005C6F71" w:rsidRDefault="005C6F71" w:rsidP="005C6F71">
      <w:pPr>
        <w:widowControl/>
        <w:ind w:left="720"/>
        <w:jc w:val="left"/>
        <w:rPr>
          <w:rFonts w:cs="Times New Roman"/>
          <w:bCs/>
          <w:snapToGrid/>
          <w:lang w:eastAsia="en-AU"/>
        </w:rPr>
      </w:pPr>
    </w:p>
    <w:p w:rsidR="005C6F71" w:rsidRPr="005C6F71" w:rsidRDefault="005C6F71" w:rsidP="00A45A8D">
      <w:pPr>
        <w:pStyle w:val="Heading1"/>
      </w:pPr>
      <w:r w:rsidRPr="005C6F71">
        <w:t>Sponsor’s Comment</w:t>
      </w:r>
      <w:r w:rsidRPr="005C6F71">
        <w:tab/>
      </w:r>
    </w:p>
    <w:p w:rsidR="005C6F71" w:rsidRPr="005C6F71" w:rsidRDefault="005C6F71" w:rsidP="005C6F71">
      <w:pPr>
        <w:keepNext/>
        <w:ind w:left="720"/>
        <w:contextualSpacing/>
        <w:rPr>
          <w:rFonts w:cs="Times New Roman"/>
          <w:b/>
          <w:bCs/>
          <w:snapToGrid/>
          <w:lang w:eastAsia="en-AU"/>
        </w:rPr>
      </w:pPr>
    </w:p>
    <w:p w:rsidR="00B52DEB" w:rsidRPr="005C6F71" w:rsidRDefault="00B52DEB" w:rsidP="00B52DEB">
      <w:pPr>
        <w:widowControl/>
        <w:ind w:left="720"/>
        <w:jc w:val="left"/>
        <w:rPr>
          <w:rFonts w:cs="Times New Roman"/>
          <w:bCs/>
          <w:snapToGrid/>
          <w:highlight w:val="yellow"/>
          <w:lang w:eastAsia="en-AU"/>
        </w:rPr>
      </w:pPr>
      <w:r w:rsidRPr="00365C43">
        <w:rPr>
          <w:rFonts w:cs="Times New Roman"/>
          <w:bCs/>
          <w:snapToGrid/>
          <w:lang w:eastAsia="en-AU"/>
        </w:rPr>
        <w:t xml:space="preserve">The sponsor is disappointed with the outcome, however is committed to working with the PBAC to ensure </w:t>
      </w:r>
      <w:proofErr w:type="spellStart"/>
      <w:r w:rsidRPr="00365C43">
        <w:rPr>
          <w:rFonts w:cs="Times New Roman"/>
          <w:bCs/>
          <w:snapToGrid/>
          <w:lang w:eastAsia="en-AU"/>
        </w:rPr>
        <w:t>nivolumab</w:t>
      </w:r>
      <w:proofErr w:type="spellEnd"/>
      <w:r w:rsidRPr="00365C43">
        <w:rPr>
          <w:rFonts w:cs="Times New Roman"/>
          <w:bCs/>
          <w:snapToGrid/>
          <w:lang w:eastAsia="en-AU"/>
        </w:rPr>
        <w:t xml:space="preserve"> is available to Australian patients for the treatment of RCC via the PBS in the earliest possible timeframe.</w:t>
      </w:r>
    </w:p>
    <w:p w:rsidR="005C6F71" w:rsidRPr="00497E12" w:rsidRDefault="005C6F71" w:rsidP="00553A54">
      <w:pPr>
        <w:widowControl/>
        <w:ind w:left="709" w:hanging="709"/>
      </w:pPr>
    </w:p>
    <w:sectPr w:rsidR="005C6F71" w:rsidRPr="00497E12" w:rsidSect="00A16B43">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F0934" w15:done="0"/>
  <w15:commentEx w15:paraId="65A1DF91" w15:done="0"/>
  <w15:commentEx w15:paraId="0B8DFC52" w15:done="0"/>
  <w15:commentEx w15:paraId="350E6CFD" w15:done="0"/>
  <w15:commentEx w15:paraId="11598348" w15:done="0"/>
  <w15:commentEx w15:paraId="2227A7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C8" w:rsidRDefault="00B32DC8" w:rsidP="00124A51">
      <w:r>
        <w:separator/>
      </w:r>
    </w:p>
  </w:endnote>
  <w:endnote w:type="continuationSeparator" w:id="0">
    <w:p w:rsidR="00B32DC8" w:rsidRDefault="00B32DC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C8" w:rsidRDefault="00B32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548957"/>
      <w:docPartObj>
        <w:docPartGallery w:val="Page Numbers (Bottom of Page)"/>
        <w:docPartUnique/>
      </w:docPartObj>
    </w:sdtPr>
    <w:sdtEndPr>
      <w:rPr>
        <w:noProof/>
      </w:rPr>
    </w:sdtEndPr>
    <w:sdtContent>
      <w:p w:rsidR="00B32DC8" w:rsidRDefault="00B32DC8">
        <w:pPr>
          <w:pStyle w:val="Footer"/>
          <w:jc w:val="center"/>
        </w:pPr>
        <w:r>
          <w:fldChar w:fldCharType="begin"/>
        </w:r>
        <w:r>
          <w:instrText xml:space="preserve"> PAGE   \* MERGEFORMAT </w:instrText>
        </w:r>
        <w:r>
          <w:fldChar w:fldCharType="separate"/>
        </w:r>
        <w:r w:rsidR="00416368">
          <w:rPr>
            <w:noProof/>
          </w:rPr>
          <w:t>25</w:t>
        </w:r>
        <w:r>
          <w:rPr>
            <w:noProof/>
          </w:rPr>
          <w:fldChar w:fldCharType="end"/>
        </w:r>
      </w:p>
    </w:sdtContent>
  </w:sdt>
  <w:p w:rsidR="00B32DC8" w:rsidRPr="00015886" w:rsidRDefault="00B32DC8"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C8" w:rsidRDefault="00B32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C8" w:rsidRDefault="00B32DC8" w:rsidP="00124A51">
      <w:r>
        <w:separator/>
      </w:r>
    </w:p>
  </w:footnote>
  <w:footnote w:type="continuationSeparator" w:id="0">
    <w:p w:rsidR="00B32DC8" w:rsidRDefault="00B32DC8"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C8" w:rsidRDefault="00B32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C8" w:rsidRPr="00DF217D" w:rsidRDefault="00B32DC8" w:rsidP="005B55FB">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B32DC8" w:rsidRPr="00EE07D3" w:rsidRDefault="00B32DC8">
    <w:pPr>
      <w:pStyle w:val="Header"/>
      <w:rPr>
        <w:color w:val="D9D9D9" w:themeColor="background1" w:themeShade="D9"/>
      </w:rPr>
    </w:pPr>
  </w:p>
  <w:p w:rsidR="00B32DC8" w:rsidRPr="008C7ECB" w:rsidRDefault="00B3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C8" w:rsidRDefault="00B32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A66178"/>
    <w:multiLevelType w:val="hybridMultilevel"/>
    <w:tmpl w:val="298AD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359152D"/>
    <w:multiLevelType w:val="hybridMultilevel"/>
    <w:tmpl w:val="382A1FB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ED0114"/>
    <w:multiLevelType w:val="multilevel"/>
    <w:tmpl w:val="E4D435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F0325A"/>
    <w:multiLevelType w:val="hybridMultilevel"/>
    <w:tmpl w:val="C13C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E9A4474"/>
    <w:multiLevelType w:val="multilevel"/>
    <w:tmpl w:val="8C7CE4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BA0F19"/>
    <w:multiLevelType w:val="hybridMultilevel"/>
    <w:tmpl w:val="582265E8"/>
    <w:lvl w:ilvl="0" w:tplc="0C090003">
      <w:start w:val="1"/>
      <w:numFmt w:val="bullet"/>
      <w:pStyle w:val="TableBullet"/>
      <w:lvlText w:val=""/>
      <w:lvlJc w:val="left"/>
      <w:pPr>
        <w:ind w:left="540" w:hanging="360"/>
      </w:pPr>
      <w:rPr>
        <w:rFonts w:ascii="Symbol" w:hAnsi="Symbol" w:hint="default"/>
        <w:color w:val="00529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2530EA"/>
    <w:multiLevelType w:val="multilevel"/>
    <w:tmpl w:val="7FE6133C"/>
    <w:lvl w:ilvl="0">
      <w:start w:val="5"/>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28C70DE8"/>
    <w:multiLevelType w:val="hybridMultilevel"/>
    <w:tmpl w:val="753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647B8"/>
    <w:multiLevelType w:val="multilevel"/>
    <w:tmpl w:val="1D8023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0D6DD9"/>
    <w:multiLevelType w:val="multilevel"/>
    <w:tmpl w:val="A4EEAB42"/>
    <w:lvl w:ilvl="0">
      <w:start w:val="7"/>
      <w:numFmt w:val="decimal"/>
      <w:lvlText w:val="%1"/>
      <w:lvlJc w:val="left"/>
      <w:pPr>
        <w:ind w:left="720" w:hanging="720"/>
      </w:pPr>
      <w:rPr>
        <w:rFonts w:hint="default"/>
        <w:b/>
      </w:rPr>
    </w:lvl>
    <w:lvl w:ilvl="1">
      <w:start w:val="1"/>
      <w:numFmt w:val="decimal"/>
      <w:lvlText w:val="%1.%2"/>
      <w:lvlJc w:val="left"/>
      <w:pPr>
        <w:ind w:left="1429"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9603DB1"/>
    <w:multiLevelType w:val="hybridMultilevel"/>
    <w:tmpl w:val="03C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3788A"/>
    <w:multiLevelType w:val="multilevel"/>
    <w:tmpl w:val="0E985F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C435E1"/>
    <w:multiLevelType w:val="hybridMultilevel"/>
    <w:tmpl w:val="4DEE0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2D16A89"/>
    <w:multiLevelType w:val="multilevel"/>
    <w:tmpl w:val="31F4C8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226AF9"/>
    <w:multiLevelType w:val="multilevel"/>
    <w:tmpl w:val="2BB2C2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37756A"/>
    <w:multiLevelType w:val="hybridMultilevel"/>
    <w:tmpl w:val="83B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61E5E"/>
    <w:multiLevelType w:val="hybridMultilevel"/>
    <w:tmpl w:val="82F8E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E52695"/>
    <w:multiLevelType w:val="hybridMultilevel"/>
    <w:tmpl w:val="A8C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74E637EC"/>
    <w:lvl w:ilvl="0">
      <w:start w:val="1"/>
      <w:numFmt w:val="decimal"/>
      <w:pStyle w:val="PBACHeading1"/>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2"/>
  </w:num>
  <w:num w:numId="4">
    <w:abstractNumId w:val="10"/>
  </w:num>
  <w:num w:numId="5">
    <w:abstractNumId w:val="7"/>
  </w:num>
  <w:num w:numId="6">
    <w:abstractNumId w:val="5"/>
  </w:num>
  <w:num w:numId="7">
    <w:abstractNumId w:val="11"/>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9"/>
  </w:num>
  <w:num w:numId="12">
    <w:abstractNumId w:val="17"/>
  </w:num>
  <w:num w:numId="13">
    <w:abstractNumId w:val="4"/>
  </w:num>
  <w:num w:numId="14">
    <w:abstractNumId w:val="0"/>
  </w:num>
  <w:num w:numId="15">
    <w:abstractNumId w:val="8"/>
  </w:num>
  <w:num w:numId="16">
    <w:abstractNumId w:val="21"/>
  </w:num>
  <w:num w:numId="17">
    <w:abstractNumId w:val="13"/>
  </w:num>
  <w:num w:numId="18">
    <w:abstractNumId w:val="15"/>
  </w:num>
  <w:num w:numId="19">
    <w:abstractNumId w:val="1"/>
  </w:num>
  <w:num w:numId="20">
    <w:abstractNumId w:val="22"/>
  </w:num>
  <w:num w:numId="21">
    <w:abstractNumId w:val="19"/>
  </w:num>
  <w:num w:numId="22">
    <w:abstractNumId w:val="12"/>
  </w:num>
  <w:num w:numId="23">
    <w:abstractNumId w:val="22"/>
  </w:num>
  <w:num w:numId="24">
    <w:abstractNumId w:val="18"/>
  </w:num>
  <w:num w:numId="25">
    <w:abstractNumId w:val="6"/>
  </w:num>
  <w:num w:numId="26">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AA"/>
    <w:rsid w:val="00000441"/>
    <w:rsid w:val="00000790"/>
    <w:rsid w:val="0000087A"/>
    <w:rsid w:val="00000A97"/>
    <w:rsid w:val="00000B3E"/>
    <w:rsid w:val="00000C64"/>
    <w:rsid w:val="0000110B"/>
    <w:rsid w:val="00001C48"/>
    <w:rsid w:val="000024D9"/>
    <w:rsid w:val="00002CD8"/>
    <w:rsid w:val="00003499"/>
    <w:rsid w:val="00003690"/>
    <w:rsid w:val="00003801"/>
    <w:rsid w:val="00003C04"/>
    <w:rsid w:val="000041D2"/>
    <w:rsid w:val="00004D64"/>
    <w:rsid w:val="0000503A"/>
    <w:rsid w:val="00005642"/>
    <w:rsid w:val="0000580A"/>
    <w:rsid w:val="00005C5C"/>
    <w:rsid w:val="00005EB1"/>
    <w:rsid w:val="0000667F"/>
    <w:rsid w:val="000066E8"/>
    <w:rsid w:val="0000684C"/>
    <w:rsid w:val="00006E6A"/>
    <w:rsid w:val="0000763B"/>
    <w:rsid w:val="00007648"/>
    <w:rsid w:val="00007C8A"/>
    <w:rsid w:val="00007DFE"/>
    <w:rsid w:val="000100C2"/>
    <w:rsid w:val="000105BA"/>
    <w:rsid w:val="000106D9"/>
    <w:rsid w:val="00010DD2"/>
    <w:rsid w:val="00011105"/>
    <w:rsid w:val="0001133E"/>
    <w:rsid w:val="00011670"/>
    <w:rsid w:val="000118E2"/>
    <w:rsid w:val="00011997"/>
    <w:rsid w:val="000119E6"/>
    <w:rsid w:val="000125EF"/>
    <w:rsid w:val="000126C2"/>
    <w:rsid w:val="0001274E"/>
    <w:rsid w:val="0001275D"/>
    <w:rsid w:val="000128AA"/>
    <w:rsid w:val="00012BB5"/>
    <w:rsid w:val="0001300D"/>
    <w:rsid w:val="000131CF"/>
    <w:rsid w:val="00013247"/>
    <w:rsid w:val="000138C7"/>
    <w:rsid w:val="000139A7"/>
    <w:rsid w:val="00013D48"/>
    <w:rsid w:val="0001458D"/>
    <w:rsid w:val="00014965"/>
    <w:rsid w:val="00014A44"/>
    <w:rsid w:val="00014B63"/>
    <w:rsid w:val="00014E4D"/>
    <w:rsid w:val="00014F5F"/>
    <w:rsid w:val="000154C7"/>
    <w:rsid w:val="00015622"/>
    <w:rsid w:val="00015886"/>
    <w:rsid w:val="00015FCA"/>
    <w:rsid w:val="000162EF"/>
    <w:rsid w:val="000173B4"/>
    <w:rsid w:val="00017469"/>
    <w:rsid w:val="000176B2"/>
    <w:rsid w:val="000179A8"/>
    <w:rsid w:val="00017CF8"/>
    <w:rsid w:val="000207BD"/>
    <w:rsid w:val="00020BB2"/>
    <w:rsid w:val="00021272"/>
    <w:rsid w:val="000212BF"/>
    <w:rsid w:val="00022112"/>
    <w:rsid w:val="0002225F"/>
    <w:rsid w:val="000223FF"/>
    <w:rsid w:val="000224CE"/>
    <w:rsid w:val="0002285D"/>
    <w:rsid w:val="000228DF"/>
    <w:rsid w:val="00022C8C"/>
    <w:rsid w:val="00022F7A"/>
    <w:rsid w:val="00023171"/>
    <w:rsid w:val="0002346C"/>
    <w:rsid w:val="000234C7"/>
    <w:rsid w:val="00023763"/>
    <w:rsid w:val="00023924"/>
    <w:rsid w:val="00024041"/>
    <w:rsid w:val="000242D4"/>
    <w:rsid w:val="0002440F"/>
    <w:rsid w:val="00024930"/>
    <w:rsid w:val="0002515E"/>
    <w:rsid w:val="000255A5"/>
    <w:rsid w:val="000255AD"/>
    <w:rsid w:val="00025826"/>
    <w:rsid w:val="00025981"/>
    <w:rsid w:val="00025C3B"/>
    <w:rsid w:val="00025F1B"/>
    <w:rsid w:val="00025FAC"/>
    <w:rsid w:val="00026492"/>
    <w:rsid w:val="000264FA"/>
    <w:rsid w:val="000267C5"/>
    <w:rsid w:val="000268E8"/>
    <w:rsid w:val="0002697E"/>
    <w:rsid w:val="00026D69"/>
    <w:rsid w:val="00026FC7"/>
    <w:rsid w:val="0002730B"/>
    <w:rsid w:val="00027328"/>
    <w:rsid w:val="00030150"/>
    <w:rsid w:val="00030413"/>
    <w:rsid w:val="00030B8D"/>
    <w:rsid w:val="00030D89"/>
    <w:rsid w:val="00030DFA"/>
    <w:rsid w:val="00030EEE"/>
    <w:rsid w:val="000312AF"/>
    <w:rsid w:val="000312FE"/>
    <w:rsid w:val="0003171B"/>
    <w:rsid w:val="00031A73"/>
    <w:rsid w:val="00031DFE"/>
    <w:rsid w:val="00031EB3"/>
    <w:rsid w:val="00032218"/>
    <w:rsid w:val="00032F70"/>
    <w:rsid w:val="00033217"/>
    <w:rsid w:val="0003327C"/>
    <w:rsid w:val="00033341"/>
    <w:rsid w:val="0003377B"/>
    <w:rsid w:val="00033BAB"/>
    <w:rsid w:val="00033C0C"/>
    <w:rsid w:val="00033F39"/>
    <w:rsid w:val="000345BC"/>
    <w:rsid w:val="00034650"/>
    <w:rsid w:val="00034722"/>
    <w:rsid w:val="000348E8"/>
    <w:rsid w:val="00035041"/>
    <w:rsid w:val="00035959"/>
    <w:rsid w:val="00035AFF"/>
    <w:rsid w:val="00035CEA"/>
    <w:rsid w:val="00035DD3"/>
    <w:rsid w:val="00035E48"/>
    <w:rsid w:val="00035FC8"/>
    <w:rsid w:val="0003603E"/>
    <w:rsid w:val="000363CE"/>
    <w:rsid w:val="00036CDA"/>
    <w:rsid w:val="00036F9B"/>
    <w:rsid w:val="0003700C"/>
    <w:rsid w:val="0003716E"/>
    <w:rsid w:val="00037256"/>
    <w:rsid w:val="000374BE"/>
    <w:rsid w:val="00037A89"/>
    <w:rsid w:val="00037C5C"/>
    <w:rsid w:val="00040874"/>
    <w:rsid w:val="00040895"/>
    <w:rsid w:val="00040C09"/>
    <w:rsid w:val="00040C19"/>
    <w:rsid w:val="00040E92"/>
    <w:rsid w:val="000417F0"/>
    <w:rsid w:val="00041BC9"/>
    <w:rsid w:val="000422CB"/>
    <w:rsid w:val="00042420"/>
    <w:rsid w:val="00042579"/>
    <w:rsid w:val="00042A55"/>
    <w:rsid w:val="0004304D"/>
    <w:rsid w:val="0004355E"/>
    <w:rsid w:val="000436CB"/>
    <w:rsid w:val="00043732"/>
    <w:rsid w:val="00043C37"/>
    <w:rsid w:val="00043F25"/>
    <w:rsid w:val="00043FF1"/>
    <w:rsid w:val="00044262"/>
    <w:rsid w:val="00044415"/>
    <w:rsid w:val="0004441E"/>
    <w:rsid w:val="0004515F"/>
    <w:rsid w:val="000454E9"/>
    <w:rsid w:val="00045777"/>
    <w:rsid w:val="000457C3"/>
    <w:rsid w:val="000458B4"/>
    <w:rsid w:val="0004590D"/>
    <w:rsid w:val="00045FDB"/>
    <w:rsid w:val="00046F0E"/>
    <w:rsid w:val="000472C0"/>
    <w:rsid w:val="00047705"/>
    <w:rsid w:val="00047AE9"/>
    <w:rsid w:val="00047DC7"/>
    <w:rsid w:val="00047E7C"/>
    <w:rsid w:val="0005052D"/>
    <w:rsid w:val="000514B2"/>
    <w:rsid w:val="000516DF"/>
    <w:rsid w:val="00051C54"/>
    <w:rsid w:val="000525C1"/>
    <w:rsid w:val="000526EB"/>
    <w:rsid w:val="0005280A"/>
    <w:rsid w:val="00052D8F"/>
    <w:rsid w:val="000535BD"/>
    <w:rsid w:val="000538C4"/>
    <w:rsid w:val="000540DC"/>
    <w:rsid w:val="00054106"/>
    <w:rsid w:val="00054410"/>
    <w:rsid w:val="00054604"/>
    <w:rsid w:val="00054621"/>
    <w:rsid w:val="000546BA"/>
    <w:rsid w:val="000546D7"/>
    <w:rsid w:val="0005577E"/>
    <w:rsid w:val="000558E2"/>
    <w:rsid w:val="00055989"/>
    <w:rsid w:val="00055EBA"/>
    <w:rsid w:val="000562A6"/>
    <w:rsid w:val="00056D8E"/>
    <w:rsid w:val="00057481"/>
    <w:rsid w:val="000600BC"/>
    <w:rsid w:val="00060546"/>
    <w:rsid w:val="00060666"/>
    <w:rsid w:val="00060A1E"/>
    <w:rsid w:val="00060AF7"/>
    <w:rsid w:val="00060B14"/>
    <w:rsid w:val="00060C1B"/>
    <w:rsid w:val="00060D25"/>
    <w:rsid w:val="00061AFE"/>
    <w:rsid w:val="00061CBD"/>
    <w:rsid w:val="00061EFC"/>
    <w:rsid w:val="000626E7"/>
    <w:rsid w:val="00062802"/>
    <w:rsid w:val="000629BB"/>
    <w:rsid w:val="00062B1E"/>
    <w:rsid w:val="00062BDB"/>
    <w:rsid w:val="00062DF7"/>
    <w:rsid w:val="000630B9"/>
    <w:rsid w:val="00063349"/>
    <w:rsid w:val="0006366D"/>
    <w:rsid w:val="00063AD6"/>
    <w:rsid w:val="00063B69"/>
    <w:rsid w:val="00063CE0"/>
    <w:rsid w:val="00063D89"/>
    <w:rsid w:val="00064249"/>
    <w:rsid w:val="00064858"/>
    <w:rsid w:val="00064AFA"/>
    <w:rsid w:val="00065284"/>
    <w:rsid w:val="00065D4C"/>
    <w:rsid w:val="00065E97"/>
    <w:rsid w:val="00065EA9"/>
    <w:rsid w:val="00066822"/>
    <w:rsid w:val="000668D1"/>
    <w:rsid w:val="00066E08"/>
    <w:rsid w:val="00067095"/>
    <w:rsid w:val="000670B4"/>
    <w:rsid w:val="000671E0"/>
    <w:rsid w:val="00067524"/>
    <w:rsid w:val="00067D0B"/>
    <w:rsid w:val="00070A6E"/>
    <w:rsid w:val="00070BC5"/>
    <w:rsid w:val="00070EFB"/>
    <w:rsid w:val="00071017"/>
    <w:rsid w:val="00071248"/>
    <w:rsid w:val="0007164C"/>
    <w:rsid w:val="00071ECD"/>
    <w:rsid w:val="00071F95"/>
    <w:rsid w:val="000720B9"/>
    <w:rsid w:val="00072335"/>
    <w:rsid w:val="00072F71"/>
    <w:rsid w:val="00073041"/>
    <w:rsid w:val="000730F5"/>
    <w:rsid w:val="0007345E"/>
    <w:rsid w:val="00073477"/>
    <w:rsid w:val="000734F7"/>
    <w:rsid w:val="000736A4"/>
    <w:rsid w:val="000737D0"/>
    <w:rsid w:val="00073AC5"/>
    <w:rsid w:val="00073D43"/>
    <w:rsid w:val="0007443C"/>
    <w:rsid w:val="00074625"/>
    <w:rsid w:val="00074699"/>
    <w:rsid w:val="00074704"/>
    <w:rsid w:val="000748C2"/>
    <w:rsid w:val="00074C1D"/>
    <w:rsid w:val="00074C20"/>
    <w:rsid w:val="00075514"/>
    <w:rsid w:val="000755BA"/>
    <w:rsid w:val="00075604"/>
    <w:rsid w:val="0007574E"/>
    <w:rsid w:val="00075813"/>
    <w:rsid w:val="00076014"/>
    <w:rsid w:val="00076862"/>
    <w:rsid w:val="00076DD0"/>
    <w:rsid w:val="00076E2F"/>
    <w:rsid w:val="0007762A"/>
    <w:rsid w:val="0007793E"/>
    <w:rsid w:val="00080083"/>
    <w:rsid w:val="00080239"/>
    <w:rsid w:val="00080240"/>
    <w:rsid w:val="0008038D"/>
    <w:rsid w:val="000806FC"/>
    <w:rsid w:val="00080F69"/>
    <w:rsid w:val="0008120E"/>
    <w:rsid w:val="000812CA"/>
    <w:rsid w:val="00081546"/>
    <w:rsid w:val="00081DB2"/>
    <w:rsid w:val="000821DF"/>
    <w:rsid w:val="0008301F"/>
    <w:rsid w:val="00083423"/>
    <w:rsid w:val="00083630"/>
    <w:rsid w:val="00083708"/>
    <w:rsid w:val="00083873"/>
    <w:rsid w:val="00083E4E"/>
    <w:rsid w:val="000844F7"/>
    <w:rsid w:val="00084A4A"/>
    <w:rsid w:val="00084C44"/>
    <w:rsid w:val="00084CC7"/>
    <w:rsid w:val="00084FAE"/>
    <w:rsid w:val="000853C0"/>
    <w:rsid w:val="00085561"/>
    <w:rsid w:val="000857AC"/>
    <w:rsid w:val="000859C2"/>
    <w:rsid w:val="00085BC6"/>
    <w:rsid w:val="00085CEC"/>
    <w:rsid w:val="00086168"/>
    <w:rsid w:val="000867D9"/>
    <w:rsid w:val="00086E93"/>
    <w:rsid w:val="00087122"/>
    <w:rsid w:val="00087263"/>
    <w:rsid w:val="0008760D"/>
    <w:rsid w:val="00087A2C"/>
    <w:rsid w:val="00087AF3"/>
    <w:rsid w:val="00087FF0"/>
    <w:rsid w:val="000901AC"/>
    <w:rsid w:val="000901F4"/>
    <w:rsid w:val="00090767"/>
    <w:rsid w:val="00090C7E"/>
    <w:rsid w:val="00090E4A"/>
    <w:rsid w:val="0009130C"/>
    <w:rsid w:val="0009147A"/>
    <w:rsid w:val="00091706"/>
    <w:rsid w:val="00091BAD"/>
    <w:rsid w:val="00091EDE"/>
    <w:rsid w:val="000926B3"/>
    <w:rsid w:val="00092C53"/>
    <w:rsid w:val="00092CEC"/>
    <w:rsid w:val="000930BE"/>
    <w:rsid w:val="0009311C"/>
    <w:rsid w:val="00093161"/>
    <w:rsid w:val="0009327C"/>
    <w:rsid w:val="00093742"/>
    <w:rsid w:val="00093884"/>
    <w:rsid w:val="00093A10"/>
    <w:rsid w:val="00093AB0"/>
    <w:rsid w:val="00094568"/>
    <w:rsid w:val="000945AA"/>
    <w:rsid w:val="00094710"/>
    <w:rsid w:val="00094977"/>
    <w:rsid w:val="00094B35"/>
    <w:rsid w:val="00094C36"/>
    <w:rsid w:val="00095317"/>
    <w:rsid w:val="00095735"/>
    <w:rsid w:val="000957C3"/>
    <w:rsid w:val="000963B1"/>
    <w:rsid w:val="00096786"/>
    <w:rsid w:val="0009695C"/>
    <w:rsid w:val="00096B90"/>
    <w:rsid w:val="000970AD"/>
    <w:rsid w:val="000971E6"/>
    <w:rsid w:val="0009752D"/>
    <w:rsid w:val="00097B3D"/>
    <w:rsid w:val="00097C14"/>
    <w:rsid w:val="00097D5F"/>
    <w:rsid w:val="00097DF9"/>
    <w:rsid w:val="000A04BE"/>
    <w:rsid w:val="000A0B6C"/>
    <w:rsid w:val="000A156A"/>
    <w:rsid w:val="000A15F1"/>
    <w:rsid w:val="000A1E9A"/>
    <w:rsid w:val="000A1FC1"/>
    <w:rsid w:val="000A2036"/>
    <w:rsid w:val="000A2682"/>
    <w:rsid w:val="000A2864"/>
    <w:rsid w:val="000A2E55"/>
    <w:rsid w:val="000A2F01"/>
    <w:rsid w:val="000A36E5"/>
    <w:rsid w:val="000A3828"/>
    <w:rsid w:val="000A3CA6"/>
    <w:rsid w:val="000A3EFE"/>
    <w:rsid w:val="000A3F60"/>
    <w:rsid w:val="000A4033"/>
    <w:rsid w:val="000A4648"/>
    <w:rsid w:val="000A47A3"/>
    <w:rsid w:val="000A496E"/>
    <w:rsid w:val="000A5039"/>
    <w:rsid w:val="000A51B5"/>
    <w:rsid w:val="000A53C4"/>
    <w:rsid w:val="000A5677"/>
    <w:rsid w:val="000A57B9"/>
    <w:rsid w:val="000A60AF"/>
    <w:rsid w:val="000A615E"/>
    <w:rsid w:val="000A6E32"/>
    <w:rsid w:val="000A710C"/>
    <w:rsid w:val="000A75C6"/>
    <w:rsid w:val="000A76AE"/>
    <w:rsid w:val="000A7F06"/>
    <w:rsid w:val="000B0145"/>
    <w:rsid w:val="000B05D9"/>
    <w:rsid w:val="000B068A"/>
    <w:rsid w:val="000B0705"/>
    <w:rsid w:val="000B0A42"/>
    <w:rsid w:val="000B0D9E"/>
    <w:rsid w:val="000B0E4E"/>
    <w:rsid w:val="000B10A7"/>
    <w:rsid w:val="000B1EEB"/>
    <w:rsid w:val="000B2674"/>
    <w:rsid w:val="000B26F0"/>
    <w:rsid w:val="000B2707"/>
    <w:rsid w:val="000B281B"/>
    <w:rsid w:val="000B2A32"/>
    <w:rsid w:val="000B2B96"/>
    <w:rsid w:val="000B2C7D"/>
    <w:rsid w:val="000B31F7"/>
    <w:rsid w:val="000B325F"/>
    <w:rsid w:val="000B40D2"/>
    <w:rsid w:val="000B4B5D"/>
    <w:rsid w:val="000B4D0B"/>
    <w:rsid w:val="000B522B"/>
    <w:rsid w:val="000B555A"/>
    <w:rsid w:val="000B6196"/>
    <w:rsid w:val="000B61F6"/>
    <w:rsid w:val="000B637A"/>
    <w:rsid w:val="000B637D"/>
    <w:rsid w:val="000B6384"/>
    <w:rsid w:val="000B656A"/>
    <w:rsid w:val="000B6A70"/>
    <w:rsid w:val="000B7B29"/>
    <w:rsid w:val="000B7CED"/>
    <w:rsid w:val="000C0AC5"/>
    <w:rsid w:val="000C0F0E"/>
    <w:rsid w:val="000C1341"/>
    <w:rsid w:val="000C192E"/>
    <w:rsid w:val="000C19C2"/>
    <w:rsid w:val="000C2067"/>
    <w:rsid w:val="000C211A"/>
    <w:rsid w:val="000C2AC2"/>
    <w:rsid w:val="000C2B55"/>
    <w:rsid w:val="000C2E66"/>
    <w:rsid w:val="000C3404"/>
    <w:rsid w:val="000C4230"/>
    <w:rsid w:val="000C4251"/>
    <w:rsid w:val="000C4430"/>
    <w:rsid w:val="000C54F0"/>
    <w:rsid w:val="000C5AD0"/>
    <w:rsid w:val="000C5C69"/>
    <w:rsid w:val="000C64AC"/>
    <w:rsid w:val="000C6B28"/>
    <w:rsid w:val="000C73C2"/>
    <w:rsid w:val="000C7715"/>
    <w:rsid w:val="000C776C"/>
    <w:rsid w:val="000C7A34"/>
    <w:rsid w:val="000C7CD6"/>
    <w:rsid w:val="000C7D18"/>
    <w:rsid w:val="000D05B7"/>
    <w:rsid w:val="000D09CB"/>
    <w:rsid w:val="000D0CA6"/>
    <w:rsid w:val="000D1038"/>
    <w:rsid w:val="000D11D3"/>
    <w:rsid w:val="000D181F"/>
    <w:rsid w:val="000D19F5"/>
    <w:rsid w:val="000D1BFC"/>
    <w:rsid w:val="000D1C11"/>
    <w:rsid w:val="000D1D54"/>
    <w:rsid w:val="000D1F30"/>
    <w:rsid w:val="000D219C"/>
    <w:rsid w:val="000D240E"/>
    <w:rsid w:val="000D241F"/>
    <w:rsid w:val="000D2829"/>
    <w:rsid w:val="000D3608"/>
    <w:rsid w:val="000D391C"/>
    <w:rsid w:val="000D3EF9"/>
    <w:rsid w:val="000D43EA"/>
    <w:rsid w:val="000D45DA"/>
    <w:rsid w:val="000D467E"/>
    <w:rsid w:val="000D4A79"/>
    <w:rsid w:val="000D4C44"/>
    <w:rsid w:val="000D4D47"/>
    <w:rsid w:val="000D50C3"/>
    <w:rsid w:val="000D5404"/>
    <w:rsid w:val="000D5417"/>
    <w:rsid w:val="000D56AD"/>
    <w:rsid w:val="000D593B"/>
    <w:rsid w:val="000D59B4"/>
    <w:rsid w:val="000D6260"/>
    <w:rsid w:val="000D66DC"/>
    <w:rsid w:val="000D67C5"/>
    <w:rsid w:val="000D6933"/>
    <w:rsid w:val="000D6A11"/>
    <w:rsid w:val="000D6C68"/>
    <w:rsid w:val="000D6D1B"/>
    <w:rsid w:val="000D6F25"/>
    <w:rsid w:val="000D7AA5"/>
    <w:rsid w:val="000D7C0B"/>
    <w:rsid w:val="000D7FE2"/>
    <w:rsid w:val="000E0101"/>
    <w:rsid w:val="000E0BB4"/>
    <w:rsid w:val="000E0C6D"/>
    <w:rsid w:val="000E1296"/>
    <w:rsid w:val="000E222E"/>
    <w:rsid w:val="000E2485"/>
    <w:rsid w:val="000E2534"/>
    <w:rsid w:val="000E2AC8"/>
    <w:rsid w:val="000E2DC3"/>
    <w:rsid w:val="000E3678"/>
    <w:rsid w:val="000E391B"/>
    <w:rsid w:val="000E3A83"/>
    <w:rsid w:val="000E4249"/>
    <w:rsid w:val="000E4586"/>
    <w:rsid w:val="000E4A87"/>
    <w:rsid w:val="000E4BF3"/>
    <w:rsid w:val="000E4EBF"/>
    <w:rsid w:val="000E502D"/>
    <w:rsid w:val="000E5289"/>
    <w:rsid w:val="000E52DC"/>
    <w:rsid w:val="000E53F8"/>
    <w:rsid w:val="000E57B9"/>
    <w:rsid w:val="000E5EC4"/>
    <w:rsid w:val="000E5FEB"/>
    <w:rsid w:val="000E6004"/>
    <w:rsid w:val="000E631A"/>
    <w:rsid w:val="000E6BCA"/>
    <w:rsid w:val="000E6E31"/>
    <w:rsid w:val="000E7086"/>
    <w:rsid w:val="000E75DB"/>
    <w:rsid w:val="000E7F9A"/>
    <w:rsid w:val="000F0452"/>
    <w:rsid w:val="000F05D6"/>
    <w:rsid w:val="000F0959"/>
    <w:rsid w:val="000F0CB1"/>
    <w:rsid w:val="000F0E9B"/>
    <w:rsid w:val="000F1416"/>
    <w:rsid w:val="000F16DC"/>
    <w:rsid w:val="000F26F8"/>
    <w:rsid w:val="000F2B5D"/>
    <w:rsid w:val="000F2DA1"/>
    <w:rsid w:val="000F3653"/>
    <w:rsid w:val="000F376C"/>
    <w:rsid w:val="000F3B8C"/>
    <w:rsid w:val="000F4BB8"/>
    <w:rsid w:val="000F4E30"/>
    <w:rsid w:val="000F52BC"/>
    <w:rsid w:val="000F5810"/>
    <w:rsid w:val="000F58D8"/>
    <w:rsid w:val="000F5DD3"/>
    <w:rsid w:val="000F62D8"/>
    <w:rsid w:val="000F6DD0"/>
    <w:rsid w:val="000F7002"/>
    <w:rsid w:val="000F7009"/>
    <w:rsid w:val="000F70FE"/>
    <w:rsid w:val="000F7127"/>
    <w:rsid w:val="000F7CDD"/>
    <w:rsid w:val="000F7E4E"/>
    <w:rsid w:val="000F7FD9"/>
    <w:rsid w:val="00100402"/>
    <w:rsid w:val="00100639"/>
    <w:rsid w:val="00100646"/>
    <w:rsid w:val="00100769"/>
    <w:rsid w:val="00100F8A"/>
    <w:rsid w:val="001013FD"/>
    <w:rsid w:val="00101835"/>
    <w:rsid w:val="00101996"/>
    <w:rsid w:val="00101F2C"/>
    <w:rsid w:val="00102B3E"/>
    <w:rsid w:val="00102DAC"/>
    <w:rsid w:val="00103251"/>
    <w:rsid w:val="001039A8"/>
    <w:rsid w:val="00103B7E"/>
    <w:rsid w:val="00103E49"/>
    <w:rsid w:val="0010431F"/>
    <w:rsid w:val="00104907"/>
    <w:rsid w:val="00104FA9"/>
    <w:rsid w:val="00105080"/>
    <w:rsid w:val="0010561F"/>
    <w:rsid w:val="0010564B"/>
    <w:rsid w:val="001058B9"/>
    <w:rsid w:val="00105A44"/>
    <w:rsid w:val="00105BE5"/>
    <w:rsid w:val="001065C3"/>
    <w:rsid w:val="001069C1"/>
    <w:rsid w:val="00106C7F"/>
    <w:rsid w:val="00106F2D"/>
    <w:rsid w:val="001076CC"/>
    <w:rsid w:val="00107C4E"/>
    <w:rsid w:val="00110271"/>
    <w:rsid w:val="0011032E"/>
    <w:rsid w:val="00110354"/>
    <w:rsid w:val="0011052A"/>
    <w:rsid w:val="00110F5B"/>
    <w:rsid w:val="00111429"/>
    <w:rsid w:val="0011148B"/>
    <w:rsid w:val="00111972"/>
    <w:rsid w:val="00111B66"/>
    <w:rsid w:val="00112744"/>
    <w:rsid w:val="0011332E"/>
    <w:rsid w:val="0011342B"/>
    <w:rsid w:val="0011348B"/>
    <w:rsid w:val="00113774"/>
    <w:rsid w:val="00113BA1"/>
    <w:rsid w:val="00113CF2"/>
    <w:rsid w:val="00113D88"/>
    <w:rsid w:val="00114EBD"/>
    <w:rsid w:val="00114F89"/>
    <w:rsid w:val="00115578"/>
    <w:rsid w:val="00115B99"/>
    <w:rsid w:val="00115C4A"/>
    <w:rsid w:val="00115DEA"/>
    <w:rsid w:val="00116440"/>
    <w:rsid w:val="00116491"/>
    <w:rsid w:val="00116736"/>
    <w:rsid w:val="00116B3D"/>
    <w:rsid w:val="00117101"/>
    <w:rsid w:val="00117109"/>
    <w:rsid w:val="0011724E"/>
    <w:rsid w:val="001179FD"/>
    <w:rsid w:val="0012081E"/>
    <w:rsid w:val="00120A40"/>
    <w:rsid w:val="00121581"/>
    <w:rsid w:val="0012178E"/>
    <w:rsid w:val="00121799"/>
    <w:rsid w:val="00121D3B"/>
    <w:rsid w:val="00121F09"/>
    <w:rsid w:val="00121FEF"/>
    <w:rsid w:val="001222FC"/>
    <w:rsid w:val="001225BD"/>
    <w:rsid w:val="0012296C"/>
    <w:rsid w:val="0012351C"/>
    <w:rsid w:val="001237EA"/>
    <w:rsid w:val="0012395B"/>
    <w:rsid w:val="001241A7"/>
    <w:rsid w:val="0012441E"/>
    <w:rsid w:val="00124557"/>
    <w:rsid w:val="001246BD"/>
    <w:rsid w:val="00124708"/>
    <w:rsid w:val="00124A51"/>
    <w:rsid w:val="00124A80"/>
    <w:rsid w:val="00125897"/>
    <w:rsid w:val="00125A10"/>
    <w:rsid w:val="00126033"/>
    <w:rsid w:val="00126621"/>
    <w:rsid w:val="00126B45"/>
    <w:rsid w:val="00126BE5"/>
    <w:rsid w:val="0012773A"/>
    <w:rsid w:val="00127B12"/>
    <w:rsid w:val="00127C8A"/>
    <w:rsid w:val="00127DD9"/>
    <w:rsid w:val="001301E9"/>
    <w:rsid w:val="001302A9"/>
    <w:rsid w:val="00130924"/>
    <w:rsid w:val="00130E1D"/>
    <w:rsid w:val="00130F86"/>
    <w:rsid w:val="001312A4"/>
    <w:rsid w:val="001318D8"/>
    <w:rsid w:val="00131C40"/>
    <w:rsid w:val="00131FB0"/>
    <w:rsid w:val="001320D7"/>
    <w:rsid w:val="0013227D"/>
    <w:rsid w:val="0013230A"/>
    <w:rsid w:val="00132EBF"/>
    <w:rsid w:val="00133279"/>
    <w:rsid w:val="0013351A"/>
    <w:rsid w:val="0013381A"/>
    <w:rsid w:val="00133C12"/>
    <w:rsid w:val="00134155"/>
    <w:rsid w:val="001346AA"/>
    <w:rsid w:val="0013483F"/>
    <w:rsid w:val="00135790"/>
    <w:rsid w:val="00135D1C"/>
    <w:rsid w:val="001362B2"/>
    <w:rsid w:val="0013665C"/>
    <w:rsid w:val="00136D35"/>
    <w:rsid w:val="00137112"/>
    <w:rsid w:val="00137645"/>
    <w:rsid w:val="00137664"/>
    <w:rsid w:val="0013794C"/>
    <w:rsid w:val="00137C57"/>
    <w:rsid w:val="0014015A"/>
    <w:rsid w:val="001401FF"/>
    <w:rsid w:val="00140258"/>
    <w:rsid w:val="00140BE2"/>
    <w:rsid w:val="00140E99"/>
    <w:rsid w:val="00141340"/>
    <w:rsid w:val="00141825"/>
    <w:rsid w:val="00141A06"/>
    <w:rsid w:val="001420D4"/>
    <w:rsid w:val="00142207"/>
    <w:rsid w:val="0014316B"/>
    <w:rsid w:val="00143309"/>
    <w:rsid w:val="001439E7"/>
    <w:rsid w:val="00144223"/>
    <w:rsid w:val="0014434F"/>
    <w:rsid w:val="00144439"/>
    <w:rsid w:val="00144851"/>
    <w:rsid w:val="00144BCC"/>
    <w:rsid w:val="00144C4C"/>
    <w:rsid w:val="00145540"/>
    <w:rsid w:val="001456B0"/>
    <w:rsid w:val="00145B68"/>
    <w:rsid w:val="00146561"/>
    <w:rsid w:val="00146894"/>
    <w:rsid w:val="00146A0B"/>
    <w:rsid w:val="00146B00"/>
    <w:rsid w:val="00146D08"/>
    <w:rsid w:val="001474A9"/>
    <w:rsid w:val="001475BB"/>
    <w:rsid w:val="00147892"/>
    <w:rsid w:val="00150351"/>
    <w:rsid w:val="001503BA"/>
    <w:rsid w:val="001506E8"/>
    <w:rsid w:val="001513AB"/>
    <w:rsid w:val="0015175D"/>
    <w:rsid w:val="001519D0"/>
    <w:rsid w:val="00151AF3"/>
    <w:rsid w:val="00151B37"/>
    <w:rsid w:val="00151B51"/>
    <w:rsid w:val="0015204B"/>
    <w:rsid w:val="0015235D"/>
    <w:rsid w:val="0015252D"/>
    <w:rsid w:val="00152592"/>
    <w:rsid w:val="00152AA9"/>
    <w:rsid w:val="0015306F"/>
    <w:rsid w:val="001532B8"/>
    <w:rsid w:val="00153587"/>
    <w:rsid w:val="001537DC"/>
    <w:rsid w:val="00153878"/>
    <w:rsid w:val="00153BFA"/>
    <w:rsid w:val="00153F00"/>
    <w:rsid w:val="00154031"/>
    <w:rsid w:val="001542D8"/>
    <w:rsid w:val="00154A21"/>
    <w:rsid w:val="00154C13"/>
    <w:rsid w:val="001559F5"/>
    <w:rsid w:val="00155B0B"/>
    <w:rsid w:val="00155D85"/>
    <w:rsid w:val="0015670C"/>
    <w:rsid w:val="00157130"/>
    <w:rsid w:val="00157273"/>
    <w:rsid w:val="001577AA"/>
    <w:rsid w:val="00157A1E"/>
    <w:rsid w:val="00157D6B"/>
    <w:rsid w:val="00160017"/>
    <w:rsid w:val="001605BF"/>
    <w:rsid w:val="001605C4"/>
    <w:rsid w:val="001607EF"/>
    <w:rsid w:val="00160924"/>
    <w:rsid w:val="00161236"/>
    <w:rsid w:val="001619A5"/>
    <w:rsid w:val="00161A81"/>
    <w:rsid w:val="00161DD2"/>
    <w:rsid w:val="001623BC"/>
    <w:rsid w:val="00162913"/>
    <w:rsid w:val="00162BCF"/>
    <w:rsid w:val="00162CC5"/>
    <w:rsid w:val="00162D52"/>
    <w:rsid w:val="0016325E"/>
    <w:rsid w:val="001632C2"/>
    <w:rsid w:val="00163BC4"/>
    <w:rsid w:val="00163BCF"/>
    <w:rsid w:val="00163DB7"/>
    <w:rsid w:val="00163E84"/>
    <w:rsid w:val="00163EFF"/>
    <w:rsid w:val="00163F5F"/>
    <w:rsid w:val="00164142"/>
    <w:rsid w:val="0016414B"/>
    <w:rsid w:val="00164238"/>
    <w:rsid w:val="001645EC"/>
    <w:rsid w:val="00164793"/>
    <w:rsid w:val="001647E7"/>
    <w:rsid w:val="00164899"/>
    <w:rsid w:val="00165061"/>
    <w:rsid w:val="0016520A"/>
    <w:rsid w:val="001652D0"/>
    <w:rsid w:val="00165369"/>
    <w:rsid w:val="0016537E"/>
    <w:rsid w:val="0016544F"/>
    <w:rsid w:val="001656E6"/>
    <w:rsid w:val="001658D9"/>
    <w:rsid w:val="001658E6"/>
    <w:rsid w:val="001658FA"/>
    <w:rsid w:val="001659E0"/>
    <w:rsid w:val="00165B47"/>
    <w:rsid w:val="001661B2"/>
    <w:rsid w:val="001661FB"/>
    <w:rsid w:val="00166693"/>
    <w:rsid w:val="00166980"/>
    <w:rsid w:val="001669AE"/>
    <w:rsid w:val="00167548"/>
    <w:rsid w:val="00167E80"/>
    <w:rsid w:val="00167EAE"/>
    <w:rsid w:val="001702B2"/>
    <w:rsid w:val="001706E5"/>
    <w:rsid w:val="00170750"/>
    <w:rsid w:val="0017085A"/>
    <w:rsid w:val="00171A05"/>
    <w:rsid w:val="00171ACE"/>
    <w:rsid w:val="00171CAA"/>
    <w:rsid w:val="001725B7"/>
    <w:rsid w:val="001729B2"/>
    <w:rsid w:val="00172CAF"/>
    <w:rsid w:val="00173061"/>
    <w:rsid w:val="0017494F"/>
    <w:rsid w:val="001754AB"/>
    <w:rsid w:val="001755F9"/>
    <w:rsid w:val="00175900"/>
    <w:rsid w:val="00175C89"/>
    <w:rsid w:val="0017641B"/>
    <w:rsid w:val="00176828"/>
    <w:rsid w:val="00176C60"/>
    <w:rsid w:val="00176D0A"/>
    <w:rsid w:val="001772DA"/>
    <w:rsid w:val="00177412"/>
    <w:rsid w:val="0017773F"/>
    <w:rsid w:val="001777D8"/>
    <w:rsid w:val="00177DE8"/>
    <w:rsid w:val="00177E2F"/>
    <w:rsid w:val="00180464"/>
    <w:rsid w:val="00180BD6"/>
    <w:rsid w:val="00180D61"/>
    <w:rsid w:val="00181407"/>
    <w:rsid w:val="00181B3D"/>
    <w:rsid w:val="0018214B"/>
    <w:rsid w:val="0018228F"/>
    <w:rsid w:val="0018277B"/>
    <w:rsid w:val="00182784"/>
    <w:rsid w:val="00182AAA"/>
    <w:rsid w:val="00182E76"/>
    <w:rsid w:val="00183982"/>
    <w:rsid w:val="00184068"/>
    <w:rsid w:val="001842D5"/>
    <w:rsid w:val="00184ABA"/>
    <w:rsid w:val="00184CA3"/>
    <w:rsid w:val="001850BA"/>
    <w:rsid w:val="00185136"/>
    <w:rsid w:val="001855A5"/>
    <w:rsid w:val="00185699"/>
    <w:rsid w:val="0018577D"/>
    <w:rsid w:val="001859C8"/>
    <w:rsid w:val="00185C61"/>
    <w:rsid w:val="00185FC9"/>
    <w:rsid w:val="0018752F"/>
    <w:rsid w:val="00187890"/>
    <w:rsid w:val="00190199"/>
    <w:rsid w:val="001901D0"/>
    <w:rsid w:val="001901FE"/>
    <w:rsid w:val="00190B77"/>
    <w:rsid w:val="0019115B"/>
    <w:rsid w:val="00191299"/>
    <w:rsid w:val="00191B69"/>
    <w:rsid w:val="00191CD0"/>
    <w:rsid w:val="00191DBB"/>
    <w:rsid w:val="00191EAC"/>
    <w:rsid w:val="00192700"/>
    <w:rsid w:val="001928C8"/>
    <w:rsid w:val="0019305A"/>
    <w:rsid w:val="00193699"/>
    <w:rsid w:val="00193B6A"/>
    <w:rsid w:val="00193C49"/>
    <w:rsid w:val="00193F9C"/>
    <w:rsid w:val="0019453B"/>
    <w:rsid w:val="001947D3"/>
    <w:rsid w:val="00194DE1"/>
    <w:rsid w:val="00194E7C"/>
    <w:rsid w:val="0019521E"/>
    <w:rsid w:val="00195222"/>
    <w:rsid w:val="00196799"/>
    <w:rsid w:val="00196A24"/>
    <w:rsid w:val="00196BEA"/>
    <w:rsid w:val="00196E62"/>
    <w:rsid w:val="00196EF8"/>
    <w:rsid w:val="001975D8"/>
    <w:rsid w:val="00197923"/>
    <w:rsid w:val="00197D3C"/>
    <w:rsid w:val="001A04BB"/>
    <w:rsid w:val="001A16A5"/>
    <w:rsid w:val="001A1985"/>
    <w:rsid w:val="001A1E7B"/>
    <w:rsid w:val="001A237D"/>
    <w:rsid w:val="001A23FB"/>
    <w:rsid w:val="001A251D"/>
    <w:rsid w:val="001A2F60"/>
    <w:rsid w:val="001A2F63"/>
    <w:rsid w:val="001A36FA"/>
    <w:rsid w:val="001A3950"/>
    <w:rsid w:val="001A3F0F"/>
    <w:rsid w:val="001A42D5"/>
    <w:rsid w:val="001A4806"/>
    <w:rsid w:val="001A4B2F"/>
    <w:rsid w:val="001A4F29"/>
    <w:rsid w:val="001A5027"/>
    <w:rsid w:val="001A51F9"/>
    <w:rsid w:val="001A5C0D"/>
    <w:rsid w:val="001A5CE2"/>
    <w:rsid w:val="001A5DB9"/>
    <w:rsid w:val="001A5ED5"/>
    <w:rsid w:val="001A6A53"/>
    <w:rsid w:val="001A6C0C"/>
    <w:rsid w:val="001A7114"/>
    <w:rsid w:val="001B03AB"/>
    <w:rsid w:val="001B0A1B"/>
    <w:rsid w:val="001B0A6A"/>
    <w:rsid w:val="001B0B42"/>
    <w:rsid w:val="001B0CC9"/>
    <w:rsid w:val="001B0E59"/>
    <w:rsid w:val="001B101F"/>
    <w:rsid w:val="001B10D9"/>
    <w:rsid w:val="001B11FD"/>
    <w:rsid w:val="001B1383"/>
    <w:rsid w:val="001B17AA"/>
    <w:rsid w:val="001B18DF"/>
    <w:rsid w:val="001B29EE"/>
    <w:rsid w:val="001B2D6C"/>
    <w:rsid w:val="001B2D93"/>
    <w:rsid w:val="001B2FB5"/>
    <w:rsid w:val="001B3045"/>
    <w:rsid w:val="001B3443"/>
    <w:rsid w:val="001B347D"/>
    <w:rsid w:val="001B409B"/>
    <w:rsid w:val="001B417E"/>
    <w:rsid w:val="001B4255"/>
    <w:rsid w:val="001B4834"/>
    <w:rsid w:val="001B4C14"/>
    <w:rsid w:val="001B55FE"/>
    <w:rsid w:val="001B5D46"/>
    <w:rsid w:val="001B5FC7"/>
    <w:rsid w:val="001B607A"/>
    <w:rsid w:val="001B61A1"/>
    <w:rsid w:val="001B62AE"/>
    <w:rsid w:val="001B739E"/>
    <w:rsid w:val="001B76DA"/>
    <w:rsid w:val="001B78F9"/>
    <w:rsid w:val="001B7E50"/>
    <w:rsid w:val="001B7FC7"/>
    <w:rsid w:val="001C0103"/>
    <w:rsid w:val="001C023B"/>
    <w:rsid w:val="001C04D8"/>
    <w:rsid w:val="001C080F"/>
    <w:rsid w:val="001C0B5C"/>
    <w:rsid w:val="001C0C4A"/>
    <w:rsid w:val="001C0DFA"/>
    <w:rsid w:val="001C1136"/>
    <w:rsid w:val="001C1815"/>
    <w:rsid w:val="001C18C4"/>
    <w:rsid w:val="001C195E"/>
    <w:rsid w:val="001C1AFE"/>
    <w:rsid w:val="001C1CF6"/>
    <w:rsid w:val="001C1FDE"/>
    <w:rsid w:val="001C206D"/>
    <w:rsid w:val="001C26DA"/>
    <w:rsid w:val="001C2BAE"/>
    <w:rsid w:val="001C2CF6"/>
    <w:rsid w:val="001C3200"/>
    <w:rsid w:val="001C382A"/>
    <w:rsid w:val="001C382C"/>
    <w:rsid w:val="001C3D76"/>
    <w:rsid w:val="001C3E5C"/>
    <w:rsid w:val="001C3E9D"/>
    <w:rsid w:val="001C4303"/>
    <w:rsid w:val="001C4834"/>
    <w:rsid w:val="001C4ACF"/>
    <w:rsid w:val="001C5280"/>
    <w:rsid w:val="001C5ACC"/>
    <w:rsid w:val="001C5BB3"/>
    <w:rsid w:val="001C66C6"/>
    <w:rsid w:val="001C69A7"/>
    <w:rsid w:val="001C6E66"/>
    <w:rsid w:val="001C6F3C"/>
    <w:rsid w:val="001C6FC6"/>
    <w:rsid w:val="001C75E5"/>
    <w:rsid w:val="001C799D"/>
    <w:rsid w:val="001C7C1D"/>
    <w:rsid w:val="001C7F66"/>
    <w:rsid w:val="001D0256"/>
    <w:rsid w:val="001D08F7"/>
    <w:rsid w:val="001D09E9"/>
    <w:rsid w:val="001D0C52"/>
    <w:rsid w:val="001D11C3"/>
    <w:rsid w:val="001D146D"/>
    <w:rsid w:val="001D16DF"/>
    <w:rsid w:val="001D1BEB"/>
    <w:rsid w:val="001D1E89"/>
    <w:rsid w:val="001D21C2"/>
    <w:rsid w:val="001D2613"/>
    <w:rsid w:val="001D26B4"/>
    <w:rsid w:val="001D26CB"/>
    <w:rsid w:val="001D2D13"/>
    <w:rsid w:val="001D2D52"/>
    <w:rsid w:val="001D35E3"/>
    <w:rsid w:val="001D3D4D"/>
    <w:rsid w:val="001D3F67"/>
    <w:rsid w:val="001D4A92"/>
    <w:rsid w:val="001D4F3F"/>
    <w:rsid w:val="001D5696"/>
    <w:rsid w:val="001D5869"/>
    <w:rsid w:val="001D5BAA"/>
    <w:rsid w:val="001D5DFB"/>
    <w:rsid w:val="001D5F62"/>
    <w:rsid w:val="001D5FA4"/>
    <w:rsid w:val="001D606D"/>
    <w:rsid w:val="001D6090"/>
    <w:rsid w:val="001D60FD"/>
    <w:rsid w:val="001D62B1"/>
    <w:rsid w:val="001D64A3"/>
    <w:rsid w:val="001D652D"/>
    <w:rsid w:val="001D664A"/>
    <w:rsid w:val="001D6E36"/>
    <w:rsid w:val="001D6FD8"/>
    <w:rsid w:val="001D72B4"/>
    <w:rsid w:val="001D7A4F"/>
    <w:rsid w:val="001D7AD3"/>
    <w:rsid w:val="001D7F0C"/>
    <w:rsid w:val="001D7FFA"/>
    <w:rsid w:val="001E06A0"/>
    <w:rsid w:val="001E07D0"/>
    <w:rsid w:val="001E098B"/>
    <w:rsid w:val="001E0F9C"/>
    <w:rsid w:val="001E10ED"/>
    <w:rsid w:val="001E15C7"/>
    <w:rsid w:val="001E1FDA"/>
    <w:rsid w:val="001E2179"/>
    <w:rsid w:val="001E238E"/>
    <w:rsid w:val="001E2645"/>
    <w:rsid w:val="001E2B1E"/>
    <w:rsid w:val="001E2F42"/>
    <w:rsid w:val="001E3419"/>
    <w:rsid w:val="001E35BD"/>
    <w:rsid w:val="001E37EF"/>
    <w:rsid w:val="001E396A"/>
    <w:rsid w:val="001E3976"/>
    <w:rsid w:val="001E397D"/>
    <w:rsid w:val="001E4053"/>
    <w:rsid w:val="001E4156"/>
    <w:rsid w:val="001E42C1"/>
    <w:rsid w:val="001E4E22"/>
    <w:rsid w:val="001E4F20"/>
    <w:rsid w:val="001E5211"/>
    <w:rsid w:val="001E52EB"/>
    <w:rsid w:val="001E5558"/>
    <w:rsid w:val="001E5E62"/>
    <w:rsid w:val="001E5ED2"/>
    <w:rsid w:val="001E62F5"/>
    <w:rsid w:val="001E62F9"/>
    <w:rsid w:val="001E6B28"/>
    <w:rsid w:val="001E6C2D"/>
    <w:rsid w:val="001E6D49"/>
    <w:rsid w:val="001E7375"/>
    <w:rsid w:val="001E73AE"/>
    <w:rsid w:val="001E740C"/>
    <w:rsid w:val="001E780A"/>
    <w:rsid w:val="001E7C54"/>
    <w:rsid w:val="001E7CD8"/>
    <w:rsid w:val="001E7DE4"/>
    <w:rsid w:val="001F0471"/>
    <w:rsid w:val="001F0FAC"/>
    <w:rsid w:val="001F0FEF"/>
    <w:rsid w:val="001F1235"/>
    <w:rsid w:val="001F1A58"/>
    <w:rsid w:val="001F1ADE"/>
    <w:rsid w:val="001F1CB3"/>
    <w:rsid w:val="001F1CDE"/>
    <w:rsid w:val="001F25B4"/>
    <w:rsid w:val="001F2AF6"/>
    <w:rsid w:val="001F30A8"/>
    <w:rsid w:val="001F3400"/>
    <w:rsid w:val="001F3729"/>
    <w:rsid w:val="001F38A9"/>
    <w:rsid w:val="001F3EC2"/>
    <w:rsid w:val="001F3F86"/>
    <w:rsid w:val="001F40F6"/>
    <w:rsid w:val="001F4506"/>
    <w:rsid w:val="001F4823"/>
    <w:rsid w:val="001F48FE"/>
    <w:rsid w:val="001F4C37"/>
    <w:rsid w:val="001F4D3C"/>
    <w:rsid w:val="001F4D49"/>
    <w:rsid w:val="001F4E1A"/>
    <w:rsid w:val="001F50C1"/>
    <w:rsid w:val="001F573F"/>
    <w:rsid w:val="001F5842"/>
    <w:rsid w:val="001F5A2E"/>
    <w:rsid w:val="001F5E15"/>
    <w:rsid w:val="001F645C"/>
    <w:rsid w:val="001F6842"/>
    <w:rsid w:val="001F6ABF"/>
    <w:rsid w:val="001F6C01"/>
    <w:rsid w:val="001F7136"/>
    <w:rsid w:val="001F71D8"/>
    <w:rsid w:val="001F7361"/>
    <w:rsid w:val="001F7616"/>
    <w:rsid w:val="001F78AC"/>
    <w:rsid w:val="002004A2"/>
    <w:rsid w:val="002014DB"/>
    <w:rsid w:val="0020153D"/>
    <w:rsid w:val="00201746"/>
    <w:rsid w:val="002019F0"/>
    <w:rsid w:val="00201D4C"/>
    <w:rsid w:val="0020233C"/>
    <w:rsid w:val="002025D2"/>
    <w:rsid w:val="00202A5F"/>
    <w:rsid w:val="00202B00"/>
    <w:rsid w:val="0020385F"/>
    <w:rsid w:val="00203AF3"/>
    <w:rsid w:val="00203BBC"/>
    <w:rsid w:val="002040EC"/>
    <w:rsid w:val="00204139"/>
    <w:rsid w:val="00204253"/>
    <w:rsid w:val="00204442"/>
    <w:rsid w:val="002044C2"/>
    <w:rsid w:val="002045B9"/>
    <w:rsid w:val="00204687"/>
    <w:rsid w:val="00204C49"/>
    <w:rsid w:val="002050BB"/>
    <w:rsid w:val="00205178"/>
    <w:rsid w:val="002051AB"/>
    <w:rsid w:val="00206368"/>
    <w:rsid w:val="00206651"/>
    <w:rsid w:val="002067A2"/>
    <w:rsid w:val="00207021"/>
    <w:rsid w:val="002070F5"/>
    <w:rsid w:val="002075A1"/>
    <w:rsid w:val="00207D00"/>
    <w:rsid w:val="00207F62"/>
    <w:rsid w:val="00207F77"/>
    <w:rsid w:val="00210003"/>
    <w:rsid w:val="00210318"/>
    <w:rsid w:val="002105C1"/>
    <w:rsid w:val="00210778"/>
    <w:rsid w:val="00210FC2"/>
    <w:rsid w:val="002114D2"/>
    <w:rsid w:val="0021178C"/>
    <w:rsid w:val="002118C5"/>
    <w:rsid w:val="00211A28"/>
    <w:rsid w:val="00211B77"/>
    <w:rsid w:val="00211DA5"/>
    <w:rsid w:val="00211F36"/>
    <w:rsid w:val="0021205C"/>
    <w:rsid w:val="002124FD"/>
    <w:rsid w:val="00212879"/>
    <w:rsid w:val="00212F60"/>
    <w:rsid w:val="002132DE"/>
    <w:rsid w:val="002138C8"/>
    <w:rsid w:val="00213F12"/>
    <w:rsid w:val="00214506"/>
    <w:rsid w:val="00215538"/>
    <w:rsid w:val="0021557A"/>
    <w:rsid w:val="002158D5"/>
    <w:rsid w:val="00215A0C"/>
    <w:rsid w:val="00215A5A"/>
    <w:rsid w:val="00216093"/>
    <w:rsid w:val="00216149"/>
    <w:rsid w:val="0021641A"/>
    <w:rsid w:val="002172B7"/>
    <w:rsid w:val="00217654"/>
    <w:rsid w:val="00217FAB"/>
    <w:rsid w:val="00220021"/>
    <w:rsid w:val="0022033F"/>
    <w:rsid w:val="00220354"/>
    <w:rsid w:val="00220515"/>
    <w:rsid w:val="00220B2B"/>
    <w:rsid w:val="00220C39"/>
    <w:rsid w:val="00220D0B"/>
    <w:rsid w:val="00220FB7"/>
    <w:rsid w:val="00221074"/>
    <w:rsid w:val="002210ED"/>
    <w:rsid w:val="0022118F"/>
    <w:rsid w:val="00221527"/>
    <w:rsid w:val="002220F4"/>
    <w:rsid w:val="00222297"/>
    <w:rsid w:val="0022236C"/>
    <w:rsid w:val="00223512"/>
    <w:rsid w:val="00223B49"/>
    <w:rsid w:val="00223CAC"/>
    <w:rsid w:val="00224673"/>
    <w:rsid w:val="002248B1"/>
    <w:rsid w:val="00224AA8"/>
    <w:rsid w:val="00224DD4"/>
    <w:rsid w:val="002250D2"/>
    <w:rsid w:val="00225FA2"/>
    <w:rsid w:val="0022630D"/>
    <w:rsid w:val="0022631A"/>
    <w:rsid w:val="002267C8"/>
    <w:rsid w:val="0022696A"/>
    <w:rsid w:val="002269D0"/>
    <w:rsid w:val="00226B53"/>
    <w:rsid w:val="00226E48"/>
    <w:rsid w:val="00227141"/>
    <w:rsid w:val="002271B7"/>
    <w:rsid w:val="002274E3"/>
    <w:rsid w:val="00227602"/>
    <w:rsid w:val="00227676"/>
    <w:rsid w:val="00227B75"/>
    <w:rsid w:val="00227EA7"/>
    <w:rsid w:val="00227F41"/>
    <w:rsid w:val="00230066"/>
    <w:rsid w:val="002309CC"/>
    <w:rsid w:val="0023136E"/>
    <w:rsid w:val="002315D0"/>
    <w:rsid w:val="00231659"/>
    <w:rsid w:val="00231C8A"/>
    <w:rsid w:val="002323CB"/>
    <w:rsid w:val="002324F7"/>
    <w:rsid w:val="00232976"/>
    <w:rsid w:val="00233173"/>
    <w:rsid w:val="002338B9"/>
    <w:rsid w:val="00234B40"/>
    <w:rsid w:val="00234C8E"/>
    <w:rsid w:val="00234D8B"/>
    <w:rsid w:val="00234F10"/>
    <w:rsid w:val="00235243"/>
    <w:rsid w:val="0023555A"/>
    <w:rsid w:val="00235C64"/>
    <w:rsid w:val="002362E1"/>
    <w:rsid w:val="002363E3"/>
    <w:rsid w:val="0023675D"/>
    <w:rsid w:val="00236CF4"/>
    <w:rsid w:val="00236F65"/>
    <w:rsid w:val="00237494"/>
    <w:rsid w:val="002376E5"/>
    <w:rsid w:val="00237C5A"/>
    <w:rsid w:val="002400C0"/>
    <w:rsid w:val="00240A26"/>
    <w:rsid w:val="00240C46"/>
    <w:rsid w:val="0024116C"/>
    <w:rsid w:val="002414E0"/>
    <w:rsid w:val="0024171B"/>
    <w:rsid w:val="00241878"/>
    <w:rsid w:val="00241974"/>
    <w:rsid w:val="0024214A"/>
    <w:rsid w:val="0024222B"/>
    <w:rsid w:val="0024284A"/>
    <w:rsid w:val="002429AA"/>
    <w:rsid w:val="00242D85"/>
    <w:rsid w:val="00243448"/>
    <w:rsid w:val="00243BF9"/>
    <w:rsid w:val="00243D54"/>
    <w:rsid w:val="00243FF8"/>
    <w:rsid w:val="002442B1"/>
    <w:rsid w:val="00244576"/>
    <w:rsid w:val="002446FE"/>
    <w:rsid w:val="00244EAC"/>
    <w:rsid w:val="00245205"/>
    <w:rsid w:val="002453AC"/>
    <w:rsid w:val="0024540F"/>
    <w:rsid w:val="00245A01"/>
    <w:rsid w:val="00245E34"/>
    <w:rsid w:val="0024647A"/>
    <w:rsid w:val="0024651B"/>
    <w:rsid w:val="0024663D"/>
    <w:rsid w:val="002468D2"/>
    <w:rsid w:val="00246C27"/>
    <w:rsid w:val="00246FB3"/>
    <w:rsid w:val="0024739F"/>
    <w:rsid w:val="00247BF7"/>
    <w:rsid w:val="00247D7D"/>
    <w:rsid w:val="00250056"/>
    <w:rsid w:val="0025047A"/>
    <w:rsid w:val="00250935"/>
    <w:rsid w:val="00250A5E"/>
    <w:rsid w:val="00250B3B"/>
    <w:rsid w:val="00250C35"/>
    <w:rsid w:val="00250F4A"/>
    <w:rsid w:val="00250F5E"/>
    <w:rsid w:val="002512A2"/>
    <w:rsid w:val="00251365"/>
    <w:rsid w:val="00251480"/>
    <w:rsid w:val="002514B9"/>
    <w:rsid w:val="0025167C"/>
    <w:rsid w:val="00251A91"/>
    <w:rsid w:val="00251E18"/>
    <w:rsid w:val="002520BB"/>
    <w:rsid w:val="00252322"/>
    <w:rsid w:val="00252D14"/>
    <w:rsid w:val="00253018"/>
    <w:rsid w:val="002536BC"/>
    <w:rsid w:val="002536FC"/>
    <w:rsid w:val="00253E56"/>
    <w:rsid w:val="0025458B"/>
    <w:rsid w:val="00254A08"/>
    <w:rsid w:val="00254DCF"/>
    <w:rsid w:val="0025534B"/>
    <w:rsid w:val="002553F8"/>
    <w:rsid w:val="002556FD"/>
    <w:rsid w:val="00255946"/>
    <w:rsid w:val="00255BB7"/>
    <w:rsid w:val="00255C78"/>
    <w:rsid w:val="00255DA6"/>
    <w:rsid w:val="002564F8"/>
    <w:rsid w:val="002565F3"/>
    <w:rsid w:val="00256702"/>
    <w:rsid w:val="0025688F"/>
    <w:rsid w:val="00256F1B"/>
    <w:rsid w:val="002574BC"/>
    <w:rsid w:val="00257536"/>
    <w:rsid w:val="002577CB"/>
    <w:rsid w:val="00257851"/>
    <w:rsid w:val="002600BD"/>
    <w:rsid w:val="00260717"/>
    <w:rsid w:val="00260791"/>
    <w:rsid w:val="002608C9"/>
    <w:rsid w:val="00260B0B"/>
    <w:rsid w:val="00261154"/>
    <w:rsid w:val="00261270"/>
    <w:rsid w:val="002616E5"/>
    <w:rsid w:val="0026170A"/>
    <w:rsid w:val="00261EB1"/>
    <w:rsid w:val="0026205E"/>
    <w:rsid w:val="0026250A"/>
    <w:rsid w:val="0026275F"/>
    <w:rsid w:val="00262A87"/>
    <w:rsid w:val="00262BE6"/>
    <w:rsid w:val="00262C1C"/>
    <w:rsid w:val="00262F24"/>
    <w:rsid w:val="00262FD5"/>
    <w:rsid w:val="00263247"/>
    <w:rsid w:val="0026343C"/>
    <w:rsid w:val="0026375E"/>
    <w:rsid w:val="00263AC7"/>
    <w:rsid w:val="00263EDF"/>
    <w:rsid w:val="00264039"/>
    <w:rsid w:val="0026423D"/>
    <w:rsid w:val="00264655"/>
    <w:rsid w:val="002647BD"/>
    <w:rsid w:val="00265686"/>
    <w:rsid w:val="00265A4E"/>
    <w:rsid w:val="00265BA8"/>
    <w:rsid w:val="002668CD"/>
    <w:rsid w:val="00266914"/>
    <w:rsid w:val="00267754"/>
    <w:rsid w:val="002679E3"/>
    <w:rsid w:val="00270419"/>
    <w:rsid w:val="002709FE"/>
    <w:rsid w:val="00271694"/>
    <w:rsid w:val="00271C77"/>
    <w:rsid w:val="00271DBC"/>
    <w:rsid w:val="002721BC"/>
    <w:rsid w:val="0027261D"/>
    <w:rsid w:val="002727C8"/>
    <w:rsid w:val="00272B87"/>
    <w:rsid w:val="00272F5C"/>
    <w:rsid w:val="00273383"/>
    <w:rsid w:val="0027342E"/>
    <w:rsid w:val="00273776"/>
    <w:rsid w:val="00273DA8"/>
    <w:rsid w:val="00274435"/>
    <w:rsid w:val="0027498E"/>
    <w:rsid w:val="002749FD"/>
    <w:rsid w:val="00274A33"/>
    <w:rsid w:val="00274D3D"/>
    <w:rsid w:val="00274F95"/>
    <w:rsid w:val="00275119"/>
    <w:rsid w:val="00275730"/>
    <w:rsid w:val="0027579E"/>
    <w:rsid w:val="00275C5A"/>
    <w:rsid w:val="00275C9B"/>
    <w:rsid w:val="00275EA8"/>
    <w:rsid w:val="00276046"/>
    <w:rsid w:val="002762D0"/>
    <w:rsid w:val="00276902"/>
    <w:rsid w:val="00277DE8"/>
    <w:rsid w:val="00277F14"/>
    <w:rsid w:val="00277F6D"/>
    <w:rsid w:val="002801BD"/>
    <w:rsid w:val="0028040E"/>
    <w:rsid w:val="002809F6"/>
    <w:rsid w:val="00280C76"/>
    <w:rsid w:val="00280EE4"/>
    <w:rsid w:val="00280F8D"/>
    <w:rsid w:val="00281014"/>
    <w:rsid w:val="002816AE"/>
    <w:rsid w:val="00281A5A"/>
    <w:rsid w:val="00281B4C"/>
    <w:rsid w:val="00281F79"/>
    <w:rsid w:val="00282124"/>
    <w:rsid w:val="002822E2"/>
    <w:rsid w:val="00282F84"/>
    <w:rsid w:val="00283265"/>
    <w:rsid w:val="00283591"/>
    <w:rsid w:val="00283713"/>
    <w:rsid w:val="0028374A"/>
    <w:rsid w:val="00284393"/>
    <w:rsid w:val="00284476"/>
    <w:rsid w:val="00284581"/>
    <w:rsid w:val="00284584"/>
    <w:rsid w:val="002847A8"/>
    <w:rsid w:val="00284D0A"/>
    <w:rsid w:val="00284EF7"/>
    <w:rsid w:val="0028506C"/>
    <w:rsid w:val="00285208"/>
    <w:rsid w:val="002852A0"/>
    <w:rsid w:val="00285925"/>
    <w:rsid w:val="0028612A"/>
    <w:rsid w:val="002864B0"/>
    <w:rsid w:val="002868C7"/>
    <w:rsid w:val="00286972"/>
    <w:rsid w:val="00286FC0"/>
    <w:rsid w:val="00286FCE"/>
    <w:rsid w:val="002879DD"/>
    <w:rsid w:val="00287BD3"/>
    <w:rsid w:val="00287EB5"/>
    <w:rsid w:val="002901B0"/>
    <w:rsid w:val="00290865"/>
    <w:rsid w:val="00290B31"/>
    <w:rsid w:val="00290B57"/>
    <w:rsid w:val="00290EA3"/>
    <w:rsid w:val="002913F5"/>
    <w:rsid w:val="00291AB1"/>
    <w:rsid w:val="00291F02"/>
    <w:rsid w:val="002925A0"/>
    <w:rsid w:val="00292921"/>
    <w:rsid w:val="00292B9D"/>
    <w:rsid w:val="00292E35"/>
    <w:rsid w:val="00293593"/>
    <w:rsid w:val="00293CAF"/>
    <w:rsid w:val="00293FE3"/>
    <w:rsid w:val="0029416F"/>
    <w:rsid w:val="00294628"/>
    <w:rsid w:val="00294D39"/>
    <w:rsid w:val="00294F70"/>
    <w:rsid w:val="0029528E"/>
    <w:rsid w:val="002952BD"/>
    <w:rsid w:val="002952C5"/>
    <w:rsid w:val="002957C7"/>
    <w:rsid w:val="00296206"/>
    <w:rsid w:val="00296A29"/>
    <w:rsid w:val="0029702A"/>
    <w:rsid w:val="0029736B"/>
    <w:rsid w:val="00297491"/>
    <w:rsid w:val="002976EC"/>
    <w:rsid w:val="002977EB"/>
    <w:rsid w:val="00297CFF"/>
    <w:rsid w:val="002A0571"/>
    <w:rsid w:val="002A0841"/>
    <w:rsid w:val="002A08AB"/>
    <w:rsid w:val="002A0F53"/>
    <w:rsid w:val="002A129F"/>
    <w:rsid w:val="002A14AB"/>
    <w:rsid w:val="002A1B84"/>
    <w:rsid w:val="002A1B9C"/>
    <w:rsid w:val="002A1E6A"/>
    <w:rsid w:val="002A1F16"/>
    <w:rsid w:val="002A250A"/>
    <w:rsid w:val="002A26F6"/>
    <w:rsid w:val="002A2B72"/>
    <w:rsid w:val="002A2E9E"/>
    <w:rsid w:val="002A2EA1"/>
    <w:rsid w:val="002A2F06"/>
    <w:rsid w:val="002A3127"/>
    <w:rsid w:val="002A322E"/>
    <w:rsid w:val="002A32E0"/>
    <w:rsid w:val="002A3F83"/>
    <w:rsid w:val="002A41F0"/>
    <w:rsid w:val="002A43CA"/>
    <w:rsid w:val="002A44DB"/>
    <w:rsid w:val="002A4CFB"/>
    <w:rsid w:val="002A4E00"/>
    <w:rsid w:val="002A50FF"/>
    <w:rsid w:val="002A52A1"/>
    <w:rsid w:val="002A53E9"/>
    <w:rsid w:val="002A5E64"/>
    <w:rsid w:val="002A6320"/>
    <w:rsid w:val="002A661B"/>
    <w:rsid w:val="002A6BAC"/>
    <w:rsid w:val="002A6E01"/>
    <w:rsid w:val="002A708F"/>
    <w:rsid w:val="002A7213"/>
    <w:rsid w:val="002A737C"/>
    <w:rsid w:val="002A77B6"/>
    <w:rsid w:val="002A7A6E"/>
    <w:rsid w:val="002A7E7F"/>
    <w:rsid w:val="002B0300"/>
    <w:rsid w:val="002B0751"/>
    <w:rsid w:val="002B0830"/>
    <w:rsid w:val="002B0835"/>
    <w:rsid w:val="002B0884"/>
    <w:rsid w:val="002B0D72"/>
    <w:rsid w:val="002B0E61"/>
    <w:rsid w:val="002B145E"/>
    <w:rsid w:val="002B16D4"/>
    <w:rsid w:val="002B18C4"/>
    <w:rsid w:val="002B1C1F"/>
    <w:rsid w:val="002B1C8D"/>
    <w:rsid w:val="002B1DBF"/>
    <w:rsid w:val="002B2516"/>
    <w:rsid w:val="002B2821"/>
    <w:rsid w:val="002B288F"/>
    <w:rsid w:val="002B335A"/>
    <w:rsid w:val="002B37C5"/>
    <w:rsid w:val="002B3818"/>
    <w:rsid w:val="002B3F11"/>
    <w:rsid w:val="002B40B8"/>
    <w:rsid w:val="002B432F"/>
    <w:rsid w:val="002B4856"/>
    <w:rsid w:val="002B49B0"/>
    <w:rsid w:val="002B4F1B"/>
    <w:rsid w:val="002B6057"/>
    <w:rsid w:val="002B6104"/>
    <w:rsid w:val="002B6CCE"/>
    <w:rsid w:val="002B6F1C"/>
    <w:rsid w:val="002B71B5"/>
    <w:rsid w:val="002B7D34"/>
    <w:rsid w:val="002B7F48"/>
    <w:rsid w:val="002C072D"/>
    <w:rsid w:val="002C073D"/>
    <w:rsid w:val="002C0C03"/>
    <w:rsid w:val="002C0FEF"/>
    <w:rsid w:val="002C1748"/>
    <w:rsid w:val="002C1EB3"/>
    <w:rsid w:val="002C24F3"/>
    <w:rsid w:val="002C2775"/>
    <w:rsid w:val="002C27C1"/>
    <w:rsid w:val="002C2841"/>
    <w:rsid w:val="002C2919"/>
    <w:rsid w:val="002C2AC2"/>
    <w:rsid w:val="002C2E55"/>
    <w:rsid w:val="002C2F0D"/>
    <w:rsid w:val="002C300C"/>
    <w:rsid w:val="002C3363"/>
    <w:rsid w:val="002C3619"/>
    <w:rsid w:val="002C36B2"/>
    <w:rsid w:val="002C4098"/>
    <w:rsid w:val="002C40A6"/>
    <w:rsid w:val="002C463D"/>
    <w:rsid w:val="002C4694"/>
    <w:rsid w:val="002C4816"/>
    <w:rsid w:val="002C5EB0"/>
    <w:rsid w:val="002C6049"/>
    <w:rsid w:val="002C6102"/>
    <w:rsid w:val="002C6727"/>
    <w:rsid w:val="002C698E"/>
    <w:rsid w:val="002C6AA5"/>
    <w:rsid w:val="002C6F1A"/>
    <w:rsid w:val="002C6F82"/>
    <w:rsid w:val="002C70C4"/>
    <w:rsid w:val="002C715C"/>
    <w:rsid w:val="002C75D3"/>
    <w:rsid w:val="002C7C09"/>
    <w:rsid w:val="002C7FEC"/>
    <w:rsid w:val="002D0EEB"/>
    <w:rsid w:val="002D11C1"/>
    <w:rsid w:val="002D1D52"/>
    <w:rsid w:val="002D1F74"/>
    <w:rsid w:val="002D2109"/>
    <w:rsid w:val="002D23D4"/>
    <w:rsid w:val="002D2517"/>
    <w:rsid w:val="002D271B"/>
    <w:rsid w:val="002D28DA"/>
    <w:rsid w:val="002D2EF3"/>
    <w:rsid w:val="002D325B"/>
    <w:rsid w:val="002D3ED7"/>
    <w:rsid w:val="002D42CB"/>
    <w:rsid w:val="002D4EAA"/>
    <w:rsid w:val="002D4EAE"/>
    <w:rsid w:val="002D4F11"/>
    <w:rsid w:val="002D5335"/>
    <w:rsid w:val="002D5B5C"/>
    <w:rsid w:val="002D60B2"/>
    <w:rsid w:val="002D60BC"/>
    <w:rsid w:val="002D6B23"/>
    <w:rsid w:val="002D6DCF"/>
    <w:rsid w:val="002D7577"/>
    <w:rsid w:val="002D786B"/>
    <w:rsid w:val="002E063B"/>
    <w:rsid w:val="002E0BB4"/>
    <w:rsid w:val="002E0C9F"/>
    <w:rsid w:val="002E11C4"/>
    <w:rsid w:val="002E16AD"/>
    <w:rsid w:val="002E18C8"/>
    <w:rsid w:val="002E2489"/>
    <w:rsid w:val="002E26D7"/>
    <w:rsid w:val="002E31DA"/>
    <w:rsid w:val="002E3263"/>
    <w:rsid w:val="002E366C"/>
    <w:rsid w:val="002E3752"/>
    <w:rsid w:val="002E390F"/>
    <w:rsid w:val="002E3C02"/>
    <w:rsid w:val="002E3D5B"/>
    <w:rsid w:val="002E40C5"/>
    <w:rsid w:val="002E41F1"/>
    <w:rsid w:val="002E43D6"/>
    <w:rsid w:val="002E4A8F"/>
    <w:rsid w:val="002E4AC3"/>
    <w:rsid w:val="002E5692"/>
    <w:rsid w:val="002E5A42"/>
    <w:rsid w:val="002E5EBB"/>
    <w:rsid w:val="002E636F"/>
    <w:rsid w:val="002E64E8"/>
    <w:rsid w:val="002E6B36"/>
    <w:rsid w:val="002E6C4E"/>
    <w:rsid w:val="002E6CE2"/>
    <w:rsid w:val="002E6D86"/>
    <w:rsid w:val="002E7099"/>
    <w:rsid w:val="002E7514"/>
    <w:rsid w:val="002E7D6C"/>
    <w:rsid w:val="002F053C"/>
    <w:rsid w:val="002F0D7A"/>
    <w:rsid w:val="002F103D"/>
    <w:rsid w:val="002F1A41"/>
    <w:rsid w:val="002F1ABB"/>
    <w:rsid w:val="002F1C6C"/>
    <w:rsid w:val="002F22F7"/>
    <w:rsid w:val="002F262F"/>
    <w:rsid w:val="002F27F2"/>
    <w:rsid w:val="002F29C5"/>
    <w:rsid w:val="002F2BF8"/>
    <w:rsid w:val="002F30D1"/>
    <w:rsid w:val="002F324A"/>
    <w:rsid w:val="002F35EB"/>
    <w:rsid w:val="002F3C38"/>
    <w:rsid w:val="002F40B4"/>
    <w:rsid w:val="002F59CA"/>
    <w:rsid w:val="002F645B"/>
    <w:rsid w:val="002F6A85"/>
    <w:rsid w:val="002F6C87"/>
    <w:rsid w:val="002F7517"/>
    <w:rsid w:val="002F7753"/>
    <w:rsid w:val="003005F7"/>
    <w:rsid w:val="00300AE2"/>
    <w:rsid w:val="00300C9E"/>
    <w:rsid w:val="00301017"/>
    <w:rsid w:val="003016C5"/>
    <w:rsid w:val="003024E3"/>
    <w:rsid w:val="00302A7E"/>
    <w:rsid w:val="00302CD1"/>
    <w:rsid w:val="003032CD"/>
    <w:rsid w:val="00303A78"/>
    <w:rsid w:val="00303AC9"/>
    <w:rsid w:val="0030426C"/>
    <w:rsid w:val="003045EC"/>
    <w:rsid w:val="00304861"/>
    <w:rsid w:val="003051A2"/>
    <w:rsid w:val="00305342"/>
    <w:rsid w:val="00305357"/>
    <w:rsid w:val="003053C0"/>
    <w:rsid w:val="00305D66"/>
    <w:rsid w:val="003063C4"/>
    <w:rsid w:val="0030649E"/>
    <w:rsid w:val="003068FC"/>
    <w:rsid w:val="0030709B"/>
    <w:rsid w:val="0030786C"/>
    <w:rsid w:val="00307AA1"/>
    <w:rsid w:val="00307C25"/>
    <w:rsid w:val="0031017A"/>
    <w:rsid w:val="003101B5"/>
    <w:rsid w:val="0031031A"/>
    <w:rsid w:val="00310529"/>
    <w:rsid w:val="00310770"/>
    <w:rsid w:val="00310793"/>
    <w:rsid w:val="00310981"/>
    <w:rsid w:val="00310AA3"/>
    <w:rsid w:val="00310C7A"/>
    <w:rsid w:val="00310EDA"/>
    <w:rsid w:val="003111FC"/>
    <w:rsid w:val="00311231"/>
    <w:rsid w:val="003112D1"/>
    <w:rsid w:val="0031166B"/>
    <w:rsid w:val="00311BFE"/>
    <w:rsid w:val="0031236D"/>
    <w:rsid w:val="00312664"/>
    <w:rsid w:val="00312F6E"/>
    <w:rsid w:val="003130B1"/>
    <w:rsid w:val="00313449"/>
    <w:rsid w:val="00313A63"/>
    <w:rsid w:val="00313B56"/>
    <w:rsid w:val="003144D2"/>
    <w:rsid w:val="00314918"/>
    <w:rsid w:val="00314BD0"/>
    <w:rsid w:val="00314C40"/>
    <w:rsid w:val="00315144"/>
    <w:rsid w:val="00315498"/>
    <w:rsid w:val="0031571D"/>
    <w:rsid w:val="00315808"/>
    <w:rsid w:val="0031580E"/>
    <w:rsid w:val="003159AC"/>
    <w:rsid w:val="00315A68"/>
    <w:rsid w:val="00316014"/>
    <w:rsid w:val="003160C9"/>
    <w:rsid w:val="00316118"/>
    <w:rsid w:val="003163D7"/>
    <w:rsid w:val="00317CE8"/>
    <w:rsid w:val="00320057"/>
    <w:rsid w:val="0032027C"/>
    <w:rsid w:val="00320B3E"/>
    <w:rsid w:val="00320CD6"/>
    <w:rsid w:val="00320EB4"/>
    <w:rsid w:val="00321069"/>
    <w:rsid w:val="00321C34"/>
    <w:rsid w:val="00321CDB"/>
    <w:rsid w:val="00321EA3"/>
    <w:rsid w:val="003220A9"/>
    <w:rsid w:val="0032225A"/>
    <w:rsid w:val="00322507"/>
    <w:rsid w:val="00322744"/>
    <w:rsid w:val="00322EE1"/>
    <w:rsid w:val="003239E5"/>
    <w:rsid w:val="00323CA3"/>
    <w:rsid w:val="00323E24"/>
    <w:rsid w:val="0032406C"/>
    <w:rsid w:val="00324DEB"/>
    <w:rsid w:val="003253A8"/>
    <w:rsid w:val="0032658F"/>
    <w:rsid w:val="003269C5"/>
    <w:rsid w:val="0032710A"/>
    <w:rsid w:val="0032762E"/>
    <w:rsid w:val="00327CF4"/>
    <w:rsid w:val="00330210"/>
    <w:rsid w:val="0033026F"/>
    <w:rsid w:val="00330319"/>
    <w:rsid w:val="00330951"/>
    <w:rsid w:val="00331066"/>
    <w:rsid w:val="0033156E"/>
    <w:rsid w:val="0033166F"/>
    <w:rsid w:val="003316AD"/>
    <w:rsid w:val="00332081"/>
    <w:rsid w:val="00332681"/>
    <w:rsid w:val="00332C74"/>
    <w:rsid w:val="0033316F"/>
    <w:rsid w:val="00333690"/>
    <w:rsid w:val="00333F76"/>
    <w:rsid w:val="00334414"/>
    <w:rsid w:val="003344CC"/>
    <w:rsid w:val="003346CC"/>
    <w:rsid w:val="003347C0"/>
    <w:rsid w:val="00334E46"/>
    <w:rsid w:val="00335134"/>
    <w:rsid w:val="00335165"/>
    <w:rsid w:val="0033581C"/>
    <w:rsid w:val="00335B56"/>
    <w:rsid w:val="00335FC0"/>
    <w:rsid w:val="00336057"/>
    <w:rsid w:val="003360DD"/>
    <w:rsid w:val="00336437"/>
    <w:rsid w:val="00336474"/>
    <w:rsid w:val="003366C9"/>
    <w:rsid w:val="00336A21"/>
    <w:rsid w:val="00336E1C"/>
    <w:rsid w:val="00336ED8"/>
    <w:rsid w:val="003371B0"/>
    <w:rsid w:val="003373D5"/>
    <w:rsid w:val="003374B3"/>
    <w:rsid w:val="00337775"/>
    <w:rsid w:val="00337E6F"/>
    <w:rsid w:val="00337E7B"/>
    <w:rsid w:val="00340622"/>
    <w:rsid w:val="0034066E"/>
    <w:rsid w:val="003406F3"/>
    <w:rsid w:val="00341014"/>
    <w:rsid w:val="003410A3"/>
    <w:rsid w:val="003414F1"/>
    <w:rsid w:val="003415A7"/>
    <w:rsid w:val="00342892"/>
    <w:rsid w:val="0034302B"/>
    <w:rsid w:val="00343E36"/>
    <w:rsid w:val="00343ECB"/>
    <w:rsid w:val="003440A8"/>
    <w:rsid w:val="003445BB"/>
    <w:rsid w:val="00344884"/>
    <w:rsid w:val="00345160"/>
    <w:rsid w:val="00345633"/>
    <w:rsid w:val="00345886"/>
    <w:rsid w:val="00345C25"/>
    <w:rsid w:val="00345DED"/>
    <w:rsid w:val="00345E1E"/>
    <w:rsid w:val="003460DD"/>
    <w:rsid w:val="00346114"/>
    <w:rsid w:val="0034626D"/>
    <w:rsid w:val="003465AA"/>
    <w:rsid w:val="00346966"/>
    <w:rsid w:val="00346D45"/>
    <w:rsid w:val="00346EAB"/>
    <w:rsid w:val="0034715A"/>
    <w:rsid w:val="003475B8"/>
    <w:rsid w:val="00347F75"/>
    <w:rsid w:val="00350670"/>
    <w:rsid w:val="00350892"/>
    <w:rsid w:val="00350C82"/>
    <w:rsid w:val="003511AC"/>
    <w:rsid w:val="0035133F"/>
    <w:rsid w:val="00351649"/>
    <w:rsid w:val="0035181C"/>
    <w:rsid w:val="003518EA"/>
    <w:rsid w:val="0035258C"/>
    <w:rsid w:val="00352665"/>
    <w:rsid w:val="00353A5D"/>
    <w:rsid w:val="00353A70"/>
    <w:rsid w:val="00353C52"/>
    <w:rsid w:val="00353C64"/>
    <w:rsid w:val="00353DF1"/>
    <w:rsid w:val="0035427F"/>
    <w:rsid w:val="00354432"/>
    <w:rsid w:val="00354C6E"/>
    <w:rsid w:val="00354E53"/>
    <w:rsid w:val="003554CE"/>
    <w:rsid w:val="0035561E"/>
    <w:rsid w:val="0035565C"/>
    <w:rsid w:val="003557DB"/>
    <w:rsid w:val="00355FF8"/>
    <w:rsid w:val="0035620E"/>
    <w:rsid w:val="00356567"/>
    <w:rsid w:val="00356BF8"/>
    <w:rsid w:val="00356DCB"/>
    <w:rsid w:val="003570A6"/>
    <w:rsid w:val="0035768A"/>
    <w:rsid w:val="00360421"/>
    <w:rsid w:val="00360563"/>
    <w:rsid w:val="00360C74"/>
    <w:rsid w:val="00360C85"/>
    <w:rsid w:val="00360DA2"/>
    <w:rsid w:val="003611B8"/>
    <w:rsid w:val="0036166B"/>
    <w:rsid w:val="00361AEE"/>
    <w:rsid w:val="0036207F"/>
    <w:rsid w:val="003622B6"/>
    <w:rsid w:val="00362A8F"/>
    <w:rsid w:val="00362CB6"/>
    <w:rsid w:val="00362F99"/>
    <w:rsid w:val="00363198"/>
    <w:rsid w:val="00363600"/>
    <w:rsid w:val="003636DE"/>
    <w:rsid w:val="00363724"/>
    <w:rsid w:val="00363780"/>
    <w:rsid w:val="00363833"/>
    <w:rsid w:val="00363D81"/>
    <w:rsid w:val="00364548"/>
    <w:rsid w:val="00364550"/>
    <w:rsid w:val="00364AB1"/>
    <w:rsid w:val="00364C99"/>
    <w:rsid w:val="00364EEB"/>
    <w:rsid w:val="003650EE"/>
    <w:rsid w:val="00365907"/>
    <w:rsid w:val="00365BD9"/>
    <w:rsid w:val="00365BF9"/>
    <w:rsid w:val="00366680"/>
    <w:rsid w:val="00366716"/>
    <w:rsid w:val="00366AAE"/>
    <w:rsid w:val="00366FA9"/>
    <w:rsid w:val="003674A5"/>
    <w:rsid w:val="003674BE"/>
    <w:rsid w:val="00367753"/>
    <w:rsid w:val="00367A09"/>
    <w:rsid w:val="00367A2F"/>
    <w:rsid w:val="00367C6D"/>
    <w:rsid w:val="003704E1"/>
    <w:rsid w:val="003704E9"/>
    <w:rsid w:val="00370F5B"/>
    <w:rsid w:val="003712B3"/>
    <w:rsid w:val="00371B97"/>
    <w:rsid w:val="00371C4B"/>
    <w:rsid w:val="00371C75"/>
    <w:rsid w:val="003728CB"/>
    <w:rsid w:val="00372A22"/>
    <w:rsid w:val="0037376A"/>
    <w:rsid w:val="00373CDC"/>
    <w:rsid w:val="00373E1E"/>
    <w:rsid w:val="003747E6"/>
    <w:rsid w:val="00374A5A"/>
    <w:rsid w:val="00374C83"/>
    <w:rsid w:val="00375043"/>
    <w:rsid w:val="003750E3"/>
    <w:rsid w:val="003753F0"/>
    <w:rsid w:val="0037553C"/>
    <w:rsid w:val="0037598E"/>
    <w:rsid w:val="00375BB4"/>
    <w:rsid w:val="00375DAD"/>
    <w:rsid w:val="00376192"/>
    <w:rsid w:val="0037634C"/>
    <w:rsid w:val="00376BE9"/>
    <w:rsid w:val="00376CE2"/>
    <w:rsid w:val="00376DE9"/>
    <w:rsid w:val="00377037"/>
    <w:rsid w:val="00377447"/>
    <w:rsid w:val="0037745F"/>
    <w:rsid w:val="00377705"/>
    <w:rsid w:val="00377D13"/>
    <w:rsid w:val="00377D65"/>
    <w:rsid w:val="00380271"/>
    <w:rsid w:val="003802F3"/>
    <w:rsid w:val="0038043A"/>
    <w:rsid w:val="0038064D"/>
    <w:rsid w:val="0038069D"/>
    <w:rsid w:val="00380A75"/>
    <w:rsid w:val="00380D96"/>
    <w:rsid w:val="00380FD2"/>
    <w:rsid w:val="00381189"/>
    <w:rsid w:val="0038120D"/>
    <w:rsid w:val="00381453"/>
    <w:rsid w:val="00381499"/>
    <w:rsid w:val="00382B4D"/>
    <w:rsid w:val="00383384"/>
    <w:rsid w:val="0038365C"/>
    <w:rsid w:val="0038397B"/>
    <w:rsid w:val="00383C50"/>
    <w:rsid w:val="00384547"/>
    <w:rsid w:val="003854C3"/>
    <w:rsid w:val="003854DC"/>
    <w:rsid w:val="0038599B"/>
    <w:rsid w:val="003859D2"/>
    <w:rsid w:val="0038670E"/>
    <w:rsid w:val="0038686C"/>
    <w:rsid w:val="00386B18"/>
    <w:rsid w:val="0038765F"/>
    <w:rsid w:val="003877CE"/>
    <w:rsid w:val="003877FD"/>
    <w:rsid w:val="00390250"/>
    <w:rsid w:val="00390684"/>
    <w:rsid w:val="003907E1"/>
    <w:rsid w:val="00390C9D"/>
    <w:rsid w:val="00390E3C"/>
    <w:rsid w:val="003914CA"/>
    <w:rsid w:val="003917B0"/>
    <w:rsid w:val="00391E66"/>
    <w:rsid w:val="0039200F"/>
    <w:rsid w:val="00392041"/>
    <w:rsid w:val="00392D48"/>
    <w:rsid w:val="0039325F"/>
    <w:rsid w:val="00394523"/>
    <w:rsid w:val="00394DE1"/>
    <w:rsid w:val="00394E35"/>
    <w:rsid w:val="00394E7D"/>
    <w:rsid w:val="0039543E"/>
    <w:rsid w:val="00395482"/>
    <w:rsid w:val="003954D4"/>
    <w:rsid w:val="00395851"/>
    <w:rsid w:val="00395A34"/>
    <w:rsid w:val="00395E10"/>
    <w:rsid w:val="00396093"/>
    <w:rsid w:val="00396409"/>
    <w:rsid w:val="00396411"/>
    <w:rsid w:val="00396525"/>
    <w:rsid w:val="00396728"/>
    <w:rsid w:val="003967A8"/>
    <w:rsid w:val="00396D30"/>
    <w:rsid w:val="00396DA1"/>
    <w:rsid w:val="00396E31"/>
    <w:rsid w:val="00396FD0"/>
    <w:rsid w:val="003978D0"/>
    <w:rsid w:val="003979D0"/>
    <w:rsid w:val="00397E25"/>
    <w:rsid w:val="003A00B7"/>
    <w:rsid w:val="003A0590"/>
    <w:rsid w:val="003A06A6"/>
    <w:rsid w:val="003A091F"/>
    <w:rsid w:val="003A09B7"/>
    <w:rsid w:val="003A0C90"/>
    <w:rsid w:val="003A0ED9"/>
    <w:rsid w:val="003A1301"/>
    <w:rsid w:val="003A1700"/>
    <w:rsid w:val="003A1A7A"/>
    <w:rsid w:val="003A20E0"/>
    <w:rsid w:val="003A2211"/>
    <w:rsid w:val="003A2779"/>
    <w:rsid w:val="003A2D38"/>
    <w:rsid w:val="003A32C6"/>
    <w:rsid w:val="003A337D"/>
    <w:rsid w:val="003A3593"/>
    <w:rsid w:val="003A41BA"/>
    <w:rsid w:val="003A4630"/>
    <w:rsid w:val="003A4753"/>
    <w:rsid w:val="003A4782"/>
    <w:rsid w:val="003A4808"/>
    <w:rsid w:val="003A49ED"/>
    <w:rsid w:val="003A5637"/>
    <w:rsid w:val="003A5B87"/>
    <w:rsid w:val="003A5BE1"/>
    <w:rsid w:val="003A633C"/>
    <w:rsid w:val="003A6646"/>
    <w:rsid w:val="003A672D"/>
    <w:rsid w:val="003A67F3"/>
    <w:rsid w:val="003A68CA"/>
    <w:rsid w:val="003A6A20"/>
    <w:rsid w:val="003A6D1A"/>
    <w:rsid w:val="003A6E00"/>
    <w:rsid w:val="003A6F5D"/>
    <w:rsid w:val="003A7CE2"/>
    <w:rsid w:val="003B016A"/>
    <w:rsid w:val="003B040F"/>
    <w:rsid w:val="003B042E"/>
    <w:rsid w:val="003B05A0"/>
    <w:rsid w:val="003B06FC"/>
    <w:rsid w:val="003B0AE1"/>
    <w:rsid w:val="003B0DC5"/>
    <w:rsid w:val="003B0F55"/>
    <w:rsid w:val="003B10F2"/>
    <w:rsid w:val="003B1529"/>
    <w:rsid w:val="003B1815"/>
    <w:rsid w:val="003B1CDA"/>
    <w:rsid w:val="003B1D45"/>
    <w:rsid w:val="003B2015"/>
    <w:rsid w:val="003B2991"/>
    <w:rsid w:val="003B2A37"/>
    <w:rsid w:val="003B3344"/>
    <w:rsid w:val="003B344E"/>
    <w:rsid w:val="003B37A9"/>
    <w:rsid w:val="003B3B83"/>
    <w:rsid w:val="003B4001"/>
    <w:rsid w:val="003B41D2"/>
    <w:rsid w:val="003B4B79"/>
    <w:rsid w:val="003B4C04"/>
    <w:rsid w:val="003B4E45"/>
    <w:rsid w:val="003B508C"/>
    <w:rsid w:val="003B6D50"/>
    <w:rsid w:val="003B6E14"/>
    <w:rsid w:val="003B75B8"/>
    <w:rsid w:val="003B78FD"/>
    <w:rsid w:val="003B7ECD"/>
    <w:rsid w:val="003C0969"/>
    <w:rsid w:val="003C0B22"/>
    <w:rsid w:val="003C0B81"/>
    <w:rsid w:val="003C0DE2"/>
    <w:rsid w:val="003C1512"/>
    <w:rsid w:val="003C195A"/>
    <w:rsid w:val="003C199F"/>
    <w:rsid w:val="003C1A62"/>
    <w:rsid w:val="003C1A8F"/>
    <w:rsid w:val="003C1C52"/>
    <w:rsid w:val="003C23E3"/>
    <w:rsid w:val="003C2646"/>
    <w:rsid w:val="003C29BB"/>
    <w:rsid w:val="003C29EA"/>
    <w:rsid w:val="003C2E26"/>
    <w:rsid w:val="003C3022"/>
    <w:rsid w:val="003C309A"/>
    <w:rsid w:val="003C33B2"/>
    <w:rsid w:val="003C33F7"/>
    <w:rsid w:val="003C3475"/>
    <w:rsid w:val="003C375D"/>
    <w:rsid w:val="003C3967"/>
    <w:rsid w:val="003C3B3A"/>
    <w:rsid w:val="003C401D"/>
    <w:rsid w:val="003C412B"/>
    <w:rsid w:val="003C41B0"/>
    <w:rsid w:val="003C485F"/>
    <w:rsid w:val="003C48FC"/>
    <w:rsid w:val="003C4988"/>
    <w:rsid w:val="003C4BA7"/>
    <w:rsid w:val="003C4C7F"/>
    <w:rsid w:val="003C4E45"/>
    <w:rsid w:val="003C4E69"/>
    <w:rsid w:val="003C50DC"/>
    <w:rsid w:val="003C517E"/>
    <w:rsid w:val="003C5FE5"/>
    <w:rsid w:val="003C6AB1"/>
    <w:rsid w:val="003C7012"/>
    <w:rsid w:val="003C7462"/>
    <w:rsid w:val="003C748E"/>
    <w:rsid w:val="003C7B4A"/>
    <w:rsid w:val="003C7BAF"/>
    <w:rsid w:val="003C7C48"/>
    <w:rsid w:val="003D012A"/>
    <w:rsid w:val="003D03EE"/>
    <w:rsid w:val="003D0904"/>
    <w:rsid w:val="003D0E28"/>
    <w:rsid w:val="003D1828"/>
    <w:rsid w:val="003D1C81"/>
    <w:rsid w:val="003D1E80"/>
    <w:rsid w:val="003D2049"/>
    <w:rsid w:val="003D222C"/>
    <w:rsid w:val="003D2422"/>
    <w:rsid w:val="003D26F5"/>
    <w:rsid w:val="003D2CD1"/>
    <w:rsid w:val="003D2E48"/>
    <w:rsid w:val="003D30E8"/>
    <w:rsid w:val="003D3197"/>
    <w:rsid w:val="003D3B00"/>
    <w:rsid w:val="003D3EE6"/>
    <w:rsid w:val="003D461B"/>
    <w:rsid w:val="003D47FD"/>
    <w:rsid w:val="003D4844"/>
    <w:rsid w:val="003D4B3C"/>
    <w:rsid w:val="003D4D72"/>
    <w:rsid w:val="003D5114"/>
    <w:rsid w:val="003D513B"/>
    <w:rsid w:val="003D543D"/>
    <w:rsid w:val="003D55C6"/>
    <w:rsid w:val="003D586C"/>
    <w:rsid w:val="003D6613"/>
    <w:rsid w:val="003D688D"/>
    <w:rsid w:val="003D6B49"/>
    <w:rsid w:val="003D6BAA"/>
    <w:rsid w:val="003D6BD3"/>
    <w:rsid w:val="003D7349"/>
    <w:rsid w:val="003D754E"/>
    <w:rsid w:val="003D7D11"/>
    <w:rsid w:val="003E077E"/>
    <w:rsid w:val="003E1037"/>
    <w:rsid w:val="003E15B2"/>
    <w:rsid w:val="003E1AF2"/>
    <w:rsid w:val="003E1CC0"/>
    <w:rsid w:val="003E1DC2"/>
    <w:rsid w:val="003E1DD0"/>
    <w:rsid w:val="003E1EC2"/>
    <w:rsid w:val="003E209A"/>
    <w:rsid w:val="003E2916"/>
    <w:rsid w:val="003E29A4"/>
    <w:rsid w:val="003E2DFE"/>
    <w:rsid w:val="003E2E0F"/>
    <w:rsid w:val="003E2FBF"/>
    <w:rsid w:val="003E357A"/>
    <w:rsid w:val="003E3957"/>
    <w:rsid w:val="003E3A0F"/>
    <w:rsid w:val="003E3BE0"/>
    <w:rsid w:val="003E40E4"/>
    <w:rsid w:val="003E4257"/>
    <w:rsid w:val="003E4A48"/>
    <w:rsid w:val="003E4D10"/>
    <w:rsid w:val="003E551B"/>
    <w:rsid w:val="003E5521"/>
    <w:rsid w:val="003E588B"/>
    <w:rsid w:val="003E5A19"/>
    <w:rsid w:val="003E5AD2"/>
    <w:rsid w:val="003E5D5E"/>
    <w:rsid w:val="003E5E39"/>
    <w:rsid w:val="003E606F"/>
    <w:rsid w:val="003E60EE"/>
    <w:rsid w:val="003E6672"/>
    <w:rsid w:val="003E677C"/>
    <w:rsid w:val="003E68F0"/>
    <w:rsid w:val="003E6976"/>
    <w:rsid w:val="003E6CAB"/>
    <w:rsid w:val="003E7101"/>
    <w:rsid w:val="003E75C4"/>
    <w:rsid w:val="003E7BA9"/>
    <w:rsid w:val="003E7C8B"/>
    <w:rsid w:val="003F0ED3"/>
    <w:rsid w:val="003F1064"/>
    <w:rsid w:val="003F1307"/>
    <w:rsid w:val="003F1730"/>
    <w:rsid w:val="003F1A95"/>
    <w:rsid w:val="003F1D08"/>
    <w:rsid w:val="003F2209"/>
    <w:rsid w:val="003F2517"/>
    <w:rsid w:val="003F2631"/>
    <w:rsid w:val="003F2A92"/>
    <w:rsid w:val="003F2DFE"/>
    <w:rsid w:val="003F3154"/>
    <w:rsid w:val="003F330B"/>
    <w:rsid w:val="003F344C"/>
    <w:rsid w:val="003F37CC"/>
    <w:rsid w:val="003F4156"/>
    <w:rsid w:val="003F4357"/>
    <w:rsid w:val="003F475A"/>
    <w:rsid w:val="003F47CE"/>
    <w:rsid w:val="003F56B4"/>
    <w:rsid w:val="003F5967"/>
    <w:rsid w:val="003F624A"/>
    <w:rsid w:val="003F7044"/>
    <w:rsid w:val="003F7369"/>
    <w:rsid w:val="003F79B1"/>
    <w:rsid w:val="003F7BAE"/>
    <w:rsid w:val="003F7D16"/>
    <w:rsid w:val="003F7F1C"/>
    <w:rsid w:val="00400464"/>
    <w:rsid w:val="0040046C"/>
    <w:rsid w:val="00400B72"/>
    <w:rsid w:val="00400D66"/>
    <w:rsid w:val="00400E45"/>
    <w:rsid w:val="00401156"/>
    <w:rsid w:val="00401339"/>
    <w:rsid w:val="004015E9"/>
    <w:rsid w:val="0040160F"/>
    <w:rsid w:val="004017A1"/>
    <w:rsid w:val="00401827"/>
    <w:rsid w:val="00401AC1"/>
    <w:rsid w:val="00401FAC"/>
    <w:rsid w:val="00402258"/>
    <w:rsid w:val="004022C5"/>
    <w:rsid w:val="004022C7"/>
    <w:rsid w:val="00402C3A"/>
    <w:rsid w:val="00402CA1"/>
    <w:rsid w:val="00402DA2"/>
    <w:rsid w:val="00402F49"/>
    <w:rsid w:val="0040322D"/>
    <w:rsid w:val="00403AD0"/>
    <w:rsid w:val="00403BA9"/>
    <w:rsid w:val="00403DB5"/>
    <w:rsid w:val="00404089"/>
    <w:rsid w:val="004041C3"/>
    <w:rsid w:val="004042FD"/>
    <w:rsid w:val="00404400"/>
    <w:rsid w:val="0040454D"/>
    <w:rsid w:val="0040462F"/>
    <w:rsid w:val="00404685"/>
    <w:rsid w:val="00404838"/>
    <w:rsid w:val="00404891"/>
    <w:rsid w:val="00404899"/>
    <w:rsid w:val="004048EC"/>
    <w:rsid w:val="00404AA9"/>
    <w:rsid w:val="00404AB5"/>
    <w:rsid w:val="00404F24"/>
    <w:rsid w:val="0040521F"/>
    <w:rsid w:val="00405562"/>
    <w:rsid w:val="0040563C"/>
    <w:rsid w:val="00405A44"/>
    <w:rsid w:val="00405DF4"/>
    <w:rsid w:val="00405FE4"/>
    <w:rsid w:val="00406A4B"/>
    <w:rsid w:val="00406DA9"/>
    <w:rsid w:val="00407219"/>
    <w:rsid w:val="0040743C"/>
    <w:rsid w:val="004077FC"/>
    <w:rsid w:val="0040789C"/>
    <w:rsid w:val="00407B4C"/>
    <w:rsid w:val="00407F48"/>
    <w:rsid w:val="0041061C"/>
    <w:rsid w:val="00410708"/>
    <w:rsid w:val="00410867"/>
    <w:rsid w:val="004109F8"/>
    <w:rsid w:val="00410EC7"/>
    <w:rsid w:val="00410F71"/>
    <w:rsid w:val="00411239"/>
    <w:rsid w:val="004112C6"/>
    <w:rsid w:val="0041159E"/>
    <w:rsid w:val="00411D85"/>
    <w:rsid w:val="00412159"/>
    <w:rsid w:val="004125E8"/>
    <w:rsid w:val="004127E9"/>
    <w:rsid w:val="00413E45"/>
    <w:rsid w:val="004140E4"/>
    <w:rsid w:val="004143BA"/>
    <w:rsid w:val="00414476"/>
    <w:rsid w:val="0041478E"/>
    <w:rsid w:val="00414AD3"/>
    <w:rsid w:val="00415213"/>
    <w:rsid w:val="004153FB"/>
    <w:rsid w:val="00415482"/>
    <w:rsid w:val="004156E5"/>
    <w:rsid w:val="00415816"/>
    <w:rsid w:val="00415F27"/>
    <w:rsid w:val="00416280"/>
    <w:rsid w:val="00416368"/>
    <w:rsid w:val="004163DD"/>
    <w:rsid w:val="004164C6"/>
    <w:rsid w:val="00416FC8"/>
    <w:rsid w:val="004174E2"/>
    <w:rsid w:val="004178B9"/>
    <w:rsid w:val="00420055"/>
    <w:rsid w:val="00420515"/>
    <w:rsid w:val="00420884"/>
    <w:rsid w:val="00420B9F"/>
    <w:rsid w:val="00421355"/>
    <w:rsid w:val="004219AD"/>
    <w:rsid w:val="00421C64"/>
    <w:rsid w:val="00422062"/>
    <w:rsid w:val="00422227"/>
    <w:rsid w:val="00422311"/>
    <w:rsid w:val="00422674"/>
    <w:rsid w:val="00422829"/>
    <w:rsid w:val="0042294D"/>
    <w:rsid w:val="004229DB"/>
    <w:rsid w:val="00423258"/>
    <w:rsid w:val="0042381F"/>
    <w:rsid w:val="00423B6F"/>
    <w:rsid w:val="00423B77"/>
    <w:rsid w:val="00423D3C"/>
    <w:rsid w:val="00423FDA"/>
    <w:rsid w:val="00424289"/>
    <w:rsid w:val="004244A3"/>
    <w:rsid w:val="00424CC6"/>
    <w:rsid w:val="00425017"/>
    <w:rsid w:val="00425187"/>
    <w:rsid w:val="004258E8"/>
    <w:rsid w:val="00425AB5"/>
    <w:rsid w:val="00425C96"/>
    <w:rsid w:val="00425D8B"/>
    <w:rsid w:val="00425D91"/>
    <w:rsid w:val="0042620E"/>
    <w:rsid w:val="00426522"/>
    <w:rsid w:val="004265E4"/>
    <w:rsid w:val="004268CA"/>
    <w:rsid w:val="00426AC4"/>
    <w:rsid w:val="00426F22"/>
    <w:rsid w:val="004275CE"/>
    <w:rsid w:val="00427764"/>
    <w:rsid w:val="00427A14"/>
    <w:rsid w:val="00427ABC"/>
    <w:rsid w:val="00427B5C"/>
    <w:rsid w:val="00427B9C"/>
    <w:rsid w:val="00427DCD"/>
    <w:rsid w:val="00427F3D"/>
    <w:rsid w:val="00427FE7"/>
    <w:rsid w:val="00430228"/>
    <w:rsid w:val="004306A5"/>
    <w:rsid w:val="004308E0"/>
    <w:rsid w:val="004312DB"/>
    <w:rsid w:val="0043165B"/>
    <w:rsid w:val="004319F8"/>
    <w:rsid w:val="00431A52"/>
    <w:rsid w:val="004320CD"/>
    <w:rsid w:val="00432D22"/>
    <w:rsid w:val="00432D9A"/>
    <w:rsid w:val="00433044"/>
    <w:rsid w:val="00433986"/>
    <w:rsid w:val="00433E8A"/>
    <w:rsid w:val="00434072"/>
    <w:rsid w:val="00434447"/>
    <w:rsid w:val="0043461E"/>
    <w:rsid w:val="004348AC"/>
    <w:rsid w:val="00435787"/>
    <w:rsid w:val="004358E9"/>
    <w:rsid w:val="00435E00"/>
    <w:rsid w:val="0043607B"/>
    <w:rsid w:val="00436621"/>
    <w:rsid w:val="00436EE5"/>
    <w:rsid w:val="0043720B"/>
    <w:rsid w:val="00437A28"/>
    <w:rsid w:val="00437D19"/>
    <w:rsid w:val="0044006B"/>
    <w:rsid w:val="00440294"/>
    <w:rsid w:val="004404BF"/>
    <w:rsid w:val="0044087C"/>
    <w:rsid w:val="00440AD0"/>
    <w:rsid w:val="00440BB6"/>
    <w:rsid w:val="00441310"/>
    <w:rsid w:val="004414D2"/>
    <w:rsid w:val="0044178E"/>
    <w:rsid w:val="0044199E"/>
    <w:rsid w:val="00441C81"/>
    <w:rsid w:val="00441C8F"/>
    <w:rsid w:val="0044263D"/>
    <w:rsid w:val="00442AA0"/>
    <w:rsid w:val="00442BD8"/>
    <w:rsid w:val="00442CF6"/>
    <w:rsid w:val="00442F2E"/>
    <w:rsid w:val="00443C80"/>
    <w:rsid w:val="00443EC0"/>
    <w:rsid w:val="004442A7"/>
    <w:rsid w:val="004443A7"/>
    <w:rsid w:val="00444EA9"/>
    <w:rsid w:val="004453B8"/>
    <w:rsid w:val="004457E1"/>
    <w:rsid w:val="0044619D"/>
    <w:rsid w:val="004461D5"/>
    <w:rsid w:val="004464EB"/>
    <w:rsid w:val="0044692E"/>
    <w:rsid w:val="00446B98"/>
    <w:rsid w:val="0044759A"/>
    <w:rsid w:val="0044759C"/>
    <w:rsid w:val="00447622"/>
    <w:rsid w:val="004478D4"/>
    <w:rsid w:val="004501B1"/>
    <w:rsid w:val="00450DD8"/>
    <w:rsid w:val="00450E02"/>
    <w:rsid w:val="00450EC3"/>
    <w:rsid w:val="00450FD1"/>
    <w:rsid w:val="004510AE"/>
    <w:rsid w:val="00451298"/>
    <w:rsid w:val="004516E6"/>
    <w:rsid w:val="00451E6B"/>
    <w:rsid w:val="00452110"/>
    <w:rsid w:val="004524B2"/>
    <w:rsid w:val="004528D7"/>
    <w:rsid w:val="00452A58"/>
    <w:rsid w:val="00453282"/>
    <w:rsid w:val="00453CE2"/>
    <w:rsid w:val="0045416A"/>
    <w:rsid w:val="0045497A"/>
    <w:rsid w:val="0045510D"/>
    <w:rsid w:val="0045547B"/>
    <w:rsid w:val="00455532"/>
    <w:rsid w:val="0045568C"/>
    <w:rsid w:val="004559D6"/>
    <w:rsid w:val="00455D45"/>
    <w:rsid w:val="00455F31"/>
    <w:rsid w:val="00455F78"/>
    <w:rsid w:val="0045631D"/>
    <w:rsid w:val="00456532"/>
    <w:rsid w:val="004567F1"/>
    <w:rsid w:val="004572A2"/>
    <w:rsid w:val="004575FD"/>
    <w:rsid w:val="00457863"/>
    <w:rsid w:val="00457AF3"/>
    <w:rsid w:val="0046070B"/>
    <w:rsid w:val="00460C57"/>
    <w:rsid w:val="00460D9D"/>
    <w:rsid w:val="0046106D"/>
    <w:rsid w:val="00461470"/>
    <w:rsid w:val="004614B4"/>
    <w:rsid w:val="0046179A"/>
    <w:rsid w:val="004619D2"/>
    <w:rsid w:val="00461EB5"/>
    <w:rsid w:val="00461FEA"/>
    <w:rsid w:val="004620DC"/>
    <w:rsid w:val="004620E4"/>
    <w:rsid w:val="00462BF8"/>
    <w:rsid w:val="00462D36"/>
    <w:rsid w:val="00463A68"/>
    <w:rsid w:val="00463C39"/>
    <w:rsid w:val="00463D42"/>
    <w:rsid w:val="00463DB6"/>
    <w:rsid w:val="00463E9B"/>
    <w:rsid w:val="00463F65"/>
    <w:rsid w:val="0046430A"/>
    <w:rsid w:val="00464432"/>
    <w:rsid w:val="00464595"/>
    <w:rsid w:val="004649E1"/>
    <w:rsid w:val="00464B6A"/>
    <w:rsid w:val="00464EB4"/>
    <w:rsid w:val="00464FF8"/>
    <w:rsid w:val="00465318"/>
    <w:rsid w:val="004656BC"/>
    <w:rsid w:val="00465742"/>
    <w:rsid w:val="0046581C"/>
    <w:rsid w:val="00465BDD"/>
    <w:rsid w:val="00466097"/>
    <w:rsid w:val="004662D1"/>
    <w:rsid w:val="00466706"/>
    <w:rsid w:val="004669F2"/>
    <w:rsid w:val="00466C79"/>
    <w:rsid w:val="004673E1"/>
    <w:rsid w:val="0046747C"/>
    <w:rsid w:val="004675C5"/>
    <w:rsid w:val="004702EE"/>
    <w:rsid w:val="004703E5"/>
    <w:rsid w:val="00470C3A"/>
    <w:rsid w:val="00470E34"/>
    <w:rsid w:val="0047109D"/>
    <w:rsid w:val="004710B5"/>
    <w:rsid w:val="004713FA"/>
    <w:rsid w:val="00471917"/>
    <w:rsid w:val="004719D6"/>
    <w:rsid w:val="00471DAB"/>
    <w:rsid w:val="00472544"/>
    <w:rsid w:val="004726D4"/>
    <w:rsid w:val="004726FA"/>
    <w:rsid w:val="00472921"/>
    <w:rsid w:val="00472A08"/>
    <w:rsid w:val="00472A19"/>
    <w:rsid w:val="00472CD9"/>
    <w:rsid w:val="00472E76"/>
    <w:rsid w:val="00473369"/>
    <w:rsid w:val="00473F1D"/>
    <w:rsid w:val="00473FD0"/>
    <w:rsid w:val="00474385"/>
    <w:rsid w:val="0047492A"/>
    <w:rsid w:val="00474DCD"/>
    <w:rsid w:val="00474FEF"/>
    <w:rsid w:val="0047502A"/>
    <w:rsid w:val="004752C2"/>
    <w:rsid w:val="00475479"/>
    <w:rsid w:val="00475525"/>
    <w:rsid w:val="00475542"/>
    <w:rsid w:val="00475CDF"/>
    <w:rsid w:val="00476636"/>
    <w:rsid w:val="0047711C"/>
    <w:rsid w:val="00480015"/>
    <w:rsid w:val="0048009B"/>
    <w:rsid w:val="00480113"/>
    <w:rsid w:val="004802CF"/>
    <w:rsid w:val="004802F3"/>
    <w:rsid w:val="004804F1"/>
    <w:rsid w:val="00480B70"/>
    <w:rsid w:val="00480C55"/>
    <w:rsid w:val="00480D53"/>
    <w:rsid w:val="00481EC2"/>
    <w:rsid w:val="004825C6"/>
    <w:rsid w:val="00482D27"/>
    <w:rsid w:val="00482E0B"/>
    <w:rsid w:val="0048346E"/>
    <w:rsid w:val="004834EE"/>
    <w:rsid w:val="004836C4"/>
    <w:rsid w:val="00483C0B"/>
    <w:rsid w:val="00483FC3"/>
    <w:rsid w:val="0048404C"/>
    <w:rsid w:val="0048418C"/>
    <w:rsid w:val="004852F3"/>
    <w:rsid w:val="0048530F"/>
    <w:rsid w:val="00485414"/>
    <w:rsid w:val="004854FE"/>
    <w:rsid w:val="004856DE"/>
    <w:rsid w:val="004857DB"/>
    <w:rsid w:val="00485AE7"/>
    <w:rsid w:val="00485D7F"/>
    <w:rsid w:val="00486346"/>
    <w:rsid w:val="004866E1"/>
    <w:rsid w:val="004867E2"/>
    <w:rsid w:val="00487164"/>
    <w:rsid w:val="00487190"/>
    <w:rsid w:val="004871A3"/>
    <w:rsid w:val="00487773"/>
    <w:rsid w:val="004878B0"/>
    <w:rsid w:val="00487997"/>
    <w:rsid w:val="00487A49"/>
    <w:rsid w:val="00487D90"/>
    <w:rsid w:val="00487E24"/>
    <w:rsid w:val="00490C49"/>
    <w:rsid w:val="00490C96"/>
    <w:rsid w:val="00491B3A"/>
    <w:rsid w:val="00491BA8"/>
    <w:rsid w:val="00491BD7"/>
    <w:rsid w:val="00491CEB"/>
    <w:rsid w:val="00491EE0"/>
    <w:rsid w:val="0049240C"/>
    <w:rsid w:val="004924E7"/>
    <w:rsid w:val="004925F9"/>
    <w:rsid w:val="004926F6"/>
    <w:rsid w:val="00492BBF"/>
    <w:rsid w:val="00492CFD"/>
    <w:rsid w:val="00492E68"/>
    <w:rsid w:val="00493201"/>
    <w:rsid w:val="004933D3"/>
    <w:rsid w:val="004938DF"/>
    <w:rsid w:val="004939CA"/>
    <w:rsid w:val="00493F97"/>
    <w:rsid w:val="00494673"/>
    <w:rsid w:val="00494EE6"/>
    <w:rsid w:val="00494FA1"/>
    <w:rsid w:val="00495230"/>
    <w:rsid w:val="0049548E"/>
    <w:rsid w:val="00495545"/>
    <w:rsid w:val="004962D2"/>
    <w:rsid w:val="004963B2"/>
    <w:rsid w:val="00496B9A"/>
    <w:rsid w:val="00496BBE"/>
    <w:rsid w:val="0049746F"/>
    <w:rsid w:val="00497620"/>
    <w:rsid w:val="00497C74"/>
    <w:rsid w:val="00497E12"/>
    <w:rsid w:val="004A045C"/>
    <w:rsid w:val="004A0710"/>
    <w:rsid w:val="004A077F"/>
    <w:rsid w:val="004A0DA1"/>
    <w:rsid w:val="004A11CE"/>
    <w:rsid w:val="004A14E7"/>
    <w:rsid w:val="004A1A15"/>
    <w:rsid w:val="004A1DA7"/>
    <w:rsid w:val="004A1DAB"/>
    <w:rsid w:val="004A1F26"/>
    <w:rsid w:val="004A269A"/>
    <w:rsid w:val="004A2755"/>
    <w:rsid w:val="004A27A9"/>
    <w:rsid w:val="004A2F94"/>
    <w:rsid w:val="004A3274"/>
    <w:rsid w:val="004A34A3"/>
    <w:rsid w:val="004A378B"/>
    <w:rsid w:val="004A3B6D"/>
    <w:rsid w:val="004A3CE1"/>
    <w:rsid w:val="004A3E52"/>
    <w:rsid w:val="004A4073"/>
    <w:rsid w:val="004A475D"/>
    <w:rsid w:val="004A54D4"/>
    <w:rsid w:val="004A54DB"/>
    <w:rsid w:val="004A5524"/>
    <w:rsid w:val="004A56D7"/>
    <w:rsid w:val="004A5BBA"/>
    <w:rsid w:val="004A5CAA"/>
    <w:rsid w:val="004A5EDE"/>
    <w:rsid w:val="004A652C"/>
    <w:rsid w:val="004A6597"/>
    <w:rsid w:val="004A6A8F"/>
    <w:rsid w:val="004A6DB2"/>
    <w:rsid w:val="004A7198"/>
    <w:rsid w:val="004A771B"/>
    <w:rsid w:val="004A7ACE"/>
    <w:rsid w:val="004B017C"/>
    <w:rsid w:val="004B01F7"/>
    <w:rsid w:val="004B02E2"/>
    <w:rsid w:val="004B0569"/>
    <w:rsid w:val="004B0D5F"/>
    <w:rsid w:val="004B1CB4"/>
    <w:rsid w:val="004B1E1B"/>
    <w:rsid w:val="004B23E2"/>
    <w:rsid w:val="004B2866"/>
    <w:rsid w:val="004B2DDA"/>
    <w:rsid w:val="004B2F18"/>
    <w:rsid w:val="004B34A1"/>
    <w:rsid w:val="004B34A7"/>
    <w:rsid w:val="004B3BFE"/>
    <w:rsid w:val="004B3DDB"/>
    <w:rsid w:val="004B44FD"/>
    <w:rsid w:val="004B4D81"/>
    <w:rsid w:val="004B529B"/>
    <w:rsid w:val="004B544D"/>
    <w:rsid w:val="004B548D"/>
    <w:rsid w:val="004B5545"/>
    <w:rsid w:val="004B5587"/>
    <w:rsid w:val="004B5CFC"/>
    <w:rsid w:val="004B67AD"/>
    <w:rsid w:val="004B67EB"/>
    <w:rsid w:val="004B68B8"/>
    <w:rsid w:val="004B6B6F"/>
    <w:rsid w:val="004B7304"/>
    <w:rsid w:val="004B774D"/>
    <w:rsid w:val="004B7D21"/>
    <w:rsid w:val="004C00ED"/>
    <w:rsid w:val="004C0181"/>
    <w:rsid w:val="004C05A1"/>
    <w:rsid w:val="004C067D"/>
    <w:rsid w:val="004C0863"/>
    <w:rsid w:val="004C09D9"/>
    <w:rsid w:val="004C0F77"/>
    <w:rsid w:val="004C10DF"/>
    <w:rsid w:val="004C1691"/>
    <w:rsid w:val="004C1822"/>
    <w:rsid w:val="004C1D73"/>
    <w:rsid w:val="004C213C"/>
    <w:rsid w:val="004C231D"/>
    <w:rsid w:val="004C25BD"/>
    <w:rsid w:val="004C25EB"/>
    <w:rsid w:val="004C27A4"/>
    <w:rsid w:val="004C29B6"/>
    <w:rsid w:val="004C2D61"/>
    <w:rsid w:val="004C2F0C"/>
    <w:rsid w:val="004C3225"/>
    <w:rsid w:val="004C3717"/>
    <w:rsid w:val="004C3D74"/>
    <w:rsid w:val="004C3ED3"/>
    <w:rsid w:val="004C40AA"/>
    <w:rsid w:val="004C435F"/>
    <w:rsid w:val="004C4686"/>
    <w:rsid w:val="004C4A0F"/>
    <w:rsid w:val="004C4AED"/>
    <w:rsid w:val="004C4B20"/>
    <w:rsid w:val="004C5DBD"/>
    <w:rsid w:val="004C5F30"/>
    <w:rsid w:val="004C60A9"/>
    <w:rsid w:val="004C66F8"/>
    <w:rsid w:val="004C6777"/>
    <w:rsid w:val="004C68B7"/>
    <w:rsid w:val="004C6FBB"/>
    <w:rsid w:val="004C7096"/>
    <w:rsid w:val="004C738F"/>
    <w:rsid w:val="004C79D0"/>
    <w:rsid w:val="004C7D85"/>
    <w:rsid w:val="004D0344"/>
    <w:rsid w:val="004D05CD"/>
    <w:rsid w:val="004D09D2"/>
    <w:rsid w:val="004D0DD9"/>
    <w:rsid w:val="004D176F"/>
    <w:rsid w:val="004D1A74"/>
    <w:rsid w:val="004D1ABE"/>
    <w:rsid w:val="004D238E"/>
    <w:rsid w:val="004D281F"/>
    <w:rsid w:val="004D2BB6"/>
    <w:rsid w:val="004D38AC"/>
    <w:rsid w:val="004D3948"/>
    <w:rsid w:val="004D3E47"/>
    <w:rsid w:val="004D42BF"/>
    <w:rsid w:val="004D4D58"/>
    <w:rsid w:val="004D4F61"/>
    <w:rsid w:val="004D574D"/>
    <w:rsid w:val="004D58C8"/>
    <w:rsid w:val="004D596F"/>
    <w:rsid w:val="004D59CA"/>
    <w:rsid w:val="004D5E7E"/>
    <w:rsid w:val="004D61A6"/>
    <w:rsid w:val="004D684F"/>
    <w:rsid w:val="004D7839"/>
    <w:rsid w:val="004D7842"/>
    <w:rsid w:val="004D785B"/>
    <w:rsid w:val="004D78E8"/>
    <w:rsid w:val="004D7DE5"/>
    <w:rsid w:val="004D7F26"/>
    <w:rsid w:val="004E02B4"/>
    <w:rsid w:val="004E04F3"/>
    <w:rsid w:val="004E0775"/>
    <w:rsid w:val="004E083C"/>
    <w:rsid w:val="004E0EB8"/>
    <w:rsid w:val="004E1A8A"/>
    <w:rsid w:val="004E1CAF"/>
    <w:rsid w:val="004E1E9E"/>
    <w:rsid w:val="004E23ED"/>
    <w:rsid w:val="004E2710"/>
    <w:rsid w:val="004E2873"/>
    <w:rsid w:val="004E2ADC"/>
    <w:rsid w:val="004E3076"/>
    <w:rsid w:val="004E3177"/>
    <w:rsid w:val="004E3540"/>
    <w:rsid w:val="004E3C5F"/>
    <w:rsid w:val="004E4010"/>
    <w:rsid w:val="004E40B1"/>
    <w:rsid w:val="004E43B2"/>
    <w:rsid w:val="004E4B32"/>
    <w:rsid w:val="004E4B33"/>
    <w:rsid w:val="004E4CD3"/>
    <w:rsid w:val="004E4DBA"/>
    <w:rsid w:val="004E4F10"/>
    <w:rsid w:val="004E544A"/>
    <w:rsid w:val="004E547A"/>
    <w:rsid w:val="004E5554"/>
    <w:rsid w:val="004E5715"/>
    <w:rsid w:val="004E5803"/>
    <w:rsid w:val="004E645B"/>
    <w:rsid w:val="004E652F"/>
    <w:rsid w:val="004E69FB"/>
    <w:rsid w:val="004E7525"/>
    <w:rsid w:val="004E7BB8"/>
    <w:rsid w:val="004F042E"/>
    <w:rsid w:val="004F0AC7"/>
    <w:rsid w:val="004F1078"/>
    <w:rsid w:val="004F120E"/>
    <w:rsid w:val="004F1442"/>
    <w:rsid w:val="004F1463"/>
    <w:rsid w:val="004F15D9"/>
    <w:rsid w:val="004F1611"/>
    <w:rsid w:val="004F1898"/>
    <w:rsid w:val="004F1D02"/>
    <w:rsid w:val="004F22F5"/>
    <w:rsid w:val="004F231C"/>
    <w:rsid w:val="004F24DB"/>
    <w:rsid w:val="004F25EA"/>
    <w:rsid w:val="004F2633"/>
    <w:rsid w:val="004F2679"/>
    <w:rsid w:val="004F29D7"/>
    <w:rsid w:val="004F2AF8"/>
    <w:rsid w:val="004F2B5B"/>
    <w:rsid w:val="004F2BF1"/>
    <w:rsid w:val="004F3153"/>
    <w:rsid w:val="004F37BB"/>
    <w:rsid w:val="004F3C34"/>
    <w:rsid w:val="004F3D10"/>
    <w:rsid w:val="004F407A"/>
    <w:rsid w:val="004F4867"/>
    <w:rsid w:val="004F4CE7"/>
    <w:rsid w:val="004F4F6F"/>
    <w:rsid w:val="004F55FD"/>
    <w:rsid w:val="004F56A5"/>
    <w:rsid w:val="004F5A22"/>
    <w:rsid w:val="004F60D0"/>
    <w:rsid w:val="004F648E"/>
    <w:rsid w:val="004F6680"/>
    <w:rsid w:val="004F68F6"/>
    <w:rsid w:val="004F6FC2"/>
    <w:rsid w:val="004F75B0"/>
    <w:rsid w:val="004F7770"/>
    <w:rsid w:val="004F783D"/>
    <w:rsid w:val="004F7843"/>
    <w:rsid w:val="004F7865"/>
    <w:rsid w:val="005001A1"/>
    <w:rsid w:val="0050029F"/>
    <w:rsid w:val="005004F0"/>
    <w:rsid w:val="00500600"/>
    <w:rsid w:val="00500A48"/>
    <w:rsid w:val="00500DFA"/>
    <w:rsid w:val="00501A20"/>
    <w:rsid w:val="00501F7B"/>
    <w:rsid w:val="00502237"/>
    <w:rsid w:val="0050245C"/>
    <w:rsid w:val="005025A1"/>
    <w:rsid w:val="00502600"/>
    <w:rsid w:val="00502B4A"/>
    <w:rsid w:val="00502D3C"/>
    <w:rsid w:val="00502D53"/>
    <w:rsid w:val="005033C5"/>
    <w:rsid w:val="0050342A"/>
    <w:rsid w:val="00503BCC"/>
    <w:rsid w:val="0050455A"/>
    <w:rsid w:val="005048AB"/>
    <w:rsid w:val="00504F51"/>
    <w:rsid w:val="00505196"/>
    <w:rsid w:val="00505717"/>
    <w:rsid w:val="00505886"/>
    <w:rsid w:val="00505955"/>
    <w:rsid w:val="00505B05"/>
    <w:rsid w:val="00505BB1"/>
    <w:rsid w:val="00505DE8"/>
    <w:rsid w:val="00506928"/>
    <w:rsid w:val="00506FB0"/>
    <w:rsid w:val="005071B0"/>
    <w:rsid w:val="005071BD"/>
    <w:rsid w:val="005078E8"/>
    <w:rsid w:val="00507984"/>
    <w:rsid w:val="0051036E"/>
    <w:rsid w:val="00510607"/>
    <w:rsid w:val="00510F19"/>
    <w:rsid w:val="005111EE"/>
    <w:rsid w:val="005116BA"/>
    <w:rsid w:val="0051243F"/>
    <w:rsid w:val="00512809"/>
    <w:rsid w:val="00512902"/>
    <w:rsid w:val="0051301C"/>
    <w:rsid w:val="00513219"/>
    <w:rsid w:val="00513325"/>
    <w:rsid w:val="005139F3"/>
    <w:rsid w:val="00513C93"/>
    <w:rsid w:val="00513E43"/>
    <w:rsid w:val="00514055"/>
    <w:rsid w:val="005141EA"/>
    <w:rsid w:val="005144CB"/>
    <w:rsid w:val="00514534"/>
    <w:rsid w:val="00514821"/>
    <w:rsid w:val="00514AA7"/>
    <w:rsid w:val="00514EAA"/>
    <w:rsid w:val="00514F43"/>
    <w:rsid w:val="005152B5"/>
    <w:rsid w:val="00515325"/>
    <w:rsid w:val="005158A4"/>
    <w:rsid w:val="005158F8"/>
    <w:rsid w:val="0051672A"/>
    <w:rsid w:val="0051696E"/>
    <w:rsid w:val="00516A07"/>
    <w:rsid w:val="00516A60"/>
    <w:rsid w:val="00516E98"/>
    <w:rsid w:val="0051705A"/>
    <w:rsid w:val="005176AA"/>
    <w:rsid w:val="005201AB"/>
    <w:rsid w:val="00520491"/>
    <w:rsid w:val="00520679"/>
    <w:rsid w:val="00520A3F"/>
    <w:rsid w:val="00520CC4"/>
    <w:rsid w:val="00521319"/>
    <w:rsid w:val="00521668"/>
    <w:rsid w:val="005216E3"/>
    <w:rsid w:val="00521996"/>
    <w:rsid w:val="005219FA"/>
    <w:rsid w:val="00521D34"/>
    <w:rsid w:val="00522662"/>
    <w:rsid w:val="005232E5"/>
    <w:rsid w:val="00523539"/>
    <w:rsid w:val="005235B7"/>
    <w:rsid w:val="00523C28"/>
    <w:rsid w:val="005241C1"/>
    <w:rsid w:val="00524ED5"/>
    <w:rsid w:val="00525471"/>
    <w:rsid w:val="005255E7"/>
    <w:rsid w:val="00525B36"/>
    <w:rsid w:val="00526079"/>
    <w:rsid w:val="00526117"/>
    <w:rsid w:val="005262A4"/>
    <w:rsid w:val="005264D5"/>
    <w:rsid w:val="00526544"/>
    <w:rsid w:val="00526770"/>
    <w:rsid w:val="0052728F"/>
    <w:rsid w:val="0052786A"/>
    <w:rsid w:val="00530642"/>
    <w:rsid w:val="00530855"/>
    <w:rsid w:val="005311D4"/>
    <w:rsid w:val="0053133C"/>
    <w:rsid w:val="00531736"/>
    <w:rsid w:val="00531830"/>
    <w:rsid w:val="00531931"/>
    <w:rsid w:val="00531E32"/>
    <w:rsid w:val="005325A5"/>
    <w:rsid w:val="00532962"/>
    <w:rsid w:val="00532D74"/>
    <w:rsid w:val="00533069"/>
    <w:rsid w:val="005330D9"/>
    <w:rsid w:val="00533A18"/>
    <w:rsid w:val="00535287"/>
    <w:rsid w:val="00535593"/>
    <w:rsid w:val="005358F0"/>
    <w:rsid w:val="00535C90"/>
    <w:rsid w:val="00535CB9"/>
    <w:rsid w:val="00536136"/>
    <w:rsid w:val="00536322"/>
    <w:rsid w:val="005364DA"/>
    <w:rsid w:val="0053687C"/>
    <w:rsid w:val="00536B5C"/>
    <w:rsid w:val="00536DFC"/>
    <w:rsid w:val="005375A6"/>
    <w:rsid w:val="00537CB9"/>
    <w:rsid w:val="005400FA"/>
    <w:rsid w:val="00540144"/>
    <w:rsid w:val="00540911"/>
    <w:rsid w:val="0054093F"/>
    <w:rsid w:val="005409CE"/>
    <w:rsid w:val="00540C83"/>
    <w:rsid w:val="00540EBD"/>
    <w:rsid w:val="00541632"/>
    <w:rsid w:val="0054200F"/>
    <w:rsid w:val="00542682"/>
    <w:rsid w:val="00542A27"/>
    <w:rsid w:val="00542AED"/>
    <w:rsid w:val="00542C2D"/>
    <w:rsid w:val="00542C80"/>
    <w:rsid w:val="005435C4"/>
    <w:rsid w:val="0054363A"/>
    <w:rsid w:val="005437FD"/>
    <w:rsid w:val="00543E9A"/>
    <w:rsid w:val="00543FDD"/>
    <w:rsid w:val="005442E7"/>
    <w:rsid w:val="00544B30"/>
    <w:rsid w:val="00545816"/>
    <w:rsid w:val="00545AA2"/>
    <w:rsid w:val="00545C6B"/>
    <w:rsid w:val="00545D86"/>
    <w:rsid w:val="00545E07"/>
    <w:rsid w:val="005461D0"/>
    <w:rsid w:val="00546FA7"/>
    <w:rsid w:val="00547017"/>
    <w:rsid w:val="005479E9"/>
    <w:rsid w:val="00550316"/>
    <w:rsid w:val="0055092F"/>
    <w:rsid w:val="00550A3D"/>
    <w:rsid w:val="00550E95"/>
    <w:rsid w:val="0055185F"/>
    <w:rsid w:val="0055207A"/>
    <w:rsid w:val="00552BD3"/>
    <w:rsid w:val="00553A54"/>
    <w:rsid w:val="00553A5A"/>
    <w:rsid w:val="00553F68"/>
    <w:rsid w:val="00554073"/>
    <w:rsid w:val="00554221"/>
    <w:rsid w:val="005545D5"/>
    <w:rsid w:val="00554E0A"/>
    <w:rsid w:val="00555109"/>
    <w:rsid w:val="00555191"/>
    <w:rsid w:val="005556EF"/>
    <w:rsid w:val="00555AA1"/>
    <w:rsid w:val="0055623C"/>
    <w:rsid w:val="005563A0"/>
    <w:rsid w:val="0055646E"/>
    <w:rsid w:val="00556525"/>
    <w:rsid w:val="005565AF"/>
    <w:rsid w:val="005566F7"/>
    <w:rsid w:val="005568D6"/>
    <w:rsid w:val="0055699E"/>
    <w:rsid w:val="00556E6F"/>
    <w:rsid w:val="005570FA"/>
    <w:rsid w:val="00557607"/>
    <w:rsid w:val="0055798C"/>
    <w:rsid w:val="00557CC3"/>
    <w:rsid w:val="0056005B"/>
    <w:rsid w:val="00560368"/>
    <w:rsid w:val="005606DC"/>
    <w:rsid w:val="00560E74"/>
    <w:rsid w:val="0056113D"/>
    <w:rsid w:val="00561311"/>
    <w:rsid w:val="00561400"/>
    <w:rsid w:val="005614C5"/>
    <w:rsid w:val="00561AAE"/>
    <w:rsid w:val="00562441"/>
    <w:rsid w:val="00562980"/>
    <w:rsid w:val="00563652"/>
    <w:rsid w:val="00563E1E"/>
    <w:rsid w:val="00564113"/>
    <w:rsid w:val="00564C5F"/>
    <w:rsid w:val="00564F1A"/>
    <w:rsid w:val="00564FDD"/>
    <w:rsid w:val="005650D7"/>
    <w:rsid w:val="00565154"/>
    <w:rsid w:val="00565C10"/>
    <w:rsid w:val="00565F46"/>
    <w:rsid w:val="00566386"/>
    <w:rsid w:val="00566723"/>
    <w:rsid w:val="005668DF"/>
    <w:rsid w:val="0056696F"/>
    <w:rsid w:val="00566C6E"/>
    <w:rsid w:val="00566D36"/>
    <w:rsid w:val="00567047"/>
    <w:rsid w:val="005672EB"/>
    <w:rsid w:val="0056790A"/>
    <w:rsid w:val="00570050"/>
    <w:rsid w:val="005700CC"/>
    <w:rsid w:val="00570602"/>
    <w:rsid w:val="005709D7"/>
    <w:rsid w:val="00570CDE"/>
    <w:rsid w:val="00571059"/>
    <w:rsid w:val="00571627"/>
    <w:rsid w:val="005716D5"/>
    <w:rsid w:val="00571BDE"/>
    <w:rsid w:val="00571EFD"/>
    <w:rsid w:val="0057219E"/>
    <w:rsid w:val="00572242"/>
    <w:rsid w:val="0057233C"/>
    <w:rsid w:val="0057238F"/>
    <w:rsid w:val="00572B75"/>
    <w:rsid w:val="00572D68"/>
    <w:rsid w:val="00572D98"/>
    <w:rsid w:val="00572FFD"/>
    <w:rsid w:val="00573112"/>
    <w:rsid w:val="005732A2"/>
    <w:rsid w:val="00573461"/>
    <w:rsid w:val="00573667"/>
    <w:rsid w:val="00574111"/>
    <w:rsid w:val="0057452E"/>
    <w:rsid w:val="00574785"/>
    <w:rsid w:val="00574A8D"/>
    <w:rsid w:val="005750C4"/>
    <w:rsid w:val="005753B6"/>
    <w:rsid w:val="0057546A"/>
    <w:rsid w:val="00575AAC"/>
    <w:rsid w:val="00575B17"/>
    <w:rsid w:val="00575D8D"/>
    <w:rsid w:val="00576219"/>
    <w:rsid w:val="0057675F"/>
    <w:rsid w:val="00576972"/>
    <w:rsid w:val="00576A85"/>
    <w:rsid w:val="00577286"/>
    <w:rsid w:val="00577D18"/>
    <w:rsid w:val="00577E5E"/>
    <w:rsid w:val="0058024A"/>
    <w:rsid w:val="00580361"/>
    <w:rsid w:val="005803DE"/>
    <w:rsid w:val="00580712"/>
    <w:rsid w:val="00580A1A"/>
    <w:rsid w:val="005815D6"/>
    <w:rsid w:val="005817E5"/>
    <w:rsid w:val="00581AB9"/>
    <w:rsid w:val="005822A7"/>
    <w:rsid w:val="005824E0"/>
    <w:rsid w:val="00582BF1"/>
    <w:rsid w:val="00583514"/>
    <w:rsid w:val="005835B3"/>
    <w:rsid w:val="00583641"/>
    <w:rsid w:val="00583699"/>
    <w:rsid w:val="00583814"/>
    <w:rsid w:val="005838EC"/>
    <w:rsid w:val="00583C29"/>
    <w:rsid w:val="005840C0"/>
    <w:rsid w:val="0058420B"/>
    <w:rsid w:val="00584626"/>
    <w:rsid w:val="0058518B"/>
    <w:rsid w:val="00585578"/>
    <w:rsid w:val="005856AB"/>
    <w:rsid w:val="00585700"/>
    <w:rsid w:val="00586DF5"/>
    <w:rsid w:val="0058725B"/>
    <w:rsid w:val="00587465"/>
    <w:rsid w:val="005879D7"/>
    <w:rsid w:val="00587FD8"/>
    <w:rsid w:val="0059046E"/>
    <w:rsid w:val="00590503"/>
    <w:rsid w:val="00590AD6"/>
    <w:rsid w:val="00590E3E"/>
    <w:rsid w:val="00590E45"/>
    <w:rsid w:val="0059131B"/>
    <w:rsid w:val="005918D1"/>
    <w:rsid w:val="00591E77"/>
    <w:rsid w:val="00592072"/>
    <w:rsid w:val="00593229"/>
    <w:rsid w:val="005935AE"/>
    <w:rsid w:val="00593815"/>
    <w:rsid w:val="00593873"/>
    <w:rsid w:val="00593A75"/>
    <w:rsid w:val="00593BAC"/>
    <w:rsid w:val="0059436E"/>
    <w:rsid w:val="00594549"/>
    <w:rsid w:val="00594AE8"/>
    <w:rsid w:val="00594DE0"/>
    <w:rsid w:val="00594F27"/>
    <w:rsid w:val="0059597B"/>
    <w:rsid w:val="00596048"/>
    <w:rsid w:val="00596198"/>
    <w:rsid w:val="0059641D"/>
    <w:rsid w:val="00596918"/>
    <w:rsid w:val="00596BA4"/>
    <w:rsid w:val="00597AF9"/>
    <w:rsid w:val="00597DA0"/>
    <w:rsid w:val="005A003F"/>
    <w:rsid w:val="005A0628"/>
    <w:rsid w:val="005A081C"/>
    <w:rsid w:val="005A0C80"/>
    <w:rsid w:val="005A0DBA"/>
    <w:rsid w:val="005A10FD"/>
    <w:rsid w:val="005A1A98"/>
    <w:rsid w:val="005A1BF2"/>
    <w:rsid w:val="005A258D"/>
    <w:rsid w:val="005A284E"/>
    <w:rsid w:val="005A2A88"/>
    <w:rsid w:val="005A3142"/>
    <w:rsid w:val="005A3974"/>
    <w:rsid w:val="005A3B33"/>
    <w:rsid w:val="005A3CAB"/>
    <w:rsid w:val="005A3F60"/>
    <w:rsid w:val="005A406C"/>
    <w:rsid w:val="005A4BAF"/>
    <w:rsid w:val="005A4EEB"/>
    <w:rsid w:val="005A5227"/>
    <w:rsid w:val="005A57C3"/>
    <w:rsid w:val="005A5868"/>
    <w:rsid w:val="005A6036"/>
    <w:rsid w:val="005A6964"/>
    <w:rsid w:val="005A7481"/>
    <w:rsid w:val="005A7578"/>
    <w:rsid w:val="005A7608"/>
    <w:rsid w:val="005A784C"/>
    <w:rsid w:val="005B10B1"/>
    <w:rsid w:val="005B10F6"/>
    <w:rsid w:val="005B12C0"/>
    <w:rsid w:val="005B15C3"/>
    <w:rsid w:val="005B19B6"/>
    <w:rsid w:val="005B1AB3"/>
    <w:rsid w:val="005B243D"/>
    <w:rsid w:val="005B286E"/>
    <w:rsid w:val="005B28EA"/>
    <w:rsid w:val="005B36FA"/>
    <w:rsid w:val="005B42CA"/>
    <w:rsid w:val="005B44FE"/>
    <w:rsid w:val="005B4DEB"/>
    <w:rsid w:val="005B52DC"/>
    <w:rsid w:val="005B55FB"/>
    <w:rsid w:val="005B56E6"/>
    <w:rsid w:val="005B5857"/>
    <w:rsid w:val="005B62F5"/>
    <w:rsid w:val="005B65BC"/>
    <w:rsid w:val="005B65F0"/>
    <w:rsid w:val="005B6805"/>
    <w:rsid w:val="005B7AE9"/>
    <w:rsid w:val="005C003B"/>
    <w:rsid w:val="005C028F"/>
    <w:rsid w:val="005C06C8"/>
    <w:rsid w:val="005C0733"/>
    <w:rsid w:val="005C0983"/>
    <w:rsid w:val="005C0BD6"/>
    <w:rsid w:val="005C160D"/>
    <w:rsid w:val="005C1754"/>
    <w:rsid w:val="005C1B83"/>
    <w:rsid w:val="005C1E6E"/>
    <w:rsid w:val="005C2613"/>
    <w:rsid w:val="005C2662"/>
    <w:rsid w:val="005C27C0"/>
    <w:rsid w:val="005C2CA7"/>
    <w:rsid w:val="005C2CBA"/>
    <w:rsid w:val="005C3263"/>
    <w:rsid w:val="005C326B"/>
    <w:rsid w:val="005C346B"/>
    <w:rsid w:val="005C3A62"/>
    <w:rsid w:val="005C3B96"/>
    <w:rsid w:val="005C3CE9"/>
    <w:rsid w:val="005C3D01"/>
    <w:rsid w:val="005C44BC"/>
    <w:rsid w:val="005C486B"/>
    <w:rsid w:val="005C4973"/>
    <w:rsid w:val="005C4F36"/>
    <w:rsid w:val="005C50A3"/>
    <w:rsid w:val="005C5765"/>
    <w:rsid w:val="005C5ADE"/>
    <w:rsid w:val="005C60FC"/>
    <w:rsid w:val="005C6319"/>
    <w:rsid w:val="005C65C6"/>
    <w:rsid w:val="005C6712"/>
    <w:rsid w:val="005C6945"/>
    <w:rsid w:val="005C6F71"/>
    <w:rsid w:val="005C70E7"/>
    <w:rsid w:val="005C719B"/>
    <w:rsid w:val="005C7821"/>
    <w:rsid w:val="005C7F5D"/>
    <w:rsid w:val="005D0276"/>
    <w:rsid w:val="005D044D"/>
    <w:rsid w:val="005D0C8A"/>
    <w:rsid w:val="005D135B"/>
    <w:rsid w:val="005D18AD"/>
    <w:rsid w:val="005D1970"/>
    <w:rsid w:val="005D1BEC"/>
    <w:rsid w:val="005D288C"/>
    <w:rsid w:val="005D2E1E"/>
    <w:rsid w:val="005D307F"/>
    <w:rsid w:val="005D3192"/>
    <w:rsid w:val="005D3328"/>
    <w:rsid w:val="005D336E"/>
    <w:rsid w:val="005D3B25"/>
    <w:rsid w:val="005D3E62"/>
    <w:rsid w:val="005D3E72"/>
    <w:rsid w:val="005D47CD"/>
    <w:rsid w:val="005D4AA7"/>
    <w:rsid w:val="005D4D61"/>
    <w:rsid w:val="005D52AA"/>
    <w:rsid w:val="005D5464"/>
    <w:rsid w:val="005D546F"/>
    <w:rsid w:val="005D56E9"/>
    <w:rsid w:val="005D599A"/>
    <w:rsid w:val="005D5AC8"/>
    <w:rsid w:val="005D5B5D"/>
    <w:rsid w:val="005D63BB"/>
    <w:rsid w:val="005D65EE"/>
    <w:rsid w:val="005D6A82"/>
    <w:rsid w:val="005D6F14"/>
    <w:rsid w:val="005D75AE"/>
    <w:rsid w:val="005D7959"/>
    <w:rsid w:val="005D7AA3"/>
    <w:rsid w:val="005D7DAC"/>
    <w:rsid w:val="005E01CC"/>
    <w:rsid w:val="005E090D"/>
    <w:rsid w:val="005E18C8"/>
    <w:rsid w:val="005E1D8F"/>
    <w:rsid w:val="005E1DEE"/>
    <w:rsid w:val="005E21BF"/>
    <w:rsid w:val="005E2292"/>
    <w:rsid w:val="005E25B6"/>
    <w:rsid w:val="005E27AB"/>
    <w:rsid w:val="005E2ACB"/>
    <w:rsid w:val="005E2BC3"/>
    <w:rsid w:val="005E2EC2"/>
    <w:rsid w:val="005E3191"/>
    <w:rsid w:val="005E32F0"/>
    <w:rsid w:val="005E340C"/>
    <w:rsid w:val="005E347C"/>
    <w:rsid w:val="005E37DF"/>
    <w:rsid w:val="005E4039"/>
    <w:rsid w:val="005E410C"/>
    <w:rsid w:val="005E413A"/>
    <w:rsid w:val="005E4547"/>
    <w:rsid w:val="005E45CE"/>
    <w:rsid w:val="005E4DF0"/>
    <w:rsid w:val="005E53AB"/>
    <w:rsid w:val="005E55A5"/>
    <w:rsid w:val="005E5C61"/>
    <w:rsid w:val="005E62F9"/>
    <w:rsid w:val="005E6A78"/>
    <w:rsid w:val="005E6D4D"/>
    <w:rsid w:val="005E70D6"/>
    <w:rsid w:val="005E72F3"/>
    <w:rsid w:val="005E73C0"/>
    <w:rsid w:val="005E7907"/>
    <w:rsid w:val="005E7A86"/>
    <w:rsid w:val="005F016F"/>
    <w:rsid w:val="005F0248"/>
    <w:rsid w:val="005F02CF"/>
    <w:rsid w:val="005F03A9"/>
    <w:rsid w:val="005F0545"/>
    <w:rsid w:val="005F0930"/>
    <w:rsid w:val="005F1128"/>
    <w:rsid w:val="005F1265"/>
    <w:rsid w:val="005F15DD"/>
    <w:rsid w:val="005F1EBD"/>
    <w:rsid w:val="005F21A8"/>
    <w:rsid w:val="005F23C2"/>
    <w:rsid w:val="005F2706"/>
    <w:rsid w:val="005F294F"/>
    <w:rsid w:val="005F34F2"/>
    <w:rsid w:val="005F35DC"/>
    <w:rsid w:val="005F391B"/>
    <w:rsid w:val="005F3CC7"/>
    <w:rsid w:val="005F3D21"/>
    <w:rsid w:val="005F4919"/>
    <w:rsid w:val="005F4C78"/>
    <w:rsid w:val="005F4E67"/>
    <w:rsid w:val="005F5511"/>
    <w:rsid w:val="005F570D"/>
    <w:rsid w:val="005F5782"/>
    <w:rsid w:val="005F5AFF"/>
    <w:rsid w:val="005F5CE9"/>
    <w:rsid w:val="005F65F7"/>
    <w:rsid w:val="005F6A8F"/>
    <w:rsid w:val="005F6DB3"/>
    <w:rsid w:val="005F7078"/>
    <w:rsid w:val="005F73E9"/>
    <w:rsid w:val="005F74E9"/>
    <w:rsid w:val="005F7954"/>
    <w:rsid w:val="0060047D"/>
    <w:rsid w:val="00600C3E"/>
    <w:rsid w:val="00601423"/>
    <w:rsid w:val="00601731"/>
    <w:rsid w:val="00601B40"/>
    <w:rsid w:val="00601C2C"/>
    <w:rsid w:val="00601DE0"/>
    <w:rsid w:val="00601FDA"/>
    <w:rsid w:val="0060273B"/>
    <w:rsid w:val="0060293C"/>
    <w:rsid w:val="00602B6E"/>
    <w:rsid w:val="00602CCA"/>
    <w:rsid w:val="006032E1"/>
    <w:rsid w:val="006035E7"/>
    <w:rsid w:val="006037B0"/>
    <w:rsid w:val="00603CAC"/>
    <w:rsid w:val="00603EA8"/>
    <w:rsid w:val="00604056"/>
    <w:rsid w:val="00604CAC"/>
    <w:rsid w:val="00604FDA"/>
    <w:rsid w:val="006052B5"/>
    <w:rsid w:val="006058DE"/>
    <w:rsid w:val="00605AF6"/>
    <w:rsid w:val="00605FE2"/>
    <w:rsid w:val="0060609A"/>
    <w:rsid w:val="0060678D"/>
    <w:rsid w:val="00606D20"/>
    <w:rsid w:val="006071C1"/>
    <w:rsid w:val="006071D6"/>
    <w:rsid w:val="00607669"/>
    <w:rsid w:val="0061005D"/>
    <w:rsid w:val="0061028F"/>
    <w:rsid w:val="006102A3"/>
    <w:rsid w:val="00610B06"/>
    <w:rsid w:val="00610B09"/>
    <w:rsid w:val="00610D2C"/>
    <w:rsid w:val="00610D5E"/>
    <w:rsid w:val="00611048"/>
    <w:rsid w:val="00611165"/>
    <w:rsid w:val="006111D7"/>
    <w:rsid w:val="0061123B"/>
    <w:rsid w:val="00611A5C"/>
    <w:rsid w:val="0061203F"/>
    <w:rsid w:val="006121E9"/>
    <w:rsid w:val="00612361"/>
    <w:rsid w:val="006123CF"/>
    <w:rsid w:val="006125DD"/>
    <w:rsid w:val="00612F97"/>
    <w:rsid w:val="00613769"/>
    <w:rsid w:val="006144E4"/>
    <w:rsid w:val="0061469E"/>
    <w:rsid w:val="006147F2"/>
    <w:rsid w:val="00614919"/>
    <w:rsid w:val="006151C0"/>
    <w:rsid w:val="006151F9"/>
    <w:rsid w:val="0061538A"/>
    <w:rsid w:val="0061570F"/>
    <w:rsid w:val="006162DF"/>
    <w:rsid w:val="006164ED"/>
    <w:rsid w:val="00616759"/>
    <w:rsid w:val="00616802"/>
    <w:rsid w:val="00616A2F"/>
    <w:rsid w:val="00616B1C"/>
    <w:rsid w:val="00617372"/>
    <w:rsid w:val="006175F5"/>
    <w:rsid w:val="00617614"/>
    <w:rsid w:val="00617DB8"/>
    <w:rsid w:val="00617E12"/>
    <w:rsid w:val="00617E5F"/>
    <w:rsid w:val="0062005F"/>
    <w:rsid w:val="0062009E"/>
    <w:rsid w:val="0062042A"/>
    <w:rsid w:val="006204F8"/>
    <w:rsid w:val="00620512"/>
    <w:rsid w:val="0062060F"/>
    <w:rsid w:val="00620A96"/>
    <w:rsid w:val="00620B24"/>
    <w:rsid w:val="00620CD8"/>
    <w:rsid w:val="00621423"/>
    <w:rsid w:val="00621477"/>
    <w:rsid w:val="006222BF"/>
    <w:rsid w:val="00622F08"/>
    <w:rsid w:val="006239A4"/>
    <w:rsid w:val="006239C9"/>
    <w:rsid w:val="00623CAC"/>
    <w:rsid w:val="00623F66"/>
    <w:rsid w:val="0062453F"/>
    <w:rsid w:val="00624751"/>
    <w:rsid w:val="00624FEA"/>
    <w:rsid w:val="006252C4"/>
    <w:rsid w:val="006253D4"/>
    <w:rsid w:val="00625543"/>
    <w:rsid w:val="0062555B"/>
    <w:rsid w:val="00626538"/>
    <w:rsid w:val="0062731B"/>
    <w:rsid w:val="00627A35"/>
    <w:rsid w:val="00627F58"/>
    <w:rsid w:val="0063031A"/>
    <w:rsid w:val="00630375"/>
    <w:rsid w:val="006309A1"/>
    <w:rsid w:val="00630BC2"/>
    <w:rsid w:val="00630D66"/>
    <w:rsid w:val="00630E8B"/>
    <w:rsid w:val="0063115D"/>
    <w:rsid w:val="00631200"/>
    <w:rsid w:val="00631543"/>
    <w:rsid w:val="00631838"/>
    <w:rsid w:val="006318D0"/>
    <w:rsid w:val="00631D6B"/>
    <w:rsid w:val="00631E68"/>
    <w:rsid w:val="0063214F"/>
    <w:rsid w:val="006324F9"/>
    <w:rsid w:val="00632617"/>
    <w:rsid w:val="00632F4E"/>
    <w:rsid w:val="0063300B"/>
    <w:rsid w:val="0063320B"/>
    <w:rsid w:val="0063372D"/>
    <w:rsid w:val="006338B1"/>
    <w:rsid w:val="00633F41"/>
    <w:rsid w:val="00633F6D"/>
    <w:rsid w:val="00634310"/>
    <w:rsid w:val="0063479F"/>
    <w:rsid w:val="0063539C"/>
    <w:rsid w:val="006353A6"/>
    <w:rsid w:val="006356C9"/>
    <w:rsid w:val="006359A0"/>
    <w:rsid w:val="00635A03"/>
    <w:rsid w:val="00635CD5"/>
    <w:rsid w:val="00636251"/>
    <w:rsid w:val="00636306"/>
    <w:rsid w:val="006364A1"/>
    <w:rsid w:val="006365AE"/>
    <w:rsid w:val="006368B8"/>
    <w:rsid w:val="006368E5"/>
    <w:rsid w:val="00636B8D"/>
    <w:rsid w:val="00636B90"/>
    <w:rsid w:val="00636CE7"/>
    <w:rsid w:val="00636E05"/>
    <w:rsid w:val="0063702F"/>
    <w:rsid w:val="006370EC"/>
    <w:rsid w:val="00637BFD"/>
    <w:rsid w:val="006405C8"/>
    <w:rsid w:val="00640885"/>
    <w:rsid w:val="00640E93"/>
    <w:rsid w:val="00641271"/>
    <w:rsid w:val="00641B7B"/>
    <w:rsid w:val="00642091"/>
    <w:rsid w:val="00643110"/>
    <w:rsid w:val="00643248"/>
    <w:rsid w:val="00643469"/>
    <w:rsid w:val="0064375E"/>
    <w:rsid w:val="006438F5"/>
    <w:rsid w:val="00643ED5"/>
    <w:rsid w:val="0064420E"/>
    <w:rsid w:val="00644390"/>
    <w:rsid w:val="0064441A"/>
    <w:rsid w:val="006444E5"/>
    <w:rsid w:val="00644C49"/>
    <w:rsid w:val="00644DFC"/>
    <w:rsid w:val="00644F27"/>
    <w:rsid w:val="00644FEB"/>
    <w:rsid w:val="00645622"/>
    <w:rsid w:val="00645695"/>
    <w:rsid w:val="00645B54"/>
    <w:rsid w:val="00645E07"/>
    <w:rsid w:val="00646460"/>
    <w:rsid w:val="00646466"/>
    <w:rsid w:val="00646491"/>
    <w:rsid w:val="006465DB"/>
    <w:rsid w:val="00646659"/>
    <w:rsid w:val="0064676B"/>
    <w:rsid w:val="006467A4"/>
    <w:rsid w:val="006471CC"/>
    <w:rsid w:val="00647238"/>
    <w:rsid w:val="00647603"/>
    <w:rsid w:val="00647617"/>
    <w:rsid w:val="00647619"/>
    <w:rsid w:val="00647E8D"/>
    <w:rsid w:val="00647F32"/>
    <w:rsid w:val="00647FBC"/>
    <w:rsid w:val="00650277"/>
    <w:rsid w:val="0065079F"/>
    <w:rsid w:val="006508C5"/>
    <w:rsid w:val="00650B24"/>
    <w:rsid w:val="00650DA0"/>
    <w:rsid w:val="0065101C"/>
    <w:rsid w:val="00651246"/>
    <w:rsid w:val="0065141A"/>
    <w:rsid w:val="006516E1"/>
    <w:rsid w:val="00651EF3"/>
    <w:rsid w:val="00652017"/>
    <w:rsid w:val="00652613"/>
    <w:rsid w:val="00652CE6"/>
    <w:rsid w:val="00653700"/>
    <w:rsid w:val="00653722"/>
    <w:rsid w:val="00653B8A"/>
    <w:rsid w:val="00653F45"/>
    <w:rsid w:val="00653FC0"/>
    <w:rsid w:val="00654827"/>
    <w:rsid w:val="00654BB3"/>
    <w:rsid w:val="00654DBA"/>
    <w:rsid w:val="00654F66"/>
    <w:rsid w:val="006554A9"/>
    <w:rsid w:val="00655EA0"/>
    <w:rsid w:val="006562BC"/>
    <w:rsid w:val="00656EB5"/>
    <w:rsid w:val="00656FEE"/>
    <w:rsid w:val="00660DB2"/>
    <w:rsid w:val="00660E7A"/>
    <w:rsid w:val="006611D4"/>
    <w:rsid w:val="006611F0"/>
    <w:rsid w:val="0066136A"/>
    <w:rsid w:val="00662062"/>
    <w:rsid w:val="0066298B"/>
    <w:rsid w:val="00662B3A"/>
    <w:rsid w:val="00662B5C"/>
    <w:rsid w:val="006631D8"/>
    <w:rsid w:val="0066335D"/>
    <w:rsid w:val="00663535"/>
    <w:rsid w:val="006636B5"/>
    <w:rsid w:val="00663C99"/>
    <w:rsid w:val="00663F52"/>
    <w:rsid w:val="00664547"/>
    <w:rsid w:val="0066497B"/>
    <w:rsid w:val="00664B8F"/>
    <w:rsid w:val="0066536C"/>
    <w:rsid w:val="006660B3"/>
    <w:rsid w:val="0066705A"/>
    <w:rsid w:val="006672DD"/>
    <w:rsid w:val="006674A3"/>
    <w:rsid w:val="00667503"/>
    <w:rsid w:val="00667912"/>
    <w:rsid w:val="00667939"/>
    <w:rsid w:val="00667B4C"/>
    <w:rsid w:val="00667B52"/>
    <w:rsid w:val="00667E0F"/>
    <w:rsid w:val="006708C3"/>
    <w:rsid w:val="00670CB8"/>
    <w:rsid w:val="00670DF5"/>
    <w:rsid w:val="00671261"/>
    <w:rsid w:val="00671D50"/>
    <w:rsid w:val="00672252"/>
    <w:rsid w:val="00672461"/>
    <w:rsid w:val="00672846"/>
    <w:rsid w:val="00672E07"/>
    <w:rsid w:val="00673073"/>
    <w:rsid w:val="00673305"/>
    <w:rsid w:val="00673508"/>
    <w:rsid w:val="0067394C"/>
    <w:rsid w:val="00673A7B"/>
    <w:rsid w:val="00673A97"/>
    <w:rsid w:val="00673E1D"/>
    <w:rsid w:val="00674155"/>
    <w:rsid w:val="0067446C"/>
    <w:rsid w:val="00674ABF"/>
    <w:rsid w:val="00674E42"/>
    <w:rsid w:val="006753A2"/>
    <w:rsid w:val="00675C3D"/>
    <w:rsid w:val="00675E86"/>
    <w:rsid w:val="0067629E"/>
    <w:rsid w:val="00676512"/>
    <w:rsid w:val="00676695"/>
    <w:rsid w:val="006767E4"/>
    <w:rsid w:val="00676987"/>
    <w:rsid w:val="00677AD7"/>
    <w:rsid w:val="00680C52"/>
    <w:rsid w:val="006818DA"/>
    <w:rsid w:val="00681BEF"/>
    <w:rsid w:val="00682112"/>
    <w:rsid w:val="006821FD"/>
    <w:rsid w:val="006824E0"/>
    <w:rsid w:val="00682988"/>
    <w:rsid w:val="00682D05"/>
    <w:rsid w:val="006830DC"/>
    <w:rsid w:val="00683313"/>
    <w:rsid w:val="006839C7"/>
    <w:rsid w:val="006839F0"/>
    <w:rsid w:val="00683FEF"/>
    <w:rsid w:val="0068412F"/>
    <w:rsid w:val="00684208"/>
    <w:rsid w:val="0068478C"/>
    <w:rsid w:val="0068482C"/>
    <w:rsid w:val="006848D5"/>
    <w:rsid w:val="00684917"/>
    <w:rsid w:val="0068496B"/>
    <w:rsid w:val="00684E8C"/>
    <w:rsid w:val="00685052"/>
    <w:rsid w:val="006853FE"/>
    <w:rsid w:val="006857B3"/>
    <w:rsid w:val="00685934"/>
    <w:rsid w:val="00685A23"/>
    <w:rsid w:val="0068633A"/>
    <w:rsid w:val="0068647E"/>
    <w:rsid w:val="00686BDB"/>
    <w:rsid w:val="006870EB"/>
    <w:rsid w:val="006872BA"/>
    <w:rsid w:val="006872FA"/>
    <w:rsid w:val="00687CED"/>
    <w:rsid w:val="00687E3A"/>
    <w:rsid w:val="00687F48"/>
    <w:rsid w:val="00687F83"/>
    <w:rsid w:val="00690952"/>
    <w:rsid w:val="00690A1F"/>
    <w:rsid w:val="00690E5F"/>
    <w:rsid w:val="00691307"/>
    <w:rsid w:val="006917D7"/>
    <w:rsid w:val="00692575"/>
    <w:rsid w:val="00693676"/>
    <w:rsid w:val="006937C1"/>
    <w:rsid w:val="00693871"/>
    <w:rsid w:val="006946B3"/>
    <w:rsid w:val="00694F44"/>
    <w:rsid w:val="006954E1"/>
    <w:rsid w:val="0069561E"/>
    <w:rsid w:val="006957B5"/>
    <w:rsid w:val="00695F9D"/>
    <w:rsid w:val="00696065"/>
    <w:rsid w:val="0069616B"/>
    <w:rsid w:val="00696A81"/>
    <w:rsid w:val="006971EA"/>
    <w:rsid w:val="00697C7A"/>
    <w:rsid w:val="00697E80"/>
    <w:rsid w:val="006A0305"/>
    <w:rsid w:val="006A09E1"/>
    <w:rsid w:val="006A0AA0"/>
    <w:rsid w:val="006A12D9"/>
    <w:rsid w:val="006A1610"/>
    <w:rsid w:val="006A18E0"/>
    <w:rsid w:val="006A1EF9"/>
    <w:rsid w:val="006A1F7F"/>
    <w:rsid w:val="006A2847"/>
    <w:rsid w:val="006A2884"/>
    <w:rsid w:val="006A2A91"/>
    <w:rsid w:val="006A38A6"/>
    <w:rsid w:val="006A3AA3"/>
    <w:rsid w:val="006A48D1"/>
    <w:rsid w:val="006A4998"/>
    <w:rsid w:val="006A4A9B"/>
    <w:rsid w:val="006A4D2B"/>
    <w:rsid w:val="006A4D6E"/>
    <w:rsid w:val="006A4E7D"/>
    <w:rsid w:val="006A4F52"/>
    <w:rsid w:val="006A5718"/>
    <w:rsid w:val="006A5C5F"/>
    <w:rsid w:val="006A5DED"/>
    <w:rsid w:val="006A6497"/>
    <w:rsid w:val="006A6AED"/>
    <w:rsid w:val="006A6C6E"/>
    <w:rsid w:val="006A6F9D"/>
    <w:rsid w:val="006A7B5C"/>
    <w:rsid w:val="006B0037"/>
    <w:rsid w:val="006B00B8"/>
    <w:rsid w:val="006B01BC"/>
    <w:rsid w:val="006B03B9"/>
    <w:rsid w:val="006B0899"/>
    <w:rsid w:val="006B0B75"/>
    <w:rsid w:val="006B0EC9"/>
    <w:rsid w:val="006B13DF"/>
    <w:rsid w:val="006B14C7"/>
    <w:rsid w:val="006B1E1D"/>
    <w:rsid w:val="006B1E34"/>
    <w:rsid w:val="006B2762"/>
    <w:rsid w:val="006B2B32"/>
    <w:rsid w:val="006B340A"/>
    <w:rsid w:val="006B3C0E"/>
    <w:rsid w:val="006B3E01"/>
    <w:rsid w:val="006B41A5"/>
    <w:rsid w:val="006B47F5"/>
    <w:rsid w:val="006B4F06"/>
    <w:rsid w:val="006B5164"/>
    <w:rsid w:val="006B5459"/>
    <w:rsid w:val="006B57B4"/>
    <w:rsid w:val="006B59CD"/>
    <w:rsid w:val="006B5AEF"/>
    <w:rsid w:val="006B5FBB"/>
    <w:rsid w:val="006B6053"/>
    <w:rsid w:val="006B644F"/>
    <w:rsid w:val="006B65E3"/>
    <w:rsid w:val="006B6BB0"/>
    <w:rsid w:val="006B6E42"/>
    <w:rsid w:val="006B6F0B"/>
    <w:rsid w:val="006B7123"/>
    <w:rsid w:val="006B74A6"/>
    <w:rsid w:val="006B7E08"/>
    <w:rsid w:val="006C055D"/>
    <w:rsid w:val="006C05E4"/>
    <w:rsid w:val="006C0AC4"/>
    <w:rsid w:val="006C1323"/>
    <w:rsid w:val="006C146F"/>
    <w:rsid w:val="006C1609"/>
    <w:rsid w:val="006C17C8"/>
    <w:rsid w:val="006C1F32"/>
    <w:rsid w:val="006C1FDC"/>
    <w:rsid w:val="006C2A8E"/>
    <w:rsid w:val="006C2AB4"/>
    <w:rsid w:val="006C2B9A"/>
    <w:rsid w:val="006C30FD"/>
    <w:rsid w:val="006C32FA"/>
    <w:rsid w:val="006C4078"/>
    <w:rsid w:val="006C42BD"/>
    <w:rsid w:val="006C4431"/>
    <w:rsid w:val="006C466D"/>
    <w:rsid w:val="006C4759"/>
    <w:rsid w:val="006C4A69"/>
    <w:rsid w:val="006C4D11"/>
    <w:rsid w:val="006C5221"/>
    <w:rsid w:val="006C524E"/>
    <w:rsid w:val="006C54C4"/>
    <w:rsid w:val="006C56A0"/>
    <w:rsid w:val="006C5A1C"/>
    <w:rsid w:val="006C5E97"/>
    <w:rsid w:val="006C6047"/>
    <w:rsid w:val="006C6368"/>
    <w:rsid w:val="006C6911"/>
    <w:rsid w:val="006C6A6B"/>
    <w:rsid w:val="006C71D6"/>
    <w:rsid w:val="006C7CC5"/>
    <w:rsid w:val="006D044F"/>
    <w:rsid w:val="006D08B5"/>
    <w:rsid w:val="006D1CE9"/>
    <w:rsid w:val="006D1D75"/>
    <w:rsid w:val="006D1E69"/>
    <w:rsid w:val="006D2E45"/>
    <w:rsid w:val="006D324B"/>
    <w:rsid w:val="006D3824"/>
    <w:rsid w:val="006D3A26"/>
    <w:rsid w:val="006D3A37"/>
    <w:rsid w:val="006D3C5E"/>
    <w:rsid w:val="006D3C7D"/>
    <w:rsid w:val="006D3E37"/>
    <w:rsid w:val="006D4355"/>
    <w:rsid w:val="006D4804"/>
    <w:rsid w:val="006D482A"/>
    <w:rsid w:val="006D485E"/>
    <w:rsid w:val="006D4F1E"/>
    <w:rsid w:val="006D5ACC"/>
    <w:rsid w:val="006D5D5F"/>
    <w:rsid w:val="006D668F"/>
    <w:rsid w:val="006D67D3"/>
    <w:rsid w:val="006D6A1D"/>
    <w:rsid w:val="006D6A2D"/>
    <w:rsid w:val="006D6D09"/>
    <w:rsid w:val="006D6F2C"/>
    <w:rsid w:val="006D7B71"/>
    <w:rsid w:val="006D7FAA"/>
    <w:rsid w:val="006E06A9"/>
    <w:rsid w:val="006E0D7A"/>
    <w:rsid w:val="006E0EAA"/>
    <w:rsid w:val="006E0FE0"/>
    <w:rsid w:val="006E16E7"/>
    <w:rsid w:val="006E1805"/>
    <w:rsid w:val="006E1CDA"/>
    <w:rsid w:val="006E1E47"/>
    <w:rsid w:val="006E1E5A"/>
    <w:rsid w:val="006E2513"/>
    <w:rsid w:val="006E27CA"/>
    <w:rsid w:val="006E2EDD"/>
    <w:rsid w:val="006E3290"/>
    <w:rsid w:val="006E333D"/>
    <w:rsid w:val="006E3519"/>
    <w:rsid w:val="006E3B80"/>
    <w:rsid w:val="006E62D9"/>
    <w:rsid w:val="006E63AD"/>
    <w:rsid w:val="006E65BF"/>
    <w:rsid w:val="006E69E4"/>
    <w:rsid w:val="006E6F73"/>
    <w:rsid w:val="006E7C9C"/>
    <w:rsid w:val="006F0220"/>
    <w:rsid w:val="006F02A2"/>
    <w:rsid w:val="006F0535"/>
    <w:rsid w:val="006F073E"/>
    <w:rsid w:val="006F0778"/>
    <w:rsid w:val="006F0AA6"/>
    <w:rsid w:val="006F0BDD"/>
    <w:rsid w:val="006F0DE6"/>
    <w:rsid w:val="006F10C8"/>
    <w:rsid w:val="006F1703"/>
    <w:rsid w:val="006F1732"/>
    <w:rsid w:val="006F1774"/>
    <w:rsid w:val="006F189A"/>
    <w:rsid w:val="006F1B83"/>
    <w:rsid w:val="006F1BE1"/>
    <w:rsid w:val="006F21F6"/>
    <w:rsid w:val="006F2B09"/>
    <w:rsid w:val="006F314F"/>
    <w:rsid w:val="006F3465"/>
    <w:rsid w:val="006F3FFA"/>
    <w:rsid w:val="006F4275"/>
    <w:rsid w:val="006F47B2"/>
    <w:rsid w:val="006F48CB"/>
    <w:rsid w:val="006F4962"/>
    <w:rsid w:val="006F4C68"/>
    <w:rsid w:val="006F4CCB"/>
    <w:rsid w:val="006F56E1"/>
    <w:rsid w:val="006F5EAD"/>
    <w:rsid w:val="006F63A5"/>
    <w:rsid w:val="006F6586"/>
    <w:rsid w:val="006F68ED"/>
    <w:rsid w:val="006F69DD"/>
    <w:rsid w:val="006F6CCB"/>
    <w:rsid w:val="006F7166"/>
    <w:rsid w:val="006F7371"/>
    <w:rsid w:val="006F77C8"/>
    <w:rsid w:val="00700503"/>
    <w:rsid w:val="007007AB"/>
    <w:rsid w:val="00700A12"/>
    <w:rsid w:val="00700BA3"/>
    <w:rsid w:val="00700BCB"/>
    <w:rsid w:val="00700BE6"/>
    <w:rsid w:val="00700EC1"/>
    <w:rsid w:val="00700F40"/>
    <w:rsid w:val="00701530"/>
    <w:rsid w:val="00701C18"/>
    <w:rsid w:val="00701D64"/>
    <w:rsid w:val="00701E8F"/>
    <w:rsid w:val="0070222E"/>
    <w:rsid w:val="0070253F"/>
    <w:rsid w:val="0070276E"/>
    <w:rsid w:val="00702B2A"/>
    <w:rsid w:val="00702B7C"/>
    <w:rsid w:val="00702C9C"/>
    <w:rsid w:val="00702E2F"/>
    <w:rsid w:val="00702EEA"/>
    <w:rsid w:val="00702F3A"/>
    <w:rsid w:val="00702F8F"/>
    <w:rsid w:val="00703147"/>
    <w:rsid w:val="007034A3"/>
    <w:rsid w:val="00703761"/>
    <w:rsid w:val="00703863"/>
    <w:rsid w:val="00704037"/>
    <w:rsid w:val="00704C15"/>
    <w:rsid w:val="00704C5D"/>
    <w:rsid w:val="00704E46"/>
    <w:rsid w:val="0070514D"/>
    <w:rsid w:val="007052F6"/>
    <w:rsid w:val="0070573D"/>
    <w:rsid w:val="00705B4F"/>
    <w:rsid w:val="00705D7A"/>
    <w:rsid w:val="00705EF7"/>
    <w:rsid w:val="007072A9"/>
    <w:rsid w:val="00707317"/>
    <w:rsid w:val="0070743C"/>
    <w:rsid w:val="00707453"/>
    <w:rsid w:val="007102C4"/>
    <w:rsid w:val="00710490"/>
    <w:rsid w:val="0071098B"/>
    <w:rsid w:val="007110FB"/>
    <w:rsid w:val="0071119E"/>
    <w:rsid w:val="00711487"/>
    <w:rsid w:val="007116B9"/>
    <w:rsid w:val="00711A36"/>
    <w:rsid w:val="00711DDD"/>
    <w:rsid w:val="00711E5E"/>
    <w:rsid w:val="007122B1"/>
    <w:rsid w:val="00712E16"/>
    <w:rsid w:val="00712FE3"/>
    <w:rsid w:val="007136A6"/>
    <w:rsid w:val="00713836"/>
    <w:rsid w:val="007141DD"/>
    <w:rsid w:val="007149CB"/>
    <w:rsid w:val="00714ACF"/>
    <w:rsid w:val="007162B3"/>
    <w:rsid w:val="007165B3"/>
    <w:rsid w:val="0071693B"/>
    <w:rsid w:val="00716C70"/>
    <w:rsid w:val="00717057"/>
    <w:rsid w:val="00717065"/>
    <w:rsid w:val="007171A7"/>
    <w:rsid w:val="007172AD"/>
    <w:rsid w:val="00717AE6"/>
    <w:rsid w:val="00720283"/>
    <w:rsid w:val="00720A41"/>
    <w:rsid w:val="00720B59"/>
    <w:rsid w:val="00721781"/>
    <w:rsid w:val="0072238D"/>
    <w:rsid w:val="00722853"/>
    <w:rsid w:val="00722DAE"/>
    <w:rsid w:val="00722E72"/>
    <w:rsid w:val="0072356F"/>
    <w:rsid w:val="00723738"/>
    <w:rsid w:val="0072416F"/>
    <w:rsid w:val="00725E1B"/>
    <w:rsid w:val="0072705E"/>
    <w:rsid w:val="00727087"/>
    <w:rsid w:val="0072739A"/>
    <w:rsid w:val="00727694"/>
    <w:rsid w:val="00727EAD"/>
    <w:rsid w:val="00730221"/>
    <w:rsid w:val="007302CA"/>
    <w:rsid w:val="007305A4"/>
    <w:rsid w:val="00730DBE"/>
    <w:rsid w:val="007311E3"/>
    <w:rsid w:val="00731475"/>
    <w:rsid w:val="007318F9"/>
    <w:rsid w:val="00731A83"/>
    <w:rsid w:val="00731FC7"/>
    <w:rsid w:val="00731FE8"/>
    <w:rsid w:val="007326D6"/>
    <w:rsid w:val="0073273E"/>
    <w:rsid w:val="00732A90"/>
    <w:rsid w:val="007331C9"/>
    <w:rsid w:val="007333F8"/>
    <w:rsid w:val="0073378E"/>
    <w:rsid w:val="00733AC6"/>
    <w:rsid w:val="00733F96"/>
    <w:rsid w:val="007341B2"/>
    <w:rsid w:val="0073426C"/>
    <w:rsid w:val="00734582"/>
    <w:rsid w:val="00734990"/>
    <w:rsid w:val="00734D0C"/>
    <w:rsid w:val="00734D34"/>
    <w:rsid w:val="00735328"/>
    <w:rsid w:val="00735344"/>
    <w:rsid w:val="0073545D"/>
    <w:rsid w:val="00735A97"/>
    <w:rsid w:val="00735C0F"/>
    <w:rsid w:val="00735DF6"/>
    <w:rsid w:val="007360BB"/>
    <w:rsid w:val="007361B8"/>
    <w:rsid w:val="0073685B"/>
    <w:rsid w:val="00737066"/>
    <w:rsid w:val="00737A5F"/>
    <w:rsid w:val="00740130"/>
    <w:rsid w:val="00740143"/>
    <w:rsid w:val="007402E9"/>
    <w:rsid w:val="00740344"/>
    <w:rsid w:val="0074044B"/>
    <w:rsid w:val="0074053F"/>
    <w:rsid w:val="007406E2"/>
    <w:rsid w:val="00740B00"/>
    <w:rsid w:val="00740EFE"/>
    <w:rsid w:val="0074120A"/>
    <w:rsid w:val="00741666"/>
    <w:rsid w:val="00741BE1"/>
    <w:rsid w:val="007422DE"/>
    <w:rsid w:val="00742517"/>
    <w:rsid w:val="007428AB"/>
    <w:rsid w:val="00742969"/>
    <w:rsid w:val="00742C38"/>
    <w:rsid w:val="00742DC7"/>
    <w:rsid w:val="00742E56"/>
    <w:rsid w:val="0074340D"/>
    <w:rsid w:val="007437AD"/>
    <w:rsid w:val="007439EF"/>
    <w:rsid w:val="00743A62"/>
    <w:rsid w:val="00743C64"/>
    <w:rsid w:val="00743F2A"/>
    <w:rsid w:val="00743FB7"/>
    <w:rsid w:val="0074474C"/>
    <w:rsid w:val="0074486D"/>
    <w:rsid w:val="007449FF"/>
    <w:rsid w:val="00745422"/>
    <w:rsid w:val="00745BEA"/>
    <w:rsid w:val="00745BED"/>
    <w:rsid w:val="00745E86"/>
    <w:rsid w:val="00746017"/>
    <w:rsid w:val="00746050"/>
    <w:rsid w:val="0074615E"/>
    <w:rsid w:val="00746418"/>
    <w:rsid w:val="007468C3"/>
    <w:rsid w:val="007469B0"/>
    <w:rsid w:val="00746A6F"/>
    <w:rsid w:val="00746A8A"/>
    <w:rsid w:val="00746D79"/>
    <w:rsid w:val="007475B9"/>
    <w:rsid w:val="00747D2F"/>
    <w:rsid w:val="00750A7A"/>
    <w:rsid w:val="00750E9C"/>
    <w:rsid w:val="00750F4A"/>
    <w:rsid w:val="007514E7"/>
    <w:rsid w:val="00751BD0"/>
    <w:rsid w:val="00751FDB"/>
    <w:rsid w:val="0075243D"/>
    <w:rsid w:val="007524A9"/>
    <w:rsid w:val="00752996"/>
    <w:rsid w:val="007537A8"/>
    <w:rsid w:val="00754004"/>
    <w:rsid w:val="0075467D"/>
    <w:rsid w:val="0075469C"/>
    <w:rsid w:val="007546F2"/>
    <w:rsid w:val="0075489A"/>
    <w:rsid w:val="00754A8A"/>
    <w:rsid w:val="00754AA6"/>
    <w:rsid w:val="00754E9B"/>
    <w:rsid w:val="00754F0F"/>
    <w:rsid w:val="00755556"/>
    <w:rsid w:val="00755B85"/>
    <w:rsid w:val="00755BA3"/>
    <w:rsid w:val="00755E66"/>
    <w:rsid w:val="00755EB4"/>
    <w:rsid w:val="00755FBD"/>
    <w:rsid w:val="00756972"/>
    <w:rsid w:val="00756BE0"/>
    <w:rsid w:val="00756CB7"/>
    <w:rsid w:val="00757ACB"/>
    <w:rsid w:val="00757B96"/>
    <w:rsid w:val="007602D6"/>
    <w:rsid w:val="0076080C"/>
    <w:rsid w:val="00760D7F"/>
    <w:rsid w:val="00761261"/>
    <w:rsid w:val="007612B6"/>
    <w:rsid w:val="00761920"/>
    <w:rsid w:val="00761AEC"/>
    <w:rsid w:val="00761BF9"/>
    <w:rsid w:val="00762615"/>
    <w:rsid w:val="00762704"/>
    <w:rsid w:val="00762D8B"/>
    <w:rsid w:val="00762F05"/>
    <w:rsid w:val="007631AB"/>
    <w:rsid w:val="007634CC"/>
    <w:rsid w:val="007637DE"/>
    <w:rsid w:val="00763BBA"/>
    <w:rsid w:val="0076464B"/>
    <w:rsid w:val="007646BE"/>
    <w:rsid w:val="0076486B"/>
    <w:rsid w:val="00764D41"/>
    <w:rsid w:val="007652F2"/>
    <w:rsid w:val="00765340"/>
    <w:rsid w:val="00765933"/>
    <w:rsid w:val="00765C8F"/>
    <w:rsid w:val="00765F3B"/>
    <w:rsid w:val="0076621A"/>
    <w:rsid w:val="0076680D"/>
    <w:rsid w:val="0076682C"/>
    <w:rsid w:val="00766AFB"/>
    <w:rsid w:val="00766E5F"/>
    <w:rsid w:val="00766FBA"/>
    <w:rsid w:val="00767671"/>
    <w:rsid w:val="007676FF"/>
    <w:rsid w:val="007677F1"/>
    <w:rsid w:val="00767A41"/>
    <w:rsid w:val="00767D44"/>
    <w:rsid w:val="00767EDD"/>
    <w:rsid w:val="00767F71"/>
    <w:rsid w:val="00770032"/>
    <w:rsid w:val="00770A63"/>
    <w:rsid w:val="00770AE7"/>
    <w:rsid w:val="00770DD1"/>
    <w:rsid w:val="00770E99"/>
    <w:rsid w:val="00770F87"/>
    <w:rsid w:val="00771349"/>
    <w:rsid w:val="00771521"/>
    <w:rsid w:val="00771FE1"/>
    <w:rsid w:val="00771FEA"/>
    <w:rsid w:val="0077207B"/>
    <w:rsid w:val="007721C2"/>
    <w:rsid w:val="0077266C"/>
    <w:rsid w:val="0077269B"/>
    <w:rsid w:val="007729DE"/>
    <w:rsid w:val="00772C18"/>
    <w:rsid w:val="00772FA6"/>
    <w:rsid w:val="00773384"/>
    <w:rsid w:val="007733E0"/>
    <w:rsid w:val="0077382E"/>
    <w:rsid w:val="00773D1C"/>
    <w:rsid w:val="00773F65"/>
    <w:rsid w:val="00774467"/>
    <w:rsid w:val="007746FB"/>
    <w:rsid w:val="00774972"/>
    <w:rsid w:val="00774BA1"/>
    <w:rsid w:val="00774DE7"/>
    <w:rsid w:val="007750ED"/>
    <w:rsid w:val="007751F6"/>
    <w:rsid w:val="007752A5"/>
    <w:rsid w:val="00776115"/>
    <w:rsid w:val="00776346"/>
    <w:rsid w:val="007766BE"/>
    <w:rsid w:val="00776A9B"/>
    <w:rsid w:val="00776BC9"/>
    <w:rsid w:val="00776DA2"/>
    <w:rsid w:val="00777CB9"/>
    <w:rsid w:val="00777E78"/>
    <w:rsid w:val="00777F36"/>
    <w:rsid w:val="00780110"/>
    <w:rsid w:val="00780153"/>
    <w:rsid w:val="00780313"/>
    <w:rsid w:val="00780336"/>
    <w:rsid w:val="00780877"/>
    <w:rsid w:val="00780A4E"/>
    <w:rsid w:val="00780C6D"/>
    <w:rsid w:val="0078139C"/>
    <w:rsid w:val="00782054"/>
    <w:rsid w:val="00782286"/>
    <w:rsid w:val="007823DA"/>
    <w:rsid w:val="0078240B"/>
    <w:rsid w:val="00782537"/>
    <w:rsid w:val="007825D8"/>
    <w:rsid w:val="0078268D"/>
    <w:rsid w:val="007829B3"/>
    <w:rsid w:val="00782E17"/>
    <w:rsid w:val="0078307E"/>
    <w:rsid w:val="00784269"/>
    <w:rsid w:val="007842F2"/>
    <w:rsid w:val="0078433B"/>
    <w:rsid w:val="007844CD"/>
    <w:rsid w:val="0078480A"/>
    <w:rsid w:val="0078481D"/>
    <w:rsid w:val="0078488B"/>
    <w:rsid w:val="00784924"/>
    <w:rsid w:val="00784BAE"/>
    <w:rsid w:val="00784BBB"/>
    <w:rsid w:val="007851F4"/>
    <w:rsid w:val="00785A8A"/>
    <w:rsid w:val="00785D0F"/>
    <w:rsid w:val="007866DC"/>
    <w:rsid w:val="00786800"/>
    <w:rsid w:val="00786912"/>
    <w:rsid w:val="00786ADF"/>
    <w:rsid w:val="00786E75"/>
    <w:rsid w:val="00787031"/>
    <w:rsid w:val="00787263"/>
    <w:rsid w:val="007873E9"/>
    <w:rsid w:val="007879E7"/>
    <w:rsid w:val="0079012E"/>
    <w:rsid w:val="0079052B"/>
    <w:rsid w:val="00790B05"/>
    <w:rsid w:val="00790CF7"/>
    <w:rsid w:val="00790E04"/>
    <w:rsid w:val="00790E6B"/>
    <w:rsid w:val="007912A0"/>
    <w:rsid w:val="00791627"/>
    <w:rsid w:val="00791D74"/>
    <w:rsid w:val="007923B1"/>
    <w:rsid w:val="00792557"/>
    <w:rsid w:val="0079256C"/>
    <w:rsid w:val="007929A0"/>
    <w:rsid w:val="007929CC"/>
    <w:rsid w:val="00792CCE"/>
    <w:rsid w:val="00792DFE"/>
    <w:rsid w:val="00792E10"/>
    <w:rsid w:val="007933B0"/>
    <w:rsid w:val="007937EB"/>
    <w:rsid w:val="00793D16"/>
    <w:rsid w:val="00794115"/>
    <w:rsid w:val="007941BF"/>
    <w:rsid w:val="0079451B"/>
    <w:rsid w:val="00794619"/>
    <w:rsid w:val="00794AEB"/>
    <w:rsid w:val="00794FD9"/>
    <w:rsid w:val="00795020"/>
    <w:rsid w:val="007951A8"/>
    <w:rsid w:val="00795210"/>
    <w:rsid w:val="0079548F"/>
    <w:rsid w:val="00795540"/>
    <w:rsid w:val="0079566C"/>
    <w:rsid w:val="007965FD"/>
    <w:rsid w:val="00796A26"/>
    <w:rsid w:val="00796F38"/>
    <w:rsid w:val="007973E9"/>
    <w:rsid w:val="00797489"/>
    <w:rsid w:val="00797712"/>
    <w:rsid w:val="00797990"/>
    <w:rsid w:val="00797CF3"/>
    <w:rsid w:val="00797DE3"/>
    <w:rsid w:val="007A0127"/>
    <w:rsid w:val="007A022B"/>
    <w:rsid w:val="007A03B8"/>
    <w:rsid w:val="007A03FF"/>
    <w:rsid w:val="007A059E"/>
    <w:rsid w:val="007A05CF"/>
    <w:rsid w:val="007A085E"/>
    <w:rsid w:val="007A0A11"/>
    <w:rsid w:val="007A0A12"/>
    <w:rsid w:val="007A0A2E"/>
    <w:rsid w:val="007A0CE8"/>
    <w:rsid w:val="007A0FD9"/>
    <w:rsid w:val="007A1185"/>
    <w:rsid w:val="007A1203"/>
    <w:rsid w:val="007A1614"/>
    <w:rsid w:val="007A1CDA"/>
    <w:rsid w:val="007A2644"/>
    <w:rsid w:val="007A2C95"/>
    <w:rsid w:val="007A383D"/>
    <w:rsid w:val="007A38B5"/>
    <w:rsid w:val="007A3BD4"/>
    <w:rsid w:val="007A446C"/>
    <w:rsid w:val="007A4544"/>
    <w:rsid w:val="007A4703"/>
    <w:rsid w:val="007A475F"/>
    <w:rsid w:val="007A4EE9"/>
    <w:rsid w:val="007A5163"/>
    <w:rsid w:val="007A53F0"/>
    <w:rsid w:val="007A5472"/>
    <w:rsid w:val="007A5644"/>
    <w:rsid w:val="007A58C4"/>
    <w:rsid w:val="007A5D80"/>
    <w:rsid w:val="007A6C8A"/>
    <w:rsid w:val="007A7083"/>
    <w:rsid w:val="007A7B79"/>
    <w:rsid w:val="007B000C"/>
    <w:rsid w:val="007B02D3"/>
    <w:rsid w:val="007B0F13"/>
    <w:rsid w:val="007B1403"/>
    <w:rsid w:val="007B1BA0"/>
    <w:rsid w:val="007B1F7A"/>
    <w:rsid w:val="007B2243"/>
    <w:rsid w:val="007B251D"/>
    <w:rsid w:val="007B2558"/>
    <w:rsid w:val="007B2732"/>
    <w:rsid w:val="007B2948"/>
    <w:rsid w:val="007B2B4F"/>
    <w:rsid w:val="007B2F8E"/>
    <w:rsid w:val="007B3449"/>
    <w:rsid w:val="007B3506"/>
    <w:rsid w:val="007B3815"/>
    <w:rsid w:val="007B38A6"/>
    <w:rsid w:val="007B390E"/>
    <w:rsid w:val="007B3939"/>
    <w:rsid w:val="007B3F9E"/>
    <w:rsid w:val="007B4346"/>
    <w:rsid w:val="007B44BA"/>
    <w:rsid w:val="007B496B"/>
    <w:rsid w:val="007B51D8"/>
    <w:rsid w:val="007B581F"/>
    <w:rsid w:val="007B5AC3"/>
    <w:rsid w:val="007B5E3A"/>
    <w:rsid w:val="007B5EC7"/>
    <w:rsid w:val="007B6121"/>
    <w:rsid w:val="007B6D9A"/>
    <w:rsid w:val="007B711E"/>
    <w:rsid w:val="007B7601"/>
    <w:rsid w:val="007B7704"/>
    <w:rsid w:val="007B77D1"/>
    <w:rsid w:val="007B7961"/>
    <w:rsid w:val="007B7A08"/>
    <w:rsid w:val="007C00DC"/>
    <w:rsid w:val="007C0262"/>
    <w:rsid w:val="007C048C"/>
    <w:rsid w:val="007C05E7"/>
    <w:rsid w:val="007C10AA"/>
    <w:rsid w:val="007C14DF"/>
    <w:rsid w:val="007C1A0D"/>
    <w:rsid w:val="007C1A7A"/>
    <w:rsid w:val="007C1DBA"/>
    <w:rsid w:val="007C217F"/>
    <w:rsid w:val="007C2C94"/>
    <w:rsid w:val="007C2E72"/>
    <w:rsid w:val="007C3522"/>
    <w:rsid w:val="007C361D"/>
    <w:rsid w:val="007C391E"/>
    <w:rsid w:val="007C3E78"/>
    <w:rsid w:val="007C3F10"/>
    <w:rsid w:val="007C3FE7"/>
    <w:rsid w:val="007C43BC"/>
    <w:rsid w:val="007C466A"/>
    <w:rsid w:val="007C4976"/>
    <w:rsid w:val="007C4D0B"/>
    <w:rsid w:val="007C4E53"/>
    <w:rsid w:val="007C4F56"/>
    <w:rsid w:val="007C5657"/>
    <w:rsid w:val="007C5686"/>
    <w:rsid w:val="007C5B2F"/>
    <w:rsid w:val="007C5BCD"/>
    <w:rsid w:val="007C5FB1"/>
    <w:rsid w:val="007C66AC"/>
    <w:rsid w:val="007C692B"/>
    <w:rsid w:val="007C6B13"/>
    <w:rsid w:val="007C6B46"/>
    <w:rsid w:val="007C6E0B"/>
    <w:rsid w:val="007C6E38"/>
    <w:rsid w:val="007C7378"/>
    <w:rsid w:val="007C758C"/>
    <w:rsid w:val="007C7D7D"/>
    <w:rsid w:val="007D004F"/>
    <w:rsid w:val="007D020A"/>
    <w:rsid w:val="007D0B38"/>
    <w:rsid w:val="007D0C25"/>
    <w:rsid w:val="007D112A"/>
    <w:rsid w:val="007D13DF"/>
    <w:rsid w:val="007D1D56"/>
    <w:rsid w:val="007D1DE5"/>
    <w:rsid w:val="007D22F0"/>
    <w:rsid w:val="007D236A"/>
    <w:rsid w:val="007D275C"/>
    <w:rsid w:val="007D2B6A"/>
    <w:rsid w:val="007D2D97"/>
    <w:rsid w:val="007D2F0F"/>
    <w:rsid w:val="007D3298"/>
    <w:rsid w:val="007D37AC"/>
    <w:rsid w:val="007D41CF"/>
    <w:rsid w:val="007D46F5"/>
    <w:rsid w:val="007D4D6B"/>
    <w:rsid w:val="007D4EF0"/>
    <w:rsid w:val="007D5BD4"/>
    <w:rsid w:val="007D5E5C"/>
    <w:rsid w:val="007D63D7"/>
    <w:rsid w:val="007D65C8"/>
    <w:rsid w:val="007D7735"/>
    <w:rsid w:val="007D78A0"/>
    <w:rsid w:val="007D7B83"/>
    <w:rsid w:val="007D7EA5"/>
    <w:rsid w:val="007E0510"/>
    <w:rsid w:val="007E096C"/>
    <w:rsid w:val="007E0C1C"/>
    <w:rsid w:val="007E0CC7"/>
    <w:rsid w:val="007E0E69"/>
    <w:rsid w:val="007E0F50"/>
    <w:rsid w:val="007E0FEF"/>
    <w:rsid w:val="007E13F8"/>
    <w:rsid w:val="007E1907"/>
    <w:rsid w:val="007E1B3F"/>
    <w:rsid w:val="007E21DC"/>
    <w:rsid w:val="007E2346"/>
    <w:rsid w:val="007E2E31"/>
    <w:rsid w:val="007E2FE7"/>
    <w:rsid w:val="007E36F6"/>
    <w:rsid w:val="007E39B2"/>
    <w:rsid w:val="007E42FA"/>
    <w:rsid w:val="007E49C8"/>
    <w:rsid w:val="007E4F29"/>
    <w:rsid w:val="007E5DDE"/>
    <w:rsid w:val="007E602A"/>
    <w:rsid w:val="007E64A2"/>
    <w:rsid w:val="007E6866"/>
    <w:rsid w:val="007E6B91"/>
    <w:rsid w:val="007E6C78"/>
    <w:rsid w:val="007E70A8"/>
    <w:rsid w:val="007E71DC"/>
    <w:rsid w:val="007E786A"/>
    <w:rsid w:val="007E7B80"/>
    <w:rsid w:val="007F005F"/>
    <w:rsid w:val="007F02A4"/>
    <w:rsid w:val="007F0D38"/>
    <w:rsid w:val="007F1017"/>
    <w:rsid w:val="007F17F3"/>
    <w:rsid w:val="007F189A"/>
    <w:rsid w:val="007F191F"/>
    <w:rsid w:val="007F1A12"/>
    <w:rsid w:val="007F1AFB"/>
    <w:rsid w:val="007F2001"/>
    <w:rsid w:val="007F283F"/>
    <w:rsid w:val="007F296A"/>
    <w:rsid w:val="007F2D15"/>
    <w:rsid w:val="007F381A"/>
    <w:rsid w:val="007F3830"/>
    <w:rsid w:val="007F3EA7"/>
    <w:rsid w:val="007F3EF9"/>
    <w:rsid w:val="007F3F39"/>
    <w:rsid w:val="007F4689"/>
    <w:rsid w:val="007F4701"/>
    <w:rsid w:val="007F48A8"/>
    <w:rsid w:val="007F4A3F"/>
    <w:rsid w:val="007F54BE"/>
    <w:rsid w:val="007F5CFD"/>
    <w:rsid w:val="007F5E2C"/>
    <w:rsid w:val="007F5E3D"/>
    <w:rsid w:val="007F67F7"/>
    <w:rsid w:val="007F6B3F"/>
    <w:rsid w:val="007F6DDA"/>
    <w:rsid w:val="007F6E5C"/>
    <w:rsid w:val="007F717F"/>
    <w:rsid w:val="007F724D"/>
    <w:rsid w:val="007F779B"/>
    <w:rsid w:val="007F78C0"/>
    <w:rsid w:val="007F7FDD"/>
    <w:rsid w:val="0080048B"/>
    <w:rsid w:val="008004B3"/>
    <w:rsid w:val="008008AE"/>
    <w:rsid w:val="008011AA"/>
    <w:rsid w:val="0080137D"/>
    <w:rsid w:val="00801399"/>
    <w:rsid w:val="00801509"/>
    <w:rsid w:val="008015EB"/>
    <w:rsid w:val="00801834"/>
    <w:rsid w:val="008018A4"/>
    <w:rsid w:val="008018D3"/>
    <w:rsid w:val="00801B3D"/>
    <w:rsid w:val="00801D42"/>
    <w:rsid w:val="008028C6"/>
    <w:rsid w:val="00802B99"/>
    <w:rsid w:val="00803107"/>
    <w:rsid w:val="0080397E"/>
    <w:rsid w:val="008043AB"/>
    <w:rsid w:val="00804EB5"/>
    <w:rsid w:val="00805142"/>
    <w:rsid w:val="00805253"/>
    <w:rsid w:val="00805375"/>
    <w:rsid w:val="008056AC"/>
    <w:rsid w:val="00805754"/>
    <w:rsid w:val="00806598"/>
    <w:rsid w:val="00806638"/>
    <w:rsid w:val="00806CDA"/>
    <w:rsid w:val="00806FD0"/>
    <w:rsid w:val="00807319"/>
    <w:rsid w:val="00807438"/>
    <w:rsid w:val="008077A8"/>
    <w:rsid w:val="00807A8B"/>
    <w:rsid w:val="008101FB"/>
    <w:rsid w:val="00810A6C"/>
    <w:rsid w:val="00810E6F"/>
    <w:rsid w:val="008115BE"/>
    <w:rsid w:val="008116FF"/>
    <w:rsid w:val="0081211E"/>
    <w:rsid w:val="00812149"/>
    <w:rsid w:val="00812370"/>
    <w:rsid w:val="00812372"/>
    <w:rsid w:val="00812732"/>
    <w:rsid w:val="008129E3"/>
    <w:rsid w:val="00812ED7"/>
    <w:rsid w:val="00813185"/>
    <w:rsid w:val="008132E8"/>
    <w:rsid w:val="00813393"/>
    <w:rsid w:val="0081448E"/>
    <w:rsid w:val="00814881"/>
    <w:rsid w:val="00814C7F"/>
    <w:rsid w:val="00814EBF"/>
    <w:rsid w:val="00814ED2"/>
    <w:rsid w:val="00814F7B"/>
    <w:rsid w:val="00815141"/>
    <w:rsid w:val="0081541E"/>
    <w:rsid w:val="00815E63"/>
    <w:rsid w:val="00815F9D"/>
    <w:rsid w:val="008162F1"/>
    <w:rsid w:val="008164D2"/>
    <w:rsid w:val="008165E0"/>
    <w:rsid w:val="008166EF"/>
    <w:rsid w:val="00816DC2"/>
    <w:rsid w:val="008179BB"/>
    <w:rsid w:val="00817B72"/>
    <w:rsid w:val="00820D4B"/>
    <w:rsid w:val="00821B1D"/>
    <w:rsid w:val="00821BB6"/>
    <w:rsid w:val="00821C85"/>
    <w:rsid w:val="00821E6F"/>
    <w:rsid w:val="00821F16"/>
    <w:rsid w:val="00821F39"/>
    <w:rsid w:val="008222D3"/>
    <w:rsid w:val="0082339C"/>
    <w:rsid w:val="0082351E"/>
    <w:rsid w:val="008235DC"/>
    <w:rsid w:val="00823A38"/>
    <w:rsid w:val="00823B5C"/>
    <w:rsid w:val="00823BE0"/>
    <w:rsid w:val="00824130"/>
    <w:rsid w:val="0082473A"/>
    <w:rsid w:val="00824E3F"/>
    <w:rsid w:val="00824F9F"/>
    <w:rsid w:val="00825117"/>
    <w:rsid w:val="008254AA"/>
    <w:rsid w:val="00825629"/>
    <w:rsid w:val="00825B0C"/>
    <w:rsid w:val="00825E61"/>
    <w:rsid w:val="008264EB"/>
    <w:rsid w:val="00826777"/>
    <w:rsid w:val="00826EC8"/>
    <w:rsid w:val="00827179"/>
    <w:rsid w:val="008271C7"/>
    <w:rsid w:val="008278E9"/>
    <w:rsid w:val="00827C38"/>
    <w:rsid w:val="00827CFD"/>
    <w:rsid w:val="00827DCD"/>
    <w:rsid w:val="008303B8"/>
    <w:rsid w:val="008303CD"/>
    <w:rsid w:val="00830826"/>
    <w:rsid w:val="00830B76"/>
    <w:rsid w:val="00830D21"/>
    <w:rsid w:val="00830E96"/>
    <w:rsid w:val="00830F9E"/>
    <w:rsid w:val="00830FA7"/>
    <w:rsid w:val="0083122A"/>
    <w:rsid w:val="008312A6"/>
    <w:rsid w:val="00831A38"/>
    <w:rsid w:val="00831A62"/>
    <w:rsid w:val="00831D6D"/>
    <w:rsid w:val="00831EBD"/>
    <w:rsid w:val="008320D9"/>
    <w:rsid w:val="008321E5"/>
    <w:rsid w:val="0083263B"/>
    <w:rsid w:val="00832E6C"/>
    <w:rsid w:val="00833441"/>
    <w:rsid w:val="0083396A"/>
    <w:rsid w:val="00833B05"/>
    <w:rsid w:val="00833D2B"/>
    <w:rsid w:val="00834185"/>
    <w:rsid w:val="008349F1"/>
    <w:rsid w:val="00834C2D"/>
    <w:rsid w:val="00834CA1"/>
    <w:rsid w:val="00834CF1"/>
    <w:rsid w:val="00834F0B"/>
    <w:rsid w:val="008353F4"/>
    <w:rsid w:val="008354DB"/>
    <w:rsid w:val="00835560"/>
    <w:rsid w:val="00835E08"/>
    <w:rsid w:val="008360A8"/>
    <w:rsid w:val="008363E4"/>
    <w:rsid w:val="00836AB4"/>
    <w:rsid w:val="00836E89"/>
    <w:rsid w:val="008372AD"/>
    <w:rsid w:val="00837A7E"/>
    <w:rsid w:val="00837E2D"/>
    <w:rsid w:val="00837EF6"/>
    <w:rsid w:val="008401DF"/>
    <w:rsid w:val="008403E4"/>
    <w:rsid w:val="00840501"/>
    <w:rsid w:val="00840683"/>
    <w:rsid w:val="00840755"/>
    <w:rsid w:val="0084089A"/>
    <w:rsid w:val="00840ADF"/>
    <w:rsid w:val="00840B10"/>
    <w:rsid w:val="00840B32"/>
    <w:rsid w:val="00840CA2"/>
    <w:rsid w:val="00840DD9"/>
    <w:rsid w:val="00840E65"/>
    <w:rsid w:val="00841194"/>
    <w:rsid w:val="008416F7"/>
    <w:rsid w:val="00841BE4"/>
    <w:rsid w:val="00841E7A"/>
    <w:rsid w:val="00841EFE"/>
    <w:rsid w:val="008426C9"/>
    <w:rsid w:val="00842B16"/>
    <w:rsid w:val="00842B8A"/>
    <w:rsid w:val="00842BBC"/>
    <w:rsid w:val="00842D74"/>
    <w:rsid w:val="008433E8"/>
    <w:rsid w:val="008437CE"/>
    <w:rsid w:val="00843878"/>
    <w:rsid w:val="00844720"/>
    <w:rsid w:val="008448E1"/>
    <w:rsid w:val="008449CC"/>
    <w:rsid w:val="00844D80"/>
    <w:rsid w:val="00845013"/>
    <w:rsid w:val="0084563C"/>
    <w:rsid w:val="008458BC"/>
    <w:rsid w:val="008458F6"/>
    <w:rsid w:val="0084593F"/>
    <w:rsid w:val="0084607F"/>
    <w:rsid w:val="00847047"/>
    <w:rsid w:val="0084704B"/>
    <w:rsid w:val="008471F3"/>
    <w:rsid w:val="00847257"/>
    <w:rsid w:val="00847628"/>
    <w:rsid w:val="00847E1C"/>
    <w:rsid w:val="008501D1"/>
    <w:rsid w:val="0085066D"/>
    <w:rsid w:val="008507D9"/>
    <w:rsid w:val="00850BD5"/>
    <w:rsid w:val="00850DE5"/>
    <w:rsid w:val="00850ED7"/>
    <w:rsid w:val="0085132A"/>
    <w:rsid w:val="0085180F"/>
    <w:rsid w:val="00851A68"/>
    <w:rsid w:val="00851C6D"/>
    <w:rsid w:val="00851CD9"/>
    <w:rsid w:val="008524CB"/>
    <w:rsid w:val="00852DD3"/>
    <w:rsid w:val="008546D7"/>
    <w:rsid w:val="00854BF4"/>
    <w:rsid w:val="0085503D"/>
    <w:rsid w:val="008555E1"/>
    <w:rsid w:val="00855636"/>
    <w:rsid w:val="008556D2"/>
    <w:rsid w:val="00855DCA"/>
    <w:rsid w:val="00856089"/>
    <w:rsid w:val="00856270"/>
    <w:rsid w:val="0085645C"/>
    <w:rsid w:val="00856545"/>
    <w:rsid w:val="00856734"/>
    <w:rsid w:val="00856E9A"/>
    <w:rsid w:val="00860144"/>
    <w:rsid w:val="0086043A"/>
    <w:rsid w:val="00860733"/>
    <w:rsid w:val="00860CE4"/>
    <w:rsid w:val="00860E83"/>
    <w:rsid w:val="0086109D"/>
    <w:rsid w:val="00861218"/>
    <w:rsid w:val="00861436"/>
    <w:rsid w:val="008614E4"/>
    <w:rsid w:val="00861A90"/>
    <w:rsid w:val="00861B4C"/>
    <w:rsid w:val="00861DE3"/>
    <w:rsid w:val="0086203E"/>
    <w:rsid w:val="00862502"/>
    <w:rsid w:val="00862A66"/>
    <w:rsid w:val="00862AB8"/>
    <w:rsid w:val="00862CF7"/>
    <w:rsid w:val="00862DF3"/>
    <w:rsid w:val="00863029"/>
    <w:rsid w:val="00863082"/>
    <w:rsid w:val="00863090"/>
    <w:rsid w:val="00863120"/>
    <w:rsid w:val="008631D3"/>
    <w:rsid w:val="0086357A"/>
    <w:rsid w:val="00863F41"/>
    <w:rsid w:val="0086419F"/>
    <w:rsid w:val="0086524D"/>
    <w:rsid w:val="00865CE8"/>
    <w:rsid w:val="00866145"/>
    <w:rsid w:val="0086640E"/>
    <w:rsid w:val="00866615"/>
    <w:rsid w:val="00867989"/>
    <w:rsid w:val="00867AA4"/>
    <w:rsid w:val="00867B6E"/>
    <w:rsid w:val="00867C06"/>
    <w:rsid w:val="00867E95"/>
    <w:rsid w:val="0087014F"/>
    <w:rsid w:val="008702E1"/>
    <w:rsid w:val="0087047A"/>
    <w:rsid w:val="00870A6F"/>
    <w:rsid w:val="00870CC5"/>
    <w:rsid w:val="008713D0"/>
    <w:rsid w:val="00871861"/>
    <w:rsid w:val="00871961"/>
    <w:rsid w:val="008719C2"/>
    <w:rsid w:val="00871CD2"/>
    <w:rsid w:val="008722CC"/>
    <w:rsid w:val="00872A93"/>
    <w:rsid w:val="00872C27"/>
    <w:rsid w:val="008730DE"/>
    <w:rsid w:val="00873393"/>
    <w:rsid w:val="008734E7"/>
    <w:rsid w:val="008741B3"/>
    <w:rsid w:val="00874807"/>
    <w:rsid w:val="008748D3"/>
    <w:rsid w:val="00874924"/>
    <w:rsid w:val="00874A77"/>
    <w:rsid w:val="00874C1E"/>
    <w:rsid w:val="00874DEC"/>
    <w:rsid w:val="00875011"/>
    <w:rsid w:val="008759B2"/>
    <w:rsid w:val="00875E9B"/>
    <w:rsid w:val="00875F82"/>
    <w:rsid w:val="008763BB"/>
    <w:rsid w:val="008767BD"/>
    <w:rsid w:val="00876F9D"/>
    <w:rsid w:val="00877482"/>
    <w:rsid w:val="008811DE"/>
    <w:rsid w:val="008814EB"/>
    <w:rsid w:val="00881718"/>
    <w:rsid w:val="008817F2"/>
    <w:rsid w:val="00881C8C"/>
    <w:rsid w:val="00882540"/>
    <w:rsid w:val="008827D1"/>
    <w:rsid w:val="00882874"/>
    <w:rsid w:val="00882AAD"/>
    <w:rsid w:val="00882EDD"/>
    <w:rsid w:val="008833BC"/>
    <w:rsid w:val="00883414"/>
    <w:rsid w:val="00883548"/>
    <w:rsid w:val="00883787"/>
    <w:rsid w:val="008838A3"/>
    <w:rsid w:val="00883A4E"/>
    <w:rsid w:val="00883F9A"/>
    <w:rsid w:val="00883FBA"/>
    <w:rsid w:val="008844E1"/>
    <w:rsid w:val="0088499F"/>
    <w:rsid w:val="00884CCB"/>
    <w:rsid w:val="008852B2"/>
    <w:rsid w:val="0088556D"/>
    <w:rsid w:val="00885A14"/>
    <w:rsid w:val="00886235"/>
    <w:rsid w:val="00886578"/>
    <w:rsid w:val="00886EB9"/>
    <w:rsid w:val="0088718A"/>
    <w:rsid w:val="00887459"/>
    <w:rsid w:val="00887712"/>
    <w:rsid w:val="008907E2"/>
    <w:rsid w:val="00890896"/>
    <w:rsid w:val="008909AD"/>
    <w:rsid w:val="00890B36"/>
    <w:rsid w:val="00891328"/>
    <w:rsid w:val="00891632"/>
    <w:rsid w:val="00891633"/>
    <w:rsid w:val="0089168B"/>
    <w:rsid w:val="0089178D"/>
    <w:rsid w:val="008918AF"/>
    <w:rsid w:val="00891AF0"/>
    <w:rsid w:val="00892C90"/>
    <w:rsid w:val="00892D56"/>
    <w:rsid w:val="00892D9D"/>
    <w:rsid w:val="00892EB8"/>
    <w:rsid w:val="0089333D"/>
    <w:rsid w:val="0089386A"/>
    <w:rsid w:val="00894380"/>
    <w:rsid w:val="0089443D"/>
    <w:rsid w:val="00894489"/>
    <w:rsid w:val="0089500E"/>
    <w:rsid w:val="008955F1"/>
    <w:rsid w:val="008955FD"/>
    <w:rsid w:val="008959BC"/>
    <w:rsid w:val="00895C7F"/>
    <w:rsid w:val="00896392"/>
    <w:rsid w:val="008963A5"/>
    <w:rsid w:val="0089662D"/>
    <w:rsid w:val="00896788"/>
    <w:rsid w:val="00896CD6"/>
    <w:rsid w:val="0089728F"/>
    <w:rsid w:val="00897C90"/>
    <w:rsid w:val="00897F89"/>
    <w:rsid w:val="008A0092"/>
    <w:rsid w:val="008A00D2"/>
    <w:rsid w:val="008A0510"/>
    <w:rsid w:val="008A0EEA"/>
    <w:rsid w:val="008A12E4"/>
    <w:rsid w:val="008A19BA"/>
    <w:rsid w:val="008A1D88"/>
    <w:rsid w:val="008A2172"/>
    <w:rsid w:val="008A2993"/>
    <w:rsid w:val="008A2DA6"/>
    <w:rsid w:val="008A311A"/>
    <w:rsid w:val="008A3308"/>
    <w:rsid w:val="008A395B"/>
    <w:rsid w:val="008A3C3E"/>
    <w:rsid w:val="008A4D65"/>
    <w:rsid w:val="008A4F9F"/>
    <w:rsid w:val="008A4FF5"/>
    <w:rsid w:val="008A6625"/>
    <w:rsid w:val="008A6634"/>
    <w:rsid w:val="008A6790"/>
    <w:rsid w:val="008A68B8"/>
    <w:rsid w:val="008A6D60"/>
    <w:rsid w:val="008A6E63"/>
    <w:rsid w:val="008A6F11"/>
    <w:rsid w:val="008A703F"/>
    <w:rsid w:val="008A73FA"/>
    <w:rsid w:val="008A74AE"/>
    <w:rsid w:val="008A7635"/>
    <w:rsid w:val="008A79DE"/>
    <w:rsid w:val="008A7C0C"/>
    <w:rsid w:val="008A7C4A"/>
    <w:rsid w:val="008B0236"/>
    <w:rsid w:val="008B0966"/>
    <w:rsid w:val="008B09F0"/>
    <w:rsid w:val="008B0B87"/>
    <w:rsid w:val="008B0E20"/>
    <w:rsid w:val="008B110F"/>
    <w:rsid w:val="008B16F7"/>
    <w:rsid w:val="008B1714"/>
    <w:rsid w:val="008B1F73"/>
    <w:rsid w:val="008B217A"/>
    <w:rsid w:val="008B28B8"/>
    <w:rsid w:val="008B290E"/>
    <w:rsid w:val="008B2FE3"/>
    <w:rsid w:val="008B3A48"/>
    <w:rsid w:val="008B3B81"/>
    <w:rsid w:val="008B3D15"/>
    <w:rsid w:val="008B3D82"/>
    <w:rsid w:val="008B40EF"/>
    <w:rsid w:val="008B4133"/>
    <w:rsid w:val="008B41F6"/>
    <w:rsid w:val="008B5E9B"/>
    <w:rsid w:val="008B62B0"/>
    <w:rsid w:val="008B6DCA"/>
    <w:rsid w:val="008B7754"/>
    <w:rsid w:val="008B77E1"/>
    <w:rsid w:val="008B7872"/>
    <w:rsid w:val="008B7A66"/>
    <w:rsid w:val="008B7AD0"/>
    <w:rsid w:val="008B7D7E"/>
    <w:rsid w:val="008C0772"/>
    <w:rsid w:val="008C0E92"/>
    <w:rsid w:val="008C0F89"/>
    <w:rsid w:val="008C1606"/>
    <w:rsid w:val="008C1AC0"/>
    <w:rsid w:val="008C1BD9"/>
    <w:rsid w:val="008C1C22"/>
    <w:rsid w:val="008C1C9F"/>
    <w:rsid w:val="008C1F3C"/>
    <w:rsid w:val="008C1FE0"/>
    <w:rsid w:val="008C20C5"/>
    <w:rsid w:val="008C26C2"/>
    <w:rsid w:val="008C2DB5"/>
    <w:rsid w:val="008C2E46"/>
    <w:rsid w:val="008C2FAB"/>
    <w:rsid w:val="008C344D"/>
    <w:rsid w:val="008C3485"/>
    <w:rsid w:val="008C3E6C"/>
    <w:rsid w:val="008C44DC"/>
    <w:rsid w:val="008C4B31"/>
    <w:rsid w:val="008C504C"/>
    <w:rsid w:val="008C5116"/>
    <w:rsid w:val="008C542D"/>
    <w:rsid w:val="008C5CCF"/>
    <w:rsid w:val="008C62CA"/>
    <w:rsid w:val="008C677C"/>
    <w:rsid w:val="008C6819"/>
    <w:rsid w:val="008C6C8E"/>
    <w:rsid w:val="008C701E"/>
    <w:rsid w:val="008C72B5"/>
    <w:rsid w:val="008C7644"/>
    <w:rsid w:val="008C7EC5"/>
    <w:rsid w:val="008C7ECB"/>
    <w:rsid w:val="008D005A"/>
    <w:rsid w:val="008D083E"/>
    <w:rsid w:val="008D0BD4"/>
    <w:rsid w:val="008D0BE4"/>
    <w:rsid w:val="008D0C0B"/>
    <w:rsid w:val="008D114D"/>
    <w:rsid w:val="008D1292"/>
    <w:rsid w:val="008D290F"/>
    <w:rsid w:val="008D2B5F"/>
    <w:rsid w:val="008D2E4C"/>
    <w:rsid w:val="008D3313"/>
    <w:rsid w:val="008D3A74"/>
    <w:rsid w:val="008D3D65"/>
    <w:rsid w:val="008D416D"/>
    <w:rsid w:val="008D41CE"/>
    <w:rsid w:val="008D42CE"/>
    <w:rsid w:val="008D4611"/>
    <w:rsid w:val="008D4F31"/>
    <w:rsid w:val="008D5696"/>
    <w:rsid w:val="008D61EA"/>
    <w:rsid w:val="008D65A5"/>
    <w:rsid w:val="008D671F"/>
    <w:rsid w:val="008D6B7E"/>
    <w:rsid w:val="008D6DA0"/>
    <w:rsid w:val="008D73E9"/>
    <w:rsid w:val="008D7543"/>
    <w:rsid w:val="008D7742"/>
    <w:rsid w:val="008D7A75"/>
    <w:rsid w:val="008D7BFF"/>
    <w:rsid w:val="008E098D"/>
    <w:rsid w:val="008E0B6F"/>
    <w:rsid w:val="008E0DFE"/>
    <w:rsid w:val="008E0F2A"/>
    <w:rsid w:val="008E1100"/>
    <w:rsid w:val="008E1620"/>
    <w:rsid w:val="008E1687"/>
    <w:rsid w:val="008E18DE"/>
    <w:rsid w:val="008E19D5"/>
    <w:rsid w:val="008E1B9E"/>
    <w:rsid w:val="008E1C50"/>
    <w:rsid w:val="008E1DF4"/>
    <w:rsid w:val="008E2133"/>
    <w:rsid w:val="008E2ECD"/>
    <w:rsid w:val="008E33A5"/>
    <w:rsid w:val="008E343F"/>
    <w:rsid w:val="008E36BC"/>
    <w:rsid w:val="008E3729"/>
    <w:rsid w:val="008E3AD3"/>
    <w:rsid w:val="008E3D6D"/>
    <w:rsid w:val="008E3D93"/>
    <w:rsid w:val="008E3FE0"/>
    <w:rsid w:val="008E4712"/>
    <w:rsid w:val="008E4B30"/>
    <w:rsid w:val="008E5170"/>
    <w:rsid w:val="008E5406"/>
    <w:rsid w:val="008E560A"/>
    <w:rsid w:val="008E5A90"/>
    <w:rsid w:val="008E6120"/>
    <w:rsid w:val="008E633C"/>
    <w:rsid w:val="008E7330"/>
    <w:rsid w:val="008E76FA"/>
    <w:rsid w:val="008E77E4"/>
    <w:rsid w:val="008F00F8"/>
    <w:rsid w:val="008F0444"/>
    <w:rsid w:val="008F0586"/>
    <w:rsid w:val="008F07E1"/>
    <w:rsid w:val="008F0984"/>
    <w:rsid w:val="008F0AA2"/>
    <w:rsid w:val="008F0B21"/>
    <w:rsid w:val="008F0BE7"/>
    <w:rsid w:val="008F0D04"/>
    <w:rsid w:val="008F1096"/>
    <w:rsid w:val="008F120A"/>
    <w:rsid w:val="008F15DC"/>
    <w:rsid w:val="008F1E34"/>
    <w:rsid w:val="008F1F0C"/>
    <w:rsid w:val="008F1F7E"/>
    <w:rsid w:val="008F217C"/>
    <w:rsid w:val="008F22F3"/>
    <w:rsid w:val="008F23A2"/>
    <w:rsid w:val="008F23CB"/>
    <w:rsid w:val="008F24E0"/>
    <w:rsid w:val="008F25DC"/>
    <w:rsid w:val="008F2615"/>
    <w:rsid w:val="008F282E"/>
    <w:rsid w:val="008F2B00"/>
    <w:rsid w:val="008F3A3E"/>
    <w:rsid w:val="008F3E76"/>
    <w:rsid w:val="008F3E80"/>
    <w:rsid w:val="008F4238"/>
    <w:rsid w:val="008F4367"/>
    <w:rsid w:val="008F48EB"/>
    <w:rsid w:val="008F4F0B"/>
    <w:rsid w:val="008F5018"/>
    <w:rsid w:val="008F5729"/>
    <w:rsid w:val="008F57F1"/>
    <w:rsid w:val="008F5904"/>
    <w:rsid w:val="008F63E5"/>
    <w:rsid w:val="008F6CAB"/>
    <w:rsid w:val="008F7128"/>
    <w:rsid w:val="008F7307"/>
    <w:rsid w:val="008F7547"/>
    <w:rsid w:val="008F7A92"/>
    <w:rsid w:val="00900139"/>
    <w:rsid w:val="0090033D"/>
    <w:rsid w:val="00900670"/>
    <w:rsid w:val="009007BC"/>
    <w:rsid w:val="00900F19"/>
    <w:rsid w:val="009013DA"/>
    <w:rsid w:val="0090146F"/>
    <w:rsid w:val="00901617"/>
    <w:rsid w:val="0090224F"/>
    <w:rsid w:val="0090225E"/>
    <w:rsid w:val="00902AA0"/>
    <w:rsid w:val="00902C77"/>
    <w:rsid w:val="00902E2B"/>
    <w:rsid w:val="00903A76"/>
    <w:rsid w:val="00903A83"/>
    <w:rsid w:val="00903E25"/>
    <w:rsid w:val="00904466"/>
    <w:rsid w:val="00904485"/>
    <w:rsid w:val="00904607"/>
    <w:rsid w:val="00904CCB"/>
    <w:rsid w:val="009051C0"/>
    <w:rsid w:val="009051EC"/>
    <w:rsid w:val="00905423"/>
    <w:rsid w:val="0090551A"/>
    <w:rsid w:val="00905937"/>
    <w:rsid w:val="00905BEA"/>
    <w:rsid w:val="009060D8"/>
    <w:rsid w:val="009062A5"/>
    <w:rsid w:val="00906646"/>
    <w:rsid w:val="00906AE0"/>
    <w:rsid w:val="00906F16"/>
    <w:rsid w:val="00907162"/>
    <w:rsid w:val="009072A8"/>
    <w:rsid w:val="009072DD"/>
    <w:rsid w:val="0090785B"/>
    <w:rsid w:val="00907D47"/>
    <w:rsid w:val="00907EEE"/>
    <w:rsid w:val="00910B10"/>
    <w:rsid w:val="00910B75"/>
    <w:rsid w:val="00911272"/>
    <w:rsid w:val="00911535"/>
    <w:rsid w:val="00911C3F"/>
    <w:rsid w:val="0091209F"/>
    <w:rsid w:val="00912196"/>
    <w:rsid w:val="009122DD"/>
    <w:rsid w:val="0091282A"/>
    <w:rsid w:val="0091283A"/>
    <w:rsid w:val="00912EB7"/>
    <w:rsid w:val="00913419"/>
    <w:rsid w:val="0091355A"/>
    <w:rsid w:val="00913605"/>
    <w:rsid w:val="009138C9"/>
    <w:rsid w:val="00913B3B"/>
    <w:rsid w:val="00913B4D"/>
    <w:rsid w:val="00913CDB"/>
    <w:rsid w:val="00914195"/>
    <w:rsid w:val="009142F1"/>
    <w:rsid w:val="00914731"/>
    <w:rsid w:val="00914E90"/>
    <w:rsid w:val="00915071"/>
    <w:rsid w:val="00915574"/>
    <w:rsid w:val="0091570A"/>
    <w:rsid w:val="0091586C"/>
    <w:rsid w:val="00915C0A"/>
    <w:rsid w:val="00915D54"/>
    <w:rsid w:val="009164A7"/>
    <w:rsid w:val="00916901"/>
    <w:rsid w:val="0091702C"/>
    <w:rsid w:val="00917171"/>
    <w:rsid w:val="00917F69"/>
    <w:rsid w:val="0092004C"/>
    <w:rsid w:val="00920082"/>
    <w:rsid w:val="0092068A"/>
    <w:rsid w:val="00920793"/>
    <w:rsid w:val="00920F74"/>
    <w:rsid w:val="0092130D"/>
    <w:rsid w:val="009215CF"/>
    <w:rsid w:val="00921AEB"/>
    <w:rsid w:val="00921B41"/>
    <w:rsid w:val="009220A1"/>
    <w:rsid w:val="0092259C"/>
    <w:rsid w:val="009226A0"/>
    <w:rsid w:val="009226E4"/>
    <w:rsid w:val="00922839"/>
    <w:rsid w:val="00922DE6"/>
    <w:rsid w:val="00923888"/>
    <w:rsid w:val="00923EE3"/>
    <w:rsid w:val="00924285"/>
    <w:rsid w:val="0092487B"/>
    <w:rsid w:val="00924965"/>
    <w:rsid w:val="00924FD2"/>
    <w:rsid w:val="00925985"/>
    <w:rsid w:val="00925FAB"/>
    <w:rsid w:val="00926147"/>
    <w:rsid w:val="0092631B"/>
    <w:rsid w:val="0092641E"/>
    <w:rsid w:val="00926A7D"/>
    <w:rsid w:val="00926D1A"/>
    <w:rsid w:val="00927C98"/>
    <w:rsid w:val="0093076C"/>
    <w:rsid w:val="009307BA"/>
    <w:rsid w:val="009310F3"/>
    <w:rsid w:val="00931223"/>
    <w:rsid w:val="00931410"/>
    <w:rsid w:val="00931474"/>
    <w:rsid w:val="00931518"/>
    <w:rsid w:val="0093158B"/>
    <w:rsid w:val="009318D6"/>
    <w:rsid w:val="00931A75"/>
    <w:rsid w:val="00932111"/>
    <w:rsid w:val="0093254D"/>
    <w:rsid w:val="0093279D"/>
    <w:rsid w:val="009332D5"/>
    <w:rsid w:val="009336C3"/>
    <w:rsid w:val="00934528"/>
    <w:rsid w:val="00934778"/>
    <w:rsid w:val="00934AC6"/>
    <w:rsid w:val="009350DD"/>
    <w:rsid w:val="00935525"/>
    <w:rsid w:val="009355AD"/>
    <w:rsid w:val="009355E8"/>
    <w:rsid w:val="009359A4"/>
    <w:rsid w:val="00936C7F"/>
    <w:rsid w:val="0093709F"/>
    <w:rsid w:val="0093794D"/>
    <w:rsid w:val="00937EE7"/>
    <w:rsid w:val="009403CE"/>
    <w:rsid w:val="009406C2"/>
    <w:rsid w:val="0094084D"/>
    <w:rsid w:val="00940EFF"/>
    <w:rsid w:val="00940F5D"/>
    <w:rsid w:val="00941220"/>
    <w:rsid w:val="0094201D"/>
    <w:rsid w:val="0094241C"/>
    <w:rsid w:val="009425E4"/>
    <w:rsid w:val="00942641"/>
    <w:rsid w:val="009427ED"/>
    <w:rsid w:val="00942EB2"/>
    <w:rsid w:val="009439EE"/>
    <w:rsid w:val="00943A04"/>
    <w:rsid w:val="00943B56"/>
    <w:rsid w:val="00943F56"/>
    <w:rsid w:val="00944009"/>
    <w:rsid w:val="00944438"/>
    <w:rsid w:val="00944536"/>
    <w:rsid w:val="00944CD8"/>
    <w:rsid w:val="00944D5E"/>
    <w:rsid w:val="00945520"/>
    <w:rsid w:val="009461C4"/>
    <w:rsid w:val="00946570"/>
    <w:rsid w:val="00946784"/>
    <w:rsid w:val="009471EC"/>
    <w:rsid w:val="00947760"/>
    <w:rsid w:val="0095007D"/>
    <w:rsid w:val="009500B8"/>
    <w:rsid w:val="0095049F"/>
    <w:rsid w:val="009505AF"/>
    <w:rsid w:val="009507AD"/>
    <w:rsid w:val="00950CBC"/>
    <w:rsid w:val="00951033"/>
    <w:rsid w:val="0095142E"/>
    <w:rsid w:val="009516BF"/>
    <w:rsid w:val="0095180E"/>
    <w:rsid w:val="00951EE8"/>
    <w:rsid w:val="00951F57"/>
    <w:rsid w:val="00952586"/>
    <w:rsid w:val="00952879"/>
    <w:rsid w:val="00952CD2"/>
    <w:rsid w:val="00953EDE"/>
    <w:rsid w:val="00954254"/>
    <w:rsid w:val="009544EF"/>
    <w:rsid w:val="00954F54"/>
    <w:rsid w:val="00955391"/>
    <w:rsid w:val="009555AD"/>
    <w:rsid w:val="00955B76"/>
    <w:rsid w:val="00955CB5"/>
    <w:rsid w:val="00955D58"/>
    <w:rsid w:val="0095615D"/>
    <w:rsid w:val="009565D6"/>
    <w:rsid w:val="00956B99"/>
    <w:rsid w:val="00956BAE"/>
    <w:rsid w:val="00956C7F"/>
    <w:rsid w:val="00957844"/>
    <w:rsid w:val="009578C7"/>
    <w:rsid w:val="00957DA3"/>
    <w:rsid w:val="00957E5C"/>
    <w:rsid w:val="009602EA"/>
    <w:rsid w:val="009608FE"/>
    <w:rsid w:val="009610EA"/>
    <w:rsid w:val="00961381"/>
    <w:rsid w:val="00961423"/>
    <w:rsid w:val="00961512"/>
    <w:rsid w:val="0096161C"/>
    <w:rsid w:val="00962A40"/>
    <w:rsid w:val="00962CB9"/>
    <w:rsid w:val="00963D14"/>
    <w:rsid w:val="00963E9F"/>
    <w:rsid w:val="009642CE"/>
    <w:rsid w:val="00964312"/>
    <w:rsid w:val="009646C7"/>
    <w:rsid w:val="00964B47"/>
    <w:rsid w:val="00964D79"/>
    <w:rsid w:val="00964EA5"/>
    <w:rsid w:val="0096516D"/>
    <w:rsid w:val="0096555A"/>
    <w:rsid w:val="0096567A"/>
    <w:rsid w:val="00965A98"/>
    <w:rsid w:val="00965ED6"/>
    <w:rsid w:val="00965FB7"/>
    <w:rsid w:val="0096609C"/>
    <w:rsid w:val="009661CB"/>
    <w:rsid w:val="009662BC"/>
    <w:rsid w:val="00966DF6"/>
    <w:rsid w:val="00966E6E"/>
    <w:rsid w:val="009711F5"/>
    <w:rsid w:val="00971984"/>
    <w:rsid w:val="00971E9F"/>
    <w:rsid w:val="00972C14"/>
    <w:rsid w:val="00972DAA"/>
    <w:rsid w:val="0097306F"/>
    <w:rsid w:val="009737F3"/>
    <w:rsid w:val="009738C5"/>
    <w:rsid w:val="00973BB5"/>
    <w:rsid w:val="00974B85"/>
    <w:rsid w:val="009751E4"/>
    <w:rsid w:val="0097542F"/>
    <w:rsid w:val="00975518"/>
    <w:rsid w:val="009755EE"/>
    <w:rsid w:val="00975887"/>
    <w:rsid w:val="00975E8A"/>
    <w:rsid w:val="0097650C"/>
    <w:rsid w:val="009767B4"/>
    <w:rsid w:val="00976DF7"/>
    <w:rsid w:val="00977159"/>
    <w:rsid w:val="00977356"/>
    <w:rsid w:val="009777A2"/>
    <w:rsid w:val="00977AC4"/>
    <w:rsid w:val="0098049C"/>
    <w:rsid w:val="00980CE3"/>
    <w:rsid w:val="0098167E"/>
    <w:rsid w:val="00981DB6"/>
    <w:rsid w:val="009820C8"/>
    <w:rsid w:val="009824C2"/>
    <w:rsid w:val="009825E1"/>
    <w:rsid w:val="00982738"/>
    <w:rsid w:val="00982B74"/>
    <w:rsid w:val="00982DF0"/>
    <w:rsid w:val="009830A1"/>
    <w:rsid w:val="00983270"/>
    <w:rsid w:val="0098335F"/>
    <w:rsid w:val="00983838"/>
    <w:rsid w:val="00983938"/>
    <w:rsid w:val="00983C96"/>
    <w:rsid w:val="00983E2A"/>
    <w:rsid w:val="00983E57"/>
    <w:rsid w:val="00983F98"/>
    <w:rsid w:val="00983FBC"/>
    <w:rsid w:val="00984612"/>
    <w:rsid w:val="00984B30"/>
    <w:rsid w:val="00984E56"/>
    <w:rsid w:val="0098513C"/>
    <w:rsid w:val="009855AE"/>
    <w:rsid w:val="0098588C"/>
    <w:rsid w:val="00985A8C"/>
    <w:rsid w:val="00985B07"/>
    <w:rsid w:val="00986965"/>
    <w:rsid w:val="009869FD"/>
    <w:rsid w:val="00986B28"/>
    <w:rsid w:val="00986CB3"/>
    <w:rsid w:val="00986E6E"/>
    <w:rsid w:val="00986F43"/>
    <w:rsid w:val="009873EE"/>
    <w:rsid w:val="00987457"/>
    <w:rsid w:val="00987474"/>
    <w:rsid w:val="00987B58"/>
    <w:rsid w:val="0099055B"/>
    <w:rsid w:val="009909AD"/>
    <w:rsid w:val="00990CFD"/>
    <w:rsid w:val="0099134E"/>
    <w:rsid w:val="00992130"/>
    <w:rsid w:val="0099284A"/>
    <w:rsid w:val="00992A24"/>
    <w:rsid w:val="00992C68"/>
    <w:rsid w:val="00992CF1"/>
    <w:rsid w:val="00992DBF"/>
    <w:rsid w:val="009935A1"/>
    <w:rsid w:val="0099365F"/>
    <w:rsid w:val="00994E61"/>
    <w:rsid w:val="00995408"/>
    <w:rsid w:val="00995484"/>
    <w:rsid w:val="00995675"/>
    <w:rsid w:val="009956FD"/>
    <w:rsid w:val="009957F5"/>
    <w:rsid w:val="00995D0E"/>
    <w:rsid w:val="00996129"/>
    <w:rsid w:val="0099648A"/>
    <w:rsid w:val="009964C1"/>
    <w:rsid w:val="00996585"/>
    <w:rsid w:val="0099695F"/>
    <w:rsid w:val="00996B1A"/>
    <w:rsid w:val="00996B43"/>
    <w:rsid w:val="00996B66"/>
    <w:rsid w:val="00997070"/>
    <w:rsid w:val="00997C45"/>
    <w:rsid w:val="009A0146"/>
    <w:rsid w:val="009A0501"/>
    <w:rsid w:val="009A073F"/>
    <w:rsid w:val="009A1136"/>
    <w:rsid w:val="009A11D4"/>
    <w:rsid w:val="009A138D"/>
    <w:rsid w:val="009A15CB"/>
    <w:rsid w:val="009A1831"/>
    <w:rsid w:val="009A24AA"/>
    <w:rsid w:val="009A2930"/>
    <w:rsid w:val="009A2949"/>
    <w:rsid w:val="009A2C39"/>
    <w:rsid w:val="009A3075"/>
    <w:rsid w:val="009A3358"/>
    <w:rsid w:val="009A37CC"/>
    <w:rsid w:val="009A3A71"/>
    <w:rsid w:val="009A3BE2"/>
    <w:rsid w:val="009A3F12"/>
    <w:rsid w:val="009A416B"/>
    <w:rsid w:val="009A4464"/>
    <w:rsid w:val="009A4686"/>
    <w:rsid w:val="009A4C7D"/>
    <w:rsid w:val="009A50FA"/>
    <w:rsid w:val="009A5140"/>
    <w:rsid w:val="009A5FB8"/>
    <w:rsid w:val="009A62CA"/>
    <w:rsid w:val="009A63EF"/>
    <w:rsid w:val="009A64D7"/>
    <w:rsid w:val="009A6B06"/>
    <w:rsid w:val="009A7008"/>
    <w:rsid w:val="009A775E"/>
    <w:rsid w:val="009A7A0E"/>
    <w:rsid w:val="009A7C61"/>
    <w:rsid w:val="009A7DBE"/>
    <w:rsid w:val="009A7EDF"/>
    <w:rsid w:val="009B032F"/>
    <w:rsid w:val="009B0528"/>
    <w:rsid w:val="009B0650"/>
    <w:rsid w:val="009B17A7"/>
    <w:rsid w:val="009B1B46"/>
    <w:rsid w:val="009B1CD4"/>
    <w:rsid w:val="009B234F"/>
    <w:rsid w:val="009B23CF"/>
    <w:rsid w:val="009B2585"/>
    <w:rsid w:val="009B287E"/>
    <w:rsid w:val="009B2A22"/>
    <w:rsid w:val="009B2F46"/>
    <w:rsid w:val="009B34A1"/>
    <w:rsid w:val="009B3877"/>
    <w:rsid w:val="009B38E3"/>
    <w:rsid w:val="009B3E26"/>
    <w:rsid w:val="009B4371"/>
    <w:rsid w:val="009B4580"/>
    <w:rsid w:val="009B47F0"/>
    <w:rsid w:val="009B490C"/>
    <w:rsid w:val="009B4B9F"/>
    <w:rsid w:val="009B510B"/>
    <w:rsid w:val="009B51A9"/>
    <w:rsid w:val="009B5331"/>
    <w:rsid w:val="009B5542"/>
    <w:rsid w:val="009B5D7B"/>
    <w:rsid w:val="009B604B"/>
    <w:rsid w:val="009B60FF"/>
    <w:rsid w:val="009B6243"/>
    <w:rsid w:val="009B63F2"/>
    <w:rsid w:val="009B6BA9"/>
    <w:rsid w:val="009B6E4C"/>
    <w:rsid w:val="009B73FC"/>
    <w:rsid w:val="009B7B5B"/>
    <w:rsid w:val="009C00F1"/>
    <w:rsid w:val="009C05B8"/>
    <w:rsid w:val="009C0804"/>
    <w:rsid w:val="009C09DD"/>
    <w:rsid w:val="009C0B27"/>
    <w:rsid w:val="009C0BCD"/>
    <w:rsid w:val="009C1099"/>
    <w:rsid w:val="009C1404"/>
    <w:rsid w:val="009C146F"/>
    <w:rsid w:val="009C1D57"/>
    <w:rsid w:val="009C1DDF"/>
    <w:rsid w:val="009C264D"/>
    <w:rsid w:val="009C2B4D"/>
    <w:rsid w:val="009C3157"/>
    <w:rsid w:val="009C3185"/>
    <w:rsid w:val="009C3840"/>
    <w:rsid w:val="009C3CC5"/>
    <w:rsid w:val="009C3D97"/>
    <w:rsid w:val="009C4061"/>
    <w:rsid w:val="009C45A3"/>
    <w:rsid w:val="009C46A2"/>
    <w:rsid w:val="009C4873"/>
    <w:rsid w:val="009C4986"/>
    <w:rsid w:val="009C4D95"/>
    <w:rsid w:val="009C5005"/>
    <w:rsid w:val="009C5177"/>
    <w:rsid w:val="009C52B4"/>
    <w:rsid w:val="009C54BD"/>
    <w:rsid w:val="009C56F2"/>
    <w:rsid w:val="009C5C98"/>
    <w:rsid w:val="009C5E21"/>
    <w:rsid w:val="009C6727"/>
    <w:rsid w:val="009C6806"/>
    <w:rsid w:val="009C6815"/>
    <w:rsid w:val="009C718B"/>
    <w:rsid w:val="009C718F"/>
    <w:rsid w:val="009C7438"/>
    <w:rsid w:val="009C7EE2"/>
    <w:rsid w:val="009D003C"/>
    <w:rsid w:val="009D0365"/>
    <w:rsid w:val="009D0966"/>
    <w:rsid w:val="009D1991"/>
    <w:rsid w:val="009D1F4B"/>
    <w:rsid w:val="009D2384"/>
    <w:rsid w:val="009D296D"/>
    <w:rsid w:val="009D2BE8"/>
    <w:rsid w:val="009D3F64"/>
    <w:rsid w:val="009D4094"/>
    <w:rsid w:val="009D445F"/>
    <w:rsid w:val="009D5132"/>
    <w:rsid w:val="009D583C"/>
    <w:rsid w:val="009D5B91"/>
    <w:rsid w:val="009D5EB2"/>
    <w:rsid w:val="009D6278"/>
    <w:rsid w:val="009D6BDA"/>
    <w:rsid w:val="009D6F63"/>
    <w:rsid w:val="009D6FEC"/>
    <w:rsid w:val="009D71F5"/>
    <w:rsid w:val="009D7BAD"/>
    <w:rsid w:val="009D7BC3"/>
    <w:rsid w:val="009D7C58"/>
    <w:rsid w:val="009D7E49"/>
    <w:rsid w:val="009E0495"/>
    <w:rsid w:val="009E0EBE"/>
    <w:rsid w:val="009E12B3"/>
    <w:rsid w:val="009E151D"/>
    <w:rsid w:val="009E152B"/>
    <w:rsid w:val="009E15F9"/>
    <w:rsid w:val="009E177B"/>
    <w:rsid w:val="009E1888"/>
    <w:rsid w:val="009E1D0B"/>
    <w:rsid w:val="009E2022"/>
    <w:rsid w:val="009E20F2"/>
    <w:rsid w:val="009E229B"/>
    <w:rsid w:val="009E23A0"/>
    <w:rsid w:val="009E2D0B"/>
    <w:rsid w:val="009E32CF"/>
    <w:rsid w:val="009E3A50"/>
    <w:rsid w:val="009E3F99"/>
    <w:rsid w:val="009E41AA"/>
    <w:rsid w:val="009E41D0"/>
    <w:rsid w:val="009E470D"/>
    <w:rsid w:val="009E4AE6"/>
    <w:rsid w:val="009E4C07"/>
    <w:rsid w:val="009E5B85"/>
    <w:rsid w:val="009E5D59"/>
    <w:rsid w:val="009E690F"/>
    <w:rsid w:val="009E712A"/>
    <w:rsid w:val="009E7214"/>
    <w:rsid w:val="009E755B"/>
    <w:rsid w:val="009E7909"/>
    <w:rsid w:val="009F07F7"/>
    <w:rsid w:val="009F0D5B"/>
    <w:rsid w:val="009F1562"/>
    <w:rsid w:val="009F18B1"/>
    <w:rsid w:val="009F1A88"/>
    <w:rsid w:val="009F2511"/>
    <w:rsid w:val="009F25F5"/>
    <w:rsid w:val="009F270E"/>
    <w:rsid w:val="009F29B4"/>
    <w:rsid w:val="009F2BC4"/>
    <w:rsid w:val="009F329F"/>
    <w:rsid w:val="009F37A5"/>
    <w:rsid w:val="009F37B8"/>
    <w:rsid w:val="009F39B1"/>
    <w:rsid w:val="009F3AEE"/>
    <w:rsid w:val="009F4FF7"/>
    <w:rsid w:val="009F503D"/>
    <w:rsid w:val="009F526B"/>
    <w:rsid w:val="009F5279"/>
    <w:rsid w:val="009F54CA"/>
    <w:rsid w:val="009F5A17"/>
    <w:rsid w:val="009F5A6D"/>
    <w:rsid w:val="009F6B32"/>
    <w:rsid w:val="009F6FF3"/>
    <w:rsid w:val="009F70A0"/>
    <w:rsid w:val="009F7A8E"/>
    <w:rsid w:val="009F7D14"/>
    <w:rsid w:val="00A003E8"/>
    <w:rsid w:val="00A00573"/>
    <w:rsid w:val="00A007B6"/>
    <w:rsid w:val="00A00B07"/>
    <w:rsid w:val="00A00C13"/>
    <w:rsid w:val="00A00C9B"/>
    <w:rsid w:val="00A01E1D"/>
    <w:rsid w:val="00A0266F"/>
    <w:rsid w:val="00A02A9C"/>
    <w:rsid w:val="00A02B2F"/>
    <w:rsid w:val="00A02EA2"/>
    <w:rsid w:val="00A033D0"/>
    <w:rsid w:val="00A034CA"/>
    <w:rsid w:val="00A03A19"/>
    <w:rsid w:val="00A03D43"/>
    <w:rsid w:val="00A041AA"/>
    <w:rsid w:val="00A04380"/>
    <w:rsid w:val="00A04582"/>
    <w:rsid w:val="00A04DA7"/>
    <w:rsid w:val="00A05163"/>
    <w:rsid w:val="00A05422"/>
    <w:rsid w:val="00A054DF"/>
    <w:rsid w:val="00A054F8"/>
    <w:rsid w:val="00A05ED3"/>
    <w:rsid w:val="00A060D2"/>
    <w:rsid w:val="00A062BC"/>
    <w:rsid w:val="00A066D9"/>
    <w:rsid w:val="00A06A13"/>
    <w:rsid w:val="00A06A24"/>
    <w:rsid w:val="00A06B77"/>
    <w:rsid w:val="00A06C6F"/>
    <w:rsid w:val="00A0756E"/>
    <w:rsid w:val="00A07808"/>
    <w:rsid w:val="00A07AB1"/>
    <w:rsid w:val="00A07F2A"/>
    <w:rsid w:val="00A10795"/>
    <w:rsid w:val="00A108FC"/>
    <w:rsid w:val="00A10BC3"/>
    <w:rsid w:val="00A10BF0"/>
    <w:rsid w:val="00A11083"/>
    <w:rsid w:val="00A11AA7"/>
    <w:rsid w:val="00A11DF7"/>
    <w:rsid w:val="00A12A2D"/>
    <w:rsid w:val="00A134ED"/>
    <w:rsid w:val="00A13948"/>
    <w:rsid w:val="00A13DF2"/>
    <w:rsid w:val="00A13E03"/>
    <w:rsid w:val="00A13EAF"/>
    <w:rsid w:val="00A14433"/>
    <w:rsid w:val="00A144E7"/>
    <w:rsid w:val="00A14817"/>
    <w:rsid w:val="00A14833"/>
    <w:rsid w:val="00A14EC7"/>
    <w:rsid w:val="00A1502A"/>
    <w:rsid w:val="00A1537B"/>
    <w:rsid w:val="00A1548F"/>
    <w:rsid w:val="00A15544"/>
    <w:rsid w:val="00A155B9"/>
    <w:rsid w:val="00A15B8E"/>
    <w:rsid w:val="00A1638A"/>
    <w:rsid w:val="00A1663A"/>
    <w:rsid w:val="00A166F0"/>
    <w:rsid w:val="00A168C4"/>
    <w:rsid w:val="00A16B43"/>
    <w:rsid w:val="00A16DB1"/>
    <w:rsid w:val="00A16F06"/>
    <w:rsid w:val="00A17266"/>
    <w:rsid w:val="00A1748B"/>
    <w:rsid w:val="00A176EE"/>
    <w:rsid w:val="00A17820"/>
    <w:rsid w:val="00A2015D"/>
    <w:rsid w:val="00A2098E"/>
    <w:rsid w:val="00A210F8"/>
    <w:rsid w:val="00A213AA"/>
    <w:rsid w:val="00A22698"/>
    <w:rsid w:val="00A228E5"/>
    <w:rsid w:val="00A22AA9"/>
    <w:rsid w:val="00A23339"/>
    <w:rsid w:val="00A2381D"/>
    <w:rsid w:val="00A239F9"/>
    <w:rsid w:val="00A23E46"/>
    <w:rsid w:val="00A2417E"/>
    <w:rsid w:val="00A243E8"/>
    <w:rsid w:val="00A24509"/>
    <w:rsid w:val="00A24843"/>
    <w:rsid w:val="00A24D99"/>
    <w:rsid w:val="00A25098"/>
    <w:rsid w:val="00A25111"/>
    <w:rsid w:val="00A256F6"/>
    <w:rsid w:val="00A257DF"/>
    <w:rsid w:val="00A2586D"/>
    <w:rsid w:val="00A259F7"/>
    <w:rsid w:val="00A26402"/>
    <w:rsid w:val="00A264CC"/>
    <w:rsid w:val="00A268CE"/>
    <w:rsid w:val="00A26DA9"/>
    <w:rsid w:val="00A26DB6"/>
    <w:rsid w:val="00A26E0B"/>
    <w:rsid w:val="00A278A6"/>
    <w:rsid w:val="00A2799E"/>
    <w:rsid w:val="00A279CE"/>
    <w:rsid w:val="00A27A7A"/>
    <w:rsid w:val="00A27AEC"/>
    <w:rsid w:val="00A27BF6"/>
    <w:rsid w:val="00A309E9"/>
    <w:rsid w:val="00A30D26"/>
    <w:rsid w:val="00A311B2"/>
    <w:rsid w:val="00A3127F"/>
    <w:rsid w:val="00A31601"/>
    <w:rsid w:val="00A31B69"/>
    <w:rsid w:val="00A31CF4"/>
    <w:rsid w:val="00A31E21"/>
    <w:rsid w:val="00A320F5"/>
    <w:rsid w:val="00A324F2"/>
    <w:rsid w:val="00A32602"/>
    <w:rsid w:val="00A3268C"/>
    <w:rsid w:val="00A32CA4"/>
    <w:rsid w:val="00A33409"/>
    <w:rsid w:val="00A3362C"/>
    <w:rsid w:val="00A33939"/>
    <w:rsid w:val="00A33AE2"/>
    <w:rsid w:val="00A34091"/>
    <w:rsid w:val="00A340E3"/>
    <w:rsid w:val="00A344B2"/>
    <w:rsid w:val="00A34583"/>
    <w:rsid w:val="00A345B8"/>
    <w:rsid w:val="00A34AA3"/>
    <w:rsid w:val="00A34CBC"/>
    <w:rsid w:val="00A34F06"/>
    <w:rsid w:val="00A3581B"/>
    <w:rsid w:val="00A35D16"/>
    <w:rsid w:val="00A35FDD"/>
    <w:rsid w:val="00A369FE"/>
    <w:rsid w:val="00A36A35"/>
    <w:rsid w:val="00A374EB"/>
    <w:rsid w:val="00A378AE"/>
    <w:rsid w:val="00A37993"/>
    <w:rsid w:val="00A40393"/>
    <w:rsid w:val="00A4072C"/>
    <w:rsid w:val="00A40746"/>
    <w:rsid w:val="00A40BB0"/>
    <w:rsid w:val="00A40BC0"/>
    <w:rsid w:val="00A416F7"/>
    <w:rsid w:val="00A41839"/>
    <w:rsid w:val="00A41B73"/>
    <w:rsid w:val="00A41BF1"/>
    <w:rsid w:val="00A42523"/>
    <w:rsid w:val="00A42655"/>
    <w:rsid w:val="00A4277D"/>
    <w:rsid w:val="00A427CB"/>
    <w:rsid w:val="00A42833"/>
    <w:rsid w:val="00A4330C"/>
    <w:rsid w:val="00A4351A"/>
    <w:rsid w:val="00A437C1"/>
    <w:rsid w:val="00A43808"/>
    <w:rsid w:val="00A43B0F"/>
    <w:rsid w:val="00A43C59"/>
    <w:rsid w:val="00A43F14"/>
    <w:rsid w:val="00A44803"/>
    <w:rsid w:val="00A44A3F"/>
    <w:rsid w:val="00A44FA1"/>
    <w:rsid w:val="00A45860"/>
    <w:rsid w:val="00A45A8D"/>
    <w:rsid w:val="00A45D4A"/>
    <w:rsid w:val="00A45FEB"/>
    <w:rsid w:val="00A460C4"/>
    <w:rsid w:val="00A46333"/>
    <w:rsid w:val="00A46718"/>
    <w:rsid w:val="00A46A4F"/>
    <w:rsid w:val="00A46D7E"/>
    <w:rsid w:val="00A47A7D"/>
    <w:rsid w:val="00A47E4A"/>
    <w:rsid w:val="00A47EA0"/>
    <w:rsid w:val="00A47FE4"/>
    <w:rsid w:val="00A50316"/>
    <w:rsid w:val="00A50BD0"/>
    <w:rsid w:val="00A50ECD"/>
    <w:rsid w:val="00A50F5E"/>
    <w:rsid w:val="00A5147C"/>
    <w:rsid w:val="00A515F5"/>
    <w:rsid w:val="00A51EE7"/>
    <w:rsid w:val="00A52062"/>
    <w:rsid w:val="00A5224B"/>
    <w:rsid w:val="00A52540"/>
    <w:rsid w:val="00A52729"/>
    <w:rsid w:val="00A5318A"/>
    <w:rsid w:val="00A531A4"/>
    <w:rsid w:val="00A53675"/>
    <w:rsid w:val="00A53926"/>
    <w:rsid w:val="00A53A7D"/>
    <w:rsid w:val="00A53C61"/>
    <w:rsid w:val="00A53F20"/>
    <w:rsid w:val="00A54077"/>
    <w:rsid w:val="00A540E2"/>
    <w:rsid w:val="00A543A6"/>
    <w:rsid w:val="00A54965"/>
    <w:rsid w:val="00A54F88"/>
    <w:rsid w:val="00A54FBC"/>
    <w:rsid w:val="00A5519D"/>
    <w:rsid w:val="00A554A8"/>
    <w:rsid w:val="00A55A00"/>
    <w:rsid w:val="00A56131"/>
    <w:rsid w:val="00A56853"/>
    <w:rsid w:val="00A56978"/>
    <w:rsid w:val="00A56B6A"/>
    <w:rsid w:val="00A56CBB"/>
    <w:rsid w:val="00A571B6"/>
    <w:rsid w:val="00A57622"/>
    <w:rsid w:val="00A577EE"/>
    <w:rsid w:val="00A578DC"/>
    <w:rsid w:val="00A57A7A"/>
    <w:rsid w:val="00A57A9D"/>
    <w:rsid w:val="00A57DEA"/>
    <w:rsid w:val="00A602AA"/>
    <w:rsid w:val="00A6092C"/>
    <w:rsid w:val="00A60D04"/>
    <w:rsid w:val="00A60E3B"/>
    <w:rsid w:val="00A61166"/>
    <w:rsid w:val="00A612A4"/>
    <w:rsid w:val="00A6138A"/>
    <w:rsid w:val="00A61493"/>
    <w:rsid w:val="00A61687"/>
    <w:rsid w:val="00A6179C"/>
    <w:rsid w:val="00A61FD8"/>
    <w:rsid w:val="00A6208D"/>
    <w:rsid w:val="00A62E07"/>
    <w:rsid w:val="00A62EE4"/>
    <w:rsid w:val="00A63FB0"/>
    <w:rsid w:val="00A647E1"/>
    <w:rsid w:val="00A656FE"/>
    <w:rsid w:val="00A65C9F"/>
    <w:rsid w:val="00A65E7B"/>
    <w:rsid w:val="00A65F6A"/>
    <w:rsid w:val="00A6639D"/>
    <w:rsid w:val="00A66435"/>
    <w:rsid w:val="00A665C2"/>
    <w:rsid w:val="00A668D9"/>
    <w:rsid w:val="00A669F2"/>
    <w:rsid w:val="00A66EC3"/>
    <w:rsid w:val="00A67056"/>
    <w:rsid w:val="00A67229"/>
    <w:rsid w:val="00A6725B"/>
    <w:rsid w:val="00A673C8"/>
    <w:rsid w:val="00A676CE"/>
    <w:rsid w:val="00A67940"/>
    <w:rsid w:val="00A67ED3"/>
    <w:rsid w:val="00A70394"/>
    <w:rsid w:val="00A7040E"/>
    <w:rsid w:val="00A70652"/>
    <w:rsid w:val="00A70B59"/>
    <w:rsid w:val="00A711B5"/>
    <w:rsid w:val="00A71436"/>
    <w:rsid w:val="00A7197E"/>
    <w:rsid w:val="00A71B30"/>
    <w:rsid w:val="00A722D1"/>
    <w:rsid w:val="00A7277C"/>
    <w:rsid w:val="00A7296A"/>
    <w:rsid w:val="00A72979"/>
    <w:rsid w:val="00A72BC9"/>
    <w:rsid w:val="00A73254"/>
    <w:rsid w:val="00A733F9"/>
    <w:rsid w:val="00A7354D"/>
    <w:rsid w:val="00A7370E"/>
    <w:rsid w:val="00A739E1"/>
    <w:rsid w:val="00A741B5"/>
    <w:rsid w:val="00A7443D"/>
    <w:rsid w:val="00A74503"/>
    <w:rsid w:val="00A74D17"/>
    <w:rsid w:val="00A74F72"/>
    <w:rsid w:val="00A750E0"/>
    <w:rsid w:val="00A75326"/>
    <w:rsid w:val="00A75497"/>
    <w:rsid w:val="00A75D61"/>
    <w:rsid w:val="00A76186"/>
    <w:rsid w:val="00A7618E"/>
    <w:rsid w:val="00A76797"/>
    <w:rsid w:val="00A76A9E"/>
    <w:rsid w:val="00A76ADA"/>
    <w:rsid w:val="00A76CA2"/>
    <w:rsid w:val="00A805CB"/>
    <w:rsid w:val="00A808F1"/>
    <w:rsid w:val="00A80D0A"/>
    <w:rsid w:val="00A817D7"/>
    <w:rsid w:val="00A81984"/>
    <w:rsid w:val="00A8241B"/>
    <w:rsid w:val="00A82B22"/>
    <w:rsid w:val="00A83208"/>
    <w:rsid w:val="00A833E2"/>
    <w:rsid w:val="00A83C0B"/>
    <w:rsid w:val="00A8450B"/>
    <w:rsid w:val="00A84B6D"/>
    <w:rsid w:val="00A84C86"/>
    <w:rsid w:val="00A85120"/>
    <w:rsid w:val="00A85423"/>
    <w:rsid w:val="00A8587A"/>
    <w:rsid w:val="00A85C7A"/>
    <w:rsid w:val="00A86D92"/>
    <w:rsid w:val="00A86E8B"/>
    <w:rsid w:val="00A87187"/>
    <w:rsid w:val="00A87694"/>
    <w:rsid w:val="00A87873"/>
    <w:rsid w:val="00A878E9"/>
    <w:rsid w:val="00A87E02"/>
    <w:rsid w:val="00A900C9"/>
    <w:rsid w:val="00A90650"/>
    <w:rsid w:val="00A918DF"/>
    <w:rsid w:val="00A92696"/>
    <w:rsid w:val="00A929D3"/>
    <w:rsid w:val="00A92B55"/>
    <w:rsid w:val="00A92B7A"/>
    <w:rsid w:val="00A92BBC"/>
    <w:rsid w:val="00A93072"/>
    <w:rsid w:val="00A93205"/>
    <w:rsid w:val="00A9343B"/>
    <w:rsid w:val="00A94396"/>
    <w:rsid w:val="00A943D5"/>
    <w:rsid w:val="00A9460A"/>
    <w:rsid w:val="00A949D1"/>
    <w:rsid w:val="00A94D9A"/>
    <w:rsid w:val="00A94E40"/>
    <w:rsid w:val="00A94E4A"/>
    <w:rsid w:val="00A952B9"/>
    <w:rsid w:val="00A9599A"/>
    <w:rsid w:val="00A959D8"/>
    <w:rsid w:val="00A95B17"/>
    <w:rsid w:val="00A95F3D"/>
    <w:rsid w:val="00A9611F"/>
    <w:rsid w:val="00A96531"/>
    <w:rsid w:val="00A96B35"/>
    <w:rsid w:val="00A96C81"/>
    <w:rsid w:val="00A97195"/>
    <w:rsid w:val="00A97CA9"/>
    <w:rsid w:val="00A97D60"/>
    <w:rsid w:val="00A97D8F"/>
    <w:rsid w:val="00A97FC7"/>
    <w:rsid w:val="00AA01EB"/>
    <w:rsid w:val="00AA0472"/>
    <w:rsid w:val="00AA0DB7"/>
    <w:rsid w:val="00AA0E1C"/>
    <w:rsid w:val="00AA1542"/>
    <w:rsid w:val="00AA2E25"/>
    <w:rsid w:val="00AA3358"/>
    <w:rsid w:val="00AA358D"/>
    <w:rsid w:val="00AA39B8"/>
    <w:rsid w:val="00AA3BA5"/>
    <w:rsid w:val="00AA451F"/>
    <w:rsid w:val="00AA472A"/>
    <w:rsid w:val="00AA47F3"/>
    <w:rsid w:val="00AA4955"/>
    <w:rsid w:val="00AA4C82"/>
    <w:rsid w:val="00AA5053"/>
    <w:rsid w:val="00AA513B"/>
    <w:rsid w:val="00AA54BC"/>
    <w:rsid w:val="00AA5CAF"/>
    <w:rsid w:val="00AA5DEE"/>
    <w:rsid w:val="00AA5E7B"/>
    <w:rsid w:val="00AA6904"/>
    <w:rsid w:val="00AA749D"/>
    <w:rsid w:val="00AA7C10"/>
    <w:rsid w:val="00AA7DD6"/>
    <w:rsid w:val="00AB02A5"/>
    <w:rsid w:val="00AB042A"/>
    <w:rsid w:val="00AB055D"/>
    <w:rsid w:val="00AB064C"/>
    <w:rsid w:val="00AB08BC"/>
    <w:rsid w:val="00AB0E1E"/>
    <w:rsid w:val="00AB1365"/>
    <w:rsid w:val="00AB149D"/>
    <w:rsid w:val="00AB15E7"/>
    <w:rsid w:val="00AB1ECE"/>
    <w:rsid w:val="00AB2510"/>
    <w:rsid w:val="00AB29B9"/>
    <w:rsid w:val="00AB2D34"/>
    <w:rsid w:val="00AB33F9"/>
    <w:rsid w:val="00AB3430"/>
    <w:rsid w:val="00AB3D88"/>
    <w:rsid w:val="00AB3E05"/>
    <w:rsid w:val="00AB417A"/>
    <w:rsid w:val="00AB4586"/>
    <w:rsid w:val="00AB460E"/>
    <w:rsid w:val="00AB4E1C"/>
    <w:rsid w:val="00AB55B5"/>
    <w:rsid w:val="00AB58CD"/>
    <w:rsid w:val="00AB59C8"/>
    <w:rsid w:val="00AB5B4C"/>
    <w:rsid w:val="00AB5FEE"/>
    <w:rsid w:val="00AB610F"/>
    <w:rsid w:val="00AB6499"/>
    <w:rsid w:val="00AB71EA"/>
    <w:rsid w:val="00AB739E"/>
    <w:rsid w:val="00AB781D"/>
    <w:rsid w:val="00AB7CFA"/>
    <w:rsid w:val="00AC005B"/>
    <w:rsid w:val="00AC0A92"/>
    <w:rsid w:val="00AC15BB"/>
    <w:rsid w:val="00AC1B05"/>
    <w:rsid w:val="00AC1CA3"/>
    <w:rsid w:val="00AC1DB1"/>
    <w:rsid w:val="00AC1F85"/>
    <w:rsid w:val="00AC21B4"/>
    <w:rsid w:val="00AC2513"/>
    <w:rsid w:val="00AC2959"/>
    <w:rsid w:val="00AC2990"/>
    <w:rsid w:val="00AC31AB"/>
    <w:rsid w:val="00AC3233"/>
    <w:rsid w:val="00AC3602"/>
    <w:rsid w:val="00AC38DE"/>
    <w:rsid w:val="00AC454B"/>
    <w:rsid w:val="00AC479F"/>
    <w:rsid w:val="00AC4851"/>
    <w:rsid w:val="00AC4983"/>
    <w:rsid w:val="00AC4E9D"/>
    <w:rsid w:val="00AC5064"/>
    <w:rsid w:val="00AC57E5"/>
    <w:rsid w:val="00AC5BB2"/>
    <w:rsid w:val="00AC5DB5"/>
    <w:rsid w:val="00AC6227"/>
    <w:rsid w:val="00AC6CF6"/>
    <w:rsid w:val="00AC6EF3"/>
    <w:rsid w:val="00AC6F93"/>
    <w:rsid w:val="00AC7261"/>
    <w:rsid w:val="00AC73A5"/>
    <w:rsid w:val="00AD08BD"/>
    <w:rsid w:val="00AD09B1"/>
    <w:rsid w:val="00AD0F62"/>
    <w:rsid w:val="00AD23EC"/>
    <w:rsid w:val="00AD28CA"/>
    <w:rsid w:val="00AD2E81"/>
    <w:rsid w:val="00AD3083"/>
    <w:rsid w:val="00AD33CC"/>
    <w:rsid w:val="00AD4038"/>
    <w:rsid w:val="00AD43B7"/>
    <w:rsid w:val="00AD4F39"/>
    <w:rsid w:val="00AD5334"/>
    <w:rsid w:val="00AD54DA"/>
    <w:rsid w:val="00AD5726"/>
    <w:rsid w:val="00AD5DE1"/>
    <w:rsid w:val="00AD61E0"/>
    <w:rsid w:val="00AD65D8"/>
    <w:rsid w:val="00AD6AAF"/>
    <w:rsid w:val="00AD6CDD"/>
    <w:rsid w:val="00AD6F57"/>
    <w:rsid w:val="00AD7117"/>
    <w:rsid w:val="00AD7474"/>
    <w:rsid w:val="00AD7AF8"/>
    <w:rsid w:val="00AE01CE"/>
    <w:rsid w:val="00AE0569"/>
    <w:rsid w:val="00AE0B75"/>
    <w:rsid w:val="00AE0FCC"/>
    <w:rsid w:val="00AE2245"/>
    <w:rsid w:val="00AE2787"/>
    <w:rsid w:val="00AE2CA8"/>
    <w:rsid w:val="00AE30D0"/>
    <w:rsid w:val="00AE32CE"/>
    <w:rsid w:val="00AE3F6A"/>
    <w:rsid w:val="00AE3FE6"/>
    <w:rsid w:val="00AE4067"/>
    <w:rsid w:val="00AE47D4"/>
    <w:rsid w:val="00AE49C5"/>
    <w:rsid w:val="00AE51FC"/>
    <w:rsid w:val="00AE5502"/>
    <w:rsid w:val="00AE5A15"/>
    <w:rsid w:val="00AE6427"/>
    <w:rsid w:val="00AE6607"/>
    <w:rsid w:val="00AE6E34"/>
    <w:rsid w:val="00AE7293"/>
    <w:rsid w:val="00AE7430"/>
    <w:rsid w:val="00AE7662"/>
    <w:rsid w:val="00AF0007"/>
    <w:rsid w:val="00AF008C"/>
    <w:rsid w:val="00AF00B4"/>
    <w:rsid w:val="00AF0367"/>
    <w:rsid w:val="00AF0949"/>
    <w:rsid w:val="00AF12D6"/>
    <w:rsid w:val="00AF142A"/>
    <w:rsid w:val="00AF183D"/>
    <w:rsid w:val="00AF19D6"/>
    <w:rsid w:val="00AF20C1"/>
    <w:rsid w:val="00AF320B"/>
    <w:rsid w:val="00AF345B"/>
    <w:rsid w:val="00AF38EC"/>
    <w:rsid w:val="00AF3981"/>
    <w:rsid w:val="00AF39FA"/>
    <w:rsid w:val="00AF3C1C"/>
    <w:rsid w:val="00AF400B"/>
    <w:rsid w:val="00AF4215"/>
    <w:rsid w:val="00AF45EA"/>
    <w:rsid w:val="00AF497C"/>
    <w:rsid w:val="00AF49CC"/>
    <w:rsid w:val="00AF4EA5"/>
    <w:rsid w:val="00AF4F92"/>
    <w:rsid w:val="00AF54C1"/>
    <w:rsid w:val="00AF54D2"/>
    <w:rsid w:val="00AF55D7"/>
    <w:rsid w:val="00AF5662"/>
    <w:rsid w:val="00AF5689"/>
    <w:rsid w:val="00AF5748"/>
    <w:rsid w:val="00AF59D2"/>
    <w:rsid w:val="00AF5F57"/>
    <w:rsid w:val="00AF63CF"/>
    <w:rsid w:val="00AF6BCE"/>
    <w:rsid w:val="00AF7333"/>
    <w:rsid w:val="00AF760E"/>
    <w:rsid w:val="00AF7773"/>
    <w:rsid w:val="00B0026C"/>
    <w:rsid w:val="00B00603"/>
    <w:rsid w:val="00B00CC3"/>
    <w:rsid w:val="00B00D9D"/>
    <w:rsid w:val="00B00DA1"/>
    <w:rsid w:val="00B00E33"/>
    <w:rsid w:val="00B01353"/>
    <w:rsid w:val="00B01503"/>
    <w:rsid w:val="00B01ADD"/>
    <w:rsid w:val="00B02316"/>
    <w:rsid w:val="00B02F4B"/>
    <w:rsid w:val="00B02F92"/>
    <w:rsid w:val="00B03374"/>
    <w:rsid w:val="00B035DB"/>
    <w:rsid w:val="00B0376C"/>
    <w:rsid w:val="00B039F4"/>
    <w:rsid w:val="00B03E9C"/>
    <w:rsid w:val="00B04B83"/>
    <w:rsid w:val="00B04CD4"/>
    <w:rsid w:val="00B04FCC"/>
    <w:rsid w:val="00B05075"/>
    <w:rsid w:val="00B053A0"/>
    <w:rsid w:val="00B0543F"/>
    <w:rsid w:val="00B0577C"/>
    <w:rsid w:val="00B058F0"/>
    <w:rsid w:val="00B060A9"/>
    <w:rsid w:val="00B063F9"/>
    <w:rsid w:val="00B06DB6"/>
    <w:rsid w:val="00B07094"/>
    <w:rsid w:val="00B073C0"/>
    <w:rsid w:val="00B07417"/>
    <w:rsid w:val="00B0747C"/>
    <w:rsid w:val="00B07480"/>
    <w:rsid w:val="00B078F7"/>
    <w:rsid w:val="00B07957"/>
    <w:rsid w:val="00B07AD8"/>
    <w:rsid w:val="00B07B5C"/>
    <w:rsid w:val="00B105F7"/>
    <w:rsid w:val="00B10628"/>
    <w:rsid w:val="00B1086A"/>
    <w:rsid w:val="00B10A3E"/>
    <w:rsid w:val="00B10C55"/>
    <w:rsid w:val="00B10E94"/>
    <w:rsid w:val="00B10FFB"/>
    <w:rsid w:val="00B111D1"/>
    <w:rsid w:val="00B1121F"/>
    <w:rsid w:val="00B1181C"/>
    <w:rsid w:val="00B118D5"/>
    <w:rsid w:val="00B1199A"/>
    <w:rsid w:val="00B11D62"/>
    <w:rsid w:val="00B120B8"/>
    <w:rsid w:val="00B124B5"/>
    <w:rsid w:val="00B127D4"/>
    <w:rsid w:val="00B12817"/>
    <w:rsid w:val="00B12A35"/>
    <w:rsid w:val="00B12F10"/>
    <w:rsid w:val="00B13237"/>
    <w:rsid w:val="00B1352D"/>
    <w:rsid w:val="00B13857"/>
    <w:rsid w:val="00B14300"/>
    <w:rsid w:val="00B14496"/>
    <w:rsid w:val="00B14CD5"/>
    <w:rsid w:val="00B150A7"/>
    <w:rsid w:val="00B150B9"/>
    <w:rsid w:val="00B15752"/>
    <w:rsid w:val="00B15777"/>
    <w:rsid w:val="00B15AA0"/>
    <w:rsid w:val="00B15B56"/>
    <w:rsid w:val="00B15C6D"/>
    <w:rsid w:val="00B15C92"/>
    <w:rsid w:val="00B15DC8"/>
    <w:rsid w:val="00B15E26"/>
    <w:rsid w:val="00B1638D"/>
    <w:rsid w:val="00B16481"/>
    <w:rsid w:val="00B16981"/>
    <w:rsid w:val="00B1750A"/>
    <w:rsid w:val="00B17685"/>
    <w:rsid w:val="00B1778A"/>
    <w:rsid w:val="00B17B20"/>
    <w:rsid w:val="00B17C06"/>
    <w:rsid w:val="00B17F09"/>
    <w:rsid w:val="00B17F5F"/>
    <w:rsid w:val="00B20AA7"/>
    <w:rsid w:val="00B20E26"/>
    <w:rsid w:val="00B212BA"/>
    <w:rsid w:val="00B2143E"/>
    <w:rsid w:val="00B221F5"/>
    <w:rsid w:val="00B228D2"/>
    <w:rsid w:val="00B22AB4"/>
    <w:rsid w:val="00B22E25"/>
    <w:rsid w:val="00B237F8"/>
    <w:rsid w:val="00B23C15"/>
    <w:rsid w:val="00B243AD"/>
    <w:rsid w:val="00B243BE"/>
    <w:rsid w:val="00B24A4D"/>
    <w:rsid w:val="00B256E8"/>
    <w:rsid w:val="00B25969"/>
    <w:rsid w:val="00B26019"/>
    <w:rsid w:val="00B265F2"/>
    <w:rsid w:val="00B269A4"/>
    <w:rsid w:val="00B270D1"/>
    <w:rsid w:val="00B27212"/>
    <w:rsid w:val="00B274BE"/>
    <w:rsid w:val="00B27521"/>
    <w:rsid w:val="00B2755F"/>
    <w:rsid w:val="00B30152"/>
    <w:rsid w:val="00B301B3"/>
    <w:rsid w:val="00B303C1"/>
    <w:rsid w:val="00B303E8"/>
    <w:rsid w:val="00B3050C"/>
    <w:rsid w:val="00B30B53"/>
    <w:rsid w:val="00B30CAF"/>
    <w:rsid w:val="00B313EB"/>
    <w:rsid w:val="00B3184A"/>
    <w:rsid w:val="00B32135"/>
    <w:rsid w:val="00B32831"/>
    <w:rsid w:val="00B328E4"/>
    <w:rsid w:val="00B32CEF"/>
    <w:rsid w:val="00B32D2D"/>
    <w:rsid w:val="00B32DC8"/>
    <w:rsid w:val="00B32FF5"/>
    <w:rsid w:val="00B33429"/>
    <w:rsid w:val="00B3385D"/>
    <w:rsid w:val="00B33DC1"/>
    <w:rsid w:val="00B33E57"/>
    <w:rsid w:val="00B34476"/>
    <w:rsid w:val="00B34C49"/>
    <w:rsid w:val="00B35313"/>
    <w:rsid w:val="00B35583"/>
    <w:rsid w:val="00B35E15"/>
    <w:rsid w:val="00B3645B"/>
    <w:rsid w:val="00B367F0"/>
    <w:rsid w:val="00B36895"/>
    <w:rsid w:val="00B36950"/>
    <w:rsid w:val="00B36BA1"/>
    <w:rsid w:val="00B36FA5"/>
    <w:rsid w:val="00B372DB"/>
    <w:rsid w:val="00B373DD"/>
    <w:rsid w:val="00B374D8"/>
    <w:rsid w:val="00B37614"/>
    <w:rsid w:val="00B37794"/>
    <w:rsid w:val="00B378AA"/>
    <w:rsid w:val="00B3791C"/>
    <w:rsid w:val="00B37B7F"/>
    <w:rsid w:val="00B37EFF"/>
    <w:rsid w:val="00B4007C"/>
    <w:rsid w:val="00B4027B"/>
    <w:rsid w:val="00B402AF"/>
    <w:rsid w:val="00B4063C"/>
    <w:rsid w:val="00B40A6C"/>
    <w:rsid w:val="00B40B82"/>
    <w:rsid w:val="00B40DA5"/>
    <w:rsid w:val="00B410E6"/>
    <w:rsid w:val="00B41401"/>
    <w:rsid w:val="00B41DAB"/>
    <w:rsid w:val="00B41EDC"/>
    <w:rsid w:val="00B42851"/>
    <w:rsid w:val="00B429CB"/>
    <w:rsid w:val="00B431BA"/>
    <w:rsid w:val="00B43978"/>
    <w:rsid w:val="00B439D6"/>
    <w:rsid w:val="00B43CA8"/>
    <w:rsid w:val="00B43E70"/>
    <w:rsid w:val="00B441ED"/>
    <w:rsid w:val="00B44475"/>
    <w:rsid w:val="00B4462C"/>
    <w:rsid w:val="00B44896"/>
    <w:rsid w:val="00B44DB8"/>
    <w:rsid w:val="00B45113"/>
    <w:rsid w:val="00B451F8"/>
    <w:rsid w:val="00B45201"/>
    <w:rsid w:val="00B45406"/>
    <w:rsid w:val="00B458A2"/>
    <w:rsid w:val="00B46184"/>
    <w:rsid w:val="00B46610"/>
    <w:rsid w:val="00B469CE"/>
    <w:rsid w:val="00B46FD1"/>
    <w:rsid w:val="00B4726D"/>
    <w:rsid w:val="00B472C7"/>
    <w:rsid w:val="00B4791A"/>
    <w:rsid w:val="00B4793B"/>
    <w:rsid w:val="00B502EA"/>
    <w:rsid w:val="00B50D53"/>
    <w:rsid w:val="00B50DB8"/>
    <w:rsid w:val="00B50EAC"/>
    <w:rsid w:val="00B50EC9"/>
    <w:rsid w:val="00B510CA"/>
    <w:rsid w:val="00B5165D"/>
    <w:rsid w:val="00B51A45"/>
    <w:rsid w:val="00B52430"/>
    <w:rsid w:val="00B5267A"/>
    <w:rsid w:val="00B527D0"/>
    <w:rsid w:val="00B52810"/>
    <w:rsid w:val="00B52DEB"/>
    <w:rsid w:val="00B52F4C"/>
    <w:rsid w:val="00B53040"/>
    <w:rsid w:val="00B53152"/>
    <w:rsid w:val="00B532B0"/>
    <w:rsid w:val="00B53788"/>
    <w:rsid w:val="00B53875"/>
    <w:rsid w:val="00B538F5"/>
    <w:rsid w:val="00B53905"/>
    <w:rsid w:val="00B53D01"/>
    <w:rsid w:val="00B53E42"/>
    <w:rsid w:val="00B53EE0"/>
    <w:rsid w:val="00B54701"/>
    <w:rsid w:val="00B5477A"/>
    <w:rsid w:val="00B54B5B"/>
    <w:rsid w:val="00B555A5"/>
    <w:rsid w:val="00B5562E"/>
    <w:rsid w:val="00B558B7"/>
    <w:rsid w:val="00B55B5E"/>
    <w:rsid w:val="00B55E67"/>
    <w:rsid w:val="00B56717"/>
    <w:rsid w:val="00B56ED0"/>
    <w:rsid w:val="00B57000"/>
    <w:rsid w:val="00B57103"/>
    <w:rsid w:val="00B57356"/>
    <w:rsid w:val="00B5793C"/>
    <w:rsid w:val="00B57E1F"/>
    <w:rsid w:val="00B60058"/>
    <w:rsid w:val="00B60939"/>
    <w:rsid w:val="00B60AA3"/>
    <w:rsid w:val="00B60AFD"/>
    <w:rsid w:val="00B60BE1"/>
    <w:rsid w:val="00B60D40"/>
    <w:rsid w:val="00B6105E"/>
    <w:rsid w:val="00B61187"/>
    <w:rsid w:val="00B61455"/>
    <w:rsid w:val="00B616D5"/>
    <w:rsid w:val="00B61F8B"/>
    <w:rsid w:val="00B61FBC"/>
    <w:rsid w:val="00B62214"/>
    <w:rsid w:val="00B62251"/>
    <w:rsid w:val="00B62715"/>
    <w:rsid w:val="00B62958"/>
    <w:rsid w:val="00B62AA1"/>
    <w:rsid w:val="00B62AEE"/>
    <w:rsid w:val="00B62ED6"/>
    <w:rsid w:val="00B6329C"/>
    <w:rsid w:val="00B63304"/>
    <w:rsid w:val="00B643FF"/>
    <w:rsid w:val="00B64A87"/>
    <w:rsid w:val="00B64CEF"/>
    <w:rsid w:val="00B65442"/>
    <w:rsid w:val="00B655F4"/>
    <w:rsid w:val="00B6574F"/>
    <w:rsid w:val="00B666E1"/>
    <w:rsid w:val="00B66B6D"/>
    <w:rsid w:val="00B6734C"/>
    <w:rsid w:val="00B67999"/>
    <w:rsid w:val="00B67BF7"/>
    <w:rsid w:val="00B67C36"/>
    <w:rsid w:val="00B7025A"/>
    <w:rsid w:val="00B707F7"/>
    <w:rsid w:val="00B709E1"/>
    <w:rsid w:val="00B70BC6"/>
    <w:rsid w:val="00B70ED8"/>
    <w:rsid w:val="00B71252"/>
    <w:rsid w:val="00B714B9"/>
    <w:rsid w:val="00B71F41"/>
    <w:rsid w:val="00B72635"/>
    <w:rsid w:val="00B72BFE"/>
    <w:rsid w:val="00B72F6D"/>
    <w:rsid w:val="00B736BC"/>
    <w:rsid w:val="00B7384D"/>
    <w:rsid w:val="00B73F89"/>
    <w:rsid w:val="00B7470D"/>
    <w:rsid w:val="00B74C30"/>
    <w:rsid w:val="00B75481"/>
    <w:rsid w:val="00B755DB"/>
    <w:rsid w:val="00B75608"/>
    <w:rsid w:val="00B75C8E"/>
    <w:rsid w:val="00B764D8"/>
    <w:rsid w:val="00B7652F"/>
    <w:rsid w:val="00B76DA2"/>
    <w:rsid w:val="00B76E71"/>
    <w:rsid w:val="00B7730D"/>
    <w:rsid w:val="00B776EA"/>
    <w:rsid w:val="00B77ACD"/>
    <w:rsid w:val="00B800EA"/>
    <w:rsid w:val="00B803F3"/>
    <w:rsid w:val="00B80423"/>
    <w:rsid w:val="00B80857"/>
    <w:rsid w:val="00B80949"/>
    <w:rsid w:val="00B80FD1"/>
    <w:rsid w:val="00B8185F"/>
    <w:rsid w:val="00B818A4"/>
    <w:rsid w:val="00B81CBF"/>
    <w:rsid w:val="00B81F5D"/>
    <w:rsid w:val="00B823F0"/>
    <w:rsid w:val="00B826C9"/>
    <w:rsid w:val="00B82877"/>
    <w:rsid w:val="00B82D01"/>
    <w:rsid w:val="00B82D78"/>
    <w:rsid w:val="00B82F3F"/>
    <w:rsid w:val="00B830A8"/>
    <w:rsid w:val="00B8312A"/>
    <w:rsid w:val="00B831FB"/>
    <w:rsid w:val="00B832C9"/>
    <w:rsid w:val="00B8347B"/>
    <w:rsid w:val="00B835C3"/>
    <w:rsid w:val="00B83B90"/>
    <w:rsid w:val="00B83C70"/>
    <w:rsid w:val="00B83DE6"/>
    <w:rsid w:val="00B83EE3"/>
    <w:rsid w:val="00B83FD7"/>
    <w:rsid w:val="00B840AC"/>
    <w:rsid w:val="00B84154"/>
    <w:rsid w:val="00B841D9"/>
    <w:rsid w:val="00B84261"/>
    <w:rsid w:val="00B842A5"/>
    <w:rsid w:val="00B845F4"/>
    <w:rsid w:val="00B84662"/>
    <w:rsid w:val="00B84717"/>
    <w:rsid w:val="00B8479D"/>
    <w:rsid w:val="00B84CD2"/>
    <w:rsid w:val="00B84D32"/>
    <w:rsid w:val="00B84ED8"/>
    <w:rsid w:val="00B85617"/>
    <w:rsid w:val="00B85928"/>
    <w:rsid w:val="00B859FB"/>
    <w:rsid w:val="00B85FD7"/>
    <w:rsid w:val="00B8649C"/>
    <w:rsid w:val="00B86E1D"/>
    <w:rsid w:val="00B86EF9"/>
    <w:rsid w:val="00B86FA8"/>
    <w:rsid w:val="00B87028"/>
    <w:rsid w:val="00B87061"/>
    <w:rsid w:val="00B8707F"/>
    <w:rsid w:val="00B870B8"/>
    <w:rsid w:val="00B87233"/>
    <w:rsid w:val="00B877C1"/>
    <w:rsid w:val="00B87A49"/>
    <w:rsid w:val="00B90091"/>
    <w:rsid w:val="00B9041E"/>
    <w:rsid w:val="00B906B2"/>
    <w:rsid w:val="00B9123D"/>
    <w:rsid w:val="00B9128F"/>
    <w:rsid w:val="00B916B6"/>
    <w:rsid w:val="00B91E8C"/>
    <w:rsid w:val="00B91FF3"/>
    <w:rsid w:val="00B92681"/>
    <w:rsid w:val="00B92AF6"/>
    <w:rsid w:val="00B92D0B"/>
    <w:rsid w:val="00B92EA6"/>
    <w:rsid w:val="00B9315E"/>
    <w:rsid w:val="00B9325D"/>
    <w:rsid w:val="00B932FD"/>
    <w:rsid w:val="00B9350C"/>
    <w:rsid w:val="00B93ECA"/>
    <w:rsid w:val="00B94179"/>
    <w:rsid w:val="00B943A0"/>
    <w:rsid w:val="00B94474"/>
    <w:rsid w:val="00B946E1"/>
    <w:rsid w:val="00B94945"/>
    <w:rsid w:val="00B94C07"/>
    <w:rsid w:val="00B95815"/>
    <w:rsid w:val="00B95899"/>
    <w:rsid w:val="00B95B9D"/>
    <w:rsid w:val="00B95BB1"/>
    <w:rsid w:val="00B95C87"/>
    <w:rsid w:val="00B962BC"/>
    <w:rsid w:val="00B96333"/>
    <w:rsid w:val="00B96AF5"/>
    <w:rsid w:val="00B96BFA"/>
    <w:rsid w:val="00B9718D"/>
    <w:rsid w:val="00B97375"/>
    <w:rsid w:val="00B977F4"/>
    <w:rsid w:val="00BA007F"/>
    <w:rsid w:val="00BA0342"/>
    <w:rsid w:val="00BA04DB"/>
    <w:rsid w:val="00BA082D"/>
    <w:rsid w:val="00BA0921"/>
    <w:rsid w:val="00BA0E04"/>
    <w:rsid w:val="00BA0F61"/>
    <w:rsid w:val="00BA1437"/>
    <w:rsid w:val="00BA16FE"/>
    <w:rsid w:val="00BA1DE9"/>
    <w:rsid w:val="00BA1E50"/>
    <w:rsid w:val="00BA2412"/>
    <w:rsid w:val="00BA2630"/>
    <w:rsid w:val="00BA2870"/>
    <w:rsid w:val="00BA2AEE"/>
    <w:rsid w:val="00BA2D1A"/>
    <w:rsid w:val="00BA34A6"/>
    <w:rsid w:val="00BA3C57"/>
    <w:rsid w:val="00BA461F"/>
    <w:rsid w:val="00BA56C2"/>
    <w:rsid w:val="00BA5B60"/>
    <w:rsid w:val="00BA5E36"/>
    <w:rsid w:val="00BA6362"/>
    <w:rsid w:val="00BA645A"/>
    <w:rsid w:val="00BA6659"/>
    <w:rsid w:val="00BA6747"/>
    <w:rsid w:val="00BA6803"/>
    <w:rsid w:val="00BA72D3"/>
    <w:rsid w:val="00BA73B5"/>
    <w:rsid w:val="00BA7511"/>
    <w:rsid w:val="00BB0039"/>
    <w:rsid w:val="00BB0077"/>
    <w:rsid w:val="00BB00EF"/>
    <w:rsid w:val="00BB0144"/>
    <w:rsid w:val="00BB03CB"/>
    <w:rsid w:val="00BB06AE"/>
    <w:rsid w:val="00BB0B66"/>
    <w:rsid w:val="00BB0B74"/>
    <w:rsid w:val="00BB0CCA"/>
    <w:rsid w:val="00BB0D2A"/>
    <w:rsid w:val="00BB18E0"/>
    <w:rsid w:val="00BB1A02"/>
    <w:rsid w:val="00BB1C42"/>
    <w:rsid w:val="00BB1D5C"/>
    <w:rsid w:val="00BB2064"/>
    <w:rsid w:val="00BB23D4"/>
    <w:rsid w:val="00BB23E5"/>
    <w:rsid w:val="00BB25D5"/>
    <w:rsid w:val="00BB2C4D"/>
    <w:rsid w:val="00BB31E7"/>
    <w:rsid w:val="00BB344E"/>
    <w:rsid w:val="00BB35E4"/>
    <w:rsid w:val="00BB36F1"/>
    <w:rsid w:val="00BB3868"/>
    <w:rsid w:val="00BB391F"/>
    <w:rsid w:val="00BB399F"/>
    <w:rsid w:val="00BB3CC1"/>
    <w:rsid w:val="00BB4145"/>
    <w:rsid w:val="00BB42AA"/>
    <w:rsid w:val="00BB42F3"/>
    <w:rsid w:val="00BB4383"/>
    <w:rsid w:val="00BB4562"/>
    <w:rsid w:val="00BB49FC"/>
    <w:rsid w:val="00BB4E81"/>
    <w:rsid w:val="00BB51F9"/>
    <w:rsid w:val="00BB535E"/>
    <w:rsid w:val="00BB53BC"/>
    <w:rsid w:val="00BB595C"/>
    <w:rsid w:val="00BB5B83"/>
    <w:rsid w:val="00BB5C00"/>
    <w:rsid w:val="00BB6133"/>
    <w:rsid w:val="00BB6AAF"/>
    <w:rsid w:val="00BB6AFD"/>
    <w:rsid w:val="00BB6F8E"/>
    <w:rsid w:val="00BB7405"/>
    <w:rsid w:val="00BB777E"/>
    <w:rsid w:val="00BB7F11"/>
    <w:rsid w:val="00BC0035"/>
    <w:rsid w:val="00BC01C2"/>
    <w:rsid w:val="00BC0BB8"/>
    <w:rsid w:val="00BC1CB5"/>
    <w:rsid w:val="00BC1F16"/>
    <w:rsid w:val="00BC212B"/>
    <w:rsid w:val="00BC216D"/>
    <w:rsid w:val="00BC236E"/>
    <w:rsid w:val="00BC27A4"/>
    <w:rsid w:val="00BC2CC1"/>
    <w:rsid w:val="00BC2D24"/>
    <w:rsid w:val="00BC2E2D"/>
    <w:rsid w:val="00BC30BB"/>
    <w:rsid w:val="00BC327A"/>
    <w:rsid w:val="00BC3A79"/>
    <w:rsid w:val="00BC3C48"/>
    <w:rsid w:val="00BC3ECB"/>
    <w:rsid w:val="00BC3F3C"/>
    <w:rsid w:val="00BC5168"/>
    <w:rsid w:val="00BC5200"/>
    <w:rsid w:val="00BC52CB"/>
    <w:rsid w:val="00BC54A8"/>
    <w:rsid w:val="00BC5CC6"/>
    <w:rsid w:val="00BC6790"/>
    <w:rsid w:val="00BC6C93"/>
    <w:rsid w:val="00BC71CC"/>
    <w:rsid w:val="00BC74BF"/>
    <w:rsid w:val="00BC771C"/>
    <w:rsid w:val="00BC7D22"/>
    <w:rsid w:val="00BD06C8"/>
    <w:rsid w:val="00BD06FE"/>
    <w:rsid w:val="00BD0C9A"/>
    <w:rsid w:val="00BD0E7C"/>
    <w:rsid w:val="00BD0FE6"/>
    <w:rsid w:val="00BD1A77"/>
    <w:rsid w:val="00BD1CF0"/>
    <w:rsid w:val="00BD2449"/>
    <w:rsid w:val="00BD28AF"/>
    <w:rsid w:val="00BD2A46"/>
    <w:rsid w:val="00BD2D73"/>
    <w:rsid w:val="00BD343A"/>
    <w:rsid w:val="00BD3602"/>
    <w:rsid w:val="00BD3658"/>
    <w:rsid w:val="00BD38BF"/>
    <w:rsid w:val="00BD44DF"/>
    <w:rsid w:val="00BD4769"/>
    <w:rsid w:val="00BD4798"/>
    <w:rsid w:val="00BD4A40"/>
    <w:rsid w:val="00BD4F98"/>
    <w:rsid w:val="00BD5A5D"/>
    <w:rsid w:val="00BD5D9C"/>
    <w:rsid w:val="00BD5ED6"/>
    <w:rsid w:val="00BD63B8"/>
    <w:rsid w:val="00BD6CF3"/>
    <w:rsid w:val="00BD73A0"/>
    <w:rsid w:val="00BD7423"/>
    <w:rsid w:val="00BD74BC"/>
    <w:rsid w:val="00BD77B1"/>
    <w:rsid w:val="00BE00AD"/>
    <w:rsid w:val="00BE072B"/>
    <w:rsid w:val="00BE08EB"/>
    <w:rsid w:val="00BE0D2E"/>
    <w:rsid w:val="00BE15EC"/>
    <w:rsid w:val="00BE17DC"/>
    <w:rsid w:val="00BE1BA3"/>
    <w:rsid w:val="00BE1DBC"/>
    <w:rsid w:val="00BE2180"/>
    <w:rsid w:val="00BE2881"/>
    <w:rsid w:val="00BE3257"/>
    <w:rsid w:val="00BE40EC"/>
    <w:rsid w:val="00BE41C9"/>
    <w:rsid w:val="00BE4275"/>
    <w:rsid w:val="00BE4344"/>
    <w:rsid w:val="00BE4ECE"/>
    <w:rsid w:val="00BE520F"/>
    <w:rsid w:val="00BE5243"/>
    <w:rsid w:val="00BE53E3"/>
    <w:rsid w:val="00BE574B"/>
    <w:rsid w:val="00BE5B19"/>
    <w:rsid w:val="00BE6497"/>
    <w:rsid w:val="00BE64AA"/>
    <w:rsid w:val="00BE6595"/>
    <w:rsid w:val="00BE6602"/>
    <w:rsid w:val="00BE6DF8"/>
    <w:rsid w:val="00BE7AC3"/>
    <w:rsid w:val="00BF073C"/>
    <w:rsid w:val="00BF079D"/>
    <w:rsid w:val="00BF08FC"/>
    <w:rsid w:val="00BF0DEC"/>
    <w:rsid w:val="00BF1355"/>
    <w:rsid w:val="00BF1780"/>
    <w:rsid w:val="00BF2010"/>
    <w:rsid w:val="00BF2433"/>
    <w:rsid w:val="00BF2497"/>
    <w:rsid w:val="00BF2858"/>
    <w:rsid w:val="00BF28DE"/>
    <w:rsid w:val="00BF30F1"/>
    <w:rsid w:val="00BF32A2"/>
    <w:rsid w:val="00BF3A16"/>
    <w:rsid w:val="00BF3CCD"/>
    <w:rsid w:val="00BF3EF3"/>
    <w:rsid w:val="00BF3F4F"/>
    <w:rsid w:val="00BF40FA"/>
    <w:rsid w:val="00BF4C04"/>
    <w:rsid w:val="00BF539D"/>
    <w:rsid w:val="00BF58FC"/>
    <w:rsid w:val="00BF61C9"/>
    <w:rsid w:val="00BF67FE"/>
    <w:rsid w:val="00BF683C"/>
    <w:rsid w:val="00BF68EB"/>
    <w:rsid w:val="00BF7581"/>
    <w:rsid w:val="00BF77DB"/>
    <w:rsid w:val="00BF7B80"/>
    <w:rsid w:val="00BF7B88"/>
    <w:rsid w:val="00C001D8"/>
    <w:rsid w:val="00C00221"/>
    <w:rsid w:val="00C003F3"/>
    <w:rsid w:val="00C006B5"/>
    <w:rsid w:val="00C00AF6"/>
    <w:rsid w:val="00C011E0"/>
    <w:rsid w:val="00C02139"/>
    <w:rsid w:val="00C024C9"/>
    <w:rsid w:val="00C025B0"/>
    <w:rsid w:val="00C0262D"/>
    <w:rsid w:val="00C03544"/>
    <w:rsid w:val="00C03968"/>
    <w:rsid w:val="00C03D3B"/>
    <w:rsid w:val="00C041F0"/>
    <w:rsid w:val="00C041F2"/>
    <w:rsid w:val="00C04AC9"/>
    <w:rsid w:val="00C04D3E"/>
    <w:rsid w:val="00C053FA"/>
    <w:rsid w:val="00C05554"/>
    <w:rsid w:val="00C06265"/>
    <w:rsid w:val="00C063F0"/>
    <w:rsid w:val="00C0687C"/>
    <w:rsid w:val="00C06A27"/>
    <w:rsid w:val="00C06DBD"/>
    <w:rsid w:val="00C0774B"/>
    <w:rsid w:val="00C10223"/>
    <w:rsid w:val="00C10228"/>
    <w:rsid w:val="00C10395"/>
    <w:rsid w:val="00C108E5"/>
    <w:rsid w:val="00C11774"/>
    <w:rsid w:val="00C1182B"/>
    <w:rsid w:val="00C11837"/>
    <w:rsid w:val="00C11EA4"/>
    <w:rsid w:val="00C11FA9"/>
    <w:rsid w:val="00C13126"/>
    <w:rsid w:val="00C13238"/>
    <w:rsid w:val="00C13B35"/>
    <w:rsid w:val="00C13FF0"/>
    <w:rsid w:val="00C1407A"/>
    <w:rsid w:val="00C148D8"/>
    <w:rsid w:val="00C14B77"/>
    <w:rsid w:val="00C15305"/>
    <w:rsid w:val="00C153B1"/>
    <w:rsid w:val="00C158D0"/>
    <w:rsid w:val="00C15BFD"/>
    <w:rsid w:val="00C15D24"/>
    <w:rsid w:val="00C16B9D"/>
    <w:rsid w:val="00C16E7A"/>
    <w:rsid w:val="00C17396"/>
    <w:rsid w:val="00C17401"/>
    <w:rsid w:val="00C1741A"/>
    <w:rsid w:val="00C179AA"/>
    <w:rsid w:val="00C17B53"/>
    <w:rsid w:val="00C17C9F"/>
    <w:rsid w:val="00C20259"/>
    <w:rsid w:val="00C20C81"/>
    <w:rsid w:val="00C20D7F"/>
    <w:rsid w:val="00C20D94"/>
    <w:rsid w:val="00C20EC5"/>
    <w:rsid w:val="00C21317"/>
    <w:rsid w:val="00C2142E"/>
    <w:rsid w:val="00C21F8D"/>
    <w:rsid w:val="00C223D6"/>
    <w:rsid w:val="00C224EF"/>
    <w:rsid w:val="00C22A59"/>
    <w:rsid w:val="00C22B0B"/>
    <w:rsid w:val="00C22FB2"/>
    <w:rsid w:val="00C230F8"/>
    <w:rsid w:val="00C23106"/>
    <w:rsid w:val="00C2326A"/>
    <w:rsid w:val="00C2326B"/>
    <w:rsid w:val="00C23595"/>
    <w:rsid w:val="00C235E0"/>
    <w:rsid w:val="00C240ED"/>
    <w:rsid w:val="00C241F4"/>
    <w:rsid w:val="00C2421A"/>
    <w:rsid w:val="00C2430A"/>
    <w:rsid w:val="00C2442B"/>
    <w:rsid w:val="00C24614"/>
    <w:rsid w:val="00C2473A"/>
    <w:rsid w:val="00C24772"/>
    <w:rsid w:val="00C247E7"/>
    <w:rsid w:val="00C24A17"/>
    <w:rsid w:val="00C24EC8"/>
    <w:rsid w:val="00C2517C"/>
    <w:rsid w:val="00C25418"/>
    <w:rsid w:val="00C25B9E"/>
    <w:rsid w:val="00C25D69"/>
    <w:rsid w:val="00C25D9C"/>
    <w:rsid w:val="00C26647"/>
    <w:rsid w:val="00C2665D"/>
    <w:rsid w:val="00C26BF1"/>
    <w:rsid w:val="00C26D80"/>
    <w:rsid w:val="00C2781F"/>
    <w:rsid w:val="00C2784B"/>
    <w:rsid w:val="00C30064"/>
    <w:rsid w:val="00C30EB2"/>
    <w:rsid w:val="00C31649"/>
    <w:rsid w:val="00C32A91"/>
    <w:rsid w:val="00C32A93"/>
    <w:rsid w:val="00C3311D"/>
    <w:rsid w:val="00C334C5"/>
    <w:rsid w:val="00C339EE"/>
    <w:rsid w:val="00C33AA9"/>
    <w:rsid w:val="00C33C8B"/>
    <w:rsid w:val="00C33E68"/>
    <w:rsid w:val="00C34050"/>
    <w:rsid w:val="00C34333"/>
    <w:rsid w:val="00C346AC"/>
    <w:rsid w:val="00C34781"/>
    <w:rsid w:val="00C34D6B"/>
    <w:rsid w:val="00C35262"/>
    <w:rsid w:val="00C352BE"/>
    <w:rsid w:val="00C354B1"/>
    <w:rsid w:val="00C357E0"/>
    <w:rsid w:val="00C35867"/>
    <w:rsid w:val="00C358D8"/>
    <w:rsid w:val="00C3600D"/>
    <w:rsid w:val="00C367C5"/>
    <w:rsid w:val="00C36901"/>
    <w:rsid w:val="00C369E6"/>
    <w:rsid w:val="00C36AA8"/>
    <w:rsid w:val="00C36DEF"/>
    <w:rsid w:val="00C3706A"/>
    <w:rsid w:val="00C374F7"/>
    <w:rsid w:val="00C375DF"/>
    <w:rsid w:val="00C37DD3"/>
    <w:rsid w:val="00C40385"/>
    <w:rsid w:val="00C40C9A"/>
    <w:rsid w:val="00C40DCB"/>
    <w:rsid w:val="00C41119"/>
    <w:rsid w:val="00C416C5"/>
    <w:rsid w:val="00C41718"/>
    <w:rsid w:val="00C41C74"/>
    <w:rsid w:val="00C41D5B"/>
    <w:rsid w:val="00C41ECF"/>
    <w:rsid w:val="00C42B90"/>
    <w:rsid w:val="00C42E07"/>
    <w:rsid w:val="00C42F46"/>
    <w:rsid w:val="00C4314D"/>
    <w:rsid w:val="00C43731"/>
    <w:rsid w:val="00C439D6"/>
    <w:rsid w:val="00C43E3B"/>
    <w:rsid w:val="00C4451C"/>
    <w:rsid w:val="00C44E0E"/>
    <w:rsid w:val="00C4505D"/>
    <w:rsid w:val="00C456FE"/>
    <w:rsid w:val="00C45B59"/>
    <w:rsid w:val="00C45FF9"/>
    <w:rsid w:val="00C463F8"/>
    <w:rsid w:val="00C467D1"/>
    <w:rsid w:val="00C46864"/>
    <w:rsid w:val="00C469C6"/>
    <w:rsid w:val="00C46B64"/>
    <w:rsid w:val="00C46DC4"/>
    <w:rsid w:val="00C46EAA"/>
    <w:rsid w:val="00C479C4"/>
    <w:rsid w:val="00C47D17"/>
    <w:rsid w:val="00C47F37"/>
    <w:rsid w:val="00C5005C"/>
    <w:rsid w:val="00C504C9"/>
    <w:rsid w:val="00C50B25"/>
    <w:rsid w:val="00C50EE4"/>
    <w:rsid w:val="00C50F35"/>
    <w:rsid w:val="00C51AA5"/>
    <w:rsid w:val="00C51B60"/>
    <w:rsid w:val="00C52078"/>
    <w:rsid w:val="00C52735"/>
    <w:rsid w:val="00C528D6"/>
    <w:rsid w:val="00C53375"/>
    <w:rsid w:val="00C53530"/>
    <w:rsid w:val="00C5356C"/>
    <w:rsid w:val="00C5369E"/>
    <w:rsid w:val="00C53B26"/>
    <w:rsid w:val="00C53F0C"/>
    <w:rsid w:val="00C53F6D"/>
    <w:rsid w:val="00C54C7D"/>
    <w:rsid w:val="00C54D31"/>
    <w:rsid w:val="00C55184"/>
    <w:rsid w:val="00C5602C"/>
    <w:rsid w:val="00C56117"/>
    <w:rsid w:val="00C5651F"/>
    <w:rsid w:val="00C56559"/>
    <w:rsid w:val="00C56D40"/>
    <w:rsid w:val="00C56D69"/>
    <w:rsid w:val="00C56DDA"/>
    <w:rsid w:val="00C56F56"/>
    <w:rsid w:val="00C570A6"/>
    <w:rsid w:val="00C57374"/>
    <w:rsid w:val="00C578C7"/>
    <w:rsid w:val="00C57A7F"/>
    <w:rsid w:val="00C57EEA"/>
    <w:rsid w:val="00C60339"/>
    <w:rsid w:val="00C60AC9"/>
    <w:rsid w:val="00C60CB6"/>
    <w:rsid w:val="00C60D03"/>
    <w:rsid w:val="00C60D0C"/>
    <w:rsid w:val="00C61585"/>
    <w:rsid w:val="00C61B44"/>
    <w:rsid w:val="00C61CB8"/>
    <w:rsid w:val="00C62534"/>
    <w:rsid w:val="00C62750"/>
    <w:rsid w:val="00C63315"/>
    <w:rsid w:val="00C63F94"/>
    <w:rsid w:val="00C641B4"/>
    <w:rsid w:val="00C64257"/>
    <w:rsid w:val="00C64460"/>
    <w:rsid w:val="00C64738"/>
    <w:rsid w:val="00C64906"/>
    <w:rsid w:val="00C64BE5"/>
    <w:rsid w:val="00C653FC"/>
    <w:rsid w:val="00C65576"/>
    <w:rsid w:val="00C65630"/>
    <w:rsid w:val="00C65BF7"/>
    <w:rsid w:val="00C66165"/>
    <w:rsid w:val="00C662D8"/>
    <w:rsid w:val="00C66ABE"/>
    <w:rsid w:val="00C6718A"/>
    <w:rsid w:val="00C671AD"/>
    <w:rsid w:val="00C701D8"/>
    <w:rsid w:val="00C70401"/>
    <w:rsid w:val="00C7075A"/>
    <w:rsid w:val="00C70A48"/>
    <w:rsid w:val="00C70B2D"/>
    <w:rsid w:val="00C70B9B"/>
    <w:rsid w:val="00C70F2A"/>
    <w:rsid w:val="00C717A5"/>
    <w:rsid w:val="00C71ECB"/>
    <w:rsid w:val="00C71F06"/>
    <w:rsid w:val="00C72779"/>
    <w:rsid w:val="00C72A9C"/>
    <w:rsid w:val="00C72D21"/>
    <w:rsid w:val="00C72FA6"/>
    <w:rsid w:val="00C73224"/>
    <w:rsid w:val="00C7359A"/>
    <w:rsid w:val="00C73746"/>
    <w:rsid w:val="00C7380B"/>
    <w:rsid w:val="00C739C8"/>
    <w:rsid w:val="00C74041"/>
    <w:rsid w:val="00C74442"/>
    <w:rsid w:val="00C7445C"/>
    <w:rsid w:val="00C74789"/>
    <w:rsid w:val="00C750C8"/>
    <w:rsid w:val="00C754BF"/>
    <w:rsid w:val="00C75948"/>
    <w:rsid w:val="00C75EB3"/>
    <w:rsid w:val="00C76117"/>
    <w:rsid w:val="00C76507"/>
    <w:rsid w:val="00C766F8"/>
    <w:rsid w:val="00C7692C"/>
    <w:rsid w:val="00C76F13"/>
    <w:rsid w:val="00C76F83"/>
    <w:rsid w:val="00C774BA"/>
    <w:rsid w:val="00C77934"/>
    <w:rsid w:val="00C80677"/>
    <w:rsid w:val="00C80E86"/>
    <w:rsid w:val="00C81699"/>
    <w:rsid w:val="00C81A1A"/>
    <w:rsid w:val="00C81BC8"/>
    <w:rsid w:val="00C81BCA"/>
    <w:rsid w:val="00C81FD3"/>
    <w:rsid w:val="00C82002"/>
    <w:rsid w:val="00C8213F"/>
    <w:rsid w:val="00C8263D"/>
    <w:rsid w:val="00C82B46"/>
    <w:rsid w:val="00C82BEE"/>
    <w:rsid w:val="00C830C5"/>
    <w:rsid w:val="00C83222"/>
    <w:rsid w:val="00C83249"/>
    <w:rsid w:val="00C83616"/>
    <w:rsid w:val="00C83B69"/>
    <w:rsid w:val="00C83E95"/>
    <w:rsid w:val="00C84323"/>
    <w:rsid w:val="00C844C6"/>
    <w:rsid w:val="00C84833"/>
    <w:rsid w:val="00C8485C"/>
    <w:rsid w:val="00C84BE1"/>
    <w:rsid w:val="00C84F9C"/>
    <w:rsid w:val="00C85068"/>
    <w:rsid w:val="00C858AF"/>
    <w:rsid w:val="00C85AE7"/>
    <w:rsid w:val="00C866FB"/>
    <w:rsid w:val="00C86724"/>
    <w:rsid w:val="00C86759"/>
    <w:rsid w:val="00C86BA6"/>
    <w:rsid w:val="00C86E75"/>
    <w:rsid w:val="00C872BA"/>
    <w:rsid w:val="00C87521"/>
    <w:rsid w:val="00C87566"/>
    <w:rsid w:val="00C878E6"/>
    <w:rsid w:val="00C8797A"/>
    <w:rsid w:val="00C900C4"/>
    <w:rsid w:val="00C900D3"/>
    <w:rsid w:val="00C90789"/>
    <w:rsid w:val="00C908F2"/>
    <w:rsid w:val="00C912A2"/>
    <w:rsid w:val="00C912E2"/>
    <w:rsid w:val="00C9155D"/>
    <w:rsid w:val="00C91626"/>
    <w:rsid w:val="00C917D8"/>
    <w:rsid w:val="00C91F88"/>
    <w:rsid w:val="00C920AA"/>
    <w:rsid w:val="00C9224A"/>
    <w:rsid w:val="00C92456"/>
    <w:rsid w:val="00C92953"/>
    <w:rsid w:val="00C92955"/>
    <w:rsid w:val="00C92FE3"/>
    <w:rsid w:val="00C93313"/>
    <w:rsid w:val="00C938CF"/>
    <w:rsid w:val="00C939DF"/>
    <w:rsid w:val="00C93B3D"/>
    <w:rsid w:val="00C93DB3"/>
    <w:rsid w:val="00C93E4C"/>
    <w:rsid w:val="00C94174"/>
    <w:rsid w:val="00C942B9"/>
    <w:rsid w:val="00C95388"/>
    <w:rsid w:val="00C957AE"/>
    <w:rsid w:val="00C95937"/>
    <w:rsid w:val="00C95F46"/>
    <w:rsid w:val="00C96562"/>
    <w:rsid w:val="00C967FE"/>
    <w:rsid w:val="00C96A34"/>
    <w:rsid w:val="00C96A4E"/>
    <w:rsid w:val="00C96CD1"/>
    <w:rsid w:val="00C97DCD"/>
    <w:rsid w:val="00C97F18"/>
    <w:rsid w:val="00CA0194"/>
    <w:rsid w:val="00CA027D"/>
    <w:rsid w:val="00CA04F2"/>
    <w:rsid w:val="00CA0C8F"/>
    <w:rsid w:val="00CA0EF8"/>
    <w:rsid w:val="00CA0FAD"/>
    <w:rsid w:val="00CA162A"/>
    <w:rsid w:val="00CA165B"/>
    <w:rsid w:val="00CA1891"/>
    <w:rsid w:val="00CA24FB"/>
    <w:rsid w:val="00CA2E0F"/>
    <w:rsid w:val="00CA2E3E"/>
    <w:rsid w:val="00CA2E48"/>
    <w:rsid w:val="00CA30E5"/>
    <w:rsid w:val="00CA311F"/>
    <w:rsid w:val="00CA31E3"/>
    <w:rsid w:val="00CA33C8"/>
    <w:rsid w:val="00CA34B6"/>
    <w:rsid w:val="00CA37C7"/>
    <w:rsid w:val="00CA388E"/>
    <w:rsid w:val="00CA3B99"/>
    <w:rsid w:val="00CA3D07"/>
    <w:rsid w:val="00CA3F6F"/>
    <w:rsid w:val="00CA4696"/>
    <w:rsid w:val="00CA48D5"/>
    <w:rsid w:val="00CA4AF4"/>
    <w:rsid w:val="00CA4F91"/>
    <w:rsid w:val="00CA506F"/>
    <w:rsid w:val="00CA5207"/>
    <w:rsid w:val="00CA5245"/>
    <w:rsid w:val="00CA6719"/>
    <w:rsid w:val="00CA6DB5"/>
    <w:rsid w:val="00CA7503"/>
    <w:rsid w:val="00CA763B"/>
    <w:rsid w:val="00CA7A2B"/>
    <w:rsid w:val="00CA7B09"/>
    <w:rsid w:val="00CA7C1A"/>
    <w:rsid w:val="00CB0010"/>
    <w:rsid w:val="00CB0057"/>
    <w:rsid w:val="00CB03D5"/>
    <w:rsid w:val="00CB0AD0"/>
    <w:rsid w:val="00CB0EE2"/>
    <w:rsid w:val="00CB1BBD"/>
    <w:rsid w:val="00CB1C3E"/>
    <w:rsid w:val="00CB2609"/>
    <w:rsid w:val="00CB2655"/>
    <w:rsid w:val="00CB267D"/>
    <w:rsid w:val="00CB2AB0"/>
    <w:rsid w:val="00CB348C"/>
    <w:rsid w:val="00CB3A8B"/>
    <w:rsid w:val="00CB3B81"/>
    <w:rsid w:val="00CB3C99"/>
    <w:rsid w:val="00CB4531"/>
    <w:rsid w:val="00CB45CE"/>
    <w:rsid w:val="00CB4BA2"/>
    <w:rsid w:val="00CB4D4E"/>
    <w:rsid w:val="00CB4FDE"/>
    <w:rsid w:val="00CB5AB8"/>
    <w:rsid w:val="00CB5AF1"/>
    <w:rsid w:val="00CB5B1A"/>
    <w:rsid w:val="00CB5DEF"/>
    <w:rsid w:val="00CB66B6"/>
    <w:rsid w:val="00CB6B26"/>
    <w:rsid w:val="00CB7AEE"/>
    <w:rsid w:val="00CB7C0F"/>
    <w:rsid w:val="00CB7C23"/>
    <w:rsid w:val="00CB7D40"/>
    <w:rsid w:val="00CC007C"/>
    <w:rsid w:val="00CC02D5"/>
    <w:rsid w:val="00CC02D9"/>
    <w:rsid w:val="00CC0A83"/>
    <w:rsid w:val="00CC0D49"/>
    <w:rsid w:val="00CC0F34"/>
    <w:rsid w:val="00CC1044"/>
    <w:rsid w:val="00CC1524"/>
    <w:rsid w:val="00CC164A"/>
    <w:rsid w:val="00CC1C92"/>
    <w:rsid w:val="00CC29B2"/>
    <w:rsid w:val="00CC2C36"/>
    <w:rsid w:val="00CC300B"/>
    <w:rsid w:val="00CC3301"/>
    <w:rsid w:val="00CC3351"/>
    <w:rsid w:val="00CC41CE"/>
    <w:rsid w:val="00CC49B7"/>
    <w:rsid w:val="00CC4F6C"/>
    <w:rsid w:val="00CC6020"/>
    <w:rsid w:val="00CC604C"/>
    <w:rsid w:val="00CC6481"/>
    <w:rsid w:val="00CC6785"/>
    <w:rsid w:val="00CC67A3"/>
    <w:rsid w:val="00CC73DC"/>
    <w:rsid w:val="00CC74FE"/>
    <w:rsid w:val="00CC78AE"/>
    <w:rsid w:val="00CC7964"/>
    <w:rsid w:val="00CC7AE5"/>
    <w:rsid w:val="00CC7B86"/>
    <w:rsid w:val="00CD0564"/>
    <w:rsid w:val="00CD0712"/>
    <w:rsid w:val="00CD0981"/>
    <w:rsid w:val="00CD09C7"/>
    <w:rsid w:val="00CD0EA3"/>
    <w:rsid w:val="00CD111F"/>
    <w:rsid w:val="00CD1941"/>
    <w:rsid w:val="00CD2356"/>
    <w:rsid w:val="00CD28A6"/>
    <w:rsid w:val="00CD2CF0"/>
    <w:rsid w:val="00CD2EA6"/>
    <w:rsid w:val="00CD32D2"/>
    <w:rsid w:val="00CD3857"/>
    <w:rsid w:val="00CD3B02"/>
    <w:rsid w:val="00CD3C3E"/>
    <w:rsid w:val="00CD49A5"/>
    <w:rsid w:val="00CD4A55"/>
    <w:rsid w:val="00CD4E59"/>
    <w:rsid w:val="00CD564A"/>
    <w:rsid w:val="00CD5B3A"/>
    <w:rsid w:val="00CD5F4E"/>
    <w:rsid w:val="00CD5F73"/>
    <w:rsid w:val="00CD66BA"/>
    <w:rsid w:val="00CD67F3"/>
    <w:rsid w:val="00CD6ADC"/>
    <w:rsid w:val="00CD6C35"/>
    <w:rsid w:val="00CD6F6B"/>
    <w:rsid w:val="00CD7149"/>
    <w:rsid w:val="00CD73AE"/>
    <w:rsid w:val="00CD74E9"/>
    <w:rsid w:val="00CD7720"/>
    <w:rsid w:val="00CD77FD"/>
    <w:rsid w:val="00CE0572"/>
    <w:rsid w:val="00CE05E6"/>
    <w:rsid w:val="00CE09E3"/>
    <w:rsid w:val="00CE0BFA"/>
    <w:rsid w:val="00CE106D"/>
    <w:rsid w:val="00CE193A"/>
    <w:rsid w:val="00CE1A87"/>
    <w:rsid w:val="00CE1C31"/>
    <w:rsid w:val="00CE1F15"/>
    <w:rsid w:val="00CE2020"/>
    <w:rsid w:val="00CE21AE"/>
    <w:rsid w:val="00CE2835"/>
    <w:rsid w:val="00CE2F59"/>
    <w:rsid w:val="00CE2FB5"/>
    <w:rsid w:val="00CE2FED"/>
    <w:rsid w:val="00CE3951"/>
    <w:rsid w:val="00CE3969"/>
    <w:rsid w:val="00CE3DB0"/>
    <w:rsid w:val="00CE4B32"/>
    <w:rsid w:val="00CE4D0D"/>
    <w:rsid w:val="00CE521E"/>
    <w:rsid w:val="00CE53C8"/>
    <w:rsid w:val="00CE551F"/>
    <w:rsid w:val="00CE5D3C"/>
    <w:rsid w:val="00CE6247"/>
    <w:rsid w:val="00CE6274"/>
    <w:rsid w:val="00CE6757"/>
    <w:rsid w:val="00CE6D8D"/>
    <w:rsid w:val="00CF007A"/>
    <w:rsid w:val="00CF0BE1"/>
    <w:rsid w:val="00CF0E8F"/>
    <w:rsid w:val="00CF1356"/>
    <w:rsid w:val="00CF1450"/>
    <w:rsid w:val="00CF1B7A"/>
    <w:rsid w:val="00CF1D02"/>
    <w:rsid w:val="00CF2965"/>
    <w:rsid w:val="00CF2AEC"/>
    <w:rsid w:val="00CF2E39"/>
    <w:rsid w:val="00CF366B"/>
    <w:rsid w:val="00CF386B"/>
    <w:rsid w:val="00CF3D8E"/>
    <w:rsid w:val="00CF40FE"/>
    <w:rsid w:val="00CF4116"/>
    <w:rsid w:val="00CF429D"/>
    <w:rsid w:val="00CF4505"/>
    <w:rsid w:val="00CF456B"/>
    <w:rsid w:val="00CF4E45"/>
    <w:rsid w:val="00CF5211"/>
    <w:rsid w:val="00CF5A22"/>
    <w:rsid w:val="00CF5AEB"/>
    <w:rsid w:val="00CF6044"/>
    <w:rsid w:val="00CF60B1"/>
    <w:rsid w:val="00CF63F8"/>
    <w:rsid w:val="00CF6862"/>
    <w:rsid w:val="00CF6CC0"/>
    <w:rsid w:val="00CF6F3B"/>
    <w:rsid w:val="00CF71E2"/>
    <w:rsid w:val="00CF75AD"/>
    <w:rsid w:val="00CF784A"/>
    <w:rsid w:val="00CF78CF"/>
    <w:rsid w:val="00CF7E58"/>
    <w:rsid w:val="00D0012F"/>
    <w:rsid w:val="00D00262"/>
    <w:rsid w:val="00D00341"/>
    <w:rsid w:val="00D006D9"/>
    <w:rsid w:val="00D011C5"/>
    <w:rsid w:val="00D01206"/>
    <w:rsid w:val="00D019A3"/>
    <w:rsid w:val="00D01A85"/>
    <w:rsid w:val="00D01A96"/>
    <w:rsid w:val="00D01F64"/>
    <w:rsid w:val="00D0262E"/>
    <w:rsid w:val="00D03968"/>
    <w:rsid w:val="00D03F07"/>
    <w:rsid w:val="00D04477"/>
    <w:rsid w:val="00D051E0"/>
    <w:rsid w:val="00D05478"/>
    <w:rsid w:val="00D056E8"/>
    <w:rsid w:val="00D05A7E"/>
    <w:rsid w:val="00D05E3B"/>
    <w:rsid w:val="00D05EDF"/>
    <w:rsid w:val="00D06B01"/>
    <w:rsid w:val="00D06B3B"/>
    <w:rsid w:val="00D06D8F"/>
    <w:rsid w:val="00D07961"/>
    <w:rsid w:val="00D10993"/>
    <w:rsid w:val="00D10BF0"/>
    <w:rsid w:val="00D10CE3"/>
    <w:rsid w:val="00D110BD"/>
    <w:rsid w:val="00D112AD"/>
    <w:rsid w:val="00D112B0"/>
    <w:rsid w:val="00D11605"/>
    <w:rsid w:val="00D1162F"/>
    <w:rsid w:val="00D1176A"/>
    <w:rsid w:val="00D118CE"/>
    <w:rsid w:val="00D11AAD"/>
    <w:rsid w:val="00D12192"/>
    <w:rsid w:val="00D121D6"/>
    <w:rsid w:val="00D12229"/>
    <w:rsid w:val="00D13053"/>
    <w:rsid w:val="00D131CA"/>
    <w:rsid w:val="00D137A6"/>
    <w:rsid w:val="00D13957"/>
    <w:rsid w:val="00D14CDE"/>
    <w:rsid w:val="00D152E4"/>
    <w:rsid w:val="00D15303"/>
    <w:rsid w:val="00D15381"/>
    <w:rsid w:val="00D153BA"/>
    <w:rsid w:val="00D157F3"/>
    <w:rsid w:val="00D15A67"/>
    <w:rsid w:val="00D15AC4"/>
    <w:rsid w:val="00D15F3F"/>
    <w:rsid w:val="00D15FDC"/>
    <w:rsid w:val="00D16608"/>
    <w:rsid w:val="00D16A86"/>
    <w:rsid w:val="00D16C82"/>
    <w:rsid w:val="00D16DC3"/>
    <w:rsid w:val="00D16E4C"/>
    <w:rsid w:val="00D16F9F"/>
    <w:rsid w:val="00D1700D"/>
    <w:rsid w:val="00D174C7"/>
    <w:rsid w:val="00D17D6C"/>
    <w:rsid w:val="00D17D72"/>
    <w:rsid w:val="00D201B8"/>
    <w:rsid w:val="00D20275"/>
    <w:rsid w:val="00D202B1"/>
    <w:rsid w:val="00D204CD"/>
    <w:rsid w:val="00D20B37"/>
    <w:rsid w:val="00D20CEB"/>
    <w:rsid w:val="00D20EA4"/>
    <w:rsid w:val="00D216DB"/>
    <w:rsid w:val="00D21790"/>
    <w:rsid w:val="00D2185C"/>
    <w:rsid w:val="00D21975"/>
    <w:rsid w:val="00D22148"/>
    <w:rsid w:val="00D223C9"/>
    <w:rsid w:val="00D22576"/>
    <w:rsid w:val="00D228FF"/>
    <w:rsid w:val="00D22AE4"/>
    <w:rsid w:val="00D233E3"/>
    <w:rsid w:val="00D23473"/>
    <w:rsid w:val="00D236B9"/>
    <w:rsid w:val="00D23743"/>
    <w:rsid w:val="00D2394B"/>
    <w:rsid w:val="00D23951"/>
    <w:rsid w:val="00D23ECB"/>
    <w:rsid w:val="00D2432E"/>
    <w:rsid w:val="00D243C8"/>
    <w:rsid w:val="00D243E6"/>
    <w:rsid w:val="00D244C2"/>
    <w:rsid w:val="00D24529"/>
    <w:rsid w:val="00D245F2"/>
    <w:rsid w:val="00D249F1"/>
    <w:rsid w:val="00D24D15"/>
    <w:rsid w:val="00D25872"/>
    <w:rsid w:val="00D261FD"/>
    <w:rsid w:val="00D26880"/>
    <w:rsid w:val="00D2694C"/>
    <w:rsid w:val="00D26AC6"/>
    <w:rsid w:val="00D2757D"/>
    <w:rsid w:val="00D276C9"/>
    <w:rsid w:val="00D27B33"/>
    <w:rsid w:val="00D27D99"/>
    <w:rsid w:val="00D30030"/>
    <w:rsid w:val="00D30593"/>
    <w:rsid w:val="00D3062B"/>
    <w:rsid w:val="00D30771"/>
    <w:rsid w:val="00D30776"/>
    <w:rsid w:val="00D30840"/>
    <w:rsid w:val="00D30B12"/>
    <w:rsid w:val="00D3110B"/>
    <w:rsid w:val="00D31286"/>
    <w:rsid w:val="00D31312"/>
    <w:rsid w:val="00D31463"/>
    <w:rsid w:val="00D31B5E"/>
    <w:rsid w:val="00D31CD6"/>
    <w:rsid w:val="00D327D0"/>
    <w:rsid w:val="00D32B5F"/>
    <w:rsid w:val="00D33254"/>
    <w:rsid w:val="00D33F96"/>
    <w:rsid w:val="00D342C7"/>
    <w:rsid w:val="00D343EC"/>
    <w:rsid w:val="00D34679"/>
    <w:rsid w:val="00D34799"/>
    <w:rsid w:val="00D347D7"/>
    <w:rsid w:val="00D348E8"/>
    <w:rsid w:val="00D34C4F"/>
    <w:rsid w:val="00D357FF"/>
    <w:rsid w:val="00D35C44"/>
    <w:rsid w:val="00D35C79"/>
    <w:rsid w:val="00D35CDA"/>
    <w:rsid w:val="00D36065"/>
    <w:rsid w:val="00D3648C"/>
    <w:rsid w:val="00D364A3"/>
    <w:rsid w:val="00D365AE"/>
    <w:rsid w:val="00D366A6"/>
    <w:rsid w:val="00D36848"/>
    <w:rsid w:val="00D36AF7"/>
    <w:rsid w:val="00D371B7"/>
    <w:rsid w:val="00D37C0D"/>
    <w:rsid w:val="00D37EA7"/>
    <w:rsid w:val="00D37FEC"/>
    <w:rsid w:val="00D40247"/>
    <w:rsid w:val="00D409D6"/>
    <w:rsid w:val="00D40CB6"/>
    <w:rsid w:val="00D40FA2"/>
    <w:rsid w:val="00D41032"/>
    <w:rsid w:val="00D4143D"/>
    <w:rsid w:val="00D41655"/>
    <w:rsid w:val="00D417B3"/>
    <w:rsid w:val="00D42B5E"/>
    <w:rsid w:val="00D42C78"/>
    <w:rsid w:val="00D42E67"/>
    <w:rsid w:val="00D4303B"/>
    <w:rsid w:val="00D43170"/>
    <w:rsid w:val="00D43197"/>
    <w:rsid w:val="00D4327B"/>
    <w:rsid w:val="00D43C90"/>
    <w:rsid w:val="00D43DF2"/>
    <w:rsid w:val="00D44457"/>
    <w:rsid w:val="00D448D8"/>
    <w:rsid w:val="00D4494B"/>
    <w:rsid w:val="00D44981"/>
    <w:rsid w:val="00D44A05"/>
    <w:rsid w:val="00D44E81"/>
    <w:rsid w:val="00D4537C"/>
    <w:rsid w:val="00D4542C"/>
    <w:rsid w:val="00D45A82"/>
    <w:rsid w:val="00D45B53"/>
    <w:rsid w:val="00D4629B"/>
    <w:rsid w:val="00D462C1"/>
    <w:rsid w:val="00D46718"/>
    <w:rsid w:val="00D467E4"/>
    <w:rsid w:val="00D46EC5"/>
    <w:rsid w:val="00D473FD"/>
    <w:rsid w:val="00D47470"/>
    <w:rsid w:val="00D47781"/>
    <w:rsid w:val="00D47E9A"/>
    <w:rsid w:val="00D47F17"/>
    <w:rsid w:val="00D47F2A"/>
    <w:rsid w:val="00D50205"/>
    <w:rsid w:val="00D5044B"/>
    <w:rsid w:val="00D50677"/>
    <w:rsid w:val="00D50AD5"/>
    <w:rsid w:val="00D51069"/>
    <w:rsid w:val="00D521C2"/>
    <w:rsid w:val="00D521E2"/>
    <w:rsid w:val="00D5296F"/>
    <w:rsid w:val="00D529A2"/>
    <w:rsid w:val="00D52BB2"/>
    <w:rsid w:val="00D52CB1"/>
    <w:rsid w:val="00D52D15"/>
    <w:rsid w:val="00D53212"/>
    <w:rsid w:val="00D53491"/>
    <w:rsid w:val="00D5378B"/>
    <w:rsid w:val="00D539AD"/>
    <w:rsid w:val="00D53D64"/>
    <w:rsid w:val="00D5441A"/>
    <w:rsid w:val="00D548A8"/>
    <w:rsid w:val="00D54CB6"/>
    <w:rsid w:val="00D5515C"/>
    <w:rsid w:val="00D554C0"/>
    <w:rsid w:val="00D5568B"/>
    <w:rsid w:val="00D55B88"/>
    <w:rsid w:val="00D55CA1"/>
    <w:rsid w:val="00D55CC5"/>
    <w:rsid w:val="00D56167"/>
    <w:rsid w:val="00D561DD"/>
    <w:rsid w:val="00D565FF"/>
    <w:rsid w:val="00D56737"/>
    <w:rsid w:val="00D568C9"/>
    <w:rsid w:val="00D56A6E"/>
    <w:rsid w:val="00D56D14"/>
    <w:rsid w:val="00D57300"/>
    <w:rsid w:val="00D57572"/>
    <w:rsid w:val="00D57CBE"/>
    <w:rsid w:val="00D57D31"/>
    <w:rsid w:val="00D57F55"/>
    <w:rsid w:val="00D60177"/>
    <w:rsid w:val="00D60982"/>
    <w:rsid w:val="00D609B2"/>
    <w:rsid w:val="00D60CE6"/>
    <w:rsid w:val="00D60D13"/>
    <w:rsid w:val="00D610E3"/>
    <w:rsid w:val="00D611B6"/>
    <w:rsid w:val="00D615A7"/>
    <w:rsid w:val="00D61788"/>
    <w:rsid w:val="00D61AFD"/>
    <w:rsid w:val="00D61F0D"/>
    <w:rsid w:val="00D61F2B"/>
    <w:rsid w:val="00D6246B"/>
    <w:rsid w:val="00D62F54"/>
    <w:rsid w:val="00D62FB4"/>
    <w:rsid w:val="00D63193"/>
    <w:rsid w:val="00D63A05"/>
    <w:rsid w:val="00D63A7F"/>
    <w:rsid w:val="00D63A8A"/>
    <w:rsid w:val="00D63C5B"/>
    <w:rsid w:val="00D63D85"/>
    <w:rsid w:val="00D63E78"/>
    <w:rsid w:val="00D63FB8"/>
    <w:rsid w:val="00D6439D"/>
    <w:rsid w:val="00D647EC"/>
    <w:rsid w:val="00D64DB0"/>
    <w:rsid w:val="00D64E8B"/>
    <w:rsid w:val="00D6520C"/>
    <w:rsid w:val="00D656F5"/>
    <w:rsid w:val="00D65738"/>
    <w:rsid w:val="00D65A35"/>
    <w:rsid w:val="00D65AAB"/>
    <w:rsid w:val="00D65DAB"/>
    <w:rsid w:val="00D6612A"/>
    <w:rsid w:val="00D66228"/>
    <w:rsid w:val="00D679CC"/>
    <w:rsid w:val="00D67C05"/>
    <w:rsid w:val="00D67FF5"/>
    <w:rsid w:val="00D70799"/>
    <w:rsid w:val="00D70D0B"/>
    <w:rsid w:val="00D70E1E"/>
    <w:rsid w:val="00D7126A"/>
    <w:rsid w:val="00D71732"/>
    <w:rsid w:val="00D7178F"/>
    <w:rsid w:val="00D71C90"/>
    <w:rsid w:val="00D7219C"/>
    <w:rsid w:val="00D72869"/>
    <w:rsid w:val="00D72DC0"/>
    <w:rsid w:val="00D73D83"/>
    <w:rsid w:val="00D74136"/>
    <w:rsid w:val="00D74511"/>
    <w:rsid w:val="00D7470F"/>
    <w:rsid w:val="00D74B13"/>
    <w:rsid w:val="00D74C68"/>
    <w:rsid w:val="00D74FE4"/>
    <w:rsid w:val="00D75976"/>
    <w:rsid w:val="00D759A6"/>
    <w:rsid w:val="00D75BEB"/>
    <w:rsid w:val="00D75E54"/>
    <w:rsid w:val="00D76340"/>
    <w:rsid w:val="00D76726"/>
    <w:rsid w:val="00D7675D"/>
    <w:rsid w:val="00D76860"/>
    <w:rsid w:val="00D769DB"/>
    <w:rsid w:val="00D76A44"/>
    <w:rsid w:val="00D7731E"/>
    <w:rsid w:val="00D774BE"/>
    <w:rsid w:val="00D77C09"/>
    <w:rsid w:val="00D77DE7"/>
    <w:rsid w:val="00D77E86"/>
    <w:rsid w:val="00D77FC5"/>
    <w:rsid w:val="00D8004E"/>
    <w:rsid w:val="00D80063"/>
    <w:rsid w:val="00D8011D"/>
    <w:rsid w:val="00D8090A"/>
    <w:rsid w:val="00D80D96"/>
    <w:rsid w:val="00D81094"/>
    <w:rsid w:val="00D81167"/>
    <w:rsid w:val="00D81613"/>
    <w:rsid w:val="00D81AC0"/>
    <w:rsid w:val="00D81BAC"/>
    <w:rsid w:val="00D82146"/>
    <w:rsid w:val="00D82191"/>
    <w:rsid w:val="00D82ACE"/>
    <w:rsid w:val="00D8354B"/>
    <w:rsid w:val="00D8365D"/>
    <w:rsid w:val="00D838E8"/>
    <w:rsid w:val="00D841B5"/>
    <w:rsid w:val="00D8481C"/>
    <w:rsid w:val="00D84F2B"/>
    <w:rsid w:val="00D851A7"/>
    <w:rsid w:val="00D861CE"/>
    <w:rsid w:val="00D86724"/>
    <w:rsid w:val="00D86749"/>
    <w:rsid w:val="00D8675F"/>
    <w:rsid w:val="00D86E54"/>
    <w:rsid w:val="00D87594"/>
    <w:rsid w:val="00D87878"/>
    <w:rsid w:val="00D878DD"/>
    <w:rsid w:val="00D87F01"/>
    <w:rsid w:val="00D90367"/>
    <w:rsid w:val="00D9086E"/>
    <w:rsid w:val="00D909BC"/>
    <w:rsid w:val="00D9116F"/>
    <w:rsid w:val="00D9128C"/>
    <w:rsid w:val="00D9167C"/>
    <w:rsid w:val="00D91775"/>
    <w:rsid w:val="00D917D1"/>
    <w:rsid w:val="00D91D49"/>
    <w:rsid w:val="00D922CD"/>
    <w:rsid w:val="00D923A2"/>
    <w:rsid w:val="00D92403"/>
    <w:rsid w:val="00D9275A"/>
    <w:rsid w:val="00D92AC8"/>
    <w:rsid w:val="00D92D57"/>
    <w:rsid w:val="00D92FE0"/>
    <w:rsid w:val="00D93173"/>
    <w:rsid w:val="00D93753"/>
    <w:rsid w:val="00D941A5"/>
    <w:rsid w:val="00D9428E"/>
    <w:rsid w:val="00D94AD2"/>
    <w:rsid w:val="00D94CFF"/>
    <w:rsid w:val="00D94E69"/>
    <w:rsid w:val="00D94F04"/>
    <w:rsid w:val="00D95081"/>
    <w:rsid w:val="00D953BB"/>
    <w:rsid w:val="00D953C5"/>
    <w:rsid w:val="00D95520"/>
    <w:rsid w:val="00D95BF8"/>
    <w:rsid w:val="00D95EBE"/>
    <w:rsid w:val="00D96F9E"/>
    <w:rsid w:val="00D9741A"/>
    <w:rsid w:val="00D975C2"/>
    <w:rsid w:val="00D979D6"/>
    <w:rsid w:val="00D97FFC"/>
    <w:rsid w:val="00DA051C"/>
    <w:rsid w:val="00DA0ECA"/>
    <w:rsid w:val="00DA10E0"/>
    <w:rsid w:val="00DA1C86"/>
    <w:rsid w:val="00DA1CD2"/>
    <w:rsid w:val="00DA1DA9"/>
    <w:rsid w:val="00DA1F11"/>
    <w:rsid w:val="00DA1F9B"/>
    <w:rsid w:val="00DA1FA3"/>
    <w:rsid w:val="00DA214D"/>
    <w:rsid w:val="00DA2418"/>
    <w:rsid w:val="00DA247C"/>
    <w:rsid w:val="00DA2568"/>
    <w:rsid w:val="00DA25D5"/>
    <w:rsid w:val="00DA28B1"/>
    <w:rsid w:val="00DA3199"/>
    <w:rsid w:val="00DA3261"/>
    <w:rsid w:val="00DA32E8"/>
    <w:rsid w:val="00DA3948"/>
    <w:rsid w:val="00DA3C75"/>
    <w:rsid w:val="00DA3D53"/>
    <w:rsid w:val="00DA4221"/>
    <w:rsid w:val="00DA42A4"/>
    <w:rsid w:val="00DA4E05"/>
    <w:rsid w:val="00DA546D"/>
    <w:rsid w:val="00DA54A9"/>
    <w:rsid w:val="00DA609A"/>
    <w:rsid w:val="00DA77A5"/>
    <w:rsid w:val="00DA7820"/>
    <w:rsid w:val="00DA7EDE"/>
    <w:rsid w:val="00DB06C9"/>
    <w:rsid w:val="00DB0BA0"/>
    <w:rsid w:val="00DB11E4"/>
    <w:rsid w:val="00DB13D7"/>
    <w:rsid w:val="00DB179A"/>
    <w:rsid w:val="00DB1AF0"/>
    <w:rsid w:val="00DB1B27"/>
    <w:rsid w:val="00DB1B5E"/>
    <w:rsid w:val="00DB2284"/>
    <w:rsid w:val="00DB2646"/>
    <w:rsid w:val="00DB2747"/>
    <w:rsid w:val="00DB27E4"/>
    <w:rsid w:val="00DB2D5F"/>
    <w:rsid w:val="00DB3481"/>
    <w:rsid w:val="00DB3EB2"/>
    <w:rsid w:val="00DB4346"/>
    <w:rsid w:val="00DB475D"/>
    <w:rsid w:val="00DB4FA1"/>
    <w:rsid w:val="00DB57C2"/>
    <w:rsid w:val="00DB5BEA"/>
    <w:rsid w:val="00DB5C4B"/>
    <w:rsid w:val="00DB6314"/>
    <w:rsid w:val="00DB636E"/>
    <w:rsid w:val="00DB66D0"/>
    <w:rsid w:val="00DB69E1"/>
    <w:rsid w:val="00DB6DE6"/>
    <w:rsid w:val="00DB6F3F"/>
    <w:rsid w:val="00DB6F9F"/>
    <w:rsid w:val="00DB760D"/>
    <w:rsid w:val="00DB7DC7"/>
    <w:rsid w:val="00DC07AA"/>
    <w:rsid w:val="00DC12FA"/>
    <w:rsid w:val="00DC15F6"/>
    <w:rsid w:val="00DC165B"/>
    <w:rsid w:val="00DC17B9"/>
    <w:rsid w:val="00DC21A7"/>
    <w:rsid w:val="00DC2AA1"/>
    <w:rsid w:val="00DC2B32"/>
    <w:rsid w:val="00DC2B6D"/>
    <w:rsid w:val="00DC2D1F"/>
    <w:rsid w:val="00DC2FCC"/>
    <w:rsid w:val="00DC30B2"/>
    <w:rsid w:val="00DC30F7"/>
    <w:rsid w:val="00DC31FB"/>
    <w:rsid w:val="00DC3283"/>
    <w:rsid w:val="00DC34F3"/>
    <w:rsid w:val="00DC35BD"/>
    <w:rsid w:val="00DC3D86"/>
    <w:rsid w:val="00DC3FA9"/>
    <w:rsid w:val="00DC415F"/>
    <w:rsid w:val="00DC491C"/>
    <w:rsid w:val="00DC4A5A"/>
    <w:rsid w:val="00DC4B30"/>
    <w:rsid w:val="00DC523E"/>
    <w:rsid w:val="00DC5501"/>
    <w:rsid w:val="00DC5549"/>
    <w:rsid w:val="00DC5899"/>
    <w:rsid w:val="00DC5F10"/>
    <w:rsid w:val="00DC5F88"/>
    <w:rsid w:val="00DC6070"/>
    <w:rsid w:val="00DC6117"/>
    <w:rsid w:val="00DC635E"/>
    <w:rsid w:val="00DC6394"/>
    <w:rsid w:val="00DC63A6"/>
    <w:rsid w:val="00DC6A0E"/>
    <w:rsid w:val="00DC6B92"/>
    <w:rsid w:val="00DC72B2"/>
    <w:rsid w:val="00DC72BD"/>
    <w:rsid w:val="00DC7347"/>
    <w:rsid w:val="00DC7677"/>
    <w:rsid w:val="00DC770C"/>
    <w:rsid w:val="00DC7F54"/>
    <w:rsid w:val="00DC7FCB"/>
    <w:rsid w:val="00DD02F6"/>
    <w:rsid w:val="00DD0962"/>
    <w:rsid w:val="00DD0A91"/>
    <w:rsid w:val="00DD0EBB"/>
    <w:rsid w:val="00DD11BC"/>
    <w:rsid w:val="00DD1467"/>
    <w:rsid w:val="00DD1654"/>
    <w:rsid w:val="00DD16B9"/>
    <w:rsid w:val="00DD191B"/>
    <w:rsid w:val="00DD1DD5"/>
    <w:rsid w:val="00DD24C0"/>
    <w:rsid w:val="00DD2926"/>
    <w:rsid w:val="00DD2E72"/>
    <w:rsid w:val="00DD2EDA"/>
    <w:rsid w:val="00DD38FB"/>
    <w:rsid w:val="00DD392A"/>
    <w:rsid w:val="00DD394E"/>
    <w:rsid w:val="00DD3F28"/>
    <w:rsid w:val="00DD4537"/>
    <w:rsid w:val="00DD4B24"/>
    <w:rsid w:val="00DD4E15"/>
    <w:rsid w:val="00DD4F07"/>
    <w:rsid w:val="00DD52C5"/>
    <w:rsid w:val="00DD5521"/>
    <w:rsid w:val="00DD5781"/>
    <w:rsid w:val="00DD58C3"/>
    <w:rsid w:val="00DD5979"/>
    <w:rsid w:val="00DD6379"/>
    <w:rsid w:val="00DD63A7"/>
    <w:rsid w:val="00DD6D2A"/>
    <w:rsid w:val="00DD7130"/>
    <w:rsid w:val="00DD7612"/>
    <w:rsid w:val="00DD7D72"/>
    <w:rsid w:val="00DD7E8B"/>
    <w:rsid w:val="00DE07DA"/>
    <w:rsid w:val="00DE0831"/>
    <w:rsid w:val="00DE0C5F"/>
    <w:rsid w:val="00DE0C86"/>
    <w:rsid w:val="00DE0FE8"/>
    <w:rsid w:val="00DE1B42"/>
    <w:rsid w:val="00DE1DEB"/>
    <w:rsid w:val="00DE2616"/>
    <w:rsid w:val="00DE2D1C"/>
    <w:rsid w:val="00DE347F"/>
    <w:rsid w:val="00DE39AC"/>
    <w:rsid w:val="00DE4018"/>
    <w:rsid w:val="00DE4AF4"/>
    <w:rsid w:val="00DE4DD1"/>
    <w:rsid w:val="00DE4E23"/>
    <w:rsid w:val="00DE4F47"/>
    <w:rsid w:val="00DE4FCB"/>
    <w:rsid w:val="00DE597B"/>
    <w:rsid w:val="00DE6631"/>
    <w:rsid w:val="00DE7283"/>
    <w:rsid w:val="00DE72F4"/>
    <w:rsid w:val="00DE77B5"/>
    <w:rsid w:val="00DE7928"/>
    <w:rsid w:val="00DF057F"/>
    <w:rsid w:val="00DF0B47"/>
    <w:rsid w:val="00DF0F8D"/>
    <w:rsid w:val="00DF0FC7"/>
    <w:rsid w:val="00DF106D"/>
    <w:rsid w:val="00DF1295"/>
    <w:rsid w:val="00DF1785"/>
    <w:rsid w:val="00DF18FC"/>
    <w:rsid w:val="00DF20FE"/>
    <w:rsid w:val="00DF2532"/>
    <w:rsid w:val="00DF26F7"/>
    <w:rsid w:val="00DF27EA"/>
    <w:rsid w:val="00DF2BBB"/>
    <w:rsid w:val="00DF2DF6"/>
    <w:rsid w:val="00DF2EF1"/>
    <w:rsid w:val="00DF365B"/>
    <w:rsid w:val="00DF371D"/>
    <w:rsid w:val="00DF3794"/>
    <w:rsid w:val="00DF37FE"/>
    <w:rsid w:val="00DF39F0"/>
    <w:rsid w:val="00DF3AF6"/>
    <w:rsid w:val="00DF3E8D"/>
    <w:rsid w:val="00DF40F9"/>
    <w:rsid w:val="00DF415D"/>
    <w:rsid w:val="00DF4167"/>
    <w:rsid w:val="00DF476D"/>
    <w:rsid w:val="00DF535F"/>
    <w:rsid w:val="00DF553F"/>
    <w:rsid w:val="00DF5713"/>
    <w:rsid w:val="00DF57AF"/>
    <w:rsid w:val="00DF59CB"/>
    <w:rsid w:val="00DF5BDE"/>
    <w:rsid w:val="00DF5D2B"/>
    <w:rsid w:val="00DF6345"/>
    <w:rsid w:val="00DF6799"/>
    <w:rsid w:val="00DF6B81"/>
    <w:rsid w:val="00DF724F"/>
    <w:rsid w:val="00DF7A74"/>
    <w:rsid w:val="00DF7E9C"/>
    <w:rsid w:val="00E00259"/>
    <w:rsid w:val="00E00B21"/>
    <w:rsid w:val="00E01501"/>
    <w:rsid w:val="00E01C69"/>
    <w:rsid w:val="00E01DDE"/>
    <w:rsid w:val="00E01FCD"/>
    <w:rsid w:val="00E02C92"/>
    <w:rsid w:val="00E031BB"/>
    <w:rsid w:val="00E03BA7"/>
    <w:rsid w:val="00E03D89"/>
    <w:rsid w:val="00E03FE0"/>
    <w:rsid w:val="00E04506"/>
    <w:rsid w:val="00E045E7"/>
    <w:rsid w:val="00E046F9"/>
    <w:rsid w:val="00E04806"/>
    <w:rsid w:val="00E04D7F"/>
    <w:rsid w:val="00E04F67"/>
    <w:rsid w:val="00E05647"/>
    <w:rsid w:val="00E0589B"/>
    <w:rsid w:val="00E05D08"/>
    <w:rsid w:val="00E05D7B"/>
    <w:rsid w:val="00E05FAA"/>
    <w:rsid w:val="00E06198"/>
    <w:rsid w:val="00E065F6"/>
    <w:rsid w:val="00E067DC"/>
    <w:rsid w:val="00E06E36"/>
    <w:rsid w:val="00E06EC8"/>
    <w:rsid w:val="00E072A5"/>
    <w:rsid w:val="00E07F72"/>
    <w:rsid w:val="00E10149"/>
    <w:rsid w:val="00E103C8"/>
    <w:rsid w:val="00E10FC0"/>
    <w:rsid w:val="00E11CAC"/>
    <w:rsid w:val="00E11F6A"/>
    <w:rsid w:val="00E12321"/>
    <w:rsid w:val="00E1247E"/>
    <w:rsid w:val="00E12486"/>
    <w:rsid w:val="00E1293B"/>
    <w:rsid w:val="00E12A63"/>
    <w:rsid w:val="00E1395C"/>
    <w:rsid w:val="00E14178"/>
    <w:rsid w:val="00E141B4"/>
    <w:rsid w:val="00E14A1D"/>
    <w:rsid w:val="00E14B71"/>
    <w:rsid w:val="00E1500E"/>
    <w:rsid w:val="00E15456"/>
    <w:rsid w:val="00E15786"/>
    <w:rsid w:val="00E1590E"/>
    <w:rsid w:val="00E15962"/>
    <w:rsid w:val="00E15AFD"/>
    <w:rsid w:val="00E16372"/>
    <w:rsid w:val="00E16691"/>
    <w:rsid w:val="00E167F6"/>
    <w:rsid w:val="00E16DA9"/>
    <w:rsid w:val="00E17776"/>
    <w:rsid w:val="00E179BF"/>
    <w:rsid w:val="00E17C8F"/>
    <w:rsid w:val="00E201E1"/>
    <w:rsid w:val="00E206C9"/>
    <w:rsid w:val="00E2083D"/>
    <w:rsid w:val="00E209BB"/>
    <w:rsid w:val="00E20BAA"/>
    <w:rsid w:val="00E20EBC"/>
    <w:rsid w:val="00E20ED6"/>
    <w:rsid w:val="00E20F60"/>
    <w:rsid w:val="00E21358"/>
    <w:rsid w:val="00E2143D"/>
    <w:rsid w:val="00E219A7"/>
    <w:rsid w:val="00E223CB"/>
    <w:rsid w:val="00E2249B"/>
    <w:rsid w:val="00E22717"/>
    <w:rsid w:val="00E22A0D"/>
    <w:rsid w:val="00E22AC1"/>
    <w:rsid w:val="00E22F04"/>
    <w:rsid w:val="00E23242"/>
    <w:rsid w:val="00E2365D"/>
    <w:rsid w:val="00E2398A"/>
    <w:rsid w:val="00E23AB4"/>
    <w:rsid w:val="00E23F8F"/>
    <w:rsid w:val="00E24601"/>
    <w:rsid w:val="00E2482E"/>
    <w:rsid w:val="00E24E6E"/>
    <w:rsid w:val="00E24EC4"/>
    <w:rsid w:val="00E24F82"/>
    <w:rsid w:val="00E24F9F"/>
    <w:rsid w:val="00E24FAC"/>
    <w:rsid w:val="00E25432"/>
    <w:rsid w:val="00E255FE"/>
    <w:rsid w:val="00E256C7"/>
    <w:rsid w:val="00E25AF3"/>
    <w:rsid w:val="00E264E1"/>
    <w:rsid w:val="00E266C0"/>
    <w:rsid w:val="00E26755"/>
    <w:rsid w:val="00E26DE6"/>
    <w:rsid w:val="00E27470"/>
    <w:rsid w:val="00E2771E"/>
    <w:rsid w:val="00E305B4"/>
    <w:rsid w:val="00E30696"/>
    <w:rsid w:val="00E308F8"/>
    <w:rsid w:val="00E30CFF"/>
    <w:rsid w:val="00E30FEE"/>
    <w:rsid w:val="00E312FD"/>
    <w:rsid w:val="00E319E3"/>
    <w:rsid w:val="00E32258"/>
    <w:rsid w:val="00E323EF"/>
    <w:rsid w:val="00E3248C"/>
    <w:rsid w:val="00E3293E"/>
    <w:rsid w:val="00E329D7"/>
    <w:rsid w:val="00E33070"/>
    <w:rsid w:val="00E33595"/>
    <w:rsid w:val="00E33C35"/>
    <w:rsid w:val="00E34126"/>
    <w:rsid w:val="00E341C6"/>
    <w:rsid w:val="00E342EA"/>
    <w:rsid w:val="00E342F7"/>
    <w:rsid w:val="00E34C8F"/>
    <w:rsid w:val="00E3503D"/>
    <w:rsid w:val="00E35350"/>
    <w:rsid w:val="00E355B3"/>
    <w:rsid w:val="00E3571C"/>
    <w:rsid w:val="00E359AF"/>
    <w:rsid w:val="00E35CD9"/>
    <w:rsid w:val="00E35D69"/>
    <w:rsid w:val="00E35F19"/>
    <w:rsid w:val="00E36300"/>
    <w:rsid w:val="00E3631E"/>
    <w:rsid w:val="00E365E6"/>
    <w:rsid w:val="00E366DC"/>
    <w:rsid w:val="00E36BED"/>
    <w:rsid w:val="00E36DD4"/>
    <w:rsid w:val="00E371E9"/>
    <w:rsid w:val="00E3746A"/>
    <w:rsid w:val="00E37569"/>
    <w:rsid w:val="00E378D2"/>
    <w:rsid w:val="00E37A6F"/>
    <w:rsid w:val="00E4029A"/>
    <w:rsid w:val="00E405D2"/>
    <w:rsid w:val="00E40A0D"/>
    <w:rsid w:val="00E412B8"/>
    <w:rsid w:val="00E4165D"/>
    <w:rsid w:val="00E418C7"/>
    <w:rsid w:val="00E41D15"/>
    <w:rsid w:val="00E41D5B"/>
    <w:rsid w:val="00E41E30"/>
    <w:rsid w:val="00E4217A"/>
    <w:rsid w:val="00E42EDA"/>
    <w:rsid w:val="00E42FFD"/>
    <w:rsid w:val="00E43186"/>
    <w:rsid w:val="00E439F2"/>
    <w:rsid w:val="00E43AA3"/>
    <w:rsid w:val="00E43D70"/>
    <w:rsid w:val="00E43E18"/>
    <w:rsid w:val="00E443B6"/>
    <w:rsid w:val="00E4480B"/>
    <w:rsid w:val="00E448CE"/>
    <w:rsid w:val="00E44A4B"/>
    <w:rsid w:val="00E4517E"/>
    <w:rsid w:val="00E45198"/>
    <w:rsid w:val="00E45CAA"/>
    <w:rsid w:val="00E46702"/>
    <w:rsid w:val="00E468CC"/>
    <w:rsid w:val="00E46EEB"/>
    <w:rsid w:val="00E46FD6"/>
    <w:rsid w:val="00E47050"/>
    <w:rsid w:val="00E473AE"/>
    <w:rsid w:val="00E475E1"/>
    <w:rsid w:val="00E479FC"/>
    <w:rsid w:val="00E47B2C"/>
    <w:rsid w:val="00E47DBC"/>
    <w:rsid w:val="00E50859"/>
    <w:rsid w:val="00E50BAC"/>
    <w:rsid w:val="00E50F51"/>
    <w:rsid w:val="00E51560"/>
    <w:rsid w:val="00E51865"/>
    <w:rsid w:val="00E524CF"/>
    <w:rsid w:val="00E526AA"/>
    <w:rsid w:val="00E52748"/>
    <w:rsid w:val="00E528FF"/>
    <w:rsid w:val="00E5295E"/>
    <w:rsid w:val="00E52C92"/>
    <w:rsid w:val="00E53676"/>
    <w:rsid w:val="00E536A6"/>
    <w:rsid w:val="00E53912"/>
    <w:rsid w:val="00E54291"/>
    <w:rsid w:val="00E545A3"/>
    <w:rsid w:val="00E547D3"/>
    <w:rsid w:val="00E54D02"/>
    <w:rsid w:val="00E55424"/>
    <w:rsid w:val="00E55587"/>
    <w:rsid w:val="00E55689"/>
    <w:rsid w:val="00E5584C"/>
    <w:rsid w:val="00E55863"/>
    <w:rsid w:val="00E5588A"/>
    <w:rsid w:val="00E55986"/>
    <w:rsid w:val="00E55BB5"/>
    <w:rsid w:val="00E55C0F"/>
    <w:rsid w:val="00E56C29"/>
    <w:rsid w:val="00E56D88"/>
    <w:rsid w:val="00E57965"/>
    <w:rsid w:val="00E579C0"/>
    <w:rsid w:val="00E57C8E"/>
    <w:rsid w:val="00E602E3"/>
    <w:rsid w:val="00E605DE"/>
    <w:rsid w:val="00E60D00"/>
    <w:rsid w:val="00E61147"/>
    <w:rsid w:val="00E6137E"/>
    <w:rsid w:val="00E61382"/>
    <w:rsid w:val="00E61505"/>
    <w:rsid w:val="00E61811"/>
    <w:rsid w:val="00E61E14"/>
    <w:rsid w:val="00E62801"/>
    <w:rsid w:val="00E632C0"/>
    <w:rsid w:val="00E6342D"/>
    <w:rsid w:val="00E63836"/>
    <w:rsid w:val="00E63E29"/>
    <w:rsid w:val="00E63E93"/>
    <w:rsid w:val="00E63ED9"/>
    <w:rsid w:val="00E64EC7"/>
    <w:rsid w:val="00E64F2B"/>
    <w:rsid w:val="00E654A5"/>
    <w:rsid w:val="00E65522"/>
    <w:rsid w:val="00E65A02"/>
    <w:rsid w:val="00E65E4D"/>
    <w:rsid w:val="00E65E79"/>
    <w:rsid w:val="00E6610E"/>
    <w:rsid w:val="00E6641A"/>
    <w:rsid w:val="00E6700F"/>
    <w:rsid w:val="00E67191"/>
    <w:rsid w:val="00E67416"/>
    <w:rsid w:val="00E67896"/>
    <w:rsid w:val="00E67938"/>
    <w:rsid w:val="00E67CB9"/>
    <w:rsid w:val="00E67E87"/>
    <w:rsid w:val="00E70D3A"/>
    <w:rsid w:val="00E718B6"/>
    <w:rsid w:val="00E719E9"/>
    <w:rsid w:val="00E723D4"/>
    <w:rsid w:val="00E72A72"/>
    <w:rsid w:val="00E72D36"/>
    <w:rsid w:val="00E72F71"/>
    <w:rsid w:val="00E731BD"/>
    <w:rsid w:val="00E731E8"/>
    <w:rsid w:val="00E734BD"/>
    <w:rsid w:val="00E7355E"/>
    <w:rsid w:val="00E73581"/>
    <w:rsid w:val="00E735C6"/>
    <w:rsid w:val="00E736DE"/>
    <w:rsid w:val="00E739D1"/>
    <w:rsid w:val="00E73BC9"/>
    <w:rsid w:val="00E73D6C"/>
    <w:rsid w:val="00E74530"/>
    <w:rsid w:val="00E745CC"/>
    <w:rsid w:val="00E74BD2"/>
    <w:rsid w:val="00E74D77"/>
    <w:rsid w:val="00E7535C"/>
    <w:rsid w:val="00E75590"/>
    <w:rsid w:val="00E75902"/>
    <w:rsid w:val="00E75F0B"/>
    <w:rsid w:val="00E76239"/>
    <w:rsid w:val="00E764B9"/>
    <w:rsid w:val="00E76505"/>
    <w:rsid w:val="00E76B86"/>
    <w:rsid w:val="00E76BB5"/>
    <w:rsid w:val="00E76DFF"/>
    <w:rsid w:val="00E77176"/>
    <w:rsid w:val="00E771B6"/>
    <w:rsid w:val="00E7724F"/>
    <w:rsid w:val="00E772DB"/>
    <w:rsid w:val="00E772E2"/>
    <w:rsid w:val="00E7741A"/>
    <w:rsid w:val="00E775C0"/>
    <w:rsid w:val="00E7761C"/>
    <w:rsid w:val="00E77DD1"/>
    <w:rsid w:val="00E801ED"/>
    <w:rsid w:val="00E803C9"/>
    <w:rsid w:val="00E8094F"/>
    <w:rsid w:val="00E812FF"/>
    <w:rsid w:val="00E81504"/>
    <w:rsid w:val="00E819EC"/>
    <w:rsid w:val="00E81B53"/>
    <w:rsid w:val="00E81E0B"/>
    <w:rsid w:val="00E81E33"/>
    <w:rsid w:val="00E81F74"/>
    <w:rsid w:val="00E82E44"/>
    <w:rsid w:val="00E82FD2"/>
    <w:rsid w:val="00E83199"/>
    <w:rsid w:val="00E8323B"/>
    <w:rsid w:val="00E8374D"/>
    <w:rsid w:val="00E83BDF"/>
    <w:rsid w:val="00E83CA0"/>
    <w:rsid w:val="00E83D24"/>
    <w:rsid w:val="00E83DC9"/>
    <w:rsid w:val="00E83E6F"/>
    <w:rsid w:val="00E8407E"/>
    <w:rsid w:val="00E8413F"/>
    <w:rsid w:val="00E846D8"/>
    <w:rsid w:val="00E8494C"/>
    <w:rsid w:val="00E84C35"/>
    <w:rsid w:val="00E85001"/>
    <w:rsid w:val="00E850E2"/>
    <w:rsid w:val="00E8514A"/>
    <w:rsid w:val="00E8596C"/>
    <w:rsid w:val="00E85AD4"/>
    <w:rsid w:val="00E85C5B"/>
    <w:rsid w:val="00E86E2E"/>
    <w:rsid w:val="00E87771"/>
    <w:rsid w:val="00E87D8B"/>
    <w:rsid w:val="00E90B8C"/>
    <w:rsid w:val="00E911A2"/>
    <w:rsid w:val="00E915C0"/>
    <w:rsid w:val="00E91B05"/>
    <w:rsid w:val="00E91B91"/>
    <w:rsid w:val="00E92620"/>
    <w:rsid w:val="00E926E3"/>
    <w:rsid w:val="00E92CFE"/>
    <w:rsid w:val="00E92D6F"/>
    <w:rsid w:val="00E92E7B"/>
    <w:rsid w:val="00E93202"/>
    <w:rsid w:val="00E9376C"/>
    <w:rsid w:val="00E93859"/>
    <w:rsid w:val="00E93A24"/>
    <w:rsid w:val="00E93B18"/>
    <w:rsid w:val="00E93DB3"/>
    <w:rsid w:val="00E94589"/>
    <w:rsid w:val="00E94865"/>
    <w:rsid w:val="00E951BC"/>
    <w:rsid w:val="00E95244"/>
    <w:rsid w:val="00E95ACB"/>
    <w:rsid w:val="00E95BA3"/>
    <w:rsid w:val="00E95BF3"/>
    <w:rsid w:val="00E95FFE"/>
    <w:rsid w:val="00E96544"/>
    <w:rsid w:val="00E96751"/>
    <w:rsid w:val="00E96789"/>
    <w:rsid w:val="00E9700A"/>
    <w:rsid w:val="00E97206"/>
    <w:rsid w:val="00E975FB"/>
    <w:rsid w:val="00E977E0"/>
    <w:rsid w:val="00E978D2"/>
    <w:rsid w:val="00E97B19"/>
    <w:rsid w:val="00E97DDE"/>
    <w:rsid w:val="00EA05A5"/>
    <w:rsid w:val="00EA0692"/>
    <w:rsid w:val="00EA097A"/>
    <w:rsid w:val="00EA09C1"/>
    <w:rsid w:val="00EA0E12"/>
    <w:rsid w:val="00EA107F"/>
    <w:rsid w:val="00EA149A"/>
    <w:rsid w:val="00EA192E"/>
    <w:rsid w:val="00EA1E7E"/>
    <w:rsid w:val="00EA27C9"/>
    <w:rsid w:val="00EA29B0"/>
    <w:rsid w:val="00EA2D77"/>
    <w:rsid w:val="00EA35DA"/>
    <w:rsid w:val="00EA3864"/>
    <w:rsid w:val="00EA3951"/>
    <w:rsid w:val="00EA4784"/>
    <w:rsid w:val="00EA4C79"/>
    <w:rsid w:val="00EA5128"/>
    <w:rsid w:val="00EA5997"/>
    <w:rsid w:val="00EA5E4F"/>
    <w:rsid w:val="00EA757D"/>
    <w:rsid w:val="00EA7674"/>
    <w:rsid w:val="00EA78D1"/>
    <w:rsid w:val="00EA7F68"/>
    <w:rsid w:val="00EA7FDF"/>
    <w:rsid w:val="00EA7FF3"/>
    <w:rsid w:val="00EB00FD"/>
    <w:rsid w:val="00EB05DF"/>
    <w:rsid w:val="00EB06D0"/>
    <w:rsid w:val="00EB0D75"/>
    <w:rsid w:val="00EB15B6"/>
    <w:rsid w:val="00EB1656"/>
    <w:rsid w:val="00EB172B"/>
    <w:rsid w:val="00EB2513"/>
    <w:rsid w:val="00EB2E4A"/>
    <w:rsid w:val="00EB2E80"/>
    <w:rsid w:val="00EB34AB"/>
    <w:rsid w:val="00EB34DE"/>
    <w:rsid w:val="00EB36A8"/>
    <w:rsid w:val="00EB3BAA"/>
    <w:rsid w:val="00EB47FF"/>
    <w:rsid w:val="00EB4916"/>
    <w:rsid w:val="00EB4B90"/>
    <w:rsid w:val="00EB4F7D"/>
    <w:rsid w:val="00EB525C"/>
    <w:rsid w:val="00EB5A36"/>
    <w:rsid w:val="00EB5C66"/>
    <w:rsid w:val="00EB5F63"/>
    <w:rsid w:val="00EB63E0"/>
    <w:rsid w:val="00EB667C"/>
    <w:rsid w:val="00EB6693"/>
    <w:rsid w:val="00EB6D75"/>
    <w:rsid w:val="00EB7488"/>
    <w:rsid w:val="00EB74AF"/>
    <w:rsid w:val="00EC00C9"/>
    <w:rsid w:val="00EC040D"/>
    <w:rsid w:val="00EC06F5"/>
    <w:rsid w:val="00EC07F5"/>
    <w:rsid w:val="00EC0DDE"/>
    <w:rsid w:val="00EC1002"/>
    <w:rsid w:val="00EC1BF6"/>
    <w:rsid w:val="00EC2D59"/>
    <w:rsid w:val="00EC2F3E"/>
    <w:rsid w:val="00EC35C5"/>
    <w:rsid w:val="00EC3628"/>
    <w:rsid w:val="00EC3B02"/>
    <w:rsid w:val="00EC4236"/>
    <w:rsid w:val="00EC4317"/>
    <w:rsid w:val="00EC450C"/>
    <w:rsid w:val="00EC464E"/>
    <w:rsid w:val="00EC465A"/>
    <w:rsid w:val="00EC4A00"/>
    <w:rsid w:val="00EC4A7A"/>
    <w:rsid w:val="00EC4B01"/>
    <w:rsid w:val="00EC4BC7"/>
    <w:rsid w:val="00EC4DB0"/>
    <w:rsid w:val="00EC5438"/>
    <w:rsid w:val="00EC5661"/>
    <w:rsid w:val="00EC5D0C"/>
    <w:rsid w:val="00EC612F"/>
    <w:rsid w:val="00EC64AF"/>
    <w:rsid w:val="00EC7286"/>
    <w:rsid w:val="00EC7392"/>
    <w:rsid w:val="00EC7476"/>
    <w:rsid w:val="00EC78F7"/>
    <w:rsid w:val="00ED02E5"/>
    <w:rsid w:val="00ED0960"/>
    <w:rsid w:val="00ED1088"/>
    <w:rsid w:val="00ED1136"/>
    <w:rsid w:val="00ED1282"/>
    <w:rsid w:val="00ED222B"/>
    <w:rsid w:val="00ED24D0"/>
    <w:rsid w:val="00ED2657"/>
    <w:rsid w:val="00ED2DA2"/>
    <w:rsid w:val="00ED351B"/>
    <w:rsid w:val="00ED411B"/>
    <w:rsid w:val="00ED41FA"/>
    <w:rsid w:val="00ED451A"/>
    <w:rsid w:val="00ED4FBA"/>
    <w:rsid w:val="00ED50CC"/>
    <w:rsid w:val="00ED531F"/>
    <w:rsid w:val="00ED5702"/>
    <w:rsid w:val="00ED600A"/>
    <w:rsid w:val="00ED6264"/>
    <w:rsid w:val="00ED62C7"/>
    <w:rsid w:val="00ED62EF"/>
    <w:rsid w:val="00ED67FC"/>
    <w:rsid w:val="00ED71A9"/>
    <w:rsid w:val="00ED72FE"/>
    <w:rsid w:val="00ED774A"/>
    <w:rsid w:val="00ED7CC0"/>
    <w:rsid w:val="00ED7F22"/>
    <w:rsid w:val="00EE0065"/>
    <w:rsid w:val="00EE0515"/>
    <w:rsid w:val="00EE07D3"/>
    <w:rsid w:val="00EE0F7A"/>
    <w:rsid w:val="00EE13EA"/>
    <w:rsid w:val="00EE1508"/>
    <w:rsid w:val="00EE1EFA"/>
    <w:rsid w:val="00EE1F95"/>
    <w:rsid w:val="00EE204D"/>
    <w:rsid w:val="00EE226C"/>
    <w:rsid w:val="00EE23DB"/>
    <w:rsid w:val="00EE246B"/>
    <w:rsid w:val="00EE32B7"/>
    <w:rsid w:val="00EE32FA"/>
    <w:rsid w:val="00EE33FE"/>
    <w:rsid w:val="00EE38A0"/>
    <w:rsid w:val="00EE3F45"/>
    <w:rsid w:val="00EE41C0"/>
    <w:rsid w:val="00EE420D"/>
    <w:rsid w:val="00EE45DC"/>
    <w:rsid w:val="00EE4AB5"/>
    <w:rsid w:val="00EE4D25"/>
    <w:rsid w:val="00EE4DB5"/>
    <w:rsid w:val="00EE51EB"/>
    <w:rsid w:val="00EE5212"/>
    <w:rsid w:val="00EE531F"/>
    <w:rsid w:val="00EE5484"/>
    <w:rsid w:val="00EE5877"/>
    <w:rsid w:val="00EE5A29"/>
    <w:rsid w:val="00EE5B95"/>
    <w:rsid w:val="00EE5C25"/>
    <w:rsid w:val="00EE5E43"/>
    <w:rsid w:val="00EE5EF1"/>
    <w:rsid w:val="00EE5F86"/>
    <w:rsid w:val="00EE6333"/>
    <w:rsid w:val="00EE6371"/>
    <w:rsid w:val="00EE6594"/>
    <w:rsid w:val="00EE662F"/>
    <w:rsid w:val="00EE66EF"/>
    <w:rsid w:val="00EE6709"/>
    <w:rsid w:val="00EE67AD"/>
    <w:rsid w:val="00EE689E"/>
    <w:rsid w:val="00EE6ADB"/>
    <w:rsid w:val="00EE6AF4"/>
    <w:rsid w:val="00EE6DAC"/>
    <w:rsid w:val="00EE6FF2"/>
    <w:rsid w:val="00EE71D5"/>
    <w:rsid w:val="00EE7279"/>
    <w:rsid w:val="00EE7331"/>
    <w:rsid w:val="00EE742A"/>
    <w:rsid w:val="00EE75C2"/>
    <w:rsid w:val="00EF002F"/>
    <w:rsid w:val="00EF01ED"/>
    <w:rsid w:val="00EF072E"/>
    <w:rsid w:val="00EF0B21"/>
    <w:rsid w:val="00EF0FE3"/>
    <w:rsid w:val="00EF1545"/>
    <w:rsid w:val="00EF15AB"/>
    <w:rsid w:val="00EF1A70"/>
    <w:rsid w:val="00EF1F07"/>
    <w:rsid w:val="00EF1F71"/>
    <w:rsid w:val="00EF1FCE"/>
    <w:rsid w:val="00EF237D"/>
    <w:rsid w:val="00EF2495"/>
    <w:rsid w:val="00EF2AF2"/>
    <w:rsid w:val="00EF2CAA"/>
    <w:rsid w:val="00EF2DF9"/>
    <w:rsid w:val="00EF32ED"/>
    <w:rsid w:val="00EF388A"/>
    <w:rsid w:val="00EF3BE8"/>
    <w:rsid w:val="00EF3FCF"/>
    <w:rsid w:val="00EF47FE"/>
    <w:rsid w:val="00EF49E4"/>
    <w:rsid w:val="00EF4EA2"/>
    <w:rsid w:val="00EF5320"/>
    <w:rsid w:val="00EF53A0"/>
    <w:rsid w:val="00EF5418"/>
    <w:rsid w:val="00EF597B"/>
    <w:rsid w:val="00EF59B6"/>
    <w:rsid w:val="00EF5AB0"/>
    <w:rsid w:val="00EF5CFC"/>
    <w:rsid w:val="00EF5DAE"/>
    <w:rsid w:val="00EF6E58"/>
    <w:rsid w:val="00F000E5"/>
    <w:rsid w:val="00F00672"/>
    <w:rsid w:val="00F01065"/>
    <w:rsid w:val="00F01496"/>
    <w:rsid w:val="00F01E16"/>
    <w:rsid w:val="00F02895"/>
    <w:rsid w:val="00F02AD3"/>
    <w:rsid w:val="00F02F8F"/>
    <w:rsid w:val="00F032BB"/>
    <w:rsid w:val="00F03553"/>
    <w:rsid w:val="00F03591"/>
    <w:rsid w:val="00F03888"/>
    <w:rsid w:val="00F03D61"/>
    <w:rsid w:val="00F040F1"/>
    <w:rsid w:val="00F05264"/>
    <w:rsid w:val="00F052D0"/>
    <w:rsid w:val="00F054E1"/>
    <w:rsid w:val="00F05553"/>
    <w:rsid w:val="00F05743"/>
    <w:rsid w:val="00F05A96"/>
    <w:rsid w:val="00F0608A"/>
    <w:rsid w:val="00F061D5"/>
    <w:rsid w:val="00F06235"/>
    <w:rsid w:val="00F063B0"/>
    <w:rsid w:val="00F067A2"/>
    <w:rsid w:val="00F06FCB"/>
    <w:rsid w:val="00F075D9"/>
    <w:rsid w:val="00F07A2B"/>
    <w:rsid w:val="00F07DC2"/>
    <w:rsid w:val="00F07F31"/>
    <w:rsid w:val="00F07F6A"/>
    <w:rsid w:val="00F103B7"/>
    <w:rsid w:val="00F10563"/>
    <w:rsid w:val="00F107F9"/>
    <w:rsid w:val="00F10835"/>
    <w:rsid w:val="00F10FB0"/>
    <w:rsid w:val="00F11015"/>
    <w:rsid w:val="00F1133D"/>
    <w:rsid w:val="00F11536"/>
    <w:rsid w:val="00F11831"/>
    <w:rsid w:val="00F11C58"/>
    <w:rsid w:val="00F11CBE"/>
    <w:rsid w:val="00F11DC8"/>
    <w:rsid w:val="00F11DD9"/>
    <w:rsid w:val="00F1207D"/>
    <w:rsid w:val="00F120F0"/>
    <w:rsid w:val="00F122B9"/>
    <w:rsid w:val="00F127F2"/>
    <w:rsid w:val="00F12D56"/>
    <w:rsid w:val="00F12DE1"/>
    <w:rsid w:val="00F13062"/>
    <w:rsid w:val="00F133B2"/>
    <w:rsid w:val="00F13410"/>
    <w:rsid w:val="00F13629"/>
    <w:rsid w:val="00F13935"/>
    <w:rsid w:val="00F139CC"/>
    <w:rsid w:val="00F13FD5"/>
    <w:rsid w:val="00F140F5"/>
    <w:rsid w:val="00F141DE"/>
    <w:rsid w:val="00F145AB"/>
    <w:rsid w:val="00F14749"/>
    <w:rsid w:val="00F15980"/>
    <w:rsid w:val="00F15B30"/>
    <w:rsid w:val="00F15B42"/>
    <w:rsid w:val="00F15BF7"/>
    <w:rsid w:val="00F15C2A"/>
    <w:rsid w:val="00F15CCA"/>
    <w:rsid w:val="00F15F1C"/>
    <w:rsid w:val="00F166A1"/>
    <w:rsid w:val="00F16B6F"/>
    <w:rsid w:val="00F172D2"/>
    <w:rsid w:val="00F172FF"/>
    <w:rsid w:val="00F2047F"/>
    <w:rsid w:val="00F2079C"/>
    <w:rsid w:val="00F20C0A"/>
    <w:rsid w:val="00F212F8"/>
    <w:rsid w:val="00F217C4"/>
    <w:rsid w:val="00F225F7"/>
    <w:rsid w:val="00F2267F"/>
    <w:rsid w:val="00F22717"/>
    <w:rsid w:val="00F2312C"/>
    <w:rsid w:val="00F235AF"/>
    <w:rsid w:val="00F23656"/>
    <w:rsid w:val="00F2391A"/>
    <w:rsid w:val="00F23961"/>
    <w:rsid w:val="00F23A7D"/>
    <w:rsid w:val="00F23D64"/>
    <w:rsid w:val="00F24837"/>
    <w:rsid w:val="00F24F2D"/>
    <w:rsid w:val="00F25079"/>
    <w:rsid w:val="00F25152"/>
    <w:rsid w:val="00F2575F"/>
    <w:rsid w:val="00F25E23"/>
    <w:rsid w:val="00F263E6"/>
    <w:rsid w:val="00F27402"/>
    <w:rsid w:val="00F274AC"/>
    <w:rsid w:val="00F274CD"/>
    <w:rsid w:val="00F27AA9"/>
    <w:rsid w:val="00F27CD1"/>
    <w:rsid w:val="00F27ED0"/>
    <w:rsid w:val="00F309F3"/>
    <w:rsid w:val="00F30A46"/>
    <w:rsid w:val="00F30E21"/>
    <w:rsid w:val="00F31398"/>
    <w:rsid w:val="00F31858"/>
    <w:rsid w:val="00F31963"/>
    <w:rsid w:val="00F32185"/>
    <w:rsid w:val="00F3230D"/>
    <w:rsid w:val="00F33087"/>
    <w:rsid w:val="00F33745"/>
    <w:rsid w:val="00F33AC7"/>
    <w:rsid w:val="00F33DE9"/>
    <w:rsid w:val="00F33E7C"/>
    <w:rsid w:val="00F33F81"/>
    <w:rsid w:val="00F343BD"/>
    <w:rsid w:val="00F347FC"/>
    <w:rsid w:val="00F353F6"/>
    <w:rsid w:val="00F35A92"/>
    <w:rsid w:val="00F3619A"/>
    <w:rsid w:val="00F36540"/>
    <w:rsid w:val="00F3699E"/>
    <w:rsid w:val="00F369E1"/>
    <w:rsid w:val="00F36D8B"/>
    <w:rsid w:val="00F36F78"/>
    <w:rsid w:val="00F370F5"/>
    <w:rsid w:val="00F371D1"/>
    <w:rsid w:val="00F37321"/>
    <w:rsid w:val="00F3737F"/>
    <w:rsid w:val="00F37649"/>
    <w:rsid w:val="00F37BB3"/>
    <w:rsid w:val="00F40073"/>
    <w:rsid w:val="00F40114"/>
    <w:rsid w:val="00F401CC"/>
    <w:rsid w:val="00F405CB"/>
    <w:rsid w:val="00F408F6"/>
    <w:rsid w:val="00F40ADF"/>
    <w:rsid w:val="00F42399"/>
    <w:rsid w:val="00F4244F"/>
    <w:rsid w:val="00F42D9B"/>
    <w:rsid w:val="00F42E05"/>
    <w:rsid w:val="00F42E66"/>
    <w:rsid w:val="00F4305A"/>
    <w:rsid w:val="00F44556"/>
    <w:rsid w:val="00F44583"/>
    <w:rsid w:val="00F445D4"/>
    <w:rsid w:val="00F44D9D"/>
    <w:rsid w:val="00F44F25"/>
    <w:rsid w:val="00F4592E"/>
    <w:rsid w:val="00F45A59"/>
    <w:rsid w:val="00F45B36"/>
    <w:rsid w:val="00F45BD4"/>
    <w:rsid w:val="00F45CB8"/>
    <w:rsid w:val="00F463D6"/>
    <w:rsid w:val="00F468EA"/>
    <w:rsid w:val="00F46CB6"/>
    <w:rsid w:val="00F47752"/>
    <w:rsid w:val="00F47BC6"/>
    <w:rsid w:val="00F47D54"/>
    <w:rsid w:val="00F47D87"/>
    <w:rsid w:val="00F47F9B"/>
    <w:rsid w:val="00F502E4"/>
    <w:rsid w:val="00F5035A"/>
    <w:rsid w:val="00F50706"/>
    <w:rsid w:val="00F50837"/>
    <w:rsid w:val="00F50ECD"/>
    <w:rsid w:val="00F51D17"/>
    <w:rsid w:val="00F521FC"/>
    <w:rsid w:val="00F5230F"/>
    <w:rsid w:val="00F52C47"/>
    <w:rsid w:val="00F5331F"/>
    <w:rsid w:val="00F5377A"/>
    <w:rsid w:val="00F53FB1"/>
    <w:rsid w:val="00F54027"/>
    <w:rsid w:val="00F541EC"/>
    <w:rsid w:val="00F54404"/>
    <w:rsid w:val="00F54591"/>
    <w:rsid w:val="00F54880"/>
    <w:rsid w:val="00F54A23"/>
    <w:rsid w:val="00F54C65"/>
    <w:rsid w:val="00F54D50"/>
    <w:rsid w:val="00F55455"/>
    <w:rsid w:val="00F5555D"/>
    <w:rsid w:val="00F55A08"/>
    <w:rsid w:val="00F55B2F"/>
    <w:rsid w:val="00F55E73"/>
    <w:rsid w:val="00F55FEC"/>
    <w:rsid w:val="00F560F6"/>
    <w:rsid w:val="00F5623C"/>
    <w:rsid w:val="00F5647E"/>
    <w:rsid w:val="00F569D1"/>
    <w:rsid w:val="00F56DA2"/>
    <w:rsid w:val="00F56F56"/>
    <w:rsid w:val="00F576A2"/>
    <w:rsid w:val="00F57D33"/>
    <w:rsid w:val="00F57F71"/>
    <w:rsid w:val="00F6008E"/>
    <w:rsid w:val="00F60092"/>
    <w:rsid w:val="00F607D6"/>
    <w:rsid w:val="00F608D3"/>
    <w:rsid w:val="00F60A1F"/>
    <w:rsid w:val="00F6105C"/>
    <w:rsid w:val="00F617DB"/>
    <w:rsid w:val="00F61B5A"/>
    <w:rsid w:val="00F61CD0"/>
    <w:rsid w:val="00F61EE6"/>
    <w:rsid w:val="00F6290D"/>
    <w:rsid w:val="00F6322C"/>
    <w:rsid w:val="00F63582"/>
    <w:rsid w:val="00F639FA"/>
    <w:rsid w:val="00F64166"/>
    <w:rsid w:val="00F641D4"/>
    <w:rsid w:val="00F646E0"/>
    <w:rsid w:val="00F64A08"/>
    <w:rsid w:val="00F64C14"/>
    <w:rsid w:val="00F658E6"/>
    <w:rsid w:val="00F666FD"/>
    <w:rsid w:val="00F66ECB"/>
    <w:rsid w:val="00F6723D"/>
    <w:rsid w:val="00F67845"/>
    <w:rsid w:val="00F678A8"/>
    <w:rsid w:val="00F67C5C"/>
    <w:rsid w:val="00F704E5"/>
    <w:rsid w:val="00F707C3"/>
    <w:rsid w:val="00F70EEF"/>
    <w:rsid w:val="00F720A2"/>
    <w:rsid w:val="00F72200"/>
    <w:rsid w:val="00F7227D"/>
    <w:rsid w:val="00F72DA4"/>
    <w:rsid w:val="00F74618"/>
    <w:rsid w:val="00F74FC8"/>
    <w:rsid w:val="00F7577C"/>
    <w:rsid w:val="00F75A62"/>
    <w:rsid w:val="00F75B25"/>
    <w:rsid w:val="00F7688E"/>
    <w:rsid w:val="00F76F40"/>
    <w:rsid w:val="00F77528"/>
    <w:rsid w:val="00F777B8"/>
    <w:rsid w:val="00F77AC4"/>
    <w:rsid w:val="00F77C7D"/>
    <w:rsid w:val="00F77F80"/>
    <w:rsid w:val="00F80231"/>
    <w:rsid w:val="00F80530"/>
    <w:rsid w:val="00F807B5"/>
    <w:rsid w:val="00F80E5D"/>
    <w:rsid w:val="00F810F9"/>
    <w:rsid w:val="00F81266"/>
    <w:rsid w:val="00F8177C"/>
    <w:rsid w:val="00F81B7B"/>
    <w:rsid w:val="00F81ECD"/>
    <w:rsid w:val="00F82018"/>
    <w:rsid w:val="00F8256A"/>
    <w:rsid w:val="00F837A0"/>
    <w:rsid w:val="00F83871"/>
    <w:rsid w:val="00F83C83"/>
    <w:rsid w:val="00F83E26"/>
    <w:rsid w:val="00F8464E"/>
    <w:rsid w:val="00F84795"/>
    <w:rsid w:val="00F849FF"/>
    <w:rsid w:val="00F84C01"/>
    <w:rsid w:val="00F84CD2"/>
    <w:rsid w:val="00F84F5E"/>
    <w:rsid w:val="00F851CE"/>
    <w:rsid w:val="00F85A80"/>
    <w:rsid w:val="00F85B5A"/>
    <w:rsid w:val="00F86048"/>
    <w:rsid w:val="00F86773"/>
    <w:rsid w:val="00F8709F"/>
    <w:rsid w:val="00F8716B"/>
    <w:rsid w:val="00F87559"/>
    <w:rsid w:val="00F879F5"/>
    <w:rsid w:val="00F87B73"/>
    <w:rsid w:val="00F87BC6"/>
    <w:rsid w:val="00F90079"/>
    <w:rsid w:val="00F90361"/>
    <w:rsid w:val="00F903E7"/>
    <w:rsid w:val="00F9085B"/>
    <w:rsid w:val="00F90E06"/>
    <w:rsid w:val="00F90EAD"/>
    <w:rsid w:val="00F9107E"/>
    <w:rsid w:val="00F9109C"/>
    <w:rsid w:val="00F910A1"/>
    <w:rsid w:val="00F91316"/>
    <w:rsid w:val="00F9149A"/>
    <w:rsid w:val="00F9175C"/>
    <w:rsid w:val="00F9242C"/>
    <w:rsid w:val="00F92928"/>
    <w:rsid w:val="00F9302E"/>
    <w:rsid w:val="00F9306E"/>
    <w:rsid w:val="00F9346E"/>
    <w:rsid w:val="00F9372B"/>
    <w:rsid w:val="00F938D8"/>
    <w:rsid w:val="00F93A41"/>
    <w:rsid w:val="00F93BCC"/>
    <w:rsid w:val="00F9432C"/>
    <w:rsid w:val="00F94EA2"/>
    <w:rsid w:val="00F95369"/>
    <w:rsid w:val="00F95952"/>
    <w:rsid w:val="00F96086"/>
    <w:rsid w:val="00F96121"/>
    <w:rsid w:val="00F963E8"/>
    <w:rsid w:val="00F965F3"/>
    <w:rsid w:val="00F97A78"/>
    <w:rsid w:val="00F97EEF"/>
    <w:rsid w:val="00F97F68"/>
    <w:rsid w:val="00FA08F2"/>
    <w:rsid w:val="00FA0AFB"/>
    <w:rsid w:val="00FA145F"/>
    <w:rsid w:val="00FA14F5"/>
    <w:rsid w:val="00FA177A"/>
    <w:rsid w:val="00FA1C32"/>
    <w:rsid w:val="00FA1DE1"/>
    <w:rsid w:val="00FA20CD"/>
    <w:rsid w:val="00FA22CA"/>
    <w:rsid w:val="00FA24E7"/>
    <w:rsid w:val="00FA2A0B"/>
    <w:rsid w:val="00FA2B4E"/>
    <w:rsid w:val="00FA2BBE"/>
    <w:rsid w:val="00FA2DA8"/>
    <w:rsid w:val="00FA2DE5"/>
    <w:rsid w:val="00FA302D"/>
    <w:rsid w:val="00FA31EB"/>
    <w:rsid w:val="00FA342F"/>
    <w:rsid w:val="00FA35BD"/>
    <w:rsid w:val="00FA38B2"/>
    <w:rsid w:val="00FA3FE5"/>
    <w:rsid w:val="00FA450E"/>
    <w:rsid w:val="00FA47D8"/>
    <w:rsid w:val="00FA4962"/>
    <w:rsid w:val="00FA499D"/>
    <w:rsid w:val="00FA4AB3"/>
    <w:rsid w:val="00FA5111"/>
    <w:rsid w:val="00FA5DF6"/>
    <w:rsid w:val="00FA6054"/>
    <w:rsid w:val="00FA6362"/>
    <w:rsid w:val="00FA6B31"/>
    <w:rsid w:val="00FA6D8C"/>
    <w:rsid w:val="00FA7A7B"/>
    <w:rsid w:val="00FA7D45"/>
    <w:rsid w:val="00FA7EC2"/>
    <w:rsid w:val="00FB0514"/>
    <w:rsid w:val="00FB0B15"/>
    <w:rsid w:val="00FB177F"/>
    <w:rsid w:val="00FB17E3"/>
    <w:rsid w:val="00FB1827"/>
    <w:rsid w:val="00FB185D"/>
    <w:rsid w:val="00FB1865"/>
    <w:rsid w:val="00FB1ABA"/>
    <w:rsid w:val="00FB1D04"/>
    <w:rsid w:val="00FB1F09"/>
    <w:rsid w:val="00FB23F7"/>
    <w:rsid w:val="00FB26B1"/>
    <w:rsid w:val="00FB28B0"/>
    <w:rsid w:val="00FB2FCB"/>
    <w:rsid w:val="00FB379D"/>
    <w:rsid w:val="00FB3953"/>
    <w:rsid w:val="00FB3A39"/>
    <w:rsid w:val="00FB3B84"/>
    <w:rsid w:val="00FB3DBC"/>
    <w:rsid w:val="00FB4005"/>
    <w:rsid w:val="00FB4303"/>
    <w:rsid w:val="00FB50EF"/>
    <w:rsid w:val="00FB59D5"/>
    <w:rsid w:val="00FB5F84"/>
    <w:rsid w:val="00FB6119"/>
    <w:rsid w:val="00FB622A"/>
    <w:rsid w:val="00FB6A19"/>
    <w:rsid w:val="00FB7393"/>
    <w:rsid w:val="00FB73B7"/>
    <w:rsid w:val="00FB79D1"/>
    <w:rsid w:val="00FB7BE6"/>
    <w:rsid w:val="00FB7C05"/>
    <w:rsid w:val="00FC0048"/>
    <w:rsid w:val="00FC0370"/>
    <w:rsid w:val="00FC043F"/>
    <w:rsid w:val="00FC0617"/>
    <w:rsid w:val="00FC08B3"/>
    <w:rsid w:val="00FC1074"/>
    <w:rsid w:val="00FC1191"/>
    <w:rsid w:val="00FC1294"/>
    <w:rsid w:val="00FC1422"/>
    <w:rsid w:val="00FC1506"/>
    <w:rsid w:val="00FC1884"/>
    <w:rsid w:val="00FC1D8B"/>
    <w:rsid w:val="00FC1DE4"/>
    <w:rsid w:val="00FC24E3"/>
    <w:rsid w:val="00FC286D"/>
    <w:rsid w:val="00FC2F05"/>
    <w:rsid w:val="00FC2F51"/>
    <w:rsid w:val="00FC2FF4"/>
    <w:rsid w:val="00FC387B"/>
    <w:rsid w:val="00FC4A11"/>
    <w:rsid w:val="00FC5131"/>
    <w:rsid w:val="00FC52CB"/>
    <w:rsid w:val="00FC578D"/>
    <w:rsid w:val="00FC59A9"/>
    <w:rsid w:val="00FC62ED"/>
    <w:rsid w:val="00FC6420"/>
    <w:rsid w:val="00FC648F"/>
    <w:rsid w:val="00FC64D8"/>
    <w:rsid w:val="00FC7415"/>
    <w:rsid w:val="00FC7518"/>
    <w:rsid w:val="00FC7551"/>
    <w:rsid w:val="00FC75CE"/>
    <w:rsid w:val="00FC7657"/>
    <w:rsid w:val="00FC777B"/>
    <w:rsid w:val="00FC7955"/>
    <w:rsid w:val="00FC7B8F"/>
    <w:rsid w:val="00FC7C26"/>
    <w:rsid w:val="00FC7FE9"/>
    <w:rsid w:val="00FD00BF"/>
    <w:rsid w:val="00FD04DC"/>
    <w:rsid w:val="00FD0704"/>
    <w:rsid w:val="00FD0A52"/>
    <w:rsid w:val="00FD0AD3"/>
    <w:rsid w:val="00FD0CC8"/>
    <w:rsid w:val="00FD1181"/>
    <w:rsid w:val="00FD12CC"/>
    <w:rsid w:val="00FD12D8"/>
    <w:rsid w:val="00FD13D6"/>
    <w:rsid w:val="00FD185B"/>
    <w:rsid w:val="00FD1B87"/>
    <w:rsid w:val="00FD1BDB"/>
    <w:rsid w:val="00FD1C3D"/>
    <w:rsid w:val="00FD2100"/>
    <w:rsid w:val="00FD2135"/>
    <w:rsid w:val="00FD2DCA"/>
    <w:rsid w:val="00FD34B4"/>
    <w:rsid w:val="00FD34DA"/>
    <w:rsid w:val="00FD37E6"/>
    <w:rsid w:val="00FD3C0F"/>
    <w:rsid w:val="00FD3DB9"/>
    <w:rsid w:val="00FD446D"/>
    <w:rsid w:val="00FD45ED"/>
    <w:rsid w:val="00FD46D0"/>
    <w:rsid w:val="00FD47DC"/>
    <w:rsid w:val="00FD4A2B"/>
    <w:rsid w:val="00FD5295"/>
    <w:rsid w:val="00FD52B6"/>
    <w:rsid w:val="00FD54F4"/>
    <w:rsid w:val="00FD568C"/>
    <w:rsid w:val="00FD574F"/>
    <w:rsid w:val="00FD5BA3"/>
    <w:rsid w:val="00FD5CB7"/>
    <w:rsid w:val="00FD65CA"/>
    <w:rsid w:val="00FD7213"/>
    <w:rsid w:val="00FD7237"/>
    <w:rsid w:val="00FD756C"/>
    <w:rsid w:val="00FD7D29"/>
    <w:rsid w:val="00FE0686"/>
    <w:rsid w:val="00FE0AA4"/>
    <w:rsid w:val="00FE0C99"/>
    <w:rsid w:val="00FE0D4C"/>
    <w:rsid w:val="00FE1386"/>
    <w:rsid w:val="00FE19F5"/>
    <w:rsid w:val="00FE1A7C"/>
    <w:rsid w:val="00FE1B09"/>
    <w:rsid w:val="00FE203F"/>
    <w:rsid w:val="00FE22EE"/>
    <w:rsid w:val="00FE2342"/>
    <w:rsid w:val="00FE2AC8"/>
    <w:rsid w:val="00FE3199"/>
    <w:rsid w:val="00FE31A6"/>
    <w:rsid w:val="00FE39D3"/>
    <w:rsid w:val="00FE3F11"/>
    <w:rsid w:val="00FE4AB3"/>
    <w:rsid w:val="00FE4B72"/>
    <w:rsid w:val="00FE4EFC"/>
    <w:rsid w:val="00FE5186"/>
    <w:rsid w:val="00FE5810"/>
    <w:rsid w:val="00FE5861"/>
    <w:rsid w:val="00FE59BE"/>
    <w:rsid w:val="00FE5FDE"/>
    <w:rsid w:val="00FE657E"/>
    <w:rsid w:val="00FE6BC8"/>
    <w:rsid w:val="00FE6BCE"/>
    <w:rsid w:val="00FE6C7C"/>
    <w:rsid w:val="00FE71D9"/>
    <w:rsid w:val="00FE7618"/>
    <w:rsid w:val="00FE7655"/>
    <w:rsid w:val="00FE780C"/>
    <w:rsid w:val="00FF02AF"/>
    <w:rsid w:val="00FF0325"/>
    <w:rsid w:val="00FF1187"/>
    <w:rsid w:val="00FF1356"/>
    <w:rsid w:val="00FF13CF"/>
    <w:rsid w:val="00FF1525"/>
    <w:rsid w:val="00FF158A"/>
    <w:rsid w:val="00FF18D0"/>
    <w:rsid w:val="00FF18E3"/>
    <w:rsid w:val="00FF1CFF"/>
    <w:rsid w:val="00FF25AC"/>
    <w:rsid w:val="00FF2C4D"/>
    <w:rsid w:val="00FF308B"/>
    <w:rsid w:val="00FF3DCF"/>
    <w:rsid w:val="00FF3EAF"/>
    <w:rsid w:val="00FF4150"/>
    <w:rsid w:val="00FF48F8"/>
    <w:rsid w:val="00FF4CDF"/>
    <w:rsid w:val="00FF4D55"/>
    <w:rsid w:val="00FF5119"/>
    <w:rsid w:val="00FF58EE"/>
    <w:rsid w:val="00FF5AA3"/>
    <w:rsid w:val="00FF5B0C"/>
    <w:rsid w:val="00FF5E5E"/>
    <w:rsid w:val="00FF608B"/>
    <w:rsid w:val="00FF6104"/>
    <w:rsid w:val="00FF6200"/>
    <w:rsid w:val="00FF6A3E"/>
    <w:rsid w:val="00FF6A6D"/>
    <w:rsid w:val="00FF6EE4"/>
    <w:rsid w:val="00FF7B32"/>
    <w:rsid w:val="00FF7B7D"/>
    <w:rsid w:val="00FF7D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B32DC8"/>
  </w:style>
  <w:style w:type="paragraph" w:styleId="Heading2">
    <w:name w:val="heading 2"/>
    <w:basedOn w:val="Normal"/>
    <w:next w:val="Normal"/>
    <w:link w:val="Heading2Char"/>
    <w:qFormat/>
    <w:rsid w:val="00A45A8D"/>
    <w:pPr>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45A8D"/>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2,Char,Caption Char1 Char Char Char,Caption Char Char Char Char Char,Caption Char Char1 Char,Caption Char1 Char1,Caption Char Char Char1,Bayer Caption,IB Caption,Medical Caption,IB Caption Char,- H17,!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2,Caption Char Char Char2,Caption2 Char1,Char Char1,Caption Char1 Char Char Char Char1,Caption Char Char Char Char Char Char1,Caption Char Char1 Char Char1,Caption Char1 Char1 Char1,Caption Char Char Char1 Char1,- H17 Char"/>
    <w:link w:val="Caption"/>
    <w:uiPriority w:val="99"/>
    <w:rsid w:val="00124A51"/>
    <w:rPr>
      <w:b/>
      <w:bCs/>
      <w:snapToGrid w:val="0"/>
      <w:color w:val="4F81BD" w:themeColor="accent1"/>
      <w:sz w:val="18"/>
      <w:szCs w:val="18"/>
      <w:lang w:eastAsia="en-US"/>
    </w:rPr>
  </w:style>
  <w:style w:type="paragraph" w:styleId="Title">
    <w:name w:val="Title"/>
    <w:next w:val="Normal"/>
    <w:link w:val="TitleChar"/>
    <w:qFormat/>
    <w:rsid w:val="00B32DC8"/>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B32DC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8D73E9"/>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0A3CA6"/>
    <w:pPr>
      <w:numPr>
        <w:numId w:val="1"/>
      </w:numPr>
      <w:outlineLvl w:val="0"/>
    </w:pPr>
    <w:rPr>
      <w:rFonts w:ascii="Arial" w:hAnsi="Arial" w:cs="Arial"/>
      <w:b/>
      <w:snapToGrid w:val="0"/>
      <w:sz w:val="22"/>
      <w:szCs w:val="22"/>
      <w:lang w:eastAsia="en-US"/>
    </w:rPr>
  </w:style>
  <w:style w:type="character" w:customStyle="1" w:styleId="hitinf">
    <w:name w:val="hit_inf"/>
    <w:basedOn w:val="DefaultParagraphFont"/>
    <w:rsid w:val="00B150B9"/>
  </w:style>
  <w:style w:type="character" w:customStyle="1" w:styleId="hitsyn">
    <w:name w:val="hit_syn"/>
    <w:basedOn w:val="DefaultParagraphFont"/>
    <w:rsid w:val="00B150B9"/>
  </w:style>
  <w:style w:type="character" w:customStyle="1" w:styleId="li-content">
    <w:name w:val="li-content"/>
    <w:basedOn w:val="DefaultParagraphFont"/>
    <w:rsid w:val="00B150B9"/>
  </w:style>
  <w:style w:type="character" w:customStyle="1" w:styleId="ccbntxt">
    <w:name w:val="ccbntxt"/>
    <w:basedOn w:val="DefaultParagraphFont"/>
    <w:rsid w:val="0037598E"/>
  </w:style>
  <w:style w:type="paragraph" w:styleId="FootnoteText">
    <w:name w:val="footnote text"/>
    <w:basedOn w:val="Normal"/>
    <w:link w:val="FootnoteTextChar"/>
    <w:unhideWhenUsed/>
    <w:rsid w:val="00022C8C"/>
    <w:rPr>
      <w:sz w:val="24"/>
    </w:rPr>
  </w:style>
  <w:style w:type="character" w:customStyle="1" w:styleId="FootnoteTextChar">
    <w:name w:val="Footnote Text Char"/>
    <w:basedOn w:val="DefaultParagraphFont"/>
    <w:link w:val="FootnoteText"/>
    <w:rsid w:val="00022C8C"/>
    <w:rPr>
      <w:rFonts w:ascii="Arial" w:hAnsi="Arial" w:cs="Arial"/>
      <w:snapToGrid w:val="0"/>
      <w:sz w:val="24"/>
      <w:szCs w:val="24"/>
      <w:lang w:eastAsia="en-US"/>
    </w:rPr>
  </w:style>
  <w:style w:type="character" w:styleId="FootnoteReference">
    <w:name w:val="footnote reference"/>
    <w:basedOn w:val="DefaultParagraphFont"/>
    <w:unhideWhenUsed/>
    <w:rsid w:val="00022C8C"/>
    <w:rPr>
      <w:vertAlign w:val="superscript"/>
    </w:rPr>
  </w:style>
  <w:style w:type="character" w:styleId="FollowedHyperlink">
    <w:name w:val="FollowedHyperlink"/>
    <w:basedOn w:val="DefaultParagraphFont"/>
    <w:semiHidden/>
    <w:unhideWhenUsed/>
    <w:rsid w:val="0086419F"/>
    <w:rPr>
      <w:color w:val="800080" w:themeColor="followedHyperlink"/>
      <w:u w:val="single"/>
    </w:rPr>
  </w:style>
  <w:style w:type="character" w:customStyle="1" w:styleId="TableTextChar0">
    <w:name w:val="TableText Char"/>
    <w:link w:val="TableText0"/>
    <w:uiPriority w:val="99"/>
    <w:rsid w:val="00996B66"/>
    <w:rPr>
      <w:rFonts w:ascii="Arial Narrow" w:hAnsi="Arial Narrow" w:cs="Arial Narrow"/>
      <w:lang w:eastAsia="en-US"/>
    </w:rPr>
  </w:style>
  <w:style w:type="character" w:customStyle="1" w:styleId="ListParagraphChar">
    <w:name w:val="List Paragraph Char"/>
    <w:aliases w:val="BulletPoints Char"/>
    <w:link w:val="ListParagraph"/>
    <w:uiPriority w:val="34"/>
    <w:rsid w:val="00064AFA"/>
    <w:rPr>
      <w:rFonts w:ascii="Arial" w:hAnsi="Arial" w:cs="Arial"/>
      <w:snapToGrid w:val="0"/>
      <w:sz w:val="22"/>
      <w:lang w:eastAsia="en-US"/>
    </w:rPr>
  </w:style>
  <w:style w:type="paragraph" w:customStyle="1" w:styleId="TableNotes">
    <w:name w:val="Table Notes"/>
    <w:basedOn w:val="Normal"/>
    <w:next w:val="Normal"/>
    <w:link w:val="TableNotesChar"/>
    <w:qFormat/>
    <w:rsid w:val="004B3BFE"/>
    <w:pPr>
      <w:keepNext/>
      <w:keepLines/>
      <w:widowControl/>
    </w:pPr>
    <w:rPr>
      <w:rFonts w:cs="Times New Roman"/>
      <w:snapToGrid/>
      <w:sz w:val="16"/>
      <w:lang w:eastAsia="en-AU"/>
    </w:rPr>
  </w:style>
  <w:style w:type="character" w:customStyle="1" w:styleId="TableNotesChar">
    <w:name w:val="Table Notes Char"/>
    <w:link w:val="TableNotes"/>
    <w:rsid w:val="004B3BFE"/>
    <w:rPr>
      <w:rFonts w:ascii="Arial" w:hAnsi="Arial"/>
      <w:sz w:val="16"/>
      <w:szCs w:val="24"/>
    </w:rPr>
  </w:style>
  <w:style w:type="character" w:customStyle="1" w:styleId="CaptionChar2">
    <w:name w:val="Caption Char2"/>
    <w:aliases w:val="Caption Char1 Char,Caption Char Char Char,Caption Char Char1,Caption2 Char,Char Char,Caption Char1 Char Char Char Char,Caption Char Char Char Char Char Char,Caption Char Char1 Char Char,Caption Char1 Char1 Char,Caption Char Char Char1 Char"/>
    <w:rsid w:val="004B3BFE"/>
    <w:rPr>
      <w:rFonts w:ascii="Arial" w:eastAsia="Times New Roman" w:hAnsi="Arial" w:cs="Times New Roman"/>
      <w:b/>
      <w:bCs/>
      <w:sz w:val="20"/>
      <w:szCs w:val="20"/>
      <w:lang w:eastAsia="en-AU"/>
    </w:rPr>
  </w:style>
  <w:style w:type="paragraph" w:customStyle="1" w:styleId="TableText1">
    <w:name w:val="Table Text"/>
    <w:basedOn w:val="Normal"/>
    <w:link w:val="TableTextChar1"/>
    <w:qFormat/>
    <w:rsid w:val="004B3BFE"/>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B3BFE"/>
    <w:rPr>
      <w:rFonts w:ascii="Arial Narrow" w:hAnsi="Arial Narrow"/>
    </w:rPr>
  </w:style>
  <w:style w:type="paragraph" w:customStyle="1" w:styleId="BodyText1">
    <w:name w:val="Body Text1"/>
    <w:basedOn w:val="Normal"/>
    <w:link w:val="BodytextChar0"/>
    <w:uiPriority w:val="99"/>
    <w:qFormat/>
    <w:rsid w:val="00314C40"/>
    <w:pPr>
      <w:spacing w:after="240" w:line="288" w:lineRule="auto"/>
    </w:pPr>
    <w:rPr>
      <w:rFonts w:cs="Times New Roman"/>
      <w:snapToGrid/>
      <w:szCs w:val="18"/>
      <w:lang w:eastAsia="en-AU"/>
    </w:rPr>
  </w:style>
  <w:style w:type="character" w:customStyle="1" w:styleId="MainBodyTextChar">
    <w:name w:val="Main Body Text Char"/>
    <w:link w:val="MainBodyText"/>
    <w:rsid w:val="00580361"/>
    <w:rPr>
      <w:rFonts w:ascii="Arial" w:hAnsi="Arial"/>
    </w:rPr>
  </w:style>
  <w:style w:type="paragraph" w:customStyle="1" w:styleId="MainBodyText">
    <w:name w:val="Main Body Text"/>
    <w:basedOn w:val="Normal"/>
    <w:link w:val="MainBodyTextChar"/>
    <w:rsid w:val="00580361"/>
    <w:pPr>
      <w:widowControl/>
      <w:spacing w:line="360" w:lineRule="auto"/>
    </w:pPr>
    <w:rPr>
      <w:rFonts w:cs="Times New Roman"/>
      <w:snapToGrid/>
      <w:sz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65ED6"/>
    <w:pPr>
      <w:widowControl/>
      <w:spacing w:after="160" w:line="240" w:lineRule="exact"/>
      <w:jc w:val="left"/>
    </w:pPr>
    <w:rPr>
      <w:rFonts w:ascii="Verdana" w:eastAsia="MS Mincho" w:hAnsi="Verdana" w:cs="Verdana"/>
      <w:snapToGrid/>
      <w:sz w:val="20"/>
      <w:szCs w:val="20"/>
      <w:lang w:val="en-US"/>
    </w:rPr>
  </w:style>
  <w:style w:type="paragraph" w:customStyle="1" w:styleId="TableBullet">
    <w:name w:val="Table Bullet"/>
    <w:basedOn w:val="Normal"/>
    <w:rsid w:val="00D95520"/>
    <w:pPr>
      <w:keepLines/>
      <w:numPr>
        <w:numId w:val="5"/>
      </w:numPr>
      <w:spacing w:after="240"/>
      <w:ind w:left="420"/>
      <w:jc w:val="left"/>
    </w:pPr>
    <w:rPr>
      <w:rFonts w:ascii="Tahoma" w:hAnsi="Tahoma" w:cs="Times New Roman"/>
      <w:noProof/>
      <w:snapToGrid/>
      <w:color w:val="000000"/>
      <w:sz w:val="16"/>
      <w:szCs w:val="16"/>
      <w:lang w:val="en-GB" w:eastAsia="en-GB"/>
    </w:rPr>
  </w:style>
  <w:style w:type="paragraph" w:styleId="DocumentMap">
    <w:name w:val="Document Map"/>
    <w:basedOn w:val="Normal"/>
    <w:link w:val="DocumentMapChar"/>
    <w:semiHidden/>
    <w:unhideWhenUsed/>
    <w:rsid w:val="00220FB7"/>
    <w:rPr>
      <w:rFonts w:ascii="Lucida Grande" w:hAnsi="Lucida Grande" w:cs="Lucida Grande"/>
      <w:sz w:val="24"/>
    </w:rPr>
  </w:style>
  <w:style w:type="character" w:customStyle="1" w:styleId="DocumentMapChar">
    <w:name w:val="Document Map Char"/>
    <w:basedOn w:val="DefaultParagraphFont"/>
    <w:link w:val="DocumentMap"/>
    <w:semiHidden/>
    <w:rsid w:val="00220FB7"/>
    <w:rPr>
      <w:rFonts w:ascii="Lucida Grande" w:hAnsi="Lucida Grande" w:cs="Lucida Grande"/>
      <w:snapToGrid w:val="0"/>
      <w:lang w:eastAsia="en-US"/>
    </w:rPr>
  </w:style>
  <w:style w:type="character" w:customStyle="1" w:styleId="BodytextChar0">
    <w:name w:val="Body text Char"/>
    <w:link w:val="BodyText1"/>
    <w:uiPriority w:val="99"/>
    <w:locked/>
    <w:rsid w:val="000457C3"/>
    <w:rPr>
      <w:rFonts w:ascii="Arial" w:hAnsi="Arial"/>
      <w:sz w:val="22"/>
      <w:szCs w:val="18"/>
    </w:rPr>
  </w:style>
  <w:style w:type="character" w:styleId="Emphasis">
    <w:name w:val="Emphasis"/>
    <w:basedOn w:val="DefaultParagraphFont"/>
    <w:uiPriority w:val="20"/>
    <w:qFormat/>
    <w:rsid w:val="00A9599A"/>
    <w:rPr>
      <w:i/>
      <w:iCs/>
    </w:rPr>
  </w:style>
  <w:style w:type="paragraph" w:customStyle="1" w:styleId="BMSBodyText">
    <w:name w:val="BMS Body Text"/>
    <w:link w:val="BMSBodyTextChar"/>
    <w:qFormat/>
    <w:rsid w:val="0094201D"/>
    <w:pPr>
      <w:spacing w:after="200" w:line="360" w:lineRule="auto"/>
    </w:pPr>
    <w:rPr>
      <w:rFonts w:ascii="Arial" w:hAnsi="Arial"/>
      <w:color w:val="000000"/>
      <w:sz w:val="22"/>
      <w:lang w:val="en-US"/>
    </w:rPr>
  </w:style>
  <w:style w:type="character" w:customStyle="1" w:styleId="BMSBodyTextChar">
    <w:name w:val="BMS Body Text Char"/>
    <w:basedOn w:val="DefaultParagraphFont"/>
    <w:link w:val="BMSBodyText"/>
    <w:locked/>
    <w:rsid w:val="0094201D"/>
    <w:rPr>
      <w:rFonts w:ascii="Arial" w:hAnsi="Arial"/>
      <w:color w:val="000000"/>
      <w:sz w:val="22"/>
      <w:lang w:val="en-US"/>
    </w:rPr>
  </w:style>
  <w:style w:type="paragraph" w:customStyle="1" w:styleId="Tableheading0">
    <w:name w:val="Table heading"/>
    <w:basedOn w:val="Normal"/>
    <w:link w:val="TableheadingChar"/>
    <w:rsid w:val="007B1F7A"/>
    <w:pPr>
      <w:keepNext/>
      <w:keepLines/>
      <w:widowControl/>
      <w:spacing w:before="60" w:after="60"/>
      <w:jc w:val="left"/>
    </w:pPr>
    <w:rPr>
      <w:rFonts w:cs="Times New Roman"/>
      <w:b/>
      <w:bCs/>
      <w:snapToGrid/>
      <w:sz w:val="20"/>
      <w:szCs w:val="20"/>
    </w:rPr>
  </w:style>
  <w:style w:type="character" w:customStyle="1" w:styleId="TableheadingChar">
    <w:name w:val="Table heading Char"/>
    <w:link w:val="Tableheading0"/>
    <w:rsid w:val="007B1F7A"/>
    <w:rPr>
      <w:rFonts w:ascii="Arial" w:hAnsi="Arial"/>
      <w:b/>
      <w:bCs/>
      <w:sz w:val="20"/>
      <w:szCs w:val="20"/>
      <w:lang w:eastAsia="en-US"/>
    </w:rPr>
  </w:style>
  <w:style w:type="paragraph" w:customStyle="1" w:styleId="Default">
    <w:name w:val="Default"/>
    <w:rsid w:val="00255946"/>
    <w:pPr>
      <w:autoSpaceDE w:val="0"/>
      <w:autoSpaceDN w:val="0"/>
      <w:adjustRightInd w:val="0"/>
    </w:pPr>
    <w:rPr>
      <w:rFonts w:ascii="Candara" w:hAnsi="Candara" w:cs="Candara"/>
      <w:color w:val="000000"/>
    </w:rPr>
  </w:style>
  <w:style w:type="character" w:styleId="IntenseReference">
    <w:name w:val="Intense Reference"/>
    <w:basedOn w:val="DefaultParagraphFont"/>
    <w:uiPriority w:val="32"/>
    <w:qFormat/>
    <w:rsid w:val="00A11DF7"/>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B32DC8"/>
  </w:style>
  <w:style w:type="paragraph" w:styleId="Heading2">
    <w:name w:val="heading 2"/>
    <w:basedOn w:val="Normal"/>
    <w:next w:val="Normal"/>
    <w:link w:val="Heading2Char"/>
    <w:qFormat/>
    <w:rsid w:val="00A45A8D"/>
    <w:pPr>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45A8D"/>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Caption2,Char,Caption Char1 Char Char Char,Caption Char Char Char Char Char,Caption Char Char1 Char,Caption Char1 Char1,Caption Char Char Char1,Bayer Caption,IB Caption,Medical Caption,IB Caption Char,- H17,!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2,Caption Char Char Char2,Caption2 Char1,Char Char1,Caption Char1 Char Char Char Char1,Caption Char Char Char Char Char Char1,Caption Char Char1 Char Char1,Caption Char1 Char1 Char1,Caption Char Char Char1 Char1,- H17 Char"/>
    <w:link w:val="Caption"/>
    <w:uiPriority w:val="99"/>
    <w:rsid w:val="00124A51"/>
    <w:rPr>
      <w:b/>
      <w:bCs/>
      <w:snapToGrid w:val="0"/>
      <w:color w:val="4F81BD" w:themeColor="accent1"/>
      <w:sz w:val="18"/>
      <w:szCs w:val="18"/>
      <w:lang w:eastAsia="en-US"/>
    </w:rPr>
  </w:style>
  <w:style w:type="paragraph" w:styleId="Title">
    <w:name w:val="Title"/>
    <w:next w:val="Normal"/>
    <w:link w:val="TitleChar"/>
    <w:qFormat/>
    <w:rsid w:val="00B32DC8"/>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B32DC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8D73E9"/>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0A3CA6"/>
    <w:pPr>
      <w:numPr>
        <w:numId w:val="1"/>
      </w:numPr>
      <w:outlineLvl w:val="0"/>
    </w:pPr>
    <w:rPr>
      <w:rFonts w:ascii="Arial" w:hAnsi="Arial" w:cs="Arial"/>
      <w:b/>
      <w:snapToGrid w:val="0"/>
      <w:sz w:val="22"/>
      <w:szCs w:val="22"/>
      <w:lang w:eastAsia="en-US"/>
    </w:rPr>
  </w:style>
  <w:style w:type="character" w:customStyle="1" w:styleId="hitinf">
    <w:name w:val="hit_inf"/>
    <w:basedOn w:val="DefaultParagraphFont"/>
    <w:rsid w:val="00B150B9"/>
  </w:style>
  <w:style w:type="character" w:customStyle="1" w:styleId="hitsyn">
    <w:name w:val="hit_syn"/>
    <w:basedOn w:val="DefaultParagraphFont"/>
    <w:rsid w:val="00B150B9"/>
  </w:style>
  <w:style w:type="character" w:customStyle="1" w:styleId="li-content">
    <w:name w:val="li-content"/>
    <w:basedOn w:val="DefaultParagraphFont"/>
    <w:rsid w:val="00B150B9"/>
  </w:style>
  <w:style w:type="character" w:customStyle="1" w:styleId="ccbntxt">
    <w:name w:val="ccbntxt"/>
    <w:basedOn w:val="DefaultParagraphFont"/>
    <w:rsid w:val="0037598E"/>
  </w:style>
  <w:style w:type="paragraph" w:styleId="FootnoteText">
    <w:name w:val="footnote text"/>
    <w:basedOn w:val="Normal"/>
    <w:link w:val="FootnoteTextChar"/>
    <w:unhideWhenUsed/>
    <w:rsid w:val="00022C8C"/>
    <w:rPr>
      <w:sz w:val="24"/>
    </w:rPr>
  </w:style>
  <w:style w:type="character" w:customStyle="1" w:styleId="FootnoteTextChar">
    <w:name w:val="Footnote Text Char"/>
    <w:basedOn w:val="DefaultParagraphFont"/>
    <w:link w:val="FootnoteText"/>
    <w:rsid w:val="00022C8C"/>
    <w:rPr>
      <w:rFonts w:ascii="Arial" w:hAnsi="Arial" w:cs="Arial"/>
      <w:snapToGrid w:val="0"/>
      <w:sz w:val="24"/>
      <w:szCs w:val="24"/>
      <w:lang w:eastAsia="en-US"/>
    </w:rPr>
  </w:style>
  <w:style w:type="character" w:styleId="FootnoteReference">
    <w:name w:val="footnote reference"/>
    <w:basedOn w:val="DefaultParagraphFont"/>
    <w:unhideWhenUsed/>
    <w:rsid w:val="00022C8C"/>
    <w:rPr>
      <w:vertAlign w:val="superscript"/>
    </w:rPr>
  </w:style>
  <w:style w:type="character" w:styleId="FollowedHyperlink">
    <w:name w:val="FollowedHyperlink"/>
    <w:basedOn w:val="DefaultParagraphFont"/>
    <w:semiHidden/>
    <w:unhideWhenUsed/>
    <w:rsid w:val="0086419F"/>
    <w:rPr>
      <w:color w:val="800080" w:themeColor="followedHyperlink"/>
      <w:u w:val="single"/>
    </w:rPr>
  </w:style>
  <w:style w:type="character" w:customStyle="1" w:styleId="TableTextChar0">
    <w:name w:val="TableText Char"/>
    <w:link w:val="TableText0"/>
    <w:uiPriority w:val="99"/>
    <w:rsid w:val="00996B66"/>
    <w:rPr>
      <w:rFonts w:ascii="Arial Narrow" w:hAnsi="Arial Narrow" w:cs="Arial Narrow"/>
      <w:lang w:eastAsia="en-US"/>
    </w:rPr>
  </w:style>
  <w:style w:type="character" w:customStyle="1" w:styleId="ListParagraphChar">
    <w:name w:val="List Paragraph Char"/>
    <w:aliases w:val="BulletPoints Char"/>
    <w:link w:val="ListParagraph"/>
    <w:uiPriority w:val="34"/>
    <w:rsid w:val="00064AFA"/>
    <w:rPr>
      <w:rFonts w:ascii="Arial" w:hAnsi="Arial" w:cs="Arial"/>
      <w:snapToGrid w:val="0"/>
      <w:sz w:val="22"/>
      <w:lang w:eastAsia="en-US"/>
    </w:rPr>
  </w:style>
  <w:style w:type="paragraph" w:customStyle="1" w:styleId="TableNotes">
    <w:name w:val="Table Notes"/>
    <w:basedOn w:val="Normal"/>
    <w:next w:val="Normal"/>
    <w:link w:val="TableNotesChar"/>
    <w:qFormat/>
    <w:rsid w:val="004B3BFE"/>
    <w:pPr>
      <w:keepNext/>
      <w:keepLines/>
      <w:widowControl/>
    </w:pPr>
    <w:rPr>
      <w:rFonts w:cs="Times New Roman"/>
      <w:snapToGrid/>
      <w:sz w:val="16"/>
      <w:lang w:eastAsia="en-AU"/>
    </w:rPr>
  </w:style>
  <w:style w:type="character" w:customStyle="1" w:styleId="TableNotesChar">
    <w:name w:val="Table Notes Char"/>
    <w:link w:val="TableNotes"/>
    <w:rsid w:val="004B3BFE"/>
    <w:rPr>
      <w:rFonts w:ascii="Arial" w:hAnsi="Arial"/>
      <w:sz w:val="16"/>
      <w:szCs w:val="24"/>
    </w:rPr>
  </w:style>
  <w:style w:type="character" w:customStyle="1" w:styleId="CaptionChar2">
    <w:name w:val="Caption Char2"/>
    <w:aliases w:val="Caption Char1 Char,Caption Char Char Char,Caption Char Char1,Caption2 Char,Char Char,Caption Char1 Char Char Char Char,Caption Char Char Char Char Char Char,Caption Char Char1 Char Char,Caption Char1 Char1 Char,Caption Char Char Char1 Char"/>
    <w:rsid w:val="004B3BFE"/>
    <w:rPr>
      <w:rFonts w:ascii="Arial" w:eastAsia="Times New Roman" w:hAnsi="Arial" w:cs="Times New Roman"/>
      <w:b/>
      <w:bCs/>
      <w:sz w:val="20"/>
      <w:szCs w:val="20"/>
      <w:lang w:eastAsia="en-AU"/>
    </w:rPr>
  </w:style>
  <w:style w:type="paragraph" w:customStyle="1" w:styleId="TableText1">
    <w:name w:val="Table Text"/>
    <w:basedOn w:val="Normal"/>
    <w:link w:val="TableTextChar1"/>
    <w:qFormat/>
    <w:rsid w:val="004B3BFE"/>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B3BFE"/>
    <w:rPr>
      <w:rFonts w:ascii="Arial Narrow" w:hAnsi="Arial Narrow"/>
    </w:rPr>
  </w:style>
  <w:style w:type="paragraph" w:customStyle="1" w:styleId="BodyText1">
    <w:name w:val="Body Text1"/>
    <w:basedOn w:val="Normal"/>
    <w:link w:val="BodytextChar0"/>
    <w:uiPriority w:val="99"/>
    <w:qFormat/>
    <w:rsid w:val="00314C40"/>
    <w:pPr>
      <w:spacing w:after="240" w:line="288" w:lineRule="auto"/>
    </w:pPr>
    <w:rPr>
      <w:rFonts w:cs="Times New Roman"/>
      <w:snapToGrid/>
      <w:szCs w:val="18"/>
      <w:lang w:eastAsia="en-AU"/>
    </w:rPr>
  </w:style>
  <w:style w:type="character" w:customStyle="1" w:styleId="MainBodyTextChar">
    <w:name w:val="Main Body Text Char"/>
    <w:link w:val="MainBodyText"/>
    <w:rsid w:val="00580361"/>
    <w:rPr>
      <w:rFonts w:ascii="Arial" w:hAnsi="Arial"/>
    </w:rPr>
  </w:style>
  <w:style w:type="paragraph" w:customStyle="1" w:styleId="MainBodyText">
    <w:name w:val="Main Body Text"/>
    <w:basedOn w:val="Normal"/>
    <w:link w:val="MainBodyTextChar"/>
    <w:rsid w:val="00580361"/>
    <w:pPr>
      <w:widowControl/>
      <w:spacing w:line="360" w:lineRule="auto"/>
    </w:pPr>
    <w:rPr>
      <w:rFonts w:cs="Times New Roman"/>
      <w:snapToGrid/>
      <w:sz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65ED6"/>
    <w:pPr>
      <w:widowControl/>
      <w:spacing w:after="160" w:line="240" w:lineRule="exact"/>
      <w:jc w:val="left"/>
    </w:pPr>
    <w:rPr>
      <w:rFonts w:ascii="Verdana" w:eastAsia="MS Mincho" w:hAnsi="Verdana" w:cs="Verdana"/>
      <w:snapToGrid/>
      <w:sz w:val="20"/>
      <w:szCs w:val="20"/>
      <w:lang w:val="en-US"/>
    </w:rPr>
  </w:style>
  <w:style w:type="paragraph" w:customStyle="1" w:styleId="TableBullet">
    <w:name w:val="Table Bullet"/>
    <w:basedOn w:val="Normal"/>
    <w:rsid w:val="00D95520"/>
    <w:pPr>
      <w:keepLines/>
      <w:numPr>
        <w:numId w:val="5"/>
      </w:numPr>
      <w:spacing w:after="240"/>
      <w:ind w:left="420"/>
      <w:jc w:val="left"/>
    </w:pPr>
    <w:rPr>
      <w:rFonts w:ascii="Tahoma" w:hAnsi="Tahoma" w:cs="Times New Roman"/>
      <w:noProof/>
      <w:snapToGrid/>
      <w:color w:val="000000"/>
      <w:sz w:val="16"/>
      <w:szCs w:val="16"/>
      <w:lang w:val="en-GB" w:eastAsia="en-GB"/>
    </w:rPr>
  </w:style>
  <w:style w:type="paragraph" w:styleId="DocumentMap">
    <w:name w:val="Document Map"/>
    <w:basedOn w:val="Normal"/>
    <w:link w:val="DocumentMapChar"/>
    <w:semiHidden/>
    <w:unhideWhenUsed/>
    <w:rsid w:val="00220FB7"/>
    <w:rPr>
      <w:rFonts w:ascii="Lucida Grande" w:hAnsi="Lucida Grande" w:cs="Lucida Grande"/>
      <w:sz w:val="24"/>
    </w:rPr>
  </w:style>
  <w:style w:type="character" w:customStyle="1" w:styleId="DocumentMapChar">
    <w:name w:val="Document Map Char"/>
    <w:basedOn w:val="DefaultParagraphFont"/>
    <w:link w:val="DocumentMap"/>
    <w:semiHidden/>
    <w:rsid w:val="00220FB7"/>
    <w:rPr>
      <w:rFonts w:ascii="Lucida Grande" w:hAnsi="Lucida Grande" w:cs="Lucida Grande"/>
      <w:snapToGrid w:val="0"/>
      <w:lang w:eastAsia="en-US"/>
    </w:rPr>
  </w:style>
  <w:style w:type="character" w:customStyle="1" w:styleId="BodytextChar0">
    <w:name w:val="Body text Char"/>
    <w:link w:val="BodyText1"/>
    <w:uiPriority w:val="99"/>
    <w:locked/>
    <w:rsid w:val="000457C3"/>
    <w:rPr>
      <w:rFonts w:ascii="Arial" w:hAnsi="Arial"/>
      <w:sz w:val="22"/>
      <w:szCs w:val="18"/>
    </w:rPr>
  </w:style>
  <w:style w:type="character" w:styleId="Emphasis">
    <w:name w:val="Emphasis"/>
    <w:basedOn w:val="DefaultParagraphFont"/>
    <w:uiPriority w:val="20"/>
    <w:qFormat/>
    <w:rsid w:val="00A9599A"/>
    <w:rPr>
      <w:i/>
      <w:iCs/>
    </w:rPr>
  </w:style>
  <w:style w:type="paragraph" w:customStyle="1" w:styleId="BMSBodyText">
    <w:name w:val="BMS Body Text"/>
    <w:link w:val="BMSBodyTextChar"/>
    <w:qFormat/>
    <w:rsid w:val="0094201D"/>
    <w:pPr>
      <w:spacing w:after="200" w:line="360" w:lineRule="auto"/>
    </w:pPr>
    <w:rPr>
      <w:rFonts w:ascii="Arial" w:hAnsi="Arial"/>
      <w:color w:val="000000"/>
      <w:sz w:val="22"/>
      <w:lang w:val="en-US"/>
    </w:rPr>
  </w:style>
  <w:style w:type="character" w:customStyle="1" w:styleId="BMSBodyTextChar">
    <w:name w:val="BMS Body Text Char"/>
    <w:basedOn w:val="DefaultParagraphFont"/>
    <w:link w:val="BMSBodyText"/>
    <w:locked/>
    <w:rsid w:val="0094201D"/>
    <w:rPr>
      <w:rFonts w:ascii="Arial" w:hAnsi="Arial"/>
      <w:color w:val="000000"/>
      <w:sz w:val="22"/>
      <w:lang w:val="en-US"/>
    </w:rPr>
  </w:style>
  <w:style w:type="paragraph" w:customStyle="1" w:styleId="Tableheading0">
    <w:name w:val="Table heading"/>
    <w:basedOn w:val="Normal"/>
    <w:link w:val="TableheadingChar"/>
    <w:rsid w:val="007B1F7A"/>
    <w:pPr>
      <w:keepNext/>
      <w:keepLines/>
      <w:widowControl/>
      <w:spacing w:before="60" w:after="60"/>
      <w:jc w:val="left"/>
    </w:pPr>
    <w:rPr>
      <w:rFonts w:cs="Times New Roman"/>
      <w:b/>
      <w:bCs/>
      <w:snapToGrid/>
      <w:sz w:val="20"/>
      <w:szCs w:val="20"/>
    </w:rPr>
  </w:style>
  <w:style w:type="character" w:customStyle="1" w:styleId="TableheadingChar">
    <w:name w:val="Table heading Char"/>
    <w:link w:val="Tableheading0"/>
    <w:rsid w:val="007B1F7A"/>
    <w:rPr>
      <w:rFonts w:ascii="Arial" w:hAnsi="Arial"/>
      <w:b/>
      <w:bCs/>
      <w:sz w:val="20"/>
      <w:szCs w:val="20"/>
      <w:lang w:eastAsia="en-US"/>
    </w:rPr>
  </w:style>
  <w:style w:type="paragraph" w:customStyle="1" w:styleId="Default">
    <w:name w:val="Default"/>
    <w:rsid w:val="00255946"/>
    <w:pPr>
      <w:autoSpaceDE w:val="0"/>
      <w:autoSpaceDN w:val="0"/>
      <w:adjustRightInd w:val="0"/>
    </w:pPr>
    <w:rPr>
      <w:rFonts w:ascii="Candara" w:hAnsi="Candara" w:cs="Candara"/>
      <w:color w:val="000000"/>
    </w:rPr>
  </w:style>
  <w:style w:type="character" w:styleId="IntenseReference">
    <w:name w:val="Intense Reference"/>
    <w:basedOn w:val="DefaultParagraphFont"/>
    <w:uiPriority w:val="32"/>
    <w:qFormat/>
    <w:rsid w:val="00A11DF7"/>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913">
      <w:bodyDiv w:val="1"/>
      <w:marLeft w:val="0"/>
      <w:marRight w:val="0"/>
      <w:marTop w:val="0"/>
      <w:marBottom w:val="0"/>
      <w:divBdr>
        <w:top w:val="none" w:sz="0" w:space="0" w:color="auto"/>
        <w:left w:val="none" w:sz="0" w:space="0" w:color="auto"/>
        <w:bottom w:val="none" w:sz="0" w:space="0" w:color="auto"/>
        <w:right w:val="none" w:sz="0" w:space="0" w:color="auto"/>
      </w:divBdr>
    </w:div>
    <w:div w:id="34427321">
      <w:bodyDiv w:val="1"/>
      <w:marLeft w:val="0"/>
      <w:marRight w:val="0"/>
      <w:marTop w:val="0"/>
      <w:marBottom w:val="0"/>
      <w:divBdr>
        <w:top w:val="none" w:sz="0" w:space="0" w:color="auto"/>
        <w:left w:val="none" w:sz="0" w:space="0" w:color="auto"/>
        <w:bottom w:val="none" w:sz="0" w:space="0" w:color="auto"/>
        <w:right w:val="none" w:sz="0" w:space="0" w:color="auto"/>
      </w:divBdr>
    </w:div>
    <w:div w:id="55859888">
      <w:bodyDiv w:val="1"/>
      <w:marLeft w:val="0"/>
      <w:marRight w:val="0"/>
      <w:marTop w:val="0"/>
      <w:marBottom w:val="0"/>
      <w:divBdr>
        <w:top w:val="none" w:sz="0" w:space="0" w:color="auto"/>
        <w:left w:val="none" w:sz="0" w:space="0" w:color="auto"/>
        <w:bottom w:val="none" w:sz="0" w:space="0" w:color="auto"/>
        <w:right w:val="none" w:sz="0" w:space="0" w:color="auto"/>
      </w:divBdr>
    </w:div>
    <w:div w:id="100494698">
      <w:bodyDiv w:val="1"/>
      <w:marLeft w:val="0"/>
      <w:marRight w:val="0"/>
      <w:marTop w:val="0"/>
      <w:marBottom w:val="0"/>
      <w:divBdr>
        <w:top w:val="none" w:sz="0" w:space="0" w:color="auto"/>
        <w:left w:val="none" w:sz="0" w:space="0" w:color="auto"/>
        <w:bottom w:val="none" w:sz="0" w:space="0" w:color="auto"/>
        <w:right w:val="none" w:sz="0" w:space="0" w:color="auto"/>
      </w:divBdr>
    </w:div>
    <w:div w:id="148324450">
      <w:bodyDiv w:val="1"/>
      <w:marLeft w:val="0"/>
      <w:marRight w:val="0"/>
      <w:marTop w:val="0"/>
      <w:marBottom w:val="0"/>
      <w:divBdr>
        <w:top w:val="none" w:sz="0" w:space="0" w:color="auto"/>
        <w:left w:val="none" w:sz="0" w:space="0" w:color="auto"/>
        <w:bottom w:val="none" w:sz="0" w:space="0" w:color="auto"/>
        <w:right w:val="none" w:sz="0" w:space="0" w:color="auto"/>
      </w:divBdr>
    </w:div>
    <w:div w:id="173303712">
      <w:bodyDiv w:val="1"/>
      <w:marLeft w:val="0"/>
      <w:marRight w:val="0"/>
      <w:marTop w:val="0"/>
      <w:marBottom w:val="0"/>
      <w:divBdr>
        <w:top w:val="none" w:sz="0" w:space="0" w:color="auto"/>
        <w:left w:val="none" w:sz="0" w:space="0" w:color="auto"/>
        <w:bottom w:val="none" w:sz="0" w:space="0" w:color="auto"/>
        <w:right w:val="none" w:sz="0" w:space="0" w:color="auto"/>
      </w:divBdr>
    </w:div>
    <w:div w:id="183985300">
      <w:bodyDiv w:val="1"/>
      <w:marLeft w:val="0"/>
      <w:marRight w:val="0"/>
      <w:marTop w:val="0"/>
      <w:marBottom w:val="0"/>
      <w:divBdr>
        <w:top w:val="none" w:sz="0" w:space="0" w:color="auto"/>
        <w:left w:val="none" w:sz="0" w:space="0" w:color="auto"/>
        <w:bottom w:val="none" w:sz="0" w:space="0" w:color="auto"/>
        <w:right w:val="none" w:sz="0" w:space="0" w:color="auto"/>
      </w:divBdr>
      <w:divsChild>
        <w:div w:id="921984997">
          <w:marLeft w:val="0"/>
          <w:marRight w:val="0"/>
          <w:marTop w:val="0"/>
          <w:marBottom w:val="0"/>
          <w:divBdr>
            <w:top w:val="none" w:sz="0" w:space="0" w:color="auto"/>
            <w:left w:val="none" w:sz="0" w:space="0" w:color="auto"/>
            <w:bottom w:val="none" w:sz="0" w:space="0" w:color="auto"/>
            <w:right w:val="none" w:sz="0" w:space="0" w:color="auto"/>
          </w:divBdr>
        </w:div>
      </w:divsChild>
    </w:div>
    <w:div w:id="242106841">
      <w:bodyDiv w:val="1"/>
      <w:marLeft w:val="0"/>
      <w:marRight w:val="0"/>
      <w:marTop w:val="0"/>
      <w:marBottom w:val="0"/>
      <w:divBdr>
        <w:top w:val="none" w:sz="0" w:space="0" w:color="auto"/>
        <w:left w:val="none" w:sz="0" w:space="0" w:color="auto"/>
        <w:bottom w:val="none" w:sz="0" w:space="0" w:color="auto"/>
        <w:right w:val="none" w:sz="0" w:space="0" w:color="auto"/>
      </w:divBdr>
    </w:div>
    <w:div w:id="262956420">
      <w:bodyDiv w:val="1"/>
      <w:marLeft w:val="0"/>
      <w:marRight w:val="0"/>
      <w:marTop w:val="0"/>
      <w:marBottom w:val="0"/>
      <w:divBdr>
        <w:top w:val="none" w:sz="0" w:space="0" w:color="auto"/>
        <w:left w:val="none" w:sz="0" w:space="0" w:color="auto"/>
        <w:bottom w:val="none" w:sz="0" w:space="0" w:color="auto"/>
        <w:right w:val="none" w:sz="0" w:space="0" w:color="auto"/>
      </w:divBdr>
    </w:div>
    <w:div w:id="269051029">
      <w:bodyDiv w:val="1"/>
      <w:marLeft w:val="0"/>
      <w:marRight w:val="0"/>
      <w:marTop w:val="0"/>
      <w:marBottom w:val="0"/>
      <w:divBdr>
        <w:top w:val="none" w:sz="0" w:space="0" w:color="auto"/>
        <w:left w:val="none" w:sz="0" w:space="0" w:color="auto"/>
        <w:bottom w:val="none" w:sz="0" w:space="0" w:color="auto"/>
        <w:right w:val="none" w:sz="0" w:space="0" w:color="auto"/>
      </w:divBdr>
    </w:div>
    <w:div w:id="283076271">
      <w:bodyDiv w:val="1"/>
      <w:marLeft w:val="0"/>
      <w:marRight w:val="0"/>
      <w:marTop w:val="0"/>
      <w:marBottom w:val="0"/>
      <w:divBdr>
        <w:top w:val="none" w:sz="0" w:space="0" w:color="auto"/>
        <w:left w:val="none" w:sz="0" w:space="0" w:color="auto"/>
        <w:bottom w:val="none" w:sz="0" w:space="0" w:color="auto"/>
        <w:right w:val="none" w:sz="0" w:space="0" w:color="auto"/>
      </w:divBdr>
    </w:div>
    <w:div w:id="285702096">
      <w:bodyDiv w:val="1"/>
      <w:marLeft w:val="0"/>
      <w:marRight w:val="0"/>
      <w:marTop w:val="0"/>
      <w:marBottom w:val="0"/>
      <w:divBdr>
        <w:top w:val="none" w:sz="0" w:space="0" w:color="auto"/>
        <w:left w:val="none" w:sz="0" w:space="0" w:color="auto"/>
        <w:bottom w:val="none" w:sz="0" w:space="0" w:color="auto"/>
        <w:right w:val="none" w:sz="0" w:space="0" w:color="auto"/>
      </w:divBdr>
    </w:div>
    <w:div w:id="311953123">
      <w:bodyDiv w:val="1"/>
      <w:marLeft w:val="0"/>
      <w:marRight w:val="0"/>
      <w:marTop w:val="0"/>
      <w:marBottom w:val="0"/>
      <w:divBdr>
        <w:top w:val="none" w:sz="0" w:space="0" w:color="auto"/>
        <w:left w:val="none" w:sz="0" w:space="0" w:color="auto"/>
        <w:bottom w:val="none" w:sz="0" w:space="0" w:color="auto"/>
        <w:right w:val="none" w:sz="0" w:space="0" w:color="auto"/>
      </w:divBdr>
    </w:div>
    <w:div w:id="317005405">
      <w:bodyDiv w:val="1"/>
      <w:marLeft w:val="0"/>
      <w:marRight w:val="0"/>
      <w:marTop w:val="0"/>
      <w:marBottom w:val="0"/>
      <w:divBdr>
        <w:top w:val="none" w:sz="0" w:space="0" w:color="auto"/>
        <w:left w:val="none" w:sz="0" w:space="0" w:color="auto"/>
        <w:bottom w:val="none" w:sz="0" w:space="0" w:color="auto"/>
        <w:right w:val="none" w:sz="0" w:space="0" w:color="auto"/>
      </w:divBdr>
    </w:div>
    <w:div w:id="352345494">
      <w:bodyDiv w:val="1"/>
      <w:marLeft w:val="0"/>
      <w:marRight w:val="0"/>
      <w:marTop w:val="0"/>
      <w:marBottom w:val="0"/>
      <w:divBdr>
        <w:top w:val="none" w:sz="0" w:space="0" w:color="auto"/>
        <w:left w:val="none" w:sz="0" w:space="0" w:color="auto"/>
        <w:bottom w:val="none" w:sz="0" w:space="0" w:color="auto"/>
        <w:right w:val="none" w:sz="0" w:space="0" w:color="auto"/>
      </w:divBdr>
    </w:div>
    <w:div w:id="378016520">
      <w:bodyDiv w:val="1"/>
      <w:marLeft w:val="0"/>
      <w:marRight w:val="0"/>
      <w:marTop w:val="0"/>
      <w:marBottom w:val="0"/>
      <w:divBdr>
        <w:top w:val="none" w:sz="0" w:space="0" w:color="auto"/>
        <w:left w:val="none" w:sz="0" w:space="0" w:color="auto"/>
        <w:bottom w:val="none" w:sz="0" w:space="0" w:color="auto"/>
        <w:right w:val="none" w:sz="0" w:space="0" w:color="auto"/>
      </w:divBdr>
    </w:div>
    <w:div w:id="467667782">
      <w:bodyDiv w:val="1"/>
      <w:marLeft w:val="0"/>
      <w:marRight w:val="0"/>
      <w:marTop w:val="0"/>
      <w:marBottom w:val="0"/>
      <w:divBdr>
        <w:top w:val="none" w:sz="0" w:space="0" w:color="auto"/>
        <w:left w:val="none" w:sz="0" w:space="0" w:color="auto"/>
        <w:bottom w:val="none" w:sz="0" w:space="0" w:color="auto"/>
        <w:right w:val="none" w:sz="0" w:space="0" w:color="auto"/>
      </w:divBdr>
    </w:div>
    <w:div w:id="477654205">
      <w:bodyDiv w:val="1"/>
      <w:marLeft w:val="0"/>
      <w:marRight w:val="0"/>
      <w:marTop w:val="0"/>
      <w:marBottom w:val="0"/>
      <w:divBdr>
        <w:top w:val="none" w:sz="0" w:space="0" w:color="auto"/>
        <w:left w:val="none" w:sz="0" w:space="0" w:color="auto"/>
        <w:bottom w:val="none" w:sz="0" w:space="0" w:color="auto"/>
        <w:right w:val="none" w:sz="0" w:space="0" w:color="auto"/>
      </w:divBdr>
    </w:div>
    <w:div w:id="500511350">
      <w:bodyDiv w:val="1"/>
      <w:marLeft w:val="0"/>
      <w:marRight w:val="0"/>
      <w:marTop w:val="0"/>
      <w:marBottom w:val="0"/>
      <w:divBdr>
        <w:top w:val="none" w:sz="0" w:space="0" w:color="auto"/>
        <w:left w:val="none" w:sz="0" w:space="0" w:color="auto"/>
        <w:bottom w:val="none" w:sz="0" w:space="0" w:color="auto"/>
        <w:right w:val="none" w:sz="0" w:space="0" w:color="auto"/>
      </w:divBdr>
    </w:div>
    <w:div w:id="538475883">
      <w:bodyDiv w:val="1"/>
      <w:marLeft w:val="0"/>
      <w:marRight w:val="0"/>
      <w:marTop w:val="0"/>
      <w:marBottom w:val="0"/>
      <w:divBdr>
        <w:top w:val="none" w:sz="0" w:space="0" w:color="auto"/>
        <w:left w:val="none" w:sz="0" w:space="0" w:color="auto"/>
        <w:bottom w:val="none" w:sz="0" w:space="0" w:color="auto"/>
        <w:right w:val="none" w:sz="0" w:space="0" w:color="auto"/>
      </w:divBdr>
    </w:div>
    <w:div w:id="612202242">
      <w:bodyDiv w:val="1"/>
      <w:marLeft w:val="0"/>
      <w:marRight w:val="0"/>
      <w:marTop w:val="0"/>
      <w:marBottom w:val="0"/>
      <w:divBdr>
        <w:top w:val="none" w:sz="0" w:space="0" w:color="auto"/>
        <w:left w:val="none" w:sz="0" w:space="0" w:color="auto"/>
        <w:bottom w:val="none" w:sz="0" w:space="0" w:color="auto"/>
        <w:right w:val="none" w:sz="0" w:space="0" w:color="auto"/>
      </w:divBdr>
    </w:div>
    <w:div w:id="613252805">
      <w:bodyDiv w:val="1"/>
      <w:marLeft w:val="0"/>
      <w:marRight w:val="0"/>
      <w:marTop w:val="0"/>
      <w:marBottom w:val="0"/>
      <w:divBdr>
        <w:top w:val="none" w:sz="0" w:space="0" w:color="auto"/>
        <w:left w:val="none" w:sz="0" w:space="0" w:color="auto"/>
        <w:bottom w:val="none" w:sz="0" w:space="0" w:color="auto"/>
        <w:right w:val="none" w:sz="0" w:space="0" w:color="auto"/>
      </w:divBdr>
    </w:div>
    <w:div w:id="660617135">
      <w:bodyDiv w:val="1"/>
      <w:marLeft w:val="0"/>
      <w:marRight w:val="0"/>
      <w:marTop w:val="0"/>
      <w:marBottom w:val="0"/>
      <w:divBdr>
        <w:top w:val="none" w:sz="0" w:space="0" w:color="auto"/>
        <w:left w:val="none" w:sz="0" w:space="0" w:color="auto"/>
        <w:bottom w:val="none" w:sz="0" w:space="0" w:color="auto"/>
        <w:right w:val="none" w:sz="0" w:space="0" w:color="auto"/>
      </w:divBdr>
    </w:div>
    <w:div w:id="721250819">
      <w:bodyDiv w:val="1"/>
      <w:marLeft w:val="0"/>
      <w:marRight w:val="0"/>
      <w:marTop w:val="0"/>
      <w:marBottom w:val="0"/>
      <w:divBdr>
        <w:top w:val="none" w:sz="0" w:space="0" w:color="auto"/>
        <w:left w:val="none" w:sz="0" w:space="0" w:color="auto"/>
        <w:bottom w:val="none" w:sz="0" w:space="0" w:color="auto"/>
        <w:right w:val="none" w:sz="0" w:space="0" w:color="auto"/>
      </w:divBdr>
    </w:div>
    <w:div w:id="749354796">
      <w:bodyDiv w:val="1"/>
      <w:marLeft w:val="0"/>
      <w:marRight w:val="0"/>
      <w:marTop w:val="0"/>
      <w:marBottom w:val="0"/>
      <w:divBdr>
        <w:top w:val="none" w:sz="0" w:space="0" w:color="auto"/>
        <w:left w:val="none" w:sz="0" w:space="0" w:color="auto"/>
        <w:bottom w:val="none" w:sz="0" w:space="0" w:color="auto"/>
        <w:right w:val="none" w:sz="0" w:space="0" w:color="auto"/>
      </w:divBdr>
    </w:div>
    <w:div w:id="763383940">
      <w:bodyDiv w:val="1"/>
      <w:marLeft w:val="0"/>
      <w:marRight w:val="0"/>
      <w:marTop w:val="0"/>
      <w:marBottom w:val="0"/>
      <w:divBdr>
        <w:top w:val="none" w:sz="0" w:space="0" w:color="auto"/>
        <w:left w:val="none" w:sz="0" w:space="0" w:color="auto"/>
        <w:bottom w:val="none" w:sz="0" w:space="0" w:color="auto"/>
        <w:right w:val="none" w:sz="0" w:space="0" w:color="auto"/>
      </w:divBdr>
    </w:div>
    <w:div w:id="779759187">
      <w:bodyDiv w:val="1"/>
      <w:marLeft w:val="0"/>
      <w:marRight w:val="0"/>
      <w:marTop w:val="0"/>
      <w:marBottom w:val="0"/>
      <w:divBdr>
        <w:top w:val="none" w:sz="0" w:space="0" w:color="auto"/>
        <w:left w:val="none" w:sz="0" w:space="0" w:color="auto"/>
        <w:bottom w:val="none" w:sz="0" w:space="0" w:color="auto"/>
        <w:right w:val="none" w:sz="0" w:space="0" w:color="auto"/>
      </w:divBdr>
    </w:div>
    <w:div w:id="796797727">
      <w:bodyDiv w:val="1"/>
      <w:marLeft w:val="0"/>
      <w:marRight w:val="0"/>
      <w:marTop w:val="0"/>
      <w:marBottom w:val="0"/>
      <w:divBdr>
        <w:top w:val="none" w:sz="0" w:space="0" w:color="auto"/>
        <w:left w:val="none" w:sz="0" w:space="0" w:color="auto"/>
        <w:bottom w:val="none" w:sz="0" w:space="0" w:color="auto"/>
        <w:right w:val="none" w:sz="0" w:space="0" w:color="auto"/>
      </w:divBdr>
    </w:div>
    <w:div w:id="804739615">
      <w:bodyDiv w:val="1"/>
      <w:marLeft w:val="0"/>
      <w:marRight w:val="0"/>
      <w:marTop w:val="0"/>
      <w:marBottom w:val="0"/>
      <w:divBdr>
        <w:top w:val="none" w:sz="0" w:space="0" w:color="auto"/>
        <w:left w:val="none" w:sz="0" w:space="0" w:color="auto"/>
        <w:bottom w:val="none" w:sz="0" w:space="0" w:color="auto"/>
        <w:right w:val="none" w:sz="0" w:space="0" w:color="auto"/>
      </w:divBdr>
    </w:div>
    <w:div w:id="817498357">
      <w:bodyDiv w:val="1"/>
      <w:marLeft w:val="0"/>
      <w:marRight w:val="0"/>
      <w:marTop w:val="0"/>
      <w:marBottom w:val="0"/>
      <w:divBdr>
        <w:top w:val="none" w:sz="0" w:space="0" w:color="auto"/>
        <w:left w:val="none" w:sz="0" w:space="0" w:color="auto"/>
        <w:bottom w:val="none" w:sz="0" w:space="0" w:color="auto"/>
        <w:right w:val="none" w:sz="0" w:space="0" w:color="auto"/>
      </w:divBdr>
    </w:div>
    <w:div w:id="822551723">
      <w:bodyDiv w:val="1"/>
      <w:marLeft w:val="0"/>
      <w:marRight w:val="0"/>
      <w:marTop w:val="0"/>
      <w:marBottom w:val="0"/>
      <w:divBdr>
        <w:top w:val="none" w:sz="0" w:space="0" w:color="auto"/>
        <w:left w:val="none" w:sz="0" w:space="0" w:color="auto"/>
        <w:bottom w:val="none" w:sz="0" w:space="0" w:color="auto"/>
        <w:right w:val="none" w:sz="0" w:space="0" w:color="auto"/>
      </w:divBdr>
    </w:div>
    <w:div w:id="865100103">
      <w:bodyDiv w:val="1"/>
      <w:marLeft w:val="0"/>
      <w:marRight w:val="0"/>
      <w:marTop w:val="0"/>
      <w:marBottom w:val="0"/>
      <w:divBdr>
        <w:top w:val="none" w:sz="0" w:space="0" w:color="auto"/>
        <w:left w:val="none" w:sz="0" w:space="0" w:color="auto"/>
        <w:bottom w:val="none" w:sz="0" w:space="0" w:color="auto"/>
        <w:right w:val="none" w:sz="0" w:space="0" w:color="auto"/>
      </w:divBdr>
    </w:div>
    <w:div w:id="980768007">
      <w:bodyDiv w:val="1"/>
      <w:marLeft w:val="0"/>
      <w:marRight w:val="0"/>
      <w:marTop w:val="0"/>
      <w:marBottom w:val="0"/>
      <w:divBdr>
        <w:top w:val="none" w:sz="0" w:space="0" w:color="auto"/>
        <w:left w:val="none" w:sz="0" w:space="0" w:color="auto"/>
        <w:bottom w:val="none" w:sz="0" w:space="0" w:color="auto"/>
        <w:right w:val="none" w:sz="0" w:space="0" w:color="auto"/>
      </w:divBdr>
    </w:div>
    <w:div w:id="1001346934">
      <w:bodyDiv w:val="1"/>
      <w:marLeft w:val="0"/>
      <w:marRight w:val="0"/>
      <w:marTop w:val="0"/>
      <w:marBottom w:val="0"/>
      <w:divBdr>
        <w:top w:val="none" w:sz="0" w:space="0" w:color="auto"/>
        <w:left w:val="none" w:sz="0" w:space="0" w:color="auto"/>
        <w:bottom w:val="none" w:sz="0" w:space="0" w:color="auto"/>
        <w:right w:val="none" w:sz="0" w:space="0" w:color="auto"/>
      </w:divBdr>
    </w:div>
    <w:div w:id="1011758468">
      <w:bodyDiv w:val="1"/>
      <w:marLeft w:val="0"/>
      <w:marRight w:val="0"/>
      <w:marTop w:val="0"/>
      <w:marBottom w:val="0"/>
      <w:divBdr>
        <w:top w:val="none" w:sz="0" w:space="0" w:color="auto"/>
        <w:left w:val="none" w:sz="0" w:space="0" w:color="auto"/>
        <w:bottom w:val="none" w:sz="0" w:space="0" w:color="auto"/>
        <w:right w:val="none" w:sz="0" w:space="0" w:color="auto"/>
      </w:divBdr>
    </w:div>
    <w:div w:id="1033456511">
      <w:bodyDiv w:val="1"/>
      <w:marLeft w:val="0"/>
      <w:marRight w:val="0"/>
      <w:marTop w:val="0"/>
      <w:marBottom w:val="0"/>
      <w:divBdr>
        <w:top w:val="none" w:sz="0" w:space="0" w:color="auto"/>
        <w:left w:val="none" w:sz="0" w:space="0" w:color="auto"/>
        <w:bottom w:val="none" w:sz="0" w:space="0" w:color="auto"/>
        <w:right w:val="none" w:sz="0" w:space="0" w:color="auto"/>
      </w:divBdr>
    </w:div>
    <w:div w:id="1050570484">
      <w:bodyDiv w:val="1"/>
      <w:marLeft w:val="0"/>
      <w:marRight w:val="0"/>
      <w:marTop w:val="0"/>
      <w:marBottom w:val="0"/>
      <w:divBdr>
        <w:top w:val="none" w:sz="0" w:space="0" w:color="auto"/>
        <w:left w:val="none" w:sz="0" w:space="0" w:color="auto"/>
        <w:bottom w:val="none" w:sz="0" w:space="0" w:color="auto"/>
        <w:right w:val="none" w:sz="0" w:space="0" w:color="auto"/>
      </w:divBdr>
    </w:div>
    <w:div w:id="1098477345">
      <w:bodyDiv w:val="1"/>
      <w:marLeft w:val="0"/>
      <w:marRight w:val="0"/>
      <w:marTop w:val="0"/>
      <w:marBottom w:val="0"/>
      <w:divBdr>
        <w:top w:val="none" w:sz="0" w:space="0" w:color="auto"/>
        <w:left w:val="none" w:sz="0" w:space="0" w:color="auto"/>
        <w:bottom w:val="none" w:sz="0" w:space="0" w:color="auto"/>
        <w:right w:val="none" w:sz="0" w:space="0" w:color="auto"/>
      </w:divBdr>
    </w:div>
    <w:div w:id="1116635060">
      <w:bodyDiv w:val="1"/>
      <w:marLeft w:val="0"/>
      <w:marRight w:val="0"/>
      <w:marTop w:val="0"/>
      <w:marBottom w:val="0"/>
      <w:divBdr>
        <w:top w:val="none" w:sz="0" w:space="0" w:color="auto"/>
        <w:left w:val="none" w:sz="0" w:space="0" w:color="auto"/>
        <w:bottom w:val="none" w:sz="0" w:space="0" w:color="auto"/>
        <w:right w:val="none" w:sz="0" w:space="0" w:color="auto"/>
      </w:divBdr>
    </w:div>
    <w:div w:id="1131826331">
      <w:bodyDiv w:val="1"/>
      <w:marLeft w:val="0"/>
      <w:marRight w:val="0"/>
      <w:marTop w:val="0"/>
      <w:marBottom w:val="0"/>
      <w:divBdr>
        <w:top w:val="none" w:sz="0" w:space="0" w:color="auto"/>
        <w:left w:val="none" w:sz="0" w:space="0" w:color="auto"/>
        <w:bottom w:val="none" w:sz="0" w:space="0" w:color="auto"/>
        <w:right w:val="none" w:sz="0" w:space="0" w:color="auto"/>
      </w:divBdr>
    </w:div>
    <w:div w:id="1140223606">
      <w:bodyDiv w:val="1"/>
      <w:marLeft w:val="0"/>
      <w:marRight w:val="0"/>
      <w:marTop w:val="0"/>
      <w:marBottom w:val="0"/>
      <w:divBdr>
        <w:top w:val="none" w:sz="0" w:space="0" w:color="auto"/>
        <w:left w:val="none" w:sz="0" w:space="0" w:color="auto"/>
        <w:bottom w:val="none" w:sz="0" w:space="0" w:color="auto"/>
        <w:right w:val="none" w:sz="0" w:space="0" w:color="auto"/>
      </w:divBdr>
    </w:div>
    <w:div w:id="1147014084">
      <w:bodyDiv w:val="1"/>
      <w:marLeft w:val="0"/>
      <w:marRight w:val="0"/>
      <w:marTop w:val="0"/>
      <w:marBottom w:val="0"/>
      <w:divBdr>
        <w:top w:val="none" w:sz="0" w:space="0" w:color="auto"/>
        <w:left w:val="none" w:sz="0" w:space="0" w:color="auto"/>
        <w:bottom w:val="none" w:sz="0" w:space="0" w:color="auto"/>
        <w:right w:val="none" w:sz="0" w:space="0" w:color="auto"/>
      </w:divBdr>
    </w:div>
    <w:div w:id="1167591863">
      <w:bodyDiv w:val="1"/>
      <w:marLeft w:val="0"/>
      <w:marRight w:val="0"/>
      <w:marTop w:val="0"/>
      <w:marBottom w:val="0"/>
      <w:divBdr>
        <w:top w:val="none" w:sz="0" w:space="0" w:color="auto"/>
        <w:left w:val="none" w:sz="0" w:space="0" w:color="auto"/>
        <w:bottom w:val="none" w:sz="0" w:space="0" w:color="auto"/>
        <w:right w:val="none" w:sz="0" w:space="0" w:color="auto"/>
      </w:divBdr>
    </w:div>
    <w:div w:id="1215778041">
      <w:bodyDiv w:val="1"/>
      <w:marLeft w:val="0"/>
      <w:marRight w:val="0"/>
      <w:marTop w:val="0"/>
      <w:marBottom w:val="0"/>
      <w:divBdr>
        <w:top w:val="none" w:sz="0" w:space="0" w:color="auto"/>
        <w:left w:val="none" w:sz="0" w:space="0" w:color="auto"/>
        <w:bottom w:val="none" w:sz="0" w:space="0" w:color="auto"/>
        <w:right w:val="none" w:sz="0" w:space="0" w:color="auto"/>
      </w:divBdr>
    </w:div>
    <w:div w:id="1306162554">
      <w:bodyDiv w:val="1"/>
      <w:marLeft w:val="0"/>
      <w:marRight w:val="0"/>
      <w:marTop w:val="0"/>
      <w:marBottom w:val="0"/>
      <w:divBdr>
        <w:top w:val="none" w:sz="0" w:space="0" w:color="auto"/>
        <w:left w:val="none" w:sz="0" w:space="0" w:color="auto"/>
        <w:bottom w:val="none" w:sz="0" w:space="0" w:color="auto"/>
        <w:right w:val="none" w:sz="0" w:space="0" w:color="auto"/>
      </w:divBdr>
    </w:div>
    <w:div w:id="1422066121">
      <w:bodyDiv w:val="1"/>
      <w:marLeft w:val="0"/>
      <w:marRight w:val="0"/>
      <w:marTop w:val="0"/>
      <w:marBottom w:val="0"/>
      <w:divBdr>
        <w:top w:val="none" w:sz="0" w:space="0" w:color="auto"/>
        <w:left w:val="none" w:sz="0" w:space="0" w:color="auto"/>
        <w:bottom w:val="none" w:sz="0" w:space="0" w:color="auto"/>
        <w:right w:val="none" w:sz="0" w:space="0" w:color="auto"/>
      </w:divBdr>
    </w:div>
    <w:div w:id="1452474791">
      <w:bodyDiv w:val="1"/>
      <w:marLeft w:val="0"/>
      <w:marRight w:val="0"/>
      <w:marTop w:val="0"/>
      <w:marBottom w:val="0"/>
      <w:divBdr>
        <w:top w:val="none" w:sz="0" w:space="0" w:color="auto"/>
        <w:left w:val="none" w:sz="0" w:space="0" w:color="auto"/>
        <w:bottom w:val="none" w:sz="0" w:space="0" w:color="auto"/>
        <w:right w:val="none" w:sz="0" w:space="0" w:color="auto"/>
      </w:divBdr>
    </w:div>
    <w:div w:id="1472677232">
      <w:bodyDiv w:val="1"/>
      <w:marLeft w:val="0"/>
      <w:marRight w:val="0"/>
      <w:marTop w:val="0"/>
      <w:marBottom w:val="0"/>
      <w:divBdr>
        <w:top w:val="none" w:sz="0" w:space="0" w:color="auto"/>
        <w:left w:val="none" w:sz="0" w:space="0" w:color="auto"/>
        <w:bottom w:val="none" w:sz="0" w:space="0" w:color="auto"/>
        <w:right w:val="none" w:sz="0" w:space="0" w:color="auto"/>
      </w:divBdr>
    </w:div>
    <w:div w:id="1492528430">
      <w:bodyDiv w:val="1"/>
      <w:marLeft w:val="0"/>
      <w:marRight w:val="0"/>
      <w:marTop w:val="0"/>
      <w:marBottom w:val="0"/>
      <w:divBdr>
        <w:top w:val="none" w:sz="0" w:space="0" w:color="auto"/>
        <w:left w:val="none" w:sz="0" w:space="0" w:color="auto"/>
        <w:bottom w:val="none" w:sz="0" w:space="0" w:color="auto"/>
        <w:right w:val="none" w:sz="0" w:space="0" w:color="auto"/>
      </w:divBdr>
    </w:div>
    <w:div w:id="1562330129">
      <w:bodyDiv w:val="1"/>
      <w:marLeft w:val="0"/>
      <w:marRight w:val="0"/>
      <w:marTop w:val="0"/>
      <w:marBottom w:val="0"/>
      <w:divBdr>
        <w:top w:val="none" w:sz="0" w:space="0" w:color="auto"/>
        <w:left w:val="none" w:sz="0" w:space="0" w:color="auto"/>
        <w:bottom w:val="none" w:sz="0" w:space="0" w:color="auto"/>
        <w:right w:val="none" w:sz="0" w:space="0" w:color="auto"/>
      </w:divBdr>
    </w:div>
    <w:div w:id="1588999016">
      <w:bodyDiv w:val="1"/>
      <w:marLeft w:val="0"/>
      <w:marRight w:val="0"/>
      <w:marTop w:val="0"/>
      <w:marBottom w:val="0"/>
      <w:divBdr>
        <w:top w:val="none" w:sz="0" w:space="0" w:color="auto"/>
        <w:left w:val="none" w:sz="0" w:space="0" w:color="auto"/>
        <w:bottom w:val="none" w:sz="0" w:space="0" w:color="auto"/>
        <w:right w:val="none" w:sz="0" w:space="0" w:color="auto"/>
      </w:divBdr>
    </w:div>
    <w:div w:id="1594125386">
      <w:bodyDiv w:val="1"/>
      <w:marLeft w:val="0"/>
      <w:marRight w:val="0"/>
      <w:marTop w:val="0"/>
      <w:marBottom w:val="0"/>
      <w:divBdr>
        <w:top w:val="none" w:sz="0" w:space="0" w:color="auto"/>
        <w:left w:val="none" w:sz="0" w:space="0" w:color="auto"/>
        <w:bottom w:val="none" w:sz="0" w:space="0" w:color="auto"/>
        <w:right w:val="none" w:sz="0" w:space="0" w:color="auto"/>
      </w:divBdr>
    </w:div>
    <w:div w:id="1622765518">
      <w:bodyDiv w:val="1"/>
      <w:marLeft w:val="0"/>
      <w:marRight w:val="0"/>
      <w:marTop w:val="0"/>
      <w:marBottom w:val="0"/>
      <w:divBdr>
        <w:top w:val="none" w:sz="0" w:space="0" w:color="auto"/>
        <w:left w:val="none" w:sz="0" w:space="0" w:color="auto"/>
        <w:bottom w:val="none" w:sz="0" w:space="0" w:color="auto"/>
        <w:right w:val="none" w:sz="0" w:space="0" w:color="auto"/>
      </w:divBdr>
    </w:div>
    <w:div w:id="1642224349">
      <w:bodyDiv w:val="1"/>
      <w:marLeft w:val="0"/>
      <w:marRight w:val="0"/>
      <w:marTop w:val="0"/>
      <w:marBottom w:val="0"/>
      <w:divBdr>
        <w:top w:val="none" w:sz="0" w:space="0" w:color="auto"/>
        <w:left w:val="none" w:sz="0" w:space="0" w:color="auto"/>
        <w:bottom w:val="none" w:sz="0" w:space="0" w:color="auto"/>
        <w:right w:val="none" w:sz="0" w:space="0" w:color="auto"/>
      </w:divBdr>
    </w:div>
    <w:div w:id="1651713965">
      <w:bodyDiv w:val="1"/>
      <w:marLeft w:val="0"/>
      <w:marRight w:val="0"/>
      <w:marTop w:val="0"/>
      <w:marBottom w:val="0"/>
      <w:divBdr>
        <w:top w:val="none" w:sz="0" w:space="0" w:color="auto"/>
        <w:left w:val="none" w:sz="0" w:space="0" w:color="auto"/>
        <w:bottom w:val="none" w:sz="0" w:space="0" w:color="auto"/>
        <w:right w:val="none" w:sz="0" w:space="0" w:color="auto"/>
      </w:divBdr>
    </w:div>
    <w:div w:id="1713191367">
      <w:bodyDiv w:val="1"/>
      <w:marLeft w:val="0"/>
      <w:marRight w:val="0"/>
      <w:marTop w:val="0"/>
      <w:marBottom w:val="0"/>
      <w:divBdr>
        <w:top w:val="none" w:sz="0" w:space="0" w:color="auto"/>
        <w:left w:val="none" w:sz="0" w:space="0" w:color="auto"/>
        <w:bottom w:val="none" w:sz="0" w:space="0" w:color="auto"/>
        <w:right w:val="none" w:sz="0" w:space="0" w:color="auto"/>
      </w:divBdr>
    </w:div>
    <w:div w:id="1722561136">
      <w:bodyDiv w:val="1"/>
      <w:marLeft w:val="0"/>
      <w:marRight w:val="0"/>
      <w:marTop w:val="0"/>
      <w:marBottom w:val="0"/>
      <w:divBdr>
        <w:top w:val="none" w:sz="0" w:space="0" w:color="auto"/>
        <w:left w:val="none" w:sz="0" w:space="0" w:color="auto"/>
        <w:bottom w:val="none" w:sz="0" w:space="0" w:color="auto"/>
        <w:right w:val="none" w:sz="0" w:space="0" w:color="auto"/>
      </w:divBdr>
    </w:div>
    <w:div w:id="1727214764">
      <w:bodyDiv w:val="1"/>
      <w:marLeft w:val="0"/>
      <w:marRight w:val="0"/>
      <w:marTop w:val="0"/>
      <w:marBottom w:val="0"/>
      <w:divBdr>
        <w:top w:val="none" w:sz="0" w:space="0" w:color="auto"/>
        <w:left w:val="none" w:sz="0" w:space="0" w:color="auto"/>
        <w:bottom w:val="none" w:sz="0" w:space="0" w:color="auto"/>
        <w:right w:val="none" w:sz="0" w:space="0" w:color="auto"/>
      </w:divBdr>
    </w:div>
    <w:div w:id="1747336016">
      <w:bodyDiv w:val="1"/>
      <w:marLeft w:val="0"/>
      <w:marRight w:val="0"/>
      <w:marTop w:val="0"/>
      <w:marBottom w:val="0"/>
      <w:divBdr>
        <w:top w:val="none" w:sz="0" w:space="0" w:color="auto"/>
        <w:left w:val="none" w:sz="0" w:space="0" w:color="auto"/>
        <w:bottom w:val="none" w:sz="0" w:space="0" w:color="auto"/>
        <w:right w:val="none" w:sz="0" w:space="0" w:color="auto"/>
      </w:divBdr>
    </w:div>
    <w:div w:id="1769234415">
      <w:bodyDiv w:val="1"/>
      <w:marLeft w:val="0"/>
      <w:marRight w:val="0"/>
      <w:marTop w:val="0"/>
      <w:marBottom w:val="0"/>
      <w:divBdr>
        <w:top w:val="none" w:sz="0" w:space="0" w:color="auto"/>
        <w:left w:val="none" w:sz="0" w:space="0" w:color="auto"/>
        <w:bottom w:val="none" w:sz="0" w:space="0" w:color="auto"/>
        <w:right w:val="none" w:sz="0" w:space="0" w:color="auto"/>
      </w:divBdr>
    </w:div>
    <w:div w:id="1803888893">
      <w:bodyDiv w:val="1"/>
      <w:marLeft w:val="0"/>
      <w:marRight w:val="0"/>
      <w:marTop w:val="0"/>
      <w:marBottom w:val="0"/>
      <w:divBdr>
        <w:top w:val="none" w:sz="0" w:space="0" w:color="auto"/>
        <w:left w:val="none" w:sz="0" w:space="0" w:color="auto"/>
        <w:bottom w:val="none" w:sz="0" w:space="0" w:color="auto"/>
        <w:right w:val="none" w:sz="0" w:space="0" w:color="auto"/>
      </w:divBdr>
    </w:div>
    <w:div w:id="1813281066">
      <w:bodyDiv w:val="1"/>
      <w:marLeft w:val="0"/>
      <w:marRight w:val="0"/>
      <w:marTop w:val="0"/>
      <w:marBottom w:val="0"/>
      <w:divBdr>
        <w:top w:val="none" w:sz="0" w:space="0" w:color="auto"/>
        <w:left w:val="none" w:sz="0" w:space="0" w:color="auto"/>
        <w:bottom w:val="none" w:sz="0" w:space="0" w:color="auto"/>
        <w:right w:val="none" w:sz="0" w:space="0" w:color="auto"/>
      </w:divBdr>
    </w:div>
    <w:div w:id="1847598243">
      <w:bodyDiv w:val="1"/>
      <w:marLeft w:val="0"/>
      <w:marRight w:val="0"/>
      <w:marTop w:val="0"/>
      <w:marBottom w:val="0"/>
      <w:divBdr>
        <w:top w:val="none" w:sz="0" w:space="0" w:color="auto"/>
        <w:left w:val="none" w:sz="0" w:space="0" w:color="auto"/>
        <w:bottom w:val="none" w:sz="0" w:space="0" w:color="auto"/>
        <w:right w:val="none" w:sz="0" w:space="0" w:color="auto"/>
      </w:divBdr>
    </w:div>
    <w:div w:id="1871187990">
      <w:bodyDiv w:val="1"/>
      <w:marLeft w:val="0"/>
      <w:marRight w:val="0"/>
      <w:marTop w:val="0"/>
      <w:marBottom w:val="0"/>
      <w:divBdr>
        <w:top w:val="none" w:sz="0" w:space="0" w:color="auto"/>
        <w:left w:val="none" w:sz="0" w:space="0" w:color="auto"/>
        <w:bottom w:val="none" w:sz="0" w:space="0" w:color="auto"/>
        <w:right w:val="none" w:sz="0" w:space="0" w:color="auto"/>
      </w:divBdr>
    </w:div>
    <w:div w:id="1877500159">
      <w:bodyDiv w:val="1"/>
      <w:marLeft w:val="0"/>
      <w:marRight w:val="0"/>
      <w:marTop w:val="0"/>
      <w:marBottom w:val="0"/>
      <w:divBdr>
        <w:top w:val="none" w:sz="0" w:space="0" w:color="auto"/>
        <w:left w:val="none" w:sz="0" w:space="0" w:color="auto"/>
        <w:bottom w:val="none" w:sz="0" w:space="0" w:color="auto"/>
        <w:right w:val="none" w:sz="0" w:space="0" w:color="auto"/>
      </w:divBdr>
    </w:div>
    <w:div w:id="1909680960">
      <w:bodyDiv w:val="1"/>
      <w:marLeft w:val="0"/>
      <w:marRight w:val="0"/>
      <w:marTop w:val="0"/>
      <w:marBottom w:val="0"/>
      <w:divBdr>
        <w:top w:val="none" w:sz="0" w:space="0" w:color="auto"/>
        <w:left w:val="none" w:sz="0" w:space="0" w:color="auto"/>
        <w:bottom w:val="none" w:sz="0" w:space="0" w:color="auto"/>
        <w:right w:val="none" w:sz="0" w:space="0" w:color="auto"/>
      </w:divBdr>
    </w:div>
    <w:div w:id="1915773361">
      <w:bodyDiv w:val="1"/>
      <w:marLeft w:val="0"/>
      <w:marRight w:val="0"/>
      <w:marTop w:val="0"/>
      <w:marBottom w:val="0"/>
      <w:divBdr>
        <w:top w:val="none" w:sz="0" w:space="0" w:color="auto"/>
        <w:left w:val="none" w:sz="0" w:space="0" w:color="auto"/>
        <w:bottom w:val="none" w:sz="0" w:space="0" w:color="auto"/>
        <w:right w:val="none" w:sz="0" w:space="0" w:color="auto"/>
      </w:divBdr>
    </w:div>
    <w:div w:id="1946184427">
      <w:bodyDiv w:val="1"/>
      <w:marLeft w:val="0"/>
      <w:marRight w:val="0"/>
      <w:marTop w:val="0"/>
      <w:marBottom w:val="0"/>
      <w:divBdr>
        <w:top w:val="none" w:sz="0" w:space="0" w:color="auto"/>
        <w:left w:val="none" w:sz="0" w:space="0" w:color="auto"/>
        <w:bottom w:val="none" w:sz="0" w:space="0" w:color="auto"/>
        <w:right w:val="none" w:sz="0" w:space="0" w:color="auto"/>
      </w:divBdr>
    </w:div>
    <w:div w:id="1951080681">
      <w:bodyDiv w:val="1"/>
      <w:marLeft w:val="0"/>
      <w:marRight w:val="0"/>
      <w:marTop w:val="0"/>
      <w:marBottom w:val="0"/>
      <w:divBdr>
        <w:top w:val="none" w:sz="0" w:space="0" w:color="auto"/>
        <w:left w:val="none" w:sz="0" w:space="0" w:color="auto"/>
        <w:bottom w:val="none" w:sz="0" w:space="0" w:color="auto"/>
        <w:right w:val="none" w:sz="0" w:space="0" w:color="auto"/>
      </w:divBdr>
    </w:div>
    <w:div w:id="1980069372">
      <w:bodyDiv w:val="1"/>
      <w:marLeft w:val="0"/>
      <w:marRight w:val="0"/>
      <w:marTop w:val="0"/>
      <w:marBottom w:val="0"/>
      <w:divBdr>
        <w:top w:val="none" w:sz="0" w:space="0" w:color="auto"/>
        <w:left w:val="none" w:sz="0" w:space="0" w:color="auto"/>
        <w:bottom w:val="none" w:sz="0" w:space="0" w:color="auto"/>
        <w:right w:val="none" w:sz="0" w:space="0" w:color="auto"/>
      </w:divBdr>
    </w:div>
    <w:div w:id="1984654294">
      <w:bodyDiv w:val="1"/>
      <w:marLeft w:val="0"/>
      <w:marRight w:val="0"/>
      <w:marTop w:val="0"/>
      <w:marBottom w:val="0"/>
      <w:divBdr>
        <w:top w:val="none" w:sz="0" w:space="0" w:color="auto"/>
        <w:left w:val="none" w:sz="0" w:space="0" w:color="auto"/>
        <w:bottom w:val="none" w:sz="0" w:space="0" w:color="auto"/>
        <w:right w:val="none" w:sz="0" w:space="0" w:color="auto"/>
      </w:divBdr>
    </w:div>
    <w:div w:id="1994602072">
      <w:bodyDiv w:val="1"/>
      <w:marLeft w:val="0"/>
      <w:marRight w:val="0"/>
      <w:marTop w:val="0"/>
      <w:marBottom w:val="0"/>
      <w:divBdr>
        <w:top w:val="none" w:sz="0" w:space="0" w:color="auto"/>
        <w:left w:val="none" w:sz="0" w:space="0" w:color="auto"/>
        <w:bottom w:val="none" w:sz="0" w:space="0" w:color="auto"/>
        <w:right w:val="none" w:sz="0" w:space="0" w:color="auto"/>
      </w:divBdr>
    </w:div>
    <w:div w:id="2007199257">
      <w:bodyDiv w:val="1"/>
      <w:marLeft w:val="0"/>
      <w:marRight w:val="0"/>
      <w:marTop w:val="0"/>
      <w:marBottom w:val="0"/>
      <w:divBdr>
        <w:top w:val="none" w:sz="0" w:space="0" w:color="auto"/>
        <w:left w:val="none" w:sz="0" w:space="0" w:color="auto"/>
        <w:bottom w:val="none" w:sz="0" w:space="0" w:color="auto"/>
        <w:right w:val="none" w:sz="0" w:space="0" w:color="auto"/>
      </w:divBdr>
    </w:div>
    <w:div w:id="2015111752">
      <w:bodyDiv w:val="1"/>
      <w:marLeft w:val="0"/>
      <w:marRight w:val="0"/>
      <w:marTop w:val="0"/>
      <w:marBottom w:val="0"/>
      <w:divBdr>
        <w:top w:val="none" w:sz="0" w:space="0" w:color="auto"/>
        <w:left w:val="none" w:sz="0" w:space="0" w:color="auto"/>
        <w:bottom w:val="none" w:sz="0" w:space="0" w:color="auto"/>
        <w:right w:val="none" w:sz="0" w:space="0" w:color="auto"/>
      </w:divBdr>
    </w:div>
    <w:div w:id="2028214646">
      <w:bodyDiv w:val="1"/>
      <w:marLeft w:val="0"/>
      <w:marRight w:val="0"/>
      <w:marTop w:val="0"/>
      <w:marBottom w:val="0"/>
      <w:divBdr>
        <w:top w:val="none" w:sz="0" w:space="0" w:color="auto"/>
        <w:left w:val="none" w:sz="0" w:space="0" w:color="auto"/>
        <w:bottom w:val="none" w:sz="0" w:space="0" w:color="auto"/>
        <w:right w:val="none" w:sz="0" w:space="0" w:color="auto"/>
      </w:divBdr>
    </w:div>
    <w:div w:id="2034332631">
      <w:bodyDiv w:val="1"/>
      <w:marLeft w:val="0"/>
      <w:marRight w:val="0"/>
      <w:marTop w:val="0"/>
      <w:marBottom w:val="0"/>
      <w:divBdr>
        <w:top w:val="none" w:sz="0" w:space="0" w:color="auto"/>
        <w:left w:val="none" w:sz="0" w:space="0" w:color="auto"/>
        <w:bottom w:val="none" w:sz="0" w:space="0" w:color="auto"/>
        <w:right w:val="none" w:sz="0" w:space="0" w:color="auto"/>
      </w:divBdr>
    </w:div>
    <w:div w:id="2093548792">
      <w:bodyDiv w:val="1"/>
      <w:marLeft w:val="0"/>
      <w:marRight w:val="0"/>
      <w:marTop w:val="0"/>
      <w:marBottom w:val="0"/>
      <w:divBdr>
        <w:top w:val="none" w:sz="0" w:space="0" w:color="auto"/>
        <w:left w:val="none" w:sz="0" w:space="0" w:color="auto"/>
        <w:bottom w:val="none" w:sz="0" w:space="0" w:color="auto"/>
        <w:right w:val="none" w:sz="0" w:space="0" w:color="auto"/>
      </w:divBdr>
    </w:div>
    <w:div w:id="2140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A107-EEB6-476F-98F4-4448896B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9390</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2016-10-10T23:07:00Z</dcterms:created>
  <dcterms:modified xsi:type="dcterms:W3CDTF">2016-11-21T03:27:00Z</dcterms:modified>
</cp:coreProperties>
</file>