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F67" w:rsidRPr="00655231" w:rsidRDefault="00090F67" w:rsidP="00655231">
      <w:pPr>
        <w:pStyle w:val="Title"/>
        <w:spacing w:before="120" w:after="160"/>
        <w:ind w:left="720" w:hanging="720"/>
        <w:rPr>
          <w:rFonts w:asciiTheme="minorHAnsi" w:hAnsiTheme="minorHAnsi"/>
          <w:sz w:val="36"/>
          <w:szCs w:val="36"/>
        </w:rPr>
      </w:pPr>
      <w:r>
        <w:rPr>
          <w:rFonts w:asciiTheme="minorHAnsi" w:hAnsiTheme="minorHAnsi"/>
          <w:sz w:val="36"/>
          <w:szCs w:val="36"/>
        </w:rPr>
        <w:t>4.07</w:t>
      </w:r>
      <w:r w:rsidR="007C0F57" w:rsidRPr="002B5596">
        <w:rPr>
          <w:rFonts w:asciiTheme="minorHAnsi" w:hAnsiTheme="minorHAnsi"/>
          <w:sz w:val="36"/>
          <w:szCs w:val="36"/>
        </w:rPr>
        <w:tab/>
      </w:r>
      <w:r>
        <w:rPr>
          <w:rFonts w:asciiTheme="minorHAnsi" w:hAnsiTheme="minorHAnsi"/>
          <w:sz w:val="36"/>
          <w:szCs w:val="36"/>
        </w:rPr>
        <w:t>PEM</w:t>
      </w:r>
      <w:r w:rsidR="00BC3676">
        <w:rPr>
          <w:rFonts w:asciiTheme="minorHAnsi" w:hAnsiTheme="minorHAnsi"/>
          <w:sz w:val="36"/>
          <w:szCs w:val="36"/>
        </w:rPr>
        <w:t>B</w:t>
      </w:r>
      <w:r>
        <w:rPr>
          <w:rFonts w:asciiTheme="minorHAnsi" w:hAnsiTheme="minorHAnsi"/>
          <w:sz w:val="36"/>
          <w:szCs w:val="36"/>
        </w:rPr>
        <w:t>ROLIZUMAB</w:t>
      </w:r>
      <w:r w:rsidR="008A50F1" w:rsidRPr="002B5596">
        <w:rPr>
          <w:rFonts w:asciiTheme="minorHAnsi" w:hAnsiTheme="minorHAnsi"/>
          <w:sz w:val="36"/>
          <w:szCs w:val="36"/>
        </w:rPr>
        <w:t xml:space="preserve"> </w:t>
      </w:r>
      <w:r w:rsidR="008A50F1" w:rsidRPr="002B5596">
        <w:rPr>
          <w:rFonts w:asciiTheme="minorHAnsi" w:hAnsiTheme="minorHAnsi"/>
          <w:sz w:val="36"/>
          <w:szCs w:val="36"/>
        </w:rPr>
        <w:br/>
      </w:r>
      <w:r w:rsidRPr="00090F67">
        <w:rPr>
          <w:rFonts w:asciiTheme="minorHAnsi" w:hAnsiTheme="minorHAnsi"/>
          <w:sz w:val="36"/>
          <w:szCs w:val="36"/>
        </w:rPr>
        <w:t>Powder for injection 50 mg</w:t>
      </w:r>
      <w:r>
        <w:rPr>
          <w:rFonts w:asciiTheme="minorHAnsi" w:hAnsiTheme="minorHAnsi"/>
          <w:sz w:val="36"/>
          <w:szCs w:val="36"/>
        </w:rPr>
        <w:t>, s</w:t>
      </w:r>
      <w:r w:rsidRPr="00090F67">
        <w:rPr>
          <w:rFonts w:asciiTheme="minorHAnsi" w:hAnsiTheme="minorHAnsi"/>
          <w:sz w:val="36"/>
          <w:szCs w:val="36"/>
        </w:rPr>
        <w:t>olution concentrate for I.V. infusion 100 mg in 4 mL,</w:t>
      </w:r>
      <w:r w:rsidR="00655231">
        <w:rPr>
          <w:rFonts w:asciiTheme="minorHAnsi" w:hAnsiTheme="minorHAnsi"/>
          <w:sz w:val="36"/>
          <w:szCs w:val="36"/>
        </w:rPr>
        <w:br/>
      </w:r>
      <w:r w:rsidRPr="00090F67">
        <w:rPr>
          <w:rFonts w:asciiTheme="minorHAnsi" w:hAnsiTheme="minorHAnsi"/>
          <w:sz w:val="36"/>
          <w:szCs w:val="36"/>
        </w:rPr>
        <w:t>Keytruda</w:t>
      </w:r>
      <w:r w:rsidRPr="003C083B">
        <w:rPr>
          <w:rFonts w:asciiTheme="minorHAnsi" w:hAnsiTheme="minorHAnsi"/>
          <w:sz w:val="36"/>
          <w:szCs w:val="36"/>
        </w:rPr>
        <w:t>®</w:t>
      </w:r>
      <w:r w:rsidRPr="00090F67">
        <w:rPr>
          <w:rFonts w:asciiTheme="minorHAnsi" w:hAnsiTheme="minorHAnsi"/>
          <w:sz w:val="36"/>
          <w:szCs w:val="36"/>
        </w:rPr>
        <w:t>,</w:t>
      </w:r>
      <w:r>
        <w:rPr>
          <w:rFonts w:asciiTheme="minorHAnsi" w:hAnsiTheme="minorHAnsi"/>
          <w:sz w:val="36"/>
          <w:szCs w:val="36"/>
        </w:rPr>
        <w:t xml:space="preserve"> </w:t>
      </w:r>
      <w:r w:rsidRPr="00090F67">
        <w:rPr>
          <w:rFonts w:asciiTheme="minorHAnsi" w:hAnsiTheme="minorHAnsi"/>
          <w:sz w:val="36"/>
          <w:szCs w:val="36"/>
        </w:rPr>
        <w:t>Merck Sharp &amp; Dohme (Australia) Pty Ltd</w:t>
      </w:r>
    </w:p>
    <w:p w:rsidR="008A50F1" w:rsidRPr="00D4572C" w:rsidRDefault="00CE10C4" w:rsidP="00EB0B63">
      <w:pPr>
        <w:pStyle w:val="PBACHeading1"/>
        <w:spacing w:before="240" w:after="120"/>
        <w:ind w:left="709" w:hanging="709"/>
        <w:rPr>
          <w:rFonts w:asciiTheme="minorHAnsi" w:hAnsiTheme="minorHAnsi"/>
          <w:sz w:val="32"/>
          <w:szCs w:val="32"/>
        </w:rPr>
      </w:pPr>
      <w:r w:rsidRPr="002B5596">
        <w:rPr>
          <w:rFonts w:asciiTheme="minorHAnsi" w:hAnsiTheme="minorHAnsi"/>
          <w:sz w:val="32"/>
          <w:szCs w:val="32"/>
        </w:rPr>
        <w:t xml:space="preserve">Purpose of </w:t>
      </w:r>
      <w:r w:rsidR="0004240E" w:rsidRPr="002B5596">
        <w:rPr>
          <w:rFonts w:asciiTheme="minorHAnsi" w:hAnsiTheme="minorHAnsi"/>
          <w:sz w:val="32"/>
          <w:szCs w:val="32"/>
        </w:rPr>
        <w:t>Application</w:t>
      </w:r>
    </w:p>
    <w:p w:rsidR="00EF44A0" w:rsidRPr="005D3576" w:rsidRDefault="00E01B3E" w:rsidP="00EB0B63">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5D3576">
        <w:rPr>
          <w:rFonts w:asciiTheme="minorHAnsi" w:eastAsiaTheme="minorHAnsi" w:hAnsiTheme="minorHAnsi" w:cstheme="minorBidi"/>
          <w:snapToGrid/>
          <w:sz w:val="24"/>
          <w:szCs w:val="22"/>
        </w:rPr>
        <w:t xml:space="preserve">The minor </w:t>
      </w:r>
      <w:r w:rsidRPr="005D3576">
        <w:rPr>
          <w:rFonts w:asciiTheme="minorHAnsi" w:hAnsiTheme="minorHAnsi"/>
          <w:sz w:val="24"/>
          <w:szCs w:val="24"/>
        </w:rPr>
        <w:t>resubmission requested a Section 100 (Efficient Funding of Chemotherapy) (S100 EFC) Authority Required (Streamlined) listing of pembrolizumab for the first-line treatment of patients with metastatic (Stage IV) non-small cell lung cancer (NSCLC), whose tumours do not have an activating epidermal growth factor receptor (EGFR) gene mutation or an anaplastic lymphoma kinase (ALK) gene rearrangement in tumour material, and whose tumours express high levels of programmed cell death ligand 1 (PD-L1), defined as a tumour proportion score (TPS) of ≥50%.</w:t>
      </w:r>
    </w:p>
    <w:p w:rsidR="00E01B3E" w:rsidRPr="005D3576" w:rsidRDefault="00E01B3E" w:rsidP="00E01B3E">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5D3576">
        <w:rPr>
          <w:rFonts w:asciiTheme="minorHAnsi" w:eastAsiaTheme="minorHAnsi" w:hAnsiTheme="minorHAnsi" w:cstheme="minorBidi"/>
          <w:snapToGrid/>
          <w:sz w:val="24"/>
          <w:szCs w:val="22"/>
        </w:rPr>
        <w:t>The minor resubmission stated that the Medical Services Advisory Committee (MSAC) ha</w:t>
      </w:r>
      <w:r w:rsidR="00B021F1" w:rsidRPr="005D3576">
        <w:rPr>
          <w:rFonts w:asciiTheme="minorHAnsi" w:eastAsiaTheme="minorHAnsi" w:hAnsiTheme="minorHAnsi" w:cstheme="minorBidi"/>
          <w:snapToGrid/>
          <w:sz w:val="24"/>
          <w:szCs w:val="22"/>
        </w:rPr>
        <w:t>s</w:t>
      </w:r>
      <w:r w:rsidRPr="005D3576">
        <w:rPr>
          <w:rFonts w:asciiTheme="minorHAnsi" w:eastAsiaTheme="minorHAnsi" w:hAnsiTheme="minorHAnsi" w:cstheme="minorBidi"/>
          <w:snapToGrid/>
          <w:sz w:val="24"/>
          <w:szCs w:val="22"/>
        </w:rPr>
        <w:t xml:space="preserve"> endorsed use of PD-L1 testing for eligibility to pembrolizumab and that </w:t>
      </w:r>
      <w:r w:rsidR="00B021F1" w:rsidRPr="005D3576">
        <w:rPr>
          <w:rFonts w:asciiTheme="minorHAnsi" w:eastAsiaTheme="minorHAnsi" w:hAnsiTheme="minorHAnsi" w:cstheme="minorBidi"/>
          <w:snapToGrid/>
          <w:sz w:val="24"/>
          <w:szCs w:val="22"/>
        </w:rPr>
        <w:t>its</w:t>
      </w:r>
      <w:r w:rsidRPr="005D3576">
        <w:rPr>
          <w:rFonts w:asciiTheme="minorHAnsi" w:eastAsiaTheme="minorHAnsi" w:hAnsiTheme="minorHAnsi" w:cstheme="minorBidi"/>
          <w:snapToGrid/>
          <w:sz w:val="24"/>
          <w:szCs w:val="22"/>
        </w:rPr>
        <w:t xml:space="preserve"> final ratification is expected following a positive PBAC recommendation.</w:t>
      </w:r>
    </w:p>
    <w:p w:rsidR="006A12A5" w:rsidRPr="00577C4D" w:rsidRDefault="006A12A5" w:rsidP="00EB0B63">
      <w:pPr>
        <w:pStyle w:val="PBACHeading1"/>
        <w:spacing w:before="240" w:after="120"/>
        <w:ind w:left="709" w:hanging="709"/>
        <w:rPr>
          <w:rFonts w:asciiTheme="minorHAnsi" w:hAnsiTheme="minorHAnsi"/>
          <w:sz w:val="32"/>
          <w:szCs w:val="32"/>
        </w:rPr>
      </w:pPr>
      <w:r w:rsidRPr="002B5596">
        <w:rPr>
          <w:rFonts w:asciiTheme="minorHAnsi" w:hAnsiTheme="minorHAnsi"/>
          <w:sz w:val="32"/>
          <w:szCs w:val="32"/>
        </w:rPr>
        <w:t>Requested listing</w:t>
      </w:r>
    </w:p>
    <w:p w:rsidR="00E01B3E" w:rsidRPr="005D3576" w:rsidRDefault="00E01B3E" w:rsidP="00E01B3E">
      <w:pPr>
        <w:pStyle w:val="ListParagraph"/>
        <w:numPr>
          <w:ilvl w:val="1"/>
          <w:numId w:val="14"/>
        </w:numPr>
        <w:rPr>
          <w:rFonts w:asciiTheme="minorHAnsi" w:eastAsiaTheme="minorHAnsi" w:hAnsiTheme="minorHAnsi" w:cstheme="minorBidi"/>
          <w:snapToGrid/>
          <w:sz w:val="24"/>
          <w:szCs w:val="22"/>
        </w:rPr>
      </w:pPr>
      <w:r w:rsidRPr="005D3576">
        <w:rPr>
          <w:rFonts w:asciiTheme="minorHAnsi" w:eastAsiaTheme="minorHAnsi" w:hAnsiTheme="minorHAnsi" w:cstheme="minorBidi"/>
          <w:snapToGrid/>
          <w:sz w:val="24"/>
          <w:szCs w:val="22"/>
        </w:rPr>
        <w:t xml:space="preserve">The requested PBS listings are shown below. The </w:t>
      </w:r>
      <w:r w:rsidR="00657B1D" w:rsidRPr="005D3576">
        <w:rPr>
          <w:rFonts w:asciiTheme="minorHAnsi" w:eastAsiaTheme="minorHAnsi" w:hAnsiTheme="minorHAnsi" w:cstheme="minorBidi"/>
          <w:snapToGrid/>
          <w:sz w:val="24"/>
          <w:szCs w:val="22"/>
        </w:rPr>
        <w:t xml:space="preserve">minor </w:t>
      </w:r>
      <w:r w:rsidRPr="005D3576">
        <w:rPr>
          <w:rFonts w:asciiTheme="minorHAnsi" w:eastAsiaTheme="minorHAnsi" w:hAnsiTheme="minorHAnsi" w:cstheme="minorBidi"/>
          <w:snapToGrid/>
          <w:sz w:val="24"/>
          <w:szCs w:val="22"/>
        </w:rPr>
        <w:t>resubmission requested a Special Pricing Arrangement (SPA).</w:t>
      </w:r>
      <w:r w:rsidR="001B572F" w:rsidRPr="005D3576">
        <w:rPr>
          <w:rFonts w:asciiTheme="minorHAnsi" w:eastAsiaTheme="minorHAnsi" w:hAnsiTheme="minorHAnsi" w:cstheme="minorBidi"/>
          <w:snapToGrid/>
          <w:sz w:val="24"/>
          <w:szCs w:val="22"/>
        </w:rPr>
        <w:t xml:space="preserve"> Suggestions and additions proposed by the Secretariat to the requested listing are added in italics and suggested deletions are crossed out with strikethrough.</w:t>
      </w:r>
    </w:p>
    <w:p w:rsidR="00E01B3E" w:rsidRPr="00E01B3E" w:rsidRDefault="00E01B3E" w:rsidP="00E01B3E">
      <w:pPr>
        <w:keepNext/>
        <w:spacing w:before="120" w:after="160"/>
        <w:jc w:val="both"/>
        <w:rPr>
          <w:rFonts w:asciiTheme="minorHAnsi" w:eastAsiaTheme="minorHAnsi" w:hAnsiTheme="minorHAnsi" w:cstheme="minorBidi"/>
          <w:b/>
          <w:szCs w:val="22"/>
          <w:lang w:eastAsia="en-US"/>
        </w:rPr>
      </w:pPr>
      <w:r w:rsidRPr="00E01B3E">
        <w:rPr>
          <w:rFonts w:asciiTheme="minorHAnsi" w:eastAsiaTheme="minorHAnsi" w:hAnsiTheme="minorHAnsi" w:cstheme="minorBidi"/>
          <w:b/>
          <w:szCs w:val="22"/>
          <w:lang w:eastAsia="en-US"/>
        </w:rPr>
        <w:t>Proposed PBS Listing</w:t>
      </w:r>
    </w:p>
    <w:tbl>
      <w:tblPr>
        <w:tblW w:w="5000" w:type="pct"/>
        <w:tblLook w:val="0000" w:firstRow="0" w:lastRow="0" w:firstColumn="0" w:lastColumn="0" w:noHBand="0" w:noVBand="0"/>
      </w:tblPr>
      <w:tblGrid>
        <w:gridCol w:w="2375"/>
        <w:gridCol w:w="490"/>
        <w:gridCol w:w="850"/>
        <w:gridCol w:w="1336"/>
        <w:gridCol w:w="1871"/>
        <w:gridCol w:w="1065"/>
        <w:gridCol w:w="1255"/>
      </w:tblGrid>
      <w:tr w:rsidR="00E01B3E" w:rsidRPr="003B140D" w:rsidTr="00E01B3E">
        <w:trPr>
          <w:cantSplit/>
          <w:trHeight w:val="471"/>
        </w:trPr>
        <w:tc>
          <w:tcPr>
            <w:tcW w:w="1550" w:type="pct"/>
            <w:gridSpan w:val="2"/>
            <w:tcBorders>
              <w:bottom w:val="single" w:sz="4" w:space="0" w:color="auto"/>
            </w:tcBorders>
          </w:tcPr>
          <w:p w:rsidR="00E01B3E" w:rsidRPr="00E17531" w:rsidRDefault="00E01B3E" w:rsidP="00E01B3E">
            <w:pPr>
              <w:keepNext/>
              <w:spacing w:before="40" w:after="40"/>
              <w:rPr>
                <w:rFonts w:ascii="Arial Narrow" w:hAnsi="Arial Narrow"/>
                <w:sz w:val="20"/>
                <w:szCs w:val="20"/>
              </w:rPr>
            </w:pPr>
            <w:r w:rsidRPr="00E17531">
              <w:rPr>
                <w:rFonts w:ascii="Arial Narrow" w:hAnsi="Arial Narrow"/>
                <w:sz w:val="20"/>
                <w:szCs w:val="20"/>
              </w:rPr>
              <w:t>Name, Restriction,</w:t>
            </w:r>
          </w:p>
          <w:p w:rsidR="00E01B3E" w:rsidRPr="00E17531" w:rsidRDefault="00E01B3E" w:rsidP="00E01B3E">
            <w:pPr>
              <w:keepNext/>
              <w:spacing w:before="40" w:after="40"/>
              <w:rPr>
                <w:rFonts w:ascii="Arial Narrow" w:hAnsi="Arial Narrow"/>
                <w:sz w:val="20"/>
                <w:szCs w:val="20"/>
              </w:rPr>
            </w:pPr>
            <w:r w:rsidRPr="00E17531">
              <w:rPr>
                <w:rFonts w:ascii="Arial Narrow" w:hAnsi="Arial Narrow"/>
                <w:sz w:val="20"/>
                <w:szCs w:val="20"/>
              </w:rPr>
              <w:t>Manner of administration and form</w:t>
            </w:r>
          </w:p>
        </w:tc>
        <w:tc>
          <w:tcPr>
            <w:tcW w:w="460" w:type="pct"/>
            <w:tcBorders>
              <w:bottom w:val="single" w:sz="4" w:space="0" w:color="auto"/>
            </w:tcBorders>
          </w:tcPr>
          <w:p w:rsidR="00E01B3E" w:rsidRPr="00E17531" w:rsidRDefault="00E01B3E" w:rsidP="00E01B3E">
            <w:pPr>
              <w:keepNext/>
              <w:spacing w:before="40" w:after="40"/>
              <w:rPr>
                <w:rFonts w:ascii="Arial Narrow" w:hAnsi="Arial Narrow"/>
                <w:sz w:val="20"/>
                <w:szCs w:val="20"/>
              </w:rPr>
            </w:pPr>
            <w:r w:rsidRPr="00E17531">
              <w:rPr>
                <w:rFonts w:ascii="Arial Narrow" w:hAnsi="Arial Narrow"/>
                <w:sz w:val="20"/>
                <w:szCs w:val="20"/>
              </w:rPr>
              <w:t>Max.</w:t>
            </w:r>
          </w:p>
          <w:p w:rsidR="00E01B3E" w:rsidRPr="00E17531" w:rsidRDefault="00E01B3E" w:rsidP="00E01B3E">
            <w:pPr>
              <w:keepNext/>
              <w:spacing w:before="40" w:after="40"/>
              <w:rPr>
                <w:rFonts w:ascii="Arial Narrow" w:hAnsi="Arial Narrow"/>
                <w:sz w:val="20"/>
                <w:szCs w:val="20"/>
              </w:rPr>
            </w:pPr>
            <w:r w:rsidRPr="00E17531">
              <w:rPr>
                <w:rFonts w:ascii="Arial Narrow" w:hAnsi="Arial Narrow"/>
                <w:sz w:val="20"/>
                <w:szCs w:val="20"/>
              </w:rPr>
              <w:t>Qty</w:t>
            </w:r>
          </w:p>
        </w:tc>
        <w:tc>
          <w:tcPr>
            <w:tcW w:w="723" w:type="pct"/>
            <w:tcBorders>
              <w:bottom w:val="single" w:sz="4" w:space="0" w:color="auto"/>
            </w:tcBorders>
          </w:tcPr>
          <w:p w:rsidR="00E01B3E" w:rsidRPr="003B140D" w:rsidRDefault="00E01B3E" w:rsidP="00E01B3E">
            <w:pPr>
              <w:keepNext/>
              <w:spacing w:before="40" w:after="40"/>
              <w:rPr>
                <w:rFonts w:ascii="Arial Narrow" w:hAnsi="Arial Narrow"/>
                <w:sz w:val="20"/>
                <w:szCs w:val="20"/>
              </w:rPr>
            </w:pPr>
            <w:r w:rsidRPr="003B140D">
              <w:rPr>
                <w:rFonts w:ascii="Arial Narrow" w:hAnsi="Arial Narrow"/>
                <w:sz w:val="20"/>
                <w:szCs w:val="20"/>
              </w:rPr>
              <w:t>№.of</w:t>
            </w:r>
          </w:p>
          <w:p w:rsidR="00E01B3E" w:rsidRPr="003B140D" w:rsidRDefault="00E01B3E" w:rsidP="00E01B3E">
            <w:pPr>
              <w:keepNext/>
              <w:spacing w:before="40" w:after="40"/>
              <w:rPr>
                <w:rFonts w:ascii="Arial Narrow" w:hAnsi="Arial Narrow"/>
                <w:sz w:val="20"/>
                <w:szCs w:val="20"/>
              </w:rPr>
            </w:pPr>
            <w:r w:rsidRPr="003B140D">
              <w:rPr>
                <w:rFonts w:ascii="Arial Narrow" w:hAnsi="Arial Narrow"/>
                <w:sz w:val="20"/>
                <w:szCs w:val="20"/>
              </w:rPr>
              <w:t>Rpts</w:t>
            </w:r>
          </w:p>
        </w:tc>
        <w:tc>
          <w:tcPr>
            <w:tcW w:w="1012" w:type="pct"/>
            <w:tcBorders>
              <w:bottom w:val="single" w:sz="4" w:space="0" w:color="auto"/>
            </w:tcBorders>
          </w:tcPr>
          <w:p w:rsidR="00E01B3E" w:rsidRPr="003B140D" w:rsidRDefault="00E01B3E" w:rsidP="00E01B3E">
            <w:pPr>
              <w:keepNext/>
              <w:spacing w:before="40" w:after="40"/>
              <w:rPr>
                <w:rFonts w:ascii="Arial Narrow" w:hAnsi="Arial Narrow"/>
                <w:sz w:val="20"/>
                <w:szCs w:val="20"/>
                <w:vertAlign w:val="superscript"/>
              </w:rPr>
            </w:pPr>
            <w:r w:rsidRPr="003B140D">
              <w:rPr>
                <w:rFonts w:ascii="Arial Narrow" w:hAnsi="Arial Narrow"/>
                <w:sz w:val="20"/>
                <w:szCs w:val="20"/>
              </w:rPr>
              <w:t>Dispensed Price for Max. Amount</w:t>
            </w:r>
          </w:p>
        </w:tc>
        <w:tc>
          <w:tcPr>
            <w:tcW w:w="1255" w:type="pct"/>
            <w:gridSpan w:val="2"/>
            <w:tcBorders>
              <w:bottom w:val="single" w:sz="4" w:space="0" w:color="auto"/>
            </w:tcBorders>
          </w:tcPr>
          <w:p w:rsidR="00E01B3E" w:rsidRPr="003B140D" w:rsidRDefault="00E01B3E" w:rsidP="00E01B3E">
            <w:pPr>
              <w:keepNext/>
              <w:spacing w:before="40" w:after="40"/>
              <w:rPr>
                <w:rFonts w:ascii="Arial Narrow" w:hAnsi="Arial Narrow"/>
                <w:sz w:val="20"/>
                <w:szCs w:val="20"/>
              </w:rPr>
            </w:pPr>
            <w:r w:rsidRPr="003B140D">
              <w:rPr>
                <w:rFonts w:ascii="Arial Narrow" w:hAnsi="Arial Narrow"/>
                <w:sz w:val="20"/>
                <w:szCs w:val="20"/>
              </w:rPr>
              <w:t>Proprietary Name and Manufacturer</w:t>
            </w:r>
          </w:p>
        </w:tc>
      </w:tr>
      <w:tr w:rsidR="00E01B3E" w:rsidRPr="003B140D" w:rsidTr="00E01B3E">
        <w:trPr>
          <w:cantSplit/>
          <w:trHeight w:val="389"/>
        </w:trPr>
        <w:tc>
          <w:tcPr>
            <w:tcW w:w="1550" w:type="pct"/>
            <w:gridSpan w:val="2"/>
          </w:tcPr>
          <w:p w:rsidR="00E01B3E" w:rsidRPr="00E17531" w:rsidRDefault="00E01B3E" w:rsidP="00E01B3E">
            <w:pPr>
              <w:keepNext/>
              <w:spacing w:before="40" w:after="40"/>
              <w:ind w:right="-57"/>
              <w:rPr>
                <w:rFonts w:ascii="Arial Narrow" w:hAnsi="Arial Narrow"/>
                <w:sz w:val="20"/>
                <w:szCs w:val="20"/>
              </w:rPr>
            </w:pPr>
            <w:r w:rsidRPr="00E17531">
              <w:rPr>
                <w:rFonts w:ascii="Arial Narrow" w:hAnsi="Arial Narrow"/>
                <w:sz w:val="20"/>
                <w:szCs w:val="20"/>
              </w:rPr>
              <w:t>PEMBROLIZUMAB</w:t>
            </w:r>
          </w:p>
          <w:p w:rsidR="00E01B3E" w:rsidRPr="00E17531" w:rsidRDefault="00E01B3E" w:rsidP="00E01B3E">
            <w:pPr>
              <w:keepNext/>
              <w:spacing w:before="40" w:after="40"/>
              <w:ind w:right="-57"/>
              <w:rPr>
                <w:rFonts w:ascii="Arial Narrow" w:hAnsi="Arial Narrow"/>
                <w:sz w:val="20"/>
                <w:szCs w:val="20"/>
              </w:rPr>
            </w:pPr>
            <w:r w:rsidRPr="00E17531">
              <w:rPr>
                <w:rFonts w:ascii="Arial Narrow" w:hAnsi="Arial Narrow"/>
                <w:sz w:val="20"/>
                <w:szCs w:val="20"/>
              </w:rPr>
              <w:t>50 mg injection: powder for, 1 vial</w:t>
            </w:r>
            <w:r w:rsidRPr="00E17531">
              <w:rPr>
                <w:rFonts w:ascii="Arial Narrow" w:hAnsi="Arial Narrow"/>
                <w:sz w:val="20"/>
                <w:szCs w:val="20"/>
                <w:vertAlign w:val="superscript"/>
              </w:rPr>
              <w:t xml:space="preserve"> a</w:t>
            </w:r>
          </w:p>
          <w:p w:rsidR="00E01B3E" w:rsidRPr="00E17531" w:rsidRDefault="00E01B3E" w:rsidP="00E01B3E">
            <w:pPr>
              <w:keepNext/>
              <w:spacing w:before="40" w:after="40"/>
              <w:ind w:right="-57"/>
              <w:rPr>
                <w:rFonts w:ascii="Arial Narrow" w:hAnsi="Arial Narrow"/>
                <w:sz w:val="20"/>
                <w:szCs w:val="20"/>
              </w:rPr>
            </w:pPr>
            <w:r w:rsidRPr="00E17531">
              <w:rPr>
                <w:rFonts w:ascii="Arial Narrow" w:hAnsi="Arial Narrow"/>
                <w:sz w:val="20"/>
                <w:szCs w:val="20"/>
              </w:rPr>
              <w:t>100 mg/4 mL injection, 1 vial</w:t>
            </w:r>
            <w:r w:rsidRPr="00E17531">
              <w:rPr>
                <w:rFonts w:ascii="Arial Narrow" w:hAnsi="Arial Narrow"/>
                <w:sz w:val="20"/>
                <w:szCs w:val="20"/>
                <w:vertAlign w:val="superscript"/>
              </w:rPr>
              <w:t xml:space="preserve"> a</w:t>
            </w:r>
          </w:p>
        </w:tc>
        <w:tc>
          <w:tcPr>
            <w:tcW w:w="460" w:type="pct"/>
          </w:tcPr>
          <w:p w:rsidR="00E01B3E" w:rsidRPr="00E17531" w:rsidRDefault="00E01B3E" w:rsidP="00E01B3E">
            <w:pPr>
              <w:keepNext/>
              <w:spacing w:before="40" w:after="40"/>
              <w:ind w:right="-57"/>
              <w:rPr>
                <w:rFonts w:ascii="Arial Narrow" w:hAnsi="Arial Narrow"/>
                <w:sz w:val="20"/>
                <w:szCs w:val="20"/>
              </w:rPr>
            </w:pPr>
          </w:p>
          <w:p w:rsidR="00E01B3E" w:rsidRPr="00E17531" w:rsidRDefault="00E01B3E" w:rsidP="00E01B3E">
            <w:pPr>
              <w:keepNext/>
              <w:spacing w:before="40" w:after="40"/>
              <w:ind w:right="-57"/>
              <w:rPr>
                <w:rFonts w:ascii="Arial Narrow" w:hAnsi="Arial Narrow"/>
                <w:sz w:val="20"/>
                <w:szCs w:val="20"/>
              </w:rPr>
            </w:pPr>
            <w:r w:rsidRPr="00E17531">
              <w:rPr>
                <w:rFonts w:ascii="Arial Narrow" w:hAnsi="Arial Narrow"/>
                <w:sz w:val="20"/>
                <w:szCs w:val="20"/>
              </w:rPr>
              <w:t>200 mg</w:t>
            </w:r>
          </w:p>
        </w:tc>
        <w:tc>
          <w:tcPr>
            <w:tcW w:w="723" w:type="pct"/>
          </w:tcPr>
          <w:p w:rsidR="00E01B3E" w:rsidRPr="003B140D" w:rsidRDefault="00E01B3E" w:rsidP="00E01B3E">
            <w:pPr>
              <w:keepNext/>
              <w:spacing w:before="40" w:after="40"/>
              <w:ind w:right="-57"/>
              <w:rPr>
                <w:rFonts w:ascii="Arial Narrow" w:hAnsi="Arial Narrow"/>
                <w:sz w:val="20"/>
                <w:szCs w:val="20"/>
              </w:rPr>
            </w:pPr>
          </w:p>
          <w:p w:rsidR="00E01B3E" w:rsidRPr="003B140D" w:rsidRDefault="00E01B3E" w:rsidP="00E01B3E">
            <w:pPr>
              <w:keepNext/>
              <w:spacing w:before="40" w:after="40"/>
              <w:ind w:right="-57"/>
              <w:rPr>
                <w:rFonts w:ascii="Arial Narrow" w:hAnsi="Arial Narrow"/>
                <w:sz w:val="20"/>
                <w:szCs w:val="20"/>
                <w:vertAlign w:val="superscript"/>
              </w:rPr>
            </w:pPr>
            <w:r w:rsidRPr="003B140D">
              <w:rPr>
                <w:rFonts w:ascii="Arial Narrow" w:hAnsi="Arial Narrow"/>
                <w:strike/>
                <w:sz w:val="20"/>
                <w:szCs w:val="20"/>
              </w:rPr>
              <w:t>5</w:t>
            </w:r>
            <w:r w:rsidR="00483297" w:rsidRPr="003B140D">
              <w:rPr>
                <w:rFonts w:ascii="Arial Narrow" w:hAnsi="Arial Narrow"/>
                <w:sz w:val="20"/>
                <w:szCs w:val="20"/>
              </w:rPr>
              <w:t xml:space="preserve"> </w:t>
            </w:r>
            <w:r w:rsidR="00483297" w:rsidRPr="003B140D">
              <w:rPr>
                <w:rFonts w:ascii="Arial Narrow" w:hAnsi="Arial Narrow"/>
                <w:i/>
                <w:sz w:val="20"/>
                <w:szCs w:val="20"/>
              </w:rPr>
              <w:t>6</w:t>
            </w:r>
            <w:r w:rsidRPr="003B140D">
              <w:rPr>
                <w:rFonts w:ascii="Arial Narrow" w:hAnsi="Arial Narrow"/>
                <w:sz w:val="20"/>
                <w:szCs w:val="20"/>
              </w:rPr>
              <w:t xml:space="preserve"> (initial)</w:t>
            </w:r>
            <w:r w:rsidRPr="003B140D">
              <w:rPr>
                <w:rFonts w:ascii="Arial Narrow" w:hAnsi="Arial Narrow"/>
                <w:sz w:val="20"/>
                <w:szCs w:val="20"/>
                <w:vertAlign w:val="superscript"/>
              </w:rPr>
              <w:t>a</w:t>
            </w:r>
          </w:p>
          <w:p w:rsidR="00E01B3E" w:rsidRPr="003B140D" w:rsidRDefault="00E01B3E" w:rsidP="00E01B3E">
            <w:pPr>
              <w:keepNext/>
              <w:spacing w:before="40" w:after="40"/>
              <w:ind w:right="-57"/>
              <w:rPr>
                <w:rFonts w:ascii="Arial Narrow" w:hAnsi="Arial Narrow"/>
                <w:sz w:val="20"/>
                <w:szCs w:val="20"/>
              </w:rPr>
            </w:pPr>
            <w:r w:rsidRPr="003B140D">
              <w:rPr>
                <w:rFonts w:ascii="Arial Narrow" w:hAnsi="Arial Narrow"/>
                <w:strike/>
                <w:sz w:val="20"/>
                <w:szCs w:val="20"/>
              </w:rPr>
              <w:t>7</w:t>
            </w:r>
            <w:r w:rsidR="00483297" w:rsidRPr="003B140D">
              <w:rPr>
                <w:rFonts w:ascii="Arial Narrow" w:hAnsi="Arial Narrow"/>
                <w:sz w:val="20"/>
                <w:szCs w:val="20"/>
              </w:rPr>
              <w:t xml:space="preserve"> </w:t>
            </w:r>
            <w:r w:rsidR="00483297" w:rsidRPr="003B140D">
              <w:rPr>
                <w:rFonts w:ascii="Arial Narrow" w:hAnsi="Arial Narrow"/>
                <w:i/>
                <w:sz w:val="20"/>
                <w:szCs w:val="20"/>
              </w:rPr>
              <w:t>6</w:t>
            </w:r>
            <w:r w:rsidRPr="003B140D">
              <w:rPr>
                <w:rFonts w:ascii="Arial Narrow" w:hAnsi="Arial Narrow"/>
                <w:sz w:val="20"/>
                <w:szCs w:val="20"/>
              </w:rPr>
              <w:t xml:space="preserve"> (continuing)</w:t>
            </w:r>
          </w:p>
        </w:tc>
        <w:tc>
          <w:tcPr>
            <w:tcW w:w="1012" w:type="pct"/>
          </w:tcPr>
          <w:p w:rsidR="00E01B3E" w:rsidRPr="003B140D" w:rsidRDefault="00E01B3E" w:rsidP="00E01B3E">
            <w:pPr>
              <w:pStyle w:val="TableText0"/>
              <w:ind w:left="-57"/>
              <w:rPr>
                <w:szCs w:val="20"/>
              </w:rPr>
            </w:pPr>
            <w:r w:rsidRPr="003B140D">
              <w:rPr>
                <w:szCs w:val="20"/>
              </w:rPr>
              <w:t>Published price:</w:t>
            </w:r>
          </w:p>
          <w:p w:rsidR="00E01B3E" w:rsidRPr="003B140D" w:rsidRDefault="00E01B3E" w:rsidP="00E01B3E">
            <w:pPr>
              <w:pStyle w:val="TableText0"/>
              <w:ind w:left="-57"/>
              <w:rPr>
                <w:szCs w:val="20"/>
              </w:rPr>
            </w:pPr>
            <w:r w:rsidRPr="003B140D">
              <w:rPr>
                <w:szCs w:val="20"/>
              </w:rPr>
              <w:t>$9,023.83 (public)</w:t>
            </w:r>
            <w:r w:rsidRPr="003B140D">
              <w:rPr>
                <w:szCs w:val="20"/>
                <w:vertAlign w:val="superscript"/>
              </w:rPr>
              <w:t>b</w:t>
            </w:r>
          </w:p>
          <w:p w:rsidR="00E01B3E" w:rsidRPr="003B140D" w:rsidRDefault="00E01B3E" w:rsidP="00E01B3E">
            <w:pPr>
              <w:pStyle w:val="TableText0"/>
              <w:ind w:left="-57"/>
              <w:rPr>
                <w:szCs w:val="20"/>
              </w:rPr>
            </w:pPr>
            <w:r w:rsidRPr="003B140D">
              <w:rPr>
                <w:szCs w:val="20"/>
              </w:rPr>
              <w:t>$9,187.35 (private)</w:t>
            </w:r>
            <w:r w:rsidRPr="003B140D">
              <w:rPr>
                <w:szCs w:val="20"/>
                <w:vertAlign w:val="superscript"/>
              </w:rPr>
              <w:t>b</w:t>
            </w:r>
          </w:p>
          <w:p w:rsidR="00E01B3E" w:rsidRPr="003B140D" w:rsidRDefault="00E01B3E" w:rsidP="00E01B3E">
            <w:pPr>
              <w:pStyle w:val="TableText0"/>
              <w:ind w:left="-57"/>
              <w:rPr>
                <w:szCs w:val="20"/>
              </w:rPr>
            </w:pPr>
            <w:r w:rsidRPr="003B140D">
              <w:rPr>
                <w:szCs w:val="20"/>
              </w:rPr>
              <w:t>Effective price</w:t>
            </w:r>
            <w:r w:rsidRPr="003B140D">
              <w:rPr>
                <w:szCs w:val="20"/>
                <w:vertAlign w:val="superscript"/>
              </w:rPr>
              <w:t>c</w:t>
            </w:r>
            <w:r w:rsidRPr="003B140D">
              <w:rPr>
                <w:szCs w:val="20"/>
              </w:rPr>
              <w:t>:</w:t>
            </w:r>
          </w:p>
          <w:p w:rsidR="00E01B3E" w:rsidRPr="003B140D" w:rsidRDefault="00E01B3E" w:rsidP="00E01B3E">
            <w:pPr>
              <w:pStyle w:val="TableText0"/>
              <w:ind w:left="-57"/>
              <w:rPr>
                <w:szCs w:val="20"/>
              </w:rPr>
            </w:pPr>
            <w:r w:rsidRPr="003B140D">
              <w:rPr>
                <w:szCs w:val="20"/>
              </w:rPr>
              <w:t>$</w:t>
            </w:r>
            <w:r w:rsidR="00E964DA">
              <w:rPr>
                <w:noProof/>
                <w:color w:val="000000"/>
                <w:szCs w:val="20"/>
                <w:highlight w:val="black"/>
              </w:rPr>
              <w:t>''''''''''''''''''''</w:t>
            </w:r>
            <w:r w:rsidRPr="003B140D">
              <w:rPr>
                <w:szCs w:val="20"/>
              </w:rPr>
              <w:t xml:space="preserve"> (public)</w:t>
            </w:r>
            <w:r w:rsidRPr="003B140D">
              <w:rPr>
                <w:szCs w:val="20"/>
                <w:vertAlign w:val="superscript"/>
              </w:rPr>
              <w:t>b</w:t>
            </w:r>
          </w:p>
          <w:p w:rsidR="00E01B3E" w:rsidRPr="003B140D" w:rsidRDefault="00E01B3E" w:rsidP="00E01B3E">
            <w:pPr>
              <w:pStyle w:val="TableText0"/>
              <w:ind w:left="-57"/>
              <w:rPr>
                <w:rFonts w:eastAsia="Times New Roman" w:cs="Times New Roman"/>
                <w:szCs w:val="20"/>
                <w:vertAlign w:val="superscript"/>
              </w:rPr>
            </w:pPr>
            <w:r w:rsidRPr="003B140D">
              <w:rPr>
                <w:szCs w:val="20"/>
              </w:rPr>
              <w:t>$</w:t>
            </w:r>
            <w:r w:rsidR="00E964DA">
              <w:rPr>
                <w:noProof/>
                <w:color w:val="000000"/>
                <w:szCs w:val="20"/>
                <w:highlight w:val="black"/>
              </w:rPr>
              <w:t>'''''''''''''''''''''</w:t>
            </w:r>
            <w:r w:rsidRPr="003B140D">
              <w:rPr>
                <w:szCs w:val="20"/>
              </w:rPr>
              <w:t xml:space="preserve"> (private)</w:t>
            </w:r>
            <w:r w:rsidRPr="003B140D">
              <w:rPr>
                <w:szCs w:val="20"/>
                <w:vertAlign w:val="superscript"/>
              </w:rPr>
              <w:t>b</w:t>
            </w:r>
          </w:p>
        </w:tc>
        <w:tc>
          <w:tcPr>
            <w:tcW w:w="576" w:type="pct"/>
          </w:tcPr>
          <w:p w:rsidR="00E01B3E" w:rsidRPr="003B140D" w:rsidRDefault="00E01B3E" w:rsidP="00E01B3E">
            <w:pPr>
              <w:keepNext/>
              <w:spacing w:before="40" w:after="40"/>
              <w:ind w:right="-57"/>
              <w:rPr>
                <w:rFonts w:ascii="Arial Narrow" w:hAnsi="Arial Narrow"/>
                <w:sz w:val="20"/>
                <w:szCs w:val="20"/>
              </w:rPr>
            </w:pPr>
          </w:p>
          <w:p w:rsidR="00E01B3E" w:rsidRPr="003B140D" w:rsidRDefault="00E01B3E" w:rsidP="00E01B3E">
            <w:pPr>
              <w:keepNext/>
              <w:spacing w:before="40" w:after="40"/>
              <w:ind w:right="-57"/>
              <w:rPr>
                <w:rFonts w:ascii="Arial Narrow" w:hAnsi="Arial Narrow"/>
                <w:sz w:val="20"/>
                <w:szCs w:val="20"/>
              </w:rPr>
            </w:pPr>
            <w:r w:rsidRPr="003B140D">
              <w:rPr>
                <w:rFonts w:ascii="Arial Narrow" w:hAnsi="Arial Narrow"/>
                <w:sz w:val="20"/>
                <w:szCs w:val="20"/>
              </w:rPr>
              <w:t>Keytruda</w:t>
            </w:r>
            <w:r w:rsidRPr="003B140D">
              <w:rPr>
                <w:rFonts w:ascii="Arial Narrow" w:hAnsi="Arial Narrow"/>
                <w:sz w:val="20"/>
                <w:szCs w:val="20"/>
                <w:vertAlign w:val="superscript"/>
              </w:rPr>
              <w:t>®</w:t>
            </w:r>
          </w:p>
        </w:tc>
        <w:tc>
          <w:tcPr>
            <w:tcW w:w="679" w:type="pct"/>
          </w:tcPr>
          <w:p w:rsidR="00E01B3E" w:rsidRPr="003B140D" w:rsidRDefault="00E01B3E" w:rsidP="00E01B3E">
            <w:pPr>
              <w:keepNext/>
              <w:spacing w:before="40" w:after="40"/>
              <w:ind w:right="-57"/>
              <w:rPr>
                <w:rFonts w:ascii="Arial Narrow" w:hAnsi="Arial Narrow"/>
                <w:sz w:val="20"/>
                <w:szCs w:val="20"/>
              </w:rPr>
            </w:pPr>
            <w:r w:rsidRPr="003B140D">
              <w:rPr>
                <w:rFonts w:ascii="Arial Narrow" w:hAnsi="Arial Narrow"/>
                <w:sz w:val="20"/>
                <w:szCs w:val="20"/>
              </w:rPr>
              <w:t>Merck Sharp &amp; Dohme (AU) Pty Ltd</w:t>
            </w:r>
          </w:p>
        </w:tc>
      </w:tr>
      <w:tr w:rsidR="00E01B3E" w:rsidRPr="003B140D" w:rsidTr="00E01B3E">
        <w:tc>
          <w:tcPr>
            <w:tcW w:w="5000" w:type="pct"/>
            <w:gridSpan w:val="7"/>
          </w:tcPr>
          <w:p w:rsidR="00E01B3E" w:rsidRPr="003B140D" w:rsidRDefault="00E01B3E" w:rsidP="00E01B3E">
            <w:pPr>
              <w:keepNext/>
              <w:spacing w:after="40"/>
              <w:rPr>
                <w:rFonts w:ascii="Arial Narrow" w:hAnsi="Arial Narrow"/>
                <w:b/>
                <w:sz w:val="20"/>
                <w:szCs w:val="20"/>
                <w:u w:val="single"/>
              </w:rPr>
            </w:pPr>
            <w:r w:rsidRPr="003B140D">
              <w:rPr>
                <w:rFonts w:ascii="Arial Narrow" w:hAnsi="Arial Narrow"/>
                <w:sz w:val="20"/>
                <w:szCs w:val="20"/>
              </w:rPr>
              <w:br w:type="page"/>
            </w:r>
            <w:r w:rsidRPr="003B140D">
              <w:rPr>
                <w:rFonts w:ascii="Arial Narrow" w:hAnsi="Arial Narrow"/>
                <w:b/>
                <w:sz w:val="20"/>
                <w:szCs w:val="20"/>
                <w:u w:val="single"/>
              </w:rPr>
              <w:t>Treatment phase: Initial treatment</w:t>
            </w:r>
          </w:p>
        </w:tc>
      </w:tr>
      <w:tr w:rsidR="00E01B3E" w:rsidRPr="003B140D" w:rsidTr="000D472E">
        <w:trPr>
          <w:trHeight w:val="275"/>
        </w:trPr>
        <w:tc>
          <w:tcPr>
            <w:tcW w:w="1285" w:type="pct"/>
            <w:tcBorders>
              <w:top w:val="single" w:sz="4" w:space="0" w:color="auto"/>
              <w:left w:val="single" w:sz="4" w:space="0" w:color="auto"/>
              <w:bottom w:val="single" w:sz="4" w:space="0" w:color="auto"/>
              <w:right w:val="single" w:sz="4" w:space="0" w:color="auto"/>
            </w:tcBorders>
          </w:tcPr>
          <w:p w:rsidR="00E01B3E" w:rsidRPr="00E17531" w:rsidRDefault="00E01B3E" w:rsidP="00E01B3E">
            <w:pPr>
              <w:spacing w:before="40" w:after="40"/>
              <w:rPr>
                <w:rFonts w:ascii="Arial Narrow" w:hAnsi="Arial Narrow"/>
                <w:b/>
                <w:sz w:val="20"/>
              </w:rPr>
            </w:pPr>
            <w:r w:rsidRPr="00E17531">
              <w:rPr>
                <w:rFonts w:ascii="Arial Narrow" w:hAnsi="Arial Narrow"/>
                <w:b/>
                <w:sz w:val="20"/>
              </w:rPr>
              <w:t>Category / Program</w:t>
            </w:r>
          </w:p>
        </w:tc>
        <w:tc>
          <w:tcPr>
            <w:tcW w:w="3715" w:type="pct"/>
            <w:gridSpan w:val="6"/>
            <w:tcBorders>
              <w:top w:val="single" w:sz="4" w:space="0" w:color="auto"/>
              <w:left w:val="single" w:sz="4" w:space="0" w:color="auto"/>
              <w:bottom w:val="single" w:sz="4" w:space="0" w:color="auto"/>
              <w:right w:val="single" w:sz="4" w:space="0" w:color="auto"/>
            </w:tcBorders>
          </w:tcPr>
          <w:p w:rsidR="00E01B3E" w:rsidRPr="003B140D" w:rsidRDefault="00E01B3E" w:rsidP="00E01B3E">
            <w:pPr>
              <w:spacing w:before="40" w:after="40"/>
              <w:rPr>
                <w:rFonts w:ascii="Arial Narrow" w:hAnsi="Arial Narrow"/>
                <w:sz w:val="20"/>
                <w:szCs w:val="20"/>
              </w:rPr>
            </w:pPr>
            <w:r w:rsidRPr="003B140D">
              <w:rPr>
                <w:rFonts w:ascii="Arial Narrow" w:hAnsi="Arial Narrow"/>
                <w:sz w:val="20"/>
                <w:szCs w:val="20"/>
              </w:rPr>
              <w:t>Section 100 – Efficient funding of chemotherapy</w:t>
            </w:r>
          </w:p>
        </w:tc>
      </w:tr>
      <w:tr w:rsidR="00E01B3E" w:rsidRPr="003B140D" w:rsidTr="000D472E">
        <w:trPr>
          <w:trHeight w:val="360"/>
        </w:trPr>
        <w:tc>
          <w:tcPr>
            <w:tcW w:w="1285" w:type="pct"/>
            <w:tcBorders>
              <w:top w:val="single" w:sz="4" w:space="0" w:color="auto"/>
              <w:left w:val="single" w:sz="4" w:space="0" w:color="auto"/>
              <w:bottom w:val="single" w:sz="4" w:space="0" w:color="auto"/>
              <w:right w:val="single" w:sz="4" w:space="0" w:color="auto"/>
            </w:tcBorders>
          </w:tcPr>
          <w:p w:rsidR="00E01B3E" w:rsidRPr="00E17531" w:rsidRDefault="00E01B3E" w:rsidP="00E01B3E">
            <w:pPr>
              <w:spacing w:before="40" w:after="40"/>
              <w:rPr>
                <w:rFonts w:ascii="Arial Narrow" w:hAnsi="Arial Narrow"/>
                <w:b/>
                <w:sz w:val="20"/>
              </w:rPr>
            </w:pPr>
            <w:r w:rsidRPr="00E17531">
              <w:rPr>
                <w:rFonts w:ascii="Arial Narrow" w:hAnsi="Arial Narrow"/>
                <w:b/>
                <w:sz w:val="20"/>
              </w:rPr>
              <w:t>Prescriber type:</w:t>
            </w:r>
          </w:p>
        </w:tc>
        <w:tc>
          <w:tcPr>
            <w:tcW w:w="3715" w:type="pct"/>
            <w:gridSpan w:val="6"/>
            <w:tcBorders>
              <w:top w:val="single" w:sz="4" w:space="0" w:color="auto"/>
              <w:left w:val="single" w:sz="4" w:space="0" w:color="auto"/>
              <w:bottom w:val="single" w:sz="4" w:space="0" w:color="auto"/>
              <w:right w:val="single" w:sz="4" w:space="0" w:color="auto"/>
            </w:tcBorders>
          </w:tcPr>
          <w:p w:rsidR="00E01B3E" w:rsidRPr="003B140D" w:rsidRDefault="00E01B3E" w:rsidP="000D472E">
            <w:pPr>
              <w:spacing w:before="40" w:after="40"/>
              <w:rPr>
                <w:rFonts w:ascii="Arial Narrow" w:hAnsi="Arial Narrow"/>
                <w:sz w:val="20"/>
                <w:szCs w:val="20"/>
              </w:rPr>
            </w:pPr>
            <w:r w:rsidRPr="003B140D">
              <w:rPr>
                <w:rFonts w:ascii="Arial Narrow" w:hAnsi="Arial Narrow"/>
                <w:sz w:val="20"/>
                <w:szCs w:val="20"/>
              </w:rPr>
              <w:fldChar w:fldCharType="begin">
                <w:ffData>
                  <w:name w:val="Check1"/>
                  <w:enabled/>
                  <w:calcOnExit w:val="0"/>
                  <w:checkBox>
                    <w:sizeAuto/>
                    <w:default w:val="0"/>
                  </w:checkBox>
                </w:ffData>
              </w:fldChar>
            </w:r>
            <w:r w:rsidRPr="003B140D">
              <w:rPr>
                <w:rFonts w:ascii="Arial Narrow" w:hAnsi="Arial Narrow"/>
                <w:sz w:val="20"/>
                <w:szCs w:val="20"/>
              </w:rPr>
              <w:instrText xml:space="preserve"> FORMCHECKBOX </w:instrText>
            </w:r>
            <w:r w:rsidR="00E964DA">
              <w:rPr>
                <w:rFonts w:ascii="Arial Narrow" w:hAnsi="Arial Narrow"/>
                <w:sz w:val="20"/>
                <w:szCs w:val="20"/>
              </w:rPr>
            </w:r>
            <w:r w:rsidR="00E964DA">
              <w:rPr>
                <w:rFonts w:ascii="Arial Narrow" w:hAnsi="Arial Narrow"/>
                <w:sz w:val="20"/>
                <w:szCs w:val="20"/>
              </w:rPr>
              <w:fldChar w:fldCharType="separate"/>
            </w:r>
            <w:r w:rsidRPr="003B140D">
              <w:rPr>
                <w:rFonts w:ascii="Arial Narrow" w:hAnsi="Arial Narrow"/>
                <w:sz w:val="20"/>
                <w:szCs w:val="20"/>
              </w:rPr>
              <w:fldChar w:fldCharType="end"/>
            </w:r>
            <w:r w:rsidRPr="003B140D">
              <w:rPr>
                <w:rFonts w:ascii="Arial Narrow" w:hAnsi="Arial Narrow"/>
                <w:sz w:val="20"/>
                <w:szCs w:val="20"/>
              </w:rPr>
              <w:t xml:space="preserve">Dental  </w:t>
            </w:r>
            <w:r w:rsidRPr="003B140D">
              <w:rPr>
                <w:rFonts w:ascii="Arial Narrow" w:hAnsi="Arial Narrow"/>
                <w:sz w:val="20"/>
                <w:szCs w:val="20"/>
              </w:rPr>
              <w:fldChar w:fldCharType="begin">
                <w:ffData>
                  <w:name w:val=""/>
                  <w:enabled/>
                  <w:calcOnExit w:val="0"/>
                  <w:checkBox>
                    <w:sizeAuto/>
                    <w:default w:val="1"/>
                  </w:checkBox>
                </w:ffData>
              </w:fldChar>
            </w:r>
            <w:r w:rsidRPr="003B140D">
              <w:rPr>
                <w:rFonts w:ascii="Arial Narrow" w:hAnsi="Arial Narrow"/>
                <w:sz w:val="20"/>
                <w:szCs w:val="20"/>
              </w:rPr>
              <w:instrText xml:space="preserve"> FORMCHECKBOX </w:instrText>
            </w:r>
            <w:r w:rsidR="00E964DA">
              <w:rPr>
                <w:rFonts w:ascii="Arial Narrow" w:hAnsi="Arial Narrow"/>
                <w:sz w:val="20"/>
                <w:szCs w:val="20"/>
              </w:rPr>
            </w:r>
            <w:r w:rsidR="00E964DA">
              <w:rPr>
                <w:rFonts w:ascii="Arial Narrow" w:hAnsi="Arial Narrow"/>
                <w:sz w:val="20"/>
                <w:szCs w:val="20"/>
              </w:rPr>
              <w:fldChar w:fldCharType="separate"/>
            </w:r>
            <w:r w:rsidRPr="003B140D">
              <w:rPr>
                <w:rFonts w:ascii="Arial Narrow" w:hAnsi="Arial Narrow"/>
                <w:sz w:val="20"/>
                <w:szCs w:val="20"/>
              </w:rPr>
              <w:fldChar w:fldCharType="end"/>
            </w:r>
            <w:r w:rsidRPr="003B140D">
              <w:rPr>
                <w:rFonts w:ascii="Arial Narrow" w:hAnsi="Arial Narrow"/>
                <w:sz w:val="20"/>
                <w:szCs w:val="20"/>
              </w:rPr>
              <w:t xml:space="preserve">Medical Practitioners  </w:t>
            </w:r>
            <w:r w:rsidRPr="003B140D">
              <w:rPr>
                <w:rFonts w:ascii="Arial Narrow" w:hAnsi="Arial Narrow"/>
                <w:sz w:val="20"/>
                <w:szCs w:val="20"/>
              </w:rPr>
              <w:fldChar w:fldCharType="begin">
                <w:ffData>
                  <w:name w:val="Check3"/>
                  <w:enabled/>
                  <w:calcOnExit w:val="0"/>
                  <w:checkBox>
                    <w:sizeAuto/>
                    <w:default w:val="0"/>
                  </w:checkBox>
                </w:ffData>
              </w:fldChar>
            </w:r>
            <w:r w:rsidRPr="003B140D">
              <w:rPr>
                <w:rFonts w:ascii="Arial Narrow" w:hAnsi="Arial Narrow"/>
                <w:sz w:val="20"/>
                <w:szCs w:val="20"/>
              </w:rPr>
              <w:instrText xml:space="preserve"> FORMCHECKBOX </w:instrText>
            </w:r>
            <w:r w:rsidR="00E964DA">
              <w:rPr>
                <w:rFonts w:ascii="Arial Narrow" w:hAnsi="Arial Narrow"/>
                <w:sz w:val="20"/>
                <w:szCs w:val="20"/>
              </w:rPr>
            </w:r>
            <w:r w:rsidR="00E964DA">
              <w:rPr>
                <w:rFonts w:ascii="Arial Narrow" w:hAnsi="Arial Narrow"/>
                <w:sz w:val="20"/>
                <w:szCs w:val="20"/>
              </w:rPr>
              <w:fldChar w:fldCharType="separate"/>
            </w:r>
            <w:r w:rsidRPr="003B140D">
              <w:rPr>
                <w:rFonts w:ascii="Arial Narrow" w:hAnsi="Arial Narrow"/>
                <w:sz w:val="20"/>
                <w:szCs w:val="20"/>
              </w:rPr>
              <w:fldChar w:fldCharType="end"/>
            </w:r>
            <w:r w:rsidRPr="003B140D">
              <w:rPr>
                <w:rFonts w:ascii="Arial Narrow" w:hAnsi="Arial Narrow"/>
                <w:sz w:val="20"/>
                <w:szCs w:val="20"/>
              </w:rPr>
              <w:t xml:space="preserve">Nurse practitioners  </w:t>
            </w:r>
            <w:r w:rsidRPr="003B140D">
              <w:rPr>
                <w:rFonts w:ascii="Arial Narrow" w:hAnsi="Arial Narrow"/>
                <w:sz w:val="20"/>
                <w:szCs w:val="20"/>
              </w:rPr>
              <w:fldChar w:fldCharType="begin">
                <w:ffData>
                  <w:name w:val=""/>
                  <w:enabled/>
                  <w:calcOnExit w:val="0"/>
                  <w:checkBox>
                    <w:sizeAuto/>
                    <w:default w:val="0"/>
                  </w:checkBox>
                </w:ffData>
              </w:fldChar>
            </w:r>
            <w:r w:rsidRPr="003B140D">
              <w:rPr>
                <w:rFonts w:ascii="Arial Narrow" w:hAnsi="Arial Narrow"/>
                <w:sz w:val="20"/>
                <w:szCs w:val="20"/>
              </w:rPr>
              <w:instrText xml:space="preserve"> FORMCHECKBOX </w:instrText>
            </w:r>
            <w:r w:rsidR="00E964DA">
              <w:rPr>
                <w:rFonts w:ascii="Arial Narrow" w:hAnsi="Arial Narrow"/>
                <w:sz w:val="20"/>
                <w:szCs w:val="20"/>
              </w:rPr>
            </w:r>
            <w:r w:rsidR="00E964DA">
              <w:rPr>
                <w:rFonts w:ascii="Arial Narrow" w:hAnsi="Arial Narrow"/>
                <w:sz w:val="20"/>
                <w:szCs w:val="20"/>
              </w:rPr>
              <w:fldChar w:fldCharType="separate"/>
            </w:r>
            <w:r w:rsidRPr="003B140D">
              <w:rPr>
                <w:rFonts w:ascii="Arial Narrow" w:hAnsi="Arial Narrow"/>
                <w:sz w:val="20"/>
                <w:szCs w:val="20"/>
              </w:rPr>
              <w:fldChar w:fldCharType="end"/>
            </w:r>
            <w:r w:rsidRPr="003B140D">
              <w:rPr>
                <w:rFonts w:ascii="Arial Narrow" w:hAnsi="Arial Narrow"/>
                <w:sz w:val="20"/>
                <w:szCs w:val="20"/>
              </w:rPr>
              <w:t>Optometrists</w:t>
            </w:r>
            <w:r w:rsidR="000D472E" w:rsidRPr="003B140D">
              <w:rPr>
                <w:rFonts w:ascii="Arial Narrow" w:hAnsi="Arial Narrow"/>
                <w:sz w:val="20"/>
                <w:szCs w:val="20"/>
              </w:rPr>
              <w:t xml:space="preserve">  </w:t>
            </w:r>
            <w:r w:rsidRPr="003B140D">
              <w:rPr>
                <w:rFonts w:ascii="Arial Narrow" w:hAnsi="Arial Narrow"/>
                <w:sz w:val="20"/>
                <w:szCs w:val="20"/>
              </w:rPr>
              <w:fldChar w:fldCharType="begin">
                <w:ffData>
                  <w:name w:val="Check5"/>
                  <w:enabled/>
                  <w:calcOnExit w:val="0"/>
                  <w:checkBox>
                    <w:sizeAuto/>
                    <w:default w:val="0"/>
                  </w:checkBox>
                </w:ffData>
              </w:fldChar>
            </w:r>
            <w:r w:rsidRPr="003B140D">
              <w:rPr>
                <w:rFonts w:ascii="Arial Narrow" w:hAnsi="Arial Narrow"/>
                <w:sz w:val="20"/>
                <w:szCs w:val="20"/>
              </w:rPr>
              <w:instrText xml:space="preserve"> FORMCHECKBOX </w:instrText>
            </w:r>
            <w:r w:rsidR="00E964DA">
              <w:rPr>
                <w:rFonts w:ascii="Arial Narrow" w:hAnsi="Arial Narrow"/>
                <w:sz w:val="20"/>
                <w:szCs w:val="20"/>
              </w:rPr>
            </w:r>
            <w:r w:rsidR="00E964DA">
              <w:rPr>
                <w:rFonts w:ascii="Arial Narrow" w:hAnsi="Arial Narrow"/>
                <w:sz w:val="20"/>
                <w:szCs w:val="20"/>
              </w:rPr>
              <w:fldChar w:fldCharType="separate"/>
            </w:r>
            <w:r w:rsidRPr="003B140D">
              <w:rPr>
                <w:rFonts w:ascii="Arial Narrow" w:hAnsi="Arial Narrow"/>
                <w:sz w:val="20"/>
                <w:szCs w:val="20"/>
              </w:rPr>
              <w:fldChar w:fldCharType="end"/>
            </w:r>
            <w:r w:rsidRPr="003B140D">
              <w:rPr>
                <w:rFonts w:ascii="Arial Narrow" w:hAnsi="Arial Narrow"/>
                <w:sz w:val="20"/>
                <w:szCs w:val="20"/>
              </w:rPr>
              <w:t>Midwives</w:t>
            </w:r>
          </w:p>
        </w:tc>
      </w:tr>
      <w:tr w:rsidR="00E01B3E" w:rsidRPr="003B140D" w:rsidTr="000D472E">
        <w:trPr>
          <w:trHeight w:val="223"/>
        </w:trPr>
        <w:tc>
          <w:tcPr>
            <w:tcW w:w="1285" w:type="pct"/>
            <w:tcBorders>
              <w:top w:val="single" w:sz="4" w:space="0" w:color="auto"/>
              <w:left w:val="single" w:sz="4" w:space="0" w:color="auto"/>
              <w:bottom w:val="single" w:sz="4" w:space="0" w:color="auto"/>
              <w:right w:val="single" w:sz="4" w:space="0" w:color="auto"/>
            </w:tcBorders>
          </w:tcPr>
          <w:p w:rsidR="00E01B3E" w:rsidRPr="00E17531" w:rsidRDefault="00E01B3E" w:rsidP="00E01B3E">
            <w:pPr>
              <w:spacing w:before="40" w:after="40"/>
              <w:rPr>
                <w:rFonts w:ascii="Arial Narrow" w:hAnsi="Arial Narrow"/>
                <w:b/>
                <w:sz w:val="20"/>
              </w:rPr>
            </w:pPr>
            <w:r w:rsidRPr="00E17531">
              <w:rPr>
                <w:rFonts w:ascii="Arial Narrow" w:hAnsi="Arial Narrow"/>
                <w:b/>
                <w:sz w:val="20"/>
              </w:rPr>
              <w:t>Severity:</w:t>
            </w:r>
          </w:p>
        </w:tc>
        <w:tc>
          <w:tcPr>
            <w:tcW w:w="3715" w:type="pct"/>
            <w:gridSpan w:val="6"/>
            <w:tcBorders>
              <w:top w:val="single" w:sz="4" w:space="0" w:color="auto"/>
              <w:left w:val="single" w:sz="4" w:space="0" w:color="auto"/>
              <w:bottom w:val="single" w:sz="4" w:space="0" w:color="auto"/>
              <w:right w:val="single" w:sz="4" w:space="0" w:color="auto"/>
            </w:tcBorders>
          </w:tcPr>
          <w:p w:rsidR="00E01B3E" w:rsidRPr="003B140D" w:rsidRDefault="00E01B3E" w:rsidP="00E01B3E">
            <w:pPr>
              <w:spacing w:before="40" w:after="40"/>
              <w:rPr>
                <w:rFonts w:ascii="Arial Narrow" w:hAnsi="Arial Narrow"/>
                <w:sz w:val="20"/>
                <w:szCs w:val="20"/>
              </w:rPr>
            </w:pPr>
            <w:r w:rsidRPr="003B140D">
              <w:rPr>
                <w:rFonts w:ascii="Arial Narrow" w:hAnsi="Arial Narrow"/>
                <w:sz w:val="20"/>
                <w:szCs w:val="20"/>
              </w:rPr>
              <w:t>Stage IV (metastatic) previously untreated</w:t>
            </w:r>
          </w:p>
        </w:tc>
      </w:tr>
      <w:tr w:rsidR="00E01B3E" w:rsidRPr="003B140D" w:rsidTr="000D472E">
        <w:trPr>
          <w:trHeight w:val="285"/>
        </w:trPr>
        <w:tc>
          <w:tcPr>
            <w:tcW w:w="1285" w:type="pct"/>
            <w:tcBorders>
              <w:top w:val="single" w:sz="4" w:space="0" w:color="auto"/>
              <w:left w:val="single" w:sz="4" w:space="0" w:color="auto"/>
              <w:bottom w:val="single" w:sz="4" w:space="0" w:color="auto"/>
              <w:right w:val="single" w:sz="4" w:space="0" w:color="auto"/>
            </w:tcBorders>
          </w:tcPr>
          <w:p w:rsidR="00E01B3E" w:rsidRPr="00E17531" w:rsidRDefault="00E01B3E" w:rsidP="00E01B3E">
            <w:pPr>
              <w:spacing w:before="40" w:after="40"/>
              <w:rPr>
                <w:rFonts w:ascii="Arial Narrow" w:hAnsi="Arial Narrow"/>
                <w:b/>
                <w:sz w:val="20"/>
              </w:rPr>
            </w:pPr>
            <w:r w:rsidRPr="00E17531">
              <w:rPr>
                <w:rFonts w:ascii="Arial Narrow" w:hAnsi="Arial Narrow"/>
                <w:b/>
                <w:sz w:val="20"/>
              </w:rPr>
              <w:t>Condition:</w:t>
            </w:r>
          </w:p>
        </w:tc>
        <w:tc>
          <w:tcPr>
            <w:tcW w:w="3715" w:type="pct"/>
            <w:gridSpan w:val="6"/>
            <w:tcBorders>
              <w:top w:val="single" w:sz="4" w:space="0" w:color="auto"/>
              <w:left w:val="single" w:sz="4" w:space="0" w:color="auto"/>
              <w:bottom w:val="single" w:sz="4" w:space="0" w:color="auto"/>
              <w:right w:val="single" w:sz="4" w:space="0" w:color="auto"/>
            </w:tcBorders>
          </w:tcPr>
          <w:p w:rsidR="00E01B3E" w:rsidRPr="003B140D" w:rsidRDefault="00E01B3E" w:rsidP="00E01B3E">
            <w:pPr>
              <w:spacing w:before="40" w:after="40"/>
              <w:rPr>
                <w:rFonts w:ascii="Arial Narrow" w:hAnsi="Arial Narrow"/>
                <w:sz w:val="20"/>
                <w:szCs w:val="20"/>
              </w:rPr>
            </w:pPr>
            <w:r w:rsidRPr="003B140D">
              <w:rPr>
                <w:rFonts w:ascii="Arial Narrow" w:hAnsi="Arial Narrow"/>
                <w:sz w:val="20"/>
                <w:szCs w:val="20"/>
              </w:rPr>
              <w:t>Non-small cell lung cancer (NSCLC)</w:t>
            </w:r>
          </w:p>
        </w:tc>
      </w:tr>
      <w:tr w:rsidR="00E01B3E" w:rsidRPr="003B140D" w:rsidTr="000D472E">
        <w:trPr>
          <w:trHeight w:val="191"/>
        </w:trPr>
        <w:tc>
          <w:tcPr>
            <w:tcW w:w="1285" w:type="pct"/>
            <w:tcBorders>
              <w:top w:val="single" w:sz="4" w:space="0" w:color="auto"/>
              <w:left w:val="single" w:sz="4" w:space="0" w:color="auto"/>
              <w:bottom w:val="single" w:sz="4" w:space="0" w:color="auto"/>
              <w:right w:val="single" w:sz="4" w:space="0" w:color="auto"/>
            </w:tcBorders>
          </w:tcPr>
          <w:p w:rsidR="00E01B3E" w:rsidRPr="00E17531" w:rsidRDefault="00E01B3E" w:rsidP="00E01B3E">
            <w:pPr>
              <w:spacing w:before="40" w:after="40"/>
              <w:rPr>
                <w:rFonts w:ascii="Arial Narrow" w:hAnsi="Arial Narrow"/>
                <w:b/>
                <w:sz w:val="20"/>
              </w:rPr>
            </w:pPr>
            <w:r w:rsidRPr="00E17531">
              <w:rPr>
                <w:rFonts w:ascii="Arial Narrow" w:hAnsi="Arial Narrow"/>
                <w:b/>
                <w:sz w:val="20"/>
              </w:rPr>
              <w:t>PBS Indication:</w:t>
            </w:r>
          </w:p>
        </w:tc>
        <w:tc>
          <w:tcPr>
            <w:tcW w:w="3715" w:type="pct"/>
            <w:gridSpan w:val="6"/>
            <w:tcBorders>
              <w:top w:val="single" w:sz="4" w:space="0" w:color="auto"/>
              <w:left w:val="single" w:sz="4" w:space="0" w:color="auto"/>
              <w:bottom w:val="single" w:sz="4" w:space="0" w:color="auto"/>
              <w:right w:val="single" w:sz="4" w:space="0" w:color="auto"/>
            </w:tcBorders>
          </w:tcPr>
          <w:p w:rsidR="00E01B3E" w:rsidRPr="003B140D" w:rsidRDefault="00E01B3E" w:rsidP="00E01B3E">
            <w:pPr>
              <w:spacing w:before="40" w:after="40" w:line="276" w:lineRule="auto"/>
              <w:rPr>
                <w:rFonts w:ascii="Arial Narrow" w:hAnsi="Arial Narrow"/>
                <w:sz w:val="20"/>
                <w:szCs w:val="20"/>
                <w:vertAlign w:val="superscript"/>
              </w:rPr>
            </w:pPr>
            <w:r w:rsidRPr="003B140D">
              <w:rPr>
                <w:rFonts w:ascii="Arial Narrow" w:hAnsi="Arial Narrow"/>
                <w:sz w:val="20"/>
                <w:szCs w:val="20"/>
              </w:rPr>
              <w:t>Stage IV (metastatic) previously untreated non-small cell lung cancer</w:t>
            </w:r>
          </w:p>
        </w:tc>
      </w:tr>
      <w:tr w:rsidR="00E01B3E" w:rsidRPr="003B140D" w:rsidTr="000D472E">
        <w:trPr>
          <w:trHeight w:val="239"/>
        </w:trPr>
        <w:tc>
          <w:tcPr>
            <w:tcW w:w="1285" w:type="pct"/>
            <w:tcBorders>
              <w:top w:val="single" w:sz="4" w:space="0" w:color="auto"/>
              <w:left w:val="single" w:sz="4" w:space="0" w:color="auto"/>
              <w:bottom w:val="single" w:sz="4" w:space="0" w:color="auto"/>
              <w:right w:val="single" w:sz="4" w:space="0" w:color="auto"/>
            </w:tcBorders>
          </w:tcPr>
          <w:p w:rsidR="00E01B3E" w:rsidRPr="00E17531" w:rsidRDefault="00E01B3E" w:rsidP="00E01B3E">
            <w:pPr>
              <w:spacing w:before="40" w:after="40"/>
              <w:rPr>
                <w:rFonts w:ascii="Arial Narrow" w:hAnsi="Arial Narrow"/>
                <w:sz w:val="20"/>
              </w:rPr>
            </w:pPr>
            <w:r w:rsidRPr="00E17531">
              <w:rPr>
                <w:rFonts w:ascii="Arial Narrow" w:hAnsi="Arial Narrow"/>
                <w:b/>
                <w:sz w:val="20"/>
              </w:rPr>
              <w:lastRenderedPageBreak/>
              <w:t>Treatment phase:</w:t>
            </w:r>
          </w:p>
        </w:tc>
        <w:tc>
          <w:tcPr>
            <w:tcW w:w="3715" w:type="pct"/>
            <w:gridSpan w:val="6"/>
            <w:tcBorders>
              <w:top w:val="single" w:sz="4" w:space="0" w:color="auto"/>
              <w:left w:val="single" w:sz="4" w:space="0" w:color="auto"/>
              <w:bottom w:val="single" w:sz="4" w:space="0" w:color="auto"/>
              <w:right w:val="single" w:sz="4" w:space="0" w:color="auto"/>
            </w:tcBorders>
          </w:tcPr>
          <w:p w:rsidR="00E01B3E" w:rsidRPr="003B140D" w:rsidRDefault="00E01B3E" w:rsidP="00E01B3E">
            <w:pPr>
              <w:spacing w:before="40" w:after="40"/>
              <w:rPr>
                <w:rFonts w:ascii="Arial Narrow" w:hAnsi="Arial Narrow"/>
                <w:sz w:val="20"/>
                <w:szCs w:val="20"/>
              </w:rPr>
            </w:pPr>
            <w:r w:rsidRPr="003B140D">
              <w:rPr>
                <w:rFonts w:ascii="Arial Narrow" w:hAnsi="Arial Narrow"/>
                <w:sz w:val="20"/>
                <w:szCs w:val="20"/>
              </w:rPr>
              <w:t xml:space="preserve">Initial </w:t>
            </w:r>
          </w:p>
        </w:tc>
      </w:tr>
      <w:tr w:rsidR="00E01B3E" w:rsidRPr="003B140D" w:rsidTr="000D472E">
        <w:trPr>
          <w:trHeight w:val="360"/>
        </w:trPr>
        <w:tc>
          <w:tcPr>
            <w:tcW w:w="1285" w:type="pct"/>
            <w:tcBorders>
              <w:top w:val="single" w:sz="4" w:space="0" w:color="auto"/>
              <w:left w:val="single" w:sz="4" w:space="0" w:color="auto"/>
              <w:bottom w:val="single" w:sz="4" w:space="0" w:color="auto"/>
              <w:right w:val="single" w:sz="4" w:space="0" w:color="auto"/>
            </w:tcBorders>
          </w:tcPr>
          <w:p w:rsidR="00E01B3E" w:rsidRPr="00E17531" w:rsidRDefault="00E01B3E" w:rsidP="00E01B3E">
            <w:pPr>
              <w:spacing w:before="40" w:after="40"/>
              <w:rPr>
                <w:rFonts w:ascii="Arial Narrow" w:hAnsi="Arial Narrow"/>
                <w:b/>
                <w:sz w:val="20"/>
              </w:rPr>
            </w:pPr>
            <w:r w:rsidRPr="00E17531">
              <w:rPr>
                <w:rFonts w:ascii="Arial Narrow" w:hAnsi="Arial Narrow"/>
                <w:b/>
                <w:sz w:val="20"/>
              </w:rPr>
              <w:t>Restriction Level / Method:</w:t>
            </w:r>
          </w:p>
        </w:tc>
        <w:tc>
          <w:tcPr>
            <w:tcW w:w="3715" w:type="pct"/>
            <w:gridSpan w:val="6"/>
            <w:tcBorders>
              <w:top w:val="single" w:sz="4" w:space="0" w:color="auto"/>
              <w:left w:val="single" w:sz="4" w:space="0" w:color="auto"/>
              <w:bottom w:val="single" w:sz="4" w:space="0" w:color="auto"/>
              <w:right w:val="single" w:sz="4" w:space="0" w:color="auto"/>
            </w:tcBorders>
          </w:tcPr>
          <w:p w:rsidR="00E01B3E" w:rsidRPr="003B140D" w:rsidRDefault="00E01B3E" w:rsidP="00E01B3E">
            <w:pPr>
              <w:spacing w:before="40" w:after="40"/>
              <w:rPr>
                <w:rFonts w:ascii="Arial Narrow" w:hAnsi="Arial Narrow"/>
                <w:sz w:val="20"/>
                <w:szCs w:val="20"/>
              </w:rPr>
            </w:pPr>
            <w:r w:rsidRPr="003B140D">
              <w:rPr>
                <w:rFonts w:ascii="Arial Narrow" w:hAnsi="Arial Narrow"/>
                <w:sz w:val="20"/>
                <w:szCs w:val="20"/>
              </w:rPr>
              <w:fldChar w:fldCharType="begin">
                <w:ffData>
                  <w:name w:val="Check1"/>
                  <w:enabled/>
                  <w:calcOnExit w:val="0"/>
                  <w:checkBox>
                    <w:sizeAuto/>
                    <w:default w:val="0"/>
                  </w:checkBox>
                </w:ffData>
              </w:fldChar>
            </w:r>
            <w:r w:rsidRPr="003B140D">
              <w:rPr>
                <w:rFonts w:ascii="Arial Narrow" w:hAnsi="Arial Narrow"/>
                <w:sz w:val="20"/>
                <w:szCs w:val="20"/>
              </w:rPr>
              <w:instrText xml:space="preserve"> FORMCHECKBOX </w:instrText>
            </w:r>
            <w:r w:rsidR="00E964DA">
              <w:rPr>
                <w:rFonts w:ascii="Arial Narrow" w:hAnsi="Arial Narrow"/>
                <w:sz w:val="20"/>
                <w:szCs w:val="20"/>
              </w:rPr>
            </w:r>
            <w:r w:rsidR="00E964DA">
              <w:rPr>
                <w:rFonts w:ascii="Arial Narrow" w:hAnsi="Arial Narrow"/>
                <w:sz w:val="20"/>
                <w:szCs w:val="20"/>
              </w:rPr>
              <w:fldChar w:fldCharType="separate"/>
            </w:r>
            <w:r w:rsidRPr="003B140D">
              <w:rPr>
                <w:rFonts w:ascii="Arial Narrow" w:hAnsi="Arial Narrow"/>
                <w:sz w:val="20"/>
                <w:szCs w:val="20"/>
              </w:rPr>
              <w:fldChar w:fldCharType="end"/>
            </w:r>
            <w:r w:rsidRPr="003B140D">
              <w:rPr>
                <w:rFonts w:ascii="Arial Narrow" w:hAnsi="Arial Narrow"/>
                <w:sz w:val="20"/>
                <w:szCs w:val="20"/>
              </w:rPr>
              <w:t>Restricted benefit</w:t>
            </w:r>
          </w:p>
          <w:p w:rsidR="00E01B3E" w:rsidRPr="003B140D" w:rsidRDefault="00E01B3E" w:rsidP="00E01B3E">
            <w:pPr>
              <w:spacing w:before="40" w:after="40"/>
              <w:rPr>
                <w:rFonts w:ascii="Arial Narrow" w:hAnsi="Arial Narrow"/>
                <w:sz w:val="20"/>
                <w:szCs w:val="20"/>
              </w:rPr>
            </w:pPr>
            <w:r w:rsidRPr="003B140D">
              <w:rPr>
                <w:rFonts w:ascii="Arial Narrow" w:hAnsi="Arial Narrow"/>
                <w:sz w:val="20"/>
                <w:szCs w:val="20"/>
              </w:rPr>
              <w:fldChar w:fldCharType="begin">
                <w:ffData>
                  <w:name w:val=""/>
                  <w:enabled/>
                  <w:calcOnExit w:val="0"/>
                  <w:checkBox>
                    <w:sizeAuto/>
                    <w:default w:val="0"/>
                  </w:checkBox>
                </w:ffData>
              </w:fldChar>
            </w:r>
            <w:r w:rsidRPr="003B140D">
              <w:rPr>
                <w:rFonts w:ascii="Arial Narrow" w:hAnsi="Arial Narrow"/>
                <w:sz w:val="20"/>
                <w:szCs w:val="20"/>
              </w:rPr>
              <w:instrText xml:space="preserve"> FORMCHECKBOX </w:instrText>
            </w:r>
            <w:r w:rsidR="00E964DA">
              <w:rPr>
                <w:rFonts w:ascii="Arial Narrow" w:hAnsi="Arial Narrow"/>
                <w:sz w:val="20"/>
                <w:szCs w:val="20"/>
              </w:rPr>
            </w:r>
            <w:r w:rsidR="00E964DA">
              <w:rPr>
                <w:rFonts w:ascii="Arial Narrow" w:hAnsi="Arial Narrow"/>
                <w:sz w:val="20"/>
                <w:szCs w:val="20"/>
              </w:rPr>
              <w:fldChar w:fldCharType="separate"/>
            </w:r>
            <w:r w:rsidRPr="003B140D">
              <w:rPr>
                <w:rFonts w:ascii="Arial Narrow" w:hAnsi="Arial Narrow"/>
                <w:sz w:val="20"/>
                <w:szCs w:val="20"/>
              </w:rPr>
              <w:fldChar w:fldCharType="end"/>
            </w:r>
            <w:r w:rsidRPr="003B140D">
              <w:rPr>
                <w:rFonts w:ascii="Arial Narrow" w:hAnsi="Arial Narrow"/>
                <w:sz w:val="20"/>
                <w:szCs w:val="20"/>
              </w:rPr>
              <w:t>Authority Required - In Writing</w:t>
            </w:r>
          </w:p>
          <w:p w:rsidR="00E01B3E" w:rsidRPr="003B140D" w:rsidRDefault="00E01B3E" w:rsidP="00E01B3E">
            <w:pPr>
              <w:spacing w:before="40" w:after="40"/>
              <w:rPr>
                <w:rFonts w:ascii="Arial Narrow" w:hAnsi="Arial Narrow"/>
                <w:sz w:val="20"/>
                <w:szCs w:val="20"/>
              </w:rPr>
            </w:pPr>
            <w:r w:rsidRPr="003B140D">
              <w:rPr>
                <w:rFonts w:ascii="Arial Narrow" w:hAnsi="Arial Narrow"/>
                <w:sz w:val="20"/>
                <w:szCs w:val="20"/>
              </w:rPr>
              <w:fldChar w:fldCharType="begin">
                <w:ffData>
                  <w:name w:val="Check3"/>
                  <w:enabled/>
                  <w:calcOnExit w:val="0"/>
                  <w:checkBox>
                    <w:sizeAuto/>
                    <w:default w:val="0"/>
                  </w:checkBox>
                </w:ffData>
              </w:fldChar>
            </w:r>
            <w:r w:rsidRPr="003B140D">
              <w:rPr>
                <w:rFonts w:ascii="Arial Narrow" w:hAnsi="Arial Narrow"/>
                <w:sz w:val="20"/>
                <w:szCs w:val="20"/>
              </w:rPr>
              <w:instrText xml:space="preserve"> FORMCHECKBOX </w:instrText>
            </w:r>
            <w:r w:rsidR="00E964DA">
              <w:rPr>
                <w:rFonts w:ascii="Arial Narrow" w:hAnsi="Arial Narrow"/>
                <w:sz w:val="20"/>
                <w:szCs w:val="20"/>
              </w:rPr>
            </w:r>
            <w:r w:rsidR="00E964DA">
              <w:rPr>
                <w:rFonts w:ascii="Arial Narrow" w:hAnsi="Arial Narrow"/>
                <w:sz w:val="20"/>
                <w:szCs w:val="20"/>
              </w:rPr>
              <w:fldChar w:fldCharType="separate"/>
            </w:r>
            <w:r w:rsidRPr="003B140D">
              <w:rPr>
                <w:rFonts w:ascii="Arial Narrow" w:hAnsi="Arial Narrow"/>
                <w:sz w:val="20"/>
                <w:szCs w:val="20"/>
              </w:rPr>
              <w:fldChar w:fldCharType="end"/>
            </w:r>
            <w:r w:rsidRPr="003B140D">
              <w:rPr>
                <w:rFonts w:ascii="Arial Narrow" w:hAnsi="Arial Narrow"/>
                <w:sz w:val="20"/>
                <w:szCs w:val="20"/>
              </w:rPr>
              <w:t>Authority Required - Telephone</w:t>
            </w:r>
          </w:p>
          <w:p w:rsidR="00E01B3E" w:rsidRPr="003B140D" w:rsidRDefault="00E01B3E" w:rsidP="00E01B3E">
            <w:pPr>
              <w:spacing w:before="40" w:after="40"/>
              <w:rPr>
                <w:rFonts w:ascii="Arial Narrow" w:hAnsi="Arial Narrow"/>
                <w:sz w:val="20"/>
                <w:szCs w:val="20"/>
              </w:rPr>
            </w:pPr>
            <w:r w:rsidRPr="003B140D">
              <w:rPr>
                <w:rFonts w:ascii="Arial Narrow" w:hAnsi="Arial Narrow"/>
                <w:sz w:val="20"/>
                <w:szCs w:val="20"/>
              </w:rPr>
              <w:fldChar w:fldCharType="begin">
                <w:ffData>
                  <w:name w:val=""/>
                  <w:enabled/>
                  <w:calcOnExit w:val="0"/>
                  <w:checkBox>
                    <w:sizeAuto/>
                    <w:default w:val="0"/>
                  </w:checkBox>
                </w:ffData>
              </w:fldChar>
            </w:r>
            <w:r w:rsidRPr="003B140D">
              <w:rPr>
                <w:rFonts w:ascii="Arial Narrow" w:hAnsi="Arial Narrow"/>
                <w:sz w:val="20"/>
                <w:szCs w:val="20"/>
              </w:rPr>
              <w:instrText xml:space="preserve"> FORMCHECKBOX </w:instrText>
            </w:r>
            <w:r w:rsidR="00E964DA">
              <w:rPr>
                <w:rFonts w:ascii="Arial Narrow" w:hAnsi="Arial Narrow"/>
                <w:sz w:val="20"/>
                <w:szCs w:val="20"/>
              </w:rPr>
            </w:r>
            <w:r w:rsidR="00E964DA">
              <w:rPr>
                <w:rFonts w:ascii="Arial Narrow" w:hAnsi="Arial Narrow"/>
                <w:sz w:val="20"/>
                <w:szCs w:val="20"/>
              </w:rPr>
              <w:fldChar w:fldCharType="separate"/>
            </w:r>
            <w:r w:rsidRPr="003B140D">
              <w:rPr>
                <w:rFonts w:ascii="Arial Narrow" w:hAnsi="Arial Narrow"/>
                <w:sz w:val="20"/>
                <w:szCs w:val="20"/>
              </w:rPr>
              <w:fldChar w:fldCharType="end"/>
            </w:r>
            <w:r w:rsidRPr="003B140D">
              <w:rPr>
                <w:rFonts w:ascii="Arial Narrow" w:hAnsi="Arial Narrow"/>
                <w:sz w:val="20"/>
                <w:szCs w:val="20"/>
              </w:rPr>
              <w:t>Authority Required – Emergency</w:t>
            </w:r>
          </w:p>
          <w:p w:rsidR="00E01B3E" w:rsidRPr="003B140D" w:rsidRDefault="00E01B3E" w:rsidP="00E01B3E">
            <w:pPr>
              <w:spacing w:before="40" w:after="40"/>
              <w:rPr>
                <w:rFonts w:ascii="Arial Narrow" w:hAnsi="Arial Narrow"/>
                <w:sz w:val="20"/>
                <w:szCs w:val="20"/>
              </w:rPr>
            </w:pPr>
            <w:r w:rsidRPr="003B140D">
              <w:rPr>
                <w:rFonts w:ascii="Arial Narrow" w:hAnsi="Arial Narrow"/>
                <w:sz w:val="20"/>
                <w:szCs w:val="20"/>
              </w:rPr>
              <w:fldChar w:fldCharType="begin">
                <w:ffData>
                  <w:name w:val="Check5"/>
                  <w:enabled/>
                  <w:calcOnExit w:val="0"/>
                  <w:checkBox>
                    <w:sizeAuto/>
                    <w:default w:val="0"/>
                  </w:checkBox>
                </w:ffData>
              </w:fldChar>
            </w:r>
            <w:r w:rsidRPr="003B140D">
              <w:rPr>
                <w:rFonts w:ascii="Arial Narrow" w:hAnsi="Arial Narrow"/>
                <w:sz w:val="20"/>
                <w:szCs w:val="20"/>
              </w:rPr>
              <w:instrText xml:space="preserve"> FORMCHECKBOX </w:instrText>
            </w:r>
            <w:r w:rsidR="00E964DA">
              <w:rPr>
                <w:rFonts w:ascii="Arial Narrow" w:hAnsi="Arial Narrow"/>
                <w:sz w:val="20"/>
                <w:szCs w:val="20"/>
              </w:rPr>
            </w:r>
            <w:r w:rsidR="00E964DA">
              <w:rPr>
                <w:rFonts w:ascii="Arial Narrow" w:hAnsi="Arial Narrow"/>
                <w:sz w:val="20"/>
                <w:szCs w:val="20"/>
              </w:rPr>
              <w:fldChar w:fldCharType="separate"/>
            </w:r>
            <w:r w:rsidRPr="003B140D">
              <w:rPr>
                <w:rFonts w:ascii="Arial Narrow" w:hAnsi="Arial Narrow"/>
                <w:sz w:val="20"/>
                <w:szCs w:val="20"/>
              </w:rPr>
              <w:fldChar w:fldCharType="end"/>
            </w:r>
            <w:r w:rsidRPr="003B140D">
              <w:rPr>
                <w:rFonts w:ascii="Arial Narrow" w:hAnsi="Arial Narrow"/>
                <w:sz w:val="20"/>
                <w:szCs w:val="20"/>
              </w:rPr>
              <w:t>Authority Required - Electronic</w:t>
            </w:r>
          </w:p>
          <w:p w:rsidR="00E01B3E" w:rsidRPr="003B140D" w:rsidRDefault="00E01B3E" w:rsidP="00E01B3E">
            <w:pPr>
              <w:spacing w:before="40" w:after="40"/>
              <w:rPr>
                <w:rFonts w:ascii="Arial Narrow" w:hAnsi="Arial Narrow"/>
                <w:sz w:val="20"/>
                <w:szCs w:val="20"/>
              </w:rPr>
            </w:pPr>
            <w:r w:rsidRPr="003B140D">
              <w:rPr>
                <w:rFonts w:ascii="Arial Narrow" w:hAnsi="Arial Narrow"/>
                <w:sz w:val="20"/>
                <w:szCs w:val="20"/>
              </w:rPr>
              <w:fldChar w:fldCharType="begin">
                <w:ffData>
                  <w:name w:val=""/>
                  <w:enabled/>
                  <w:calcOnExit w:val="0"/>
                  <w:checkBox>
                    <w:sizeAuto/>
                    <w:default w:val="1"/>
                  </w:checkBox>
                </w:ffData>
              </w:fldChar>
            </w:r>
            <w:r w:rsidRPr="003B140D">
              <w:rPr>
                <w:rFonts w:ascii="Arial Narrow" w:hAnsi="Arial Narrow"/>
                <w:sz w:val="20"/>
                <w:szCs w:val="20"/>
              </w:rPr>
              <w:instrText xml:space="preserve"> FORMCHECKBOX </w:instrText>
            </w:r>
            <w:r w:rsidR="00E964DA">
              <w:rPr>
                <w:rFonts w:ascii="Arial Narrow" w:hAnsi="Arial Narrow"/>
                <w:sz w:val="20"/>
                <w:szCs w:val="20"/>
              </w:rPr>
            </w:r>
            <w:r w:rsidR="00E964DA">
              <w:rPr>
                <w:rFonts w:ascii="Arial Narrow" w:hAnsi="Arial Narrow"/>
                <w:sz w:val="20"/>
                <w:szCs w:val="20"/>
              </w:rPr>
              <w:fldChar w:fldCharType="separate"/>
            </w:r>
            <w:r w:rsidRPr="003B140D">
              <w:rPr>
                <w:rFonts w:ascii="Arial Narrow" w:hAnsi="Arial Narrow"/>
                <w:sz w:val="20"/>
                <w:szCs w:val="20"/>
              </w:rPr>
              <w:fldChar w:fldCharType="end"/>
            </w:r>
            <w:r w:rsidRPr="003B140D">
              <w:rPr>
                <w:rFonts w:ascii="Arial Narrow" w:hAnsi="Arial Narrow"/>
                <w:sz w:val="20"/>
                <w:szCs w:val="20"/>
              </w:rPr>
              <w:t>Streamlined</w:t>
            </w:r>
          </w:p>
        </w:tc>
      </w:tr>
      <w:tr w:rsidR="00E01B3E" w:rsidRPr="003B140D" w:rsidTr="000D472E">
        <w:trPr>
          <w:trHeight w:val="360"/>
        </w:trPr>
        <w:tc>
          <w:tcPr>
            <w:tcW w:w="1285" w:type="pct"/>
            <w:tcBorders>
              <w:top w:val="single" w:sz="4" w:space="0" w:color="auto"/>
              <w:left w:val="single" w:sz="4" w:space="0" w:color="auto"/>
              <w:bottom w:val="single" w:sz="4" w:space="0" w:color="auto"/>
              <w:right w:val="single" w:sz="4" w:space="0" w:color="auto"/>
            </w:tcBorders>
          </w:tcPr>
          <w:p w:rsidR="00E01B3E" w:rsidRPr="00E17531" w:rsidRDefault="00E01B3E" w:rsidP="00E01B3E">
            <w:pPr>
              <w:spacing w:before="40" w:after="40"/>
              <w:rPr>
                <w:rFonts w:ascii="Arial Narrow" w:hAnsi="Arial Narrow"/>
                <w:b/>
                <w:sz w:val="20"/>
              </w:rPr>
            </w:pPr>
            <w:r w:rsidRPr="00E17531">
              <w:rPr>
                <w:rFonts w:ascii="Arial Narrow" w:hAnsi="Arial Narrow"/>
                <w:b/>
                <w:sz w:val="20"/>
              </w:rPr>
              <w:t>Clinical criteria:</w:t>
            </w:r>
          </w:p>
        </w:tc>
        <w:tc>
          <w:tcPr>
            <w:tcW w:w="3715" w:type="pct"/>
            <w:gridSpan w:val="6"/>
            <w:tcBorders>
              <w:top w:val="single" w:sz="4" w:space="0" w:color="auto"/>
              <w:left w:val="single" w:sz="4" w:space="0" w:color="auto"/>
              <w:bottom w:val="single" w:sz="4" w:space="0" w:color="auto"/>
              <w:right w:val="single" w:sz="4" w:space="0" w:color="auto"/>
            </w:tcBorders>
          </w:tcPr>
          <w:p w:rsidR="00E01B3E" w:rsidRPr="003B140D" w:rsidRDefault="00E01B3E" w:rsidP="00E01B3E">
            <w:pPr>
              <w:spacing w:before="40" w:after="40"/>
              <w:rPr>
                <w:rFonts w:ascii="Arial Narrow" w:hAnsi="Arial Narrow"/>
                <w:sz w:val="20"/>
                <w:szCs w:val="20"/>
              </w:rPr>
            </w:pPr>
            <w:r w:rsidRPr="003B140D">
              <w:rPr>
                <w:rFonts w:ascii="Arial Narrow" w:hAnsi="Arial Narrow"/>
                <w:strike/>
                <w:sz w:val="20"/>
                <w:szCs w:val="20"/>
              </w:rPr>
              <w:t>The condition must be previously untreated</w:t>
            </w:r>
            <w:r w:rsidR="000B32B0" w:rsidRPr="003B140D">
              <w:rPr>
                <w:rFonts w:ascii="Arial Narrow" w:hAnsi="Arial Narrow"/>
                <w:sz w:val="20"/>
                <w:szCs w:val="20"/>
              </w:rPr>
              <w:t xml:space="preserve"> </w:t>
            </w:r>
            <w:r w:rsidR="000B32B0" w:rsidRPr="003B140D">
              <w:rPr>
                <w:rFonts w:ascii="Arial Narrow" w:hAnsi="Arial Narrow"/>
                <w:i/>
                <w:sz w:val="20"/>
                <w:szCs w:val="20"/>
              </w:rPr>
              <w:t>Patient must not have been treated for this condition in the metastatic setting</w:t>
            </w:r>
            <w:r w:rsidRPr="003B140D">
              <w:rPr>
                <w:rFonts w:ascii="Arial Narrow" w:hAnsi="Arial Narrow"/>
                <w:sz w:val="20"/>
                <w:szCs w:val="20"/>
              </w:rPr>
              <w:t>,</w:t>
            </w:r>
          </w:p>
          <w:p w:rsidR="00E01B3E" w:rsidRPr="003B140D" w:rsidRDefault="00E01B3E" w:rsidP="00E01B3E">
            <w:pPr>
              <w:spacing w:before="40" w:after="40"/>
              <w:rPr>
                <w:rFonts w:ascii="Arial Narrow" w:hAnsi="Arial Narrow"/>
                <w:sz w:val="20"/>
                <w:szCs w:val="20"/>
              </w:rPr>
            </w:pPr>
            <w:r w:rsidRPr="003B140D">
              <w:rPr>
                <w:rFonts w:ascii="Arial Narrow" w:hAnsi="Arial Narrow"/>
                <w:sz w:val="20"/>
                <w:szCs w:val="20"/>
              </w:rPr>
              <w:t>AND</w:t>
            </w:r>
          </w:p>
          <w:p w:rsidR="00E01B3E" w:rsidRPr="003B140D" w:rsidRDefault="00E01B3E" w:rsidP="00E01B3E">
            <w:pPr>
              <w:spacing w:before="40" w:after="40"/>
              <w:rPr>
                <w:rFonts w:ascii="Arial Narrow" w:hAnsi="Arial Narrow"/>
                <w:sz w:val="20"/>
                <w:szCs w:val="20"/>
              </w:rPr>
            </w:pPr>
            <w:r w:rsidRPr="003B140D">
              <w:rPr>
                <w:rFonts w:ascii="Arial Narrow" w:hAnsi="Arial Narrow"/>
                <w:sz w:val="20"/>
                <w:szCs w:val="20"/>
              </w:rPr>
              <w:t>The treatment must be the sole PBS-subsidised therapy for this condition,</w:t>
            </w:r>
          </w:p>
          <w:p w:rsidR="00E01B3E" w:rsidRPr="003B140D" w:rsidRDefault="00E01B3E" w:rsidP="00E01B3E">
            <w:pPr>
              <w:spacing w:before="40" w:after="40"/>
              <w:rPr>
                <w:rFonts w:ascii="Arial Narrow" w:hAnsi="Arial Narrow"/>
                <w:sz w:val="20"/>
                <w:szCs w:val="20"/>
              </w:rPr>
            </w:pPr>
            <w:r w:rsidRPr="003B140D">
              <w:rPr>
                <w:rFonts w:ascii="Arial Narrow" w:hAnsi="Arial Narrow"/>
                <w:sz w:val="20"/>
                <w:szCs w:val="20"/>
              </w:rPr>
              <w:t>AND</w:t>
            </w:r>
          </w:p>
          <w:p w:rsidR="00E01B3E" w:rsidRPr="003B140D" w:rsidRDefault="00E01B3E" w:rsidP="00E01B3E">
            <w:pPr>
              <w:spacing w:before="40" w:after="40"/>
              <w:rPr>
                <w:rFonts w:ascii="Arial Narrow" w:hAnsi="Arial Narrow"/>
                <w:sz w:val="20"/>
                <w:szCs w:val="20"/>
              </w:rPr>
            </w:pPr>
            <w:r w:rsidRPr="003B140D">
              <w:rPr>
                <w:rFonts w:ascii="Arial Narrow" w:hAnsi="Arial Narrow"/>
                <w:sz w:val="20"/>
                <w:szCs w:val="20"/>
              </w:rPr>
              <w:t>Patient must have a WHO performance status score of 0 or 1,</w:t>
            </w:r>
          </w:p>
          <w:p w:rsidR="00E01B3E" w:rsidRPr="003B140D" w:rsidRDefault="00E01B3E" w:rsidP="00E01B3E">
            <w:pPr>
              <w:spacing w:before="40" w:after="40"/>
              <w:rPr>
                <w:rFonts w:ascii="Arial Narrow" w:hAnsi="Arial Narrow"/>
                <w:sz w:val="20"/>
                <w:szCs w:val="20"/>
              </w:rPr>
            </w:pPr>
            <w:r w:rsidRPr="003B140D">
              <w:rPr>
                <w:rFonts w:ascii="Arial Narrow" w:hAnsi="Arial Narrow"/>
                <w:sz w:val="20"/>
                <w:szCs w:val="20"/>
              </w:rPr>
              <w:t>AND</w:t>
            </w:r>
          </w:p>
          <w:p w:rsidR="00E01B3E" w:rsidRPr="003B140D" w:rsidRDefault="00E01B3E" w:rsidP="00E01B3E">
            <w:pPr>
              <w:spacing w:before="40" w:after="40"/>
              <w:rPr>
                <w:rFonts w:ascii="Arial Narrow" w:hAnsi="Arial Narrow"/>
                <w:sz w:val="20"/>
                <w:szCs w:val="20"/>
              </w:rPr>
            </w:pPr>
            <w:r w:rsidRPr="003B140D">
              <w:rPr>
                <w:rFonts w:ascii="Arial Narrow" w:hAnsi="Arial Narrow"/>
                <w:sz w:val="20"/>
                <w:szCs w:val="20"/>
              </w:rPr>
              <w:t xml:space="preserve">The treatment must not exceed a total of </w:t>
            </w:r>
            <w:r w:rsidRPr="001D781D">
              <w:rPr>
                <w:rFonts w:ascii="Arial Narrow" w:hAnsi="Arial Narrow"/>
                <w:strike/>
                <w:sz w:val="20"/>
                <w:szCs w:val="20"/>
              </w:rPr>
              <w:t>6</w:t>
            </w:r>
            <w:r w:rsidRPr="003B140D">
              <w:rPr>
                <w:rFonts w:ascii="Arial Narrow" w:hAnsi="Arial Narrow"/>
                <w:sz w:val="20"/>
                <w:szCs w:val="20"/>
              </w:rPr>
              <w:t xml:space="preserve"> </w:t>
            </w:r>
            <w:r w:rsidR="001D781D" w:rsidRPr="001D781D">
              <w:rPr>
                <w:rFonts w:ascii="Arial Narrow" w:hAnsi="Arial Narrow"/>
                <w:i/>
                <w:sz w:val="20"/>
                <w:szCs w:val="20"/>
              </w:rPr>
              <w:t>7</w:t>
            </w:r>
            <w:r w:rsidR="001D781D">
              <w:rPr>
                <w:rFonts w:ascii="Arial Narrow" w:hAnsi="Arial Narrow"/>
                <w:sz w:val="20"/>
                <w:szCs w:val="20"/>
              </w:rPr>
              <w:t xml:space="preserve"> </w:t>
            </w:r>
            <w:r w:rsidRPr="003B140D">
              <w:rPr>
                <w:rFonts w:ascii="Arial Narrow" w:hAnsi="Arial Narrow"/>
                <w:sz w:val="20"/>
                <w:szCs w:val="20"/>
              </w:rPr>
              <w:t>doses at a maximum dose of 200 mg every 3 weeks.</w:t>
            </w:r>
          </w:p>
        </w:tc>
      </w:tr>
      <w:tr w:rsidR="00E01B3E" w:rsidRPr="003B140D" w:rsidTr="000D472E">
        <w:trPr>
          <w:trHeight w:val="360"/>
        </w:trPr>
        <w:tc>
          <w:tcPr>
            <w:tcW w:w="1285" w:type="pct"/>
            <w:tcBorders>
              <w:top w:val="single" w:sz="4" w:space="0" w:color="auto"/>
              <w:left w:val="single" w:sz="4" w:space="0" w:color="auto"/>
              <w:bottom w:val="single" w:sz="4" w:space="0" w:color="auto"/>
              <w:right w:val="single" w:sz="4" w:space="0" w:color="auto"/>
            </w:tcBorders>
          </w:tcPr>
          <w:p w:rsidR="00E01B3E" w:rsidRPr="00E17531" w:rsidRDefault="00E01B3E" w:rsidP="00E01B3E">
            <w:pPr>
              <w:spacing w:before="40" w:after="40"/>
              <w:rPr>
                <w:rFonts w:ascii="Arial Narrow" w:hAnsi="Arial Narrow"/>
                <w:b/>
                <w:sz w:val="20"/>
              </w:rPr>
            </w:pPr>
            <w:r w:rsidRPr="00E17531">
              <w:rPr>
                <w:rFonts w:ascii="Arial Narrow" w:hAnsi="Arial Narrow"/>
                <w:b/>
                <w:sz w:val="20"/>
              </w:rPr>
              <w:t>Population criteria:</w:t>
            </w:r>
          </w:p>
        </w:tc>
        <w:tc>
          <w:tcPr>
            <w:tcW w:w="3715" w:type="pct"/>
            <w:gridSpan w:val="6"/>
            <w:tcBorders>
              <w:top w:val="single" w:sz="4" w:space="0" w:color="auto"/>
              <w:left w:val="single" w:sz="4" w:space="0" w:color="auto"/>
              <w:bottom w:val="single" w:sz="4" w:space="0" w:color="auto"/>
              <w:right w:val="single" w:sz="4" w:space="0" w:color="auto"/>
            </w:tcBorders>
          </w:tcPr>
          <w:p w:rsidR="00E01B3E" w:rsidRPr="003B140D" w:rsidRDefault="00E06BD4" w:rsidP="00E01B3E">
            <w:pPr>
              <w:spacing w:before="40" w:after="40"/>
              <w:rPr>
                <w:rFonts w:ascii="Arial Narrow" w:hAnsi="Arial Narrow"/>
                <w:sz w:val="20"/>
                <w:szCs w:val="20"/>
              </w:rPr>
            </w:pPr>
            <w:r w:rsidRPr="003B140D">
              <w:rPr>
                <w:rFonts w:ascii="Arial Narrow" w:hAnsi="Arial Narrow"/>
                <w:sz w:val="20"/>
                <w:szCs w:val="20"/>
              </w:rPr>
              <w:t>Patient must have evidence of programmed cell death ligand 1 (PD-L1) expression in at least 50% of tumour cells in the tumour sample</w:t>
            </w:r>
            <w:r w:rsidR="00E01B3E" w:rsidRPr="003B140D">
              <w:rPr>
                <w:rFonts w:ascii="Arial Narrow" w:hAnsi="Arial Narrow"/>
                <w:sz w:val="20"/>
                <w:szCs w:val="20"/>
              </w:rPr>
              <w:t>,</w:t>
            </w:r>
          </w:p>
          <w:p w:rsidR="00E01B3E" w:rsidRPr="003B140D" w:rsidRDefault="00E01B3E" w:rsidP="00E01B3E">
            <w:pPr>
              <w:spacing w:before="40" w:after="40"/>
              <w:rPr>
                <w:rFonts w:ascii="Arial Narrow" w:hAnsi="Arial Narrow"/>
                <w:sz w:val="20"/>
                <w:szCs w:val="20"/>
              </w:rPr>
            </w:pPr>
            <w:r w:rsidRPr="003B140D">
              <w:rPr>
                <w:rFonts w:ascii="Arial Narrow" w:hAnsi="Arial Narrow"/>
                <w:sz w:val="20"/>
                <w:szCs w:val="20"/>
              </w:rPr>
              <w:t>AND</w:t>
            </w:r>
          </w:p>
          <w:p w:rsidR="00E01B3E" w:rsidRPr="003B140D" w:rsidRDefault="00E01B3E" w:rsidP="00E01B3E">
            <w:pPr>
              <w:spacing w:before="40" w:after="40"/>
              <w:rPr>
                <w:rFonts w:ascii="Arial Narrow" w:hAnsi="Arial Narrow"/>
                <w:sz w:val="20"/>
                <w:szCs w:val="20"/>
              </w:rPr>
            </w:pPr>
            <w:r w:rsidRPr="003B140D">
              <w:rPr>
                <w:rFonts w:ascii="Arial Narrow" w:hAnsi="Arial Narrow"/>
                <w:sz w:val="20"/>
                <w:szCs w:val="20"/>
              </w:rPr>
              <w:t>Patient must have no evidence of an activating epidermal growth factor receptor (EGFR) gene or of an anaplastic lymphoma kinase (ALK) gene rearrangement in tumour material.</w:t>
            </w:r>
          </w:p>
        </w:tc>
      </w:tr>
      <w:tr w:rsidR="00E01B3E" w:rsidRPr="003B140D" w:rsidTr="000D472E">
        <w:trPr>
          <w:trHeight w:val="360"/>
        </w:trPr>
        <w:tc>
          <w:tcPr>
            <w:tcW w:w="1285" w:type="pct"/>
            <w:tcBorders>
              <w:top w:val="single" w:sz="4" w:space="0" w:color="auto"/>
              <w:left w:val="single" w:sz="4" w:space="0" w:color="auto"/>
              <w:bottom w:val="single" w:sz="4" w:space="0" w:color="auto"/>
              <w:right w:val="single" w:sz="4" w:space="0" w:color="auto"/>
            </w:tcBorders>
          </w:tcPr>
          <w:p w:rsidR="00E01B3E" w:rsidRPr="00E17531" w:rsidRDefault="00E01B3E" w:rsidP="00E01B3E">
            <w:pPr>
              <w:spacing w:before="40" w:after="40"/>
              <w:rPr>
                <w:rFonts w:ascii="Arial Narrow" w:hAnsi="Arial Narrow"/>
                <w:b/>
                <w:sz w:val="20"/>
              </w:rPr>
            </w:pPr>
            <w:r w:rsidRPr="00E17531">
              <w:rPr>
                <w:rFonts w:ascii="Arial Narrow" w:hAnsi="Arial Narrow"/>
                <w:b/>
                <w:sz w:val="20"/>
              </w:rPr>
              <w:t>Administrative Advice</w:t>
            </w:r>
          </w:p>
        </w:tc>
        <w:tc>
          <w:tcPr>
            <w:tcW w:w="3715" w:type="pct"/>
            <w:gridSpan w:val="6"/>
            <w:tcBorders>
              <w:top w:val="single" w:sz="4" w:space="0" w:color="auto"/>
              <w:left w:val="single" w:sz="4" w:space="0" w:color="auto"/>
              <w:bottom w:val="single" w:sz="4" w:space="0" w:color="auto"/>
              <w:right w:val="single" w:sz="4" w:space="0" w:color="auto"/>
            </w:tcBorders>
          </w:tcPr>
          <w:p w:rsidR="00E01B3E" w:rsidRPr="003B140D" w:rsidRDefault="00E01B3E" w:rsidP="00E01B3E">
            <w:pPr>
              <w:spacing w:before="40" w:after="40"/>
              <w:rPr>
                <w:rFonts w:ascii="Arial Narrow" w:hAnsi="Arial Narrow"/>
                <w:sz w:val="20"/>
                <w:szCs w:val="20"/>
              </w:rPr>
            </w:pPr>
            <w:r w:rsidRPr="003B140D">
              <w:rPr>
                <w:rFonts w:ascii="Arial Narrow" w:hAnsi="Arial Narrow"/>
                <w:sz w:val="20"/>
                <w:szCs w:val="20"/>
              </w:rPr>
              <w:t>No increase in the maximum number of repeats will be authorised.</w:t>
            </w:r>
          </w:p>
          <w:p w:rsidR="00E01B3E" w:rsidRPr="003B140D" w:rsidRDefault="00E01B3E" w:rsidP="00E01B3E">
            <w:pPr>
              <w:spacing w:before="40" w:after="40"/>
              <w:rPr>
                <w:rFonts w:ascii="Arial Narrow" w:hAnsi="Arial Narrow"/>
                <w:sz w:val="20"/>
                <w:szCs w:val="20"/>
              </w:rPr>
            </w:pPr>
            <w:r w:rsidRPr="003B140D">
              <w:rPr>
                <w:rFonts w:ascii="Arial Narrow" w:hAnsi="Arial Narrow"/>
                <w:sz w:val="20"/>
                <w:szCs w:val="20"/>
              </w:rPr>
              <w:t>In the first few months after start of immunotherapy, some patients can have a transient tumour flare with subsequent disease response. When progression is suspected, this should be confirmed through a confirmatory scan, taken at least 4 weeks later.</w:t>
            </w:r>
          </w:p>
          <w:p w:rsidR="00E01B3E" w:rsidRPr="003B140D" w:rsidRDefault="00E01B3E" w:rsidP="00E01B3E">
            <w:pPr>
              <w:spacing w:before="40" w:after="40"/>
              <w:rPr>
                <w:rFonts w:ascii="Arial Narrow" w:hAnsi="Arial Narrow"/>
                <w:sz w:val="20"/>
                <w:szCs w:val="20"/>
              </w:rPr>
            </w:pPr>
            <w:r w:rsidRPr="003B140D">
              <w:rPr>
                <w:rFonts w:ascii="Arial Narrow" w:hAnsi="Arial Narrow"/>
                <w:sz w:val="20"/>
                <w:szCs w:val="20"/>
              </w:rPr>
              <w:t>Special pricing arrangements apply.</w:t>
            </w:r>
          </w:p>
        </w:tc>
      </w:tr>
    </w:tbl>
    <w:p w:rsidR="00E01B3E" w:rsidRPr="00E17531" w:rsidRDefault="00E01B3E" w:rsidP="00E01B3E">
      <w:pPr>
        <w:pStyle w:val="TableFooter"/>
      </w:pPr>
      <w:r w:rsidRPr="00E17531">
        <w:rPr>
          <w:vertAlign w:val="superscript"/>
        </w:rPr>
        <w:t>a</w:t>
      </w:r>
      <w:r w:rsidRPr="00E17531">
        <w:t xml:space="preserve"> Both for initial treatment and continuing treatment</w:t>
      </w:r>
    </w:p>
    <w:p w:rsidR="00E01B3E" w:rsidRPr="00E17531" w:rsidRDefault="00E01B3E" w:rsidP="00E01B3E">
      <w:pPr>
        <w:pStyle w:val="TableFooter"/>
      </w:pPr>
      <w:r w:rsidRPr="00E17531">
        <w:rPr>
          <w:vertAlign w:val="superscript"/>
        </w:rPr>
        <w:t>b</w:t>
      </w:r>
      <w:r w:rsidRPr="00E17531">
        <w:t xml:space="preserve"> The dispensed prices have been recalculated using the Efficient Funding of Chemotherapy (EFC) fees as updated in July 2017.</w:t>
      </w:r>
    </w:p>
    <w:p w:rsidR="00E01B3E" w:rsidRDefault="00E01B3E" w:rsidP="00D62320">
      <w:pPr>
        <w:pStyle w:val="TableFooter"/>
      </w:pPr>
      <w:r w:rsidRPr="00E17531">
        <w:rPr>
          <w:vertAlign w:val="superscript"/>
        </w:rPr>
        <w:t>c</w:t>
      </w:r>
      <w:r w:rsidRPr="00E17531">
        <w:t xml:space="preserve"> Prices related to proposed special price arrangement</w:t>
      </w:r>
    </w:p>
    <w:tbl>
      <w:tblPr>
        <w:tblW w:w="5000" w:type="pct"/>
        <w:tblLook w:val="0000" w:firstRow="0" w:lastRow="0" w:firstColumn="0" w:lastColumn="0" w:noHBand="0" w:noVBand="0"/>
      </w:tblPr>
      <w:tblGrid>
        <w:gridCol w:w="2375"/>
        <w:gridCol w:w="6867"/>
      </w:tblGrid>
      <w:tr w:rsidR="00E01B3E" w:rsidRPr="003B140D" w:rsidTr="00E01B3E">
        <w:trPr>
          <w:cantSplit/>
        </w:trPr>
        <w:tc>
          <w:tcPr>
            <w:tcW w:w="5000" w:type="pct"/>
            <w:gridSpan w:val="2"/>
          </w:tcPr>
          <w:p w:rsidR="00E01B3E" w:rsidRPr="003B140D" w:rsidRDefault="00E01B3E" w:rsidP="00E01B3E">
            <w:pPr>
              <w:keepNext/>
              <w:spacing w:before="40" w:after="40"/>
              <w:rPr>
                <w:rFonts w:ascii="Arial Narrow" w:hAnsi="Arial Narrow"/>
                <w:b/>
                <w:sz w:val="20"/>
                <w:szCs w:val="20"/>
                <w:u w:val="single"/>
              </w:rPr>
            </w:pPr>
            <w:r w:rsidRPr="003B140D">
              <w:rPr>
                <w:rFonts w:ascii="Arial Narrow" w:hAnsi="Arial Narrow"/>
                <w:b/>
                <w:sz w:val="20"/>
                <w:szCs w:val="20"/>
                <w:u w:val="single"/>
              </w:rPr>
              <w:t>Treatment phase: Grandfathering</w:t>
            </w:r>
          </w:p>
        </w:tc>
      </w:tr>
      <w:tr w:rsidR="00E01B3E" w:rsidRPr="003B140D" w:rsidTr="000D472E">
        <w:trPr>
          <w:trHeight w:val="275"/>
        </w:trPr>
        <w:tc>
          <w:tcPr>
            <w:tcW w:w="1285" w:type="pct"/>
            <w:tcBorders>
              <w:top w:val="single" w:sz="4" w:space="0" w:color="auto"/>
              <w:left w:val="single" w:sz="4" w:space="0" w:color="auto"/>
              <w:bottom w:val="single" w:sz="4" w:space="0" w:color="auto"/>
              <w:right w:val="single" w:sz="4" w:space="0" w:color="auto"/>
            </w:tcBorders>
          </w:tcPr>
          <w:p w:rsidR="00E01B3E" w:rsidRPr="003B140D" w:rsidRDefault="00E01B3E" w:rsidP="00E01B3E">
            <w:pPr>
              <w:spacing w:before="40" w:after="40"/>
              <w:rPr>
                <w:rFonts w:ascii="Arial Narrow" w:hAnsi="Arial Narrow"/>
                <w:b/>
                <w:sz w:val="20"/>
                <w:szCs w:val="20"/>
              </w:rPr>
            </w:pPr>
            <w:r w:rsidRPr="003B140D">
              <w:rPr>
                <w:rFonts w:ascii="Arial Narrow" w:hAnsi="Arial Narrow"/>
                <w:b/>
                <w:sz w:val="20"/>
                <w:szCs w:val="20"/>
              </w:rPr>
              <w:t>Category / Program</w:t>
            </w:r>
          </w:p>
        </w:tc>
        <w:tc>
          <w:tcPr>
            <w:tcW w:w="3715" w:type="pct"/>
            <w:tcBorders>
              <w:top w:val="single" w:sz="4" w:space="0" w:color="auto"/>
              <w:left w:val="single" w:sz="4" w:space="0" w:color="auto"/>
              <w:bottom w:val="single" w:sz="4" w:space="0" w:color="auto"/>
              <w:right w:val="single" w:sz="4" w:space="0" w:color="auto"/>
            </w:tcBorders>
          </w:tcPr>
          <w:p w:rsidR="00E01B3E" w:rsidRPr="003B140D" w:rsidRDefault="00E01B3E" w:rsidP="00E01B3E">
            <w:pPr>
              <w:spacing w:before="40" w:after="40"/>
              <w:rPr>
                <w:rFonts w:ascii="Arial Narrow" w:hAnsi="Arial Narrow"/>
                <w:sz w:val="20"/>
                <w:szCs w:val="20"/>
              </w:rPr>
            </w:pPr>
            <w:r w:rsidRPr="003B140D">
              <w:rPr>
                <w:rFonts w:ascii="Arial Narrow" w:hAnsi="Arial Narrow"/>
                <w:sz w:val="20"/>
                <w:szCs w:val="20"/>
              </w:rPr>
              <w:t>Section 100 – Efficient funding of chemotherapy</w:t>
            </w:r>
          </w:p>
        </w:tc>
      </w:tr>
      <w:tr w:rsidR="00E01B3E" w:rsidRPr="003B140D" w:rsidTr="000D472E">
        <w:trPr>
          <w:trHeight w:val="360"/>
        </w:trPr>
        <w:tc>
          <w:tcPr>
            <w:tcW w:w="1285" w:type="pct"/>
            <w:tcBorders>
              <w:top w:val="single" w:sz="4" w:space="0" w:color="auto"/>
              <w:left w:val="single" w:sz="4" w:space="0" w:color="auto"/>
              <w:bottom w:val="single" w:sz="4" w:space="0" w:color="auto"/>
              <w:right w:val="single" w:sz="4" w:space="0" w:color="auto"/>
            </w:tcBorders>
          </w:tcPr>
          <w:p w:rsidR="00E01B3E" w:rsidRPr="003B140D" w:rsidRDefault="00E01B3E" w:rsidP="000D472E">
            <w:pPr>
              <w:spacing w:before="40" w:after="40"/>
              <w:rPr>
                <w:rFonts w:ascii="Arial Narrow" w:hAnsi="Arial Narrow"/>
                <w:b/>
                <w:sz w:val="20"/>
                <w:szCs w:val="20"/>
              </w:rPr>
            </w:pPr>
            <w:r w:rsidRPr="003B140D">
              <w:rPr>
                <w:rFonts w:ascii="Arial Narrow" w:hAnsi="Arial Narrow"/>
                <w:b/>
                <w:sz w:val="20"/>
                <w:szCs w:val="20"/>
              </w:rPr>
              <w:t>Prescriber type:</w:t>
            </w:r>
          </w:p>
        </w:tc>
        <w:tc>
          <w:tcPr>
            <w:tcW w:w="3715" w:type="pct"/>
            <w:tcBorders>
              <w:top w:val="single" w:sz="4" w:space="0" w:color="auto"/>
              <w:left w:val="single" w:sz="4" w:space="0" w:color="auto"/>
              <w:bottom w:val="single" w:sz="4" w:space="0" w:color="auto"/>
              <w:right w:val="single" w:sz="4" w:space="0" w:color="auto"/>
            </w:tcBorders>
          </w:tcPr>
          <w:p w:rsidR="00E01B3E" w:rsidRPr="003B140D" w:rsidRDefault="00E01B3E" w:rsidP="000D472E">
            <w:pPr>
              <w:spacing w:before="40" w:after="40"/>
              <w:rPr>
                <w:rFonts w:ascii="Arial Narrow" w:hAnsi="Arial Narrow"/>
                <w:sz w:val="20"/>
                <w:szCs w:val="20"/>
              </w:rPr>
            </w:pPr>
            <w:r w:rsidRPr="003B140D">
              <w:rPr>
                <w:rFonts w:ascii="Arial Narrow" w:hAnsi="Arial Narrow"/>
                <w:sz w:val="20"/>
                <w:szCs w:val="20"/>
              </w:rPr>
              <w:fldChar w:fldCharType="begin">
                <w:ffData>
                  <w:name w:val="Check1"/>
                  <w:enabled/>
                  <w:calcOnExit w:val="0"/>
                  <w:checkBox>
                    <w:sizeAuto/>
                    <w:default w:val="0"/>
                  </w:checkBox>
                </w:ffData>
              </w:fldChar>
            </w:r>
            <w:r w:rsidRPr="003B140D">
              <w:rPr>
                <w:rFonts w:ascii="Arial Narrow" w:hAnsi="Arial Narrow"/>
                <w:sz w:val="20"/>
                <w:szCs w:val="20"/>
              </w:rPr>
              <w:instrText xml:space="preserve"> FORMCHECKBOX </w:instrText>
            </w:r>
            <w:r w:rsidR="00E964DA">
              <w:rPr>
                <w:rFonts w:ascii="Arial Narrow" w:hAnsi="Arial Narrow"/>
                <w:sz w:val="20"/>
                <w:szCs w:val="20"/>
              </w:rPr>
            </w:r>
            <w:r w:rsidR="00E964DA">
              <w:rPr>
                <w:rFonts w:ascii="Arial Narrow" w:hAnsi="Arial Narrow"/>
                <w:sz w:val="20"/>
                <w:szCs w:val="20"/>
              </w:rPr>
              <w:fldChar w:fldCharType="separate"/>
            </w:r>
            <w:r w:rsidRPr="003B140D">
              <w:rPr>
                <w:rFonts w:ascii="Arial Narrow" w:hAnsi="Arial Narrow"/>
                <w:sz w:val="20"/>
                <w:szCs w:val="20"/>
              </w:rPr>
              <w:fldChar w:fldCharType="end"/>
            </w:r>
            <w:r w:rsidRPr="003B140D">
              <w:rPr>
                <w:rFonts w:ascii="Arial Narrow" w:hAnsi="Arial Narrow"/>
                <w:sz w:val="20"/>
                <w:szCs w:val="20"/>
              </w:rPr>
              <w:t xml:space="preserve">Dental  </w:t>
            </w:r>
            <w:r w:rsidRPr="003B140D">
              <w:rPr>
                <w:rFonts w:ascii="Arial Narrow" w:hAnsi="Arial Narrow"/>
                <w:sz w:val="20"/>
                <w:szCs w:val="20"/>
              </w:rPr>
              <w:fldChar w:fldCharType="begin">
                <w:ffData>
                  <w:name w:val=""/>
                  <w:enabled/>
                  <w:calcOnExit w:val="0"/>
                  <w:checkBox>
                    <w:sizeAuto/>
                    <w:default w:val="1"/>
                  </w:checkBox>
                </w:ffData>
              </w:fldChar>
            </w:r>
            <w:r w:rsidRPr="003B140D">
              <w:rPr>
                <w:rFonts w:ascii="Arial Narrow" w:hAnsi="Arial Narrow"/>
                <w:sz w:val="20"/>
                <w:szCs w:val="20"/>
              </w:rPr>
              <w:instrText xml:space="preserve"> FORMCHECKBOX </w:instrText>
            </w:r>
            <w:r w:rsidR="00E964DA">
              <w:rPr>
                <w:rFonts w:ascii="Arial Narrow" w:hAnsi="Arial Narrow"/>
                <w:sz w:val="20"/>
                <w:szCs w:val="20"/>
              </w:rPr>
            </w:r>
            <w:r w:rsidR="00E964DA">
              <w:rPr>
                <w:rFonts w:ascii="Arial Narrow" w:hAnsi="Arial Narrow"/>
                <w:sz w:val="20"/>
                <w:szCs w:val="20"/>
              </w:rPr>
              <w:fldChar w:fldCharType="separate"/>
            </w:r>
            <w:r w:rsidRPr="003B140D">
              <w:rPr>
                <w:rFonts w:ascii="Arial Narrow" w:hAnsi="Arial Narrow"/>
                <w:sz w:val="20"/>
                <w:szCs w:val="20"/>
              </w:rPr>
              <w:fldChar w:fldCharType="end"/>
            </w:r>
            <w:r w:rsidRPr="003B140D">
              <w:rPr>
                <w:rFonts w:ascii="Arial Narrow" w:hAnsi="Arial Narrow"/>
                <w:sz w:val="20"/>
                <w:szCs w:val="20"/>
              </w:rPr>
              <w:t xml:space="preserve">Medical Practitioners  </w:t>
            </w:r>
            <w:r w:rsidRPr="003B140D">
              <w:rPr>
                <w:rFonts w:ascii="Arial Narrow" w:hAnsi="Arial Narrow"/>
                <w:sz w:val="20"/>
                <w:szCs w:val="20"/>
              </w:rPr>
              <w:fldChar w:fldCharType="begin">
                <w:ffData>
                  <w:name w:val="Check3"/>
                  <w:enabled/>
                  <w:calcOnExit w:val="0"/>
                  <w:checkBox>
                    <w:sizeAuto/>
                    <w:default w:val="0"/>
                  </w:checkBox>
                </w:ffData>
              </w:fldChar>
            </w:r>
            <w:r w:rsidRPr="003B140D">
              <w:rPr>
                <w:rFonts w:ascii="Arial Narrow" w:hAnsi="Arial Narrow"/>
                <w:sz w:val="20"/>
                <w:szCs w:val="20"/>
              </w:rPr>
              <w:instrText xml:space="preserve"> FORMCHECKBOX </w:instrText>
            </w:r>
            <w:r w:rsidR="00E964DA">
              <w:rPr>
                <w:rFonts w:ascii="Arial Narrow" w:hAnsi="Arial Narrow"/>
                <w:sz w:val="20"/>
                <w:szCs w:val="20"/>
              </w:rPr>
            </w:r>
            <w:r w:rsidR="00E964DA">
              <w:rPr>
                <w:rFonts w:ascii="Arial Narrow" w:hAnsi="Arial Narrow"/>
                <w:sz w:val="20"/>
                <w:szCs w:val="20"/>
              </w:rPr>
              <w:fldChar w:fldCharType="separate"/>
            </w:r>
            <w:r w:rsidRPr="003B140D">
              <w:rPr>
                <w:rFonts w:ascii="Arial Narrow" w:hAnsi="Arial Narrow"/>
                <w:sz w:val="20"/>
                <w:szCs w:val="20"/>
              </w:rPr>
              <w:fldChar w:fldCharType="end"/>
            </w:r>
            <w:r w:rsidRPr="003B140D">
              <w:rPr>
                <w:rFonts w:ascii="Arial Narrow" w:hAnsi="Arial Narrow"/>
                <w:sz w:val="20"/>
                <w:szCs w:val="20"/>
              </w:rPr>
              <w:t xml:space="preserve">Nurse practitioners  </w:t>
            </w:r>
            <w:r w:rsidRPr="003B140D">
              <w:rPr>
                <w:rFonts w:ascii="Arial Narrow" w:hAnsi="Arial Narrow"/>
                <w:sz w:val="20"/>
                <w:szCs w:val="20"/>
              </w:rPr>
              <w:fldChar w:fldCharType="begin">
                <w:ffData>
                  <w:name w:val=""/>
                  <w:enabled/>
                  <w:calcOnExit w:val="0"/>
                  <w:checkBox>
                    <w:sizeAuto/>
                    <w:default w:val="0"/>
                  </w:checkBox>
                </w:ffData>
              </w:fldChar>
            </w:r>
            <w:r w:rsidRPr="003B140D">
              <w:rPr>
                <w:rFonts w:ascii="Arial Narrow" w:hAnsi="Arial Narrow"/>
                <w:sz w:val="20"/>
                <w:szCs w:val="20"/>
              </w:rPr>
              <w:instrText xml:space="preserve"> FORMCHECKBOX </w:instrText>
            </w:r>
            <w:r w:rsidR="00E964DA">
              <w:rPr>
                <w:rFonts w:ascii="Arial Narrow" w:hAnsi="Arial Narrow"/>
                <w:sz w:val="20"/>
                <w:szCs w:val="20"/>
              </w:rPr>
            </w:r>
            <w:r w:rsidR="00E964DA">
              <w:rPr>
                <w:rFonts w:ascii="Arial Narrow" w:hAnsi="Arial Narrow"/>
                <w:sz w:val="20"/>
                <w:szCs w:val="20"/>
              </w:rPr>
              <w:fldChar w:fldCharType="separate"/>
            </w:r>
            <w:r w:rsidRPr="003B140D">
              <w:rPr>
                <w:rFonts w:ascii="Arial Narrow" w:hAnsi="Arial Narrow"/>
                <w:sz w:val="20"/>
                <w:szCs w:val="20"/>
              </w:rPr>
              <w:fldChar w:fldCharType="end"/>
            </w:r>
            <w:r w:rsidRPr="003B140D">
              <w:rPr>
                <w:rFonts w:ascii="Arial Narrow" w:hAnsi="Arial Narrow"/>
                <w:sz w:val="20"/>
                <w:szCs w:val="20"/>
              </w:rPr>
              <w:t>Optometrists</w:t>
            </w:r>
            <w:r w:rsidR="000D472E" w:rsidRPr="003B140D">
              <w:rPr>
                <w:rFonts w:ascii="Arial Narrow" w:hAnsi="Arial Narrow"/>
                <w:sz w:val="20"/>
                <w:szCs w:val="20"/>
              </w:rPr>
              <w:t xml:space="preserve">  </w:t>
            </w:r>
            <w:r w:rsidRPr="003B140D">
              <w:rPr>
                <w:rFonts w:ascii="Arial Narrow" w:hAnsi="Arial Narrow"/>
                <w:sz w:val="20"/>
                <w:szCs w:val="20"/>
              </w:rPr>
              <w:fldChar w:fldCharType="begin">
                <w:ffData>
                  <w:name w:val="Check5"/>
                  <w:enabled/>
                  <w:calcOnExit w:val="0"/>
                  <w:checkBox>
                    <w:sizeAuto/>
                    <w:default w:val="0"/>
                  </w:checkBox>
                </w:ffData>
              </w:fldChar>
            </w:r>
            <w:r w:rsidRPr="003B140D">
              <w:rPr>
                <w:rFonts w:ascii="Arial Narrow" w:hAnsi="Arial Narrow"/>
                <w:sz w:val="20"/>
                <w:szCs w:val="20"/>
              </w:rPr>
              <w:instrText xml:space="preserve"> FORMCHECKBOX </w:instrText>
            </w:r>
            <w:r w:rsidR="00E964DA">
              <w:rPr>
                <w:rFonts w:ascii="Arial Narrow" w:hAnsi="Arial Narrow"/>
                <w:sz w:val="20"/>
                <w:szCs w:val="20"/>
              </w:rPr>
            </w:r>
            <w:r w:rsidR="00E964DA">
              <w:rPr>
                <w:rFonts w:ascii="Arial Narrow" w:hAnsi="Arial Narrow"/>
                <w:sz w:val="20"/>
                <w:szCs w:val="20"/>
              </w:rPr>
              <w:fldChar w:fldCharType="separate"/>
            </w:r>
            <w:r w:rsidRPr="003B140D">
              <w:rPr>
                <w:rFonts w:ascii="Arial Narrow" w:hAnsi="Arial Narrow"/>
                <w:sz w:val="20"/>
                <w:szCs w:val="20"/>
              </w:rPr>
              <w:fldChar w:fldCharType="end"/>
            </w:r>
            <w:r w:rsidRPr="003B140D">
              <w:rPr>
                <w:rFonts w:ascii="Arial Narrow" w:hAnsi="Arial Narrow"/>
                <w:sz w:val="20"/>
                <w:szCs w:val="20"/>
              </w:rPr>
              <w:t>Midwives</w:t>
            </w:r>
          </w:p>
        </w:tc>
      </w:tr>
      <w:tr w:rsidR="00E01B3E" w:rsidRPr="003B140D" w:rsidTr="000D472E">
        <w:trPr>
          <w:trHeight w:val="223"/>
        </w:trPr>
        <w:tc>
          <w:tcPr>
            <w:tcW w:w="1285" w:type="pct"/>
            <w:tcBorders>
              <w:top w:val="single" w:sz="4" w:space="0" w:color="auto"/>
              <w:left w:val="single" w:sz="4" w:space="0" w:color="auto"/>
              <w:bottom w:val="single" w:sz="4" w:space="0" w:color="auto"/>
              <w:right w:val="single" w:sz="4" w:space="0" w:color="auto"/>
            </w:tcBorders>
          </w:tcPr>
          <w:p w:rsidR="00E01B3E" w:rsidRPr="003B140D" w:rsidRDefault="00E01B3E" w:rsidP="00E01B3E">
            <w:pPr>
              <w:spacing w:before="40" w:after="40"/>
              <w:rPr>
                <w:rFonts w:ascii="Arial Narrow" w:hAnsi="Arial Narrow"/>
                <w:b/>
                <w:sz w:val="20"/>
                <w:szCs w:val="20"/>
              </w:rPr>
            </w:pPr>
            <w:r w:rsidRPr="003B140D">
              <w:rPr>
                <w:rFonts w:ascii="Arial Narrow" w:hAnsi="Arial Narrow"/>
                <w:b/>
                <w:sz w:val="20"/>
                <w:szCs w:val="20"/>
              </w:rPr>
              <w:t>Severity:</w:t>
            </w:r>
          </w:p>
        </w:tc>
        <w:tc>
          <w:tcPr>
            <w:tcW w:w="3715" w:type="pct"/>
            <w:tcBorders>
              <w:top w:val="single" w:sz="4" w:space="0" w:color="auto"/>
              <w:left w:val="single" w:sz="4" w:space="0" w:color="auto"/>
              <w:bottom w:val="single" w:sz="4" w:space="0" w:color="auto"/>
              <w:right w:val="single" w:sz="4" w:space="0" w:color="auto"/>
            </w:tcBorders>
          </w:tcPr>
          <w:p w:rsidR="00E01B3E" w:rsidRPr="003B140D" w:rsidRDefault="00E01B3E" w:rsidP="00E01B3E">
            <w:pPr>
              <w:spacing w:before="40" w:after="40"/>
              <w:rPr>
                <w:rFonts w:ascii="Arial Narrow" w:hAnsi="Arial Narrow"/>
                <w:sz w:val="20"/>
                <w:szCs w:val="20"/>
              </w:rPr>
            </w:pPr>
            <w:r w:rsidRPr="003B140D">
              <w:rPr>
                <w:rFonts w:ascii="Arial Narrow" w:hAnsi="Arial Narrow"/>
                <w:sz w:val="20"/>
                <w:szCs w:val="20"/>
              </w:rPr>
              <w:t>Stage IV (metastatic) previously untreated</w:t>
            </w:r>
          </w:p>
        </w:tc>
      </w:tr>
      <w:tr w:rsidR="00E01B3E" w:rsidRPr="003B140D" w:rsidTr="000D472E">
        <w:trPr>
          <w:trHeight w:val="285"/>
        </w:trPr>
        <w:tc>
          <w:tcPr>
            <w:tcW w:w="1285" w:type="pct"/>
            <w:tcBorders>
              <w:top w:val="single" w:sz="4" w:space="0" w:color="auto"/>
              <w:left w:val="single" w:sz="4" w:space="0" w:color="auto"/>
              <w:bottom w:val="single" w:sz="4" w:space="0" w:color="auto"/>
              <w:right w:val="single" w:sz="4" w:space="0" w:color="auto"/>
            </w:tcBorders>
          </w:tcPr>
          <w:p w:rsidR="00E01B3E" w:rsidRPr="003B140D" w:rsidRDefault="00E01B3E" w:rsidP="00E01B3E">
            <w:pPr>
              <w:spacing w:before="40" w:after="40"/>
              <w:rPr>
                <w:rFonts w:ascii="Arial Narrow" w:hAnsi="Arial Narrow"/>
                <w:b/>
                <w:sz w:val="20"/>
                <w:szCs w:val="20"/>
              </w:rPr>
            </w:pPr>
            <w:r w:rsidRPr="003B140D">
              <w:rPr>
                <w:rFonts w:ascii="Arial Narrow" w:hAnsi="Arial Narrow"/>
                <w:b/>
                <w:sz w:val="20"/>
                <w:szCs w:val="20"/>
              </w:rPr>
              <w:t>Condition:</w:t>
            </w:r>
          </w:p>
        </w:tc>
        <w:tc>
          <w:tcPr>
            <w:tcW w:w="3715" w:type="pct"/>
            <w:tcBorders>
              <w:top w:val="single" w:sz="4" w:space="0" w:color="auto"/>
              <w:left w:val="single" w:sz="4" w:space="0" w:color="auto"/>
              <w:bottom w:val="single" w:sz="4" w:space="0" w:color="auto"/>
              <w:right w:val="single" w:sz="4" w:space="0" w:color="auto"/>
            </w:tcBorders>
          </w:tcPr>
          <w:p w:rsidR="00E01B3E" w:rsidRPr="003B140D" w:rsidRDefault="00E01B3E" w:rsidP="00E01B3E">
            <w:pPr>
              <w:spacing w:before="40" w:after="40"/>
              <w:rPr>
                <w:rFonts w:ascii="Arial Narrow" w:hAnsi="Arial Narrow"/>
                <w:sz w:val="20"/>
                <w:szCs w:val="20"/>
              </w:rPr>
            </w:pPr>
            <w:r w:rsidRPr="003B140D">
              <w:rPr>
                <w:rFonts w:ascii="Arial Narrow" w:hAnsi="Arial Narrow"/>
                <w:sz w:val="20"/>
                <w:szCs w:val="20"/>
              </w:rPr>
              <w:t>Non-small cell lung cancer (NSCLC)</w:t>
            </w:r>
          </w:p>
        </w:tc>
      </w:tr>
      <w:tr w:rsidR="00E01B3E" w:rsidRPr="003B140D" w:rsidTr="000D472E">
        <w:trPr>
          <w:trHeight w:val="191"/>
        </w:trPr>
        <w:tc>
          <w:tcPr>
            <w:tcW w:w="1285" w:type="pct"/>
            <w:tcBorders>
              <w:top w:val="single" w:sz="4" w:space="0" w:color="auto"/>
              <w:left w:val="single" w:sz="4" w:space="0" w:color="auto"/>
              <w:bottom w:val="single" w:sz="4" w:space="0" w:color="auto"/>
              <w:right w:val="single" w:sz="4" w:space="0" w:color="auto"/>
            </w:tcBorders>
          </w:tcPr>
          <w:p w:rsidR="00E01B3E" w:rsidRPr="003B140D" w:rsidRDefault="00E01B3E" w:rsidP="00E01B3E">
            <w:pPr>
              <w:spacing w:before="40" w:after="40"/>
              <w:rPr>
                <w:rFonts w:ascii="Arial Narrow" w:hAnsi="Arial Narrow"/>
                <w:b/>
                <w:sz w:val="20"/>
                <w:szCs w:val="20"/>
              </w:rPr>
            </w:pPr>
            <w:r w:rsidRPr="003B140D">
              <w:rPr>
                <w:rFonts w:ascii="Arial Narrow" w:hAnsi="Arial Narrow"/>
                <w:b/>
                <w:sz w:val="20"/>
                <w:szCs w:val="20"/>
              </w:rPr>
              <w:t>PBS Indication:</w:t>
            </w:r>
          </w:p>
        </w:tc>
        <w:tc>
          <w:tcPr>
            <w:tcW w:w="3715" w:type="pct"/>
            <w:tcBorders>
              <w:top w:val="single" w:sz="4" w:space="0" w:color="auto"/>
              <w:left w:val="single" w:sz="4" w:space="0" w:color="auto"/>
              <w:bottom w:val="single" w:sz="4" w:space="0" w:color="auto"/>
              <w:right w:val="single" w:sz="4" w:space="0" w:color="auto"/>
            </w:tcBorders>
          </w:tcPr>
          <w:p w:rsidR="00E01B3E" w:rsidRPr="003B140D" w:rsidRDefault="00E01B3E" w:rsidP="00E01B3E">
            <w:pPr>
              <w:spacing w:before="40" w:after="40"/>
              <w:rPr>
                <w:rFonts w:ascii="Arial Narrow" w:hAnsi="Arial Narrow"/>
                <w:sz w:val="20"/>
                <w:szCs w:val="20"/>
              </w:rPr>
            </w:pPr>
            <w:r w:rsidRPr="003B140D">
              <w:rPr>
                <w:rFonts w:ascii="Arial Narrow" w:hAnsi="Arial Narrow"/>
                <w:sz w:val="20"/>
                <w:szCs w:val="20"/>
              </w:rPr>
              <w:t>Stage IV (metastatic) previously untreated non-small cell lung cancer</w:t>
            </w:r>
          </w:p>
        </w:tc>
      </w:tr>
      <w:tr w:rsidR="00E01B3E" w:rsidRPr="003B140D" w:rsidTr="000D472E">
        <w:trPr>
          <w:trHeight w:val="239"/>
        </w:trPr>
        <w:tc>
          <w:tcPr>
            <w:tcW w:w="1285" w:type="pct"/>
            <w:tcBorders>
              <w:top w:val="single" w:sz="4" w:space="0" w:color="auto"/>
              <w:left w:val="single" w:sz="4" w:space="0" w:color="auto"/>
              <w:bottom w:val="single" w:sz="4" w:space="0" w:color="auto"/>
              <w:right w:val="single" w:sz="4" w:space="0" w:color="auto"/>
            </w:tcBorders>
          </w:tcPr>
          <w:p w:rsidR="00E01B3E" w:rsidRPr="003B140D" w:rsidRDefault="00E01B3E" w:rsidP="00E01B3E">
            <w:pPr>
              <w:spacing w:before="40" w:after="40"/>
              <w:rPr>
                <w:rFonts w:ascii="Arial Narrow" w:hAnsi="Arial Narrow"/>
                <w:sz w:val="20"/>
                <w:szCs w:val="20"/>
              </w:rPr>
            </w:pPr>
            <w:r w:rsidRPr="003B140D">
              <w:rPr>
                <w:rFonts w:ascii="Arial Narrow" w:hAnsi="Arial Narrow"/>
                <w:b/>
                <w:sz w:val="20"/>
                <w:szCs w:val="20"/>
              </w:rPr>
              <w:t>Treatment phase:</w:t>
            </w:r>
          </w:p>
        </w:tc>
        <w:tc>
          <w:tcPr>
            <w:tcW w:w="3715" w:type="pct"/>
            <w:tcBorders>
              <w:top w:val="single" w:sz="4" w:space="0" w:color="auto"/>
              <w:left w:val="single" w:sz="4" w:space="0" w:color="auto"/>
              <w:bottom w:val="single" w:sz="4" w:space="0" w:color="auto"/>
              <w:right w:val="single" w:sz="4" w:space="0" w:color="auto"/>
            </w:tcBorders>
          </w:tcPr>
          <w:p w:rsidR="00E01B3E" w:rsidRPr="003B140D" w:rsidRDefault="00E01B3E" w:rsidP="00E01B3E">
            <w:pPr>
              <w:spacing w:before="40" w:after="40"/>
              <w:rPr>
                <w:rFonts w:ascii="Arial Narrow" w:hAnsi="Arial Narrow"/>
                <w:sz w:val="20"/>
                <w:szCs w:val="20"/>
              </w:rPr>
            </w:pPr>
            <w:r w:rsidRPr="003B140D">
              <w:rPr>
                <w:rFonts w:ascii="Arial Narrow" w:hAnsi="Arial Narrow"/>
                <w:sz w:val="20"/>
                <w:szCs w:val="20"/>
              </w:rPr>
              <w:t xml:space="preserve">Initial </w:t>
            </w:r>
          </w:p>
        </w:tc>
      </w:tr>
      <w:tr w:rsidR="00E01B3E" w:rsidRPr="003B140D" w:rsidTr="000D472E">
        <w:trPr>
          <w:trHeight w:val="360"/>
        </w:trPr>
        <w:tc>
          <w:tcPr>
            <w:tcW w:w="1285" w:type="pct"/>
            <w:tcBorders>
              <w:top w:val="single" w:sz="4" w:space="0" w:color="auto"/>
              <w:left w:val="single" w:sz="4" w:space="0" w:color="auto"/>
              <w:bottom w:val="single" w:sz="4" w:space="0" w:color="auto"/>
              <w:right w:val="single" w:sz="4" w:space="0" w:color="auto"/>
            </w:tcBorders>
          </w:tcPr>
          <w:p w:rsidR="00E01B3E" w:rsidRPr="003B140D" w:rsidRDefault="00E01B3E" w:rsidP="00E01B3E">
            <w:pPr>
              <w:spacing w:before="40" w:after="40"/>
              <w:rPr>
                <w:rFonts w:ascii="Arial Narrow" w:hAnsi="Arial Narrow"/>
                <w:b/>
                <w:sz w:val="20"/>
                <w:szCs w:val="20"/>
              </w:rPr>
            </w:pPr>
            <w:r w:rsidRPr="003B140D">
              <w:rPr>
                <w:rFonts w:ascii="Arial Narrow" w:hAnsi="Arial Narrow"/>
                <w:b/>
                <w:sz w:val="20"/>
                <w:szCs w:val="20"/>
              </w:rPr>
              <w:t>Restriction Level / Method:</w:t>
            </w:r>
          </w:p>
        </w:tc>
        <w:tc>
          <w:tcPr>
            <w:tcW w:w="3715" w:type="pct"/>
            <w:tcBorders>
              <w:top w:val="single" w:sz="4" w:space="0" w:color="auto"/>
              <w:left w:val="single" w:sz="4" w:space="0" w:color="auto"/>
              <w:bottom w:val="single" w:sz="4" w:space="0" w:color="auto"/>
              <w:right w:val="single" w:sz="4" w:space="0" w:color="auto"/>
            </w:tcBorders>
          </w:tcPr>
          <w:p w:rsidR="00E01B3E" w:rsidRPr="003B140D" w:rsidRDefault="00E01B3E" w:rsidP="00E01B3E">
            <w:pPr>
              <w:spacing w:before="40" w:after="40"/>
              <w:rPr>
                <w:rFonts w:ascii="Arial Narrow" w:hAnsi="Arial Narrow"/>
                <w:sz w:val="20"/>
                <w:szCs w:val="20"/>
              </w:rPr>
            </w:pPr>
            <w:r w:rsidRPr="003B140D">
              <w:rPr>
                <w:rFonts w:ascii="Arial Narrow" w:hAnsi="Arial Narrow"/>
                <w:sz w:val="20"/>
                <w:szCs w:val="20"/>
              </w:rPr>
              <w:fldChar w:fldCharType="begin">
                <w:ffData>
                  <w:name w:val="Check1"/>
                  <w:enabled/>
                  <w:calcOnExit w:val="0"/>
                  <w:checkBox>
                    <w:sizeAuto/>
                    <w:default w:val="0"/>
                  </w:checkBox>
                </w:ffData>
              </w:fldChar>
            </w:r>
            <w:r w:rsidRPr="003B140D">
              <w:rPr>
                <w:rFonts w:ascii="Arial Narrow" w:hAnsi="Arial Narrow"/>
                <w:sz w:val="20"/>
                <w:szCs w:val="20"/>
              </w:rPr>
              <w:instrText xml:space="preserve"> FORMCHECKBOX </w:instrText>
            </w:r>
            <w:r w:rsidR="00E964DA">
              <w:rPr>
                <w:rFonts w:ascii="Arial Narrow" w:hAnsi="Arial Narrow"/>
                <w:sz w:val="20"/>
                <w:szCs w:val="20"/>
              </w:rPr>
            </w:r>
            <w:r w:rsidR="00E964DA">
              <w:rPr>
                <w:rFonts w:ascii="Arial Narrow" w:hAnsi="Arial Narrow"/>
                <w:sz w:val="20"/>
                <w:szCs w:val="20"/>
              </w:rPr>
              <w:fldChar w:fldCharType="separate"/>
            </w:r>
            <w:r w:rsidRPr="003B140D">
              <w:rPr>
                <w:rFonts w:ascii="Arial Narrow" w:hAnsi="Arial Narrow"/>
                <w:sz w:val="20"/>
                <w:szCs w:val="20"/>
              </w:rPr>
              <w:fldChar w:fldCharType="end"/>
            </w:r>
            <w:r w:rsidRPr="003B140D">
              <w:rPr>
                <w:rFonts w:ascii="Arial Narrow" w:hAnsi="Arial Narrow"/>
                <w:sz w:val="20"/>
                <w:szCs w:val="20"/>
              </w:rPr>
              <w:t>Restricted benefit</w:t>
            </w:r>
          </w:p>
          <w:p w:rsidR="00E01B3E" w:rsidRPr="003B140D" w:rsidRDefault="00E01B3E" w:rsidP="00E01B3E">
            <w:pPr>
              <w:spacing w:before="40" w:after="40"/>
              <w:rPr>
                <w:rFonts w:ascii="Arial Narrow" w:hAnsi="Arial Narrow"/>
                <w:sz w:val="20"/>
                <w:szCs w:val="20"/>
              </w:rPr>
            </w:pPr>
            <w:r w:rsidRPr="003B140D">
              <w:rPr>
                <w:rFonts w:ascii="Arial Narrow" w:hAnsi="Arial Narrow"/>
                <w:sz w:val="20"/>
                <w:szCs w:val="20"/>
              </w:rPr>
              <w:fldChar w:fldCharType="begin">
                <w:ffData>
                  <w:name w:val=""/>
                  <w:enabled/>
                  <w:calcOnExit w:val="0"/>
                  <w:checkBox>
                    <w:sizeAuto/>
                    <w:default w:val="0"/>
                  </w:checkBox>
                </w:ffData>
              </w:fldChar>
            </w:r>
            <w:r w:rsidRPr="003B140D">
              <w:rPr>
                <w:rFonts w:ascii="Arial Narrow" w:hAnsi="Arial Narrow"/>
                <w:sz w:val="20"/>
                <w:szCs w:val="20"/>
              </w:rPr>
              <w:instrText xml:space="preserve"> FORMCHECKBOX </w:instrText>
            </w:r>
            <w:r w:rsidR="00E964DA">
              <w:rPr>
                <w:rFonts w:ascii="Arial Narrow" w:hAnsi="Arial Narrow"/>
                <w:sz w:val="20"/>
                <w:szCs w:val="20"/>
              </w:rPr>
            </w:r>
            <w:r w:rsidR="00E964DA">
              <w:rPr>
                <w:rFonts w:ascii="Arial Narrow" w:hAnsi="Arial Narrow"/>
                <w:sz w:val="20"/>
                <w:szCs w:val="20"/>
              </w:rPr>
              <w:fldChar w:fldCharType="separate"/>
            </w:r>
            <w:r w:rsidRPr="003B140D">
              <w:rPr>
                <w:rFonts w:ascii="Arial Narrow" w:hAnsi="Arial Narrow"/>
                <w:sz w:val="20"/>
                <w:szCs w:val="20"/>
              </w:rPr>
              <w:fldChar w:fldCharType="end"/>
            </w:r>
            <w:r w:rsidRPr="003B140D">
              <w:rPr>
                <w:rFonts w:ascii="Arial Narrow" w:hAnsi="Arial Narrow"/>
                <w:sz w:val="20"/>
                <w:szCs w:val="20"/>
              </w:rPr>
              <w:t>Authority Required - In Writing</w:t>
            </w:r>
          </w:p>
          <w:p w:rsidR="00E01B3E" w:rsidRPr="003B140D" w:rsidRDefault="00E01B3E" w:rsidP="00E01B3E">
            <w:pPr>
              <w:spacing w:before="40" w:after="40"/>
              <w:rPr>
                <w:rFonts w:ascii="Arial Narrow" w:hAnsi="Arial Narrow"/>
                <w:sz w:val="20"/>
                <w:szCs w:val="20"/>
              </w:rPr>
            </w:pPr>
            <w:r w:rsidRPr="003B140D">
              <w:rPr>
                <w:rFonts w:ascii="Arial Narrow" w:hAnsi="Arial Narrow"/>
                <w:sz w:val="20"/>
                <w:szCs w:val="20"/>
              </w:rPr>
              <w:fldChar w:fldCharType="begin">
                <w:ffData>
                  <w:name w:val="Check3"/>
                  <w:enabled/>
                  <w:calcOnExit w:val="0"/>
                  <w:checkBox>
                    <w:sizeAuto/>
                    <w:default w:val="0"/>
                  </w:checkBox>
                </w:ffData>
              </w:fldChar>
            </w:r>
            <w:r w:rsidRPr="003B140D">
              <w:rPr>
                <w:rFonts w:ascii="Arial Narrow" w:hAnsi="Arial Narrow"/>
                <w:sz w:val="20"/>
                <w:szCs w:val="20"/>
              </w:rPr>
              <w:instrText xml:space="preserve"> FORMCHECKBOX </w:instrText>
            </w:r>
            <w:r w:rsidR="00E964DA">
              <w:rPr>
                <w:rFonts w:ascii="Arial Narrow" w:hAnsi="Arial Narrow"/>
                <w:sz w:val="20"/>
                <w:szCs w:val="20"/>
              </w:rPr>
            </w:r>
            <w:r w:rsidR="00E964DA">
              <w:rPr>
                <w:rFonts w:ascii="Arial Narrow" w:hAnsi="Arial Narrow"/>
                <w:sz w:val="20"/>
                <w:szCs w:val="20"/>
              </w:rPr>
              <w:fldChar w:fldCharType="separate"/>
            </w:r>
            <w:r w:rsidRPr="003B140D">
              <w:rPr>
                <w:rFonts w:ascii="Arial Narrow" w:hAnsi="Arial Narrow"/>
                <w:sz w:val="20"/>
                <w:szCs w:val="20"/>
              </w:rPr>
              <w:fldChar w:fldCharType="end"/>
            </w:r>
            <w:r w:rsidRPr="003B140D">
              <w:rPr>
                <w:rFonts w:ascii="Arial Narrow" w:hAnsi="Arial Narrow"/>
                <w:sz w:val="20"/>
                <w:szCs w:val="20"/>
              </w:rPr>
              <w:t>Authority Required - Telephone</w:t>
            </w:r>
          </w:p>
          <w:p w:rsidR="00E01B3E" w:rsidRPr="003B140D" w:rsidRDefault="00E01B3E" w:rsidP="00E01B3E">
            <w:pPr>
              <w:spacing w:before="40" w:after="40"/>
              <w:rPr>
                <w:rFonts w:ascii="Arial Narrow" w:hAnsi="Arial Narrow"/>
                <w:sz w:val="20"/>
                <w:szCs w:val="20"/>
              </w:rPr>
            </w:pPr>
            <w:r w:rsidRPr="003B140D">
              <w:rPr>
                <w:rFonts w:ascii="Arial Narrow" w:hAnsi="Arial Narrow"/>
                <w:sz w:val="20"/>
                <w:szCs w:val="20"/>
              </w:rPr>
              <w:fldChar w:fldCharType="begin">
                <w:ffData>
                  <w:name w:val=""/>
                  <w:enabled/>
                  <w:calcOnExit w:val="0"/>
                  <w:checkBox>
                    <w:sizeAuto/>
                    <w:default w:val="0"/>
                  </w:checkBox>
                </w:ffData>
              </w:fldChar>
            </w:r>
            <w:r w:rsidRPr="003B140D">
              <w:rPr>
                <w:rFonts w:ascii="Arial Narrow" w:hAnsi="Arial Narrow"/>
                <w:sz w:val="20"/>
                <w:szCs w:val="20"/>
              </w:rPr>
              <w:instrText xml:space="preserve"> FORMCHECKBOX </w:instrText>
            </w:r>
            <w:r w:rsidR="00E964DA">
              <w:rPr>
                <w:rFonts w:ascii="Arial Narrow" w:hAnsi="Arial Narrow"/>
                <w:sz w:val="20"/>
                <w:szCs w:val="20"/>
              </w:rPr>
            </w:r>
            <w:r w:rsidR="00E964DA">
              <w:rPr>
                <w:rFonts w:ascii="Arial Narrow" w:hAnsi="Arial Narrow"/>
                <w:sz w:val="20"/>
                <w:szCs w:val="20"/>
              </w:rPr>
              <w:fldChar w:fldCharType="separate"/>
            </w:r>
            <w:r w:rsidRPr="003B140D">
              <w:rPr>
                <w:rFonts w:ascii="Arial Narrow" w:hAnsi="Arial Narrow"/>
                <w:sz w:val="20"/>
                <w:szCs w:val="20"/>
              </w:rPr>
              <w:fldChar w:fldCharType="end"/>
            </w:r>
            <w:r w:rsidRPr="003B140D">
              <w:rPr>
                <w:rFonts w:ascii="Arial Narrow" w:hAnsi="Arial Narrow"/>
                <w:sz w:val="20"/>
                <w:szCs w:val="20"/>
              </w:rPr>
              <w:t>Authority Required – Emergency</w:t>
            </w:r>
          </w:p>
          <w:p w:rsidR="00E01B3E" w:rsidRPr="003B140D" w:rsidRDefault="00E01B3E" w:rsidP="00E01B3E">
            <w:pPr>
              <w:spacing w:before="40" w:after="40"/>
              <w:rPr>
                <w:rFonts w:ascii="Arial Narrow" w:hAnsi="Arial Narrow"/>
                <w:sz w:val="20"/>
                <w:szCs w:val="20"/>
              </w:rPr>
            </w:pPr>
            <w:r w:rsidRPr="003B140D">
              <w:rPr>
                <w:rFonts w:ascii="Arial Narrow" w:hAnsi="Arial Narrow"/>
                <w:sz w:val="20"/>
                <w:szCs w:val="20"/>
              </w:rPr>
              <w:fldChar w:fldCharType="begin">
                <w:ffData>
                  <w:name w:val="Check5"/>
                  <w:enabled/>
                  <w:calcOnExit w:val="0"/>
                  <w:checkBox>
                    <w:sizeAuto/>
                    <w:default w:val="0"/>
                  </w:checkBox>
                </w:ffData>
              </w:fldChar>
            </w:r>
            <w:r w:rsidRPr="003B140D">
              <w:rPr>
                <w:rFonts w:ascii="Arial Narrow" w:hAnsi="Arial Narrow"/>
                <w:sz w:val="20"/>
                <w:szCs w:val="20"/>
              </w:rPr>
              <w:instrText xml:space="preserve"> FORMCHECKBOX </w:instrText>
            </w:r>
            <w:r w:rsidR="00E964DA">
              <w:rPr>
                <w:rFonts w:ascii="Arial Narrow" w:hAnsi="Arial Narrow"/>
                <w:sz w:val="20"/>
                <w:szCs w:val="20"/>
              </w:rPr>
            </w:r>
            <w:r w:rsidR="00E964DA">
              <w:rPr>
                <w:rFonts w:ascii="Arial Narrow" w:hAnsi="Arial Narrow"/>
                <w:sz w:val="20"/>
                <w:szCs w:val="20"/>
              </w:rPr>
              <w:fldChar w:fldCharType="separate"/>
            </w:r>
            <w:r w:rsidRPr="003B140D">
              <w:rPr>
                <w:rFonts w:ascii="Arial Narrow" w:hAnsi="Arial Narrow"/>
                <w:sz w:val="20"/>
                <w:szCs w:val="20"/>
              </w:rPr>
              <w:fldChar w:fldCharType="end"/>
            </w:r>
            <w:r w:rsidRPr="003B140D">
              <w:rPr>
                <w:rFonts w:ascii="Arial Narrow" w:hAnsi="Arial Narrow"/>
                <w:sz w:val="20"/>
                <w:szCs w:val="20"/>
              </w:rPr>
              <w:t>Authority Required - Electronic</w:t>
            </w:r>
          </w:p>
          <w:p w:rsidR="00E01B3E" w:rsidRPr="003B140D" w:rsidRDefault="00E01B3E" w:rsidP="00E01B3E">
            <w:pPr>
              <w:spacing w:before="40" w:after="40"/>
              <w:rPr>
                <w:rFonts w:ascii="Arial Narrow" w:hAnsi="Arial Narrow"/>
                <w:sz w:val="20"/>
                <w:szCs w:val="20"/>
              </w:rPr>
            </w:pPr>
            <w:r w:rsidRPr="003B140D">
              <w:rPr>
                <w:rFonts w:ascii="Arial Narrow" w:hAnsi="Arial Narrow"/>
                <w:sz w:val="20"/>
                <w:szCs w:val="20"/>
              </w:rPr>
              <w:fldChar w:fldCharType="begin">
                <w:ffData>
                  <w:name w:val=""/>
                  <w:enabled/>
                  <w:calcOnExit w:val="0"/>
                  <w:checkBox>
                    <w:sizeAuto/>
                    <w:default w:val="1"/>
                  </w:checkBox>
                </w:ffData>
              </w:fldChar>
            </w:r>
            <w:r w:rsidRPr="003B140D">
              <w:rPr>
                <w:rFonts w:ascii="Arial Narrow" w:hAnsi="Arial Narrow"/>
                <w:sz w:val="20"/>
                <w:szCs w:val="20"/>
              </w:rPr>
              <w:instrText xml:space="preserve"> FORMCHECKBOX </w:instrText>
            </w:r>
            <w:r w:rsidR="00E964DA">
              <w:rPr>
                <w:rFonts w:ascii="Arial Narrow" w:hAnsi="Arial Narrow"/>
                <w:sz w:val="20"/>
                <w:szCs w:val="20"/>
              </w:rPr>
            </w:r>
            <w:r w:rsidR="00E964DA">
              <w:rPr>
                <w:rFonts w:ascii="Arial Narrow" w:hAnsi="Arial Narrow"/>
                <w:sz w:val="20"/>
                <w:szCs w:val="20"/>
              </w:rPr>
              <w:fldChar w:fldCharType="separate"/>
            </w:r>
            <w:r w:rsidRPr="003B140D">
              <w:rPr>
                <w:rFonts w:ascii="Arial Narrow" w:hAnsi="Arial Narrow"/>
                <w:sz w:val="20"/>
                <w:szCs w:val="20"/>
              </w:rPr>
              <w:fldChar w:fldCharType="end"/>
            </w:r>
            <w:r w:rsidRPr="003B140D">
              <w:rPr>
                <w:rFonts w:ascii="Arial Narrow" w:hAnsi="Arial Narrow"/>
                <w:sz w:val="20"/>
                <w:szCs w:val="20"/>
              </w:rPr>
              <w:t>Streamlined</w:t>
            </w:r>
          </w:p>
        </w:tc>
      </w:tr>
      <w:tr w:rsidR="00E01B3E" w:rsidRPr="003B140D" w:rsidTr="000D472E">
        <w:trPr>
          <w:trHeight w:val="360"/>
        </w:trPr>
        <w:tc>
          <w:tcPr>
            <w:tcW w:w="1285" w:type="pct"/>
            <w:tcBorders>
              <w:top w:val="single" w:sz="4" w:space="0" w:color="auto"/>
              <w:left w:val="single" w:sz="4" w:space="0" w:color="auto"/>
              <w:bottom w:val="single" w:sz="4" w:space="0" w:color="auto"/>
              <w:right w:val="single" w:sz="4" w:space="0" w:color="auto"/>
            </w:tcBorders>
          </w:tcPr>
          <w:p w:rsidR="00E01B3E" w:rsidRPr="003B140D" w:rsidRDefault="00E01B3E" w:rsidP="00E01B3E">
            <w:pPr>
              <w:spacing w:before="40" w:after="40"/>
              <w:rPr>
                <w:rFonts w:ascii="Arial Narrow" w:hAnsi="Arial Narrow"/>
                <w:b/>
                <w:sz w:val="20"/>
                <w:szCs w:val="20"/>
              </w:rPr>
            </w:pPr>
            <w:r w:rsidRPr="003B140D">
              <w:rPr>
                <w:rFonts w:ascii="Arial Narrow" w:hAnsi="Arial Narrow"/>
                <w:b/>
                <w:sz w:val="20"/>
                <w:szCs w:val="20"/>
              </w:rPr>
              <w:t>Clinical criteria:</w:t>
            </w:r>
          </w:p>
        </w:tc>
        <w:tc>
          <w:tcPr>
            <w:tcW w:w="3715" w:type="pct"/>
            <w:tcBorders>
              <w:top w:val="single" w:sz="4" w:space="0" w:color="auto"/>
              <w:left w:val="single" w:sz="4" w:space="0" w:color="auto"/>
              <w:bottom w:val="single" w:sz="4" w:space="0" w:color="auto"/>
              <w:right w:val="single" w:sz="4" w:space="0" w:color="auto"/>
            </w:tcBorders>
          </w:tcPr>
          <w:p w:rsidR="00483297" w:rsidRPr="003B140D" w:rsidRDefault="00483297" w:rsidP="00E01B3E">
            <w:pPr>
              <w:spacing w:before="40" w:after="40"/>
              <w:rPr>
                <w:rFonts w:ascii="Arial Narrow" w:hAnsi="Arial Narrow"/>
                <w:sz w:val="20"/>
                <w:szCs w:val="20"/>
              </w:rPr>
            </w:pPr>
            <w:r w:rsidRPr="003B140D">
              <w:rPr>
                <w:rFonts w:ascii="Arial Narrow" w:hAnsi="Arial Narrow"/>
                <w:i/>
                <w:sz w:val="20"/>
                <w:szCs w:val="20"/>
              </w:rPr>
              <w:t>Patient must have stable or responding disease</w:t>
            </w:r>
            <w:r w:rsidRPr="003B140D">
              <w:rPr>
                <w:rFonts w:ascii="Arial Narrow" w:hAnsi="Arial Narrow"/>
                <w:sz w:val="20"/>
                <w:szCs w:val="20"/>
              </w:rPr>
              <w:t>,</w:t>
            </w:r>
          </w:p>
          <w:p w:rsidR="00483297" w:rsidRPr="003B140D" w:rsidRDefault="00483297" w:rsidP="00E01B3E">
            <w:pPr>
              <w:spacing w:before="40" w:after="40"/>
              <w:rPr>
                <w:rFonts w:ascii="Arial Narrow" w:hAnsi="Arial Narrow"/>
                <w:i/>
                <w:sz w:val="20"/>
                <w:szCs w:val="20"/>
              </w:rPr>
            </w:pPr>
            <w:r w:rsidRPr="003B140D">
              <w:rPr>
                <w:rFonts w:ascii="Arial Narrow" w:hAnsi="Arial Narrow"/>
                <w:i/>
                <w:sz w:val="20"/>
                <w:szCs w:val="20"/>
              </w:rPr>
              <w:t>AND</w:t>
            </w:r>
          </w:p>
          <w:p w:rsidR="00E01B3E" w:rsidRPr="003B140D" w:rsidRDefault="00E01B3E" w:rsidP="00E01B3E">
            <w:pPr>
              <w:spacing w:before="40" w:after="40"/>
              <w:rPr>
                <w:rFonts w:ascii="Arial Narrow" w:hAnsi="Arial Narrow"/>
                <w:sz w:val="20"/>
                <w:szCs w:val="20"/>
              </w:rPr>
            </w:pPr>
            <w:r w:rsidRPr="003B140D">
              <w:rPr>
                <w:rFonts w:ascii="Arial Narrow" w:hAnsi="Arial Narrow"/>
                <w:sz w:val="20"/>
                <w:szCs w:val="20"/>
              </w:rPr>
              <w:t>The treatment must be the sole PBS-subsidised therapy for this condition,</w:t>
            </w:r>
          </w:p>
          <w:p w:rsidR="00E01B3E" w:rsidRPr="003B140D" w:rsidRDefault="00E01B3E" w:rsidP="00E01B3E">
            <w:pPr>
              <w:spacing w:before="40" w:after="40"/>
              <w:rPr>
                <w:rFonts w:ascii="Arial Narrow" w:hAnsi="Arial Narrow"/>
                <w:sz w:val="20"/>
                <w:szCs w:val="20"/>
              </w:rPr>
            </w:pPr>
            <w:r w:rsidRPr="003B140D">
              <w:rPr>
                <w:rFonts w:ascii="Arial Narrow" w:hAnsi="Arial Narrow"/>
                <w:sz w:val="20"/>
                <w:szCs w:val="20"/>
              </w:rPr>
              <w:lastRenderedPageBreak/>
              <w:t>AND</w:t>
            </w:r>
          </w:p>
          <w:p w:rsidR="00E01B3E" w:rsidRPr="003B140D" w:rsidRDefault="00E01B3E" w:rsidP="00E01B3E">
            <w:pPr>
              <w:spacing w:before="40" w:after="40"/>
              <w:rPr>
                <w:rFonts w:ascii="Arial Narrow" w:hAnsi="Arial Narrow"/>
                <w:sz w:val="20"/>
                <w:szCs w:val="20"/>
              </w:rPr>
            </w:pPr>
            <w:r w:rsidRPr="003B140D">
              <w:rPr>
                <w:rFonts w:ascii="Arial Narrow" w:hAnsi="Arial Narrow"/>
                <w:sz w:val="20"/>
                <w:szCs w:val="20"/>
              </w:rPr>
              <w:t>Patient must have previously received non-PBS subsidised treatment with this drug for this condition prior to (date of listing),</w:t>
            </w:r>
          </w:p>
          <w:p w:rsidR="00E01B3E" w:rsidRPr="003B140D" w:rsidRDefault="00E01B3E" w:rsidP="00E01B3E">
            <w:pPr>
              <w:spacing w:before="40" w:after="40"/>
              <w:rPr>
                <w:rFonts w:ascii="Arial Narrow" w:hAnsi="Arial Narrow"/>
                <w:sz w:val="20"/>
                <w:szCs w:val="20"/>
              </w:rPr>
            </w:pPr>
            <w:r w:rsidRPr="003B140D">
              <w:rPr>
                <w:rFonts w:ascii="Arial Narrow" w:hAnsi="Arial Narrow"/>
                <w:sz w:val="20"/>
                <w:szCs w:val="20"/>
              </w:rPr>
              <w:t>AND</w:t>
            </w:r>
          </w:p>
          <w:p w:rsidR="00E01B3E" w:rsidRPr="003B140D" w:rsidRDefault="00E01B3E" w:rsidP="00E01B3E">
            <w:pPr>
              <w:spacing w:before="40" w:after="40"/>
              <w:rPr>
                <w:rFonts w:ascii="Arial Narrow" w:hAnsi="Arial Narrow"/>
                <w:sz w:val="20"/>
                <w:szCs w:val="20"/>
              </w:rPr>
            </w:pPr>
            <w:r w:rsidRPr="003B140D">
              <w:rPr>
                <w:rFonts w:ascii="Arial Narrow" w:hAnsi="Arial Narrow"/>
                <w:sz w:val="20"/>
                <w:szCs w:val="20"/>
              </w:rPr>
              <w:t xml:space="preserve">Patient must have </w:t>
            </w:r>
            <w:r w:rsidR="001D781D">
              <w:rPr>
                <w:rFonts w:ascii="Arial Narrow" w:hAnsi="Arial Narrow"/>
                <w:sz w:val="20"/>
                <w:szCs w:val="20"/>
              </w:rPr>
              <w:t xml:space="preserve">had </w:t>
            </w:r>
            <w:r w:rsidRPr="003B140D">
              <w:rPr>
                <w:rFonts w:ascii="Arial Narrow" w:hAnsi="Arial Narrow"/>
                <w:sz w:val="20"/>
                <w:szCs w:val="20"/>
              </w:rPr>
              <w:t>a WHO performance status of 0 or 1</w:t>
            </w:r>
            <w:r w:rsidR="001D781D">
              <w:rPr>
                <w:rFonts w:ascii="Arial Narrow" w:hAnsi="Arial Narrow"/>
                <w:sz w:val="20"/>
                <w:szCs w:val="20"/>
              </w:rPr>
              <w:t xml:space="preserve"> at the time of treatment initiation</w:t>
            </w:r>
            <w:r w:rsidRPr="003B140D">
              <w:rPr>
                <w:rFonts w:ascii="Arial Narrow" w:hAnsi="Arial Narrow"/>
                <w:sz w:val="20"/>
                <w:szCs w:val="20"/>
              </w:rPr>
              <w:t>,</w:t>
            </w:r>
          </w:p>
          <w:p w:rsidR="00E01B3E" w:rsidRPr="003B140D" w:rsidRDefault="00E01B3E" w:rsidP="00E01B3E">
            <w:pPr>
              <w:spacing w:before="40" w:after="40"/>
              <w:rPr>
                <w:rFonts w:ascii="Arial Narrow" w:hAnsi="Arial Narrow"/>
                <w:sz w:val="20"/>
                <w:szCs w:val="20"/>
              </w:rPr>
            </w:pPr>
            <w:r w:rsidRPr="003B140D">
              <w:rPr>
                <w:rFonts w:ascii="Arial Narrow" w:hAnsi="Arial Narrow"/>
                <w:sz w:val="20"/>
                <w:szCs w:val="20"/>
              </w:rPr>
              <w:t>AN</w:t>
            </w:r>
            <w:r w:rsidR="002E6857">
              <w:rPr>
                <w:rFonts w:ascii="Arial Narrow" w:hAnsi="Arial Narrow"/>
                <w:sz w:val="20"/>
                <w:szCs w:val="20"/>
              </w:rPr>
              <w:t>D</w:t>
            </w:r>
          </w:p>
          <w:p w:rsidR="00E01B3E" w:rsidRPr="003B140D" w:rsidRDefault="00E01B3E" w:rsidP="00E01B3E">
            <w:pPr>
              <w:spacing w:before="40" w:after="40"/>
              <w:rPr>
                <w:rFonts w:ascii="Arial Narrow" w:hAnsi="Arial Narrow"/>
                <w:sz w:val="20"/>
                <w:szCs w:val="20"/>
              </w:rPr>
            </w:pPr>
            <w:r w:rsidRPr="003B140D">
              <w:rPr>
                <w:rFonts w:ascii="Arial Narrow" w:hAnsi="Arial Narrow"/>
                <w:sz w:val="20"/>
                <w:szCs w:val="20"/>
              </w:rPr>
              <w:t>The treatment must not exceed a total of 6 doses at a maximum dose of 200 mg every 3 weeks.</w:t>
            </w:r>
          </w:p>
        </w:tc>
      </w:tr>
      <w:tr w:rsidR="00E01B3E" w:rsidRPr="003B140D" w:rsidTr="000D472E">
        <w:trPr>
          <w:trHeight w:val="360"/>
        </w:trPr>
        <w:tc>
          <w:tcPr>
            <w:tcW w:w="1285" w:type="pct"/>
            <w:tcBorders>
              <w:top w:val="single" w:sz="4" w:space="0" w:color="auto"/>
              <w:left w:val="single" w:sz="4" w:space="0" w:color="auto"/>
              <w:bottom w:val="single" w:sz="4" w:space="0" w:color="auto"/>
              <w:right w:val="single" w:sz="4" w:space="0" w:color="auto"/>
            </w:tcBorders>
          </w:tcPr>
          <w:p w:rsidR="00E01B3E" w:rsidRPr="003B140D" w:rsidRDefault="00E01B3E" w:rsidP="00E01B3E">
            <w:pPr>
              <w:spacing w:before="40" w:after="40"/>
              <w:rPr>
                <w:rFonts w:ascii="Arial Narrow" w:hAnsi="Arial Narrow"/>
                <w:b/>
                <w:sz w:val="20"/>
                <w:szCs w:val="20"/>
              </w:rPr>
            </w:pPr>
            <w:r w:rsidRPr="003B140D">
              <w:rPr>
                <w:rFonts w:ascii="Arial Narrow" w:hAnsi="Arial Narrow"/>
                <w:b/>
                <w:sz w:val="20"/>
                <w:szCs w:val="20"/>
              </w:rPr>
              <w:lastRenderedPageBreak/>
              <w:t>Population criteria:</w:t>
            </w:r>
          </w:p>
        </w:tc>
        <w:tc>
          <w:tcPr>
            <w:tcW w:w="3715" w:type="pct"/>
            <w:tcBorders>
              <w:top w:val="single" w:sz="4" w:space="0" w:color="auto"/>
              <w:left w:val="single" w:sz="4" w:space="0" w:color="auto"/>
              <w:bottom w:val="single" w:sz="4" w:space="0" w:color="auto"/>
              <w:right w:val="single" w:sz="4" w:space="0" w:color="auto"/>
            </w:tcBorders>
          </w:tcPr>
          <w:p w:rsidR="00E01B3E" w:rsidRPr="003B140D" w:rsidRDefault="00E06BD4" w:rsidP="00E01B3E">
            <w:pPr>
              <w:spacing w:before="40" w:after="40"/>
              <w:rPr>
                <w:rFonts w:ascii="Arial Narrow" w:hAnsi="Arial Narrow"/>
                <w:sz w:val="20"/>
                <w:szCs w:val="20"/>
              </w:rPr>
            </w:pPr>
            <w:r w:rsidRPr="003B140D">
              <w:rPr>
                <w:rFonts w:ascii="Arial Narrow" w:hAnsi="Arial Narrow"/>
                <w:sz w:val="20"/>
                <w:szCs w:val="20"/>
              </w:rPr>
              <w:t>Patient must have evidence of programmed cell death ligand 1 (PD-L1) expression in at least 50% of tumour cells in the tumour sample</w:t>
            </w:r>
            <w:r w:rsidR="00E01B3E" w:rsidRPr="003B140D">
              <w:rPr>
                <w:rFonts w:ascii="Arial Narrow" w:hAnsi="Arial Narrow"/>
                <w:sz w:val="20"/>
                <w:szCs w:val="20"/>
              </w:rPr>
              <w:t>,</w:t>
            </w:r>
          </w:p>
          <w:p w:rsidR="00E01B3E" w:rsidRPr="003B140D" w:rsidRDefault="00E01B3E" w:rsidP="00E01B3E">
            <w:pPr>
              <w:spacing w:before="40" w:after="40"/>
              <w:rPr>
                <w:rFonts w:ascii="Arial Narrow" w:hAnsi="Arial Narrow"/>
                <w:sz w:val="20"/>
                <w:szCs w:val="20"/>
              </w:rPr>
            </w:pPr>
            <w:r w:rsidRPr="003B140D">
              <w:rPr>
                <w:rFonts w:ascii="Arial Narrow" w:hAnsi="Arial Narrow"/>
                <w:sz w:val="20"/>
                <w:szCs w:val="20"/>
              </w:rPr>
              <w:t>AND</w:t>
            </w:r>
          </w:p>
          <w:p w:rsidR="00E01B3E" w:rsidRPr="003B140D" w:rsidRDefault="00E01B3E" w:rsidP="00E01B3E">
            <w:pPr>
              <w:spacing w:before="40" w:after="40"/>
              <w:rPr>
                <w:rFonts w:ascii="Arial Narrow" w:hAnsi="Arial Narrow"/>
                <w:sz w:val="20"/>
                <w:szCs w:val="20"/>
              </w:rPr>
            </w:pPr>
            <w:r w:rsidRPr="003B140D">
              <w:rPr>
                <w:rFonts w:ascii="Arial Narrow" w:hAnsi="Arial Narrow"/>
                <w:sz w:val="20"/>
                <w:szCs w:val="20"/>
              </w:rPr>
              <w:t>Patient must have no evidence of an activating epidermal growth factor</w:t>
            </w:r>
            <w:r w:rsidR="00E06BD4" w:rsidRPr="003B140D">
              <w:rPr>
                <w:rFonts w:ascii="Arial Narrow" w:hAnsi="Arial Narrow"/>
                <w:sz w:val="20"/>
                <w:szCs w:val="20"/>
              </w:rPr>
              <w:t xml:space="preserve"> receptor (EGFR)</w:t>
            </w:r>
            <w:r w:rsidRPr="003B140D">
              <w:rPr>
                <w:rFonts w:ascii="Arial Narrow" w:hAnsi="Arial Narrow"/>
                <w:sz w:val="20"/>
                <w:szCs w:val="20"/>
              </w:rPr>
              <w:t xml:space="preserve"> gene or of an anaplastic lymphoma kinase (ALK) gene rearrangement in tumour material.</w:t>
            </w:r>
          </w:p>
        </w:tc>
      </w:tr>
      <w:tr w:rsidR="00E01B3E" w:rsidRPr="003B140D" w:rsidTr="000D472E">
        <w:trPr>
          <w:trHeight w:val="360"/>
        </w:trPr>
        <w:tc>
          <w:tcPr>
            <w:tcW w:w="1285" w:type="pct"/>
            <w:tcBorders>
              <w:top w:val="single" w:sz="4" w:space="0" w:color="auto"/>
              <w:left w:val="single" w:sz="4" w:space="0" w:color="auto"/>
              <w:bottom w:val="single" w:sz="4" w:space="0" w:color="auto"/>
              <w:right w:val="single" w:sz="4" w:space="0" w:color="auto"/>
            </w:tcBorders>
          </w:tcPr>
          <w:p w:rsidR="00E01B3E" w:rsidRPr="003B140D" w:rsidRDefault="00E01B3E" w:rsidP="00E01B3E">
            <w:pPr>
              <w:spacing w:before="40" w:after="40"/>
              <w:rPr>
                <w:rFonts w:ascii="Arial Narrow" w:hAnsi="Arial Narrow"/>
                <w:b/>
                <w:sz w:val="20"/>
                <w:szCs w:val="20"/>
              </w:rPr>
            </w:pPr>
            <w:r w:rsidRPr="003B140D">
              <w:rPr>
                <w:rFonts w:ascii="Arial Narrow" w:hAnsi="Arial Narrow"/>
                <w:b/>
                <w:sz w:val="20"/>
                <w:szCs w:val="20"/>
              </w:rPr>
              <w:t>Administrative Advice</w:t>
            </w:r>
          </w:p>
        </w:tc>
        <w:tc>
          <w:tcPr>
            <w:tcW w:w="3715" w:type="pct"/>
            <w:tcBorders>
              <w:top w:val="single" w:sz="4" w:space="0" w:color="auto"/>
              <w:left w:val="single" w:sz="4" w:space="0" w:color="auto"/>
              <w:bottom w:val="single" w:sz="4" w:space="0" w:color="auto"/>
              <w:right w:val="single" w:sz="4" w:space="0" w:color="auto"/>
            </w:tcBorders>
          </w:tcPr>
          <w:p w:rsidR="000278E6" w:rsidRPr="003B140D" w:rsidRDefault="000278E6" w:rsidP="000278E6">
            <w:pPr>
              <w:spacing w:before="40" w:after="40"/>
              <w:rPr>
                <w:rFonts w:ascii="Arial Narrow" w:hAnsi="Arial Narrow"/>
                <w:i/>
                <w:sz w:val="20"/>
                <w:szCs w:val="20"/>
              </w:rPr>
            </w:pPr>
            <w:r w:rsidRPr="003B140D">
              <w:rPr>
                <w:rFonts w:ascii="Arial Narrow" w:hAnsi="Arial Narrow"/>
                <w:i/>
                <w:sz w:val="20"/>
                <w:szCs w:val="20"/>
              </w:rPr>
              <w:t>No increase in the maximum number of repeats will be authorised.</w:t>
            </w:r>
          </w:p>
          <w:p w:rsidR="00E01B3E" w:rsidRPr="003B140D" w:rsidRDefault="00E01B3E" w:rsidP="00E01B3E">
            <w:pPr>
              <w:spacing w:before="40" w:after="40"/>
              <w:rPr>
                <w:rFonts w:ascii="Arial Narrow" w:hAnsi="Arial Narrow"/>
                <w:sz w:val="20"/>
                <w:szCs w:val="20"/>
              </w:rPr>
            </w:pPr>
            <w:r w:rsidRPr="003B140D">
              <w:rPr>
                <w:rFonts w:ascii="Arial Narrow" w:hAnsi="Arial Narrow"/>
                <w:sz w:val="20"/>
                <w:szCs w:val="20"/>
              </w:rPr>
              <w:t>In the first few months after start of immunotherapy, some patients can have a transient tumour flare with subsequent disease response. When progression is suspected, this should be confirmed through a confirmatory scan, taken at least 4 weeks later.</w:t>
            </w:r>
          </w:p>
          <w:p w:rsidR="00E01B3E" w:rsidRPr="003B140D" w:rsidRDefault="00E01B3E" w:rsidP="00E01B3E">
            <w:pPr>
              <w:spacing w:before="40" w:after="40"/>
              <w:rPr>
                <w:rFonts w:ascii="Arial Narrow" w:hAnsi="Arial Narrow"/>
                <w:sz w:val="20"/>
                <w:szCs w:val="20"/>
              </w:rPr>
            </w:pPr>
            <w:r w:rsidRPr="003B140D">
              <w:rPr>
                <w:rFonts w:ascii="Arial Narrow" w:hAnsi="Arial Narrow"/>
                <w:sz w:val="20"/>
                <w:szCs w:val="20"/>
              </w:rPr>
              <w:t>Special Pricing Arrangements apply.</w:t>
            </w:r>
          </w:p>
        </w:tc>
      </w:tr>
    </w:tbl>
    <w:p w:rsidR="00E01B3E" w:rsidRPr="003B140D" w:rsidRDefault="00E01B3E" w:rsidP="00E01B3E">
      <w:pPr>
        <w:rPr>
          <w:rFonts w:asciiTheme="minorHAnsi" w:hAnsiTheme="minorHAnsi"/>
        </w:rPr>
      </w:pPr>
    </w:p>
    <w:tbl>
      <w:tblPr>
        <w:tblW w:w="5000" w:type="pct"/>
        <w:tblLook w:val="0000" w:firstRow="0" w:lastRow="0" w:firstColumn="0" w:lastColumn="0" w:noHBand="0" w:noVBand="0"/>
      </w:tblPr>
      <w:tblGrid>
        <w:gridCol w:w="2375"/>
        <w:gridCol w:w="6867"/>
      </w:tblGrid>
      <w:tr w:rsidR="00E01B3E" w:rsidRPr="003B140D" w:rsidTr="00E01B3E">
        <w:trPr>
          <w:cantSplit/>
        </w:trPr>
        <w:tc>
          <w:tcPr>
            <w:tcW w:w="5000" w:type="pct"/>
            <w:gridSpan w:val="2"/>
          </w:tcPr>
          <w:p w:rsidR="00E01B3E" w:rsidRPr="003B140D" w:rsidRDefault="00E01B3E" w:rsidP="00E01B3E">
            <w:pPr>
              <w:keepNext/>
              <w:spacing w:before="40" w:after="40"/>
              <w:rPr>
                <w:rFonts w:ascii="Arial Narrow" w:hAnsi="Arial Narrow"/>
                <w:b/>
                <w:sz w:val="20"/>
                <w:szCs w:val="20"/>
                <w:u w:val="single"/>
              </w:rPr>
            </w:pPr>
            <w:r w:rsidRPr="003B140D">
              <w:rPr>
                <w:rFonts w:ascii="Arial Narrow" w:hAnsi="Arial Narrow"/>
                <w:b/>
                <w:sz w:val="20"/>
                <w:szCs w:val="20"/>
                <w:u w:val="single"/>
              </w:rPr>
              <w:t>Treatment phase: Continuing treatment</w:t>
            </w:r>
          </w:p>
        </w:tc>
      </w:tr>
      <w:tr w:rsidR="00E01B3E" w:rsidRPr="003B140D" w:rsidTr="000D472E">
        <w:trPr>
          <w:trHeight w:val="201"/>
        </w:trPr>
        <w:tc>
          <w:tcPr>
            <w:tcW w:w="1285" w:type="pct"/>
            <w:tcBorders>
              <w:top w:val="single" w:sz="4" w:space="0" w:color="auto"/>
              <w:left w:val="single" w:sz="4" w:space="0" w:color="auto"/>
              <w:bottom w:val="single" w:sz="4" w:space="0" w:color="auto"/>
              <w:right w:val="single" w:sz="4" w:space="0" w:color="auto"/>
            </w:tcBorders>
          </w:tcPr>
          <w:p w:rsidR="00E01B3E" w:rsidRPr="003B140D" w:rsidRDefault="00E01B3E" w:rsidP="00E01B3E">
            <w:pPr>
              <w:spacing w:before="40" w:after="40"/>
              <w:rPr>
                <w:rFonts w:ascii="Arial Narrow" w:hAnsi="Arial Narrow"/>
                <w:b/>
                <w:sz w:val="20"/>
                <w:szCs w:val="20"/>
              </w:rPr>
            </w:pPr>
            <w:r w:rsidRPr="003B140D">
              <w:rPr>
                <w:rFonts w:ascii="Arial Narrow" w:hAnsi="Arial Narrow"/>
                <w:b/>
                <w:sz w:val="20"/>
                <w:szCs w:val="20"/>
              </w:rPr>
              <w:t>Category / Program</w:t>
            </w:r>
          </w:p>
        </w:tc>
        <w:tc>
          <w:tcPr>
            <w:tcW w:w="3715" w:type="pct"/>
            <w:tcBorders>
              <w:top w:val="single" w:sz="4" w:space="0" w:color="auto"/>
              <w:left w:val="single" w:sz="4" w:space="0" w:color="auto"/>
              <w:bottom w:val="single" w:sz="4" w:space="0" w:color="auto"/>
              <w:right w:val="single" w:sz="4" w:space="0" w:color="auto"/>
            </w:tcBorders>
          </w:tcPr>
          <w:p w:rsidR="00E01B3E" w:rsidRPr="003B140D" w:rsidRDefault="00E01B3E" w:rsidP="00E01B3E">
            <w:pPr>
              <w:spacing w:before="40" w:after="40"/>
              <w:rPr>
                <w:rFonts w:ascii="Arial Narrow" w:hAnsi="Arial Narrow"/>
                <w:sz w:val="20"/>
                <w:szCs w:val="20"/>
              </w:rPr>
            </w:pPr>
            <w:r w:rsidRPr="003B140D">
              <w:rPr>
                <w:rFonts w:ascii="Arial Narrow" w:hAnsi="Arial Narrow"/>
                <w:sz w:val="20"/>
                <w:szCs w:val="20"/>
              </w:rPr>
              <w:t>Section 100 – Efficient funding of chemotherapy</w:t>
            </w:r>
          </w:p>
        </w:tc>
      </w:tr>
      <w:tr w:rsidR="00E01B3E" w:rsidRPr="003B140D" w:rsidTr="000D472E">
        <w:trPr>
          <w:trHeight w:val="360"/>
        </w:trPr>
        <w:tc>
          <w:tcPr>
            <w:tcW w:w="1285" w:type="pct"/>
            <w:tcBorders>
              <w:top w:val="single" w:sz="4" w:space="0" w:color="auto"/>
              <w:left w:val="single" w:sz="4" w:space="0" w:color="auto"/>
              <w:bottom w:val="single" w:sz="4" w:space="0" w:color="auto"/>
              <w:right w:val="single" w:sz="4" w:space="0" w:color="auto"/>
            </w:tcBorders>
          </w:tcPr>
          <w:p w:rsidR="00E01B3E" w:rsidRPr="003B140D" w:rsidRDefault="00E01B3E" w:rsidP="00E01B3E">
            <w:pPr>
              <w:spacing w:before="40" w:after="40"/>
              <w:rPr>
                <w:rFonts w:ascii="Arial Narrow" w:hAnsi="Arial Narrow"/>
                <w:b/>
                <w:sz w:val="20"/>
                <w:szCs w:val="20"/>
              </w:rPr>
            </w:pPr>
            <w:r w:rsidRPr="003B140D">
              <w:rPr>
                <w:rFonts w:ascii="Arial Narrow" w:hAnsi="Arial Narrow"/>
                <w:b/>
                <w:sz w:val="20"/>
                <w:szCs w:val="20"/>
              </w:rPr>
              <w:t>Prescriber type:</w:t>
            </w:r>
          </w:p>
        </w:tc>
        <w:tc>
          <w:tcPr>
            <w:tcW w:w="3715" w:type="pct"/>
            <w:tcBorders>
              <w:top w:val="single" w:sz="4" w:space="0" w:color="auto"/>
              <w:left w:val="single" w:sz="4" w:space="0" w:color="auto"/>
              <w:bottom w:val="single" w:sz="4" w:space="0" w:color="auto"/>
              <w:right w:val="single" w:sz="4" w:space="0" w:color="auto"/>
            </w:tcBorders>
          </w:tcPr>
          <w:p w:rsidR="00E01B3E" w:rsidRPr="003B140D" w:rsidRDefault="00E01B3E" w:rsidP="000D472E">
            <w:pPr>
              <w:spacing w:before="40" w:after="40"/>
              <w:rPr>
                <w:rFonts w:ascii="Arial Narrow" w:hAnsi="Arial Narrow"/>
                <w:sz w:val="20"/>
                <w:szCs w:val="20"/>
              </w:rPr>
            </w:pPr>
            <w:r w:rsidRPr="003B140D">
              <w:rPr>
                <w:rFonts w:ascii="Arial Narrow" w:hAnsi="Arial Narrow"/>
                <w:sz w:val="20"/>
                <w:szCs w:val="20"/>
              </w:rPr>
              <w:fldChar w:fldCharType="begin">
                <w:ffData>
                  <w:name w:val="Check1"/>
                  <w:enabled/>
                  <w:calcOnExit w:val="0"/>
                  <w:checkBox>
                    <w:sizeAuto/>
                    <w:default w:val="0"/>
                  </w:checkBox>
                </w:ffData>
              </w:fldChar>
            </w:r>
            <w:r w:rsidRPr="003B140D">
              <w:rPr>
                <w:rFonts w:ascii="Arial Narrow" w:hAnsi="Arial Narrow"/>
                <w:sz w:val="20"/>
                <w:szCs w:val="20"/>
              </w:rPr>
              <w:instrText xml:space="preserve"> FORMCHECKBOX </w:instrText>
            </w:r>
            <w:r w:rsidR="00E964DA">
              <w:rPr>
                <w:rFonts w:ascii="Arial Narrow" w:hAnsi="Arial Narrow"/>
                <w:sz w:val="20"/>
                <w:szCs w:val="20"/>
              </w:rPr>
            </w:r>
            <w:r w:rsidR="00E964DA">
              <w:rPr>
                <w:rFonts w:ascii="Arial Narrow" w:hAnsi="Arial Narrow"/>
                <w:sz w:val="20"/>
                <w:szCs w:val="20"/>
              </w:rPr>
              <w:fldChar w:fldCharType="separate"/>
            </w:r>
            <w:r w:rsidRPr="003B140D">
              <w:rPr>
                <w:rFonts w:ascii="Arial Narrow" w:hAnsi="Arial Narrow"/>
                <w:sz w:val="20"/>
                <w:szCs w:val="20"/>
              </w:rPr>
              <w:fldChar w:fldCharType="end"/>
            </w:r>
            <w:r w:rsidRPr="003B140D">
              <w:rPr>
                <w:rFonts w:ascii="Arial Narrow" w:hAnsi="Arial Narrow"/>
                <w:sz w:val="20"/>
                <w:szCs w:val="20"/>
              </w:rPr>
              <w:t xml:space="preserve">Dental  </w:t>
            </w:r>
            <w:r w:rsidRPr="003B140D">
              <w:rPr>
                <w:rFonts w:ascii="Arial Narrow" w:hAnsi="Arial Narrow"/>
                <w:sz w:val="20"/>
                <w:szCs w:val="20"/>
              </w:rPr>
              <w:fldChar w:fldCharType="begin">
                <w:ffData>
                  <w:name w:val=""/>
                  <w:enabled/>
                  <w:calcOnExit w:val="0"/>
                  <w:checkBox>
                    <w:sizeAuto/>
                    <w:default w:val="1"/>
                  </w:checkBox>
                </w:ffData>
              </w:fldChar>
            </w:r>
            <w:r w:rsidRPr="003B140D">
              <w:rPr>
                <w:rFonts w:ascii="Arial Narrow" w:hAnsi="Arial Narrow"/>
                <w:sz w:val="20"/>
                <w:szCs w:val="20"/>
              </w:rPr>
              <w:instrText xml:space="preserve"> FORMCHECKBOX </w:instrText>
            </w:r>
            <w:r w:rsidR="00E964DA">
              <w:rPr>
                <w:rFonts w:ascii="Arial Narrow" w:hAnsi="Arial Narrow"/>
                <w:sz w:val="20"/>
                <w:szCs w:val="20"/>
              </w:rPr>
            </w:r>
            <w:r w:rsidR="00E964DA">
              <w:rPr>
                <w:rFonts w:ascii="Arial Narrow" w:hAnsi="Arial Narrow"/>
                <w:sz w:val="20"/>
                <w:szCs w:val="20"/>
              </w:rPr>
              <w:fldChar w:fldCharType="separate"/>
            </w:r>
            <w:r w:rsidRPr="003B140D">
              <w:rPr>
                <w:rFonts w:ascii="Arial Narrow" w:hAnsi="Arial Narrow"/>
                <w:sz w:val="20"/>
                <w:szCs w:val="20"/>
              </w:rPr>
              <w:fldChar w:fldCharType="end"/>
            </w:r>
            <w:r w:rsidRPr="003B140D">
              <w:rPr>
                <w:rFonts w:ascii="Arial Narrow" w:hAnsi="Arial Narrow"/>
                <w:sz w:val="20"/>
                <w:szCs w:val="20"/>
              </w:rPr>
              <w:t xml:space="preserve">Medical Practitioners  </w:t>
            </w:r>
            <w:r w:rsidRPr="003B140D">
              <w:rPr>
                <w:rFonts w:ascii="Arial Narrow" w:hAnsi="Arial Narrow"/>
                <w:sz w:val="20"/>
                <w:szCs w:val="20"/>
              </w:rPr>
              <w:fldChar w:fldCharType="begin">
                <w:ffData>
                  <w:name w:val="Check3"/>
                  <w:enabled/>
                  <w:calcOnExit w:val="0"/>
                  <w:checkBox>
                    <w:sizeAuto/>
                    <w:default w:val="0"/>
                  </w:checkBox>
                </w:ffData>
              </w:fldChar>
            </w:r>
            <w:r w:rsidRPr="003B140D">
              <w:rPr>
                <w:rFonts w:ascii="Arial Narrow" w:hAnsi="Arial Narrow"/>
                <w:sz w:val="20"/>
                <w:szCs w:val="20"/>
              </w:rPr>
              <w:instrText xml:space="preserve"> FORMCHECKBOX </w:instrText>
            </w:r>
            <w:r w:rsidR="00E964DA">
              <w:rPr>
                <w:rFonts w:ascii="Arial Narrow" w:hAnsi="Arial Narrow"/>
                <w:sz w:val="20"/>
                <w:szCs w:val="20"/>
              </w:rPr>
            </w:r>
            <w:r w:rsidR="00E964DA">
              <w:rPr>
                <w:rFonts w:ascii="Arial Narrow" w:hAnsi="Arial Narrow"/>
                <w:sz w:val="20"/>
                <w:szCs w:val="20"/>
              </w:rPr>
              <w:fldChar w:fldCharType="separate"/>
            </w:r>
            <w:r w:rsidRPr="003B140D">
              <w:rPr>
                <w:rFonts w:ascii="Arial Narrow" w:hAnsi="Arial Narrow"/>
                <w:sz w:val="20"/>
                <w:szCs w:val="20"/>
              </w:rPr>
              <w:fldChar w:fldCharType="end"/>
            </w:r>
            <w:r w:rsidRPr="003B140D">
              <w:rPr>
                <w:rFonts w:ascii="Arial Narrow" w:hAnsi="Arial Narrow"/>
                <w:sz w:val="20"/>
                <w:szCs w:val="20"/>
              </w:rPr>
              <w:t xml:space="preserve">Nurse practitioners  </w:t>
            </w:r>
            <w:r w:rsidRPr="003B140D">
              <w:rPr>
                <w:rFonts w:ascii="Arial Narrow" w:hAnsi="Arial Narrow"/>
                <w:sz w:val="20"/>
                <w:szCs w:val="20"/>
              </w:rPr>
              <w:fldChar w:fldCharType="begin">
                <w:ffData>
                  <w:name w:val=""/>
                  <w:enabled/>
                  <w:calcOnExit w:val="0"/>
                  <w:checkBox>
                    <w:sizeAuto/>
                    <w:default w:val="0"/>
                  </w:checkBox>
                </w:ffData>
              </w:fldChar>
            </w:r>
            <w:r w:rsidRPr="003B140D">
              <w:rPr>
                <w:rFonts w:ascii="Arial Narrow" w:hAnsi="Arial Narrow"/>
                <w:sz w:val="20"/>
                <w:szCs w:val="20"/>
              </w:rPr>
              <w:instrText xml:space="preserve"> FORMCHECKBOX </w:instrText>
            </w:r>
            <w:r w:rsidR="00E964DA">
              <w:rPr>
                <w:rFonts w:ascii="Arial Narrow" w:hAnsi="Arial Narrow"/>
                <w:sz w:val="20"/>
                <w:szCs w:val="20"/>
              </w:rPr>
            </w:r>
            <w:r w:rsidR="00E964DA">
              <w:rPr>
                <w:rFonts w:ascii="Arial Narrow" w:hAnsi="Arial Narrow"/>
                <w:sz w:val="20"/>
                <w:szCs w:val="20"/>
              </w:rPr>
              <w:fldChar w:fldCharType="separate"/>
            </w:r>
            <w:r w:rsidRPr="003B140D">
              <w:rPr>
                <w:rFonts w:ascii="Arial Narrow" w:hAnsi="Arial Narrow"/>
                <w:sz w:val="20"/>
                <w:szCs w:val="20"/>
              </w:rPr>
              <w:fldChar w:fldCharType="end"/>
            </w:r>
            <w:r w:rsidRPr="003B140D">
              <w:rPr>
                <w:rFonts w:ascii="Arial Narrow" w:hAnsi="Arial Narrow"/>
                <w:sz w:val="20"/>
                <w:szCs w:val="20"/>
              </w:rPr>
              <w:t>Optometrists</w:t>
            </w:r>
            <w:r w:rsidR="000D472E" w:rsidRPr="003B140D">
              <w:rPr>
                <w:rFonts w:ascii="Arial Narrow" w:hAnsi="Arial Narrow"/>
                <w:sz w:val="20"/>
                <w:szCs w:val="20"/>
              </w:rPr>
              <w:t xml:space="preserve">  </w:t>
            </w:r>
            <w:r w:rsidRPr="003B140D">
              <w:rPr>
                <w:rFonts w:ascii="Arial Narrow" w:hAnsi="Arial Narrow"/>
                <w:sz w:val="20"/>
                <w:szCs w:val="20"/>
              </w:rPr>
              <w:fldChar w:fldCharType="begin">
                <w:ffData>
                  <w:name w:val="Check5"/>
                  <w:enabled/>
                  <w:calcOnExit w:val="0"/>
                  <w:checkBox>
                    <w:sizeAuto/>
                    <w:default w:val="0"/>
                  </w:checkBox>
                </w:ffData>
              </w:fldChar>
            </w:r>
            <w:r w:rsidRPr="003B140D">
              <w:rPr>
                <w:rFonts w:ascii="Arial Narrow" w:hAnsi="Arial Narrow"/>
                <w:sz w:val="20"/>
                <w:szCs w:val="20"/>
              </w:rPr>
              <w:instrText xml:space="preserve"> FORMCHECKBOX </w:instrText>
            </w:r>
            <w:r w:rsidR="00E964DA">
              <w:rPr>
                <w:rFonts w:ascii="Arial Narrow" w:hAnsi="Arial Narrow"/>
                <w:sz w:val="20"/>
                <w:szCs w:val="20"/>
              </w:rPr>
            </w:r>
            <w:r w:rsidR="00E964DA">
              <w:rPr>
                <w:rFonts w:ascii="Arial Narrow" w:hAnsi="Arial Narrow"/>
                <w:sz w:val="20"/>
                <w:szCs w:val="20"/>
              </w:rPr>
              <w:fldChar w:fldCharType="separate"/>
            </w:r>
            <w:r w:rsidRPr="003B140D">
              <w:rPr>
                <w:rFonts w:ascii="Arial Narrow" w:hAnsi="Arial Narrow"/>
                <w:sz w:val="20"/>
                <w:szCs w:val="20"/>
              </w:rPr>
              <w:fldChar w:fldCharType="end"/>
            </w:r>
            <w:r w:rsidRPr="003B140D">
              <w:rPr>
                <w:rFonts w:ascii="Arial Narrow" w:hAnsi="Arial Narrow"/>
                <w:sz w:val="20"/>
                <w:szCs w:val="20"/>
              </w:rPr>
              <w:t>Midwives</w:t>
            </w:r>
          </w:p>
        </w:tc>
      </w:tr>
      <w:tr w:rsidR="00E01B3E" w:rsidRPr="003B140D" w:rsidTr="000D472E">
        <w:trPr>
          <w:trHeight w:val="106"/>
        </w:trPr>
        <w:tc>
          <w:tcPr>
            <w:tcW w:w="1285" w:type="pct"/>
            <w:tcBorders>
              <w:top w:val="single" w:sz="4" w:space="0" w:color="auto"/>
              <w:left w:val="single" w:sz="4" w:space="0" w:color="auto"/>
              <w:bottom w:val="single" w:sz="4" w:space="0" w:color="auto"/>
              <w:right w:val="single" w:sz="4" w:space="0" w:color="auto"/>
            </w:tcBorders>
          </w:tcPr>
          <w:p w:rsidR="00E01B3E" w:rsidRPr="003B140D" w:rsidRDefault="00E01B3E" w:rsidP="00E01B3E">
            <w:pPr>
              <w:spacing w:before="40" w:after="40"/>
              <w:rPr>
                <w:rFonts w:ascii="Arial Narrow" w:hAnsi="Arial Narrow"/>
                <w:b/>
                <w:sz w:val="20"/>
                <w:szCs w:val="20"/>
              </w:rPr>
            </w:pPr>
            <w:r w:rsidRPr="003B140D">
              <w:rPr>
                <w:rFonts w:ascii="Arial Narrow" w:hAnsi="Arial Narrow"/>
                <w:b/>
                <w:sz w:val="20"/>
                <w:szCs w:val="20"/>
              </w:rPr>
              <w:t>Severity:</w:t>
            </w:r>
          </w:p>
        </w:tc>
        <w:tc>
          <w:tcPr>
            <w:tcW w:w="3715" w:type="pct"/>
            <w:tcBorders>
              <w:top w:val="single" w:sz="4" w:space="0" w:color="auto"/>
              <w:left w:val="single" w:sz="4" w:space="0" w:color="auto"/>
              <w:bottom w:val="single" w:sz="4" w:space="0" w:color="auto"/>
              <w:right w:val="single" w:sz="4" w:space="0" w:color="auto"/>
            </w:tcBorders>
          </w:tcPr>
          <w:p w:rsidR="00E01B3E" w:rsidRPr="003B140D" w:rsidRDefault="00E01B3E" w:rsidP="00E01B3E">
            <w:pPr>
              <w:spacing w:before="40" w:after="40"/>
              <w:rPr>
                <w:rFonts w:ascii="Arial Narrow" w:hAnsi="Arial Narrow"/>
                <w:sz w:val="20"/>
                <w:szCs w:val="20"/>
              </w:rPr>
            </w:pPr>
            <w:r w:rsidRPr="003B140D">
              <w:rPr>
                <w:rFonts w:ascii="Arial Narrow" w:hAnsi="Arial Narrow"/>
                <w:sz w:val="20"/>
                <w:szCs w:val="20"/>
              </w:rPr>
              <w:t>Stage IV previously untreated</w:t>
            </w:r>
          </w:p>
        </w:tc>
      </w:tr>
      <w:tr w:rsidR="00E01B3E" w:rsidRPr="003B140D" w:rsidTr="000D472E">
        <w:trPr>
          <w:trHeight w:val="67"/>
        </w:trPr>
        <w:tc>
          <w:tcPr>
            <w:tcW w:w="1285" w:type="pct"/>
            <w:tcBorders>
              <w:top w:val="single" w:sz="4" w:space="0" w:color="auto"/>
              <w:left w:val="single" w:sz="4" w:space="0" w:color="auto"/>
              <w:bottom w:val="single" w:sz="4" w:space="0" w:color="auto"/>
              <w:right w:val="single" w:sz="4" w:space="0" w:color="auto"/>
            </w:tcBorders>
          </w:tcPr>
          <w:p w:rsidR="00E01B3E" w:rsidRPr="003B140D" w:rsidRDefault="00E01B3E" w:rsidP="00E01B3E">
            <w:pPr>
              <w:spacing w:before="40" w:after="40"/>
              <w:rPr>
                <w:rFonts w:ascii="Arial Narrow" w:hAnsi="Arial Narrow"/>
                <w:b/>
                <w:sz w:val="20"/>
                <w:szCs w:val="20"/>
              </w:rPr>
            </w:pPr>
            <w:r w:rsidRPr="003B140D">
              <w:rPr>
                <w:rFonts w:ascii="Arial Narrow" w:hAnsi="Arial Narrow"/>
                <w:b/>
                <w:sz w:val="20"/>
                <w:szCs w:val="20"/>
              </w:rPr>
              <w:t>Condition:</w:t>
            </w:r>
          </w:p>
        </w:tc>
        <w:tc>
          <w:tcPr>
            <w:tcW w:w="3715" w:type="pct"/>
            <w:tcBorders>
              <w:top w:val="single" w:sz="4" w:space="0" w:color="auto"/>
              <w:left w:val="single" w:sz="4" w:space="0" w:color="auto"/>
              <w:bottom w:val="single" w:sz="4" w:space="0" w:color="auto"/>
              <w:right w:val="single" w:sz="4" w:space="0" w:color="auto"/>
            </w:tcBorders>
          </w:tcPr>
          <w:p w:rsidR="00E01B3E" w:rsidRPr="003B140D" w:rsidRDefault="00E01B3E" w:rsidP="00E01B3E">
            <w:pPr>
              <w:spacing w:before="40" w:after="40"/>
              <w:rPr>
                <w:rFonts w:ascii="Arial Narrow" w:hAnsi="Arial Narrow"/>
                <w:sz w:val="20"/>
                <w:szCs w:val="20"/>
              </w:rPr>
            </w:pPr>
            <w:r w:rsidRPr="003B140D">
              <w:rPr>
                <w:rFonts w:ascii="Arial Narrow" w:hAnsi="Arial Narrow"/>
                <w:sz w:val="20"/>
                <w:szCs w:val="20"/>
              </w:rPr>
              <w:t>Non-small cell lung cancer</w:t>
            </w:r>
          </w:p>
        </w:tc>
      </w:tr>
      <w:tr w:rsidR="00E01B3E" w:rsidRPr="003B140D" w:rsidTr="000D472E">
        <w:trPr>
          <w:trHeight w:val="171"/>
        </w:trPr>
        <w:tc>
          <w:tcPr>
            <w:tcW w:w="1285" w:type="pct"/>
            <w:tcBorders>
              <w:top w:val="single" w:sz="4" w:space="0" w:color="auto"/>
              <w:left w:val="single" w:sz="4" w:space="0" w:color="auto"/>
              <w:bottom w:val="single" w:sz="4" w:space="0" w:color="auto"/>
              <w:right w:val="single" w:sz="4" w:space="0" w:color="auto"/>
            </w:tcBorders>
          </w:tcPr>
          <w:p w:rsidR="00E01B3E" w:rsidRPr="003B140D" w:rsidRDefault="00E01B3E" w:rsidP="00E01B3E">
            <w:pPr>
              <w:spacing w:before="40" w:after="40"/>
              <w:rPr>
                <w:rFonts w:ascii="Arial Narrow" w:hAnsi="Arial Narrow"/>
                <w:b/>
                <w:sz w:val="20"/>
                <w:szCs w:val="20"/>
              </w:rPr>
            </w:pPr>
            <w:r w:rsidRPr="003B140D">
              <w:rPr>
                <w:rFonts w:ascii="Arial Narrow" w:hAnsi="Arial Narrow"/>
                <w:b/>
                <w:sz w:val="20"/>
                <w:szCs w:val="20"/>
              </w:rPr>
              <w:t>PBS Indication:</w:t>
            </w:r>
          </w:p>
        </w:tc>
        <w:tc>
          <w:tcPr>
            <w:tcW w:w="3715" w:type="pct"/>
            <w:tcBorders>
              <w:top w:val="single" w:sz="4" w:space="0" w:color="auto"/>
              <w:left w:val="single" w:sz="4" w:space="0" w:color="auto"/>
              <w:bottom w:val="single" w:sz="4" w:space="0" w:color="auto"/>
              <w:right w:val="single" w:sz="4" w:space="0" w:color="auto"/>
            </w:tcBorders>
          </w:tcPr>
          <w:p w:rsidR="00E01B3E" w:rsidRPr="003B140D" w:rsidRDefault="00E01B3E" w:rsidP="00E01B3E">
            <w:pPr>
              <w:spacing w:before="40" w:after="40"/>
              <w:rPr>
                <w:rFonts w:ascii="Arial Narrow" w:hAnsi="Arial Narrow"/>
                <w:sz w:val="20"/>
                <w:szCs w:val="20"/>
              </w:rPr>
            </w:pPr>
            <w:r w:rsidRPr="003B140D">
              <w:rPr>
                <w:rFonts w:ascii="Arial Narrow" w:hAnsi="Arial Narrow"/>
                <w:sz w:val="20"/>
                <w:szCs w:val="20"/>
              </w:rPr>
              <w:t>Stage IV (metastatic) previously untreated non-small cell lung cancer</w:t>
            </w:r>
          </w:p>
        </w:tc>
      </w:tr>
      <w:tr w:rsidR="00E01B3E" w:rsidRPr="003B140D" w:rsidTr="000D472E">
        <w:trPr>
          <w:trHeight w:val="275"/>
        </w:trPr>
        <w:tc>
          <w:tcPr>
            <w:tcW w:w="1285" w:type="pct"/>
            <w:tcBorders>
              <w:top w:val="single" w:sz="4" w:space="0" w:color="auto"/>
              <w:left w:val="single" w:sz="4" w:space="0" w:color="auto"/>
              <w:bottom w:val="single" w:sz="4" w:space="0" w:color="auto"/>
              <w:right w:val="single" w:sz="4" w:space="0" w:color="auto"/>
            </w:tcBorders>
          </w:tcPr>
          <w:p w:rsidR="00E01B3E" w:rsidRPr="003B140D" w:rsidRDefault="00E01B3E" w:rsidP="00E01B3E">
            <w:pPr>
              <w:spacing w:before="40" w:after="40"/>
              <w:rPr>
                <w:rFonts w:ascii="Arial Narrow" w:hAnsi="Arial Narrow"/>
                <w:sz w:val="20"/>
                <w:szCs w:val="20"/>
              </w:rPr>
            </w:pPr>
            <w:r w:rsidRPr="003B140D">
              <w:rPr>
                <w:rFonts w:ascii="Arial Narrow" w:hAnsi="Arial Narrow"/>
                <w:b/>
                <w:sz w:val="20"/>
                <w:szCs w:val="20"/>
              </w:rPr>
              <w:t>Treatment phase:</w:t>
            </w:r>
          </w:p>
        </w:tc>
        <w:tc>
          <w:tcPr>
            <w:tcW w:w="3715" w:type="pct"/>
            <w:tcBorders>
              <w:top w:val="single" w:sz="4" w:space="0" w:color="auto"/>
              <w:left w:val="single" w:sz="4" w:space="0" w:color="auto"/>
              <w:bottom w:val="single" w:sz="4" w:space="0" w:color="auto"/>
              <w:right w:val="single" w:sz="4" w:space="0" w:color="auto"/>
            </w:tcBorders>
          </w:tcPr>
          <w:p w:rsidR="00E01B3E" w:rsidRPr="003B140D" w:rsidRDefault="00E01B3E" w:rsidP="00E01B3E">
            <w:pPr>
              <w:spacing w:before="40" w:after="40"/>
              <w:rPr>
                <w:rFonts w:ascii="Arial Narrow" w:hAnsi="Arial Narrow"/>
                <w:sz w:val="20"/>
                <w:szCs w:val="20"/>
              </w:rPr>
            </w:pPr>
            <w:r w:rsidRPr="003B140D">
              <w:rPr>
                <w:rFonts w:ascii="Arial Narrow" w:hAnsi="Arial Narrow"/>
                <w:sz w:val="20"/>
                <w:szCs w:val="20"/>
              </w:rPr>
              <w:t xml:space="preserve">Continuing </w:t>
            </w:r>
          </w:p>
        </w:tc>
      </w:tr>
      <w:tr w:rsidR="00E01B3E" w:rsidRPr="003B140D" w:rsidTr="000D472E">
        <w:trPr>
          <w:trHeight w:val="360"/>
        </w:trPr>
        <w:tc>
          <w:tcPr>
            <w:tcW w:w="1285" w:type="pct"/>
            <w:tcBorders>
              <w:top w:val="single" w:sz="4" w:space="0" w:color="auto"/>
              <w:left w:val="single" w:sz="4" w:space="0" w:color="auto"/>
              <w:bottom w:val="single" w:sz="4" w:space="0" w:color="auto"/>
              <w:right w:val="single" w:sz="4" w:space="0" w:color="auto"/>
            </w:tcBorders>
          </w:tcPr>
          <w:p w:rsidR="00E01B3E" w:rsidRPr="003B140D" w:rsidRDefault="00E01B3E" w:rsidP="00E01B3E">
            <w:pPr>
              <w:spacing w:before="40" w:after="40"/>
              <w:rPr>
                <w:rFonts w:ascii="Arial Narrow" w:hAnsi="Arial Narrow"/>
                <w:b/>
                <w:sz w:val="20"/>
                <w:szCs w:val="20"/>
              </w:rPr>
            </w:pPr>
            <w:r w:rsidRPr="003B140D">
              <w:rPr>
                <w:rFonts w:ascii="Arial Narrow" w:hAnsi="Arial Narrow"/>
                <w:b/>
                <w:sz w:val="20"/>
                <w:szCs w:val="20"/>
              </w:rPr>
              <w:t>Restriction Level / Method:</w:t>
            </w:r>
          </w:p>
        </w:tc>
        <w:tc>
          <w:tcPr>
            <w:tcW w:w="3715" w:type="pct"/>
            <w:tcBorders>
              <w:top w:val="single" w:sz="4" w:space="0" w:color="auto"/>
              <w:left w:val="single" w:sz="4" w:space="0" w:color="auto"/>
              <w:bottom w:val="single" w:sz="4" w:space="0" w:color="auto"/>
              <w:right w:val="single" w:sz="4" w:space="0" w:color="auto"/>
            </w:tcBorders>
          </w:tcPr>
          <w:p w:rsidR="00E01B3E" w:rsidRPr="003B140D" w:rsidRDefault="00E01B3E" w:rsidP="00E01B3E">
            <w:pPr>
              <w:spacing w:before="40" w:after="40"/>
              <w:rPr>
                <w:rFonts w:ascii="Arial Narrow" w:hAnsi="Arial Narrow"/>
                <w:sz w:val="20"/>
                <w:szCs w:val="20"/>
              </w:rPr>
            </w:pPr>
            <w:r w:rsidRPr="003B140D">
              <w:rPr>
                <w:rFonts w:ascii="Arial Narrow" w:hAnsi="Arial Narrow"/>
                <w:sz w:val="20"/>
                <w:szCs w:val="20"/>
              </w:rPr>
              <w:fldChar w:fldCharType="begin">
                <w:ffData>
                  <w:name w:val="Check1"/>
                  <w:enabled/>
                  <w:calcOnExit w:val="0"/>
                  <w:checkBox>
                    <w:sizeAuto/>
                    <w:default w:val="0"/>
                  </w:checkBox>
                </w:ffData>
              </w:fldChar>
            </w:r>
            <w:r w:rsidRPr="003B140D">
              <w:rPr>
                <w:rFonts w:ascii="Arial Narrow" w:hAnsi="Arial Narrow"/>
                <w:sz w:val="20"/>
                <w:szCs w:val="20"/>
              </w:rPr>
              <w:instrText xml:space="preserve"> FORMCHECKBOX </w:instrText>
            </w:r>
            <w:r w:rsidR="00E964DA">
              <w:rPr>
                <w:rFonts w:ascii="Arial Narrow" w:hAnsi="Arial Narrow"/>
                <w:sz w:val="20"/>
                <w:szCs w:val="20"/>
              </w:rPr>
            </w:r>
            <w:r w:rsidR="00E964DA">
              <w:rPr>
                <w:rFonts w:ascii="Arial Narrow" w:hAnsi="Arial Narrow"/>
                <w:sz w:val="20"/>
                <w:szCs w:val="20"/>
              </w:rPr>
              <w:fldChar w:fldCharType="separate"/>
            </w:r>
            <w:r w:rsidRPr="003B140D">
              <w:rPr>
                <w:rFonts w:ascii="Arial Narrow" w:hAnsi="Arial Narrow"/>
                <w:sz w:val="20"/>
                <w:szCs w:val="20"/>
              </w:rPr>
              <w:fldChar w:fldCharType="end"/>
            </w:r>
            <w:r w:rsidRPr="003B140D">
              <w:rPr>
                <w:rFonts w:ascii="Arial Narrow" w:hAnsi="Arial Narrow"/>
                <w:sz w:val="20"/>
                <w:szCs w:val="20"/>
              </w:rPr>
              <w:t>Restricted benefit</w:t>
            </w:r>
          </w:p>
          <w:p w:rsidR="00E01B3E" w:rsidRPr="003B140D" w:rsidRDefault="00E01B3E" w:rsidP="00E01B3E">
            <w:pPr>
              <w:spacing w:before="40" w:after="40"/>
              <w:rPr>
                <w:rFonts w:ascii="Arial Narrow" w:hAnsi="Arial Narrow"/>
                <w:sz w:val="20"/>
                <w:szCs w:val="20"/>
              </w:rPr>
            </w:pPr>
            <w:r w:rsidRPr="003B140D">
              <w:rPr>
                <w:rFonts w:ascii="Arial Narrow" w:hAnsi="Arial Narrow"/>
                <w:sz w:val="20"/>
                <w:szCs w:val="20"/>
              </w:rPr>
              <w:fldChar w:fldCharType="begin">
                <w:ffData>
                  <w:name w:val=""/>
                  <w:enabled/>
                  <w:calcOnExit w:val="0"/>
                  <w:checkBox>
                    <w:sizeAuto/>
                    <w:default w:val="0"/>
                  </w:checkBox>
                </w:ffData>
              </w:fldChar>
            </w:r>
            <w:r w:rsidRPr="003B140D">
              <w:rPr>
                <w:rFonts w:ascii="Arial Narrow" w:hAnsi="Arial Narrow"/>
                <w:sz w:val="20"/>
                <w:szCs w:val="20"/>
              </w:rPr>
              <w:instrText xml:space="preserve"> FORMCHECKBOX </w:instrText>
            </w:r>
            <w:r w:rsidR="00E964DA">
              <w:rPr>
                <w:rFonts w:ascii="Arial Narrow" w:hAnsi="Arial Narrow"/>
                <w:sz w:val="20"/>
                <w:szCs w:val="20"/>
              </w:rPr>
            </w:r>
            <w:r w:rsidR="00E964DA">
              <w:rPr>
                <w:rFonts w:ascii="Arial Narrow" w:hAnsi="Arial Narrow"/>
                <w:sz w:val="20"/>
                <w:szCs w:val="20"/>
              </w:rPr>
              <w:fldChar w:fldCharType="separate"/>
            </w:r>
            <w:r w:rsidRPr="003B140D">
              <w:rPr>
                <w:rFonts w:ascii="Arial Narrow" w:hAnsi="Arial Narrow"/>
                <w:sz w:val="20"/>
                <w:szCs w:val="20"/>
              </w:rPr>
              <w:fldChar w:fldCharType="end"/>
            </w:r>
            <w:r w:rsidRPr="003B140D">
              <w:rPr>
                <w:rFonts w:ascii="Arial Narrow" w:hAnsi="Arial Narrow"/>
                <w:sz w:val="20"/>
                <w:szCs w:val="20"/>
              </w:rPr>
              <w:t>Authority Required - In Writing</w:t>
            </w:r>
          </w:p>
          <w:p w:rsidR="00E01B3E" w:rsidRPr="003B140D" w:rsidRDefault="00E01B3E" w:rsidP="00E01B3E">
            <w:pPr>
              <w:spacing w:before="40" w:after="40"/>
              <w:rPr>
                <w:rFonts w:ascii="Arial Narrow" w:hAnsi="Arial Narrow"/>
                <w:sz w:val="20"/>
                <w:szCs w:val="20"/>
              </w:rPr>
            </w:pPr>
            <w:r w:rsidRPr="003B140D">
              <w:rPr>
                <w:rFonts w:ascii="Arial Narrow" w:hAnsi="Arial Narrow"/>
                <w:sz w:val="20"/>
                <w:szCs w:val="20"/>
              </w:rPr>
              <w:fldChar w:fldCharType="begin">
                <w:ffData>
                  <w:name w:val="Check3"/>
                  <w:enabled/>
                  <w:calcOnExit w:val="0"/>
                  <w:checkBox>
                    <w:sizeAuto/>
                    <w:default w:val="0"/>
                  </w:checkBox>
                </w:ffData>
              </w:fldChar>
            </w:r>
            <w:r w:rsidRPr="003B140D">
              <w:rPr>
                <w:rFonts w:ascii="Arial Narrow" w:hAnsi="Arial Narrow"/>
                <w:sz w:val="20"/>
                <w:szCs w:val="20"/>
              </w:rPr>
              <w:instrText xml:space="preserve"> FORMCHECKBOX </w:instrText>
            </w:r>
            <w:r w:rsidR="00E964DA">
              <w:rPr>
                <w:rFonts w:ascii="Arial Narrow" w:hAnsi="Arial Narrow"/>
                <w:sz w:val="20"/>
                <w:szCs w:val="20"/>
              </w:rPr>
            </w:r>
            <w:r w:rsidR="00E964DA">
              <w:rPr>
                <w:rFonts w:ascii="Arial Narrow" w:hAnsi="Arial Narrow"/>
                <w:sz w:val="20"/>
                <w:szCs w:val="20"/>
              </w:rPr>
              <w:fldChar w:fldCharType="separate"/>
            </w:r>
            <w:r w:rsidRPr="003B140D">
              <w:rPr>
                <w:rFonts w:ascii="Arial Narrow" w:hAnsi="Arial Narrow"/>
                <w:sz w:val="20"/>
                <w:szCs w:val="20"/>
              </w:rPr>
              <w:fldChar w:fldCharType="end"/>
            </w:r>
            <w:r w:rsidRPr="003B140D">
              <w:rPr>
                <w:rFonts w:ascii="Arial Narrow" w:hAnsi="Arial Narrow"/>
                <w:sz w:val="20"/>
                <w:szCs w:val="20"/>
              </w:rPr>
              <w:t>Authority Required - Telephone</w:t>
            </w:r>
          </w:p>
          <w:p w:rsidR="00E01B3E" w:rsidRPr="003B140D" w:rsidRDefault="00E01B3E" w:rsidP="00E01B3E">
            <w:pPr>
              <w:spacing w:before="40" w:after="40"/>
              <w:rPr>
                <w:rFonts w:ascii="Arial Narrow" w:hAnsi="Arial Narrow"/>
                <w:sz w:val="20"/>
                <w:szCs w:val="20"/>
              </w:rPr>
            </w:pPr>
            <w:r w:rsidRPr="003B140D">
              <w:rPr>
                <w:rFonts w:ascii="Arial Narrow" w:hAnsi="Arial Narrow"/>
                <w:sz w:val="20"/>
                <w:szCs w:val="20"/>
              </w:rPr>
              <w:fldChar w:fldCharType="begin">
                <w:ffData>
                  <w:name w:val=""/>
                  <w:enabled/>
                  <w:calcOnExit w:val="0"/>
                  <w:checkBox>
                    <w:sizeAuto/>
                    <w:default w:val="0"/>
                  </w:checkBox>
                </w:ffData>
              </w:fldChar>
            </w:r>
            <w:r w:rsidRPr="003B140D">
              <w:rPr>
                <w:rFonts w:ascii="Arial Narrow" w:hAnsi="Arial Narrow"/>
                <w:sz w:val="20"/>
                <w:szCs w:val="20"/>
              </w:rPr>
              <w:instrText xml:space="preserve"> FORMCHECKBOX </w:instrText>
            </w:r>
            <w:r w:rsidR="00E964DA">
              <w:rPr>
                <w:rFonts w:ascii="Arial Narrow" w:hAnsi="Arial Narrow"/>
                <w:sz w:val="20"/>
                <w:szCs w:val="20"/>
              </w:rPr>
            </w:r>
            <w:r w:rsidR="00E964DA">
              <w:rPr>
                <w:rFonts w:ascii="Arial Narrow" w:hAnsi="Arial Narrow"/>
                <w:sz w:val="20"/>
                <w:szCs w:val="20"/>
              </w:rPr>
              <w:fldChar w:fldCharType="separate"/>
            </w:r>
            <w:r w:rsidRPr="003B140D">
              <w:rPr>
                <w:rFonts w:ascii="Arial Narrow" w:hAnsi="Arial Narrow"/>
                <w:sz w:val="20"/>
                <w:szCs w:val="20"/>
              </w:rPr>
              <w:fldChar w:fldCharType="end"/>
            </w:r>
            <w:r w:rsidRPr="003B140D">
              <w:rPr>
                <w:rFonts w:ascii="Arial Narrow" w:hAnsi="Arial Narrow"/>
                <w:sz w:val="20"/>
                <w:szCs w:val="20"/>
              </w:rPr>
              <w:t>Authority Required – Emergency</w:t>
            </w:r>
          </w:p>
          <w:p w:rsidR="00E01B3E" w:rsidRPr="003B140D" w:rsidRDefault="00E01B3E" w:rsidP="00E01B3E">
            <w:pPr>
              <w:spacing w:before="40" w:after="40"/>
              <w:rPr>
                <w:rFonts w:ascii="Arial Narrow" w:hAnsi="Arial Narrow"/>
                <w:sz w:val="20"/>
                <w:szCs w:val="20"/>
              </w:rPr>
            </w:pPr>
            <w:r w:rsidRPr="003B140D">
              <w:rPr>
                <w:rFonts w:ascii="Arial Narrow" w:hAnsi="Arial Narrow"/>
                <w:sz w:val="20"/>
                <w:szCs w:val="20"/>
              </w:rPr>
              <w:fldChar w:fldCharType="begin">
                <w:ffData>
                  <w:name w:val="Check5"/>
                  <w:enabled/>
                  <w:calcOnExit w:val="0"/>
                  <w:checkBox>
                    <w:sizeAuto/>
                    <w:default w:val="0"/>
                  </w:checkBox>
                </w:ffData>
              </w:fldChar>
            </w:r>
            <w:r w:rsidRPr="003B140D">
              <w:rPr>
                <w:rFonts w:ascii="Arial Narrow" w:hAnsi="Arial Narrow"/>
                <w:sz w:val="20"/>
                <w:szCs w:val="20"/>
              </w:rPr>
              <w:instrText xml:space="preserve"> FORMCHECKBOX </w:instrText>
            </w:r>
            <w:r w:rsidR="00E964DA">
              <w:rPr>
                <w:rFonts w:ascii="Arial Narrow" w:hAnsi="Arial Narrow"/>
                <w:sz w:val="20"/>
                <w:szCs w:val="20"/>
              </w:rPr>
            </w:r>
            <w:r w:rsidR="00E964DA">
              <w:rPr>
                <w:rFonts w:ascii="Arial Narrow" w:hAnsi="Arial Narrow"/>
                <w:sz w:val="20"/>
                <w:szCs w:val="20"/>
              </w:rPr>
              <w:fldChar w:fldCharType="separate"/>
            </w:r>
            <w:r w:rsidRPr="003B140D">
              <w:rPr>
                <w:rFonts w:ascii="Arial Narrow" w:hAnsi="Arial Narrow"/>
                <w:sz w:val="20"/>
                <w:szCs w:val="20"/>
              </w:rPr>
              <w:fldChar w:fldCharType="end"/>
            </w:r>
            <w:r w:rsidRPr="003B140D">
              <w:rPr>
                <w:rFonts w:ascii="Arial Narrow" w:hAnsi="Arial Narrow"/>
                <w:sz w:val="20"/>
                <w:szCs w:val="20"/>
              </w:rPr>
              <w:t>Authority Required - Electronic</w:t>
            </w:r>
          </w:p>
          <w:p w:rsidR="00E01B3E" w:rsidRPr="003B140D" w:rsidRDefault="00E01B3E" w:rsidP="00E01B3E">
            <w:pPr>
              <w:spacing w:before="40" w:after="40"/>
              <w:rPr>
                <w:rFonts w:ascii="Arial Narrow" w:hAnsi="Arial Narrow"/>
                <w:sz w:val="20"/>
                <w:szCs w:val="20"/>
              </w:rPr>
            </w:pPr>
            <w:r w:rsidRPr="003B140D">
              <w:rPr>
                <w:rFonts w:ascii="Arial Narrow" w:hAnsi="Arial Narrow"/>
                <w:sz w:val="20"/>
                <w:szCs w:val="20"/>
              </w:rPr>
              <w:fldChar w:fldCharType="begin">
                <w:ffData>
                  <w:name w:val=""/>
                  <w:enabled/>
                  <w:calcOnExit w:val="0"/>
                  <w:checkBox>
                    <w:sizeAuto/>
                    <w:default w:val="1"/>
                  </w:checkBox>
                </w:ffData>
              </w:fldChar>
            </w:r>
            <w:r w:rsidRPr="003B140D">
              <w:rPr>
                <w:rFonts w:ascii="Arial Narrow" w:hAnsi="Arial Narrow"/>
                <w:sz w:val="20"/>
                <w:szCs w:val="20"/>
              </w:rPr>
              <w:instrText xml:space="preserve"> FORMCHECKBOX </w:instrText>
            </w:r>
            <w:r w:rsidR="00E964DA">
              <w:rPr>
                <w:rFonts w:ascii="Arial Narrow" w:hAnsi="Arial Narrow"/>
                <w:sz w:val="20"/>
                <w:szCs w:val="20"/>
              </w:rPr>
            </w:r>
            <w:r w:rsidR="00E964DA">
              <w:rPr>
                <w:rFonts w:ascii="Arial Narrow" w:hAnsi="Arial Narrow"/>
                <w:sz w:val="20"/>
                <w:szCs w:val="20"/>
              </w:rPr>
              <w:fldChar w:fldCharType="separate"/>
            </w:r>
            <w:r w:rsidRPr="003B140D">
              <w:rPr>
                <w:rFonts w:ascii="Arial Narrow" w:hAnsi="Arial Narrow"/>
                <w:sz w:val="20"/>
                <w:szCs w:val="20"/>
              </w:rPr>
              <w:fldChar w:fldCharType="end"/>
            </w:r>
            <w:r w:rsidRPr="003B140D">
              <w:rPr>
                <w:rFonts w:ascii="Arial Narrow" w:hAnsi="Arial Narrow"/>
                <w:sz w:val="20"/>
                <w:szCs w:val="20"/>
              </w:rPr>
              <w:t>Streamlined</w:t>
            </w:r>
          </w:p>
        </w:tc>
      </w:tr>
      <w:tr w:rsidR="00E01B3E" w:rsidRPr="003B140D" w:rsidTr="000D472E">
        <w:trPr>
          <w:trHeight w:val="360"/>
        </w:trPr>
        <w:tc>
          <w:tcPr>
            <w:tcW w:w="1285" w:type="pct"/>
            <w:tcBorders>
              <w:top w:val="single" w:sz="4" w:space="0" w:color="auto"/>
              <w:left w:val="single" w:sz="4" w:space="0" w:color="auto"/>
              <w:bottom w:val="single" w:sz="4" w:space="0" w:color="auto"/>
              <w:right w:val="single" w:sz="4" w:space="0" w:color="auto"/>
            </w:tcBorders>
          </w:tcPr>
          <w:p w:rsidR="00E01B3E" w:rsidRPr="003B140D" w:rsidRDefault="00E01B3E" w:rsidP="00E01B3E">
            <w:pPr>
              <w:spacing w:before="40" w:after="40"/>
              <w:rPr>
                <w:rFonts w:ascii="Arial Narrow" w:hAnsi="Arial Narrow"/>
                <w:b/>
                <w:sz w:val="20"/>
                <w:szCs w:val="20"/>
              </w:rPr>
            </w:pPr>
            <w:r w:rsidRPr="003B140D">
              <w:rPr>
                <w:rFonts w:ascii="Arial Narrow" w:hAnsi="Arial Narrow"/>
                <w:b/>
                <w:sz w:val="20"/>
                <w:szCs w:val="20"/>
              </w:rPr>
              <w:t>Clinical criteria:</w:t>
            </w:r>
          </w:p>
        </w:tc>
        <w:tc>
          <w:tcPr>
            <w:tcW w:w="3715" w:type="pct"/>
            <w:tcBorders>
              <w:top w:val="single" w:sz="4" w:space="0" w:color="auto"/>
              <w:left w:val="single" w:sz="4" w:space="0" w:color="auto"/>
              <w:bottom w:val="single" w:sz="4" w:space="0" w:color="auto"/>
              <w:right w:val="single" w:sz="4" w:space="0" w:color="auto"/>
            </w:tcBorders>
          </w:tcPr>
          <w:p w:rsidR="00E01B3E" w:rsidRPr="003B140D" w:rsidRDefault="00E01B3E" w:rsidP="00E01B3E">
            <w:pPr>
              <w:spacing w:before="40" w:after="40"/>
              <w:rPr>
                <w:rFonts w:ascii="Arial Narrow" w:hAnsi="Arial Narrow"/>
                <w:sz w:val="20"/>
                <w:szCs w:val="20"/>
              </w:rPr>
            </w:pPr>
            <w:r w:rsidRPr="003B140D">
              <w:rPr>
                <w:rFonts w:ascii="Arial Narrow" w:hAnsi="Arial Narrow"/>
                <w:strike/>
                <w:sz w:val="20"/>
                <w:szCs w:val="20"/>
              </w:rPr>
              <w:t>Patient must not have progressive disease</w:t>
            </w:r>
            <w:r w:rsidR="00483297" w:rsidRPr="003B140D">
              <w:rPr>
                <w:rFonts w:ascii="Arial Narrow" w:hAnsi="Arial Narrow"/>
                <w:sz w:val="20"/>
                <w:szCs w:val="20"/>
              </w:rPr>
              <w:t xml:space="preserve"> </w:t>
            </w:r>
            <w:r w:rsidR="00483297" w:rsidRPr="003B140D">
              <w:rPr>
                <w:rFonts w:ascii="Arial Narrow" w:hAnsi="Arial Narrow"/>
                <w:i/>
                <w:sz w:val="20"/>
                <w:szCs w:val="20"/>
              </w:rPr>
              <w:t>Patient must have stable or responding disease</w:t>
            </w:r>
            <w:r w:rsidRPr="003B140D">
              <w:rPr>
                <w:rFonts w:ascii="Arial Narrow" w:hAnsi="Arial Narrow"/>
                <w:sz w:val="20"/>
                <w:szCs w:val="20"/>
              </w:rPr>
              <w:t>,</w:t>
            </w:r>
          </w:p>
          <w:p w:rsidR="00E01B3E" w:rsidRPr="003B140D" w:rsidRDefault="00E01B3E" w:rsidP="00E01B3E">
            <w:pPr>
              <w:spacing w:before="40" w:after="40"/>
              <w:rPr>
                <w:rFonts w:ascii="Arial Narrow" w:hAnsi="Arial Narrow"/>
                <w:sz w:val="20"/>
                <w:szCs w:val="20"/>
              </w:rPr>
            </w:pPr>
            <w:r w:rsidRPr="003B140D">
              <w:rPr>
                <w:rFonts w:ascii="Arial Narrow" w:hAnsi="Arial Narrow"/>
                <w:sz w:val="20"/>
                <w:szCs w:val="20"/>
              </w:rPr>
              <w:t>AND</w:t>
            </w:r>
          </w:p>
          <w:p w:rsidR="00483297" w:rsidRPr="003B140D" w:rsidRDefault="00483297" w:rsidP="00E01B3E">
            <w:pPr>
              <w:spacing w:before="40" w:after="40"/>
              <w:rPr>
                <w:rFonts w:ascii="Arial Narrow" w:hAnsi="Arial Narrow"/>
                <w:i/>
                <w:sz w:val="20"/>
                <w:szCs w:val="20"/>
              </w:rPr>
            </w:pPr>
            <w:r w:rsidRPr="003B140D">
              <w:rPr>
                <w:rFonts w:ascii="Arial Narrow" w:hAnsi="Arial Narrow"/>
                <w:i/>
                <w:sz w:val="20"/>
                <w:szCs w:val="20"/>
              </w:rPr>
              <w:t>The treatment must be the sole PBS-subsidised treatment for this condition,</w:t>
            </w:r>
          </w:p>
          <w:p w:rsidR="00483297" w:rsidRPr="003B140D" w:rsidRDefault="00483297" w:rsidP="00E01B3E">
            <w:pPr>
              <w:spacing w:before="40" w:after="40"/>
              <w:rPr>
                <w:rFonts w:ascii="Arial Narrow" w:hAnsi="Arial Narrow"/>
                <w:i/>
                <w:sz w:val="20"/>
                <w:szCs w:val="20"/>
              </w:rPr>
            </w:pPr>
            <w:r w:rsidRPr="003B140D">
              <w:rPr>
                <w:rFonts w:ascii="Arial Narrow" w:hAnsi="Arial Narrow"/>
                <w:i/>
                <w:sz w:val="20"/>
                <w:szCs w:val="20"/>
              </w:rPr>
              <w:t>AND</w:t>
            </w:r>
          </w:p>
          <w:p w:rsidR="00E01B3E" w:rsidRPr="003B140D" w:rsidRDefault="00E01B3E" w:rsidP="00E01B3E">
            <w:pPr>
              <w:spacing w:before="40" w:after="40"/>
              <w:rPr>
                <w:rFonts w:ascii="Arial Narrow" w:hAnsi="Arial Narrow"/>
                <w:sz w:val="20"/>
                <w:szCs w:val="20"/>
              </w:rPr>
            </w:pPr>
            <w:r w:rsidRPr="003B140D">
              <w:rPr>
                <w:rFonts w:ascii="Arial Narrow" w:hAnsi="Arial Narrow"/>
                <w:sz w:val="20"/>
                <w:szCs w:val="20"/>
              </w:rPr>
              <w:t>Patient must have previously been issued with an authority prescription for this drug for this indication,</w:t>
            </w:r>
          </w:p>
          <w:p w:rsidR="00E01B3E" w:rsidRPr="003B140D" w:rsidRDefault="00E01B3E" w:rsidP="00E01B3E">
            <w:pPr>
              <w:spacing w:before="40" w:after="40"/>
              <w:rPr>
                <w:rFonts w:ascii="Arial Narrow" w:hAnsi="Arial Narrow"/>
                <w:sz w:val="20"/>
                <w:szCs w:val="20"/>
              </w:rPr>
            </w:pPr>
            <w:r w:rsidRPr="003B140D">
              <w:rPr>
                <w:rFonts w:ascii="Arial Narrow" w:hAnsi="Arial Narrow"/>
                <w:sz w:val="20"/>
                <w:szCs w:val="20"/>
              </w:rPr>
              <w:t>AND</w:t>
            </w:r>
          </w:p>
          <w:p w:rsidR="00E01B3E" w:rsidRPr="003B140D" w:rsidRDefault="00E01B3E" w:rsidP="00E01B3E">
            <w:pPr>
              <w:spacing w:before="40" w:after="40"/>
              <w:rPr>
                <w:rFonts w:ascii="Arial Narrow" w:hAnsi="Arial Narrow"/>
                <w:sz w:val="20"/>
                <w:szCs w:val="20"/>
              </w:rPr>
            </w:pPr>
            <w:r w:rsidRPr="003B140D">
              <w:rPr>
                <w:rFonts w:ascii="Arial Narrow" w:hAnsi="Arial Narrow"/>
                <w:sz w:val="20"/>
                <w:szCs w:val="20"/>
              </w:rPr>
              <w:t>The treatment must not exceed a dose of 200 mg every 3 weeks,</w:t>
            </w:r>
          </w:p>
          <w:p w:rsidR="00E01B3E" w:rsidRPr="003B140D" w:rsidRDefault="00E01B3E" w:rsidP="00E01B3E">
            <w:pPr>
              <w:spacing w:before="40" w:after="40"/>
              <w:rPr>
                <w:rFonts w:ascii="Arial Narrow" w:hAnsi="Arial Narrow"/>
                <w:sz w:val="20"/>
                <w:szCs w:val="20"/>
              </w:rPr>
            </w:pPr>
            <w:r w:rsidRPr="003B140D">
              <w:rPr>
                <w:rFonts w:ascii="Arial Narrow" w:hAnsi="Arial Narrow"/>
                <w:sz w:val="20"/>
                <w:szCs w:val="20"/>
              </w:rPr>
              <w:t>AND</w:t>
            </w:r>
          </w:p>
          <w:p w:rsidR="00E01B3E" w:rsidRPr="003B140D" w:rsidRDefault="00E01B3E" w:rsidP="00E01B3E">
            <w:pPr>
              <w:spacing w:before="40" w:after="40"/>
              <w:rPr>
                <w:rFonts w:ascii="Arial Narrow" w:hAnsi="Arial Narrow"/>
                <w:sz w:val="20"/>
                <w:szCs w:val="20"/>
              </w:rPr>
            </w:pPr>
            <w:r w:rsidRPr="003B140D">
              <w:rPr>
                <w:rFonts w:ascii="Arial Narrow" w:hAnsi="Arial Narrow"/>
                <w:sz w:val="20"/>
                <w:szCs w:val="20"/>
              </w:rPr>
              <w:t>Treatment must not exceed 35 administrations or 2 years of continuous treatment.</w:t>
            </w:r>
          </w:p>
        </w:tc>
      </w:tr>
      <w:tr w:rsidR="00E01B3E" w:rsidRPr="003B140D" w:rsidTr="000D472E">
        <w:trPr>
          <w:trHeight w:val="360"/>
        </w:trPr>
        <w:tc>
          <w:tcPr>
            <w:tcW w:w="1285" w:type="pct"/>
            <w:tcBorders>
              <w:top w:val="single" w:sz="4" w:space="0" w:color="auto"/>
              <w:left w:val="single" w:sz="4" w:space="0" w:color="auto"/>
              <w:bottom w:val="single" w:sz="4" w:space="0" w:color="auto"/>
              <w:right w:val="single" w:sz="4" w:space="0" w:color="auto"/>
            </w:tcBorders>
          </w:tcPr>
          <w:p w:rsidR="00E01B3E" w:rsidRPr="003B140D" w:rsidRDefault="00E01B3E" w:rsidP="00E01B3E">
            <w:pPr>
              <w:spacing w:before="40" w:after="40"/>
              <w:rPr>
                <w:rFonts w:ascii="Arial Narrow" w:hAnsi="Arial Narrow"/>
                <w:b/>
                <w:sz w:val="20"/>
                <w:szCs w:val="20"/>
              </w:rPr>
            </w:pPr>
            <w:r w:rsidRPr="003B140D">
              <w:rPr>
                <w:rFonts w:ascii="Arial Narrow" w:hAnsi="Arial Narrow"/>
                <w:b/>
                <w:sz w:val="20"/>
                <w:szCs w:val="20"/>
              </w:rPr>
              <w:t>Administrative Advice</w:t>
            </w:r>
          </w:p>
        </w:tc>
        <w:tc>
          <w:tcPr>
            <w:tcW w:w="3715" w:type="pct"/>
            <w:tcBorders>
              <w:top w:val="single" w:sz="4" w:space="0" w:color="auto"/>
              <w:left w:val="single" w:sz="4" w:space="0" w:color="auto"/>
              <w:bottom w:val="single" w:sz="4" w:space="0" w:color="auto"/>
              <w:right w:val="single" w:sz="4" w:space="0" w:color="auto"/>
            </w:tcBorders>
          </w:tcPr>
          <w:p w:rsidR="00E01B3E" w:rsidRPr="003B140D" w:rsidRDefault="00E01B3E" w:rsidP="00E01B3E">
            <w:pPr>
              <w:spacing w:before="40" w:after="40"/>
              <w:rPr>
                <w:rFonts w:ascii="Arial Narrow" w:hAnsi="Arial Narrow"/>
                <w:sz w:val="20"/>
                <w:szCs w:val="20"/>
              </w:rPr>
            </w:pPr>
            <w:r w:rsidRPr="003B140D">
              <w:rPr>
                <w:rFonts w:ascii="Arial Narrow" w:hAnsi="Arial Narrow"/>
                <w:sz w:val="20"/>
                <w:szCs w:val="20"/>
              </w:rPr>
              <w:t>No increase in the maximum number of repeats will be authorised.</w:t>
            </w:r>
          </w:p>
          <w:p w:rsidR="00E01B3E" w:rsidRPr="003B140D" w:rsidRDefault="00E01B3E" w:rsidP="00E01B3E">
            <w:pPr>
              <w:spacing w:before="40" w:after="40"/>
              <w:rPr>
                <w:rFonts w:ascii="Arial Narrow" w:hAnsi="Arial Narrow"/>
                <w:sz w:val="20"/>
                <w:szCs w:val="20"/>
              </w:rPr>
            </w:pPr>
            <w:r w:rsidRPr="003B140D">
              <w:rPr>
                <w:rFonts w:ascii="Arial Narrow" w:hAnsi="Arial Narrow"/>
                <w:sz w:val="20"/>
                <w:szCs w:val="20"/>
              </w:rPr>
              <w:t>Special pricing arrangements apply</w:t>
            </w:r>
          </w:p>
        </w:tc>
      </w:tr>
    </w:tbl>
    <w:p w:rsidR="00655231" w:rsidRPr="00500E75" w:rsidRDefault="00D62320" w:rsidP="003B140D">
      <w:pPr>
        <w:pStyle w:val="ListParagraph"/>
        <w:widowControl/>
        <w:numPr>
          <w:ilvl w:val="1"/>
          <w:numId w:val="5"/>
        </w:numPr>
        <w:spacing w:before="120" w:after="120"/>
        <w:contextualSpacing w:val="0"/>
        <w:rPr>
          <w:rFonts w:asciiTheme="minorHAnsi" w:eastAsiaTheme="minorHAnsi" w:hAnsiTheme="minorHAnsi" w:cstheme="minorBidi"/>
          <w:snapToGrid/>
          <w:sz w:val="24"/>
          <w:szCs w:val="24"/>
        </w:rPr>
      </w:pPr>
      <w:r w:rsidRPr="00B517C9">
        <w:rPr>
          <w:rFonts w:asciiTheme="minorHAnsi" w:eastAsiaTheme="minorHAnsi" w:hAnsiTheme="minorHAnsi" w:cstheme="minorBidi"/>
          <w:snapToGrid/>
          <w:sz w:val="24"/>
          <w:szCs w:val="24"/>
        </w:rPr>
        <w:t>The pre-PBAC response stated that the sponsor d</w:t>
      </w:r>
      <w:r w:rsidR="003B140D">
        <w:rPr>
          <w:rFonts w:asciiTheme="minorHAnsi" w:eastAsiaTheme="minorHAnsi" w:hAnsiTheme="minorHAnsi" w:cstheme="minorBidi"/>
          <w:snapToGrid/>
          <w:sz w:val="24"/>
          <w:szCs w:val="24"/>
        </w:rPr>
        <w:t>id</w:t>
      </w:r>
      <w:r w:rsidRPr="00B517C9">
        <w:rPr>
          <w:rFonts w:asciiTheme="minorHAnsi" w:eastAsiaTheme="minorHAnsi" w:hAnsiTheme="minorHAnsi" w:cstheme="minorBidi"/>
          <w:snapToGrid/>
          <w:sz w:val="24"/>
          <w:szCs w:val="24"/>
        </w:rPr>
        <w:t xml:space="preserve"> not agree to include the criterion for performance status in the grandfathering restriction. The PBAC noted that this criterion was included in the sponsor’s proposed wording for the grandfathering restriction </w:t>
      </w:r>
      <w:r w:rsidR="001D781D">
        <w:rPr>
          <w:rFonts w:asciiTheme="minorHAnsi" w:eastAsiaTheme="minorHAnsi" w:hAnsiTheme="minorHAnsi" w:cstheme="minorBidi"/>
          <w:snapToGrid/>
          <w:sz w:val="24"/>
          <w:szCs w:val="24"/>
        </w:rPr>
        <w:t xml:space="preserve">and </w:t>
      </w:r>
      <w:r w:rsidR="00B7652F">
        <w:rPr>
          <w:rFonts w:asciiTheme="minorHAnsi" w:eastAsiaTheme="minorHAnsi" w:hAnsiTheme="minorHAnsi" w:cstheme="minorBidi"/>
          <w:snapToGrid/>
          <w:sz w:val="24"/>
          <w:szCs w:val="24"/>
        </w:rPr>
        <w:t>confirmed</w:t>
      </w:r>
      <w:r w:rsidRPr="00B517C9">
        <w:rPr>
          <w:rFonts w:asciiTheme="minorHAnsi" w:eastAsiaTheme="minorHAnsi" w:hAnsiTheme="minorHAnsi" w:cstheme="minorBidi"/>
          <w:snapToGrid/>
          <w:sz w:val="24"/>
          <w:szCs w:val="24"/>
        </w:rPr>
        <w:t xml:space="preserve"> that it </w:t>
      </w:r>
      <w:r w:rsidR="003B140D">
        <w:rPr>
          <w:rFonts w:asciiTheme="minorHAnsi" w:eastAsiaTheme="minorHAnsi" w:hAnsiTheme="minorHAnsi" w:cstheme="minorBidi"/>
          <w:snapToGrid/>
          <w:sz w:val="24"/>
          <w:szCs w:val="24"/>
        </w:rPr>
        <w:t xml:space="preserve">would be </w:t>
      </w:r>
      <w:r w:rsidRPr="00B517C9">
        <w:rPr>
          <w:rFonts w:asciiTheme="minorHAnsi" w:eastAsiaTheme="minorHAnsi" w:hAnsiTheme="minorHAnsi" w:cstheme="minorBidi"/>
          <w:snapToGrid/>
          <w:sz w:val="24"/>
          <w:szCs w:val="24"/>
        </w:rPr>
        <w:t xml:space="preserve">necessary to include a criterion for performance status in the grandfathering restriction. </w:t>
      </w:r>
      <w:r w:rsidR="0001726E" w:rsidRPr="00B517C9">
        <w:rPr>
          <w:rFonts w:asciiTheme="minorHAnsi" w:eastAsiaTheme="minorHAnsi" w:hAnsiTheme="minorHAnsi" w:cstheme="minorBidi"/>
          <w:snapToGrid/>
          <w:sz w:val="24"/>
          <w:szCs w:val="24"/>
        </w:rPr>
        <w:t>The pre-PBAC response agreed with all other changes to the restriction as proposed by the Secretariat.</w:t>
      </w:r>
    </w:p>
    <w:p w:rsidR="00655231" w:rsidRPr="00BC5649" w:rsidRDefault="008C6270" w:rsidP="00655231">
      <w:pPr>
        <w:spacing w:after="120"/>
        <w:rPr>
          <w:rFonts w:asciiTheme="minorHAnsi" w:eastAsiaTheme="minorHAnsi" w:hAnsiTheme="minorHAnsi" w:cstheme="minorBidi"/>
          <w:i/>
        </w:rPr>
      </w:pPr>
      <w:r w:rsidRPr="00BC5649">
        <w:rPr>
          <w:rFonts w:asciiTheme="minorHAnsi" w:hAnsiTheme="minorHAnsi"/>
          <w:i/>
        </w:rPr>
        <w:t xml:space="preserve">For more detail on PBAC’s view, see section </w:t>
      </w:r>
      <w:r w:rsidR="00A97CEC" w:rsidRPr="00BC5649">
        <w:rPr>
          <w:rFonts w:asciiTheme="minorHAnsi" w:hAnsiTheme="minorHAnsi"/>
          <w:i/>
        </w:rPr>
        <w:t>6</w:t>
      </w:r>
      <w:r w:rsidRPr="00BC5649">
        <w:rPr>
          <w:rFonts w:asciiTheme="minorHAnsi" w:hAnsiTheme="minorHAnsi"/>
          <w:i/>
        </w:rPr>
        <w:t xml:space="preserve"> PBAC outcome.</w:t>
      </w:r>
    </w:p>
    <w:p w:rsidR="00C603D4" w:rsidRPr="00FD6D8E" w:rsidRDefault="00CE10C4" w:rsidP="00696129">
      <w:pPr>
        <w:pStyle w:val="PBACHeading1"/>
        <w:spacing w:before="240" w:after="120"/>
        <w:ind w:left="709" w:hanging="709"/>
        <w:rPr>
          <w:rFonts w:asciiTheme="minorHAnsi" w:hAnsiTheme="minorHAnsi"/>
          <w:sz w:val="32"/>
          <w:szCs w:val="32"/>
        </w:rPr>
      </w:pPr>
      <w:r w:rsidRPr="002B5596">
        <w:rPr>
          <w:rFonts w:asciiTheme="minorHAnsi" w:hAnsiTheme="minorHAnsi"/>
          <w:sz w:val="32"/>
          <w:szCs w:val="32"/>
        </w:rPr>
        <w:t>Background</w:t>
      </w:r>
    </w:p>
    <w:p w:rsidR="006E6F72" w:rsidRPr="006E6F72" w:rsidRDefault="006E6F72" w:rsidP="000278E6">
      <w:pPr>
        <w:pStyle w:val="ESHeading2"/>
        <w:spacing w:before="240"/>
        <w:rPr>
          <w:rFonts w:asciiTheme="minorHAnsi" w:hAnsiTheme="minorHAnsi"/>
        </w:rPr>
      </w:pPr>
      <w:r w:rsidRPr="006E6F72">
        <w:rPr>
          <w:rFonts w:asciiTheme="minorHAnsi" w:hAnsiTheme="minorHAnsi"/>
        </w:rPr>
        <w:t>Registration Status</w:t>
      </w:r>
    </w:p>
    <w:p w:rsidR="006E6F72" w:rsidRPr="00482DAA" w:rsidRDefault="006E6F72" w:rsidP="00482DAA">
      <w:pPr>
        <w:pStyle w:val="ListParagraph"/>
        <w:widowControl/>
        <w:numPr>
          <w:ilvl w:val="1"/>
          <w:numId w:val="5"/>
        </w:numPr>
        <w:spacing w:after="120"/>
        <w:contextualSpacing w:val="0"/>
        <w:rPr>
          <w:rFonts w:asciiTheme="minorHAnsi" w:hAnsiTheme="minorHAnsi"/>
          <w:sz w:val="24"/>
          <w:szCs w:val="24"/>
        </w:rPr>
      </w:pPr>
      <w:r w:rsidRPr="00482DAA">
        <w:rPr>
          <w:rFonts w:asciiTheme="minorHAnsi" w:hAnsiTheme="minorHAnsi"/>
          <w:sz w:val="24"/>
          <w:szCs w:val="24"/>
        </w:rPr>
        <w:t>In March 2017, pembrolizumab was approved by the TGA for the treatment of previously untreated metastatic NSCLC patients with tumours that are PD-L1 TPS ≥50% (as determined by a validated test), EGFR wildtype and ALK translocation negative.</w:t>
      </w:r>
    </w:p>
    <w:p w:rsidR="006E6F72" w:rsidRPr="006E6F72" w:rsidRDefault="006E6F72" w:rsidP="00F07A41">
      <w:pPr>
        <w:pStyle w:val="ListParagraph"/>
        <w:widowControl/>
        <w:numPr>
          <w:ilvl w:val="1"/>
          <w:numId w:val="5"/>
        </w:numPr>
        <w:contextualSpacing w:val="0"/>
        <w:rPr>
          <w:rFonts w:asciiTheme="minorHAnsi" w:eastAsiaTheme="minorHAnsi" w:hAnsiTheme="minorHAnsi" w:cstheme="minorBidi"/>
          <w:snapToGrid/>
          <w:sz w:val="24"/>
          <w:szCs w:val="22"/>
        </w:rPr>
      </w:pPr>
      <w:r w:rsidRPr="00482DAA">
        <w:rPr>
          <w:rFonts w:asciiTheme="minorHAnsi" w:hAnsiTheme="minorHAnsi"/>
          <w:sz w:val="24"/>
          <w:szCs w:val="24"/>
        </w:rPr>
        <w:t>Other TGA-approved indications include</w:t>
      </w:r>
      <w:r w:rsidRPr="006E6F72">
        <w:rPr>
          <w:rFonts w:asciiTheme="minorHAnsi" w:eastAsiaTheme="minorHAnsi" w:hAnsiTheme="minorHAnsi" w:cstheme="minorBidi"/>
          <w:snapToGrid/>
          <w:sz w:val="24"/>
          <w:szCs w:val="22"/>
        </w:rPr>
        <w:t>:</w:t>
      </w:r>
    </w:p>
    <w:p w:rsidR="00B1671D" w:rsidRDefault="00A43BB0" w:rsidP="00B1671D">
      <w:pPr>
        <w:pStyle w:val="ListParagraph"/>
        <w:numPr>
          <w:ilvl w:val="0"/>
          <w:numId w:val="16"/>
        </w:numPr>
        <w:spacing w:before="120" w:after="16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a</w:t>
      </w:r>
      <w:r w:rsidR="006E6F72" w:rsidRPr="006E6F72">
        <w:rPr>
          <w:rFonts w:asciiTheme="minorHAnsi" w:eastAsiaTheme="minorHAnsi" w:hAnsiTheme="minorHAnsi" w:cstheme="minorBidi"/>
          <w:snapToGrid/>
          <w:sz w:val="24"/>
          <w:szCs w:val="22"/>
        </w:rPr>
        <w:t>dvanced NSCLC whose tumours express PD-L1 with a ≥1% TPS (as determined by a validated test) and who have received p</w:t>
      </w:r>
      <w:r>
        <w:rPr>
          <w:rFonts w:asciiTheme="minorHAnsi" w:eastAsiaTheme="minorHAnsi" w:hAnsiTheme="minorHAnsi" w:cstheme="minorBidi"/>
          <w:snapToGrid/>
          <w:sz w:val="24"/>
          <w:szCs w:val="22"/>
        </w:rPr>
        <w:t>latinum-containing chemotherapy</w:t>
      </w:r>
    </w:p>
    <w:p w:rsidR="00B1671D" w:rsidRDefault="00A43BB0" w:rsidP="00B1671D">
      <w:pPr>
        <w:pStyle w:val="ListParagraph"/>
        <w:numPr>
          <w:ilvl w:val="0"/>
          <w:numId w:val="16"/>
        </w:numPr>
        <w:spacing w:before="120" w:after="16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u</w:t>
      </w:r>
      <w:r w:rsidR="006E6F72" w:rsidRPr="00B1671D">
        <w:rPr>
          <w:rFonts w:asciiTheme="minorHAnsi" w:eastAsiaTheme="minorHAnsi" w:hAnsiTheme="minorHAnsi" w:cstheme="minorBidi"/>
          <w:snapToGrid/>
          <w:sz w:val="24"/>
          <w:szCs w:val="22"/>
        </w:rPr>
        <w:t>nresectable or metastatic mel</w:t>
      </w:r>
      <w:r>
        <w:rPr>
          <w:rFonts w:asciiTheme="minorHAnsi" w:eastAsiaTheme="minorHAnsi" w:hAnsiTheme="minorHAnsi" w:cstheme="minorBidi"/>
          <w:snapToGrid/>
          <w:sz w:val="24"/>
          <w:szCs w:val="22"/>
        </w:rPr>
        <w:t>anoma in adults, as monotherapy</w:t>
      </w:r>
    </w:p>
    <w:p w:rsidR="005C453A" w:rsidRDefault="00A43BB0" w:rsidP="005C453A">
      <w:pPr>
        <w:pStyle w:val="ListParagraph"/>
        <w:numPr>
          <w:ilvl w:val="0"/>
          <w:numId w:val="16"/>
        </w:numPr>
        <w:spacing w:before="120" w:after="16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r</w:t>
      </w:r>
      <w:r w:rsidR="006E6F72" w:rsidRPr="00B1671D">
        <w:rPr>
          <w:rFonts w:asciiTheme="minorHAnsi" w:eastAsiaTheme="minorHAnsi" w:hAnsiTheme="minorHAnsi" w:cstheme="minorBidi"/>
          <w:snapToGrid/>
          <w:sz w:val="24"/>
          <w:szCs w:val="22"/>
        </w:rPr>
        <w:t>ecurrent or metastatic head and neck squamous cell carcinoma with disease progression on or after platinum-containing chemotherapy</w:t>
      </w:r>
    </w:p>
    <w:p w:rsidR="005C453A" w:rsidRPr="006D4EC2" w:rsidRDefault="005C453A" w:rsidP="005C453A">
      <w:pPr>
        <w:pStyle w:val="ListParagraph"/>
        <w:numPr>
          <w:ilvl w:val="0"/>
          <w:numId w:val="16"/>
        </w:numPr>
        <w:spacing w:before="120" w:after="160"/>
        <w:rPr>
          <w:rFonts w:asciiTheme="minorHAnsi" w:eastAsiaTheme="minorHAnsi" w:hAnsiTheme="minorHAnsi" w:cstheme="minorBidi"/>
          <w:snapToGrid/>
          <w:sz w:val="24"/>
          <w:szCs w:val="22"/>
        </w:rPr>
      </w:pPr>
      <w:r w:rsidRPr="006D4EC2">
        <w:rPr>
          <w:rFonts w:asciiTheme="minorHAnsi" w:eastAsiaTheme="minorHAnsi" w:hAnsiTheme="minorHAnsi" w:cstheme="minorBidi"/>
          <w:snapToGrid/>
          <w:sz w:val="24"/>
          <w:szCs w:val="22"/>
        </w:rPr>
        <w:t>monotherapy for the treatment of adult patients with relapsed or refractory classical Hodgkin Lymphoma following autologous stem cell transplant or at least two prior therapies</w:t>
      </w:r>
    </w:p>
    <w:p w:rsidR="006E6F72" w:rsidRPr="00B1671D" w:rsidRDefault="005C453A" w:rsidP="005C453A">
      <w:pPr>
        <w:pStyle w:val="ListParagraph"/>
        <w:numPr>
          <w:ilvl w:val="0"/>
          <w:numId w:val="16"/>
        </w:numPr>
        <w:spacing w:before="120" w:after="16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l</w:t>
      </w:r>
      <w:r w:rsidRPr="00B04312">
        <w:rPr>
          <w:rFonts w:asciiTheme="minorHAnsi" w:eastAsiaTheme="minorHAnsi" w:hAnsiTheme="minorHAnsi" w:cstheme="minorBidi"/>
          <w:snapToGrid/>
          <w:sz w:val="24"/>
          <w:szCs w:val="22"/>
        </w:rPr>
        <w:t>ocally advanced or metastatic urothelial carcinoma who have received platinum-containing</w:t>
      </w:r>
      <w:r>
        <w:rPr>
          <w:rFonts w:asciiTheme="minorHAnsi" w:eastAsiaTheme="minorHAnsi" w:hAnsiTheme="minorHAnsi" w:cstheme="minorBidi"/>
          <w:snapToGrid/>
          <w:sz w:val="24"/>
          <w:szCs w:val="22"/>
        </w:rPr>
        <w:t xml:space="preserve"> </w:t>
      </w:r>
      <w:r w:rsidRPr="00B04312">
        <w:rPr>
          <w:rFonts w:asciiTheme="minorHAnsi" w:eastAsiaTheme="minorHAnsi" w:hAnsiTheme="minorHAnsi" w:cstheme="minorBidi"/>
          <w:snapToGrid/>
          <w:sz w:val="24"/>
          <w:szCs w:val="22"/>
        </w:rPr>
        <w:t>chemotherapy</w:t>
      </w:r>
      <w:r>
        <w:rPr>
          <w:rFonts w:asciiTheme="minorHAnsi" w:eastAsiaTheme="minorHAnsi" w:hAnsiTheme="minorHAnsi" w:cstheme="minorBidi"/>
          <w:snapToGrid/>
          <w:sz w:val="24"/>
          <w:szCs w:val="22"/>
        </w:rPr>
        <w:t xml:space="preserve"> or are not eligible for cisplatin-containing therapy</w:t>
      </w:r>
      <w:r w:rsidR="006E6F72" w:rsidRPr="00B1671D">
        <w:rPr>
          <w:rFonts w:asciiTheme="minorHAnsi" w:eastAsiaTheme="minorHAnsi" w:hAnsiTheme="minorHAnsi" w:cstheme="minorBidi"/>
          <w:snapToGrid/>
          <w:sz w:val="24"/>
          <w:szCs w:val="22"/>
        </w:rPr>
        <w:t>.</w:t>
      </w:r>
    </w:p>
    <w:p w:rsidR="006E6F72" w:rsidRPr="00B1671D" w:rsidRDefault="006E6F72" w:rsidP="000278E6">
      <w:pPr>
        <w:pStyle w:val="ESHeading2"/>
        <w:spacing w:before="240"/>
        <w:rPr>
          <w:rFonts w:asciiTheme="minorHAnsi" w:hAnsiTheme="minorHAnsi"/>
        </w:rPr>
      </w:pPr>
      <w:r w:rsidRPr="00B1671D">
        <w:rPr>
          <w:rFonts w:asciiTheme="minorHAnsi" w:hAnsiTheme="minorHAnsi"/>
        </w:rPr>
        <w:t>Previous PBAC consideration</w:t>
      </w:r>
      <w:r w:rsidR="00961CA3">
        <w:rPr>
          <w:rFonts w:asciiTheme="minorHAnsi" w:hAnsiTheme="minorHAnsi"/>
        </w:rPr>
        <w:t>s</w:t>
      </w:r>
    </w:p>
    <w:p w:rsidR="0048378D" w:rsidRPr="00482DAA" w:rsidRDefault="00B1671D" w:rsidP="00482DAA">
      <w:pPr>
        <w:pStyle w:val="ListParagraph"/>
        <w:widowControl/>
        <w:numPr>
          <w:ilvl w:val="1"/>
          <w:numId w:val="5"/>
        </w:numPr>
        <w:spacing w:after="120"/>
        <w:contextualSpacing w:val="0"/>
        <w:rPr>
          <w:rFonts w:asciiTheme="minorHAnsi" w:hAnsiTheme="minorHAnsi"/>
          <w:sz w:val="24"/>
          <w:szCs w:val="24"/>
        </w:rPr>
      </w:pPr>
      <w:r w:rsidRPr="00482DAA">
        <w:rPr>
          <w:rFonts w:asciiTheme="minorHAnsi" w:hAnsiTheme="minorHAnsi"/>
          <w:sz w:val="24"/>
          <w:szCs w:val="24"/>
        </w:rPr>
        <w:t xml:space="preserve">This </w:t>
      </w:r>
      <w:r w:rsidR="003B140D">
        <w:rPr>
          <w:rFonts w:asciiTheme="minorHAnsi" w:hAnsiTheme="minorHAnsi"/>
          <w:sz w:val="24"/>
          <w:szCs w:val="24"/>
        </w:rPr>
        <w:t>wa</w:t>
      </w:r>
      <w:r w:rsidRPr="00482DAA">
        <w:rPr>
          <w:rFonts w:asciiTheme="minorHAnsi" w:hAnsiTheme="minorHAnsi"/>
          <w:sz w:val="24"/>
          <w:szCs w:val="24"/>
        </w:rPr>
        <w:t>s the third</w:t>
      </w:r>
      <w:r w:rsidR="006E6F72" w:rsidRPr="00482DAA">
        <w:rPr>
          <w:rFonts w:asciiTheme="minorHAnsi" w:hAnsiTheme="minorHAnsi"/>
          <w:sz w:val="24"/>
          <w:szCs w:val="24"/>
        </w:rPr>
        <w:t xml:space="preserve"> submission to the PBAC </w:t>
      </w:r>
      <w:r w:rsidRPr="00482DAA">
        <w:rPr>
          <w:rFonts w:asciiTheme="minorHAnsi" w:hAnsiTheme="minorHAnsi"/>
          <w:sz w:val="24"/>
          <w:szCs w:val="24"/>
        </w:rPr>
        <w:t>for pembrolizumab for</w:t>
      </w:r>
      <w:r w:rsidR="006E6F72" w:rsidRPr="00482DAA">
        <w:rPr>
          <w:rFonts w:asciiTheme="minorHAnsi" w:hAnsiTheme="minorHAnsi"/>
          <w:sz w:val="24"/>
          <w:szCs w:val="24"/>
        </w:rPr>
        <w:t xml:space="preserve"> the first-line treatment of NSCLC in</w:t>
      </w:r>
      <w:r w:rsidRPr="00482DAA">
        <w:rPr>
          <w:rFonts w:asciiTheme="minorHAnsi" w:hAnsiTheme="minorHAnsi"/>
          <w:sz w:val="24"/>
          <w:szCs w:val="24"/>
        </w:rPr>
        <w:t xml:space="preserve"> patients whose tumour</w:t>
      </w:r>
      <w:r w:rsidR="006E6F72" w:rsidRPr="00482DAA">
        <w:rPr>
          <w:rFonts w:asciiTheme="minorHAnsi" w:hAnsiTheme="minorHAnsi"/>
          <w:sz w:val="24"/>
          <w:szCs w:val="24"/>
        </w:rPr>
        <w:t xml:space="preserve"> express PD-L1 at</w:t>
      </w:r>
      <w:r w:rsidRPr="00482DAA">
        <w:rPr>
          <w:rFonts w:asciiTheme="minorHAnsi" w:hAnsiTheme="minorHAnsi"/>
          <w:sz w:val="24"/>
          <w:szCs w:val="24"/>
        </w:rPr>
        <w:t xml:space="preserve"> TPS ≥50%</w:t>
      </w:r>
      <w:r w:rsidR="006E6F72" w:rsidRPr="00482DAA">
        <w:rPr>
          <w:rFonts w:asciiTheme="minorHAnsi" w:hAnsiTheme="minorHAnsi"/>
          <w:sz w:val="24"/>
          <w:szCs w:val="24"/>
        </w:rPr>
        <w:t>. The first</w:t>
      </w:r>
      <w:r w:rsidRPr="00482DAA">
        <w:rPr>
          <w:rFonts w:asciiTheme="minorHAnsi" w:hAnsiTheme="minorHAnsi"/>
          <w:sz w:val="24"/>
          <w:szCs w:val="24"/>
        </w:rPr>
        <w:t xml:space="preserve"> two PBAC submissions were part of </w:t>
      </w:r>
      <w:r w:rsidR="006E6F72" w:rsidRPr="00482DAA">
        <w:rPr>
          <w:rFonts w:asciiTheme="minorHAnsi" w:hAnsiTheme="minorHAnsi"/>
          <w:sz w:val="24"/>
          <w:szCs w:val="24"/>
        </w:rPr>
        <w:t>integ</w:t>
      </w:r>
      <w:r w:rsidRPr="00482DAA">
        <w:rPr>
          <w:rFonts w:asciiTheme="minorHAnsi" w:hAnsiTheme="minorHAnsi"/>
          <w:sz w:val="24"/>
          <w:szCs w:val="24"/>
        </w:rPr>
        <w:t>rated codependent submission</w:t>
      </w:r>
      <w:r w:rsidR="00A43BB0">
        <w:rPr>
          <w:rFonts w:asciiTheme="minorHAnsi" w:hAnsiTheme="minorHAnsi"/>
          <w:sz w:val="24"/>
          <w:szCs w:val="24"/>
        </w:rPr>
        <w:t>s</w:t>
      </w:r>
      <w:r w:rsidRPr="00482DAA">
        <w:rPr>
          <w:rFonts w:asciiTheme="minorHAnsi" w:hAnsiTheme="minorHAnsi"/>
          <w:sz w:val="24"/>
          <w:szCs w:val="24"/>
        </w:rPr>
        <w:t xml:space="preserve"> considered in March and November</w:t>
      </w:r>
      <w:r w:rsidR="006E6F72" w:rsidRPr="00482DAA">
        <w:rPr>
          <w:rFonts w:asciiTheme="minorHAnsi" w:hAnsiTheme="minorHAnsi"/>
          <w:sz w:val="24"/>
          <w:szCs w:val="24"/>
        </w:rPr>
        <w:t xml:space="preserve"> 2017.</w:t>
      </w:r>
    </w:p>
    <w:p w:rsidR="0048378D" w:rsidRPr="00482DAA" w:rsidRDefault="006E6F72" w:rsidP="00482DAA">
      <w:pPr>
        <w:pStyle w:val="ListParagraph"/>
        <w:widowControl/>
        <w:numPr>
          <w:ilvl w:val="1"/>
          <w:numId w:val="5"/>
        </w:numPr>
        <w:spacing w:after="120"/>
        <w:contextualSpacing w:val="0"/>
        <w:rPr>
          <w:rFonts w:asciiTheme="minorHAnsi" w:hAnsiTheme="minorHAnsi"/>
          <w:sz w:val="24"/>
          <w:szCs w:val="24"/>
        </w:rPr>
      </w:pPr>
      <w:r w:rsidRPr="00482DAA">
        <w:rPr>
          <w:rFonts w:asciiTheme="minorHAnsi" w:hAnsiTheme="minorHAnsi"/>
          <w:sz w:val="24"/>
          <w:szCs w:val="24"/>
        </w:rPr>
        <w:t>Pembrolizumab is currently listed on the PBS for unresectable Stage III or Stage IV malignant melanoma, regardless of PD-L1 expression.</w:t>
      </w:r>
    </w:p>
    <w:p w:rsidR="0048378D" w:rsidRPr="00482DAA" w:rsidRDefault="006E6F72" w:rsidP="00482DAA">
      <w:pPr>
        <w:pStyle w:val="ListParagraph"/>
        <w:widowControl/>
        <w:numPr>
          <w:ilvl w:val="1"/>
          <w:numId w:val="5"/>
        </w:numPr>
        <w:spacing w:after="120"/>
        <w:contextualSpacing w:val="0"/>
        <w:rPr>
          <w:rFonts w:asciiTheme="minorHAnsi" w:hAnsiTheme="minorHAnsi"/>
          <w:sz w:val="24"/>
          <w:szCs w:val="24"/>
        </w:rPr>
      </w:pPr>
      <w:r w:rsidRPr="00482DAA">
        <w:rPr>
          <w:rFonts w:asciiTheme="minorHAnsi" w:hAnsiTheme="minorHAnsi"/>
          <w:sz w:val="24"/>
          <w:szCs w:val="24"/>
        </w:rPr>
        <w:t>At the March 2017 PBAC meeting, an integrated codependent submission to list pembrolizumab as first-line treatment for patients with Stage IIIB/IV, PD-L1 TPS ≥50% NSCLC was rejected by the PBAC on the basis of unfavourable and uncertain cost-effectiveness. The PBAC also advised that there was uncertainty in selecting a PD-L1 expression threshold to define an optimal patient population mostly likely to respond to treatment (Item 6.04, public summary document (PSD), March 2017).</w:t>
      </w:r>
    </w:p>
    <w:p w:rsidR="00B126B8" w:rsidRPr="00482DAA" w:rsidRDefault="0048378D" w:rsidP="00482DAA">
      <w:pPr>
        <w:pStyle w:val="ListParagraph"/>
        <w:widowControl/>
        <w:numPr>
          <w:ilvl w:val="1"/>
          <w:numId w:val="5"/>
        </w:numPr>
        <w:spacing w:after="120"/>
        <w:contextualSpacing w:val="0"/>
        <w:rPr>
          <w:rFonts w:asciiTheme="minorHAnsi" w:hAnsiTheme="minorHAnsi"/>
          <w:sz w:val="24"/>
          <w:szCs w:val="24"/>
        </w:rPr>
      </w:pPr>
      <w:r w:rsidRPr="00482DAA">
        <w:rPr>
          <w:rFonts w:asciiTheme="minorHAnsi" w:hAnsiTheme="minorHAnsi"/>
          <w:sz w:val="24"/>
          <w:szCs w:val="24"/>
        </w:rPr>
        <w:t xml:space="preserve">At the November 2017 PBAC meeting, the integrated codependent resubmission for pembrolizumab </w:t>
      </w:r>
      <w:r w:rsidR="00B126B8" w:rsidRPr="00482DAA">
        <w:rPr>
          <w:rFonts w:asciiTheme="minorHAnsi" w:hAnsiTheme="minorHAnsi"/>
          <w:sz w:val="24"/>
          <w:szCs w:val="24"/>
        </w:rPr>
        <w:t xml:space="preserve">as first-line treatment for patients with Stage IV, PD-L1 TPS ≥50% NSCLC </w:t>
      </w:r>
      <w:r w:rsidRPr="00482DAA">
        <w:rPr>
          <w:rFonts w:asciiTheme="minorHAnsi" w:hAnsiTheme="minorHAnsi"/>
          <w:sz w:val="24"/>
          <w:szCs w:val="24"/>
        </w:rPr>
        <w:t>was deferred by the PBAC. In deciding to defer, the PBAC advised that (i) a further price reduction would be required for acceptable cost effectiveness once necessary changes are made to the economic evaluation; (ii) negotiations with the sponsor are required to determine the best approach for a Risk Sharing Agreement (RSA) in the context of the existing RSA for nivolumab in NSCLC; and (iii) updated</w:t>
      </w:r>
      <w:r w:rsidR="00482D8C" w:rsidRPr="00482DAA">
        <w:rPr>
          <w:rFonts w:asciiTheme="minorHAnsi" w:hAnsiTheme="minorHAnsi"/>
          <w:sz w:val="24"/>
          <w:szCs w:val="24"/>
        </w:rPr>
        <w:t xml:space="preserve"> advice is needed from MSAC</w:t>
      </w:r>
      <w:r w:rsidRPr="00482DAA">
        <w:rPr>
          <w:rFonts w:asciiTheme="minorHAnsi" w:hAnsiTheme="minorHAnsi"/>
          <w:sz w:val="24"/>
          <w:szCs w:val="24"/>
        </w:rPr>
        <w:t xml:space="preserve"> in relation to the codependent PD-L1 test. The PBAC also advised that, if MSAC subsequently decided to support the MBS listing for PD-L1, it would support the listing of pembrolizumab according to the circumstances supported by MSAC, once the PBAC</w:t>
      </w:r>
      <w:r w:rsidR="00482D8C" w:rsidRPr="00482DAA">
        <w:rPr>
          <w:rFonts w:asciiTheme="minorHAnsi" w:hAnsiTheme="minorHAnsi"/>
          <w:sz w:val="24"/>
          <w:szCs w:val="24"/>
        </w:rPr>
        <w:t>’s other concerns were resolved (paragraph 7.1, pembrolizum</w:t>
      </w:r>
      <w:r w:rsidR="00A43BB0">
        <w:rPr>
          <w:rFonts w:asciiTheme="minorHAnsi" w:hAnsiTheme="minorHAnsi"/>
          <w:sz w:val="24"/>
          <w:szCs w:val="24"/>
        </w:rPr>
        <w:t>ab November 2017 PBAC</w:t>
      </w:r>
      <w:r w:rsidR="00D631AF">
        <w:rPr>
          <w:rFonts w:asciiTheme="minorHAnsi" w:hAnsiTheme="minorHAnsi"/>
          <w:sz w:val="24"/>
          <w:szCs w:val="24"/>
        </w:rPr>
        <w:t xml:space="preserve"> </w:t>
      </w:r>
      <w:r w:rsidR="00BC5649">
        <w:rPr>
          <w:rFonts w:asciiTheme="minorHAnsi" w:hAnsiTheme="minorHAnsi"/>
          <w:sz w:val="24"/>
          <w:szCs w:val="24"/>
        </w:rPr>
        <w:t>PSD</w:t>
      </w:r>
      <w:r w:rsidR="00A43BB0">
        <w:rPr>
          <w:rFonts w:asciiTheme="minorHAnsi" w:hAnsiTheme="minorHAnsi"/>
          <w:sz w:val="24"/>
          <w:szCs w:val="24"/>
        </w:rPr>
        <w:t>).</w:t>
      </w:r>
    </w:p>
    <w:p w:rsidR="0007053C" w:rsidRPr="00482DAA" w:rsidRDefault="00482D8C" w:rsidP="00482DAA">
      <w:pPr>
        <w:pStyle w:val="ListParagraph"/>
        <w:widowControl/>
        <w:numPr>
          <w:ilvl w:val="1"/>
          <w:numId w:val="5"/>
        </w:numPr>
        <w:spacing w:after="120"/>
        <w:contextualSpacing w:val="0"/>
        <w:rPr>
          <w:rFonts w:asciiTheme="minorHAnsi" w:hAnsiTheme="minorHAnsi"/>
          <w:sz w:val="24"/>
          <w:szCs w:val="24"/>
        </w:rPr>
      </w:pPr>
      <w:r w:rsidRPr="00482DAA">
        <w:rPr>
          <w:rFonts w:asciiTheme="minorHAnsi" w:hAnsiTheme="minorHAnsi"/>
          <w:sz w:val="24"/>
          <w:szCs w:val="24"/>
        </w:rPr>
        <w:t>The minor resubmission stated that MSAC ha</w:t>
      </w:r>
      <w:r w:rsidR="00A43BB0">
        <w:rPr>
          <w:rFonts w:asciiTheme="minorHAnsi" w:hAnsiTheme="minorHAnsi"/>
          <w:sz w:val="24"/>
          <w:szCs w:val="24"/>
        </w:rPr>
        <w:t>s</w:t>
      </w:r>
      <w:r w:rsidRPr="00482DAA">
        <w:rPr>
          <w:rFonts w:asciiTheme="minorHAnsi" w:hAnsiTheme="minorHAnsi"/>
          <w:sz w:val="24"/>
          <w:szCs w:val="24"/>
        </w:rPr>
        <w:t xml:space="preserve"> endorsed use of PD-L1 testing for eligibility to pembrolizumab and that </w:t>
      </w:r>
      <w:r w:rsidR="00A43BB0">
        <w:rPr>
          <w:rFonts w:asciiTheme="minorHAnsi" w:hAnsiTheme="minorHAnsi"/>
          <w:sz w:val="24"/>
          <w:szCs w:val="24"/>
        </w:rPr>
        <w:t>its</w:t>
      </w:r>
      <w:r w:rsidRPr="00482DAA">
        <w:rPr>
          <w:rFonts w:asciiTheme="minorHAnsi" w:hAnsiTheme="minorHAnsi"/>
          <w:sz w:val="24"/>
          <w:szCs w:val="24"/>
        </w:rPr>
        <w:t xml:space="preserve"> final ratification is expected following a positive PBAC recommendation.</w:t>
      </w:r>
    </w:p>
    <w:p w:rsidR="00655231" w:rsidRPr="00BC5649" w:rsidRDefault="008C6270" w:rsidP="00655231">
      <w:pPr>
        <w:spacing w:after="120"/>
        <w:rPr>
          <w:rFonts w:asciiTheme="minorHAnsi" w:hAnsiTheme="minorHAnsi"/>
          <w:i/>
        </w:rPr>
      </w:pPr>
      <w:r w:rsidRPr="00BC5649">
        <w:rPr>
          <w:rFonts w:asciiTheme="minorHAnsi" w:hAnsiTheme="minorHAnsi"/>
          <w:i/>
        </w:rPr>
        <w:t xml:space="preserve">For more detail on PBAC’s view, see section </w:t>
      </w:r>
      <w:r w:rsidR="00A97CEC" w:rsidRPr="00BC5649">
        <w:rPr>
          <w:rFonts w:asciiTheme="minorHAnsi" w:hAnsiTheme="minorHAnsi"/>
          <w:i/>
        </w:rPr>
        <w:t>6</w:t>
      </w:r>
      <w:r w:rsidRPr="00BC5649">
        <w:rPr>
          <w:rFonts w:asciiTheme="minorHAnsi" w:hAnsiTheme="minorHAnsi"/>
          <w:i/>
        </w:rPr>
        <w:t xml:space="preserve"> PBAC outcome.</w:t>
      </w:r>
    </w:p>
    <w:p w:rsidR="005A3173" w:rsidRPr="00E42BDB" w:rsidRDefault="005A3173" w:rsidP="00D31150">
      <w:pPr>
        <w:pStyle w:val="PBACHeading1"/>
        <w:spacing w:before="240" w:after="120"/>
        <w:ind w:left="709" w:hanging="709"/>
        <w:rPr>
          <w:rFonts w:asciiTheme="minorHAnsi" w:hAnsiTheme="minorHAnsi"/>
          <w:sz w:val="32"/>
          <w:szCs w:val="32"/>
        </w:rPr>
      </w:pPr>
      <w:r w:rsidRPr="003C2FB5">
        <w:rPr>
          <w:rFonts w:asciiTheme="minorHAnsi" w:hAnsiTheme="minorHAnsi"/>
          <w:sz w:val="32"/>
          <w:szCs w:val="32"/>
        </w:rPr>
        <w:t>Comparator</w:t>
      </w:r>
    </w:p>
    <w:p w:rsidR="008A1956" w:rsidRDefault="00FF2801" w:rsidP="00620D39">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1B2BBC">
        <w:rPr>
          <w:rFonts w:asciiTheme="minorHAnsi" w:eastAsiaTheme="minorHAnsi" w:hAnsiTheme="minorHAnsi" w:cstheme="minorBidi"/>
          <w:snapToGrid/>
          <w:sz w:val="24"/>
          <w:szCs w:val="22"/>
        </w:rPr>
        <w:t xml:space="preserve">The minor </w:t>
      </w:r>
      <w:r w:rsidR="00E91753">
        <w:rPr>
          <w:rFonts w:asciiTheme="minorHAnsi" w:eastAsiaTheme="minorHAnsi" w:hAnsiTheme="minorHAnsi" w:cstheme="minorBidi"/>
          <w:snapToGrid/>
          <w:sz w:val="24"/>
          <w:szCs w:val="22"/>
        </w:rPr>
        <w:t>re</w:t>
      </w:r>
      <w:r w:rsidRPr="001B2BBC">
        <w:rPr>
          <w:rFonts w:asciiTheme="minorHAnsi" w:eastAsiaTheme="minorHAnsi" w:hAnsiTheme="minorHAnsi" w:cstheme="minorBidi"/>
          <w:snapToGrid/>
          <w:sz w:val="24"/>
          <w:szCs w:val="22"/>
        </w:rPr>
        <w:t xml:space="preserve">submission </w:t>
      </w:r>
      <w:r w:rsidR="00620D39">
        <w:rPr>
          <w:rFonts w:asciiTheme="minorHAnsi" w:eastAsiaTheme="minorHAnsi" w:hAnsiTheme="minorHAnsi" w:cstheme="minorBidi"/>
          <w:snapToGrid/>
          <w:sz w:val="24"/>
          <w:szCs w:val="22"/>
        </w:rPr>
        <w:t xml:space="preserve">did not change the main comparator nominated in the March and November 2017 codependent submissions: </w:t>
      </w:r>
      <w:r w:rsidR="00620D39" w:rsidRPr="00620D39">
        <w:rPr>
          <w:rFonts w:asciiTheme="minorHAnsi" w:eastAsiaTheme="minorHAnsi" w:hAnsiTheme="minorHAnsi" w:cstheme="minorBidi"/>
          <w:snapToGrid/>
          <w:sz w:val="24"/>
          <w:szCs w:val="22"/>
        </w:rPr>
        <w:t>no test and treatment with platinum-based doublet chemotherapy for all patients</w:t>
      </w:r>
      <w:r w:rsidR="00620D39">
        <w:rPr>
          <w:rFonts w:asciiTheme="minorHAnsi" w:eastAsiaTheme="minorHAnsi" w:hAnsiTheme="minorHAnsi" w:cstheme="minorBidi"/>
          <w:snapToGrid/>
          <w:sz w:val="24"/>
          <w:szCs w:val="22"/>
        </w:rPr>
        <w:t xml:space="preserve">. The PBAC previously accepted </w:t>
      </w:r>
      <w:r w:rsidR="00A43BB0" w:rsidRPr="00620D39">
        <w:rPr>
          <w:rFonts w:asciiTheme="minorHAnsi" w:eastAsiaTheme="minorHAnsi" w:hAnsiTheme="minorHAnsi" w:cstheme="minorBidi"/>
          <w:snapToGrid/>
          <w:sz w:val="24"/>
          <w:szCs w:val="22"/>
        </w:rPr>
        <w:t>platinum-based doublet chemotherapy</w:t>
      </w:r>
      <w:r w:rsidR="00620D39">
        <w:rPr>
          <w:rFonts w:asciiTheme="minorHAnsi" w:eastAsiaTheme="minorHAnsi" w:hAnsiTheme="minorHAnsi" w:cstheme="minorBidi"/>
          <w:snapToGrid/>
          <w:sz w:val="24"/>
          <w:szCs w:val="22"/>
        </w:rPr>
        <w:t xml:space="preserve"> as the appropriate comparator</w:t>
      </w:r>
      <w:r w:rsidR="00A43BB0">
        <w:rPr>
          <w:rFonts w:asciiTheme="minorHAnsi" w:eastAsiaTheme="minorHAnsi" w:hAnsiTheme="minorHAnsi" w:cstheme="minorBidi"/>
          <w:snapToGrid/>
          <w:sz w:val="24"/>
          <w:szCs w:val="22"/>
        </w:rPr>
        <w:t xml:space="preserve"> for pembrolizumab</w:t>
      </w:r>
      <w:r w:rsidR="00620D39">
        <w:rPr>
          <w:rFonts w:asciiTheme="minorHAnsi" w:eastAsiaTheme="minorHAnsi" w:hAnsiTheme="minorHAnsi" w:cstheme="minorBidi"/>
          <w:snapToGrid/>
          <w:sz w:val="24"/>
          <w:szCs w:val="22"/>
        </w:rPr>
        <w:t xml:space="preserve">, however, considered </w:t>
      </w:r>
      <w:r w:rsidR="003C0003">
        <w:rPr>
          <w:rFonts w:asciiTheme="minorHAnsi" w:eastAsiaTheme="minorHAnsi" w:hAnsiTheme="minorHAnsi" w:cstheme="minorBidi"/>
          <w:snapToGrid/>
          <w:sz w:val="24"/>
          <w:szCs w:val="22"/>
        </w:rPr>
        <w:t>that pembrolizumab may</w:t>
      </w:r>
      <w:r w:rsidR="00620D39" w:rsidRPr="00620D39">
        <w:rPr>
          <w:rFonts w:asciiTheme="minorHAnsi" w:eastAsiaTheme="minorHAnsi" w:hAnsiTheme="minorHAnsi" w:cstheme="minorBidi"/>
          <w:snapToGrid/>
          <w:sz w:val="24"/>
          <w:szCs w:val="22"/>
        </w:rPr>
        <w:t xml:space="preserve"> displace, not replace, use of platinum-based doublet </w:t>
      </w:r>
      <w:r w:rsidR="003C0003">
        <w:rPr>
          <w:rFonts w:asciiTheme="minorHAnsi" w:eastAsiaTheme="minorHAnsi" w:hAnsiTheme="minorHAnsi" w:cstheme="minorBidi"/>
          <w:snapToGrid/>
          <w:sz w:val="24"/>
          <w:szCs w:val="22"/>
        </w:rPr>
        <w:t>chemotherapy</w:t>
      </w:r>
      <w:r w:rsidR="00620D39" w:rsidRPr="00620D39">
        <w:rPr>
          <w:rFonts w:asciiTheme="minorHAnsi" w:eastAsiaTheme="minorHAnsi" w:hAnsiTheme="minorHAnsi" w:cstheme="minorBidi"/>
          <w:snapToGrid/>
          <w:sz w:val="24"/>
          <w:szCs w:val="22"/>
        </w:rPr>
        <w:t xml:space="preserve"> in the proposed target population</w:t>
      </w:r>
      <w:r w:rsidR="00620D39">
        <w:rPr>
          <w:rFonts w:asciiTheme="minorHAnsi" w:eastAsiaTheme="minorHAnsi" w:hAnsiTheme="minorHAnsi" w:cstheme="minorBidi"/>
          <w:snapToGrid/>
          <w:sz w:val="24"/>
          <w:szCs w:val="22"/>
        </w:rPr>
        <w:t xml:space="preserve"> (paragraph 7.5, pembrolizum</w:t>
      </w:r>
      <w:r w:rsidR="00F87320">
        <w:rPr>
          <w:rFonts w:asciiTheme="minorHAnsi" w:eastAsiaTheme="minorHAnsi" w:hAnsiTheme="minorHAnsi" w:cstheme="minorBidi"/>
          <w:snapToGrid/>
          <w:sz w:val="24"/>
          <w:szCs w:val="22"/>
        </w:rPr>
        <w:t>ab November 2017</w:t>
      </w:r>
      <w:r w:rsidR="00D631AF">
        <w:rPr>
          <w:rFonts w:asciiTheme="minorHAnsi" w:eastAsiaTheme="minorHAnsi" w:hAnsiTheme="minorHAnsi" w:cstheme="minorBidi"/>
          <w:snapToGrid/>
          <w:sz w:val="24"/>
          <w:szCs w:val="22"/>
        </w:rPr>
        <w:t xml:space="preserve"> </w:t>
      </w:r>
      <w:r w:rsidR="008A1430">
        <w:rPr>
          <w:rFonts w:asciiTheme="minorHAnsi" w:eastAsiaTheme="minorHAnsi" w:hAnsiTheme="minorHAnsi" w:cstheme="minorBidi"/>
          <w:snapToGrid/>
          <w:sz w:val="24"/>
          <w:szCs w:val="22"/>
        </w:rPr>
        <w:t>PSD</w:t>
      </w:r>
      <w:r w:rsidR="00F87320">
        <w:rPr>
          <w:rFonts w:asciiTheme="minorHAnsi" w:eastAsiaTheme="minorHAnsi" w:hAnsiTheme="minorHAnsi" w:cstheme="minorBidi"/>
          <w:snapToGrid/>
          <w:sz w:val="24"/>
          <w:szCs w:val="22"/>
        </w:rPr>
        <w:t>).</w:t>
      </w:r>
    </w:p>
    <w:p w:rsidR="00840FB8" w:rsidRPr="00BC5649" w:rsidRDefault="008C6270" w:rsidP="00BC5649">
      <w:pPr>
        <w:spacing w:before="120" w:after="160"/>
        <w:rPr>
          <w:rFonts w:asciiTheme="minorHAnsi" w:hAnsiTheme="minorHAnsi"/>
          <w:i/>
        </w:rPr>
      </w:pPr>
      <w:r w:rsidRPr="00BC5649">
        <w:rPr>
          <w:rFonts w:asciiTheme="minorHAnsi" w:hAnsiTheme="minorHAnsi"/>
          <w:i/>
        </w:rPr>
        <w:t>For more deta</w:t>
      </w:r>
      <w:r w:rsidR="00A97CEC" w:rsidRPr="00BC5649">
        <w:rPr>
          <w:rFonts w:asciiTheme="minorHAnsi" w:hAnsiTheme="minorHAnsi"/>
          <w:i/>
        </w:rPr>
        <w:t>il on PBAC’s view, see section 6</w:t>
      </w:r>
      <w:r w:rsidRPr="00BC5649">
        <w:rPr>
          <w:rFonts w:asciiTheme="minorHAnsi" w:hAnsiTheme="minorHAnsi"/>
          <w:i/>
        </w:rPr>
        <w:t xml:space="preserve"> PBAC outcome.</w:t>
      </w:r>
    </w:p>
    <w:p w:rsidR="000B558D" w:rsidRDefault="008D7A41" w:rsidP="00F550CF">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3C2FB5">
        <w:rPr>
          <w:rFonts w:asciiTheme="minorHAnsi" w:hAnsiTheme="minorHAnsi"/>
          <w:sz w:val="32"/>
          <w:szCs w:val="32"/>
        </w:rPr>
        <w:t>C</w:t>
      </w:r>
      <w:r w:rsidR="00D84934" w:rsidRPr="003C2FB5">
        <w:rPr>
          <w:rFonts w:asciiTheme="minorHAnsi" w:hAnsiTheme="minorHAnsi"/>
          <w:sz w:val="32"/>
          <w:szCs w:val="32"/>
        </w:rPr>
        <w:t>onsideration of the evidence</w:t>
      </w:r>
    </w:p>
    <w:p w:rsidR="008C6270" w:rsidRPr="00525B39" w:rsidRDefault="008C6270" w:rsidP="000225D6">
      <w:pPr>
        <w:widowControl w:val="0"/>
        <w:spacing w:before="240" w:line="276" w:lineRule="auto"/>
        <w:jc w:val="both"/>
        <w:rPr>
          <w:rFonts w:asciiTheme="minorHAnsi" w:hAnsiTheme="minorHAnsi" w:cs="Arial"/>
          <w:b/>
          <w:bCs/>
          <w:i/>
          <w:snapToGrid w:val="0"/>
          <w:sz w:val="28"/>
          <w:szCs w:val="28"/>
        </w:rPr>
      </w:pPr>
      <w:r w:rsidRPr="00525B39">
        <w:rPr>
          <w:rFonts w:asciiTheme="minorHAnsi" w:hAnsiTheme="minorHAnsi" w:cs="Arial"/>
          <w:b/>
          <w:bCs/>
          <w:i/>
          <w:snapToGrid w:val="0"/>
          <w:sz w:val="28"/>
          <w:szCs w:val="28"/>
        </w:rPr>
        <w:t>Sponsor hearing</w:t>
      </w:r>
    </w:p>
    <w:p w:rsidR="008C6270" w:rsidRPr="00525B39" w:rsidRDefault="008C6270" w:rsidP="008C6270">
      <w:pPr>
        <w:widowControl w:val="0"/>
        <w:numPr>
          <w:ilvl w:val="1"/>
          <w:numId w:val="5"/>
        </w:numPr>
        <w:spacing w:after="120"/>
        <w:jc w:val="both"/>
        <w:rPr>
          <w:rFonts w:asciiTheme="minorHAnsi" w:hAnsiTheme="minorHAnsi" w:cs="Arial"/>
          <w:bCs/>
          <w:snapToGrid w:val="0"/>
        </w:rPr>
      </w:pPr>
      <w:r w:rsidRPr="00525B39">
        <w:rPr>
          <w:rFonts w:asciiTheme="minorHAnsi" w:hAnsiTheme="minorHAnsi" w:cs="Arial"/>
          <w:bCs/>
          <w:snapToGrid w:val="0"/>
        </w:rPr>
        <w:t>There was no hearing for this item.</w:t>
      </w:r>
    </w:p>
    <w:p w:rsidR="008C6270" w:rsidRPr="00525B39" w:rsidRDefault="008C6270" w:rsidP="000225D6">
      <w:pPr>
        <w:widowControl w:val="0"/>
        <w:spacing w:before="240" w:line="276" w:lineRule="auto"/>
        <w:jc w:val="both"/>
        <w:rPr>
          <w:rFonts w:asciiTheme="minorHAnsi" w:hAnsiTheme="minorHAnsi" w:cs="Arial"/>
          <w:b/>
          <w:bCs/>
          <w:i/>
          <w:snapToGrid w:val="0"/>
          <w:sz w:val="28"/>
          <w:szCs w:val="28"/>
        </w:rPr>
      </w:pPr>
      <w:r w:rsidRPr="00525B39">
        <w:rPr>
          <w:rFonts w:asciiTheme="minorHAnsi" w:hAnsiTheme="minorHAnsi" w:cs="Arial"/>
          <w:b/>
          <w:bCs/>
          <w:i/>
          <w:snapToGrid w:val="0"/>
          <w:sz w:val="28"/>
          <w:szCs w:val="28"/>
        </w:rPr>
        <w:t>Consumer comments</w:t>
      </w:r>
    </w:p>
    <w:p w:rsidR="008C6270" w:rsidRPr="008A2FCD" w:rsidRDefault="008C6270" w:rsidP="008A2FCD">
      <w:pPr>
        <w:pStyle w:val="ListParagraph"/>
        <w:widowControl/>
        <w:numPr>
          <w:ilvl w:val="1"/>
          <w:numId w:val="5"/>
        </w:numPr>
        <w:spacing w:after="120"/>
        <w:contextualSpacing w:val="0"/>
        <w:rPr>
          <w:rFonts w:asciiTheme="minorHAnsi" w:hAnsiTheme="minorHAnsi"/>
          <w:sz w:val="24"/>
          <w:szCs w:val="24"/>
        </w:rPr>
      </w:pPr>
      <w:r w:rsidRPr="008A2FCD">
        <w:rPr>
          <w:rFonts w:asciiTheme="minorHAnsi" w:hAnsiTheme="minorHAnsi"/>
          <w:sz w:val="24"/>
          <w:szCs w:val="24"/>
        </w:rPr>
        <w:t>The PBAC noted and welcomed the input from individuals (4</w:t>
      </w:r>
      <w:r w:rsidR="00CE423A" w:rsidRPr="008A2FCD">
        <w:rPr>
          <w:rFonts w:asciiTheme="minorHAnsi" w:hAnsiTheme="minorHAnsi"/>
          <w:sz w:val="24"/>
          <w:szCs w:val="24"/>
        </w:rPr>
        <w:t>), health care professionals (3</w:t>
      </w:r>
      <w:r w:rsidRPr="008A2FCD">
        <w:rPr>
          <w:rFonts w:asciiTheme="minorHAnsi" w:hAnsiTheme="minorHAnsi"/>
          <w:sz w:val="24"/>
          <w:szCs w:val="24"/>
        </w:rPr>
        <w:t>) and organisations (</w:t>
      </w:r>
      <w:r w:rsidR="00CE423A" w:rsidRPr="008A2FCD">
        <w:rPr>
          <w:rFonts w:asciiTheme="minorHAnsi" w:hAnsiTheme="minorHAnsi"/>
          <w:sz w:val="24"/>
          <w:szCs w:val="24"/>
        </w:rPr>
        <w:t>2</w:t>
      </w:r>
      <w:r w:rsidRPr="008A2FCD">
        <w:rPr>
          <w:rFonts w:asciiTheme="minorHAnsi" w:hAnsiTheme="minorHAnsi"/>
          <w:sz w:val="24"/>
          <w:szCs w:val="24"/>
        </w:rPr>
        <w:t>) via the Consumer Comments facility on the PBS website. The comments described a range o</w:t>
      </w:r>
      <w:r w:rsidR="0040797E" w:rsidRPr="008A2FCD">
        <w:rPr>
          <w:rFonts w:asciiTheme="minorHAnsi" w:hAnsiTheme="minorHAnsi"/>
          <w:sz w:val="24"/>
          <w:szCs w:val="24"/>
        </w:rPr>
        <w:t>f benefits of treatment with pembrolizumab,</w:t>
      </w:r>
      <w:r w:rsidRPr="008A2FCD">
        <w:rPr>
          <w:rFonts w:asciiTheme="minorHAnsi" w:hAnsiTheme="minorHAnsi"/>
          <w:sz w:val="24"/>
          <w:szCs w:val="24"/>
        </w:rPr>
        <w:t xml:space="preserve"> includin</w:t>
      </w:r>
      <w:r w:rsidR="0040797E" w:rsidRPr="008A2FCD">
        <w:rPr>
          <w:rFonts w:asciiTheme="minorHAnsi" w:hAnsiTheme="minorHAnsi"/>
          <w:sz w:val="24"/>
          <w:szCs w:val="24"/>
        </w:rPr>
        <w:t>g fewer side effects and achieving better control of NSCLC, compared to chemotherapy. The comment supported the PBS listing of pembrolizumab for NS</w:t>
      </w:r>
      <w:r w:rsidR="00F87320">
        <w:rPr>
          <w:rFonts w:asciiTheme="minorHAnsi" w:hAnsiTheme="minorHAnsi"/>
          <w:sz w:val="24"/>
          <w:szCs w:val="24"/>
        </w:rPr>
        <w:t>CLC in patients with TPS ≥50%.</w:t>
      </w:r>
    </w:p>
    <w:p w:rsidR="009F12C6" w:rsidRPr="008A2FCD" w:rsidRDefault="009F12C6" w:rsidP="008A2FCD">
      <w:pPr>
        <w:pStyle w:val="ListParagraph"/>
        <w:widowControl/>
        <w:numPr>
          <w:ilvl w:val="1"/>
          <w:numId w:val="5"/>
        </w:numPr>
        <w:spacing w:after="120"/>
        <w:contextualSpacing w:val="0"/>
        <w:rPr>
          <w:rFonts w:asciiTheme="minorHAnsi" w:hAnsiTheme="minorHAnsi"/>
          <w:sz w:val="24"/>
          <w:szCs w:val="24"/>
        </w:rPr>
      </w:pPr>
      <w:r w:rsidRPr="008A2FCD">
        <w:rPr>
          <w:rFonts w:asciiTheme="minorHAnsi" w:hAnsiTheme="minorHAnsi"/>
          <w:sz w:val="24"/>
          <w:szCs w:val="24"/>
        </w:rPr>
        <w:t>The PBAC noted the letter from the Lung Foundation Australia, which provided epidemiological data on lung cancer and a patient account of the experience with pembrolizumab treatment. The Lung Foundation Australia described the benefits of treatment with pembrolizumab and express</w:t>
      </w:r>
      <w:r w:rsidR="00F87320">
        <w:rPr>
          <w:rFonts w:asciiTheme="minorHAnsi" w:hAnsiTheme="minorHAnsi"/>
          <w:sz w:val="24"/>
          <w:szCs w:val="24"/>
        </w:rPr>
        <w:t>ed support for its PBS listing.</w:t>
      </w:r>
    </w:p>
    <w:p w:rsidR="009F12C6" w:rsidRPr="008A2FCD" w:rsidRDefault="009F12C6" w:rsidP="008A2FCD">
      <w:pPr>
        <w:pStyle w:val="ListParagraph"/>
        <w:widowControl/>
        <w:numPr>
          <w:ilvl w:val="1"/>
          <w:numId w:val="5"/>
        </w:numPr>
        <w:spacing w:after="120"/>
        <w:contextualSpacing w:val="0"/>
        <w:rPr>
          <w:rFonts w:asciiTheme="minorHAnsi" w:hAnsiTheme="minorHAnsi"/>
          <w:sz w:val="24"/>
          <w:szCs w:val="24"/>
        </w:rPr>
      </w:pPr>
      <w:r w:rsidRPr="008A2FCD">
        <w:rPr>
          <w:rFonts w:asciiTheme="minorHAnsi" w:hAnsiTheme="minorHAnsi"/>
          <w:sz w:val="24"/>
          <w:szCs w:val="24"/>
        </w:rPr>
        <w:t xml:space="preserve">The Medical Oncology Group of Australia (MOGA) also expressed its support for the </w:t>
      </w:r>
      <w:r w:rsidR="003E1E3A">
        <w:rPr>
          <w:rFonts w:asciiTheme="minorHAnsi" w:hAnsiTheme="minorHAnsi"/>
          <w:sz w:val="24"/>
          <w:szCs w:val="24"/>
        </w:rPr>
        <w:t>minor re</w:t>
      </w:r>
      <w:r w:rsidRPr="008A2FCD">
        <w:rPr>
          <w:rFonts w:asciiTheme="minorHAnsi" w:hAnsiTheme="minorHAnsi"/>
          <w:sz w:val="24"/>
          <w:szCs w:val="24"/>
        </w:rPr>
        <w:t>submission, on the basis of increased PFS and OS benefit and decreased toxicity compared to platinum-based doublet chemotherapy. The PBAC noted that the MOGA presented the European Society for Medical Oncology Magnitude of Clinical Benefit Scale (ESMO-MCBS) in this context as being 5 (out of a maximum of 5, where 5 and 4 represent the grades with substantial improvement)</w:t>
      </w:r>
      <w:r w:rsidR="00E54E86">
        <w:rPr>
          <w:rStyle w:val="FootnoteReference"/>
          <w:rFonts w:asciiTheme="minorHAnsi" w:hAnsiTheme="minorHAnsi"/>
          <w:sz w:val="24"/>
          <w:szCs w:val="24"/>
        </w:rPr>
        <w:footnoteReference w:id="1"/>
      </w:r>
      <w:r w:rsidRPr="008A2FCD">
        <w:rPr>
          <w:rFonts w:asciiTheme="minorHAnsi" w:hAnsiTheme="minorHAnsi"/>
          <w:sz w:val="24"/>
          <w:szCs w:val="24"/>
        </w:rPr>
        <w:t xml:space="preserve">, based </w:t>
      </w:r>
      <w:r w:rsidR="00D53AF7">
        <w:rPr>
          <w:rFonts w:asciiTheme="minorHAnsi" w:hAnsiTheme="minorHAnsi"/>
          <w:sz w:val="24"/>
          <w:szCs w:val="24"/>
        </w:rPr>
        <w:t xml:space="preserve">on </w:t>
      </w:r>
      <w:r w:rsidRPr="008A2FCD">
        <w:rPr>
          <w:rFonts w:asciiTheme="minorHAnsi" w:hAnsiTheme="minorHAnsi"/>
          <w:sz w:val="24"/>
          <w:szCs w:val="24"/>
        </w:rPr>
        <w:t>the KN-024 trial.</w:t>
      </w:r>
    </w:p>
    <w:p w:rsidR="005A3173" w:rsidRPr="00966D0D" w:rsidRDefault="005A3173" w:rsidP="000225D6">
      <w:pPr>
        <w:pStyle w:val="Heading2"/>
        <w:keepLines/>
        <w:spacing w:before="240" w:line="276" w:lineRule="auto"/>
        <w:rPr>
          <w:rFonts w:asciiTheme="minorHAnsi" w:eastAsiaTheme="majorEastAsia" w:hAnsiTheme="minorHAnsi" w:cstheme="majorBidi"/>
          <w:sz w:val="28"/>
          <w:szCs w:val="28"/>
          <w:lang w:eastAsia="en-US"/>
        </w:rPr>
      </w:pPr>
      <w:r w:rsidRPr="003C2FB5">
        <w:rPr>
          <w:rFonts w:asciiTheme="minorHAnsi" w:eastAsiaTheme="majorEastAsia" w:hAnsiTheme="minorHAnsi" w:cstheme="majorBidi"/>
          <w:sz w:val="28"/>
          <w:szCs w:val="28"/>
          <w:lang w:eastAsia="en-US"/>
        </w:rPr>
        <w:t>Economic analysis</w:t>
      </w:r>
    </w:p>
    <w:p w:rsidR="009303CD" w:rsidRPr="00645788" w:rsidRDefault="009303CD" w:rsidP="00645788">
      <w:pPr>
        <w:pStyle w:val="ListParagraph"/>
        <w:widowControl/>
        <w:numPr>
          <w:ilvl w:val="1"/>
          <w:numId w:val="5"/>
        </w:numPr>
        <w:spacing w:after="120"/>
        <w:contextualSpacing w:val="0"/>
        <w:rPr>
          <w:rFonts w:asciiTheme="minorHAnsi" w:hAnsiTheme="minorHAnsi"/>
          <w:sz w:val="24"/>
          <w:szCs w:val="24"/>
        </w:rPr>
      </w:pPr>
      <w:r>
        <w:rPr>
          <w:rFonts w:asciiTheme="minorHAnsi" w:hAnsiTheme="minorHAnsi"/>
          <w:sz w:val="24"/>
          <w:szCs w:val="24"/>
        </w:rPr>
        <w:t>In the November 2017</w:t>
      </w:r>
      <w:r w:rsidR="009B0F67" w:rsidRPr="0039039B">
        <w:rPr>
          <w:rFonts w:asciiTheme="minorHAnsi" w:hAnsiTheme="minorHAnsi"/>
          <w:sz w:val="24"/>
          <w:szCs w:val="24"/>
        </w:rPr>
        <w:t xml:space="preserve"> major </w:t>
      </w:r>
      <w:r w:rsidR="0039039B" w:rsidRPr="0039039B">
        <w:rPr>
          <w:rFonts w:asciiTheme="minorHAnsi" w:hAnsiTheme="minorHAnsi"/>
          <w:sz w:val="24"/>
          <w:szCs w:val="24"/>
        </w:rPr>
        <w:t>re</w:t>
      </w:r>
      <w:r w:rsidR="009B0F67" w:rsidRPr="0039039B">
        <w:rPr>
          <w:rFonts w:asciiTheme="minorHAnsi" w:hAnsiTheme="minorHAnsi"/>
          <w:sz w:val="24"/>
          <w:szCs w:val="24"/>
        </w:rPr>
        <w:t>submis</w:t>
      </w:r>
      <w:r w:rsidR="0039039B" w:rsidRPr="0039039B">
        <w:rPr>
          <w:rFonts w:asciiTheme="minorHAnsi" w:hAnsiTheme="minorHAnsi"/>
          <w:sz w:val="24"/>
          <w:szCs w:val="24"/>
        </w:rPr>
        <w:t xml:space="preserve">sion, a </w:t>
      </w:r>
      <w:r w:rsidR="009B0F67" w:rsidRPr="0039039B">
        <w:rPr>
          <w:rFonts w:asciiTheme="minorHAnsi" w:hAnsiTheme="minorHAnsi"/>
          <w:sz w:val="24"/>
          <w:szCs w:val="24"/>
        </w:rPr>
        <w:t xml:space="preserve">cost-effectiveness analysis </w:t>
      </w:r>
      <w:r w:rsidR="0039039B" w:rsidRPr="0039039B">
        <w:rPr>
          <w:rFonts w:asciiTheme="minorHAnsi" w:hAnsiTheme="minorHAnsi"/>
          <w:sz w:val="24"/>
          <w:szCs w:val="24"/>
        </w:rPr>
        <w:t>and cost-utility analysis was presented</w:t>
      </w:r>
      <w:r>
        <w:rPr>
          <w:rFonts w:asciiTheme="minorHAnsi" w:hAnsiTheme="minorHAnsi"/>
          <w:sz w:val="24"/>
          <w:szCs w:val="24"/>
        </w:rPr>
        <w:t xml:space="preserve">, based on the claim of superior effectiveness and safety of pembrolizumab compared to platinum-based doublet chemotherapy </w:t>
      </w:r>
      <w:r w:rsidRPr="009303CD">
        <w:rPr>
          <w:rFonts w:asciiTheme="minorHAnsi" w:hAnsiTheme="minorHAnsi"/>
          <w:sz w:val="24"/>
          <w:szCs w:val="24"/>
        </w:rPr>
        <w:t>in treatment-naïve NSCLC patients whose tumours expressed high levels of PD-L1 (TPS ≥50%)</w:t>
      </w:r>
      <w:r w:rsidR="0039039B" w:rsidRPr="0039039B">
        <w:rPr>
          <w:rFonts w:asciiTheme="minorHAnsi" w:hAnsiTheme="minorHAnsi"/>
          <w:sz w:val="24"/>
          <w:szCs w:val="24"/>
        </w:rPr>
        <w:t xml:space="preserve">. </w:t>
      </w:r>
      <w:r>
        <w:rPr>
          <w:rFonts w:asciiTheme="minorHAnsi" w:hAnsiTheme="minorHAnsi"/>
          <w:sz w:val="24"/>
          <w:szCs w:val="24"/>
        </w:rPr>
        <w:t>The basic structure of the economic model was unchanged from the March 2017 submission, which</w:t>
      </w:r>
      <w:r w:rsidR="00A43BB0">
        <w:rPr>
          <w:rFonts w:asciiTheme="minorHAnsi" w:hAnsiTheme="minorHAnsi"/>
          <w:sz w:val="24"/>
          <w:szCs w:val="24"/>
        </w:rPr>
        <w:t xml:space="preserve"> the PBAC considered was sound.</w:t>
      </w:r>
    </w:p>
    <w:p w:rsidR="0039039B" w:rsidRPr="00645788" w:rsidRDefault="00E91753" w:rsidP="00645788">
      <w:pPr>
        <w:pStyle w:val="ListParagraph"/>
        <w:widowControl/>
        <w:numPr>
          <w:ilvl w:val="1"/>
          <w:numId w:val="5"/>
        </w:numPr>
        <w:spacing w:after="120"/>
        <w:contextualSpacing w:val="0"/>
        <w:rPr>
          <w:rFonts w:asciiTheme="minorHAnsi" w:hAnsiTheme="minorHAnsi"/>
          <w:sz w:val="24"/>
          <w:szCs w:val="24"/>
        </w:rPr>
      </w:pPr>
      <w:r>
        <w:rPr>
          <w:rFonts w:asciiTheme="minorHAnsi" w:hAnsiTheme="minorHAnsi"/>
          <w:sz w:val="24"/>
          <w:szCs w:val="24"/>
        </w:rPr>
        <w:t>The minor re</w:t>
      </w:r>
      <w:r w:rsidR="009B0F67" w:rsidRPr="0039039B">
        <w:rPr>
          <w:rFonts w:asciiTheme="minorHAnsi" w:hAnsiTheme="minorHAnsi"/>
          <w:sz w:val="24"/>
          <w:szCs w:val="24"/>
        </w:rPr>
        <w:t xml:space="preserve">submission </w:t>
      </w:r>
      <w:r w:rsidR="00FF2801" w:rsidRPr="0039039B">
        <w:rPr>
          <w:rFonts w:asciiTheme="minorHAnsi" w:hAnsiTheme="minorHAnsi"/>
          <w:sz w:val="24"/>
          <w:szCs w:val="24"/>
        </w:rPr>
        <w:t>did</w:t>
      </w:r>
      <w:r w:rsidR="009B0F67" w:rsidRPr="0039039B">
        <w:rPr>
          <w:rFonts w:asciiTheme="minorHAnsi" w:hAnsiTheme="minorHAnsi"/>
          <w:sz w:val="24"/>
          <w:szCs w:val="24"/>
        </w:rPr>
        <w:t xml:space="preserve"> not alter the economic model str</w:t>
      </w:r>
      <w:r w:rsidR="0039039B" w:rsidRPr="0039039B">
        <w:rPr>
          <w:rFonts w:asciiTheme="minorHAnsi" w:hAnsiTheme="minorHAnsi"/>
          <w:sz w:val="24"/>
          <w:szCs w:val="24"/>
        </w:rPr>
        <w:t>ucture from</w:t>
      </w:r>
      <w:r w:rsidR="009303CD">
        <w:rPr>
          <w:rFonts w:asciiTheme="minorHAnsi" w:hAnsiTheme="minorHAnsi"/>
          <w:sz w:val="24"/>
          <w:szCs w:val="24"/>
        </w:rPr>
        <w:t xml:space="preserve"> March/</w:t>
      </w:r>
      <w:r w:rsidR="0039039B" w:rsidRPr="0039039B">
        <w:rPr>
          <w:rFonts w:asciiTheme="minorHAnsi" w:hAnsiTheme="minorHAnsi"/>
          <w:sz w:val="24"/>
          <w:szCs w:val="24"/>
        </w:rPr>
        <w:t>November 2017, however it presented a respecified model.</w:t>
      </w:r>
      <w:r w:rsidR="009303CD">
        <w:rPr>
          <w:rFonts w:asciiTheme="minorHAnsi" w:hAnsiTheme="minorHAnsi"/>
          <w:sz w:val="24"/>
          <w:szCs w:val="24"/>
        </w:rPr>
        <w:t xml:space="preserve"> </w:t>
      </w:r>
      <w:r w:rsidR="0039039B" w:rsidRPr="0039039B">
        <w:rPr>
          <w:rFonts w:asciiTheme="minorHAnsi" w:hAnsiTheme="minorHAnsi"/>
          <w:sz w:val="24"/>
          <w:szCs w:val="24"/>
        </w:rPr>
        <w:t>The main changes in the model variables/assumptions</w:t>
      </w:r>
      <w:r w:rsidR="00021A5D">
        <w:rPr>
          <w:rFonts w:asciiTheme="minorHAnsi" w:hAnsiTheme="minorHAnsi"/>
          <w:sz w:val="24"/>
          <w:szCs w:val="24"/>
        </w:rPr>
        <w:t xml:space="preserve"> in </w:t>
      </w:r>
      <w:r w:rsidR="0039039B" w:rsidRPr="0039039B">
        <w:rPr>
          <w:rFonts w:asciiTheme="minorHAnsi" w:hAnsiTheme="minorHAnsi"/>
          <w:sz w:val="24"/>
          <w:szCs w:val="24"/>
        </w:rPr>
        <w:t>the minor resubmission</w:t>
      </w:r>
      <w:r w:rsidR="00021A5D">
        <w:rPr>
          <w:rFonts w:asciiTheme="minorHAnsi" w:hAnsiTheme="minorHAnsi"/>
          <w:sz w:val="24"/>
          <w:szCs w:val="24"/>
        </w:rPr>
        <w:t xml:space="preserve"> and remaining</w:t>
      </w:r>
      <w:r w:rsidR="00F017AD">
        <w:rPr>
          <w:rFonts w:asciiTheme="minorHAnsi" w:hAnsiTheme="minorHAnsi"/>
          <w:sz w:val="24"/>
          <w:szCs w:val="24"/>
        </w:rPr>
        <w:t xml:space="preserve"> economic</w:t>
      </w:r>
      <w:r w:rsidR="00021A5D">
        <w:rPr>
          <w:rFonts w:asciiTheme="minorHAnsi" w:hAnsiTheme="minorHAnsi"/>
          <w:sz w:val="24"/>
          <w:szCs w:val="24"/>
        </w:rPr>
        <w:t xml:space="preserve"> issues from the November 2017 </w:t>
      </w:r>
      <w:r w:rsidR="007665EB">
        <w:rPr>
          <w:rFonts w:asciiTheme="minorHAnsi" w:hAnsiTheme="minorHAnsi"/>
          <w:sz w:val="24"/>
          <w:szCs w:val="24"/>
        </w:rPr>
        <w:t xml:space="preserve">major </w:t>
      </w:r>
      <w:r w:rsidR="00021A5D">
        <w:rPr>
          <w:rFonts w:asciiTheme="minorHAnsi" w:hAnsiTheme="minorHAnsi"/>
          <w:sz w:val="24"/>
          <w:szCs w:val="24"/>
        </w:rPr>
        <w:t>resubmission</w:t>
      </w:r>
      <w:r w:rsidR="00A43BB0">
        <w:rPr>
          <w:rFonts w:asciiTheme="minorHAnsi" w:hAnsiTheme="minorHAnsi"/>
          <w:sz w:val="24"/>
          <w:szCs w:val="24"/>
        </w:rPr>
        <w:t xml:space="preserve"> are summarised below.</w:t>
      </w:r>
    </w:p>
    <w:p w:rsidR="00A34836" w:rsidRPr="00A34836" w:rsidRDefault="00A34836" w:rsidP="00D30EDD">
      <w:pPr>
        <w:pStyle w:val="Caption"/>
        <w:keepNext/>
        <w:spacing w:after="0"/>
        <w:rPr>
          <w:rStyle w:val="CommentReference"/>
          <w:rFonts w:ascii="Arial Narrow" w:hAnsi="Arial Narrow"/>
          <w:color w:val="auto"/>
          <w:sz w:val="20"/>
          <w:szCs w:val="20"/>
        </w:rPr>
      </w:pPr>
      <w:r w:rsidRPr="00A34836">
        <w:rPr>
          <w:rStyle w:val="CommentReference"/>
          <w:rFonts w:ascii="Arial Narrow" w:hAnsi="Arial Narrow"/>
          <w:color w:val="auto"/>
          <w:sz w:val="20"/>
          <w:szCs w:val="20"/>
        </w:rPr>
        <w:t xml:space="preserve">Table </w:t>
      </w:r>
      <w:r w:rsidR="006C6CBE">
        <w:rPr>
          <w:rStyle w:val="CommentReference"/>
          <w:rFonts w:ascii="Arial Narrow" w:hAnsi="Arial Narrow"/>
          <w:noProof/>
          <w:color w:val="auto"/>
          <w:sz w:val="20"/>
          <w:szCs w:val="20"/>
        </w:rPr>
        <w:t>1</w:t>
      </w:r>
      <w:r>
        <w:rPr>
          <w:rStyle w:val="CommentReference"/>
          <w:rFonts w:ascii="Arial Narrow" w:hAnsi="Arial Narrow"/>
          <w:color w:val="auto"/>
          <w:sz w:val="20"/>
          <w:szCs w:val="20"/>
        </w:rPr>
        <w:t>:</w:t>
      </w:r>
      <w:r w:rsidR="00ED0A7C">
        <w:rPr>
          <w:rStyle w:val="CommentReference"/>
          <w:rFonts w:ascii="Arial Narrow" w:hAnsi="Arial Narrow"/>
          <w:color w:val="auto"/>
          <w:sz w:val="20"/>
          <w:szCs w:val="20"/>
        </w:rPr>
        <w:t xml:space="preserve"> Comparison of the elements of the economic model in the November 2017 major resubmission and the March 2018 minor resubmission</w:t>
      </w:r>
    </w:p>
    <w:tbl>
      <w:tblPr>
        <w:tblStyle w:val="TableGrid"/>
        <w:tblW w:w="0" w:type="auto"/>
        <w:tblLayout w:type="fixed"/>
        <w:tblCellMar>
          <w:top w:w="28" w:type="dxa"/>
          <w:left w:w="28" w:type="dxa"/>
          <w:bottom w:w="28" w:type="dxa"/>
          <w:right w:w="28" w:type="dxa"/>
        </w:tblCellMar>
        <w:tblLook w:val="04A0" w:firstRow="1" w:lastRow="0" w:firstColumn="1" w:lastColumn="0" w:noHBand="0" w:noVBand="1"/>
      </w:tblPr>
      <w:tblGrid>
        <w:gridCol w:w="1162"/>
        <w:gridCol w:w="2127"/>
        <w:gridCol w:w="2693"/>
        <w:gridCol w:w="3100"/>
      </w:tblGrid>
      <w:tr w:rsidR="00B105BA" w:rsidRPr="00A85136" w:rsidTr="00360FED">
        <w:tc>
          <w:tcPr>
            <w:tcW w:w="1162" w:type="dxa"/>
            <w:vMerge w:val="restart"/>
            <w:vAlign w:val="center"/>
          </w:tcPr>
          <w:p w:rsidR="00B105BA" w:rsidRPr="00A97CEC" w:rsidRDefault="00B105BA" w:rsidP="00B105BA">
            <w:pPr>
              <w:pStyle w:val="TableText0"/>
              <w:jc w:val="left"/>
              <w:rPr>
                <w:b/>
                <w:szCs w:val="20"/>
              </w:rPr>
            </w:pPr>
            <w:r w:rsidRPr="00A97CEC">
              <w:rPr>
                <w:b/>
                <w:szCs w:val="20"/>
              </w:rPr>
              <w:t>Model variable</w:t>
            </w:r>
          </w:p>
        </w:tc>
        <w:tc>
          <w:tcPr>
            <w:tcW w:w="4820" w:type="dxa"/>
            <w:gridSpan w:val="2"/>
            <w:vAlign w:val="center"/>
          </w:tcPr>
          <w:p w:rsidR="00B105BA" w:rsidRPr="00A97CEC" w:rsidRDefault="00B105BA" w:rsidP="00B105BA">
            <w:pPr>
              <w:pStyle w:val="TableText0"/>
              <w:jc w:val="center"/>
              <w:rPr>
                <w:b/>
                <w:szCs w:val="20"/>
              </w:rPr>
            </w:pPr>
            <w:r w:rsidRPr="00A97CEC">
              <w:rPr>
                <w:b/>
                <w:szCs w:val="20"/>
              </w:rPr>
              <w:t>November 2017</w:t>
            </w:r>
          </w:p>
        </w:tc>
        <w:tc>
          <w:tcPr>
            <w:tcW w:w="3100" w:type="dxa"/>
            <w:vMerge w:val="restart"/>
            <w:vAlign w:val="center"/>
          </w:tcPr>
          <w:p w:rsidR="00B105BA" w:rsidRPr="00A97CEC" w:rsidRDefault="00B105BA" w:rsidP="00B105BA">
            <w:pPr>
              <w:pStyle w:val="TableText0"/>
              <w:jc w:val="center"/>
              <w:rPr>
                <w:b/>
                <w:szCs w:val="20"/>
              </w:rPr>
            </w:pPr>
            <w:r w:rsidRPr="00A97CEC">
              <w:rPr>
                <w:b/>
                <w:szCs w:val="20"/>
              </w:rPr>
              <w:t>March 2018 minor resubmission</w:t>
            </w:r>
          </w:p>
        </w:tc>
      </w:tr>
      <w:tr w:rsidR="00D019BA" w:rsidRPr="00A85136" w:rsidTr="00360FED">
        <w:tc>
          <w:tcPr>
            <w:tcW w:w="1162" w:type="dxa"/>
            <w:vMerge/>
            <w:vAlign w:val="center"/>
          </w:tcPr>
          <w:p w:rsidR="00B105BA" w:rsidRPr="00A97CEC" w:rsidRDefault="00B105BA" w:rsidP="00B105BA">
            <w:pPr>
              <w:pStyle w:val="TableText0"/>
              <w:jc w:val="center"/>
              <w:rPr>
                <w:b/>
                <w:szCs w:val="20"/>
              </w:rPr>
            </w:pPr>
          </w:p>
        </w:tc>
        <w:tc>
          <w:tcPr>
            <w:tcW w:w="2127" w:type="dxa"/>
            <w:vAlign w:val="center"/>
          </w:tcPr>
          <w:p w:rsidR="00B105BA" w:rsidRPr="00A97CEC" w:rsidRDefault="00B105BA" w:rsidP="00B105BA">
            <w:pPr>
              <w:pStyle w:val="TableText0"/>
              <w:jc w:val="center"/>
              <w:rPr>
                <w:b/>
                <w:szCs w:val="20"/>
              </w:rPr>
            </w:pPr>
            <w:r w:rsidRPr="00A97CEC">
              <w:rPr>
                <w:b/>
                <w:szCs w:val="20"/>
              </w:rPr>
              <w:t>Major resubmission</w:t>
            </w:r>
          </w:p>
        </w:tc>
        <w:tc>
          <w:tcPr>
            <w:tcW w:w="2693" w:type="dxa"/>
            <w:vAlign w:val="center"/>
          </w:tcPr>
          <w:p w:rsidR="00B105BA" w:rsidRPr="00A97CEC" w:rsidRDefault="00B105BA" w:rsidP="00B105BA">
            <w:pPr>
              <w:pStyle w:val="TableText0"/>
              <w:jc w:val="center"/>
              <w:rPr>
                <w:b/>
                <w:szCs w:val="20"/>
              </w:rPr>
            </w:pPr>
            <w:r w:rsidRPr="00A97CEC">
              <w:rPr>
                <w:b/>
                <w:szCs w:val="20"/>
              </w:rPr>
              <w:t>PBAC comments</w:t>
            </w:r>
          </w:p>
        </w:tc>
        <w:tc>
          <w:tcPr>
            <w:tcW w:w="3100" w:type="dxa"/>
            <w:vMerge/>
          </w:tcPr>
          <w:p w:rsidR="00B105BA" w:rsidRPr="00A97CEC" w:rsidRDefault="00B105BA" w:rsidP="00A85136">
            <w:pPr>
              <w:pStyle w:val="TableText0"/>
              <w:jc w:val="left"/>
              <w:rPr>
                <w:b/>
                <w:szCs w:val="20"/>
              </w:rPr>
            </w:pPr>
          </w:p>
        </w:tc>
      </w:tr>
      <w:tr w:rsidR="00D019BA" w:rsidRPr="00A85136" w:rsidTr="00360FED">
        <w:tc>
          <w:tcPr>
            <w:tcW w:w="1162" w:type="dxa"/>
          </w:tcPr>
          <w:p w:rsidR="00021A5D" w:rsidRPr="00A97CEC" w:rsidRDefault="00021A5D" w:rsidP="0068575C">
            <w:pPr>
              <w:pStyle w:val="TableText0"/>
              <w:jc w:val="left"/>
              <w:rPr>
                <w:szCs w:val="20"/>
              </w:rPr>
            </w:pPr>
            <w:r w:rsidRPr="00A97CEC">
              <w:rPr>
                <w:szCs w:val="20"/>
              </w:rPr>
              <w:t>Use of Kaplan-Meier trial data</w:t>
            </w:r>
          </w:p>
        </w:tc>
        <w:tc>
          <w:tcPr>
            <w:tcW w:w="2127" w:type="dxa"/>
          </w:tcPr>
          <w:p w:rsidR="00021A5D" w:rsidRPr="00A97CEC" w:rsidRDefault="004D5163" w:rsidP="0068575C">
            <w:pPr>
              <w:pStyle w:val="TableText0"/>
              <w:jc w:val="left"/>
              <w:rPr>
                <w:szCs w:val="20"/>
              </w:rPr>
            </w:pPr>
            <w:r w:rsidRPr="00A97CEC">
              <w:rPr>
                <w:szCs w:val="20"/>
              </w:rPr>
              <w:t xml:space="preserve">KM </w:t>
            </w:r>
            <w:r w:rsidR="00021A5D" w:rsidRPr="00A97CEC">
              <w:rPr>
                <w:szCs w:val="20"/>
              </w:rPr>
              <w:t xml:space="preserve">estimates from KN-024 were used up to a certain time point, after which the start point of </w:t>
            </w:r>
            <w:r w:rsidR="00021A5D" w:rsidRPr="00A97CEC">
              <w:t>the goodness of fit comparison</w:t>
            </w:r>
            <w:r w:rsidR="00021A5D" w:rsidRPr="00A97CEC">
              <w:rPr>
                <w:szCs w:val="20"/>
              </w:rPr>
              <w:t xml:space="preserve"> for the extrapolation was determined by the post hoc use of the Chow test:</w:t>
            </w:r>
          </w:p>
          <w:p w:rsidR="00021A5D" w:rsidRPr="00A97CEC" w:rsidRDefault="00021A5D" w:rsidP="0068575C">
            <w:pPr>
              <w:pStyle w:val="TableText0"/>
              <w:jc w:val="left"/>
              <w:rPr>
                <w:szCs w:val="20"/>
              </w:rPr>
            </w:pPr>
            <w:r w:rsidRPr="00A97CEC">
              <w:rPr>
                <w:szCs w:val="20"/>
              </w:rPr>
              <w:t>PFS: week 27</w:t>
            </w:r>
          </w:p>
          <w:p w:rsidR="004D5163" w:rsidRPr="00A97CEC" w:rsidRDefault="0068575C" w:rsidP="0068575C">
            <w:pPr>
              <w:pStyle w:val="TableText0"/>
              <w:jc w:val="left"/>
              <w:rPr>
                <w:szCs w:val="20"/>
              </w:rPr>
            </w:pPr>
            <w:r w:rsidRPr="00A97CEC">
              <w:rPr>
                <w:szCs w:val="20"/>
              </w:rPr>
              <w:t xml:space="preserve">OS: pembrolizumab: </w:t>
            </w:r>
            <w:r w:rsidR="00021A5D" w:rsidRPr="00A97CEC">
              <w:rPr>
                <w:szCs w:val="20"/>
              </w:rPr>
              <w:t>week 32</w:t>
            </w:r>
            <w:r w:rsidRPr="00A97CEC">
              <w:rPr>
                <w:szCs w:val="20"/>
              </w:rPr>
              <w:t xml:space="preserve">; chemotherapy: </w:t>
            </w:r>
            <w:r w:rsidR="00021A5D" w:rsidRPr="00A97CEC">
              <w:rPr>
                <w:szCs w:val="20"/>
              </w:rPr>
              <w:t>week 40</w:t>
            </w:r>
          </w:p>
          <w:p w:rsidR="004D5163" w:rsidRPr="00A97CEC" w:rsidRDefault="004D5163" w:rsidP="0068575C">
            <w:pPr>
              <w:pStyle w:val="TableText0"/>
              <w:jc w:val="left"/>
              <w:rPr>
                <w:szCs w:val="20"/>
              </w:rPr>
            </w:pPr>
            <w:r w:rsidRPr="00A97CEC">
              <w:rPr>
                <w:szCs w:val="20"/>
              </w:rPr>
              <w:t>The resubmission provided OS data with a median follow up of 19 months, which was updated to 25 months in the</w:t>
            </w:r>
            <w:r w:rsidR="000F7FA4" w:rsidRPr="00A97CEC">
              <w:rPr>
                <w:szCs w:val="20"/>
              </w:rPr>
              <w:t xml:space="preserve"> revised model accompanying the</w:t>
            </w:r>
            <w:r w:rsidRPr="00A97CEC">
              <w:rPr>
                <w:szCs w:val="20"/>
              </w:rPr>
              <w:t xml:space="preserve"> PSCR.</w:t>
            </w:r>
          </w:p>
        </w:tc>
        <w:tc>
          <w:tcPr>
            <w:tcW w:w="2693" w:type="dxa"/>
          </w:tcPr>
          <w:p w:rsidR="00021A5D" w:rsidRPr="00A97CEC" w:rsidRDefault="00021A5D" w:rsidP="0068575C">
            <w:pPr>
              <w:pStyle w:val="TableText0"/>
              <w:jc w:val="left"/>
              <w:rPr>
                <w:szCs w:val="20"/>
              </w:rPr>
            </w:pPr>
            <w:r w:rsidRPr="00A97CEC">
              <w:rPr>
                <w:szCs w:val="20"/>
              </w:rPr>
              <w:t xml:space="preserve">The PBAC considered that use of the Chow test was inappropriate and added a source of uncertainty to the modelled results. The PBAC advised that the base case of the economic model would need to be respecified to </w:t>
            </w:r>
            <w:r w:rsidR="004D5163" w:rsidRPr="00A97CEC">
              <w:rPr>
                <w:szCs w:val="20"/>
              </w:rPr>
              <w:t>use the observed KM</w:t>
            </w:r>
            <w:r w:rsidRPr="00A97CEC">
              <w:rPr>
                <w:szCs w:val="20"/>
              </w:rPr>
              <w:t xml:space="preserve"> results from the key trial in the model up to the median duration of follow-up. </w:t>
            </w:r>
          </w:p>
          <w:p w:rsidR="00CF1ECF" w:rsidRPr="00A97CEC" w:rsidRDefault="00CF1ECF" w:rsidP="0068575C">
            <w:pPr>
              <w:pStyle w:val="TableText0"/>
              <w:jc w:val="left"/>
              <w:rPr>
                <w:szCs w:val="20"/>
              </w:rPr>
            </w:pPr>
          </w:p>
          <w:p w:rsidR="00432CDE" w:rsidRPr="00A97CEC" w:rsidRDefault="00432CDE" w:rsidP="00432CDE">
            <w:pPr>
              <w:pStyle w:val="TableText0"/>
              <w:jc w:val="left"/>
              <w:rPr>
                <w:szCs w:val="20"/>
              </w:rPr>
            </w:pPr>
            <w:r w:rsidRPr="00A97CEC">
              <w:rPr>
                <w:szCs w:val="20"/>
              </w:rPr>
              <w:t>The PBAC considered that the trial data was robust, however considered that the OS data in the final analysis supplied in the PSCR remained immature to estimate reliably the magnitude of long-term survival benefits of pembrolizumab.</w:t>
            </w:r>
          </w:p>
        </w:tc>
        <w:tc>
          <w:tcPr>
            <w:tcW w:w="3100" w:type="dxa"/>
          </w:tcPr>
          <w:p w:rsidR="00021A5D" w:rsidRPr="00A97CEC" w:rsidRDefault="004D5163" w:rsidP="0068575C">
            <w:pPr>
              <w:pStyle w:val="TableText0"/>
              <w:jc w:val="left"/>
              <w:rPr>
                <w:szCs w:val="20"/>
              </w:rPr>
            </w:pPr>
            <w:r w:rsidRPr="00A97CEC">
              <w:rPr>
                <w:szCs w:val="20"/>
              </w:rPr>
              <w:t xml:space="preserve">The </w:t>
            </w:r>
            <w:r w:rsidR="00A91CE7" w:rsidRPr="00A97CEC">
              <w:rPr>
                <w:szCs w:val="20"/>
              </w:rPr>
              <w:t xml:space="preserve">minor resubmission stated that the </w:t>
            </w:r>
            <w:r w:rsidRPr="00A97CEC">
              <w:rPr>
                <w:szCs w:val="20"/>
              </w:rPr>
              <w:t>model used KM</w:t>
            </w:r>
            <w:r w:rsidR="00021A5D" w:rsidRPr="00A97CEC">
              <w:rPr>
                <w:szCs w:val="20"/>
              </w:rPr>
              <w:t xml:space="preserve"> results up to the median duration of follow up of 97 weeks.</w:t>
            </w:r>
            <w:r w:rsidR="00AE17BB" w:rsidRPr="00A97CEC">
              <w:rPr>
                <w:szCs w:val="20"/>
              </w:rPr>
              <w:t xml:space="preserve"> </w:t>
            </w:r>
            <w:r w:rsidR="00021A5D" w:rsidRPr="00A97CEC">
              <w:rPr>
                <w:szCs w:val="20"/>
              </w:rPr>
              <w:t xml:space="preserve">The start point of </w:t>
            </w:r>
            <w:r w:rsidR="00021A5D" w:rsidRPr="00A97CEC">
              <w:t>the goodness of fit comparison</w:t>
            </w:r>
            <w:r w:rsidR="00021A5D" w:rsidRPr="00A97CEC">
              <w:rPr>
                <w:szCs w:val="20"/>
              </w:rPr>
              <w:t xml:space="preserve"> for the extrapolation is:</w:t>
            </w:r>
          </w:p>
          <w:p w:rsidR="00021A5D" w:rsidRPr="00A97CEC" w:rsidRDefault="00021A5D" w:rsidP="0068575C">
            <w:pPr>
              <w:pStyle w:val="TableText0"/>
              <w:jc w:val="left"/>
              <w:rPr>
                <w:szCs w:val="20"/>
              </w:rPr>
            </w:pPr>
            <w:r w:rsidRPr="00A97CEC">
              <w:rPr>
                <w:szCs w:val="20"/>
              </w:rPr>
              <w:t>PFS: week 9</w:t>
            </w:r>
          </w:p>
          <w:p w:rsidR="00021A5D" w:rsidRPr="00A97CEC" w:rsidRDefault="00021A5D" w:rsidP="0068575C">
            <w:pPr>
              <w:pStyle w:val="TableText0"/>
              <w:jc w:val="left"/>
              <w:rPr>
                <w:szCs w:val="20"/>
              </w:rPr>
            </w:pPr>
            <w:r w:rsidRPr="00A97CEC">
              <w:rPr>
                <w:szCs w:val="20"/>
              </w:rPr>
              <w:t>OS: week zero</w:t>
            </w:r>
          </w:p>
          <w:p w:rsidR="004834F8" w:rsidRPr="00A97CEC" w:rsidRDefault="00CF1ECF" w:rsidP="00982397">
            <w:pPr>
              <w:pStyle w:val="TableText0"/>
              <w:jc w:val="left"/>
              <w:rPr>
                <w:szCs w:val="20"/>
              </w:rPr>
            </w:pPr>
            <w:r w:rsidRPr="00A97CEC">
              <w:rPr>
                <w:szCs w:val="20"/>
              </w:rPr>
              <w:t>The minor resubmission stated that the first radiologic tumour response assessment was performed at week 9 in KN-024, and that</w:t>
            </w:r>
            <w:r w:rsidR="00AE17BB" w:rsidRPr="00A97CEC">
              <w:rPr>
                <w:szCs w:val="20"/>
              </w:rPr>
              <w:t>,</w:t>
            </w:r>
            <w:r w:rsidRPr="00A97CEC">
              <w:rPr>
                <w:szCs w:val="20"/>
              </w:rPr>
              <w:t xml:space="preserve"> as data were not available prior to week 9, parametric functions were fitted from week 9 onwards for PFS. </w:t>
            </w:r>
            <w:r w:rsidR="00ED0A7C" w:rsidRPr="00A97CEC">
              <w:rPr>
                <w:szCs w:val="20"/>
              </w:rPr>
              <w:t>However, the workbook provided with the minor resubmission showed that PFS data were available prior to week 9. Approximately a third of patients were observed to have progressed by week 9. The exclusion of KM results prior to week 9 is inconsistent with the PBAC’s advice and does not appear to be adequately justified.</w:t>
            </w:r>
            <w:r w:rsidR="00AE17BB" w:rsidRPr="00A97CEC">
              <w:rPr>
                <w:szCs w:val="20"/>
              </w:rPr>
              <w:t xml:space="preserve"> A distinction may have to be drawn between when the event occurred, and when the event was confirmed (ie a progression event confirmed not to be a pseudo-progression event).</w:t>
            </w:r>
          </w:p>
        </w:tc>
      </w:tr>
      <w:tr w:rsidR="00D019BA" w:rsidRPr="00A85136" w:rsidTr="00360FED">
        <w:tc>
          <w:tcPr>
            <w:tcW w:w="1162" w:type="dxa"/>
          </w:tcPr>
          <w:p w:rsidR="00021A5D" w:rsidRPr="00A97CEC" w:rsidRDefault="00021A5D" w:rsidP="0068575C">
            <w:pPr>
              <w:pStyle w:val="TableText0"/>
              <w:jc w:val="left"/>
              <w:rPr>
                <w:szCs w:val="20"/>
              </w:rPr>
            </w:pPr>
            <w:r w:rsidRPr="00A97CEC">
              <w:rPr>
                <w:szCs w:val="20"/>
              </w:rPr>
              <w:t>Extrapolation</w:t>
            </w:r>
          </w:p>
        </w:tc>
        <w:tc>
          <w:tcPr>
            <w:tcW w:w="2127" w:type="dxa"/>
          </w:tcPr>
          <w:p w:rsidR="0068575C" w:rsidRPr="00A97CEC" w:rsidRDefault="00021A5D" w:rsidP="00565275">
            <w:pPr>
              <w:pStyle w:val="TableText0"/>
              <w:jc w:val="left"/>
              <w:rPr>
                <w:szCs w:val="20"/>
              </w:rPr>
            </w:pPr>
            <w:r w:rsidRPr="00A97CEC">
              <w:rPr>
                <w:szCs w:val="20"/>
              </w:rPr>
              <w:t xml:space="preserve">PFS: </w:t>
            </w:r>
          </w:p>
          <w:p w:rsidR="00021A5D" w:rsidRPr="00A97CEC" w:rsidRDefault="00021A5D" w:rsidP="0068575C">
            <w:pPr>
              <w:pStyle w:val="TableText0"/>
              <w:jc w:val="left"/>
              <w:rPr>
                <w:szCs w:val="20"/>
              </w:rPr>
            </w:pPr>
            <w:r w:rsidRPr="00A97CEC">
              <w:rPr>
                <w:szCs w:val="20"/>
              </w:rPr>
              <w:t>Pembro</w:t>
            </w:r>
            <w:r w:rsidR="0068575C" w:rsidRPr="00A97CEC">
              <w:rPr>
                <w:szCs w:val="20"/>
              </w:rPr>
              <w:t xml:space="preserve">lizumab: </w:t>
            </w:r>
            <w:r w:rsidRPr="00A97CEC">
              <w:rPr>
                <w:szCs w:val="20"/>
              </w:rPr>
              <w:t>exponential</w:t>
            </w:r>
          </w:p>
          <w:p w:rsidR="00021A5D" w:rsidRPr="00A97CEC" w:rsidRDefault="0068575C" w:rsidP="0068575C">
            <w:pPr>
              <w:pStyle w:val="TableText0"/>
              <w:jc w:val="left"/>
              <w:rPr>
                <w:szCs w:val="20"/>
              </w:rPr>
            </w:pPr>
            <w:r w:rsidRPr="00A97CEC">
              <w:rPr>
                <w:szCs w:val="20"/>
              </w:rPr>
              <w:t xml:space="preserve">Chemotherapy: </w:t>
            </w:r>
            <w:r w:rsidR="00AE17BB" w:rsidRPr="00A97CEC">
              <w:rPr>
                <w:szCs w:val="20"/>
              </w:rPr>
              <w:t>W</w:t>
            </w:r>
            <w:r w:rsidR="00021A5D" w:rsidRPr="00A97CEC">
              <w:rPr>
                <w:szCs w:val="20"/>
              </w:rPr>
              <w:t>eibull</w:t>
            </w:r>
          </w:p>
          <w:p w:rsidR="0068575C" w:rsidRPr="00A97CEC" w:rsidRDefault="00021A5D" w:rsidP="0068575C">
            <w:pPr>
              <w:pStyle w:val="TableText0"/>
              <w:jc w:val="left"/>
              <w:rPr>
                <w:szCs w:val="20"/>
              </w:rPr>
            </w:pPr>
            <w:r w:rsidRPr="00A97CEC">
              <w:rPr>
                <w:szCs w:val="20"/>
              </w:rPr>
              <w:t xml:space="preserve">OS: </w:t>
            </w:r>
          </w:p>
          <w:p w:rsidR="00021A5D" w:rsidRPr="00A97CEC" w:rsidRDefault="00021A5D" w:rsidP="0068575C">
            <w:pPr>
              <w:pStyle w:val="TableText0"/>
              <w:jc w:val="left"/>
              <w:rPr>
                <w:szCs w:val="20"/>
              </w:rPr>
            </w:pPr>
            <w:r w:rsidRPr="00A97CEC">
              <w:rPr>
                <w:szCs w:val="20"/>
              </w:rPr>
              <w:t>Pembr</w:t>
            </w:r>
            <w:r w:rsidR="0068575C" w:rsidRPr="00A97CEC">
              <w:rPr>
                <w:szCs w:val="20"/>
              </w:rPr>
              <w:t xml:space="preserve">olizumab: </w:t>
            </w:r>
            <w:r w:rsidRPr="00A97CEC">
              <w:rPr>
                <w:szCs w:val="20"/>
              </w:rPr>
              <w:t>log-logistic</w:t>
            </w:r>
          </w:p>
          <w:p w:rsidR="00021A5D" w:rsidRPr="00A97CEC" w:rsidRDefault="0068575C" w:rsidP="0068575C">
            <w:pPr>
              <w:pStyle w:val="TableText0"/>
              <w:jc w:val="left"/>
              <w:rPr>
                <w:rFonts w:eastAsia="Times New Roman"/>
                <w:szCs w:val="20"/>
              </w:rPr>
            </w:pPr>
            <w:r w:rsidRPr="00A97CEC">
              <w:rPr>
                <w:szCs w:val="20"/>
              </w:rPr>
              <w:t>Chemotherapy: e</w:t>
            </w:r>
            <w:r w:rsidR="00021A5D" w:rsidRPr="00A97CEC">
              <w:rPr>
                <w:szCs w:val="20"/>
              </w:rPr>
              <w:t>xponential</w:t>
            </w:r>
          </w:p>
        </w:tc>
        <w:tc>
          <w:tcPr>
            <w:tcW w:w="2693" w:type="dxa"/>
          </w:tcPr>
          <w:p w:rsidR="00021A5D" w:rsidRPr="00A97CEC" w:rsidRDefault="00021A5D" w:rsidP="00565275">
            <w:pPr>
              <w:spacing w:before="40"/>
              <w:rPr>
                <w:rFonts w:ascii="Arial Narrow" w:hAnsi="Arial Narrow"/>
                <w:sz w:val="20"/>
              </w:rPr>
            </w:pPr>
            <w:r w:rsidRPr="00A97CEC">
              <w:rPr>
                <w:rFonts w:ascii="Arial Narrow" w:hAnsi="Arial Narrow"/>
                <w:sz w:val="20"/>
              </w:rPr>
              <w:t>The PBAC advised that the base case of the economic model would need to be respecified to</w:t>
            </w:r>
            <w:r w:rsidR="00B105BA" w:rsidRPr="00A97CEC">
              <w:rPr>
                <w:rFonts w:ascii="Arial Narrow" w:hAnsi="Arial Narrow"/>
                <w:sz w:val="20"/>
              </w:rPr>
              <w:t xml:space="preserve"> apply</w:t>
            </w:r>
            <w:r w:rsidRPr="00A97CEC">
              <w:rPr>
                <w:rFonts w:ascii="Arial Narrow" w:hAnsi="Arial Narrow"/>
                <w:sz w:val="20"/>
              </w:rPr>
              <w:t>:</w:t>
            </w:r>
          </w:p>
          <w:p w:rsidR="00021A5D" w:rsidRPr="00A97CEC" w:rsidRDefault="00021A5D" w:rsidP="0068575C">
            <w:pPr>
              <w:pStyle w:val="ListParagraph"/>
              <w:widowControl/>
              <w:numPr>
                <w:ilvl w:val="0"/>
                <w:numId w:val="17"/>
              </w:numPr>
              <w:ind w:left="114" w:hanging="114"/>
              <w:jc w:val="left"/>
              <w:rPr>
                <w:rFonts w:ascii="Arial Narrow" w:hAnsi="Arial Narrow"/>
                <w:sz w:val="20"/>
              </w:rPr>
            </w:pPr>
            <w:r w:rsidRPr="00A97CEC">
              <w:rPr>
                <w:rFonts w:ascii="Arial Narrow" w:hAnsi="Arial Narrow"/>
                <w:sz w:val="20"/>
              </w:rPr>
              <w:t>the same extrapolation function between treatment arms for both PFS and OS;</w:t>
            </w:r>
          </w:p>
          <w:p w:rsidR="00021A5D" w:rsidRPr="00A97CEC" w:rsidRDefault="00021A5D" w:rsidP="0068575C">
            <w:pPr>
              <w:pStyle w:val="ListParagraph"/>
              <w:widowControl/>
              <w:numPr>
                <w:ilvl w:val="0"/>
                <w:numId w:val="17"/>
              </w:numPr>
              <w:ind w:left="114" w:hanging="114"/>
              <w:jc w:val="left"/>
              <w:rPr>
                <w:rFonts w:ascii="Arial Narrow" w:hAnsi="Arial Narrow"/>
                <w:sz w:val="20"/>
              </w:rPr>
            </w:pPr>
            <w:r w:rsidRPr="00A97CEC">
              <w:rPr>
                <w:rFonts w:ascii="Arial Narrow" w:hAnsi="Arial Narrow"/>
                <w:sz w:val="20"/>
              </w:rPr>
              <w:t>a conservative set of extrapolation curves after the median duration of follow-up that take into account the remaining uncertainty in the magnitude of PFS and OS benefit.</w:t>
            </w:r>
          </w:p>
        </w:tc>
        <w:tc>
          <w:tcPr>
            <w:tcW w:w="3100" w:type="dxa"/>
            <w:shd w:val="clear" w:color="auto" w:fill="auto"/>
          </w:tcPr>
          <w:p w:rsidR="00021A5D" w:rsidRPr="00A97CEC" w:rsidRDefault="00021A5D" w:rsidP="00565275">
            <w:pPr>
              <w:pStyle w:val="TableText0"/>
              <w:jc w:val="left"/>
              <w:rPr>
                <w:szCs w:val="20"/>
              </w:rPr>
            </w:pPr>
            <w:r w:rsidRPr="00A97CEC">
              <w:rPr>
                <w:szCs w:val="20"/>
              </w:rPr>
              <w:t>PFS: exponential (both arms)</w:t>
            </w:r>
          </w:p>
          <w:p w:rsidR="004834F8" w:rsidRPr="00A97CEC" w:rsidRDefault="00021A5D" w:rsidP="004834F8">
            <w:pPr>
              <w:pStyle w:val="TableText0"/>
              <w:jc w:val="left"/>
              <w:rPr>
                <w:szCs w:val="20"/>
              </w:rPr>
            </w:pPr>
            <w:r w:rsidRPr="00A97CEC">
              <w:rPr>
                <w:szCs w:val="20"/>
              </w:rPr>
              <w:t>OS: exponential (both arms)</w:t>
            </w:r>
          </w:p>
        </w:tc>
      </w:tr>
      <w:tr w:rsidR="00D019BA" w:rsidRPr="00A85136" w:rsidTr="00360FED">
        <w:tc>
          <w:tcPr>
            <w:tcW w:w="1162" w:type="dxa"/>
          </w:tcPr>
          <w:p w:rsidR="00021A5D" w:rsidRPr="00A97CEC" w:rsidRDefault="00021A5D" w:rsidP="0068575C">
            <w:pPr>
              <w:pStyle w:val="TableText0"/>
              <w:jc w:val="left"/>
              <w:rPr>
                <w:szCs w:val="20"/>
              </w:rPr>
            </w:pPr>
            <w:r w:rsidRPr="00A97CEC">
              <w:rPr>
                <w:szCs w:val="20"/>
              </w:rPr>
              <w:t>Convergence</w:t>
            </w:r>
          </w:p>
        </w:tc>
        <w:tc>
          <w:tcPr>
            <w:tcW w:w="2127" w:type="dxa"/>
          </w:tcPr>
          <w:p w:rsidR="00021A5D" w:rsidRPr="00A97CEC" w:rsidRDefault="00021A5D" w:rsidP="0068575C">
            <w:pPr>
              <w:pStyle w:val="TableText0"/>
              <w:jc w:val="left"/>
              <w:rPr>
                <w:szCs w:val="20"/>
              </w:rPr>
            </w:pPr>
            <w:r w:rsidRPr="00A97CEC">
              <w:rPr>
                <w:szCs w:val="20"/>
              </w:rPr>
              <w:t xml:space="preserve">No convergence of modelled survival curves. </w:t>
            </w:r>
          </w:p>
        </w:tc>
        <w:tc>
          <w:tcPr>
            <w:tcW w:w="2693" w:type="dxa"/>
          </w:tcPr>
          <w:p w:rsidR="00021A5D" w:rsidRPr="00A97CEC" w:rsidRDefault="00021A5D" w:rsidP="00565275">
            <w:pPr>
              <w:spacing w:before="40"/>
              <w:rPr>
                <w:lang w:eastAsia="en-US"/>
              </w:rPr>
            </w:pPr>
            <w:r w:rsidRPr="00A97CEC">
              <w:rPr>
                <w:rFonts w:ascii="Arial Narrow" w:hAnsi="Arial Narrow"/>
                <w:sz w:val="20"/>
              </w:rPr>
              <w:t>The PBAC advised that the base case of the economic model would need to converge the extrapolation curves to the base case time horizon of 7.5 years.</w:t>
            </w:r>
          </w:p>
        </w:tc>
        <w:tc>
          <w:tcPr>
            <w:tcW w:w="3100" w:type="dxa"/>
          </w:tcPr>
          <w:p w:rsidR="00021A5D" w:rsidRPr="00A97CEC" w:rsidRDefault="00021A5D" w:rsidP="0068575C">
            <w:pPr>
              <w:pStyle w:val="TableText0"/>
              <w:jc w:val="left"/>
              <w:rPr>
                <w:szCs w:val="20"/>
              </w:rPr>
            </w:pPr>
            <w:r w:rsidRPr="00A97CEC">
              <w:rPr>
                <w:szCs w:val="20"/>
              </w:rPr>
              <w:t>From year 5 (week 260) a proportional adjustment was made to the survival probabilities, to converge the modelled curves at 7.5 years (week 390).</w:t>
            </w:r>
          </w:p>
        </w:tc>
      </w:tr>
      <w:tr w:rsidR="00D019BA" w:rsidRPr="00A85136" w:rsidTr="00360FED">
        <w:tc>
          <w:tcPr>
            <w:tcW w:w="1162" w:type="dxa"/>
          </w:tcPr>
          <w:p w:rsidR="00021A5D" w:rsidRPr="00A97CEC" w:rsidRDefault="00021A5D" w:rsidP="0068575C">
            <w:pPr>
              <w:pStyle w:val="TableText0"/>
              <w:jc w:val="left"/>
              <w:rPr>
                <w:szCs w:val="20"/>
              </w:rPr>
            </w:pPr>
            <w:r w:rsidRPr="00A97CEC">
              <w:rPr>
                <w:szCs w:val="20"/>
              </w:rPr>
              <w:t>Drug acquisition costs</w:t>
            </w:r>
          </w:p>
        </w:tc>
        <w:tc>
          <w:tcPr>
            <w:tcW w:w="2127" w:type="dxa"/>
          </w:tcPr>
          <w:p w:rsidR="00021A5D" w:rsidRPr="00A97CEC" w:rsidRDefault="00021A5D" w:rsidP="0068575C">
            <w:pPr>
              <w:pStyle w:val="TableText0"/>
              <w:jc w:val="left"/>
              <w:rPr>
                <w:szCs w:val="20"/>
              </w:rPr>
            </w:pPr>
            <w:r w:rsidRPr="00A97CEC">
              <w:rPr>
                <w:szCs w:val="20"/>
              </w:rPr>
              <w:t>Based on the proposed price for pembrolizumab and the PBS listed prices for chemotherapies at the time of the resubmission.</w:t>
            </w:r>
          </w:p>
        </w:tc>
        <w:tc>
          <w:tcPr>
            <w:tcW w:w="2693" w:type="dxa"/>
          </w:tcPr>
          <w:p w:rsidR="00021A5D" w:rsidRPr="00A97CEC" w:rsidRDefault="00021A5D" w:rsidP="0068575C">
            <w:pPr>
              <w:pStyle w:val="TableText0"/>
              <w:jc w:val="left"/>
              <w:rPr>
                <w:szCs w:val="20"/>
              </w:rPr>
            </w:pPr>
            <w:r w:rsidRPr="00A97CEC">
              <w:t>The PBAC considered that a further price reduction was required for any PBS listing of pembrolizumab to be acceptably cost-effective.</w:t>
            </w:r>
          </w:p>
        </w:tc>
        <w:tc>
          <w:tcPr>
            <w:tcW w:w="3100" w:type="dxa"/>
          </w:tcPr>
          <w:p w:rsidR="00021A5D" w:rsidRPr="00A97CEC" w:rsidRDefault="00B644A8" w:rsidP="00B644A8">
            <w:pPr>
              <w:pStyle w:val="TableText0"/>
              <w:jc w:val="left"/>
              <w:rPr>
                <w:szCs w:val="20"/>
              </w:rPr>
            </w:pPr>
            <w:r>
              <w:rPr>
                <w:szCs w:val="20"/>
              </w:rPr>
              <w:t>Rather than a price reduction, a</w:t>
            </w:r>
            <w:r w:rsidR="00021A5D" w:rsidRPr="00A97CEC">
              <w:rPr>
                <w:szCs w:val="20"/>
              </w:rPr>
              <w:t xml:space="preserve"> </w:t>
            </w:r>
            <w:r w:rsidR="00E964DA">
              <w:rPr>
                <w:noProof/>
                <w:color w:val="000000"/>
                <w:szCs w:val="20"/>
                <w:highlight w:val="black"/>
              </w:rPr>
              <w:t>''''''</w:t>
            </w:r>
            <w:r w:rsidR="00021A5D" w:rsidRPr="00A97CEC">
              <w:rPr>
                <w:szCs w:val="20"/>
              </w:rPr>
              <w:t xml:space="preserve">% rebate on the pembrolizumab cost was applied </w:t>
            </w:r>
            <w:r w:rsidR="00E964DA">
              <w:rPr>
                <w:noProof/>
                <w:color w:val="000000"/>
                <w:szCs w:val="20"/>
                <w:highlight w:val="black"/>
              </w:rPr>
              <w:t>'''''''''' ''''''''''''' '''''' '''' '''''''''' '''''''''''''''' '''''' ''''''''''''''''' ''''''''' '''''''''''''''''''''''' '''' ''''''''''' '''''''''''''''''''''</w:t>
            </w:r>
            <w:r w:rsidR="00021A5D" w:rsidRPr="00A97CEC">
              <w:rPr>
                <w:szCs w:val="20"/>
              </w:rPr>
              <w:t>).</w:t>
            </w:r>
          </w:p>
        </w:tc>
      </w:tr>
      <w:tr w:rsidR="00E53FD7" w:rsidRPr="00A85136" w:rsidTr="00360FED">
        <w:tc>
          <w:tcPr>
            <w:tcW w:w="1162" w:type="dxa"/>
            <w:vMerge w:val="restart"/>
          </w:tcPr>
          <w:p w:rsidR="00E53FD7" w:rsidRPr="00A97CEC" w:rsidRDefault="00E53FD7" w:rsidP="00E53FD7">
            <w:pPr>
              <w:pStyle w:val="TableText0"/>
              <w:jc w:val="left"/>
              <w:rPr>
                <w:b/>
                <w:szCs w:val="20"/>
              </w:rPr>
            </w:pPr>
            <w:bookmarkStart w:id="0" w:name="_GoBack" w:colFirst="2" w:colLast="2"/>
            <w:r w:rsidRPr="00A97CEC">
              <w:rPr>
                <w:b/>
                <w:szCs w:val="20"/>
              </w:rPr>
              <w:t>Remaining issues</w:t>
            </w:r>
          </w:p>
        </w:tc>
        <w:tc>
          <w:tcPr>
            <w:tcW w:w="4820" w:type="dxa"/>
            <w:gridSpan w:val="2"/>
            <w:vAlign w:val="center"/>
          </w:tcPr>
          <w:p w:rsidR="00E53FD7" w:rsidRPr="00A97CEC" w:rsidRDefault="00E53FD7" w:rsidP="00D019BA">
            <w:pPr>
              <w:pStyle w:val="TableText0"/>
              <w:jc w:val="center"/>
              <w:rPr>
                <w:b/>
                <w:szCs w:val="20"/>
              </w:rPr>
            </w:pPr>
            <w:r w:rsidRPr="00A97CEC">
              <w:rPr>
                <w:b/>
                <w:szCs w:val="20"/>
              </w:rPr>
              <w:t>November 2017</w:t>
            </w:r>
          </w:p>
        </w:tc>
        <w:tc>
          <w:tcPr>
            <w:tcW w:w="3100" w:type="dxa"/>
            <w:vMerge w:val="restart"/>
            <w:vAlign w:val="center"/>
          </w:tcPr>
          <w:p w:rsidR="00E53FD7" w:rsidRPr="00A97CEC" w:rsidRDefault="00E53FD7" w:rsidP="00A1267B">
            <w:pPr>
              <w:pStyle w:val="TableText0"/>
              <w:jc w:val="center"/>
              <w:rPr>
                <w:szCs w:val="20"/>
              </w:rPr>
            </w:pPr>
            <w:r w:rsidRPr="00A97CEC">
              <w:rPr>
                <w:b/>
                <w:szCs w:val="20"/>
              </w:rPr>
              <w:t>March 2018 minor resubmission</w:t>
            </w:r>
          </w:p>
        </w:tc>
      </w:tr>
      <w:bookmarkEnd w:id="0"/>
      <w:tr w:rsidR="00E53FD7" w:rsidRPr="00A85136" w:rsidTr="00360FED">
        <w:tc>
          <w:tcPr>
            <w:tcW w:w="1162" w:type="dxa"/>
            <w:vMerge/>
          </w:tcPr>
          <w:p w:rsidR="00E53FD7" w:rsidRPr="00A97CEC" w:rsidRDefault="00E53FD7" w:rsidP="0068575C">
            <w:pPr>
              <w:pStyle w:val="TableText0"/>
              <w:jc w:val="left"/>
              <w:rPr>
                <w:b/>
                <w:szCs w:val="20"/>
              </w:rPr>
            </w:pPr>
          </w:p>
        </w:tc>
        <w:tc>
          <w:tcPr>
            <w:tcW w:w="2127" w:type="dxa"/>
            <w:vAlign w:val="center"/>
          </w:tcPr>
          <w:p w:rsidR="00E53FD7" w:rsidRPr="00A97CEC" w:rsidRDefault="00E53FD7" w:rsidP="00D019BA">
            <w:pPr>
              <w:pStyle w:val="TableText0"/>
              <w:jc w:val="center"/>
              <w:rPr>
                <w:b/>
                <w:szCs w:val="20"/>
              </w:rPr>
            </w:pPr>
            <w:r w:rsidRPr="00A97CEC">
              <w:rPr>
                <w:b/>
                <w:szCs w:val="20"/>
              </w:rPr>
              <w:t>Major resubmission</w:t>
            </w:r>
          </w:p>
        </w:tc>
        <w:tc>
          <w:tcPr>
            <w:tcW w:w="2693" w:type="dxa"/>
            <w:vAlign w:val="center"/>
          </w:tcPr>
          <w:p w:rsidR="00E53FD7" w:rsidRPr="00A97CEC" w:rsidRDefault="00E53FD7" w:rsidP="00D019BA">
            <w:pPr>
              <w:pStyle w:val="TableText0"/>
              <w:jc w:val="center"/>
              <w:rPr>
                <w:b/>
                <w:szCs w:val="20"/>
              </w:rPr>
            </w:pPr>
            <w:r w:rsidRPr="00A97CEC">
              <w:rPr>
                <w:b/>
                <w:szCs w:val="20"/>
              </w:rPr>
              <w:t>PBAC comments</w:t>
            </w:r>
          </w:p>
        </w:tc>
        <w:tc>
          <w:tcPr>
            <w:tcW w:w="3100" w:type="dxa"/>
            <w:vMerge/>
          </w:tcPr>
          <w:p w:rsidR="00E53FD7" w:rsidRPr="00A97CEC" w:rsidRDefault="00E53FD7" w:rsidP="0068575C">
            <w:pPr>
              <w:pStyle w:val="TableText0"/>
              <w:jc w:val="left"/>
              <w:rPr>
                <w:b/>
                <w:szCs w:val="20"/>
              </w:rPr>
            </w:pPr>
          </w:p>
        </w:tc>
      </w:tr>
      <w:tr w:rsidR="00987F0D" w:rsidRPr="00A85136" w:rsidTr="00360FED">
        <w:tc>
          <w:tcPr>
            <w:tcW w:w="1162" w:type="dxa"/>
          </w:tcPr>
          <w:p w:rsidR="00987F0D" w:rsidRPr="00A97CEC" w:rsidRDefault="00851F1E" w:rsidP="00851F1E">
            <w:pPr>
              <w:pStyle w:val="TableText0"/>
              <w:jc w:val="left"/>
              <w:rPr>
                <w:szCs w:val="20"/>
              </w:rPr>
            </w:pPr>
            <w:r w:rsidRPr="00A97CEC">
              <w:rPr>
                <w:szCs w:val="20"/>
              </w:rPr>
              <w:t>Cost of second-</w:t>
            </w:r>
            <w:r w:rsidR="00987F0D" w:rsidRPr="00A97CEC">
              <w:rPr>
                <w:szCs w:val="20"/>
              </w:rPr>
              <w:t>line nivolumab</w:t>
            </w:r>
          </w:p>
        </w:tc>
        <w:tc>
          <w:tcPr>
            <w:tcW w:w="2127" w:type="dxa"/>
          </w:tcPr>
          <w:p w:rsidR="00987F0D" w:rsidRPr="00A97CEC" w:rsidRDefault="00A61312" w:rsidP="00565275">
            <w:pPr>
              <w:pStyle w:val="TableText0"/>
              <w:jc w:val="left"/>
            </w:pPr>
            <w:r w:rsidRPr="00A97CEC">
              <w:t xml:space="preserve">The resubmission assumed that patients would receive </w:t>
            </w:r>
            <w:r w:rsidR="00E964DA">
              <w:rPr>
                <w:noProof/>
                <w:color w:val="000000"/>
                <w:highlight w:val="black"/>
              </w:rPr>
              <w:t>'''''</w:t>
            </w:r>
            <w:r w:rsidRPr="00A97CEC">
              <w:t xml:space="preserve"> 2-week cycles (approximately </w:t>
            </w:r>
            <w:r w:rsidR="00E964DA">
              <w:rPr>
                <w:noProof/>
                <w:color w:val="000000"/>
                <w:highlight w:val="black"/>
              </w:rPr>
              <w:t>''''''''</w:t>
            </w:r>
            <w:r w:rsidRPr="00A97CEC">
              <w:t xml:space="preserve"> months) of nivolumab treatment after they have failed first-line platinum-based doublet chemotherapy, based on the nivolumab </w:t>
            </w:r>
            <w:r w:rsidR="00F87320">
              <w:t>November 2016 PSD.</w:t>
            </w:r>
          </w:p>
          <w:p w:rsidR="00A61312" w:rsidRPr="00A97CEC" w:rsidRDefault="00A61312" w:rsidP="00A61312">
            <w:pPr>
              <w:pStyle w:val="TableText0"/>
              <w:jc w:val="left"/>
              <w:rPr>
                <w:szCs w:val="20"/>
              </w:rPr>
            </w:pPr>
            <w:r w:rsidRPr="00A97CEC">
              <w:t>The ESCs considered that the duration of second-line nivolumab following first-line platinum-based doublet chemotherapy was overestimated.</w:t>
            </w:r>
          </w:p>
        </w:tc>
        <w:tc>
          <w:tcPr>
            <w:tcW w:w="2693" w:type="dxa"/>
          </w:tcPr>
          <w:p w:rsidR="00987F0D" w:rsidRPr="00A97CEC" w:rsidRDefault="00987F0D" w:rsidP="00565275">
            <w:pPr>
              <w:spacing w:before="40"/>
              <w:rPr>
                <w:rFonts w:ascii="Arial Narrow" w:hAnsi="Arial Narrow"/>
                <w:sz w:val="20"/>
              </w:rPr>
            </w:pPr>
            <w:r w:rsidRPr="00A97CEC">
              <w:rPr>
                <w:rFonts w:ascii="Arial Narrow" w:hAnsi="Arial Narrow"/>
                <w:sz w:val="20"/>
              </w:rPr>
              <w:t>The PBAC advised that the base case of the economic model would need to be respecified to:</w:t>
            </w:r>
          </w:p>
          <w:p w:rsidR="00987F0D" w:rsidRPr="00A97CEC" w:rsidRDefault="00987F0D" w:rsidP="00987F0D">
            <w:pPr>
              <w:pStyle w:val="ListParagraph"/>
              <w:widowControl/>
              <w:numPr>
                <w:ilvl w:val="0"/>
                <w:numId w:val="17"/>
              </w:numPr>
              <w:ind w:left="114" w:hanging="114"/>
              <w:jc w:val="left"/>
              <w:rPr>
                <w:rFonts w:ascii="Arial Narrow" w:hAnsi="Arial Narrow"/>
                <w:sz w:val="20"/>
              </w:rPr>
            </w:pPr>
            <w:r w:rsidRPr="00A97CEC">
              <w:rPr>
                <w:rFonts w:ascii="Arial Narrow" w:hAnsi="Arial Narrow"/>
                <w:sz w:val="20"/>
              </w:rPr>
              <w:t>estimate the duration of post-chemotherapy nivolumab use following the approach advised by the ESCs; and</w:t>
            </w:r>
          </w:p>
          <w:p w:rsidR="00987F0D" w:rsidRPr="00A97CEC" w:rsidRDefault="00987F0D" w:rsidP="00987F0D">
            <w:pPr>
              <w:pStyle w:val="ListParagraph"/>
              <w:widowControl/>
              <w:numPr>
                <w:ilvl w:val="0"/>
                <w:numId w:val="17"/>
              </w:numPr>
              <w:ind w:left="114" w:hanging="114"/>
              <w:jc w:val="left"/>
              <w:rPr>
                <w:rFonts w:ascii="Arial Narrow" w:hAnsi="Arial Narrow"/>
                <w:sz w:val="20"/>
              </w:rPr>
            </w:pPr>
            <w:r w:rsidRPr="00A97CEC">
              <w:rPr>
                <w:rFonts w:ascii="Arial Narrow" w:hAnsi="Arial Narrow"/>
                <w:sz w:val="20"/>
              </w:rPr>
              <w:t>incorporate the effective price of nivolumab (in the case where pembrolizumab receives a positive PBAC recommendation so that the Deed of Agreement for nivolumab can then be disclosed to the sponsor of pembrolizumab).</w:t>
            </w:r>
          </w:p>
        </w:tc>
        <w:tc>
          <w:tcPr>
            <w:tcW w:w="3100" w:type="dxa"/>
          </w:tcPr>
          <w:p w:rsidR="00987F0D" w:rsidRPr="00A97CEC" w:rsidRDefault="00987F0D" w:rsidP="00565275">
            <w:pPr>
              <w:spacing w:before="40"/>
              <w:rPr>
                <w:rFonts w:ascii="Arial Narrow" w:hAnsi="Arial Narrow"/>
                <w:sz w:val="20"/>
                <w:szCs w:val="20"/>
              </w:rPr>
            </w:pPr>
            <w:r w:rsidRPr="00A97CEC">
              <w:rPr>
                <w:rFonts w:ascii="Arial Narrow" w:hAnsi="Arial Narrow"/>
                <w:sz w:val="20"/>
                <w:szCs w:val="20"/>
              </w:rPr>
              <w:t>The minor resubmission stated that the sponsor agrees to incorporate the effective price of nivolumab if pembrolizumab receives a positive recommendation.</w:t>
            </w:r>
          </w:p>
          <w:p w:rsidR="00987F0D" w:rsidRPr="00A97CEC" w:rsidRDefault="00987F0D" w:rsidP="00560542">
            <w:pPr>
              <w:pStyle w:val="TableText0"/>
              <w:jc w:val="left"/>
              <w:rPr>
                <w:szCs w:val="20"/>
              </w:rPr>
            </w:pPr>
            <w:r w:rsidRPr="00A97CEC">
              <w:rPr>
                <w:szCs w:val="20"/>
              </w:rPr>
              <w:t>However, the minor resubmission argued that the ESC</w:t>
            </w:r>
            <w:r w:rsidR="00A91CE7" w:rsidRPr="00A97CEC">
              <w:rPr>
                <w:szCs w:val="20"/>
              </w:rPr>
              <w:t>s’ approach of using median PFS2</w:t>
            </w:r>
            <w:r w:rsidRPr="00A97CEC">
              <w:rPr>
                <w:szCs w:val="20"/>
              </w:rPr>
              <w:t xml:space="preserve"> – median PFS1 as the basis for the nivolumab treatment duration is not accurate</w:t>
            </w:r>
            <w:r w:rsidR="00560542" w:rsidRPr="00A97CEC">
              <w:rPr>
                <w:szCs w:val="20"/>
              </w:rPr>
              <w:t>, and so</w:t>
            </w:r>
            <w:r w:rsidRPr="00A97CEC">
              <w:rPr>
                <w:szCs w:val="20"/>
              </w:rPr>
              <w:t xml:space="preserve"> maintained the same approach to calculating the nivolumab treatment duration as per the November 2017 major resubmission.</w:t>
            </w:r>
          </w:p>
          <w:p w:rsidR="00560542" w:rsidRPr="00A97CEC" w:rsidRDefault="00560542" w:rsidP="00560542">
            <w:pPr>
              <w:pStyle w:val="TableText0"/>
              <w:jc w:val="left"/>
              <w:rPr>
                <w:szCs w:val="20"/>
              </w:rPr>
            </w:pPr>
            <w:r w:rsidRPr="00A97CEC">
              <w:rPr>
                <w:szCs w:val="20"/>
              </w:rPr>
              <w:t>The arguments were:</w:t>
            </w:r>
          </w:p>
          <w:p w:rsidR="00560542" w:rsidRPr="00A97CEC" w:rsidRDefault="00560542" w:rsidP="00560542">
            <w:pPr>
              <w:pStyle w:val="ListParagraph"/>
              <w:widowControl/>
              <w:numPr>
                <w:ilvl w:val="0"/>
                <w:numId w:val="17"/>
              </w:numPr>
              <w:ind w:left="114" w:hanging="114"/>
              <w:jc w:val="left"/>
              <w:rPr>
                <w:rFonts w:ascii="Arial Narrow" w:hAnsi="Arial Narrow"/>
                <w:sz w:val="20"/>
              </w:rPr>
            </w:pPr>
            <w:r w:rsidRPr="00A97CEC">
              <w:rPr>
                <w:rFonts w:ascii="Arial Narrow" w:hAnsi="Arial Narrow"/>
                <w:sz w:val="20"/>
              </w:rPr>
              <w:t>PFS2 was defined in KN-024 from an ITT perspective as including progression events (including deaths) occurring before initiation of second-line therapy, thus shortening the time period from randomisation to PFS2 event compared to a</w:t>
            </w:r>
            <w:r w:rsidR="0084167C" w:rsidRPr="00A97CEC">
              <w:rPr>
                <w:rFonts w:ascii="Arial Narrow" w:hAnsi="Arial Narrow"/>
                <w:sz w:val="20"/>
              </w:rPr>
              <w:t xml:space="preserve"> definition which only include</w:t>
            </w:r>
            <w:r w:rsidRPr="00A97CEC">
              <w:rPr>
                <w:rFonts w:ascii="Arial Narrow" w:hAnsi="Arial Narrow"/>
                <w:sz w:val="20"/>
              </w:rPr>
              <w:t xml:space="preserve"> progression events occurring after initiation of second-line therapy</w:t>
            </w:r>
            <w:r w:rsidR="001A56A0" w:rsidRPr="00A97CEC">
              <w:rPr>
                <w:rFonts w:ascii="Arial Narrow" w:hAnsi="Arial Narrow"/>
                <w:sz w:val="20"/>
              </w:rPr>
              <w:t>. This is reasonable.</w:t>
            </w:r>
          </w:p>
          <w:p w:rsidR="001A56A0" w:rsidRPr="00A97CEC" w:rsidRDefault="001A56A0" w:rsidP="00D057D1">
            <w:pPr>
              <w:pStyle w:val="ListParagraph"/>
              <w:widowControl/>
              <w:numPr>
                <w:ilvl w:val="0"/>
                <w:numId w:val="17"/>
              </w:numPr>
              <w:ind w:left="114" w:hanging="114"/>
              <w:jc w:val="left"/>
              <w:rPr>
                <w:rFonts w:ascii="Arial Narrow" w:hAnsi="Arial Narrow"/>
                <w:sz w:val="20"/>
              </w:rPr>
            </w:pPr>
            <w:r w:rsidRPr="00A97CEC">
              <w:rPr>
                <w:rFonts w:ascii="Arial Narrow" w:hAnsi="Arial Narrow"/>
                <w:sz w:val="20"/>
              </w:rPr>
              <w:t>The mean is preferred to the median when estimating length of treatment</w:t>
            </w:r>
            <w:r w:rsidR="00D057D1" w:rsidRPr="00A97CEC">
              <w:rPr>
                <w:rFonts w:ascii="Arial Narrow" w:hAnsi="Arial Narrow"/>
                <w:sz w:val="20"/>
              </w:rPr>
              <w:t xml:space="preserve"> and the truncated mean, which underestimates the overall mean, is a conservative approach when estimating cost offsets. This is reasonable.</w:t>
            </w:r>
          </w:p>
          <w:p w:rsidR="00D057D1" w:rsidRPr="00A97CEC" w:rsidRDefault="00D057D1" w:rsidP="00B65D50">
            <w:pPr>
              <w:pStyle w:val="ListParagraph"/>
              <w:widowControl/>
              <w:numPr>
                <w:ilvl w:val="0"/>
                <w:numId w:val="17"/>
              </w:numPr>
              <w:ind w:left="114" w:hanging="114"/>
              <w:jc w:val="left"/>
              <w:rPr>
                <w:rFonts w:ascii="Arial Narrow" w:hAnsi="Arial Narrow"/>
                <w:sz w:val="20"/>
              </w:rPr>
            </w:pPr>
            <w:r w:rsidRPr="00A97CEC">
              <w:rPr>
                <w:rFonts w:ascii="Arial Narrow" w:hAnsi="Arial Narrow"/>
                <w:sz w:val="20"/>
              </w:rPr>
              <w:t xml:space="preserve">Treatment duration would be longer in patients whose </w:t>
            </w:r>
            <w:r w:rsidR="00873AF7" w:rsidRPr="00A97CEC">
              <w:rPr>
                <w:rFonts w:ascii="Arial Narrow" w:hAnsi="Arial Narrow"/>
                <w:sz w:val="20"/>
              </w:rPr>
              <w:t xml:space="preserve">NSCLC </w:t>
            </w:r>
            <w:r w:rsidRPr="00A97CEC">
              <w:rPr>
                <w:rFonts w:ascii="Arial Narrow" w:hAnsi="Arial Narrow"/>
                <w:sz w:val="20"/>
              </w:rPr>
              <w:t>tumours strongly express PD-L1</w:t>
            </w:r>
            <w:r w:rsidR="00B65D50">
              <w:rPr>
                <w:rFonts w:ascii="Arial Narrow" w:hAnsi="Arial Narrow"/>
                <w:sz w:val="20"/>
              </w:rPr>
              <w:t>, supported by observational data from a US post-market database</w:t>
            </w:r>
            <w:r w:rsidRPr="00A97CEC">
              <w:rPr>
                <w:rFonts w:ascii="Arial Narrow" w:hAnsi="Arial Narrow"/>
                <w:sz w:val="20"/>
              </w:rPr>
              <w:t>. This depends on whether it is accepted that PD-L1 status predicts treatment effect variation consistently across nivolumab and pembrolizumab</w:t>
            </w:r>
            <w:r w:rsidR="00873AF7" w:rsidRPr="00A97CEC">
              <w:rPr>
                <w:rFonts w:ascii="Arial Narrow" w:hAnsi="Arial Narrow"/>
                <w:sz w:val="20"/>
              </w:rPr>
              <w:t xml:space="preserve">, and thus a longer duration for second-line nivolumab treatment </w:t>
            </w:r>
            <w:r w:rsidR="00B65D50">
              <w:rPr>
                <w:rFonts w:ascii="Arial Narrow" w:hAnsi="Arial Narrow"/>
                <w:sz w:val="20"/>
              </w:rPr>
              <w:t>is reasonable</w:t>
            </w:r>
            <w:r w:rsidR="00873AF7" w:rsidRPr="00A97CEC">
              <w:rPr>
                <w:rFonts w:ascii="Arial Narrow" w:hAnsi="Arial Narrow"/>
                <w:sz w:val="20"/>
              </w:rPr>
              <w:t xml:space="preserve"> for this subgroup </w:t>
            </w:r>
            <w:r w:rsidR="00895DEA" w:rsidRPr="00A97CEC">
              <w:rPr>
                <w:rFonts w:ascii="Arial Narrow" w:hAnsi="Arial Narrow"/>
                <w:sz w:val="20"/>
              </w:rPr>
              <w:t>compared to all</w:t>
            </w:r>
            <w:r w:rsidR="00873AF7" w:rsidRPr="00A97CEC">
              <w:rPr>
                <w:rFonts w:ascii="Arial Narrow" w:hAnsi="Arial Narrow"/>
                <w:sz w:val="20"/>
              </w:rPr>
              <w:t xml:space="preserve"> patients who </w:t>
            </w:r>
            <w:r w:rsidR="00895DEA" w:rsidRPr="00A97CEC">
              <w:rPr>
                <w:rFonts w:ascii="Arial Narrow" w:hAnsi="Arial Narrow"/>
                <w:sz w:val="20"/>
              </w:rPr>
              <w:t>receive</w:t>
            </w:r>
            <w:r w:rsidR="00873AF7" w:rsidRPr="00A97CEC">
              <w:rPr>
                <w:rFonts w:ascii="Arial Narrow" w:hAnsi="Arial Narrow"/>
                <w:sz w:val="20"/>
              </w:rPr>
              <w:t xml:space="preserve"> </w:t>
            </w:r>
            <w:r w:rsidR="00895DEA" w:rsidRPr="00A97CEC">
              <w:rPr>
                <w:rFonts w:ascii="Arial Narrow" w:hAnsi="Arial Narrow"/>
                <w:sz w:val="20"/>
              </w:rPr>
              <w:t xml:space="preserve">PBS-subsidised </w:t>
            </w:r>
            <w:r w:rsidR="00873AF7" w:rsidRPr="00A97CEC">
              <w:rPr>
                <w:rFonts w:ascii="Arial Narrow" w:hAnsi="Arial Narrow"/>
                <w:sz w:val="20"/>
              </w:rPr>
              <w:t>nivolumab in second-line NSCLC</w:t>
            </w:r>
            <w:r w:rsidRPr="00A97CEC">
              <w:rPr>
                <w:rFonts w:ascii="Arial Narrow" w:hAnsi="Arial Narrow"/>
                <w:sz w:val="20"/>
              </w:rPr>
              <w:t>.</w:t>
            </w:r>
          </w:p>
        </w:tc>
      </w:tr>
    </w:tbl>
    <w:p w:rsidR="005963BB" w:rsidRPr="00891457" w:rsidRDefault="004D5163" w:rsidP="005368F5">
      <w:pPr>
        <w:pStyle w:val="TableFooter"/>
        <w:rPr>
          <w:rFonts w:eastAsiaTheme="minorHAnsi" w:cstheme="minorBidi"/>
          <w:szCs w:val="18"/>
        </w:rPr>
      </w:pPr>
      <w:r w:rsidRPr="00891457">
        <w:rPr>
          <w:rFonts w:eastAsiaTheme="minorHAnsi" w:cstheme="minorBidi"/>
          <w:szCs w:val="18"/>
        </w:rPr>
        <w:t>Abbreviations: KM=</w:t>
      </w:r>
      <w:r w:rsidRPr="00891457">
        <w:rPr>
          <w:szCs w:val="18"/>
        </w:rPr>
        <w:t xml:space="preserve">Kaplan-Meier; </w:t>
      </w:r>
      <w:r w:rsidR="00873AF7" w:rsidRPr="00891457">
        <w:rPr>
          <w:szCs w:val="18"/>
        </w:rPr>
        <w:t>PSCR=pre-Subcommittee Response</w:t>
      </w:r>
    </w:p>
    <w:p w:rsidR="0018636B" w:rsidRPr="008C6270" w:rsidRDefault="00A91CE7" w:rsidP="0018636B">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8C6270">
        <w:rPr>
          <w:rFonts w:asciiTheme="minorHAnsi" w:eastAsiaTheme="minorHAnsi" w:hAnsiTheme="minorHAnsi" w:cstheme="minorBidi"/>
          <w:snapToGrid/>
          <w:sz w:val="24"/>
          <w:szCs w:val="22"/>
        </w:rPr>
        <w:t>The KM data are the same in the workbook accompanying the November 2017 PSCR and the current minor resubmission. However, the PSCR stated that the median follow up was 25.2 months, whereas the minor resubmission stated that the median follow-up was 97 weeks (i.</w:t>
      </w:r>
      <w:r w:rsidR="008769DB" w:rsidRPr="008C6270">
        <w:rPr>
          <w:rFonts w:asciiTheme="minorHAnsi" w:eastAsiaTheme="minorHAnsi" w:hAnsiTheme="minorHAnsi" w:cstheme="minorBidi"/>
          <w:snapToGrid/>
          <w:sz w:val="24"/>
          <w:szCs w:val="22"/>
        </w:rPr>
        <w:t>e. 22.4 months). Without the Clinical Study Report</w:t>
      </w:r>
      <w:r w:rsidRPr="008C6270">
        <w:rPr>
          <w:rFonts w:asciiTheme="minorHAnsi" w:eastAsiaTheme="minorHAnsi" w:hAnsiTheme="minorHAnsi" w:cstheme="minorBidi"/>
          <w:snapToGrid/>
          <w:sz w:val="24"/>
          <w:szCs w:val="22"/>
        </w:rPr>
        <w:t xml:space="preserve"> for the final analysis</w:t>
      </w:r>
      <w:r w:rsidR="008769DB" w:rsidRPr="008C6270">
        <w:rPr>
          <w:rFonts w:asciiTheme="minorHAnsi" w:eastAsiaTheme="minorHAnsi" w:hAnsiTheme="minorHAnsi" w:cstheme="minorBidi"/>
          <w:snapToGrid/>
          <w:sz w:val="24"/>
          <w:szCs w:val="22"/>
        </w:rPr>
        <w:t xml:space="preserve"> of KN-024</w:t>
      </w:r>
      <w:r w:rsidRPr="008C6270">
        <w:rPr>
          <w:rFonts w:asciiTheme="minorHAnsi" w:eastAsiaTheme="minorHAnsi" w:hAnsiTheme="minorHAnsi" w:cstheme="minorBidi"/>
          <w:snapToGrid/>
          <w:sz w:val="24"/>
          <w:szCs w:val="22"/>
        </w:rPr>
        <w:t xml:space="preserve"> it</w:t>
      </w:r>
      <w:r w:rsidR="00AE17BB" w:rsidRPr="008C6270">
        <w:rPr>
          <w:rFonts w:asciiTheme="minorHAnsi" w:eastAsiaTheme="minorHAnsi" w:hAnsiTheme="minorHAnsi" w:cstheme="minorBidi"/>
          <w:snapToGrid/>
          <w:sz w:val="24"/>
          <w:szCs w:val="22"/>
        </w:rPr>
        <w:t xml:space="preserve"> wa</w:t>
      </w:r>
      <w:r w:rsidRPr="008C6270">
        <w:rPr>
          <w:rFonts w:asciiTheme="minorHAnsi" w:eastAsiaTheme="minorHAnsi" w:hAnsiTheme="minorHAnsi" w:cstheme="minorBidi"/>
          <w:snapToGrid/>
          <w:sz w:val="24"/>
          <w:szCs w:val="22"/>
        </w:rPr>
        <w:t xml:space="preserve">s not clear </w:t>
      </w:r>
      <w:r w:rsidR="0018636B" w:rsidRPr="008C6270">
        <w:rPr>
          <w:rFonts w:asciiTheme="minorHAnsi" w:eastAsiaTheme="minorHAnsi" w:hAnsiTheme="minorHAnsi" w:cstheme="minorBidi"/>
          <w:snapToGrid/>
          <w:sz w:val="24"/>
          <w:szCs w:val="22"/>
        </w:rPr>
        <w:t xml:space="preserve">during the evaluation </w:t>
      </w:r>
      <w:r w:rsidRPr="008C6270">
        <w:rPr>
          <w:rFonts w:asciiTheme="minorHAnsi" w:eastAsiaTheme="minorHAnsi" w:hAnsiTheme="minorHAnsi" w:cstheme="minorBidi"/>
          <w:snapToGrid/>
          <w:sz w:val="24"/>
          <w:szCs w:val="22"/>
        </w:rPr>
        <w:t xml:space="preserve">which </w:t>
      </w:r>
      <w:r w:rsidR="00891457">
        <w:rPr>
          <w:rFonts w:asciiTheme="minorHAnsi" w:eastAsiaTheme="minorHAnsi" w:hAnsiTheme="minorHAnsi" w:cstheme="minorBidi"/>
          <w:snapToGrid/>
          <w:sz w:val="24"/>
          <w:szCs w:val="22"/>
        </w:rPr>
        <w:t>was</w:t>
      </w:r>
      <w:r w:rsidR="00891457" w:rsidRPr="008C6270">
        <w:rPr>
          <w:rFonts w:asciiTheme="minorHAnsi" w:eastAsiaTheme="minorHAnsi" w:hAnsiTheme="minorHAnsi" w:cstheme="minorBidi"/>
          <w:snapToGrid/>
          <w:sz w:val="24"/>
          <w:szCs w:val="22"/>
        </w:rPr>
        <w:t xml:space="preserve"> </w:t>
      </w:r>
      <w:r w:rsidRPr="008C6270">
        <w:rPr>
          <w:rFonts w:asciiTheme="minorHAnsi" w:eastAsiaTheme="minorHAnsi" w:hAnsiTheme="minorHAnsi" w:cstheme="minorBidi"/>
          <w:snapToGrid/>
          <w:sz w:val="24"/>
          <w:szCs w:val="22"/>
        </w:rPr>
        <w:t xml:space="preserve">correct. </w:t>
      </w:r>
      <w:r w:rsidR="0018636B" w:rsidRPr="008C6270">
        <w:rPr>
          <w:rFonts w:asciiTheme="minorHAnsi" w:eastAsiaTheme="minorHAnsi" w:hAnsiTheme="minorHAnsi" w:cstheme="minorBidi"/>
          <w:snapToGrid/>
          <w:sz w:val="24"/>
          <w:szCs w:val="22"/>
        </w:rPr>
        <w:t xml:space="preserve">The pre-PBAC response </w:t>
      </w:r>
      <w:r w:rsidR="009018EC">
        <w:rPr>
          <w:rFonts w:asciiTheme="minorHAnsi" w:eastAsiaTheme="minorHAnsi" w:hAnsiTheme="minorHAnsi" w:cstheme="minorBidi"/>
          <w:snapToGrid/>
          <w:sz w:val="24"/>
          <w:szCs w:val="22"/>
        </w:rPr>
        <w:t xml:space="preserve">following the minor resubmission </w:t>
      </w:r>
      <w:r w:rsidR="0018636B" w:rsidRPr="008C6270">
        <w:rPr>
          <w:rFonts w:asciiTheme="minorHAnsi" w:eastAsiaTheme="minorHAnsi" w:hAnsiTheme="minorHAnsi" w:cstheme="minorBidi"/>
          <w:snapToGrid/>
          <w:sz w:val="24"/>
          <w:szCs w:val="22"/>
        </w:rPr>
        <w:t>stated that, “data included in the economic model had a median follow-up of 25.2 months (107 weeks). Kaplan-Meier curves to 97 weeks were used because the data are too sparse beyond 97 weeks for stable estimation across modelled outcomes.”</w:t>
      </w:r>
    </w:p>
    <w:p w:rsidR="00D019BA" w:rsidRDefault="00D019BA" w:rsidP="00A34836">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Verification of the stepped economic analyses conducted by the minor r</w:t>
      </w:r>
      <w:r w:rsidR="00AE17BB">
        <w:rPr>
          <w:rFonts w:asciiTheme="minorHAnsi" w:eastAsiaTheme="minorHAnsi" w:hAnsiTheme="minorHAnsi" w:cstheme="minorBidi"/>
          <w:snapToGrid/>
          <w:sz w:val="24"/>
          <w:szCs w:val="22"/>
        </w:rPr>
        <w:t>esubmission is presented below.</w:t>
      </w:r>
    </w:p>
    <w:p w:rsidR="005012E1" w:rsidRPr="000F0233" w:rsidRDefault="005012E1" w:rsidP="006C4A8E">
      <w:pPr>
        <w:pStyle w:val="Caption"/>
        <w:keepNext/>
        <w:spacing w:after="0"/>
        <w:rPr>
          <w:rStyle w:val="CommentReference"/>
          <w:rFonts w:ascii="Arial Narrow" w:hAnsi="Arial Narrow"/>
          <w:color w:val="auto"/>
          <w:sz w:val="20"/>
          <w:szCs w:val="20"/>
        </w:rPr>
      </w:pPr>
      <w:r w:rsidRPr="000F0233">
        <w:rPr>
          <w:rStyle w:val="CommentReference"/>
          <w:rFonts w:ascii="Arial Narrow" w:hAnsi="Arial Narrow"/>
          <w:color w:val="auto"/>
          <w:sz w:val="20"/>
          <w:szCs w:val="20"/>
        </w:rPr>
        <w:t xml:space="preserve">Table </w:t>
      </w:r>
      <w:r w:rsidR="006C6CBE">
        <w:rPr>
          <w:rStyle w:val="CommentReference"/>
          <w:rFonts w:ascii="Arial Narrow" w:hAnsi="Arial Narrow"/>
          <w:noProof/>
          <w:color w:val="auto"/>
          <w:sz w:val="20"/>
          <w:szCs w:val="20"/>
        </w:rPr>
        <w:t>2</w:t>
      </w:r>
      <w:r w:rsidRPr="000F0233">
        <w:rPr>
          <w:rStyle w:val="CommentReference"/>
          <w:rFonts w:ascii="Arial Narrow" w:hAnsi="Arial Narrow"/>
          <w:color w:val="auto"/>
          <w:sz w:val="20"/>
          <w:szCs w:val="20"/>
        </w:rPr>
        <w:t xml:space="preserve">: </w:t>
      </w:r>
      <w:r w:rsidR="003A737C">
        <w:rPr>
          <w:rStyle w:val="CommentReference"/>
          <w:rFonts w:ascii="Arial Narrow" w:hAnsi="Arial Narrow"/>
          <w:color w:val="auto"/>
          <w:sz w:val="20"/>
          <w:szCs w:val="20"/>
        </w:rPr>
        <w:t>Revised stepped economic analyses</w:t>
      </w: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8108"/>
        <w:gridCol w:w="974"/>
      </w:tblGrid>
      <w:tr w:rsidR="00D019BA" w:rsidRPr="00E20E39" w:rsidTr="00E20E39">
        <w:tc>
          <w:tcPr>
            <w:tcW w:w="8108" w:type="dxa"/>
          </w:tcPr>
          <w:p w:rsidR="00D019BA" w:rsidRPr="00A97CEC" w:rsidRDefault="00D019BA" w:rsidP="006C4A8E">
            <w:pPr>
              <w:pStyle w:val="TableText0"/>
              <w:keepNext/>
              <w:spacing w:before="0" w:after="0"/>
              <w:rPr>
                <w:b/>
              </w:rPr>
            </w:pPr>
            <w:r w:rsidRPr="00A97CEC">
              <w:rPr>
                <w:b/>
              </w:rPr>
              <w:t>Parameter</w:t>
            </w:r>
          </w:p>
        </w:tc>
        <w:tc>
          <w:tcPr>
            <w:tcW w:w="974" w:type="dxa"/>
            <w:vAlign w:val="center"/>
          </w:tcPr>
          <w:p w:rsidR="00D019BA" w:rsidRPr="00E20E39" w:rsidRDefault="00D019BA" w:rsidP="006C4A8E">
            <w:pPr>
              <w:pStyle w:val="TableText0"/>
              <w:keepNext/>
              <w:spacing w:before="0" w:after="0"/>
              <w:jc w:val="center"/>
              <w:rPr>
                <w:b/>
              </w:rPr>
            </w:pPr>
            <w:r w:rsidRPr="00E20E39">
              <w:rPr>
                <w:b/>
              </w:rPr>
              <w:t>ICER</w:t>
            </w:r>
          </w:p>
        </w:tc>
      </w:tr>
      <w:tr w:rsidR="00D019BA" w:rsidTr="00E20E39">
        <w:tc>
          <w:tcPr>
            <w:tcW w:w="8108" w:type="dxa"/>
          </w:tcPr>
          <w:p w:rsidR="00D019BA" w:rsidRPr="00A97CEC" w:rsidRDefault="00D30EDD" w:rsidP="006C4A8E">
            <w:pPr>
              <w:pStyle w:val="TableText0"/>
              <w:keepNext/>
              <w:spacing w:after="0"/>
            </w:pPr>
            <w:r w:rsidRPr="00A97CEC">
              <w:t xml:space="preserve">Base case </w:t>
            </w:r>
            <w:r w:rsidR="00D019BA" w:rsidRPr="00A97CEC">
              <w:t>ICER presented in the November 2017 PSCR</w:t>
            </w:r>
            <w:r w:rsidRPr="00A97CEC">
              <w:t>, with pembrolizumab cost $</w:t>
            </w:r>
            <w:r w:rsidR="00E964DA">
              <w:rPr>
                <w:noProof/>
                <w:color w:val="000000"/>
                <w:highlight w:val="black"/>
              </w:rPr>
              <w:t>'''''''''</w:t>
            </w:r>
            <w:r w:rsidRPr="00A97CEC">
              <w:t xml:space="preserve"> per 50 mg vial</w:t>
            </w:r>
            <w:r w:rsidR="00D019BA" w:rsidRPr="00A97CEC">
              <w:t>.</w:t>
            </w:r>
          </w:p>
        </w:tc>
        <w:tc>
          <w:tcPr>
            <w:tcW w:w="974" w:type="dxa"/>
            <w:vAlign w:val="center"/>
          </w:tcPr>
          <w:p w:rsidR="00D019BA" w:rsidRDefault="00D019BA" w:rsidP="006C4A8E">
            <w:pPr>
              <w:pStyle w:val="TableText0"/>
              <w:keepNext/>
              <w:spacing w:before="0" w:after="0"/>
              <w:jc w:val="center"/>
            </w:pPr>
            <w:r w:rsidRPr="00D019BA">
              <w:rPr>
                <w:iCs/>
                <w:szCs w:val="20"/>
              </w:rPr>
              <w:t>$</w:t>
            </w:r>
            <w:r w:rsidR="00E964DA">
              <w:rPr>
                <w:iCs/>
                <w:noProof/>
                <w:color w:val="000000"/>
                <w:szCs w:val="20"/>
                <w:highlight w:val="black"/>
              </w:rPr>
              <w:t>'''''''''''''''''</w:t>
            </w:r>
          </w:p>
        </w:tc>
      </w:tr>
      <w:tr w:rsidR="00D019BA" w:rsidTr="00E20E39">
        <w:tc>
          <w:tcPr>
            <w:tcW w:w="8108" w:type="dxa"/>
          </w:tcPr>
          <w:p w:rsidR="00D019BA" w:rsidRPr="00A97CEC" w:rsidRDefault="00D019BA" w:rsidP="006C4A8E">
            <w:pPr>
              <w:pStyle w:val="TableText0"/>
              <w:keepNext/>
              <w:spacing w:before="0" w:after="0"/>
              <w:rPr>
                <w:b/>
              </w:rPr>
            </w:pPr>
            <w:r w:rsidRPr="00A97CEC">
              <w:rPr>
                <w:b/>
              </w:rPr>
              <w:t>Minor resubmission changes</w:t>
            </w:r>
          </w:p>
        </w:tc>
        <w:tc>
          <w:tcPr>
            <w:tcW w:w="974" w:type="dxa"/>
            <w:vAlign w:val="center"/>
          </w:tcPr>
          <w:p w:rsidR="00D019BA" w:rsidRPr="00D019BA" w:rsidRDefault="00D019BA" w:rsidP="006C4A8E">
            <w:pPr>
              <w:pStyle w:val="TableText0"/>
              <w:keepNext/>
              <w:spacing w:before="0" w:after="0"/>
              <w:jc w:val="center"/>
              <w:rPr>
                <w:iCs/>
                <w:szCs w:val="20"/>
              </w:rPr>
            </w:pPr>
          </w:p>
        </w:tc>
      </w:tr>
      <w:tr w:rsidR="00D019BA" w:rsidTr="00E20E39">
        <w:tc>
          <w:tcPr>
            <w:tcW w:w="8108" w:type="dxa"/>
          </w:tcPr>
          <w:p w:rsidR="00D019BA" w:rsidRPr="00A97CEC" w:rsidRDefault="00D019BA" w:rsidP="006C4A8E">
            <w:pPr>
              <w:pStyle w:val="TableText0"/>
              <w:keepNext/>
              <w:spacing w:after="0"/>
            </w:pPr>
            <w:r w:rsidRPr="00A97CEC">
              <w:t>Extrapolations using the full sets of observed data</w:t>
            </w:r>
            <w:r w:rsidR="00E20E39" w:rsidRPr="00A97CEC">
              <w:t>.</w:t>
            </w:r>
          </w:p>
          <w:p w:rsidR="00D019BA" w:rsidRPr="00A97CEC" w:rsidRDefault="00E20E39" w:rsidP="006C4A8E">
            <w:pPr>
              <w:pStyle w:val="TableText0"/>
              <w:keepNext/>
              <w:spacing w:before="0" w:after="0"/>
            </w:pPr>
            <w:r w:rsidRPr="00A97CEC">
              <w:t>T</w:t>
            </w:r>
            <w:r w:rsidR="00D019BA" w:rsidRPr="00A97CEC">
              <w:t>his analysis does not use observed KM data in the model, rather these reflect parametric models fitted to all observed data.</w:t>
            </w:r>
          </w:p>
        </w:tc>
        <w:tc>
          <w:tcPr>
            <w:tcW w:w="974" w:type="dxa"/>
            <w:vAlign w:val="center"/>
          </w:tcPr>
          <w:p w:rsidR="00D019BA" w:rsidRDefault="00D019BA" w:rsidP="006C4A8E">
            <w:pPr>
              <w:pStyle w:val="TableText0"/>
              <w:keepNext/>
              <w:spacing w:before="0" w:after="0"/>
              <w:jc w:val="center"/>
            </w:pPr>
            <w:r w:rsidRPr="00D019BA">
              <w:rPr>
                <w:rFonts w:cs="Arial"/>
                <w:szCs w:val="20"/>
              </w:rPr>
              <w:t>$</w:t>
            </w:r>
            <w:r w:rsidR="00E964DA">
              <w:rPr>
                <w:rFonts w:cs="Arial"/>
                <w:noProof/>
                <w:color w:val="000000"/>
                <w:szCs w:val="20"/>
                <w:highlight w:val="black"/>
              </w:rPr>
              <w:t>''''''''''''''''''</w:t>
            </w:r>
          </w:p>
        </w:tc>
      </w:tr>
      <w:tr w:rsidR="00D019BA" w:rsidTr="00E20E39">
        <w:tc>
          <w:tcPr>
            <w:tcW w:w="8108" w:type="dxa"/>
          </w:tcPr>
          <w:p w:rsidR="00D019BA" w:rsidRPr="00A97CEC" w:rsidRDefault="00D019BA" w:rsidP="006C4A8E">
            <w:pPr>
              <w:pStyle w:val="TableText0"/>
              <w:keepNext/>
              <w:spacing w:after="0"/>
            </w:pPr>
            <w:r w:rsidRPr="00A97CEC">
              <w:t>KM curves to median duration of follow-up</w:t>
            </w:r>
            <w:r w:rsidR="00E20E39" w:rsidRPr="00A97CEC">
              <w:t>.</w:t>
            </w:r>
          </w:p>
          <w:p w:rsidR="00D019BA" w:rsidRPr="00A97CEC" w:rsidRDefault="00D019BA" w:rsidP="006C4A8E">
            <w:pPr>
              <w:pStyle w:val="TableText0"/>
              <w:keepNext/>
              <w:spacing w:before="0" w:after="0"/>
            </w:pPr>
            <w:r w:rsidRPr="00A97CEC">
              <w:t xml:space="preserve">Observed PFS and OS KM data are used until week 97, with extrapolation beyond week 97 based on all observed data. </w:t>
            </w:r>
          </w:p>
          <w:p w:rsidR="00D019BA" w:rsidRPr="00A97CEC" w:rsidRDefault="00D019BA" w:rsidP="006C4A8E">
            <w:pPr>
              <w:pStyle w:val="TableText0"/>
              <w:keepNext/>
              <w:spacing w:before="0" w:after="0"/>
            </w:pPr>
            <w:r w:rsidRPr="00A97CEC">
              <w:t>For PFS,</w:t>
            </w:r>
            <w:r w:rsidR="009E0AA4" w:rsidRPr="00A97CEC">
              <w:t xml:space="preserve"> the extrapolation was based only on data after week 9;</w:t>
            </w:r>
            <w:r w:rsidRPr="00A97CEC">
              <w:t xml:space="preserve"> the observed data approaching week 97 may not be reliable. However</w:t>
            </w:r>
            <w:r w:rsidR="00AE17BB" w:rsidRPr="00A97CEC">
              <w:t>, holding all other aspects constant,</w:t>
            </w:r>
            <w:r w:rsidRPr="00A97CEC">
              <w:t xml:space="preserve"> the model is not sensitive to changing the time point from which extrapolated data were used (extrapolation from time poin</w:t>
            </w:r>
            <w:r w:rsidR="00E20E39" w:rsidRPr="00A97CEC">
              <w:t>ts</w:t>
            </w:r>
            <w:r w:rsidR="00E20E39" w:rsidRPr="00A97CEC">
              <w:rPr>
                <w:vertAlign w:val="superscript"/>
              </w:rPr>
              <w:t>a</w:t>
            </w:r>
            <w:r w:rsidRPr="00A97CEC">
              <w:t xml:space="preserve"> closer to median PFS increases the ICER slightly to $</w:t>
            </w:r>
            <w:r w:rsidR="00E964DA">
              <w:rPr>
                <w:noProof/>
                <w:color w:val="000000"/>
                <w:highlight w:val="black"/>
              </w:rPr>
              <w:t>'''''''''''''''</w:t>
            </w:r>
            <w:r w:rsidRPr="00A97CEC">
              <w:t>).</w:t>
            </w:r>
          </w:p>
        </w:tc>
        <w:tc>
          <w:tcPr>
            <w:tcW w:w="974" w:type="dxa"/>
            <w:vAlign w:val="center"/>
          </w:tcPr>
          <w:p w:rsidR="00D019BA" w:rsidRPr="00D019BA" w:rsidRDefault="00D019BA" w:rsidP="006C4A8E">
            <w:pPr>
              <w:pStyle w:val="TableText0"/>
              <w:keepNext/>
              <w:spacing w:before="0" w:after="0"/>
              <w:jc w:val="center"/>
            </w:pPr>
            <w:r w:rsidRPr="00D019BA">
              <w:rPr>
                <w:rFonts w:cs="Arial"/>
                <w:szCs w:val="20"/>
              </w:rPr>
              <w:t>$</w:t>
            </w:r>
            <w:r w:rsidR="00E964DA">
              <w:rPr>
                <w:rFonts w:cs="Arial"/>
                <w:noProof/>
                <w:color w:val="000000"/>
                <w:szCs w:val="20"/>
                <w:highlight w:val="black"/>
              </w:rPr>
              <w:t>'''''''''''''''''</w:t>
            </w:r>
          </w:p>
        </w:tc>
      </w:tr>
      <w:tr w:rsidR="00D019BA" w:rsidTr="00E20E39">
        <w:tc>
          <w:tcPr>
            <w:tcW w:w="8108" w:type="dxa"/>
          </w:tcPr>
          <w:p w:rsidR="00D019BA" w:rsidRPr="00A97CEC" w:rsidRDefault="00D019BA" w:rsidP="006C4A8E">
            <w:pPr>
              <w:pStyle w:val="TableText0"/>
              <w:keepNext/>
              <w:spacing w:after="0"/>
            </w:pPr>
            <w:r w:rsidRPr="00A97CEC">
              <w:t>Conservative set of extrapolation curves for OS (exponential)</w:t>
            </w:r>
            <w:r w:rsidR="00E20E39" w:rsidRPr="00A97CEC">
              <w:t>.</w:t>
            </w:r>
          </w:p>
          <w:p w:rsidR="00D019BA" w:rsidRPr="00A97CEC" w:rsidRDefault="00E20E39" w:rsidP="006C4A8E">
            <w:pPr>
              <w:pStyle w:val="TableText0"/>
              <w:keepNext/>
              <w:spacing w:before="0" w:after="0"/>
            </w:pPr>
            <w:r w:rsidRPr="00A97CEC">
              <w:t>The exponential model was</w:t>
            </w:r>
            <w:r w:rsidR="00D019BA" w:rsidRPr="00A97CEC">
              <w:t xml:space="preserve"> the best fitting model (according to AIC/BIC) to all of the observed data</w:t>
            </w:r>
            <w:r w:rsidR="003A737C" w:rsidRPr="00A97CEC">
              <w:t>.</w:t>
            </w:r>
            <w:r w:rsidR="00B43EA1" w:rsidRPr="00A97CEC">
              <w:t xml:space="preserve"> However, the assessment of which set of extrapolated curves was the most conservative would have been assisted by traces of the area between the pembrolizumab and SOC OS curves for each extrapolation type. Visual inspection of Figure 2 is insufficient to draw a clear conclusion.</w:t>
            </w:r>
          </w:p>
        </w:tc>
        <w:tc>
          <w:tcPr>
            <w:tcW w:w="974" w:type="dxa"/>
            <w:vAlign w:val="center"/>
          </w:tcPr>
          <w:p w:rsidR="00D019BA" w:rsidRPr="00D019BA" w:rsidRDefault="00D019BA" w:rsidP="006C4A8E">
            <w:pPr>
              <w:pStyle w:val="TableText0"/>
              <w:keepNext/>
              <w:spacing w:before="0" w:after="0"/>
              <w:jc w:val="center"/>
            </w:pPr>
            <w:r w:rsidRPr="00D019BA">
              <w:rPr>
                <w:rFonts w:cs="Arial"/>
                <w:szCs w:val="20"/>
              </w:rPr>
              <w:t>$</w:t>
            </w:r>
            <w:r w:rsidR="00E964DA">
              <w:rPr>
                <w:rFonts w:cs="Arial"/>
                <w:noProof/>
                <w:color w:val="000000"/>
                <w:szCs w:val="20"/>
                <w:highlight w:val="black"/>
              </w:rPr>
              <w:t>''''''''''''''''''</w:t>
            </w:r>
          </w:p>
        </w:tc>
      </w:tr>
      <w:tr w:rsidR="00D019BA" w:rsidTr="00E20E39">
        <w:tc>
          <w:tcPr>
            <w:tcW w:w="8108" w:type="dxa"/>
          </w:tcPr>
          <w:p w:rsidR="00D019BA" w:rsidRPr="00A97CEC" w:rsidRDefault="00D019BA" w:rsidP="006C4A8E">
            <w:pPr>
              <w:pStyle w:val="TableText0"/>
              <w:keepNext/>
              <w:spacing w:after="0"/>
            </w:pPr>
            <w:r w:rsidRPr="00A97CEC">
              <w:t>Conservative set of extrapolation curves for PFS (exponential)</w:t>
            </w:r>
            <w:r w:rsidR="00E20E39" w:rsidRPr="00A97CEC">
              <w:t>.</w:t>
            </w:r>
          </w:p>
          <w:p w:rsidR="00D019BA" w:rsidRPr="00A97CEC" w:rsidRDefault="00D019BA" w:rsidP="006C4A8E">
            <w:pPr>
              <w:pStyle w:val="TableText0"/>
              <w:keepNext/>
              <w:spacing w:before="0" w:after="0"/>
            </w:pPr>
            <w:r w:rsidRPr="00A97CEC">
              <w:t>According to the AIC/BIC, the best fitting mod</w:t>
            </w:r>
            <w:r w:rsidR="003A737C" w:rsidRPr="00A97CEC">
              <w:t>els were not used in this step</w:t>
            </w:r>
            <w:r w:rsidRPr="00A97CEC">
              <w:t>, where Weibull may be more appropriate for pembrolizumab; and the exponential model may be more appropriate for the SOC arm. However this has only a minor effect on the ICER (reducing to $</w:t>
            </w:r>
            <w:r w:rsidR="00E964DA">
              <w:rPr>
                <w:noProof/>
                <w:color w:val="000000"/>
                <w:highlight w:val="black"/>
              </w:rPr>
              <w:t>'''''''''''''''</w:t>
            </w:r>
            <w:r w:rsidRPr="00A97CEC">
              <w:t>).</w:t>
            </w:r>
            <w:r w:rsidR="00B43EA1" w:rsidRPr="00A97CEC">
              <w:t xml:space="preserve"> However, the assessment of which set of extrapolated curves was the most conservative would have been assisted by traces of the area between the pembrolizumab and SOC PFS curves for each extrapolation type. Visual inspection of Figure 1 is insufficient to draw a clear conclusion.</w:t>
            </w:r>
          </w:p>
        </w:tc>
        <w:tc>
          <w:tcPr>
            <w:tcW w:w="974" w:type="dxa"/>
            <w:vAlign w:val="center"/>
          </w:tcPr>
          <w:p w:rsidR="00D019BA" w:rsidRPr="00D019BA" w:rsidRDefault="00D019BA" w:rsidP="006C4A8E">
            <w:pPr>
              <w:pStyle w:val="TableText0"/>
              <w:keepNext/>
              <w:spacing w:before="0" w:after="0"/>
              <w:jc w:val="center"/>
              <w:rPr>
                <w:rFonts w:cs="Arial"/>
                <w:szCs w:val="20"/>
              </w:rPr>
            </w:pPr>
            <w:r>
              <w:rPr>
                <w:rFonts w:cs="Arial"/>
                <w:szCs w:val="20"/>
              </w:rPr>
              <w:t>U</w:t>
            </w:r>
            <w:r w:rsidRPr="00D019BA">
              <w:rPr>
                <w:rFonts w:cs="Arial"/>
                <w:szCs w:val="20"/>
              </w:rPr>
              <w:t>nchanged</w:t>
            </w:r>
          </w:p>
        </w:tc>
      </w:tr>
      <w:tr w:rsidR="00D019BA" w:rsidTr="00E20E39">
        <w:tc>
          <w:tcPr>
            <w:tcW w:w="8108" w:type="dxa"/>
          </w:tcPr>
          <w:p w:rsidR="00D019BA" w:rsidRPr="00A97CEC" w:rsidRDefault="00D019BA" w:rsidP="006C4A8E">
            <w:pPr>
              <w:pStyle w:val="TableText0"/>
              <w:keepNext/>
              <w:spacing w:after="0"/>
            </w:pPr>
            <w:r w:rsidRPr="00A97CEC">
              <w:t>Apply the same extrapolation function between treatment arms</w:t>
            </w:r>
            <w:r w:rsidR="00E20E39" w:rsidRPr="00A97CEC">
              <w:t>.</w:t>
            </w:r>
          </w:p>
          <w:p w:rsidR="00D019BA" w:rsidRPr="00A97CEC" w:rsidRDefault="00D019BA" w:rsidP="006C4A8E">
            <w:pPr>
              <w:pStyle w:val="TableText0"/>
              <w:keepNext/>
              <w:spacing w:before="0" w:after="0"/>
            </w:pPr>
            <w:r w:rsidRPr="00A97CEC">
              <w:t>The parametric model for SOC PFS was changed from Weibull to exponential, for consistency with the pembrolizumab PFS arm. Selecting a Weibull distribution to extrapolate both PFS treatment arms had only a minor effect on the ICER (reducing to $</w:t>
            </w:r>
            <w:r w:rsidR="00E964DA">
              <w:rPr>
                <w:noProof/>
                <w:color w:val="000000"/>
                <w:highlight w:val="black"/>
              </w:rPr>
              <w:t>'''''''''''''''</w:t>
            </w:r>
            <w:r w:rsidRPr="00A97CEC">
              <w:t>).</w:t>
            </w:r>
          </w:p>
        </w:tc>
        <w:tc>
          <w:tcPr>
            <w:tcW w:w="974" w:type="dxa"/>
            <w:vAlign w:val="center"/>
          </w:tcPr>
          <w:p w:rsidR="00D019BA" w:rsidRDefault="00D019BA" w:rsidP="006C4A8E">
            <w:pPr>
              <w:pStyle w:val="TableText0"/>
              <w:keepNext/>
              <w:spacing w:before="0" w:after="0"/>
              <w:jc w:val="center"/>
            </w:pPr>
            <w:r w:rsidRPr="00D019BA">
              <w:rPr>
                <w:rFonts w:cs="Arial"/>
                <w:szCs w:val="20"/>
              </w:rPr>
              <w:t>$</w:t>
            </w:r>
            <w:r w:rsidR="00E964DA">
              <w:rPr>
                <w:rFonts w:cs="Arial"/>
                <w:noProof/>
                <w:color w:val="000000"/>
                <w:szCs w:val="20"/>
                <w:highlight w:val="black"/>
              </w:rPr>
              <w:t>'''''''''''''''''</w:t>
            </w:r>
          </w:p>
        </w:tc>
      </w:tr>
      <w:tr w:rsidR="00D019BA" w:rsidTr="00E20E39">
        <w:tc>
          <w:tcPr>
            <w:tcW w:w="8108" w:type="dxa"/>
          </w:tcPr>
          <w:p w:rsidR="00D019BA" w:rsidRPr="00A97CEC" w:rsidRDefault="00D019BA" w:rsidP="006C4A8E">
            <w:pPr>
              <w:pStyle w:val="TableText0"/>
              <w:keepNext/>
              <w:spacing w:after="0"/>
            </w:pPr>
            <w:r w:rsidRPr="00A97CEC">
              <w:t>Converge the curves at 7.5 years</w:t>
            </w:r>
            <w:r w:rsidR="00E20E39" w:rsidRPr="00A97CEC">
              <w:t>.</w:t>
            </w:r>
          </w:p>
          <w:p w:rsidR="00D019BA" w:rsidRPr="00A97CEC" w:rsidRDefault="00E20E39" w:rsidP="006C4A8E">
            <w:pPr>
              <w:pStyle w:val="TableText0"/>
              <w:keepNext/>
              <w:spacing w:before="0" w:after="0"/>
            </w:pPr>
            <w:r w:rsidRPr="00A97CEC">
              <w:t>The resubmission assumed</w:t>
            </w:r>
            <w:r w:rsidR="00D019BA" w:rsidRPr="00A97CEC">
              <w:t xml:space="preserve"> that the pembrolizumab PFS and OS curves begin to converge with the SOC PFS and OS curves, respectively, from 5 years, reaching convergence at the model time horizon of 7.5 years. The approach used to model convergence appears reasonable</w:t>
            </w:r>
            <w:r w:rsidR="003A737C" w:rsidRPr="00A97CEC">
              <w:t>.</w:t>
            </w:r>
          </w:p>
        </w:tc>
        <w:tc>
          <w:tcPr>
            <w:tcW w:w="974" w:type="dxa"/>
            <w:vAlign w:val="center"/>
          </w:tcPr>
          <w:p w:rsidR="00D019BA" w:rsidRDefault="00D019BA" w:rsidP="006C4A8E">
            <w:pPr>
              <w:pStyle w:val="TableText0"/>
              <w:keepNext/>
              <w:spacing w:before="0" w:after="0"/>
              <w:jc w:val="center"/>
            </w:pPr>
            <w:r w:rsidRPr="00D019BA">
              <w:rPr>
                <w:rFonts w:cs="Arial"/>
                <w:szCs w:val="20"/>
              </w:rPr>
              <w:t>$</w:t>
            </w:r>
            <w:r w:rsidR="00E964DA">
              <w:rPr>
                <w:rFonts w:cs="Arial"/>
                <w:noProof/>
                <w:color w:val="000000"/>
                <w:szCs w:val="20"/>
                <w:highlight w:val="black"/>
              </w:rPr>
              <w:t>'''''''''''''''</w:t>
            </w:r>
          </w:p>
        </w:tc>
      </w:tr>
      <w:tr w:rsidR="00D019BA" w:rsidTr="00E20E39">
        <w:tc>
          <w:tcPr>
            <w:tcW w:w="8108" w:type="dxa"/>
          </w:tcPr>
          <w:p w:rsidR="00D019BA" w:rsidRPr="00E964DA" w:rsidRDefault="00D019BA" w:rsidP="006C4A8E">
            <w:pPr>
              <w:pStyle w:val="TableText0"/>
              <w:keepNext/>
              <w:spacing w:after="0"/>
            </w:pPr>
            <w:r w:rsidRPr="00A97CEC">
              <w:t xml:space="preserve">Apply rebate of </w:t>
            </w:r>
            <w:r w:rsidR="00E964DA">
              <w:rPr>
                <w:noProof/>
                <w:color w:val="000000"/>
                <w:highlight w:val="black"/>
              </w:rPr>
              <w:t>'''''</w:t>
            </w:r>
            <w:r w:rsidRPr="00A97CEC">
              <w:t xml:space="preserve">% </w:t>
            </w:r>
            <w:r w:rsidR="00E964DA">
              <w:rPr>
                <w:noProof/>
                <w:color w:val="000000"/>
                <w:highlight w:val="black"/>
              </w:rPr>
              <w:t>''''''''''' ''''''''''''' '''''' ''''''' '''''''''''''''' ''''''''''''''''''''''</w:t>
            </w:r>
          </w:p>
          <w:p w:rsidR="00D019BA" w:rsidRPr="00A97CEC" w:rsidRDefault="00D019BA" w:rsidP="006C4A8E">
            <w:pPr>
              <w:pStyle w:val="TableText0"/>
              <w:keepNext/>
              <w:spacing w:before="0" w:after="0"/>
            </w:pPr>
            <w:r w:rsidRPr="00A97CEC">
              <w:t>The approach used to model the rebate is reasonable.</w:t>
            </w:r>
          </w:p>
        </w:tc>
        <w:tc>
          <w:tcPr>
            <w:tcW w:w="974" w:type="dxa"/>
            <w:vAlign w:val="center"/>
          </w:tcPr>
          <w:p w:rsidR="00D019BA" w:rsidRDefault="00D019BA" w:rsidP="006C4A8E">
            <w:pPr>
              <w:pStyle w:val="TableText0"/>
              <w:keepNext/>
              <w:spacing w:before="0" w:after="0"/>
              <w:jc w:val="center"/>
            </w:pPr>
            <w:r w:rsidRPr="00D019BA">
              <w:rPr>
                <w:rFonts w:cs="Arial"/>
                <w:szCs w:val="20"/>
              </w:rPr>
              <w:t>$</w:t>
            </w:r>
            <w:r w:rsidR="00E964DA">
              <w:rPr>
                <w:rFonts w:cs="Arial"/>
                <w:noProof/>
                <w:color w:val="000000"/>
                <w:szCs w:val="20"/>
                <w:highlight w:val="black"/>
              </w:rPr>
              <w:t>'''''''''''''''</w:t>
            </w:r>
          </w:p>
        </w:tc>
      </w:tr>
    </w:tbl>
    <w:p w:rsidR="00E20E39" w:rsidRDefault="00E20E39" w:rsidP="00E20E39">
      <w:pPr>
        <w:spacing w:line="259" w:lineRule="auto"/>
        <w:rPr>
          <w:rFonts w:ascii="Arial Narrow" w:eastAsia="Calibri" w:hAnsi="Arial Narrow"/>
          <w:sz w:val="18"/>
          <w:szCs w:val="18"/>
          <w:lang w:eastAsia="en-US"/>
        </w:rPr>
      </w:pPr>
      <w:r w:rsidRPr="00E20E39">
        <w:rPr>
          <w:rFonts w:ascii="Arial Narrow" w:eastAsia="Calibri" w:hAnsi="Arial Narrow"/>
          <w:sz w:val="18"/>
          <w:szCs w:val="18"/>
          <w:vertAlign w:val="superscript"/>
          <w:lang w:eastAsia="en-US"/>
        </w:rPr>
        <w:t>a</w:t>
      </w:r>
      <w:r w:rsidRPr="00E20E39">
        <w:rPr>
          <w:rFonts w:ascii="Arial Narrow" w:eastAsia="Calibri" w:hAnsi="Arial Narrow"/>
          <w:sz w:val="18"/>
          <w:szCs w:val="18"/>
          <w:lang w:eastAsia="en-US"/>
        </w:rPr>
        <w:t xml:space="preserve"> Week 55 for pembrolizumab and week 27 for SOC.</w:t>
      </w:r>
    </w:p>
    <w:p w:rsidR="003A737C" w:rsidRPr="00E20E39" w:rsidRDefault="003A737C" w:rsidP="00E20E39">
      <w:pPr>
        <w:spacing w:line="259" w:lineRule="auto"/>
        <w:rPr>
          <w:rFonts w:ascii="Arial Narrow" w:eastAsia="Calibri" w:hAnsi="Arial Narrow"/>
          <w:sz w:val="18"/>
          <w:szCs w:val="18"/>
          <w:lang w:eastAsia="en-US"/>
        </w:rPr>
      </w:pPr>
      <w:r>
        <w:rPr>
          <w:rFonts w:ascii="Arial Narrow" w:eastAsia="Calibri" w:hAnsi="Arial Narrow"/>
          <w:sz w:val="18"/>
          <w:szCs w:val="18"/>
          <w:lang w:eastAsia="en-US"/>
        </w:rPr>
        <w:t>ICER=incremental cost effectiveness ratio; KM=Kaplan-Meier; OS=overall survival; PFS=progression free survival; PSCR=Pre-Subcommittee response; SOC=standard of care</w:t>
      </w:r>
    </w:p>
    <w:p w:rsidR="000E6B16" w:rsidRDefault="00E20E39" w:rsidP="00E20E39">
      <w:pPr>
        <w:spacing w:after="160" w:line="259" w:lineRule="auto"/>
        <w:rPr>
          <w:rFonts w:ascii="Arial Narrow" w:eastAsia="Calibri" w:hAnsi="Arial Narrow"/>
          <w:sz w:val="18"/>
          <w:szCs w:val="18"/>
          <w:lang w:eastAsia="en-US"/>
        </w:rPr>
      </w:pPr>
      <w:r w:rsidRPr="00E20E39">
        <w:rPr>
          <w:rFonts w:ascii="Arial Narrow" w:eastAsia="Calibri" w:hAnsi="Arial Narrow"/>
          <w:sz w:val="18"/>
          <w:szCs w:val="18"/>
          <w:lang w:eastAsia="en-US"/>
        </w:rPr>
        <w:t>Source: Adapted from ‘Stepwise Analysis of Changes’ worksheet of the ‘Section 3 Workbook_ Minor Submission FINAL.xlsm’ workbook.</w:t>
      </w:r>
    </w:p>
    <w:p w:rsidR="00F26922" w:rsidRPr="00F26922" w:rsidRDefault="00F26922" w:rsidP="00E20E39">
      <w:pPr>
        <w:spacing w:after="160" w:line="259" w:lineRule="auto"/>
        <w:rPr>
          <w:rFonts w:asciiTheme="minorHAnsi" w:eastAsia="Calibri" w:hAnsiTheme="minorHAnsi"/>
          <w:lang w:eastAsia="en-US"/>
        </w:rPr>
      </w:pPr>
      <w:r>
        <w:rPr>
          <w:rFonts w:asciiTheme="minorHAnsi" w:eastAsia="Calibri" w:hAnsiTheme="minorHAnsi"/>
          <w:lang w:eastAsia="en-US"/>
        </w:rPr>
        <w:t>The redacted table shows ICERs in the range of $45,000 - $75,000.</w:t>
      </w:r>
    </w:p>
    <w:p w:rsidR="00324A5F" w:rsidRDefault="009018EC" w:rsidP="0064716C">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In relation to the modelling decision to </w:t>
      </w:r>
      <w:r w:rsidR="00911A00">
        <w:rPr>
          <w:rFonts w:asciiTheme="minorHAnsi" w:eastAsiaTheme="minorHAnsi" w:hAnsiTheme="minorHAnsi" w:cstheme="minorBidi"/>
          <w:snapToGrid/>
          <w:sz w:val="24"/>
          <w:szCs w:val="22"/>
        </w:rPr>
        <w:t>exclude</w:t>
      </w:r>
      <w:r>
        <w:rPr>
          <w:rFonts w:asciiTheme="minorHAnsi" w:eastAsiaTheme="minorHAnsi" w:hAnsiTheme="minorHAnsi" w:cstheme="minorBidi"/>
          <w:snapToGrid/>
          <w:sz w:val="24"/>
          <w:szCs w:val="22"/>
        </w:rPr>
        <w:t xml:space="preserve"> the Kaplan-Meier data from the first 9 weeks </w:t>
      </w:r>
      <w:r w:rsidR="00911A00">
        <w:rPr>
          <w:rFonts w:asciiTheme="minorHAnsi" w:hAnsiTheme="minorHAnsi"/>
          <w:sz w:val="24"/>
          <w:szCs w:val="24"/>
        </w:rPr>
        <w:t xml:space="preserve">when assessing </w:t>
      </w:r>
      <w:r w:rsidR="00911A00" w:rsidRPr="002266C9">
        <w:rPr>
          <w:rFonts w:asciiTheme="minorHAnsi" w:hAnsiTheme="minorHAnsi"/>
          <w:sz w:val="24"/>
          <w:szCs w:val="24"/>
        </w:rPr>
        <w:t>the goodness of fit comparison</w:t>
      </w:r>
      <w:r w:rsidR="00911A00">
        <w:rPr>
          <w:rFonts w:asciiTheme="minorHAnsi" w:hAnsiTheme="minorHAnsi"/>
          <w:sz w:val="24"/>
          <w:szCs w:val="24"/>
        </w:rPr>
        <w:t xml:space="preserve"> for the proposed basis of extrapolation beyond the duration of follow-up in the key trial,</w:t>
      </w:r>
      <w:r>
        <w:rPr>
          <w:rFonts w:asciiTheme="minorHAnsi" w:eastAsiaTheme="minorHAnsi" w:hAnsiTheme="minorHAnsi" w:cstheme="minorBidi"/>
          <w:snapToGrid/>
          <w:sz w:val="24"/>
          <w:szCs w:val="22"/>
        </w:rPr>
        <w:t xml:space="preserve"> the </w:t>
      </w:r>
      <w:r w:rsidR="00324A5F" w:rsidRPr="00324A5F">
        <w:rPr>
          <w:rFonts w:asciiTheme="minorHAnsi" w:eastAsiaTheme="minorHAnsi" w:hAnsiTheme="minorHAnsi" w:cstheme="minorBidi"/>
          <w:snapToGrid/>
          <w:sz w:val="24"/>
          <w:szCs w:val="22"/>
        </w:rPr>
        <w:t>pre-PBAC response stated that “the very early decline in the PFS (prior to week 9) was due to early mortality and not a radiologic assessment of progression. The protocol-driven drop of PFS around week 9 made the fitting of parametric curves prior to this time point very challenging in both treatment arms.” It also claimed that, “the model is not sensitive to the time point for deriving the PFS extrapolations, as later time points had</w:t>
      </w:r>
      <w:r>
        <w:rPr>
          <w:rFonts w:asciiTheme="minorHAnsi" w:eastAsiaTheme="minorHAnsi" w:hAnsiTheme="minorHAnsi" w:cstheme="minorBidi"/>
          <w:snapToGrid/>
          <w:sz w:val="24"/>
          <w:szCs w:val="22"/>
        </w:rPr>
        <w:t xml:space="preserve"> little influence on the ICER”</w:t>
      </w:r>
      <w:r w:rsidR="00911A00">
        <w:rPr>
          <w:rFonts w:asciiTheme="minorHAnsi" w:eastAsiaTheme="minorHAnsi" w:hAnsiTheme="minorHAnsi" w:cstheme="minorBidi"/>
          <w:snapToGrid/>
          <w:sz w:val="24"/>
          <w:szCs w:val="22"/>
        </w:rPr>
        <w:t>, which the PBAC considered to be irrelevant to the question of whether to exclude earlier data</w:t>
      </w:r>
      <w:r>
        <w:rPr>
          <w:rFonts w:asciiTheme="minorHAnsi" w:eastAsiaTheme="minorHAnsi" w:hAnsiTheme="minorHAnsi" w:cstheme="minorBidi"/>
          <w:snapToGrid/>
          <w:sz w:val="24"/>
          <w:szCs w:val="22"/>
        </w:rPr>
        <w:t>.</w:t>
      </w:r>
    </w:p>
    <w:p w:rsidR="00F13C8C" w:rsidRPr="00324A5F" w:rsidRDefault="00F13C8C" w:rsidP="0064716C">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The PBAC noted the explanation provided by the pre-PBAC response regarding the exclusion of data prior to week 9, however considered that it would have been informative if a separate set of extrapolations were fitted to the Kaplan-Meier curves including weeks 0 – 9 </w:t>
      </w:r>
      <w:r>
        <w:rPr>
          <w:rFonts w:asciiTheme="minorHAnsi" w:hAnsiTheme="minorHAnsi"/>
          <w:sz w:val="24"/>
          <w:szCs w:val="24"/>
        </w:rPr>
        <w:t xml:space="preserve">in order to examine the consequence of the exclusion. The PBAC concluded </w:t>
      </w:r>
      <w:r w:rsidRPr="002266C9">
        <w:rPr>
          <w:rFonts w:asciiTheme="minorHAnsi" w:hAnsiTheme="minorHAnsi"/>
          <w:sz w:val="24"/>
          <w:szCs w:val="24"/>
        </w:rPr>
        <w:t xml:space="preserve">that the impact of </w:t>
      </w:r>
      <w:r>
        <w:rPr>
          <w:rFonts w:asciiTheme="minorHAnsi" w:hAnsiTheme="minorHAnsi"/>
          <w:sz w:val="24"/>
          <w:szCs w:val="24"/>
        </w:rPr>
        <w:t>ex</w:t>
      </w:r>
      <w:r w:rsidRPr="002266C9">
        <w:rPr>
          <w:rFonts w:asciiTheme="minorHAnsi" w:hAnsiTheme="minorHAnsi"/>
          <w:sz w:val="24"/>
          <w:szCs w:val="24"/>
        </w:rPr>
        <w:t>cluding the first 9 weeks of data on the ICER remain</w:t>
      </w:r>
      <w:r>
        <w:rPr>
          <w:rFonts w:asciiTheme="minorHAnsi" w:hAnsiTheme="minorHAnsi"/>
          <w:sz w:val="24"/>
          <w:szCs w:val="24"/>
        </w:rPr>
        <w:t>ed</w:t>
      </w:r>
      <w:r w:rsidRPr="002266C9">
        <w:rPr>
          <w:rFonts w:asciiTheme="minorHAnsi" w:hAnsiTheme="minorHAnsi"/>
          <w:sz w:val="24"/>
          <w:szCs w:val="24"/>
        </w:rPr>
        <w:t xml:space="preserve"> unknown. On this basis, the PBAC considered that the ICER presented by the minor </w:t>
      </w:r>
      <w:r>
        <w:rPr>
          <w:rFonts w:asciiTheme="minorHAnsi" w:hAnsiTheme="minorHAnsi"/>
          <w:sz w:val="24"/>
          <w:szCs w:val="24"/>
        </w:rPr>
        <w:t>re</w:t>
      </w:r>
      <w:r w:rsidRPr="002266C9">
        <w:rPr>
          <w:rFonts w:asciiTheme="minorHAnsi" w:hAnsiTheme="minorHAnsi"/>
          <w:sz w:val="24"/>
          <w:szCs w:val="24"/>
        </w:rPr>
        <w:t>submission was uncertain</w:t>
      </w:r>
      <w:r>
        <w:rPr>
          <w:rFonts w:asciiTheme="minorHAnsi" w:hAnsiTheme="minorHAnsi"/>
          <w:sz w:val="24"/>
          <w:szCs w:val="24"/>
        </w:rPr>
        <w:t>.</w:t>
      </w:r>
    </w:p>
    <w:p w:rsidR="00A34836" w:rsidRPr="00A34836" w:rsidRDefault="005875F5" w:rsidP="00A34836">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64716C">
        <w:rPr>
          <w:rFonts w:asciiTheme="minorHAnsi" w:eastAsiaTheme="minorHAnsi" w:hAnsiTheme="minorHAnsi" w:cstheme="minorBidi"/>
          <w:snapToGrid/>
          <w:sz w:val="24"/>
          <w:szCs w:val="22"/>
        </w:rPr>
        <w:t>The trial based PFS and OS curves and the extrapola</w:t>
      </w:r>
      <w:r w:rsidR="00597173" w:rsidRPr="0064716C">
        <w:rPr>
          <w:rFonts w:asciiTheme="minorHAnsi" w:eastAsiaTheme="minorHAnsi" w:hAnsiTheme="minorHAnsi" w:cstheme="minorBidi"/>
          <w:snapToGrid/>
          <w:sz w:val="24"/>
          <w:szCs w:val="22"/>
        </w:rPr>
        <w:t>ted curves are presented below.</w:t>
      </w:r>
    </w:p>
    <w:p w:rsidR="00D660D2" w:rsidRPr="00D660D2" w:rsidRDefault="00D660D2" w:rsidP="00C50E27">
      <w:pPr>
        <w:keepNext/>
        <w:widowControl w:val="0"/>
        <w:snapToGrid w:val="0"/>
        <w:jc w:val="both"/>
        <w:rPr>
          <w:rFonts w:ascii="Arial Narrow" w:hAnsi="Arial Narrow" w:cs="Arial"/>
          <w:b/>
          <w:sz w:val="20"/>
          <w:szCs w:val="16"/>
          <w:lang w:eastAsia="en-US"/>
        </w:rPr>
      </w:pPr>
      <w:r w:rsidRPr="00D660D2">
        <w:rPr>
          <w:rFonts w:ascii="Arial Narrow" w:hAnsi="Arial Narrow" w:cs="Arial"/>
          <w:b/>
          <w:sz w:val="20"/>
          <w:szCs w:val="16"/>
          <w:lang w:eastAsia="en-US"/>
        </w:rPr>
        <w:t xml:space="preserve">Figure </w:t>
      </w:r>
      <w:r w:rsidR="006C6CBE">
        <w:rPr>
          <w:rFonts w:ascii="Arial Narrow" w:hAnsi="Arial Narrow" w:cs="Arial"/>
          <w:b/>
          <w:noProof/>
          <w:sz w:val="20"/>
          <w:szCs w:val="16"/>
          <w:lang w:eastAsia="en-US"/>
        </w:rPr>
        <w:t>1</w:t>
      </w:r>
      <w:r w:rsidR="00E100A1">
        <w:rPr>
          <w:rFonts w:ascii="Arial Narrow" w:hAnsi="Arial Narrow" w:cs="Arial"/>
          <w:b/>
          <w:sz w:val="20"/>
          <w:szCs w:val="16"/>
          <w:lang w:eastAsia="en-US"/>
        </w:rPr>
        <w:t>: Kaplan-Meier results and extrapolations (with convergence at 7.5 years) for progression free survival</w:t>
      </w:r>
    </w:p>
    <w:p w:rsidR="00A34836" w:rsidRPr="00745A1E" w:rsidRDefault="00745A1E" w:rsidP="00745A1E">
      <w:pPr>
        <w:spacing w:after="120"/>
        <w:rPr>
          <w:rFonts w:asciiTheme="minorHAnsi" w:eastAsiaTheme="minorHAnsi" w:hAnsiTheme="minorHAnsi" w:cstheme="minorBidi"/>
          <w:szCs w:val="22"/>
        </w:rPr>
      </w:pPr>
      <w:r>
        <w:rPr>
          <w:noProof/>
        </w:rPr>
        <w:drawing>
          <wp:inline distT="0" distB="0" distL="0" distR="0" wp14:anchorId="626E9118" wp14:editId="46C12135">
            <wp:extent cx="5731510" cy="4717422"/>
            <wp:effectExtent l="0" t="0" r="254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717422"/>
                    </a:xfrm>
                    <a:prstGeom prst="rect">
                      <a:avLst/>
                    </a:prstGeom>
                    <a:noFill/>
                  </pic:spPr>
                </pic:pic>
              </a:graphicData>
            </a:graphic>
          </wp:inline>
        </w:drawing>
      </w:r>
    </w:p>
    <w:p w:rsidR="00745A1E" w:rsidRPr="00EF06C5" w:rsidRDefault="00411161" w:rsidP="00411161">
      <w:pPr>
        <w:spacing w:after="120"/>
        <w:rPr>
          <w:rFonts w:ascii="Arial Narrow" w:eastAsiaTheme="minorHAnsi" w:hAnsi="Arial Narrow" w:cstheme="minorBidi"/>
          <w:sz w:val="20"/>
          <w:szCs w:val="20"/>
        </w:rPr>
      </w:pPr>
      <w:r w:rsidRPr="00EF06C5">
        <w:rPr>
          <w:rFonts w:ascii="Arial Narrow" w:eastAsiaTheme="minorHAnsi" w:hAnsi="Arial Narrow" w:cstheme="minorBidi"/>
          <w:sz w:val="20"/>
          <w:szCs w:val="20"/>
        </w:rPr>
        <w:t>* The pembrolizumab curves begin to converge towards the SOC (exponential) curve from 5 years (260 weeks). Convergence is achieved at the model time horizon of 7.5 years (390 weeks).</w:t>
      </w:r>
    </w:p>
    <w:p w:rsidR="00D660D2" w:rsidRPr="00D660D2" w:rsidRDefault="00D660D2" w:rsidP="00D80FA8">
      <w:pPr>
        <w:keepNext/>
        <w:widowControl w:val="0"/>
        <w:snapToGrid w:val="0"/>
        <w:jc w:val="both"/>
        <w:rPr>
          <w:rFonts w:ascii="Arial Narrow" w:hAnsi="Arial Narrow" w:cs="Arial"/>
          <w:b/>
          <w:sz w:val="20"/>
          <w:szCs w:val="16"/>
          <w:lang w:eastAsia="en-US"/>
        </w:rPr>
      </w:pPr>
      <w:r w:rsidRPr="00D660D2">
        <w:rPr>
          <w:rFonts w:ascii="Arial Narrow" w:hAnsi="Arial Narrow" w:cs="Arial"/>
          <w:b/>
          <w:sz w:val="20"/>
          <w:szCs w:val="16"/>
          <w:lang w:eastAsia="en-US"/>
        </w:rPr>
        <w:t xml:space="preserve">Figure </w:t>
      </w:r>
      <w:r w:rsidR="006C6CBE">
        <w:rPr>
          <w:rFonts w:ascii="Arial Narrow" w:hAnsi="Arial Narrow" w:cs="Arial"/>
          <w:b/>
          <w:noProof/>
          <w:sz w:val="20"/>
          <w:szCs w:val="16"/>
          <w:lang w:eastAsia="en-US"/>
        </w:rPr>
        <w:t>2</w:t>
      </w:r>
      <w:r w:rsidR="00E100A1">
        <w:rPr>
          <w:rFonts w:ascii="Arial Narrow" w:hAnsi="Arial Narrow" w:cs="Arial"/>
          <w:b/>
          <w:sz w:val="20"/>
          <w:szCs w:val="16"/>
          <w:lang w:eastAsia="en-US"/>
        </w:rPr>
        <w:t xml:space="preserve">: Kaplan-Meier results and extrapolations (with convergence at </w:t>
      </w:r>
      <w:r w:rsidR="00D30EDD">
        <w:rPr>
          <w:rFonts w:ascii="Arial Narrow" w:hAnsi="Arial Narrow" w:cs="Arial"/>
          <w:b/>
          <w:sz w:val="20"/>
          <w:szCs w:val="16"/>
          <w:lang w:eastAsia="en-US"/>
        </w:rPr>
        <w:t>7.5 years) for overall survival</w:t>
      </w:r>
    </w:p>
    <w:p w:rsidR="00A34836" w:rsidRPr="00745A1E" w:rsidRDefault="00745A1E" w:rsidP="00745A1E">
      <w:pPr>
        <w:spacing w:after="120"/>
        <w:rPr>
          <w:rFonts w:asciiTheme="minorHAnsi" w:eastAsiaTheme="minorHAnsi" w:hAnsiTheme="minorHAnsi" w:cstheme="minorBidi"/>
          <w:szCs w:val="22"/>
        </w:rPr>
      </w:pPr>
      <w:r>
        <w:rPr>
          <w:noProof/>
        </w:rPr>
        <w:drawing>
          <wp:inline distT="0" distB="0" distL="0" distR="0" wp14:anchorId="7A23BFC6" wp14:editId="488100BF">
            <wp:extent cx="5731510" cy="4705270"/>
            <wp:effectExtent l="0" t="0" r="254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4705270"/>
                    </a:xfrm>
                    <a:prstGeom prst="rect">
                      <a:avLst/>
                    </a:prstGeom>
                    <a:noFill/>
                  </pic:spPr>
                </pic:pic>
              </a:graphicData>
            </a:graphic>
          </wp:inline>
        </w:drawing>
      </w:r>
    </w:p>
    <w:p w:rsidR="00745A1E" w:rsidRDefault="00411161" w:rsidP="00411161">
      <w:pPr>
        <w:spacing w:after="120"/>
        <w:rPr>
          <w:rFonts w:ascii="Arial Narrow" w:eastAsiaTheme="minorHAnsi" w:hAnsi="Arial Narrow" w:cstheme="minorBidi"/>
          <w:sz w:val="20"/>
          <w:szCs w:val="20"/>
        </w:rPr>
      </w:pPr>
      <w:r w:rsidRPr="00EF06C5">
        <w:rPr>
          <w:rFonts w:ascii="Arial Narrow" w:eastAsiaTheme="minorHAnsi" w:hAnsi="Arial Narrow" w:cstheme="minorBidi"/>
          <w:sz w:val="20"/>
          <w:szCs w:val="20"/>
        </w:rPr>
        <w:t>* The pembrolizumab curves begin to converge towards the SOC (exponential) curve from 5 years (260 weeks). Convergence is achieved at the model time horizon of 7.5 years (390 weeks).</w:t>
      </w:r>
    </w:p>
    <w:p w:rsidR="00684410" w:rsidRPr="00684410" w:rsidRDefault="00684410" w:rsidP="00684410">
      <w:pPr>
        <w:pStyle w:val="ListParagraph"/>
        <w:widowControl/>
        <w:numPr>
          <w:ilvl w:val="1"/>
          <w:numId w:val="5"/>
        </w:numPr>
        <w:spacing w:after="120"/>
        <w:contextualSpacing w:val="0"/>
        <w:rPr>
          <w:rFonts w:asciiTheme="minorHAnsi" w:hAnsiTheme="minorHAnsi"/>
          <w:sz w:val="24"/>
          <w:szCs w:val="24"/>
        </w:rPr>
      </w:pPr>
      <w:r w:rsidRPr="00684410">
        <w:rPr>
          <w:rFonts w:asciiTheme="minorHAnsi" w:hAnsiTheme="minorHAnsi"/>
          <w:sz w:val="24"/>
          <w:szCs w:val="24"/>
        </w:rPr>
        <w:t xml:space="preserve">The pre-PBAC response stated that the extrapolations for PFS and OS were selected based on the distributions with the most conservative estimates of OS and PFS for the pembrolizumab treatment group. The PBAC </w:t>
      </w:r>
      <w:r w:rsidR="00F13C8C">
        <w:rPr>
          <w:rFonts w:asciiTheme="minorHAnsi" w:hAnsiTheme="minorHAnsi"/>
          <w:sz w:val="24"/>
          <w:szCs w:val="24"/>
        </w:rPr>
        <w:t>considered</w:t>
      </w:r>
      <w:r w:rsidRPr="00684410">
        <w:rPr>
          <w:rFonts w:asciiTheme="minorHAnsi" w:hAnsiTheme="minorHAnsi"/>
          <w:sz w:val="24"/>
          <w:szCs w:val="24"/>
        </w:rPr>
        <w:t xml:space="preserve"> that</w:t>
      </w:r>
      <w:r w:rsidR="00F13C8C">
        <w:rPr>
          <w:rFonts w:asciiTheme="minorHAnsi" w:hAnsiTheme="minorHAnsi"/>
          <w:sz w:val="24"/>
          <w:szCs w:val="24"/>
        </w:rPr>
        <w:t>,</w:t>
      </w:r>
      <w:r w:rsidRPr="00684410">
        <w:rPr>
          <w:rFonts w:asciiTheme="minorHAnsi" w:hAnsiTheme="minorHAnsi"/>
          <w:sz w:val="24"/>
          <w:szCs w:val="24"/>
        </w:rPr>
        <w:t xml:space="preserve"> as the pre-PBAC response did not provide traces of the area between the pembrolizumab and SOC curves for each extrapolation type</w:t>
      </w:r>
      <w:r w:rsidR="007665EB">
        <w:rPr>
          <w:rFonts w:asciiTheme="minorHAnsi" w:hAnsiTheme="minorHAnsi"/>
          <w:sz w:val="24"/>
          <w:szCs w:val="24"/>
        </w:rPr>
        <w:t xml:space="preserve"> across PFS and OS</w:t>
      </w:r>
      <w:r w:rsidRPr="00684410">
        <w:rPr>
          <w:rFonts w:asciiTheme="minorHAnsi" w:hAnsiTheme="minorHAnsi"/>
          <w:sz w:val="24"/>
          <w:szCs w:val="24"/>
        </w:rPr>
        <w:t xml:space="preserve">, it </w:t>
      </w:r>
      <w:r w:rsidR="00F13C8C">
        <w:rPr>
          <w:rFonts w:asciiTheme="minorHAnsi" w:hAnsiTheme="minorHAnsi"/>
          <w:sz w:val="24"/>
          <w:szCs w:val="24"/>
        </w:rPr>
        <w:t xml:space="preserve">remained </w:t>
      </w:r>
      <w:r w:rsidRPr="00684410">
        <w:rPr>
          <w:rFonts w:asciiTheme="minorHAnsi" w:hAnsiTheme="minorHAnsi"/>
          <w:sz w:val="24"/>
          <w:szCs w:val="24"/>
        </w:rPr>
        <w:t>uncertain which extrapolati</w:t>
      </w:r>
      <w:r w:rsidR="007665EB">
        <w:rPr>
          <w:rFonts w:asciiTheme="minorHAnsi" w:hAnsiTheme="minorHAnsi"/>
          <w:sz w:val="24"/>
          <w:szCs w:val="24"/>
        </w:rPr>
        <w:t>ons were the most conservative from visual inspection of Figures 1 and 2.</w:t>
      </w:r>
    </w:p>
    <w:p w:rsidR="003C2FB5" w:rsidRPr="006A15C9" w:rsidRDefault="00A55FEE" w:rsidP="008306F3">
      <w:pPr>
        <w:pStyle w:val="Heading2"/>
        <w:keepLines/>
        <w:spacing w:before="240" w:after="120"/>
        <w:rPr>
          <w:rFonts w:asciiTheme="minorHAnsi" w:eastAsiaTheme="majorEastAsia" w:hAnsiTheme="minorHAnsi" w:cstheme="majorBidi"/>
          <w:b w:val="0"/>
          <w:sz w:val="28"/>
          <w:szCs w:val="28"/>
          <w:lang w:eastAsia="en-US"/>
        </w:rPr>
      </w:pPr>
      <w:r w:rsidRPr="003C2FB5">
        <w:rPr>
          <w:rFonts w:asciiTheme="minorHAnsi" w:eastAsiaTheme="majorEastAsia" w:hAnsiTheme="minorHAnsi" w:cstheme="majorBidi"/>
          <w:sz w:val="28"/>
          <w:szCs w:val="28"/>
          <w:lang w:eastAsia="en-US"/>
        </w:rPr>
        <w:t>Drug cost/patient/course</w:t>
      </w:r>
      <w:r w:rsidR="00C45738">
        <w:rPr>
          <w:rFonts w:asciiTheme="minorHAnsi" w:eastAsiaTheme="majorEastAsia" w:hAnsiTheme="minorHAnsi" w:cstheme="majorBidi"/>
          <w:sz w:val="28"/>
          <w:szCs w:val="28"/>
          <w:lang w:eastAsia="en-US"/>
        </w:rPr>
        <w:t>:</w:t>
      </w:r>
      <w:r w:rsidR="00FD5D84">
        <w:rPr>
          <w:rFonts w:asciiTheme="minorHAnsi" w:eastAsiaTheme="majorEastAsia" w:hAnsiTheme="minorHAnsi" w:cstheme="majorBidi"/>
          <w:sz w:val="28"/>
          <w:szCs w:val="28"/>
          <w:lang w:eastAsia="en-US"/>
        </w:rPr>
        <w:t xml:space="preserve"> $</w:t>
      </w:r>
      <w:r w:rsidR="00E964DA">
        <w:rPr>
          <w:rFonts w:asciiTheme="minorHAnsi" w:eastAsiaTheme="majorEastAsia" w:hAnsiTheme="minorHAnsi" w:cstheme="majorBidi"/>
          <w:noProof/>
          <w:color w:val="000000"/>
          <w:sz w:val="28"/>
          <w:szCs w:val="28"/>
          <w:highlight w:val="black"/>
          <w:lang w:eastAsia="en-US"/>
        </w:rPr>
        <w:t>'''''''''''''</w:t>
      </w:r>
      <w:r w:rsidR="00E97EA0" w:rsidRPr="006A15C9">
        <w:rPr>
          <w:rFonts w:asciiTheme="minorHAnsi" w:eastAsiaTheme="majorEastAsia" w:hAnsiTheme="minorHAnsi" w:cstheme="majorBidi"/>
          <w:b w:val="0"/>
          <w:sz w:val="28"/>
          <w:szCs w:val="28"/>
          <w:lang w:eastAsia="en-US"/>
        </w:rPr>
        <w:t xml:space="preserve"> (</w:t>
      </w:r>
      <w:r w:rsidR="009C4641">
        <w:rPr>
          <w:rFonts w:asciiTheme="minorHAnsi" w:eastAsiaTheme="majorEastAsia" w:hAnsiTheme="minorHAnsi" w:cstheme="majorBidi"/>
          <w:b w:val="0"/>
          <w:sz w:val="28"/>
          <w:szCs w:val="28"/>
          <w:lang w:eastAsia="en-US"/>
        </w:rPr>
        <w:t xml:space="preserve">reduced </w:t>
      </w:r>
      <w:r w:rsidR="00DA7521">
        <w:rPr>
          <w:rFonts w:asciiTheme="minorHAnsi" w:eastAsiaTheme="majorEastAsia" w:hAnsiTheme="minorHAnsi" w:cstheme="majorBidi"/>
          <w:b w:val="0"/>
          <w:sz w:val="28"/>
          <w:szCs w:val="28"/>
          <w:lang w:eastAsia="en-US"/>
        </w:rPr>
        <w:t xml:space="preserve">by </w:t>
      </w:r>
      <w:r w:rsidR="00E964DA">
        <w:rPr>
          <w:rFonts w:asciiTheme="minorHAnsi" w:eastAsiaTheme="majorEastAsia" w:hAnsiTheme="minorHAnsi" w:cstheme="majorBidi"/>
          <w:b w:val="0"/>
          <w:noProof/>
          <w:color w:val="000000"/>
          <w:sz w:val="28"/>
          <w:szCs w:val="28"/>
          <w:highlight w:val="black"/>
          <w:lang w:eastAsia="en-US"/>
        </w:rPr>
        <w:t>'''</w:t>
      </w:r>
      <w:r w:rsidR="00DA7521">
        <w:rPr>
          <w:rFonts w:asciiTheme="minorHAnsi" w:eastAsiaTheme="majorEastAsia" w:hAnsiTheme="minorHAnsi" w:cstheme="majorBidi"/>
          <w:b w:val="0"/>
          <w:sz w:val="28"/>
          <w:szCs w:val="28"/>
          <w:lang w:eastAsia="en-US"/>
        </w:rPr>
        <w:t xml:space="preserve">% </w:t>
      </w:r>
      <w:r w:rsidR="009C4641">
        <w:rPr>
          <w:rFonts w:asciiTheme="minorHAnsi" w:eastAsiaTheme="majorEastAsia" w:hAnsiTheme="minorHAnsi" w:cstheme="majorBidi"/>
          <w:b w:val="0"/>
          <w:sz w:val="28"/>
          <w:szCs w:val="28"/>
          <w:lang w:eastAsia="en-US"/>
        </w:rPr>
        <w:t>from $</w:t>
      </w:r>
      <w:r w:rsidR="00E964DA">
        <w:rPr>
          <w:rFonts w:asciiTheme="minorHAnsi" w:eastAsiaTheme="majorEastAsia" w:hAnsiTheme="minorHAnsi" w:cstheme="majorBidi"/>
          <w:b w:val="0"/>
          <w:noProof/>
          <w:color w:val="000000"/>
          <w:sz w:val="28"/>
          <w:szCs w:val="28"/>
          <w:highlight w:val="black"/>
          <w:lang w:eastAsia="en-US"/>
        </w:rPr>
        <w:t>'''''''''''''</w:t>
      </w:r>
      <w:r w:rsidR="009C4641">
        <w:rPr>
          <w:rFonts w:asciiTheme="minorHAnsi" w:eastAsiaTheme="majorEastAsia" w:hAnsiTheme="minorHAnsi" w:cstheme="majorBidi"/>
          <w:b w:val="0"/>
          <w:sz w:val="28"/>
          <w:szCs w:val="28"/>
          <w:lang w:eastAsia="en-US"/>
        </w:rPr>
        <w:t xml:space="preserve"> </w:t>
      </w:r>
      <w:r w:rsidR="00F07A41">
        <w:rPr>
          <w:rFonts w:asciiTheme="minorHAnsi" w:eastAsiaTheme="majorEastAsia" w:hAnsiTheme="minorHAnsi" w:cstheme="majorBidi"/>
          <w:b w:val="0"/>
          <w:sz w:val="28"/>
          <w:szCs w:val="28"/>
          <w:lang w:eastAsia="en-US"/>
        </w:rPr>
        <w:t>estimated in November 2017</w:t>
      </w:r>
      <w:r w:rsidR="0084167C">
        <w:rPr>
          <w:rFonts w:asciiTheme="minorHAnsi" w:eastAsiaTheme="majorEastAsia" w:hAnsiTheme="minorHAnsi" w:cstheme="majorBidi"/>
          <w:b w:val="0"/>
          <w:sz w:val="28"/>
          <w:szCs w:val="28"/>
          <w:lang w:eastAsia="en-US"/>
        </w:rPr>
        <w:t>,</w:t>
      </w:r>
      <w:r w:rsidR="00F07A41">
        <w:rPr>
          <w:rFonts w:asciiTheme="minorHAnsi" w:eastAsiaTheme="majorEastAsia" w:hAnsiTheme="minorHAnsi" w:cstheme="majorBidi"/>
          <w:b w:val="0"/>
          <w:sz w:val="28"/>
          <w:szCs w:val="28"/>
          <w:lang w:eastAsia="en-US"/>
        </w:rPr>
        <w:t xml:space="preserve"> </w:t>
      </w:r>
      <w:r w:rsidR="00E97EA0" w:rsidRPr="006A15C9">
        <w:rPr>
          <w:rFonts w:asciiTheme="minorHAnsi" w:eastAsiaTheme="majorEastAsia" w:hAnsiTheme="minorHAnsi" w:cstheme="majorBidi"/>
          <w:b w:val="0"/>
          <w:sz w:val="28"/>
          <w:szCs w:val="28"/>
          <w:lang w:eastAsia="en-US"/>
        </w:rPr>
        <w:t>based on an additional rebate)</w:t>
      </w:r>
    </w:p>
    <w:p w:rsidR="00267A78" w:rsidRPr="008C6270" w:rsidRDefault="00D63749" w:rsidP="00267A78">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8C6270">
        <w:rPr>
          <w:rFonts w:asciiTheme="minorHAnsi" w:eastAsiaTheme="minorHAnsi" w:hAnsiTheme="minorHAnsi" w:cstheme="minorBidi"/>
          <w:snapToGrid/>
          <w:sz w:val="24"/>
          <w:szCs w:val="22"/>
        </w:rPr>
        <w:t xml:space="preserve">The minor resubmission stated that, “to establish cost effectiveness, an </w:t>
      </w:r>
      <w:r w:rsidR="00E964DA">
        <w:rPr>
          <w:rFonts w:asciiTheme="minorHAnsi" w:eastAsiaTheme="minorHAnsi" w:hAnsiTheme="minorHAnsi" w:cstheme="minorBidi"/>
          <w:noProof/>
          <w:snapToGrid/>
          <w:color w:val="000000"/>
          <w:sz w:val="24"/>
          <w:szCs w:val="22"/>
          <w:highlight w:val="black"/>
        </w:rPr>
        <w:t>'''</w:t>
      </w:r>
      <w:r w:rsidRPr="008C6270">
        <w:rPr>
          <w:rFonts w:asciiTheme="minorHAnsi" w:eastAsiaTheme="minorHAnsi" w:hAnsiTheme="minorHAnsi" w:cstheme="minorBidi"/>
          <w:snapToGrid/>
          <w:sz w:val="24"/>
          <w:szCs w:val="22"/>
        </w:rPr>
        <w:t>% reduction in the average per patient drug treatment cost (from $</w:t>
      </w:r>
      <w:r w:rsidR="00E964DA">
        <w:rPr>
          <w:rFonts w:asciiTheme="minorHAnsi" w:eastAsiaTheme="minorHAnsi" w:hAnsiTheme="minorHAnsi" w:cstheme="minorBidi"/>
          <w:noProof/>
          <w:snapToGrid/>
          <w:color w:val="000000"/>
          <w:sz w:val="24"/>
          <w:szCs w:val="22"/>
          <w:highlight w:val="black"/>
        </w:rPr>
        <w:t>''''''''''''</w:t>
      </w:r>
      <w:r w:rsidRPr="008C6270">
        <w:rPr>
          <w:rFonts w:asciiTheme="minorHAnsi" w:eastAsiaTheme="minorHAnsi" w:hAnsiTheme="minorHAnsi" w:cstheme="minorBidi"/>
          <w:snapToGrid/>
          <w:sz w:val="24"/>
          <w:szCs w:val="22"/>
        </w:rPr>
        <w:t xml:space="preserve"> to $</w:t>
      </w:r>
      <w:r w:rsidR="00E964DA">
        <w:rPr>
          <w:rFonts w:asciiTheme="minorHAnsi" w:eastAsiaTheme="minorHAnsi" w:hAnsiTheme="minorHAnsi" w:cstheme="minorBidi"/>
          <w:noProof/>
          <w:snapToGrid/>
          <w:color w:val="000000"/>
          <w:sz w:val="24"/>
          <w:szCs w:val="22"/>
          <w:highlight w:val="black"/>
        </w:rPr>
        <w:t>''''''''''''''</w:t>
      </w:r>
      <w:r w:rsidRPr="008C6270">
        <w:rPr>
          <w:rFonts w:asciiTheme="minorHAnsi" w:eastAsiaTheme="minorHAnsi" w:hAnsiTheme="minorHAnsi" w:cstheme="minorBidi"/>
          <w:snapToGrid/>
          <w:sz w:val="24"/>
          <w:szCs w:val="22"/>
        </w:rPr>
        <w:t xml:space="preserve">) is being proposed, which would be achieved through an additional rebate that is linked to treatment duration, </w:t>
      </w:r>
      <w:r w:rsidR="00E964DA">
        <w:rPr>
          <w:rFonts w:asciiTheme="minorHAnsi" w:eastAsiaTheme="minorHAnsi" w:hAnsiTheme="minorHAnsi" w:cstheme="minorBidi"/>
          <w:noProof/>
          <w:snapToGrid/>
          <w:color w:val="000000"/>
          <w:sz w:val="24"/>
          <w:szCs w:val="22"/>
          <w:highlight w:val="black"/>
        </w:rPr>
        <w:t>''''''' ''' ''''''''''''''' ''''''''' ''''' '''''''''''''''' ''''''' '''''''''''''' ''''''''''''''''</w:t>
      </w:r>
      <w:r w:rsidRPr="008C6270">
        <w:rPr>
          <w:rFonts w:asciiTheme="minorHAnsi" w:eastAsiaTheme="minorHAnsi" w:hAnsiTheme="minorHAnsi" w:cstheme="minorBidi"/>
          <w:snapToGrid/>
          <w:sz w:val="24"/>
          <w:szCs w:val="22"/>
        </w:rPr>
        <w:t xml:space="preserve">”. </w:t>
      </w:r>
      <w:r w:rsidR="009A4A40" w:rsidRPr="008C6270">
        <w:rPr>
          <w:rFonts w:asciiTheme="minorHAnsi" w:eastAsiaTheme="minorHAnsi" w:hAnsiTheme="minorHAnsi" w:cstheme="minorBidi"/>
          <w:snapToGrid/>
          <w:sz w:val="24"/>
          <w:szCs w:val="22"/>
        </w:rPr>
        <w:t>Based on the Excel workbook</w:t>
      </w:r>
      <w:r w:rsidRPr="008C6270">
        <w:rPr>
          <w:rFonts w:asciiTheme="minorHAnsi" w:eastAsiaTheme="minorHAnsi" w:hAnsiTheme="minorHAnsi" w:cstheme="minorBidi"/>
          <w:snapToGrid/>
          <w:sz w:val="24"/>
          <w:szCs w:val="22"/>
        </w:rPr>
        <w:t xml:space="preserve"> provided with the minor resubmission, the estimated </w:t>
      </w:r>
      <w:r w:rsidR="00961CA3" w:rsidRPr="008C6270">
        <w:rPr>
          <w:rFonts w:asciiTheme="minorHAnsi" w:eastAsiaTheme="minorHAnsi" w:hAnsiTheme="minorHAnsi" w:cstheme="minorBidi"/>
          <w:snapToGrid/>
          <w:sz w:val="24"/>
          <w:szCs w:val="22"/>
        </w:rPr>
        <w:t xml:space="preserve">pembrolizumab </w:t>
      </w:r>
      <w:r w:rsidRPr="008C6270">
        <w:rPr>
          <w:rFonts w:asciiTheme="minorHAnsi" w:eastAsiaTheme="minorHAnsi" w:hAnsiTheme="minorHAnsi" w:cstheme="minorBidi"/>
          <w:snapToGrid/>
          <w:sz w:val="24"/>
          <w:szCs w:val="22"/>
        </w:rPr>
        <w:t>drug cost per patient per course was $</w:t>
      </w:r>
      <w:r w:rsidR="00E964DA">
        <w:rPr>
          <w:rFonts w:asciiTheme="minorHAnsi" w:eastAsiaTheme="minorHAnsi" w:hAnsiTheme="minorHAnsi" w:cstheme="minorBidi"/>
          <w:noProof/>
          <w:snapToGrid/>
          <w:color w:val="000000"/>
          <w:sz w:val="24"/>
          <w:szCs w:val="22"/>
          <w:highlight w:val="black"/>
        </w:rPr>
        <w:t>''''''''''''''</w:t>
      </w:r>
      <w:r w:rsidRPr="008C6270">
        <w:rPr>
          <w:rFonts w:asciiTheme="minorHAnsi" w:eastAsiaTheme="minorHAnsi" w:hAnsiTheme="minorHAnsi" w:cstheme="minorBidi"/>
          <w:snapToGrid/>
          <w:sz w:val="24"/>
          <w:szCs w:val="22"/>
        </w:rPr>
        <w:t>, which reduced to $</w:t>
      </w:r>
      <w:r w:rsidR="00E964DA">
        <w:rPr>
          <w:rFonts w:asciiTheme="minorHAnsi" w:eastAsiaTheme="minorHAnsi" w:hAnsiTheme="minorHAnsi" w:cstheme="minorBidi"/>
          <w:noProof/>
          <w:snapToGrid/>
          <w:color w:val="000000"/>
          <w:sz w:val="24"/>
          <w:szCs w:val="22"/>
          <w:highlight w:val="black"/>
        </w:rPr>
        <w:t>''''''''''''</w:t>
      </w:r>
      <w:r w:rsidRPr="008C6270">
        <w:rPr>
          <w:rFonts w:asciiTheme="minorHAnsi" w:eastAsiaTheme="minorHAnsi" w:hAnsiTheme="minorHAnsi" w:cstheme="minorBidi"/>
          <w:snapToGrid/>
          <w:sz w:val="24"/>
          <w:szCs w:val="22"/>
        </w:rPr>
        <w:t xml:space="preserve"> with the rebate. </w:t>
      </w:r>
      <w:r w:rsidR="00EB21ED" w:rsidRPr="008C6270">
        <w:rPr>
          <w:rFonts w:asciiTheme="minorHAnsi" w:eastAsiaTheme="minorHAnsi" w:hAnsiTheme="minorHAnsi" w:cstheme="minorBidi"/>
          <w:snapToGrid/>
          <w:sz w:val="24"/>
          <w:szCs w:val="22"/>
        </w:rPr>
        <w:t xml:space="preserve">Each patient was assumed to require an average of </w:t>
      </w:r>
      <w:r w:rsidR="00E964DA">
        <w:rPr>
          <w:rFonts w:asciiTheme="minorHAnsi" w:eastAsiaTheme="minorHAnsi" w:hAnsiTheme="minorHAnsi" w:cstheme="minorBidi"/>
          <w:noProof/>
          <w:snapToGrid/>
          <w:color w:val="000000"/>
          <w:sz w:val="24"/>
          <w:szCs w:val="22"/>
          <w:highlight w:val="black"/>
        </w:rPr>
        <w:t>''''''''''</w:t>
      </w:r>
      <w:r w:rsidR="00EB21ED" w:rsidRPr="008C6270">
        <w:rPr>
          <w:rFonts w:asciiTheme="minorHAnsi" w:eastAsiaTheme="minorHAnsi" w:hAnsiTheme="minorHAnsi" w:cstheme="minorBidi"/>
          <w:snapToGrid/>
          <w:sz w:val="24"/>
          <w:szCs w:val="22"/>
        </w:rPr>
        <w:t xml:space="preserve"> admi</w:t>
      </w:r>
      <w:r w:rsidR="00076CC8" w:rsidRPr="008C6270">
        <w:rPr>
          <w:rFonts w:asciiTheme="minorHAnsi" w:eastAsiaTheme="minorHAnsi" w:hAnsiTheme="minorHAnsi" w:cstheme="minorBidi"/>
          <w:snapToGrid/>
          <w:sz w:val="24"/>
          <w:szCs w:val="22"/>
        </w:rPr>
        <w:t xml:space="preserve">nistrations per </w:t>
      </w:r>
      <w:r w:rsidR="00EB21ED" w:rsidRPr="008C6270">
        <w:rPr>
          <w:rFonts w:asciiTheme="minorHAnsi" w:eastAsiaTheme="minorHAnsi" w:hAnsiTheme="minorHAnsi" w:cstheme="minorBidi"/>
          <w:snapToGrid/>
          <w:sz w:val="24"/>
          <w:szCs w:val="22"/>
        </w:rPr>
        <w:t>course</w:t>
      </w:r>
      <w:r w:rsidR="00076CC8" w:rsidRPr="008C6270">
        <w:rPr>
          <w:rFonts w:asciiTheme="minorHAnsi" w:eastAsiaTheme="minorHAnsi" w:hAnsiTheme="minorHAnsi" w:cstheme="minorBidi"/>
          <w:snapToGrid/>
          <w:sz w:val="24"/>
          <w:szCs w:val="22"/>
        </w:rPr>
        <w:t xml:space="preserve"> (approximately </w:t>
      </w:r>
      <w:r w:rsidR="00E964DA">
        <w:rPr>
          <w:rFonts w:asciiTheme="minorHAnsi" w:eastAsiaTheme="minorHAnsi" w:hAnsiTheme="minorHAnsi" w:cstheme="minorBidi"/>
          <w:noProof/>
          <w:snapToGrid/>
          <w:color w:val="000000"/>
          <w:sz w:val="24"/>
          <w:szCs w:val="22"/>
          <w:highlight w:val="black"/>
        </w:rPr>
        <w:t>''''''''''''</w:t>
      </w:r>
      <w:r w:rsidR="00076CC8" w:rsidRPr="008C6270">
        <w:rPr>
          <w:rFonts w:asciiTheme="minorHAnsi" w:eastAsiaTheme="minorHAnsi" w:hAnsiTheme="minorHAnsi" w:cstheme="minorBidi"/>
          <w:snapToGrid/>
          <w:sz w:val="24"/>
          <w:szCs w:val="22"/>
        </w:rPr>
        <w:t xml:space="preserve"> weeks)</w:t>
      </w:r>
      <w:r w:rsidR="00EB21ED" w:rsidRPr="008C6270">
        <w:rPr>
          <w:rFonts w:asciiTheme="minorHAnsi" w:eastAsiaTheme="minorHAnsi" w:hAnsiTheme="minorHAnsi" w:cstheme="minorBidi"/>
          <w:snapToGrid/>
          <w:sz w:val="24"/>
          <w:szCs w:val="22"/>
        </w:rPr>
        <w:t>, based on the modelled time on treatment</w:t>
      </w:r>
      <w:r w:rsidR="005B5043" w:rsidRPr="008C6270">
        <w:rPr>
          <w:rFonts w:asciiTheme="minorHAnsi" w:eastAsiaTheme="minorHAnsi" w:hAnsiTheme="minorHAnsi" w:cstheme="minorBidi"/>
          <w:snapToGrid/>
          <w:sz w:val="24"/>
          <w:szCs w:val="22"/>
        </w:rPr>
        <w:t xml:space="preserve"> (e.g. patients would receive pembrolizumab until they experience disease progression or reach the maximum </w:t>
      </w:r>
      <w:r w:rsidR="00E97EA0" w:rsidRPr="008C6270">
        <w:rPr>
          <w:rFonts w:asciiTheme="minorHAnsi" w:eastAsiaTheme="minorHAnsi" w:hAnsiTheme="minorHAnsi" w:cstheme="minorBidi"/>
          <w:snapToGrid/>
          <w:sz w:val="24"/>
          <w:szCs w:val="22"/>
        </w:rPr>
        <w:t xml:space="preserve">TGA-approved </w:t>
      </w:r>
      <w:r w:rsidR="005B5043" w:rsidRPr="008C6270">
        <w:rPr>
          <w:rFonts w:asciiTheme="minorHAnsi" w:eastAsiaTheme="minorHAnsi" w:hAnsiTheme="minorHAnsi" w:cstheme="minorBidi"/>
          <w:snapToGrid/>
          <w:sz w:val="24"/>
          <w:szCs w:val="22"/>
        </w:rPr>
        <w:t>treatment duration of 2 years)</w:t>
      </w:r>
      <w:r w:rsidR="00E97EA0" w:rsidRPr="008C6270">
        <w:rPr>
          <w:rFonts w:asciiTheme="minorHAnsi" w:eastAsiaTheme="minorHAnsi" w:hAnsiTheme="minorHAnsi" w:cstheme="minorBidi"/>
          <w:snapToGrid/>
          <w:sz w:val="24"/>
          <w:szCs w:val="22"/>
        </w:rPr>
        <w:t xml:space="preserve">, with the proposed rebate </w:t>
      </w:r>
      <w:r w:rsidR="009E61A6">
        <w:rPr>
          <w:rFonts w:asciiTheme="minorHAnsi" w:eastAsiaTheme="minorHAnsi" w:hAnsiTheme="minorHAnsi" w:cstheme="minorBidi"/>
          <w:snapToGrid/>
          <w:sz w:val="24"/>
          <w:szCs w:val="22"/>
        </w:rPr>
        <w:t>coming into effect</w:t>
      </w:r>
      <w:r w:rsidR="00E97EA0" w:rsidRPr="008C6270">
        <w:rPr>
          <w:rFonts w:asciiTheme="minorHAnsi" w:eastAsiaTheme="minorHAnsi" w:hAnsiTheme="minorHAnsi" w:cstheme="minorBidi"/>
          <w:snapToGrid/>
          <w:sz w:val="24"/>
          <w:szCs w:val="22"/>
        </w:rPr>
        <w:t xml:space="preserve"> about halfway between the </w:t>
      </w:r>
      <w:r w:rsidR="00267A78" w:rsidRPr="008C6270">
        <w:rPr>
          <w:rFonts w:asciiTheme="minorHAnsi" w:eastAsiaTheme="minorHAnsi" w:hAnsiTheme="minorHAnsi" w:cstheme="minorBidi"/>
          <w:snapToGrid/>
          <w:sz w:val="24"/>
          <w:szCs w:val="22"/>
        </w:rPr>
        <w:t>estimated</w:t>
      </w:r>
      <w:r w:rsidR="00E97EA0" w:rsidRPr="008C6270">
        <w:rPr>
          <w:rFonts w:asciiTheme="minorHAnsi" w:eastAsiaTheme="minorHAnsi" w:hAnsiTheme="minorHAnsi" w:cstheme="minorBidi"/>
          <w:snapToGrid/>
          <w:sz w:val="24"/>
          <w:szCs w:val="22"/>
        </w:rPr>
        <w:t xml:space="preserve"> mean duration of therapy and the maximum approved duration of therapy</w:t>
      </w:r>
      <w:r w:rsidR="005B5043" w:rsidRPr="008C6270">
        <w:rPr>
          <w:rFonts w:asciiTheme="minorHAnsi" w:eastAsiaTheme="minorHAnsi" w:hAnsiTheme="minorHAnsi" w:cstheme="minorBidi"/>
          <w:snapToGrid/>
          <w:sz w:val="24"/>
          <w:szCs w:val="22"/>
        </w:rPr>
        <w:t>.</w:t>
      </w:r>
      <w:r w:rsidRPr="008C6270">
        <w:rPr>
          <w:rFonts w:asciiTheme="minorHAnsi" w:eastAsiaTheme="minorHAnsi" w:hAnsiTheme="minorHAnsi" w:cstheme="minorBidi"/>
          <w:snapToGrid/>
          <w:sz w:val="24"/>
          <w:szCs w:val="22"/>
        </w:rPr>
        <w:t xml:space="preserve"> </w:t>
      </w:r>
      <w:r w:rsidR="009A4A40" w:rsidRPr="008C6270">
        <w:rPr>
          <w:rFonts w:asciiTheme="minorHAnsi" w:eastAsiaTheme="minorHAnsi" w:hAnsiTheme="minorHAnsi" w:cstheme="minorBidi"/>
          <w:snapToGrid/>
          <w:sz w:val="24"/>
          <w:szCs w:val="22"/>
        </w:rPr>
        <w:t xml:space="preserve">The difference in the </w:t>
      </w:r>
      <w:r w:rsidR="00267A78" w:rsidRPr="008C6270">
        <w:rPr>
          <w:rFonts w:asciiTheme="minorHAnsi" w:eastAsiaTheme="minorHAnsi" w:hAnsiTheme="minorHAnsi" w:cstheme="minorBidi"/>
          <w:snapToGrid/>
          <w:sz w:val="24"/>
          <w:szCs w:val="22"/>
        </w:rPr>
        <w:t xml:space="preserve">cost </w:t>
      </w:r>
      <w:r w:rsidR="009A4A40" w:rsidRPr="008C6270">
        <w:rPr>
          <w:rFonts w:asciiTheme="minorHAnsi" w:eastAsiaTheme="minorHAnsi" w:hAnsiTheme="minorHAnsi" w:cstheme="minorBidi"/>
          <w:snapToGrid/>
          <w:sz w:val="24"/>
          <w:szCs w:val="22"/>
        </w:rPr>
        <w:t>estimates be</w:t>
      </w:r>
      <w:r w:rsidR="008D2340" w:rsidRPr="008C6270">
        <w:rPr>
          <w:rFonts w:asciiTheme="minorHAnsi" w:eastAsiaTheme="minorHAnsi" w:hAnsiTheme="minorHAnsi" w:cstheme="minorBidi"/>
          <w:snapToGrid/>
          <w:sz w:val="24"/>
          <w:szCs w:val="22"/>
        </w:rPr>
        <w:t xml:space="preserve">tween </w:t>
      </w:r>
      <w:r w:rsidR="00E97EA0" w:rsidRPr="008C6270">
        <w:rPr>
          <w:rFonts w:asciiTheme="minorHAnsi" w:eastAsiaTheme="minorHAnsi" w:hAnsiTheme="minorHAnsi" w:cstheme="minorBidi"/>
          <w:snapToGrid/>
          <w:sz w:val="24"/>
          <w:szCs w:val="22"/>
        </w:rPr>
        <w:t xml:space="preserve">those given in </w:t>
      </w:r>
      <w:r w:rsidR="009A4A40" w:rsidRPr="008C6270">
        <w:rPr>
          <w:rFonts w:asciiTheme="minorHAnsi" w:eastAsiaTheme="minorHAnsi" w:hAnsiTheme="minorHAnsi" w:cstheme="minorBidi"/>
          <w:snapToGrid/>
          <w:sz w:val="24"/>
          <w:szCs w:val="22"/>
        </w:rPr>
        <w:t>the</w:t>
      </w:r>
      <w:r w:rsidR="008D2340" w:rsidRPr="008C6270">
        <w:rPr>
          <w:rFonts w:asciiTheme="minorHAnsi" w:eastAsiaTheme="minorHAnsi" w:hAnsiTheme="minorHAnsi" w:cstheme="minorBidi"/>
          <w:snapToGrid/>
          <w:sz w:val="24"/>
          <w:szCs w:val="22"/>
        </w:rPr>
        <w:t xml:space="preserve"> minor resubmission </w:t>
      </w:r>
      <w:r w:rsidR="00E97EA0" w:rsidRPr="008C6270">
        <w:rPr>
          <w:rFonts w:asciiTheme="minorHAnsi" w:eastAsiaTheme="minorHAnsi" w:hAnsiTheme="minorHAnsi" w:cstheme="minorBidi"/>
          <w:snapToGrid/>
          <w:sz w:val="24"/>
          <w:szCs w:val="22"/>
        </w:rPr>
        <w:t xml:space="preserve">and those derived </w:t>
      </w:r>
      <w:r w:rsidR="00961CA3" w:rsidRPr="008C6270">
        <w:rPr>
          <w:rFonts w:asciiTheme="minorHAnsi" w:eastAsiaTheme="minorHAnsi" w:hAnsiTheme="minorHAnsi" w:cstheme="minorBidi"/>
          <w:snapToGrid/>
          <w:sz w:val="24"/>
          <w:szCs w:val="22"/>
        </w:rPr>
        <w:t xml:space="preserve">above </w:t>
      </w:r>
      <w:r w:rsidR="00E97EA0" w:rsidRPr="008C6270">
        <w:rPr>
          <w:rFonts w:asciiTheme="minorHAnsi" w:eastAsiaTheme="minorHAnsi" w:hAnsiTheme="minorHAnsi" w:cstheme="minorBidi"/>
          <w:snapToGrid/>
          <w:sz w:val="24"/>
          <w:szCs w:val="22"/>
        </w:rPr>
        <w:t xml:space="preserve">from the Excel workbook </w:t>
      </w:r>
      <w:r w:rsidR="008D2340" w:rsidRPr="008C6270">
        <w:rPr>
          <w:rFonts w:asciiTheme="minorHAnsi" w:eastAsiaTheme="minorHAnsi" w:hAnsiTheme="minorHAnsi" w:cstheme="minorBidi"/>
          <w:snapToGrid/>
          <w:sz w:val="24"/>
          <w:szCs w:val="22"/>
        </w:rPr>
        <w:t xml:space="preserve">may be due to rounding in calculating the average number of administrations per patient. </w:t>
      </w:r>
      <w:r w:rsidR="00EB21ED" w:rsidRPr="008C6270">
        <w:rPr>
          <w:rFonts w:asciiTheme="minorHAnsi" w:eastAsiaTheme="minorHAnsi" w:hAnsiTheme="minorHAnsi" w:cstheme="minorBidi"/>
          <w:snapToGrid/>
          <w:sz w:val="24"/>
          <w:szCs w:val="22"/>
        </w:rPr>
        <w:t xml:space="preserve">In the November 2017 major resubmission, the estimated number of </w:t>
      </w:r>
      <w:r w:rsidR="00961CA3" w:rsidRPr="008C6270">
        <w:rPr>
          <w:rFonts w:asciiTheme="minorHAnsi" w:eastAsiaTheme="minorHAnsi" w:hAnsiTheme="minorHAnsi" w:cstheme="minorBidi"/>
          <w:snapToGrid/>
          <w:sz w:val="24"/>
          <w:szCs w:val="22"/>
        </w:rPr>
        <w:t xml:space="preserve">pembrolizumab </w:t>
      </w:r>
      <w:r w:rsidR="00EB21ED" w:rsidRPr="008C6270">
        <w:rPr>
          <w:rFonts w:asciiTheme="minorHAnsi" w:eastAsiaTheme="minorHAnsi" w:hAnsiTheme="minorHAnsi" w:cstheme="minorBidi"/>
          <w:snapToGrid/>
          <w:sz w:val="24"/>
          <w:szCs w:val="22"/>
        </w:rPr>
        <w:t xml:space="preserve">administrations and drug cost per course per patient were </w:t>
      </w:r>
      <w:r w:rsidR="00E964DA">
        <w:rPr>
          <w:rFonts w:asciiTheme="minorHAnsi" w:eastAsiaTheme="minorHAnsi" w:hAnsiTheme="minorHAnsi" w:cstheme="minorBidi"/>
          <w:noProof/>
          <w:snapToGrid/>
          <w:color w:val="000000"/>
          <w:sz w:val="24"/>
          <w:szCs w:val="22"/>
          <w:highlight w:val="black"/>
        </w:rPr>
        <w:t>'''''''''''</w:t>
      </w:r>
      <w:r w:rsidR="00EB21ED" w:rsidRPr="008C6270">
        <w:rPr>
          <w:rFonts w:asciiTheme="minorHAnsi" w:eastAsiaTheme="minorHAnsi" w:hAnsiTheme="minorHAnsi" w:cstheme="minorBidi"/>
          <w:snapToGrid/>
          <w:sz w:val="24"/>
          <w:szCs w:val="22"/>
        </w:rPr>
        <w:t xml:space="preserve"> administrations and $</w:t>
      </w:r>
      <w:r w:rsidR="00E964DA">
        <w:rPr>
          <w:rFonts w:asciiTheme="minorHAnsi" w:eastAsiaTheme="minorHAnsi" w:hAnsiTheme="minorHAnsi" w:cstheme="minorBidi"/>
          <w:noProof/>
          <w:snapToGrid/>
          <w:color w:val="000000"/>
          <w:sz w:val="24"/>
          <w:szCs w:val="22"/>
          <w:highlight w:val="black"/>
        </w:rPr>
        <w:t>'''''''''''''</w:t>
      </w:r>
      <w:r w:rsidR="00E97EA0" w:rsidRPr="008C6270">
        <w:rPr>
          <w:rFonts w:asciiTheme="minorHAnsi" w:eastAsiaTheme="minorHAnsi" w:hAnsiTheme="minorHAnsi" w:cstheme="minorBidi"/>
          <w:snapToGrid/>
          <w:sz w:val="24"/>
          <w:szCs w:val="22"/>
        </w:rPr>
        <w:t>,</w:t>
      </w:r>
      <w:r w:rsidR="00EB21ED" w:rsidRPr="008C6270">
        <w:rPr>
          <w:rFonts w:asciiTheme="minorHAnsi" w:eastAsiaTheme="minorHAnsi" w:hAnsiTheme="minorHAnsi" w:cstheme="minorBidi"/>
          <w:snapToGrid/>
          <w:sz w:val="24"/>
          <w:szCs w:val="22"/>
        </w:rPr>
        <w:t xml:space="preserve"> respectively</w:t>
      </w:r>
      <w:r w:rsidR="00EB21ED" w:rsidRPr="008C6270">
        <w:rPr>
          <w:rStyle w:val="FootnoteReference"/>
          <w:rFonts w:asciiTheme="minorHAnsi" w:eastAsiaTheme="minorHAnsi" w:hAnsiTheme="minorHAnsi" w:cstheme="minorBidi"/>
          <w:snapToGrid/>
          <w:sz w:val="24"/>
          <w:szCs w:val="22"/>
        </w:rPr>
        <w:footnoteReference w:id="2"/>
      </w:r>
      <w:r w:rsidR="00EB21ED" w:rsidRPr="008C6270">
        <w:rPr>
          <w:rFonts w:asciiTheme="minorHAnsi" w:eastAsiaTheme="minorHAnsi" w:hAnsiTheme="minorHAnsi" w:cstheme="minorBidi"/>
          <w:snapToGrid/>
          <w:sz w:val="24"/>
          <w:szCs w:val="22"/>
        </w:rPr>
        <w:t>.</w:t>
      </w:r>
    </w:p>
    <w:p w:rsidR="008D2340" w:rsidRPr="008C6270" w:rsidRDefault="00D80FA8" w:rsidP="00267A78">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8C6270">
        <w:rPr>
          <w:rFonts w:asciiTheme="minorHAnsi" w:eastAsiaTheme="minorHAnsi" w:hAnsiTheme="minorHAnsi" w:cstheme="minorBidi"/>
          <w:snapToGrid/>
          <w:sz w:val="24"/>
          <w:szCs w:val="22"/>
        </w:rPr>
        <w:t xml:space="preserve">As the basis of estimating drug cost per patient </w:t>
      </w:r>
      <w:r w:rsidR="00267A78" w:rsidRPr="008C6270">
        <w:rPr>
          <w:rFonts w:asciiTheme="minorHAnsi" w:eastAsiaTheme="minorHAnsi" w:hAnsiTheme="minorHAnsi" w:cstheme="minorBidi"/>
          <w:snapToGrid/>
          <w:sz w:val="24"/>
          <w:szCs w:val="22"/>
        </w:rPr>
        <w:t>wa</w:t>
      </w:r>
      <w:r w:rsidRPr="008C6270">
        <w:rPr>
          <w:rFonts w:asciiTheme="minorHAnsi" w:eastAsiaTheme="minorHAnsi" w:hAnsiTheme="minorHAnsi" w:cstheme="minorBidi"/>
          <w:snapToGrid/>
          <w:sz w:val="24"/>
          <w:szCs w:val="22"/>
        </w:rPr>
        <w:t xml:space="preserve">s based on assuming that time to progression equals time to treatment cessation, the more convincing basis for </w:t>
      </w:r>
      <w:r w:rsidR="00ED225A" w:rsidRPr="008C6270">
        <w:rPr>
          <w:rFonts w:asciiTheme="minorHAnsi" w:eastAsiaTheme="minorHAnsi" w:hAnsiTheme="minorHAnsi" w:cstheme="minorBidi"/>
          <w:snapToGrid/>
          <w:sz w:val="24"/>
          <w:szCs w:val="22"/>
        </w:rPr>
        <w:t>estimating the cost per patient would have been to use directly reported time to treatment cessation (as per the usual Kaplan-Meier approach), and then</w:t>
      </w:r>
      <w:r w:rsidR="00C50E27" w:rsidRPr="008C6270">
        <w:rPr>
          <w:rFonts w:asciiTheme="minorHAnsi" w:eastAsiaTheme="minorHAnsi" w:hAnsiTheme="minorHAnsi" w:cstheme="minorBidi"/>
          <w:snapToGrid/>
          <w:sz w:val="24"/>
          <w:szCs w:val="22"/>
        </w:rPr>
        <w:t>, as necessary,</w:t>
      </w:r>
      <w:r w:rsidR="00ED225A" w:rsidRPr="008C6270">
        <w:rPr>
          <w:rFonts w:asciiTheme="minorHAnsi" w:eastAsiaTheme="minorHAnsi" w:hAnsiTheme="minorHAnsi" w:cstheme="minorBidi"/>
          <w:snapToGrid/>
          <w:sz w:val="24"/>
          <w:szCs w:val="22"/>
        </w:rPr>
        <w:t xml:space="preserve"> </w:t>
      </w:r>
      <w:r w:rsidRPr="008C6270">
        <w:rPr>
          <w:rFonts w:asciiTheme="minorHAnsi" w:eastAsiaTheme="minorHAnsi" w:hAnsiTheme="minorHAnsi" w:cstheme="minorBidi"/>
          <w:snapToGrid/>
          <w:sz w:val="24"/>
          <w:szCs w:val="22"/>
        </w:rPr>
        <w:t xml:space="preserve">extrapolating </w:t>
      </w:r>
      <w:r w:rsidR="00ED225A" w:rsidRPr="008C6270">
        <w:rPr>
          <w:rFonts w:asciiTheme="minorHAnsi" w:eastAsiaTheme="minorHAnsi" w:hAnsiTheme="minorHAnsi" w:cstheme="minorBidi"/>
          <w:snapToGrid/>
          <w:sz w:val="24"/>
          <w:szCs w:val="22"/>
        </w:rPr>
        <w:t xml:space="preserve">this more direct measure of treatment duration </w:t>
      </w:r>
      <w:r w:rsidR="00C50E27" w:rsidRPr="008C6270">
        <w:rPr>
          <w:rFonts w:asciiTheme="minorHAnsi" w:eastAsiaTheme="minorHAnsi" w:hAnsiTheme="minorHAnsi" w:cstheme="minorBidi"/>
          <w:snapToGrid/>
          <w:sz w:val="24"/>
          <w:szCs w:val="22"/>
        </w:rPr>
        <w:t xml:space="preserve">to </w:t>
      </w:r>
      <w:r w:rsidR="00ED225A" w:rsidRPr="008C6270">
        <w:rPr>
          <w:rFonts w:asciiTheme="minorHAnsi" w:eastAsiaTheme="minorHAnsi" w:hAnsiTheme="minorHAnsi" w:cstheme="minorBidi"/>
          <w:snapToGrid/>
          <w:sz w:val="24"/>
          <w:szCs w:val="22"/>
        </w:rPr>
        <w:t xml:space="preserve">thus </w:t>
      </w:r>
      <w:r w:rsidR="00C50E27" w:rsidRPr="008C6270">
        <w:rPr>
          <w:rFonts w:asciiTheme="minorHAnsi" w:eastAsiaTheme="minorHAnsi" w:hAnsiTheme="minorHAnsi" w:cstheme="minorBidi"/>
          <w:snapToGrid/>
          <w:sz w:val="24"/>
          <w:szCs w:val="22"/>
        </w:rPr>
        <w:t xml:space="preserve">estimate </w:t>
      </w:r>
      <w:r w:rsidR="00ED225A" w:rsidRPr="008C6270">
        <w:rPr>
          <w:rFonts w:asciiTheme="minorHAnsi" w:eastAsiaTheme="minorHAnsi" w:hAnsiTheme="minorHAnsi" w:cstheme="minorBidi"/>
          <w:snapToGrid/>
          <w:sz w:val="24"/>
          <w:szCs w:val="22"/>
        </w:rPr>
        <w:t xml:space="preserve">treatment costs. </w:t>
      </w:r>
      <w:r w:rsidR="00C50E27" w:rsidRPr="008C6270">
        <w:rPr>
          <w:rFonts w:asciiTheme="minorHAnsi" w:eastAsiaTheme="minorHAnsi" w:hAnsiTheme="minorHAnsi" w:cstheme="minorBidi"/>
          <w:snapToGrid/>
          <w:sz w:val="24"/>
          <w:szCs w:val="22"/>
        </w:rPr>
        <w:t xml:space="preserve">The figure below shows that, on average, patients </w:t>
      </w:r>
      <w:r w:rsidR="00FD58C5" w:rsidRPr="008C6270">
        <w:rPr>
          <w:rFonts w:asciiTheme="minorHAnsi" w:eastAsiaTheme="minorHAnsi" w:hAnsiTheme="minorHAnsi" w:cstheme="minorBidi"/>
          <w:snapToGrid/>
          <w:sz w:val="24"/>
          <w:szCs w:val="22"/>
        </w:rPr>
        <w:t xml:space="preserve">in the key trial </w:t>
      </w:r>
      <w:r w:rsidR="00C50E27" w:rsidRPr="008C6270">
        <w:rPr>
          <w:rFonts w:asciiTheme="minorHAnsi" w:eastAsiaTheme="minorHAnsi" w:hAnsiTheme="minorHAnsi" w:cstheme="minorBidi"/>
          <w:snapToGrid/>
          <w:sz w:val="24"/>
          <w:szCs w:val="22"/>
        </w:rPr>
        <w:t xml:space="preserve">tended to stop pembrolizumab earlier than they experienced a progression event. As follow-up extended to up to two years, at which time pembrolizumab therapy should be stopped anyway, the </w:t>
      </w:r>
      <w:r w:rsidR="007521BA" w:rsidRPr="008C6270">
        <w:rPr>
          <w:rFonts w:asciiTheme="minorHAnsi" w:eastAsiaTheme="minorHAnsi" w:hAnsiTheme="minorHAnsi" w:cstheme="minorBidi"/>
          <w:snapToGrid/>
          <w:sz w:val="24"/>
          <w:szCs w:val="22"/>
        </w:rPr>
        <w:t xml:space="preserve">drug cost per patient per course </w:t>
      </w:r>
      <w:r w:rsidR="00FD58C5" w:rsidRPr="008C6270">
        <w:rPr>
          <w:rFonts w:asciiTheme="minorHAnsi" w:eastAsiaTheme="minorHAnsi" w:hAnsiTheme="minorHAnsi" w:cstheme="minorBidi"/>
          <w:snapToGrid/>
          <w:sz w:val="24"/>
          <w:szCs w:val="22"/>
        </w:rPr>
        <w:t xml:space="preserve">using the observed time to treatment cessation from the trial </w:t>
      </w:r>
      <w:r w:rsidR="007521BA" w:rsidRPr="008C6270">
        <w:rPr>
          <w:rFonts w:asciiTheme="minorHAnsi" w:eastAsiaTheme="minorHAnsi" w:hAnsiTheme="minorHAnsi" w:cstheme="minorBidi"/>
          <w:snapToGrid/>
          <w:sz w:val="24"/>
          <w:szCs w:val="22"/>
        </w:rPr>
        <w:t>becomes $</w:t>
      </w:r>
      <w:r w:rsidR="00E964DA">
        <w:rPr>
          <w:rFonts w:asciiTheme="minorHAnsi" w:eastAsiaTheme="minorHAnsi" w:hAnsiTheme="minorHAnsi" w:cstheme="minorBidi"/>
          <w:noProof/>
          <w:snapToGrid/>
          <w:color w:val="000000"/>
          <w:sz w:val="24"/>
          <w:szCs w:val="22"/>
          <w:highlight w:val="black"/>
        </w:rPr>
        <w:t>'''''''''''''''''</w:t>
      </w:r>
      <w:r w:rsidR="00267A78" w:rsidRPr="008C6270">
        <w:rPr>
          <w:rFonts w:asciiTheme="minorHAnsi" w:eastAsiaTheme="minorHAnsi" w:hAnsiTheme="minorHAnsi" w:cstheme="minorBidi"/>
          <w:snapToGrid/>
          <w:sz w:val="24"/>
          <w:szCs w:val="22"/>
        </w:rPr>
        <w:t xml:space="preserve"> (based on </w:t>
      </w:r>
      <w:r w:rsidR="00E964DA">
        <w:rPr>
          <w:rFonts w:asciiTheme="minorHAnsi" w:eastAsiaTheme="minorHAnsi" w:hAnsiTheme="minorHAnsi" w:cstheme="minorBidi"/>
          <w:noProof/>
          <w:snapToGrid/>
          <w:color w:val="000000"/>
          <w:sz w:val="24"/>
          <w:szCs w:val="22"/>
          <w:highlight w:val="black"/>
        </w:rPr>
        <w:t>'''''''''''</w:t>
      </w:r>
      <w:r w:rsidR="00267A78" w:rsidRPr="008C6270">
        <w:rPr>
          <w:rFonts w:asciiTheme="minorHAnsi" w:eastAsiaTheme="minorHAnsi" w:hAnsiTheme="minorHAnsi" w:cstheme="minorBidi"/>
          <w:snapToGrid/>
          <w:sz w:val="24"/>
          <w:szCs w:val="22"/>
        </w:rPr>
        <w:t xml:space="preserve"> administrations at $</w:t>
      </w:r>
      <w:r w:rsidR="00E964DA">
        <w:rPr>
          <w:rFonts w:asciiTheme="minorHAnsi" w:eastAsiaTheme="minorHAnsi" w:hAnsiTheme="minorHAnsi" w:cstheme="minorBidi"/>
          <w:noProof/>
          <w:snapToGrid/>
          <w:color w:val="000000"/>
          <w:sz w:val="24"/>
          <w:szCs w:val="22"/>
          <w:highlight w:val="black"/>
        </w:rPr>
        <w:t>'''''''''</w:t>
      </w:r>
      <w:r w:rsidR="00267A78" w:rsidRPr="008C6270">
        <w:rPr>
          <w:rFonts w:asciiTheme="minorHAnsi" w:eastAsiaTheme="minorHAnsi" w:hAnsiTheme="minorHAnsi" w:cstheme="minorBidi"/>
          <w:snapToGrid/>
          <w:sz w:val="24"/>
          <w:szCs w:val="22"/>
        </w:rPr>
        <w:t xml:space="preserve"> each), with the </w:t>
      </w:r>
      <w:r w:rsidR="00E964DA">
        <w:rPr>
          <w:rFonts w:asciiTheme="minorHAnsi" w:eastAsiaTheme="minorHAnsi" w:hAnsiTheme="minorHAnsi" w:cstheme="minorBidi"/>
          <w:noProof/>
          <w:snapToGrid/>
          <w:color w:val="000000"/>
          <w:sz w:val="24"/>
          <w:szCs w:val="22"/>
          <w:highlight w:val="black"/>
        </w:rPr>
        <w:t>'''''</w:t>
      </w:r>
      <w:r w:rsidR="00267A78" w:rsidRPr="008C6270">
        <w:rPr>
          <w:rFonts w:asciiTheme="minorHAnsi" w:eastAsiaTheme="minorHAnsi" w:hAnsiTheme="minorHAnsi" w:cstheme="minorBidi"/>
          <w:snapToGrid/>
          <w:sz w:val="24"/>
          <w:szCs w:val="22"/>
        </w:rPr>
        <w:t xml:space="preserve">% rebate </w:t>
      </w:r>
      <w:r w:rsidR="00E964DA">
        <w:rPr>
          <w:rFonts w:asciiTheme="minorHAnsi" w:eastAsiaTheme="minorHAnsi" w:hAnsiTheme="minorHAnsi" w:cstheme="minorBidi"/>
          <w:noProof/>
          <w:snapToGrid/>
          <w:color w:val="000000"/>
          <w:sz w:val="24"/>
          <w:szCs w:val="22"/>
          <w:highlight w:val="black"/>
        </w:rPr>
        <w:t>''''''''''''' ''''' '''''''''''''''''''''''''''''' '''''''''' '''''''''' ''''''</w:t>
      </w:r>
      <w:r w:rsidR="00267A78" w:rsidRPr="008C6270">
        <w:rPr>
          <w:rFonts w:asciiTheme="minorHAnsi" w:eastAsiaTheme="minorHAnsi" w:hAnsiTheme="minorHAnsi" w:cstheme="minorBidi"/>
          <w:snapToGrid/>
          <w:sz w:val="24"/>
          <w:szCs w:val="22"/>
        </w:rPr>
        <w:t>)</w:t>
      </w:r>
      <w:r w:rsidR="007521BA" w:rsidRPr="008C6270">
        <w:rPr>
          <w:rFonts w:asciiTheme="minorHAnsi" w:eastAsiaTheme="minorHAnsi" w:hAnsiTheme="minorHAnsi" w:cstheme="minorBidi"/>
          <w:snapToGrid/>
          <w:sz w:val="24"/>
          <w:szCs w:val="22"/>
        </w:rPr>
        <w:t xml:space="preserve">. The corresponding ICER/QALY </w:t>
      </w:r>
      <w:r w:rsidR="00FD58C5" w:rsidRPr="008C6270">
        <w:rPr>
          <w:rFonts w:asciiTheme="minorHAnsi" w:eastAsiaTheme="minorHAnsi" w:hAnsiTheme="minorHAnsi" w:cstheme="minorBidi"/>
          <w:snapToGrid/>
          <w:sz w:val="24"/>
          <w:szCs w:val="22"/>
        </w:rPr>
        <w:t xml:space="preserve">reduces to </w:t>
      </w:r>
      <w:r w:rsidR="005347E9">
        <w:rPr>
          <w:rFonts w:asciiTheme="minorHAnsi" w:eastAsiaTheme="minorHAnsi" w:hAnsiTheme="minorHAnsi" w:cstheme="minorBidi"/>
          <w:snapToGrid/>
          <w:sz w:val="24"/>
          <w:szCs w:val="22"/>
        </w:rPr>
        <w:t xml:space="preserve">$45,000 - $75,000 </w:t>
      </w:r>
      <w:r w:rsidR="00FD58C5" w:rsidRPr="008C6270">
        <w:rPr>
          <w:rFonts w:asciiTheme="minorHAnsi" w:eastAsiaTheme="minorHAnsi" w:hAnsiTheme="minorHAnsi" w:cstheme="minorBidi"/>
          <w:snapToGrid/>
          <w:sz w:val="24"/>
          <w:szCs w:val="22"/>
        </w:rPr>
        <w:t xml:space="preserve">from the minor resubmission’s base case of </w:t>
      </w:r>
      <w:r w:rsidR="005347E9" w:rsidRPr="005347E9">
        <w:rPr>
          <w:rFonts w:asciiTheme="minorHAnsi" w:eastAsiaTheme="minorHAnsi" w:hAnsiTheme="minorHAnsi" w:cstheme="minorBidi"/>
          <w:snapToGrid/>
          <w:sz w:val="24"/>
          <w:szCs w:val="22"/>
        </w:rPr>
        <w:t>$45,000 - $75,000</w:t>
      </w:r>
      <w:r w:rsidR="00ED225A" w:rsidRPr="008C6270">
        <w:rPr>
          <w:rFonts w:asciiTheme="minorHAnsi" w:eastAsiaTheme="minorHAnsi" w:hAnsiTheme="minorHAnsi" w:cstheme="minorBidi"/>
          <w:snapToGrid/>
          <w:sz w:val="24"/>
          <w:szCs w:val="22"/>
        </w:rPr>
        <w:t>.</w:t>
      </w:r>
    </w:p>
    <w:p w:rsidR="00360FED" w:rsidRDefault="00360FED" w:rsidP="009C4641">
      <w:pPr>
        <w:pStyle w:val="PBACHeading1"/>
        <w:numPr>
          <w:ilvl w:val="0"/>
          <w:numId w:val="0"/>
        </w:numPr>
        <w:outlineLvl w:val="9"/>
        <w:rPr>
          <w:rFonts w:ascii="Arial Narrow" w:hAnsi="Arial Narrow"/>
          <w:sz w:val="20"/>
          <w:szCs w:val="16"/>
        </w:rPr>
        <w:sectPr w:rsidR="00360FED" w:rsidSect="000E6B16">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1440" w:footer="1440" w:gutter="0"/>
          <w:cols w:space="708"/>
          <w:docGrid w:linePitch="360"/>
        </w:sectPr>
      </w:pPr>
    </w:p>
    <w:p w:rsidR="00C50E27" w:rsidRPr="00C50E27" w:rsidRDefault="00C50E27" w:rsidP="009C4641">
      <w:pPr>
        <w:pStyle w:val="PBACHeading1"/>
        <w:numPr>
          <w:ilvl w:val="0"/>
          <w:numId w:val="0"/>
        </w:numPr>
        <w:outlineLvl w:val="9"/>
        <w:rPr>
          <w:rFonts w:ascii="Arial Narrow" w:hAnsi="Arial Narrow"/>
          <w:sz w:val="20"/>
          <w:szCs w:val="20"/>
        </w:rPr>
      </w:pPr>
      <w:r w:rsidRPr="00D660D2">
        <w:rPr>
          <w:rFonts w:ascii="Arial Narrow" w:hAnsi="Arial Narrow"/>
          <w:sz w:val="20"/>
          <w:szCs w:val="16"/>
        </w:rPr>
        <w:t>Figure</w:t>
      </w:r>
      <w:r w:rsidR="00FD58C5">
        <w:rPr>
          <w:rFonts w:ascii="Arial Narrow" w:hAnsi="Arial Narrow"/>
          <w:sz w:val="20"/>
          <w:szCs w:val="16"/>
        </w:rPr>
        <w:t xml:space="preserve"> 3</w:t>
      </w:r>
      <w:r>
        <w:rPr>
          <w:rFonts w:ascii="Arial Narrow" w:hAnsi="Arial Narrow"/>
          <w:sz w:val="20"/>
          <w:szCs w:val="16"/>
        </w:rPr>
        <w:t xml:space="preserve">: </w:t>
      </w:r>
      <w:r w:rsidRPr="00C50E27">
        <w:rPr>
          <w:rFonts w:ascii="Arial Narrow" w:hAnsi="Arial Narrow"/>
          <w:sz w:val="20"/>
          <w:szCs w:val="20"/>
        </w:rPr>
        <w:t xml:space="preserve">Comparison of the </w:t>
      </w:r>
      <w:r>
        <w:rPr>
          <w:rFonts w:ascii="Arial Narrow" w:hAnsi="Arial Narrow"/>
          <w:sz w:val="20"/>
          <w:szCs w:val="20"/>
        </w:rPr>
        <w:t xml:space="preserve">time to treatment cessation (TOT) </w:t>
      </w:r>
      <w:r w:rsidRPr="00C50E27">
        <w:rPr>
          <w:rFonts w:ascii="Arial Narrow" w:hAnsi="Arial Narrow"/>
          <w:sz w:val="20"/>
          <w:szCs w:val="20"/>
        </w:rPr>
        <w:t>K</w:t>
      </w:r>
      <w:r>
        <w:rPr>
          <w:rFonts w:ascii="Arial Narrow" w:hAnsi="Arial Narrow"/>
          <w:sz w:val="20"/>
          <w:szCs w:val="20"/>
        </w:rPr>
        <w:t>aplan-</w:t>
      </w:r>
      <w:r w:rsidRPr="00C50E27">
        <w:rPr>
          <w:rFonts w:ascii="Arial Narrow" w:hAnsi="Arial Narrow"/>
          <w:sz w:val="20"/>
          <w:szCs w:val="20"/>
        </w:rPr>
        <w:t>M</w:t>
      </w:r>
      <w:r>
        <w:rPr>
          <w:rFonts w:ascii="Arial Narrow" w:hAnsi="Arial Narrow"/>
          <w:sz w:val="20"/>
          <w:szCs w:val="20"/>
        </w:rPr>
        <w:t>eier</w:t>
      </w:r>
      <w:r w:rsidRPr="00C50E27">
        <w:rPr>
          <w:rFonts w:ascii="Arial Narrow" w:hAnsi="Arial Narrow"/>
          <w:sz w:val="20"/>
          <w:szCs w:val="20"/>
        </w:rPr>
        <w:t xml:space="preserve"> curve and the </w:t>
      </w:r>
      <w:r>
        <w:rPr>
          <w:rFonts w:ascii="Arial Narrow" w:hAnsi="Arial Narrow"/>
          <w:sz w:val="20"/>
          <w:szCs w:val="20"/>
        </w:rPr>
        <w:t>progression free survival (</w:t>
      </w:r>
      <w:r w:rsidRPr="00C50E27">
        <w:rPr>
          <w:rFonts w:ascii="Arial Narrow" w:hAnsi="Arial Narrow"/>
          <w:sz w:val="20"/>
          <w:szCs w:val="20"/>
        </w:rPr>
        <w:t>PFS</w:t>
      </w:r>
      <w:r>
        <w:rPr>
          <w:rFonts w:ascii="Arial Narrow" w:hAnsi="Arial Narrow"/>
          <w:sz w:val="20"/>
          <w:szCs w:val="20"/>
        </w:rPr>
        <w:t>)</w:t>
      </w:r>
      <w:r w:rsidRPr="00C50E27">
        <w:rPr>
          <w:rFonts w:ascii="Arial Narrow" w:hAnsi="Arial Narrow"/>
          <w:sz w:val="20"/>
          <w:szCs w:val="20"/>
        </w:rPr>
        <w:t xml:space="preserve"> K</w:t>
      </w:r>
      <w:r>
        <w:rPr>
          <w:rFonts w:ascii="Arial Narrow" w:hAnsi="Arial Narrow"/>
          <w:sz w:val="20"/>
          <w:szCs w:val="20"/>
        </w:rPr>
        <w:t>aplan-</w:t>
      </w:r>
      <w:r w:rsidRPr="00C50E27">
        <w:rPr>
          <w:rFonts w:ascii="Arial Narrow" w:hAnsi="Arial Narrow"/>
          <w:sz w:val="20"/>
          <w:szCs w:val="20"/>
        </w:rPr>
        <w:t>M</w:t>
      </w:r>
      <w:r>
        <w:rPr>
          <w:rFonts w:ascii="Arial Narrow" w:hAnsi="Arial Narrow"/>
          <w:sz w:val="20"/>
          <w:szCs w:val="20"/>
        </w:rPr>
        <w:t>eier</w:t>
      </w:r>
      <w:r w:rsidRPr="00C50E27">
        <w:rPr>
          <w:rFonts w:ascii="Arial Narrow" w:hAnsi="Arial Narrow"/>
          <w:sz w:val="20"/>
          <w:szCs w:val="20"/>
        </w:rPr>
        <w:t xml:space="preserve"> curve</w:t>
      </w:r>
      <w:r>
        <w:rPr>
          <w:rFonts w:ascii="Arial Narrow" w:hAnsi="Arial Narrow"/>
          <w:sz w:val="20"/>
          <w:szCs w:val="20"/>
        </w:rPr>
        <w:t>s for pembrolizumab from KN-024</w:t>
      </w:r>
    </w:p>
    <w:p w:rsidR="00C50E27" w:rsidRDefault="00C50E27" w:rsidP="009C4641">
      <w:pPr>
        <w:pStyle w:val="PBACHeading1"/>
        <w:numPr>
          <w:ilvl w:val="0"/>
          <w:numId w:val="0"/>
        </w:numPr>
        <w:outlineLvl w:val="9"/>
      </w:pPr>
      <w:r>
        <w:rPr>
          <w:noProof/>
          <w:lang w:eastAsia="en-AU"/>
        </w:rPr>
        <w:drawing>
          <wp:inline distT="0" distB="0" distL="0" distR="0" wp14:anchorId="47DC5758" wp14:editId="6B0FB477">
            <wp:extent cx="5740400" cy="322418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42251" cy="3225222"/>
                    </a:xfrm>
                    <a:prstGeom prst="rect">
                      <a:avLst/>
                    </a:prstGeom>
                    <a:noFill/>
                  </pic:spPr>
                </pic:pic>
              </a:graphicData>
            </a:graphic>
          </wp:inline>
        </w:drawing>
      </w:r>
    </w:p>
    <w:p w:rsidR="0052471A" w:rsidRPr="008C6270" w:rsidRDefault="0052471A" w:rsidP="00267A78">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sidRPr="008C6270">
        <w:rPr>
          <w:rFonts w:asciiTheme="minorHAnsi" w:eastAsiaTheme="minorHAnsi" w:hAnsiTheme="minorHAnsi" w:cstheme="minorBidi"/>
          <w:snapToGrid/>
          <w:sz w:val="24"/>
          <w:szCs w:val="22"/>
        </w:rPr>
        <w:t>In comparison, the drug cost per patient per course for nivolumab for second-line NSCLC is $</w:t>
      </w:r>
      <w:r w:rsidR="00660757">
        <w:rPr>
          <w:rFonts w:asciiTheme="minorHAnsi" w:eastAsiaTheme="minorHAnsi" w:hAnsiTheme="minorHAnsi" w:cstheme="minorBidi"/>
          <w:noProof/>
          <w:snapToGrid/>
          <w:color w:val="000000"/>
          <w:sz w:val="24"/>
          <w:szCs w:val="22"/>
          <w:highlight w:val="black"/>
        </w:rPr>
        <w:t>'''''''''''''</w:t>
      </w:r>
      <w:r w:rsidRPr="008C6270">
        <w:rPr>
          <w:rFonts w:asciiTheme="minorHAnsi" w:eastAsiaTheme="minorHAnsi" w:hAnsiTheme="minorHAnsi" w:cstheme="minorBidi"/>
          <w:snapToGrid/>
          <w:sz w:val="24"/>
          <w:szCs w:val="22"/>
        </w:rPr>
        <w:t xml:space="preserve">. </w:t>
      </w:r>
      <w:r w:rsidR="00660757">
        <w:rPr>
          <w:rFonts w:asciiTheme="minorHAnsi" w:eastAsiaTheme="minorHAnsi" w:hAnsiTheme="minorHAnsi" w:cstheme="minorBidi"/>
          <w:noProof/>
          <w:snapToGrid/>
          <w:color w:val="000000"/>
          <w:sz w:val="24"/>
          <w:szCs w:val="22"/>
          <w:highlight w:val="black"/>
        </w:rPr>
        <w:t>''''''' ''''''''''' '''''''''''''''' '''' ''''''''''''''''''' ''''''''''''''''' ''''''' '''''''''''''' ''' '''''''''''''' '''' ''''' '''''''''''''''''''''''''''''' '''''''''''' '''''''' ''''''''''''' ''''''''''''''''' '''''' '''''''''''''''''''''''' '''''''' ''''''' '''''''''''''''' '''''' ''''''''''''''''''''' '''''' '''''' ''''''''''''''''''' '''' '''''' ''''''''</w:t>
      </w:r>
      <w:r w:rsidRPr="008C6270">
        <w:rPr>
          <w:rFonts w:asciiTheme="minorHAnsi" w:eastAsiaTheme="minorHAnsi" w:hAnsiTheme="minorHAnsi" w:cstheme="minorBidi"/>
          <w:snapToGrid/>
          <w:sz w:val="24"/>
          <w:szCs w:val="22"/>
        </w:rPr>
        <w:t>.</w:t>
      </w:r>
    </w:p>
    <w:p w:rsidR="00B14AD5" w:rsidRPr="00B14AD5" w:rsidRDefault="00F30D03" w:rsidP="00D062A5">
      <w:pPr>
        <w:pStyle w:val="ListParagraph"/>
        <w:widowControl/>
        <w:numPr>
          <w:ilvl w:val="1"/>
          <w:numId w:val="5"/>
        </w:numPr>
        <w:spacing w:after="120"/>
        <w:contextualSpacing w:val="0"/>
        <w:rPr>
          <w:rFonts w:asciiTheme="minorHAnsi" w:hAnsiTheme="minorHAnsi"/>
          <w:sz w:val="24"/>
          <w:szCs w:val="24"/>
        </w:rPr>
      </w:pPr>
      <w:r w:rsidRPr="008C6270">
        <w:rPr>
          <w:rFonts w:asciiTheme="minorHAnsi" w:eastAsiaTheme="minorHAnsi" w:hAnsiTheme="minorHAnsi" w:cstheme="minorBidi"/>
          <w:snapToGrid/>
          <w:sz w:val="24"/>
          <w:szCs w:val="22"/>
        </w:rPr>
        <w:t xml:space="preserve">At </w:t>
      </w:r>
      <w:r w:rsidR="007665EB">
        <w:rPr>
          <w:rFonts w:asciiTheme="minorHAnsi" w:eastAsiaTheme="minorHAnsi" w:hAnsiTheme="minorHAnsi" w:cstheme="minorBidi"/>
          <w:snapToGrid/>
          <w:sz w:val="24"/>
          <w:szCs w:val="22"/>
        </w:rPr>
        <w:t>its</w:t>
      </w:r>
      <w:r w:rsidRPr="008C6270">
        <w:rPr>
          <w:rFonts w:asciiTheme="minorHAnsi" w:hAnsiTheme="minorHAnsi"/>
          <w:sz w:val="24"/>
          <w:szCs w:val="24"/>
        </w:rPr>
        <w:t xml:space="preserve"> November 2017 meeting, the PBAC noted that increasing the average per patient cost of pembrolizumab by movin</w:t>
      </w:r>
      <w:r w:rsidR="00C3191E" w:rsidRPr="008C6270">
        <w:rPr>
          <w:rFonts w:asciiTheme="minorHAnsi" w:hAnsiTheme="minorHAnsi"/>
          <w:sz w:val="24"/>
          <w:szCs w:val="24"/>
        </w:rPr>
        <w:t>g the recommended dose from a 2 mg/kg basis to a fixed 200 </w:t>
      </w:r>
      <w:r w:rsidRPr="008C6270">
        <w:rPr>
          <w:rFonts w:asciiTheme="minorHAnsi" w:hAnsiTheme="minorHAnsi"/>
          <w:sz w:val="24"/>
          <w:szCs w:val="24"/>
        </w:rPr>
        <w:t>mg basis is likely associated with a</w:t>
      </w:r>
      <w:r w:rsidR="00840FB8">
        <w:rPr>
          <w:rFonts w:asciiTheme="minorHAnsi" w:hAnsiTheme="minorHAnsi"/>
          <w:sz w:val="24"/>
          <w:szCs w:val="24"/>
        </w:rPr>
        <w:t xml:space="preserve"> </w:t>
      </w:r>
      <w:r w:rsidRPr="008C6270">
        <w:rPr>
          <w:rFonts w:asciiTheme="minorHAnsi" w:hAnsiTheme="minorHAnsi"/>
          <w:sz w:val="24"/>
          <w:szCs w:val="24"/>
        </w:rPr>
        <w:t xml:space="preserve">25% wastage of pembrolizumab because corroborating evidence indicates that </w:t>
      </w:r>
      <w:r w:rsidR="009E61A6">
        <w:rPr>
          <w:rFonts w:asciiTheme="minorHAnsi" w:hAnsiTheme="minorHAnsi"/>
          <w:sz w:val="24"/>
          <w:szCs w:val="24"/>
        </w:rPr>
        <w:t>fixed dosing does not</w:t>
      </w:r>
      <w:r w:rsidRPr="008C6270">
        <w:rPr>
          <w:rFonts w:asciiTheme="minorHAnsi" w:hAnsiTheme="minorHAnsi"/>
          <w:sz w:val="24"/>
          <w:szCs w:val="24"/>
        </w:rPr>
        <w:t xml:space="preserve"> improve</w:t>
      </w:r>
      <w:r w:rsidR="009E61A6">
        <w:rPr>
          <w:rFonts w:asciiTheme="minorHAnsi" w:hAnsiTheme="minorHAnsi"/>
          <w:sz w:val="24"/>
          <w:szCs w:val="24"/>
        </w:rPr>
        <w:t xml:space="preserve"> </w:t>
      </w:r>
      <w:r w:rsidRPr="008C6270">
        <w:rPr>
          <w:rFonts w:asciiTheme="minorHAnsi" w:hAnsiTheme="minorHAnsi"/>
          <w:sz w:val="24"/>
          <w:szCs w:val="24"/>
        </w:rPr>
        <w:t xml:space="preserve">patient health outcomes. The PBAC </w:t>
      </w:r>
      <w:r w:rsidR="009E61A6">
        <w:rPr>
          <w:rFonts w:asciiTheme="minorHAnsi" w:hAnsiTheme="minorHAnsi"/>
          <w:sz w:val="24"/>
          <w:szCs w:val="24"/>
        </w:rPr>
        <w:t xml:space="preserve">recalled </w:t>
      </w:r>
      <w:r w:rsidRPr="008C6270">
        <w:rPr>
          <w:rFonts w:asciiTheme="minorHAnsi" w:hAnsiTheme="minorHAnsi"/>
          <w:sz w:val="24"/>
          <w:szCs w:val="24"/>
        </w:rPr>
        <w:t xml:space="preserve">that this </w:t>
      </w:r>
      <w:r w:rsidR="009E61A6">
        <w:rPr>
          <w:rFonts w:asciiTheme="minorHAnsi" w:hAnsiTheme="minorHAnsi"/>
          <w:sz w:val="24"/>
          <w:szCs w:val="24"/>
        </w:rPr>
        <w:t xml:space="preserve">had contributed to </w:t>
      </w:r>
      <w:r w:rsidRPr="008C6270">
        <w:rPr>
          <w:rFonts w:asciiTheme="minorHAnsi" w:hAnsiTheme="minorHAnsi"/>
          <w:sz w:val="24"/>
          <w:szCs w:val="24"/>
        </w:rPr>
        <w:t xml:space="preserve">its expectation of a price reduction, given that the TGA has </w:t>
      </w:r>
      <w:r w:rsidR="009E61A6">
        <w:rPr>
          <w:rFonts w:asciiTheme="minorHAnsi" w:hAnsiTheme="minorHAnsi"/>
          <w:sz w:val="24"/>
          <w:szCs w:val="24"/>
        </w:rPr>
        <w:t>accepted the sponsor’s submission of fixed</w:t>
      </w:r>
      <w:r w:rsidRPr="008C6270">
        <w:rPr>
          <w:rFonts w:asciiTheme="minorHAnsi" w:hAnsiTheme="minorHAnsi"/>
          <w:sz w:val="24"/>
          <w:szCs w:val="24"/>
        </w:rPr>
        <w:t xml:space="preserve"> dosing </w:t>
      </w:r>
      <w:r w:rsidR="009E61A6">
        <w:rPr>
          <w:rFonts w:asciiTheme="minorHAnsi" w:hAnsiTheme="minorHAnsi"/>
          <w:sz w:val="24"/>
          <w:szCs w:val="24"/>
        </w:rPr>
        <w:t>i</w:t>
      </w:r>
      <w:r w:rsidRPr="008C6270">
        <w:rPr>
          <w:rFonts w:asciiTheme="minorHAnsi" w:hAnsiTheme="minorHAnsi"/>
          <w:sz w:val="24"/>
          <w:szCs w:val="24"/>
        </w:rPr>
        <w:t xml:space="preserve">n </w:t>
      </w:r>
      <w:r w:rsidR="009E61A6">
        <w:rPr>
          <w:rFonts w:asciiTheme="minorHAnsi" w:hAnsiTheme="minorHAnsi"/>
          <w:sz w:val="24"/>
          <w:szCs w:val="24"/>
        </w:rPr>
        <w:t>the product information</w:t>
      </w:r>
      <w:r w:rsidRPr="008C6270">
        <w:rPr>
          <w:rFonts w:asciiTheme="minorHAnsi" w:hAnsiTheme="minorHAnsi"/>
          <w:sz w:val="24"/>
          <w:szCs w:val="24"/>
        </w:rPr>
        <w:t xml:space="preserve"> (paragraph 7.15, pembrolizumab November 2017 PBAC</w:t>
      </w:r>
      <w:r w:rsidR="00E45710">
        <w:rPr>
          <w:rFonts w:asciiTheme="minorHAnsi" w:hAnsiTheme="minorHAnsi"/>
          <w:sz w:val="24"/>
          <w:szCs w:val="24"/>
        </w:rPr>
        <w:t xml:space="preserve"> PSD</w:t>
      </w:r>
      <w:r w:rsidRPr="008C6270">
        <w:rPr>
          <w:rFonts w:asciiTheme="minorHAnsi" w:hAnsiTheme="minorHAnsi"/>
          <w:sz w:val="24"/>
          <w:szCs w:val="24"/>
        </w:rPr>
        <w:t xml:space="preserve">). </w:t>
      </w:r>
      <w:r w:rsidR="00AD1BB2" w:rsidRPr="008C6270">
        <w:rPr>
          <w:rFonts w:asciiTheme="minorHAnsi" w:hAnsiTheme="minorHAnsi"/>
          <w:sz w:val="24"/>
          <w:szCs w:val="24"/>
        </w:rPr>
        <w:t>At the same meeting in consideration of the major submission for pembrolizumab for urothelial cancer, the PBAC considered that the request for fixed dosing “</w:t>
      </w:r>
      <w:r w:rsidR="00AD1BB2" w:rsidRPr="008C6270">
        <w:rPr>
          <w:rFonts w:asciiTheme="minorHAnsi" w:hAnsiTheme="minorHAnsi"/>
          <w:bCs/>
          <w:sz w:val="24"/>
          <w:szCs w:val="24"/>
          <w:lang w:val="en-GB"/>
        </w:rPr>
        <w:t>results in a considerable proportion of patients with urothelial cancer being given a greater dose, at a greater cost, with no evidence of additional benefit. The PBAC therefore considered that it may be reasonable for the price paid for pembrolizumab in urothelial cancer to reflect the cost if weight-based 2 mg/kg dosing was used rather than fixed 200 mg dosing” (paragraph 7.12, pembrolizumab [Item 6.1</w:t>
      </w:r>
      <w:r w:rsidR="007665EB">
        <w:rPr>
          <w:rFonts w:asciiTheme="minorHAnsi" w:hAnsiTheme="minorHAnsi"/>
          <w:bCs/>
          <w:sz w:val="24"/>
          <w:szCs w:val="24"/>
          <w:lang w:val="en-GB"/>
        </w:rPr>
        <w:t>1] November 2017 PBAC</w:t>
      </w:r>
      <w:r w:rsidR="00D631AF">
        <w:rPr>
          <w:rFonts w:asciiTheme="minorHAnsi" w:hAnsiTheme="minorHAnsi"/>
          <w:bCs/>
          <w:sz w:val="24"/>
          <w:szCs w:val="24"/>
          <w:lang w:val="en-GB"/>
        </w:rPr>
        <w:t xml:space="preserve"> </w:t>
      </w:r>
      <w:r w:rsidR="006D54BB">
        <w:rPr>
          <w:rFonts w:asciiTheme="minorHAnsi" w:hAnsiTheme="minorHAnsi"/>
          <w:bCs/>
          <w:sz w:val="24"/>
          <w:szCs w:val="24"/>
          <w:lang w:val="en-GB"/>
        </w:rPr>
        <w:t>PSD</w:t>
      </w:r>
      <w:r w:rsidR="007665EB">
        <w:rPr>
          <w:rFonts w:asciiTheme="minorHAnsi" w:hAnsiTheme="minorHAnsi"/>
          <w:bCs/>
          <w:sz w:val="24"/>
          <w:szCs w:val="24"/>
          <w:lang w:val="en-GB"/>
        </w:rPr>
        <w:t>).</w:t>
      </w:r>
    </w:p>
    <w:p w:rsidR="00BF6CDA" w:rsidRDefault="00BF6CDA" w:rsidP="00D062A5">
      <w:pPr>
        <w:pStyle w:val="ListParagraph"/>
        <w:widowControl/>
        <w:numPr>
          <w:ilvl w:val="1"/>
          <w:numId w:val="5"/>
        </w:numPr>
        <w:spacing w:after="120"/>
        <w:contextualSpacing w:val="0"/>
        <w:rPr>
          <w:rFonts w:asciiTheme="minorHAnsi" w:hAnsiTheme="minorHAnsi"/>
          <w:sz w:val="24"/>
          <w:szCs w:val="24"/>
        </w:rPr>
      </w:pPr>
      <w:r w:rsidRPr="008C6270">
        <w:rPr>
          <w:rFonts w:asciiTheme="minorHAnsi" w:hAnsiTheme="minorHAnsi"/>
          <w:sz w:val="24"/>
          <w:szCs w:val="24"/>
        </w:rPr>
        <w:t>In a separate minor submission to the March 2018 PBAC meeting, the sponsor has requested changing the PBS listing of pembrolizumab for melanoma</w:t>
      </w:r>
      <w:r w:rsidR="00D062A5" w:rsidRPr="008C6270">
        <w:rPr>
          <w:rFonts w:asciiTheme="minorHAnsi" w:hAnsiTheme="minorHAnsi"/>
          <w:sz w:val="24"/>
          <w:szCs w:val="24"/>
        </w:rPr>
        <w:t xml:space="preserve"> from a dose of </w:t>
      </w:r>
      <w:r w:rsidR="00D062A5" w:rsidRPr="006D54BB">
        <w:rPr>
          <w:rFonts w:asciiTheme="minorHAnsi" w:hAnsiTheme="minorHAnsi"/>
          <w:sz w:val="24"/>
          <w:szCs w:val="24"/>
        </w:rPr>
        <w:t>2 mg/kg</w:t>
      </w:r>
      <w:r w:rsidRPr="006D54BB">
        <w:rPr>
          <w:rFonts w:asciiTheme="minorHAnsi" w:hAnsiTheme="minorHAnsi"/>
          <w:sz w:val="24"/>
          <w:szCs w:val="24"/>
        </w:rPr>
        <w:t xml:space="preserve"> to</w:t>
      </w:r>
      <w:r w:rsidRPr="008C6270">
        <w:rPr>
          <w:rFonts w:asciiTheme="minorHAnsi" w:hAnsiTheme="minorHAnsi"/>
          <w:sz w:val="24"/>
          <w:szCs w:val="24"/>
        </w:rPr>
        <w:t xml:space="preserve"> a fixed dose of 200</w:t>
      </w:r>
      <w:r w:rsidR="00C3191E" w:rsidRPr="008C6270">
        <w:rPr>
          <w:rFonts w:asciiTheme="minorHAnsi" w:hAnsiTheme="minorHAnsi"/>
          <w:sz w:val="24"/>
          <w:szCs w:val="24"/>
        </w:rPr>
        <w:t> </w:t>
      </w:r>
      <w:r w:rsidRPr="008C6270">
        <w:rPr>
          <w:rFonts w:asciiTheme="minorHAnsi" w:hAnsiTheme="minorHAnsi"/>
          <w:sz w:val="24"/>
          <w:szCs w:val="24"/>
        </w:rPr>
        <w:t xml:space="preserve">mg per dose. </w:t>
      </w:r>
      <w:r w:rsidR="00D062A5" w:rsidRPr="008C6270">
        <w:rPr>
          <w:rFonts w:asciiTheme="minorHAnsi" w:hAnsiTheme="minorHAnsi"/>
          <w:sz w:val="24"/>
          <w:szCs w:val="24"/>
        </w:rPr>
        <w:t xml:space="preserve">This request </w:t>
      </w:r>
      <w:r w:rsidR="00F07A41" w:rsidRPr="008C6270">
        <w:rPr>
          <w:rFonts w:asciiTheme="minorHAnsi" w:hAnsiTheme="minorHAnsi"/>
          <w:sz w:val="24"/>
          <w:szCs w:val="24"/>
        </w:rPr>
        <w:t xml:space="preserve">raised </w:t>
      </w:r>
      <w:r w:rsidR="00D062A5" w:rsidRPr="008C6270">
        <w:rPr>
          <w:rFonts w:asciiTheme="minorHAnsi" w:hAnsiTheme="minorHAnsi"/>
          <w:sz w:val="24"/>
          <w:szCs w:val="24"/>
        </w:rPr>
        <w:t xml:space="preserve">the same issue of wastage </w:t>
      </w:r>
      <w:r w:rsidR="00F07A41" w:rsidRPr="008C6270">
        <w:rPr>
          <w:rFonts w:asciiTheme="minorHAnsi" w:hAnsiTheme="minorHAnsi"/>
          <w:sz w:val="24"/>
          <w:szCs w:val="24"/>
        </w:rPr>
        <w:t xml:space="preserve">about </w:t>
      </w:r>
      <w:r w:rsidR="00D062A5" w:rsidRPr="008C6270">
        <w:rPr>
          <w:rFonts w:asciiTheme="minorHAnsi" w:hAnsiTheme="minorHAnsi"/>
          <w:sz w:val="24"/>
          <w:szCs w:val="24"/>
        </w:rPr>
        <w:t xml:space="preserve">which the PBAC had concerns for pembrolizumab for NSCLC. </w:t>
      </w:r>
      <w:r w:rsidR="00C3191E" w:rsidRPr="008C6270">
        <w:rPr>
          <w:rFonts w:asciiTheme="minorHAnsi" w:hAnsiTheme="minorHAnsi"/>
          <w:sz w:val="24"/>
          <w:szCs w:val="24"/>
        </w:rPr>
        <w:t xml:space="preserve">This </w:t>
      </w:r>
      <w:r w:rsidR="00F07A41" w:rsidRPr="008C6270">
        <w:rPr>
          <w:rFonts w:asciiTheme="minorHAnsi" w:hAnsiTheme="minorHAnsi"/>
          <w:sz w:val="24"/>
          <w:szCs w:val="24"/>
        </w:rPr>
        <w:t xml:space="preserve">separate </w:t>
      </w:r>
      <w:r w:rsidR="00C3191E" w:rsidRPr="008C6270">
        <w:rPr>
          <w:rFonts w:asciiTheme="minorHAnsi" w:hAnsiTheme="minorHAnsi"/>
          <w:sz w:val="24"/>
          <w:szCs w:val="24"/>
        </w:rPr>
        <w:t>minor submission concede</w:t>
      </w:r>
      <w:r w:rsidR="00F07A41" w:rsidRPr="008C6270">
        <w:rPr>
          <w:rFonts w:asciiTheme="minorHAnsi" w:hAnsiTheme="minorHAnsi"/>
          <w:sz w:val="24"/>
          <w:szCs w:val="24"/>
        </w:rPr>
        <w:t>d</w:t>
      </w:r>
      <w:r w:rsidR="00C3191E" w:rsidRPr="008C6270">
        <w:rPr>
          <w:rFonts w:asciiTheme="minorHAnsi" w:hAnsiTheme="minorHAnsi"/>
          <w:sz w:val="24"/>
          <w:szCs w:val="24"/>
        </w:rPr>
        <w:t xml:space="preserve"> that the available evidence indicates that there is no difference in pembrolizumab efficacy across the dose range of 2 mg/kg </w:t>
      </w:r>
      <w:r w:rsidR="00F07A41" w:rsidRPr="008C6270">
        <w:rPr>
          <w:rFonts w:asciiTheme="minorHAnsi" w:hAnsiTheme="minorHAnsi"/>
          <w:sz w:val="24"/>
          <w:szCs w:val="24"/>
        </w:rPr>
        <w:t>to</w:t>
      </w:r>
      <w:r w:rsidR="00C3191E" w:rsidRPr="008C6270">
        <w:rPr>
          <w:rFonts w:asciiTheme="minorHAnsi" w:hAnsiTheme="minorHAnsi"/>
          <w:sz w:val="24"/>
          <w:szCs w:val="24"/>
        </w:rPr>
        <w:t xml:space="preserve"> 10 mg/kg.</w:t>
      </w:r>
    </w:p>
    <w:p w:rsidR="00B14AD5" w:rsidRPr="00A97CEC" w:rsidRDefault="00B14AD5" w:rsidP="00A97CEC">
      <w:pPr>
        <w:pStyle w:val="ListParagraph"/>
        <w:widowControl/>
        <w:numPr>
          <w:ilvl w:val="1"/>
          <w:numId w:val="5"/>
        </w:numPr>
        <w:spacing w:after="120"/>
        <w:contextualSpacing w:val="0"/>
        <w:rPr>
          <w:rFonts w:asciiTheme="minorHAnsi" w:hAnsiTheme="minorHAnsi"/>
          <w:sz w:val="24"/>
          <w:szCs w:val="24"/>
        </w:rPr>
      </w:pPr>
      <w:r>
        <w:rPr>
          <w:rFonts w:asciiTheme="minorHAnsi" w:hAnsiTheme="minorHAnsi"/>
          <w:sz w:val="24"/>
          <w:szCs w:val="24"/>
        </w:rPr>
        <w:t>The pre-PBAC response argued that the TGA approved dose is 200 mg an</w:t>
      </w:r>
      <w:r w:rsidR="00C339C6">
        <w:rPr>
          <w:rFonts w:asciiTheme="minorHAnsi" w:hAnsiTheme="minorHAnsi"/>
          <w:sz w:val="24"/>
          <w:szCs w:val="24"/>
        </w:rPr>
        <w:t>d that no studies have been completed</w:t>
      </w:r>
      <w:r>
        <w:rPr>
          <w:rFonts w:asciiTheme="minorHAnsi" w:hAnsiTheme="minorHAnsi"/>
          <w:sz w:val="24"/>
          <w:szCs w:val="24"/>
        </w:rPr>
        <w:t xml:space="preserve"> using weight-based dosing. </w:t>
      </w:r>
      <w:r w:rsidR="00302C16">
        <w:rPr>
          <w:rFonts w:asciiTheme="minorHAnsi" w:hAnsiTheme="minorHAnsi"/>
          <w:sz w:val="24"/>
          <w:szCs w:val="24"/>
        </w:rPr>
        <w:t xml:space="preserve">The PBAC noted however, that </w:t>
      </w:r>
      <w:r w:rsidR="00984960">
        <w:rPr>
          <w:rFonts w:asciiTheme="minorHAnsi" w:hAnsiTheme="minorHAnsi"/>
          <w:sz w:val="24"/>
          <w:szCs w:val="24"/>
        </w:rPr>
        <w:t>the</w:t>
      </w:r>
      <w:r w:rsidR="00302C16">
        <w:rPr>
          <w:rFonts w:asciiTheme="minorHAnsi" w:hAnsiTheme="minorHAnsi"/>
          <w:sz w:val="24"/>
          <w:szCs w:val="24"/>
        </w:rPr>
        <w:t xml:space="preserve"> separate minor submission for pembrolizumab for melanoma claimed that “there is an essentially flat relationship between pembrolizumab exposure and efficacy or safety within the dose range of 2 to 10 mg/kg”. The PBAC considered that there </w:t>
      </w:r>
      <w:r w:rsidR="00C339C6">
        <w:rPr>
          <w:rFonts w:asciiTheme="minorHAnsi" w:hAnsiTheme="minorHAnsi"/>
          <w:sz w:val="24"/>
          <w:szCs w:val="24"/>
        </w:rPr>
        <w:t>is no evidence to suggest</w:t>
      </w:r>
      <w:r w:rsidR="00302C16">
        <w:rPr>
          <w:rFonts w:asciiTheme="minorHAnsi" w:hAnsiTheme="minorHAnsi"/>
          <w:sz w:val="24"/>
          <w:szCs w:val="24"/>
        </w:rPr>
        <w:t xml:space="preserve"> that th</w:t>
      </w:r>
      <w:r w:rsidR="007665EB">
        <w:rPr>
          <w:rFonts w:asciiTheme="minorHAnsi" w:hAnsiTheme="minorHAnsi"/>
          <w:sz w:val="24"/>
          <w:szCs w:val="24"/>
        </w:rPr>
        <w:t>ese</w:t>
      </w:r>
      <w:r w:rsidR="00302C16">
        <w:rPr>
          <w:rFonts w:asciiTheme="minorHAnsi" w:hAnsiTheme="minorHAnsi"/>
          <w:sz w:val="24"/>
          <w:szCs w:val="24"/>
        </w:rPr>
        <w:t xml:space="preserve"> dose-</w:t>
      </w:r>
      <w:r w:rsidR="007665EB">
        <w:rPr>
          <w:rFonts w:asciiTheme="minorHAnsi" w:hAnsiTheme="minorHAnsi"/>
          <w:sz w:val="24"/>
          <w:szCs w:val="24"/>
        </w:rPr>
        <w:t>response</w:t>
      </w:r>
      <w:r w:rsidR="00302C16">
        <w:rPr>
          <w:rFonts w:asciiTheme="minorHAnsi" w:hAnsiTheme="minorHAnsi"/>
          <w:sz w:val="24"/>
          <w:szCs w:val="24"/>
        </w:rPr>
        <w:t xml:space="preserve"> relationship</w:t>
      </w:r>
      <w:r w:rsidR="007665EB">
        <w:rPr>
          <w:rFonts w:asciiTheme="minorHAnsi" w:hAnsiTheme="minorHAnsi"/>
          <w:sz w:val="24"/>
          <w:szCs w:val="24"/>
        </w:rPr>
        <w:t>s</w:t>
      </w:r>
      <w:r w:rsidR="00302C16">
        <w:rPr>
          <w:rFonts w:asciiTheme="minorHAnsi" w:hAnsiTheme="minorHAnsi"/>
          <w:sz w:val="24"/>
          <w:szCs w:val="24"/>
        </w:rPr>
        <w:t xml:space="preserve"> for pembrolizumab </w:t>
      </w:r>
      <w:r w:rsidR="007665EB">
        <w:rPr>
          <w:rFonts w:asciiTheme="minorHAnsi" w:hAnsiTheme="minorHAnsi"/>
          <w:sz w:val="24"/>
          <w:szCs w:val="24"/>
        </w:rPr>
        <w:t>are</w:t>
      </w:r>
      <w:r w:rsidR="00302C16">
        <w:rPr>
          <w:rFonts w:asciiTheme="minorHAnsi" w:hAnsiTheme="minorHAnsi"/>
          <w:sz w:val="24"/>
          <w:szCs w:val="24"/>
        </w:rPr>
        <w:t xml:space="preserve"> specific to melanoma. Furthermore, the PBAC recalled its consideration of the pembrolizumab submission for second-line NSCLC at its November 2016 meeting</w:t>
      </w:r>
      <w:r w:rsidR="00C339C6">
        <w:rPr>
          <w:rFonts w:asciiTheme="minorHAnsi" w:hAnsiTheme="minorHAnsi"/>
          <w:sz w:val="24"/>
          <w:szCs w:val="24"/>
        </w:rPr>
        <w:t>, which requested a weight-based dosing regimen at 2 mg/kg</w:t>
      </w:r>
      <w:r w:rsidR="002F5F97">
        <w:rPr>
          <w:rFonts w:asciiTheme="minorHAnsi" w:hAnsiTheme="minorHAnsi"/>
          <w:sz w:val="24"/>
          <w:szCs w:val="24"/>
        </w:rPr>
        <w:t xml:space="preserve"> (pembrolizumab </w:t>
      </w:r>
      <w:r w:rsidR="006D54BB">
        <w:rPr>
          <w:rFonts w:asciiTheme="minorHAnsi" w:hAnsiTheme="minorHAnsi"/>
          <w:sz w:val="24"/>
          <w:szCs w:val="24"/>
        </w:rPr>
        <w:t>[Item 6.05]</w:t>
      </w:r>
      <w:r w:rsidR="002F5F97">
        <w:rPr>
          <w:rFonts w:asciiTheme="minorHAnsi" w:hAnsiTheme="minorHAnsi"/>
          <w:sz w:val="24"/>
          <w:szCs w:val="24"/>
        </w:rPr>
        <w:t xml:space="preserve"> November 2016</w:t>
      </w:r>
      <w:r w:rsidR="006D54BB">
        <w:rPr>
          <w:rFonts w:asciiTheme="minorHAnsi" w:hAnsiTheme="minorHAnsi"/>
          <w:sz w:val="24"/>
          <w:szCs w:val="24"/>
        </w:rPr>
        <w:t xml:space="preserve"> PBAC PSD</w:t>
      </w:r>
      <w:r w:rsidR="002F5F97">
        <w:rPr>
          <w:rFonts w:asciiTheme="minorHAnsi" w:hAnsiTheme="minorHAnsi"/>
          <w:sz w:val="24"/>
          <w:szCs w:val="24"/>
        </w:rPr>
        <w:t>)</w:t>
      </w:r>
      <w:r w:rsidR="00C339C6">
        <w:rPr>
          <w:rFonts w:asciiTheme="minorHAnsi" w:hAnsiTheme="minorHAnsi"/>
          <w:sz w:val="24"/>
          <w:szCs w:val="24"/>
        </w:rPr>
        <w:t xml:space="preserve">. The PBAC noted that the sponsor moved to a fixed 200 mg dosing regimen for later pembrolizumab trials across multiple indications, which included first-line NSCLC. However the PBAC noted that no clinical rationale </w:t>
      </w:r>
      <w:r w:rsidR="007665EB">
        <w:rPr>
          <w:rFonts w:asciiTheme="minorHAnsi" w:hAnsiTheme="minorHAnsi"/>
          <w:sz w:val="24"/>
          <w:szCs w:val="24"/>
        </w:rPr>
        <w:t xml:space="preserve">was provided </w:t>
      </w:r>
      <w:r w:rsidR="00C339C6">
        <w:rPr>
          <w:rFonts w:asciiTheme="minorHAnsi" w:hAnsiTheme="minorHAnsi"/>
          <w:sz w:val="24"/>
          <w:szCs w:val="24"/>
        </w:rPr>
        <w:t xml:space="preserve">for this </w:t>
      </w:r>
      <w:r w:rsidR="009E61A6">
        <w:rPr>
          <w:rFonts w:asciiTheme="minorHAnsi" w:hAnsiTheme="minorHAnsi"/>
          <w:sz w:val="24"/>
          <w:szCs w:val="24"/>
        </w:rPr>
        <w:t>change in dosing regimen</w:t>
      </w:r>
      <w:r w:rsidR="007665EB">
        <w:rPr>
          <w:rFonts w:asciiTheme="minorHAnsi" w:hAnsiTheme="minorHAnsi"/>
          <w:sz w:val="24"/>
          <w:szCs w:val="24"/>
        </w:rPr>
        <w:t xml:space="preserve"> </w:t>
      </w:r>
      <w:r w:rsidR="00C339C6">
        <w:rPr>
          <w:rFonts w:asciiTheme="minorHAnsi" w:hAnsiTheme="minorHAnsi"/>
          <w:sz w:val="24"/>
          <w:szCs w:val="24"/>
        </w:rPr>
        <w:t>and therefore considered th</w:t>
      </w:r>
      <w:r w:rsidR="00A97CEC">
        <w:rPr>
          <w:rFonts w:asciiTheme="minorHAnsi" w:hAnsiTheme="minorHAnsi"/>
          <w:sz w:val="24"/>
          <w:szCs w:val="24"/>
        </w:rPr>
        <w:t>at the</w:t>
      </w:r>
      <w:r w:rsidR="00C339C6">
        <w:rPr>
          <w:rFonts w:asciiTheme="minorHAnsi" w:hAnsiTheme="minorHAnsi"/>
          <w:sz w:val="24"/>
          <w:szCs w:val="24"/>
        </w:rPr>
        <w:t xml:space="preserve"> issues of wastage for pembrolizumab in first-line NSCLC</w:t>
      </w:r>
      <w:r w:rsidR="00A97CEC">
        <w:rPr>
          <w:rFonts w:asciiTheme="minorHAnsi" w:hAnsiTheme="minorHAnsi"/>
          <w:sz w:val="24"/>
          <w:szCs w:val="24"/>
        </w:rPr>
        <w:t xml:space="preserve"> remain</w:t>
      </w:r>
      <w:r w:rsidR="007665EB">
        <w:rPr>
          <w:rFonts w:asciiTheme="minorHAnsi" w:hAnsiTheme="minorHAnsi"/>
          <w:sz w:val="24"/>
          <w:szCs w:val="24"/>
        </w:rPr>
        <w:t>ed</w:t>
      </w:r>
      <w:r w:rsidR="00A97CEC">
        <w:rPr>
          <w:rFonts w:asciiTheme="minorHAnsi" w:hAnsiTheme="minorHAnsi"/>
          <w:sz w:val="24"/>
          <w:szCs w:val="24"/>
        </w:rPr>
        <w:t xml:space="preserve"> relevant</w:t>
      </w:r>
      <w:r w:rsidR="007665EB">
        <w:rPr>
          <w:rFonts w:asciiTheme="minorHAnsi" w:hAnsiTheme="minorHAnsi"/>
          <w:sz w:val="24"/>
          <w:szCs w:val="24"/>
        </w:rPr>
        <w:t>.</w:t>
      </w:r>
    </w:p>
    <w:p w:rsidR="005A3173" w:rsidRPr="008306F3" w:rsidRDefault="005A3173" w:rsidP="008306F3">
      <w:pPr>
        <w:pStyle w:val="Heading2"/>
        <w:keepLines/>
        <w:spacing w:before="240" w:after="120"/>
        <w:rPr>
          <w:rFonts w:asciiTheme="minorHAnsi" w:eastAsiaTheme="majorEastAsia" w:hAnsiTheme="minorHAnsi" w:cstheme="majorBidi"/>
          <w:sz w:val="28"/>
          <w:szCs w:val="28"/>
          <w:lang w:eastAsia="en-US"/>
        </w:rPr>
      </w:pPr>
      <w:r w:rsidRPr="003C2FB5">
        <w:rPr>
          <w:rFonts w:asciiTheme="minorHAnsi" w:eastAsiaTheme="majorEastAsia" w:hAnsiTheme="minorHAnsi" w:cstheme="majorBidi"/>
          <w:sz w:val="28"/>
          <w:szCs w:val="28"/>
          <w:lang w:eastAsia="en-US"/>
        </w:rPr>
        <w:t>Estimated PBS usage &amp; financial implications</w:t>
      </w:r>
    </w:p>
    <w:p w:rsidR="00222B3F" w:rsidRPr="00645788" w:rsidRDefault="00222B3F" w:rsidP="00645788">
      <w:pPr>
        <w:pStyle w:val="ListParagraph"/>
        <w:widowControl/>
        <w:numPr>
          <w:ilvl w:val="1"/>
          <w:numId w:val="5"/>
        </w:numPr>
        <w:spacing w:after="120"/>
        <w:contextualSpacing w:val="0"/>
        <w:rPr>
          <w:rFonts w:asciiTheme="minorHAnsi" w:hAnsiTheme="minorHAnsi"/>
          <w:sz w:val="24"/>
          <w:szCs w:val="24"/>
        </w:rPr>
      </w:pPr>
      <w:r w:rsidRPr="00645788">
        <w:rPr>
          <w:rFonts w:asciiTheme="minorHAnsi" w:hAnsiTheme="minorHAnsi"/>
          <w:sz w:val="24"/>
          <w:szCs w:val="24"/>
        </w:rPr>
        <w:t xml:space="preserve">At </w:t>
      </w:r>
      <w:r w:rsidR="007665EB">
        <w:rPr>
          <w:rFonts w:asciiTheme="minorHAnsi" w:hAnsiTheme="minorHAnsi"/>
          <w:sz w:val="24"/>
          <w:szCs w:val="24"/>
        </w:rPr>
        <w:t>its</w:t>
      </w:r>
      <w:r w:rsidRPr="00645788">
        <w:rPr>
          <w:rFonts w:asciiTheme="minorHAnsi" w:hAnsiTheme="minorHAnsi"/>
          <w:sz w:val="24"/>
          <w:szCs w:val="24"/>
        </w:rPr>
        <w:t xml:space="preserve"> November 2017 meeting, the PBAC considered that the submission’s estimates of substantial cost offsets from second-line nivolumab resulting from a PBS listing of first-line pembrolizumab in NSCLC would affect the risk sharing arrangements (RSA) in the Deed of Agreement for nivolumab in NSCLC. The PBAC considered that, if pembrolizumab was made available on the PBS, there would only be a minor increase in the overall number of patients treated for metastatic Stage IV NSCLC either in the first- or second-line setting, above what was accepted for the nivolumab caps at the time of the negotiations with the sponsor of nivolumab. However, as requested, the PBS listing of pembrolizumab would reduce the PBS expenditure on nivolumab, thus reducing the effect of its risk sharing arrangements, without necessarily providing similar risk sharing arrangements across both immunotherapies (paragraph 7.16, pembrolizumab November 2017 </w:t>
      </w:r>
      <w:r w:rsidR="006D54BB">
        <w:rPr>
          <w:rFonts w:asciiTheme="minorHAnsi" w:hAnsiTheme="minorHAnsi"/>
          <w:sz w:val="24"/>
          <w:szCs w:val="24"/>
        </w:rPr>
        <w:t>PSD</w:t>
      </w:r>
      <w:r w:rsidRPr="00645788">
        <w:rPr>
          <w:rFonts w:asciiTheme="minorHAnsi" w:hAnsiTheme="minorHAnsi"/>
          <w:sz w:val="24"/>
          <w:szCs w:val="24"/>
        </w:rPr>
        <w:t>).</w:t>
      </w:r>
    </w:p>
    <w:p w:rsidR="00222B3F" w:rsidRDefault="00222B3F" w:rsidP="00645788">
      <w:pPr>
        <w:pStyle w:val="ListParagraph"/>
        <w:widowControl/>
        <w:numPr>
          <w:ilvl w:val="1"/>
          <w:numId w:val="5"/>
        </w:numPr>
        <w:spacing w:after="120"/>
        <w:contextualSpacing w:val="0"/>
        <w:rPr>
          <w:rFonts w:asciiTheme="minorHAnsi" w:hAnsiTheme="minorHAnsi"/>
          <w:sz w:val="24"/>
          <w:szCs w:val="24"/>
        </w:rPr>
      </w:pPr>
      <w:r w:rsidRPr="00645788">
        <w:rPr>
          <w:rFonts w:asciiTheme="minorHAnsi" w:hAnsiTheme="minorHAnsi"/>
          <w:sz w:val="24"/>
          <w:szCs w:val="24"/>
        </w:rPr>
        <w:t xml:space="preserve">The minor resubmission </w:t>
      </w:r>
      <w:r w:rsidR="00645788">
        <w:rPr>
          <w:rFonts w:asciiTheme="minorHAnsi" w:hAnsiTheme="minorHAnsi"/>
          <w:sz w:val="24"/>
          <w:szCs w:val="24"/>
        </w:rPr>
        <w:t xml:space="preserve">maintained the same estimate of </w:t>
      </w:r>
      <w:r w:rsidRPr="00645788">
        <w:rPr>
          <w:rFonts w:asciiTheme="minorHAnsi" w:hAnsiTheme="minorHAnsi"/>
          <w:sz w:val="24"/>
          <w:szCs w:val="24"/>
        </w:rPr>
        <w:t>patient numbers as in the November 2017 major resubmission, however</w:t>
      </w:r>
      <w:r w:rsidR="00F478C9" w:rsidRPr="00645788">
        <w:rPr>
          <w:rFonts w:asciiTheme="minorHAnsi" w:hAnsiTheme="minorHAnsi"/>
          <w:sz w:val="24"/>
          <w:szCs w:val="24"/>
        </w:rPr>
        <w:t xml:space="preserve">, presented estimates on the proportion of </w:t>
      </w:r>
      <w:r w:rsidR="00645788">
        <w:rPr>
          <w:rFonts w:asciiTheme="minorHAnsi" w:hAnsiTheme="minorHAnsi"/>
          <w:sz w:val="24"/>
          <w:szCs w:val="24"/>
        </w:rPr>
        <w:t xml:space="preserve">these </w:t>
      </w:r>
      <w:r w:rsidR="00F478C9" w:rsidRPr="00645788">
        <w:rPr>
          <w:rFonts w:asciiTheme="minorHAnsi" w:hAnsiTheme="minorHAnsi"/>
          <w:sz w:val="24"/>
          <w:szCs w:val="24"/>
        </w:rPr>
        <w:t>patients who would replace the nivolumab (second-line NSCLC) market and the patients who would represent an incremental increase i</w:t>
      </w:r>
      <w:r w:rsidR="00007FE4">
        <w:rPr>
          <w:rFonts w:asciiTheme="minorHAnsi" w:hAnsiTheme="minorHAnsi"/>
          <w:sz w:val="24"/>
          <w:szCs w:val="24"/>
        </w:rPr>
        <w:t>n the overall NSCLC market as a result of the first-line</w:t>
      </w:r>
      <w:r w:rsidR="00F478C9" w:rsidRPr="00645788">
        <w:rPr>
          <w:rFonts w:asciiTheme="minorHAnsi" w:hAnsiTheme="minorHAnsi"/>
          <w:sz w:val="24"/>
          <w:szCs w:val="24"/>
        </w:rPr>
        <w:t xml:space="preserve"> pembrolizumab </w:t>
      </w:r>
      <w:r w:rsidR="00007FE4">
        <w:rPr>
          <w:rFonts w:asciiTheme="minorHAnsi" w:hAnsiTheme="minorHAnsi"/>
          <w:sz w:val="24"/>
          <w:szCs w:val="24"/>
        </w:rPr>
        <w:t>listing</w:t>
      </w:r>
      <w:r w:rsidR="00F478C9" w:rsidRPr="00645788">
        <w:rPr>
          <w:rFonts w:asciiTheme="minorHAnsi" w:hAnsiTheme="minorHAnsi"/>
          <w:sz w:val="24"/>
          <w:szCs w:val="24"/>
        </w:rPr>
        <w:t xml:space="preserve">. </w:t>
      </w:r>
      <w:r w:rsidR="00007FE4">
        <w:rPr>
          <w:rFonts w:asciiTheme="minorHAnsi" w:hAnsiTheme="minorHAnsi"/>
          <w:sz w:val="24"/>
          <w:szCs w:val="24"/>
        </w:rPr>
        <w:t xml:space="preserve">In approximating </w:t>
      </w:r>
      <w:r w:rsidR="002238A3">
        <w:rPr>
          <w:rFonts w:asciiTheme="minorHAnsi" w:hAnsiTheme="minorHAnsi"/>
          <w:sz w:val="24"/>
          <w:szCs w:val="24"/>
        </w:rPr>
        <w:t xml:space="preserve">the incremental increase </w:t>
      </w:r>
      <w:r w:rsidR="00007FE4">
        <w:rPr>
          <w:rFonts w:asciiTheme="minorHAnsi" w:hAnsiTheme="minorHAnsi"/>
          <w:sz w:val="24"/>
          <w:szCs w:val="24"/>
        </w:rPr>
        <w:t>in the overall</w:t>
      </w:r>
      <w:r w:rsidR="002238A3">
        <w:rPr>
          <w:rFonts w:asciiTheme="minorHAnsi" w:hAnsiTheme="minorHAnsi"/>
          <w:sz w:val="24"/>
          <w:szCs w:val="24"/>
        </w:rPr>
        <w:t xml:space="preserve"> NSCLC market, the minor resubmission presented estimates on the patients who uptake pembrolizumab as a result of changing from first-line chemotherapy, and estimates on the patients who uptake pembrolizumab but would not have re</w:t>
      </w:r>
      <w:r w:rsidR="003B7B75">
        <w:rPr>
          <w:rFonts w:asciiTheme="minorHAnsi" w:hAnsiTheme="minorHAnsi"/>
          <w:sz w:val="24"/>
          <w:szCs w:val="24"/>
        </w:rPr>
        <w:t>ceived first-line chemotherapy.</w:t>
      </w:r>
    </w:p>
    <w:p w:rsidR="00C93583" w:rsidRPr="00A97CEC" w:rsidRDefault="002D5FC3" w:rsidP="00A97CEC">
      <w:pPr>
        <w:pStyle w:val="ListParagraph"/>
        <w:widowControl/>
        <w:numPr>
          <w:ilvl w:val="1"/>
          <w:numId w:val="5"/>
        </w:numPr>
        <w:spacing w:after="120"/>
        <w:contextualSpacing w:val="0"/>
        <w:rPr>
          <w:rFonts w:asciiTheme="minorHAnsi" w:hAnsiTheme="minorHAnsi"/>
          <w:sz w:val="24"/>
          <w:szCs w:val="24"/>
        </w:rPr>
      </w:pPr>
      <w:r>
        <w:rPr>
          <w:rFonts w:asciiTheme="minorHAnsi" w:hAnsiTheme="minorHAnsi"/>
          <w:sz w:val="24"/>
          <w:szCs w:val="24"/>
        </w:rPr>
        <w:t>The minor resubmission estimated that 19.53% of the current second-line NSCLC nivolumab market would be replaced by pembrolizumab if it became PBS listed for first-line NSCLC. This was based on the following estimates:</w:t>
      </w:r>
    </w:p>
    <w:p w:rsidR="00B44949" w:rsidRPr="00B44949" w:rsidRDefault="00B44949" w:rsidP="00B44949">
      <w:pPr>
        <w:pStyle w:val="Caption"/>
        <w:keepNext/>
        <w:spacing w:after="0"/>
        <w:rPr>
          <w:rFonts w:ascii="Arial Narrow" w:hAnsi="Arial Narrow"/>
          <w:color w:val="auto"/>
          <w:sz w:val="20"/>
          <w:szCs w:val="20"/>
        </w:rPr>
      </w:pPr>
      <w:r w:rsidRPr="00B44949">
        <w:rPr>
          <w:rFonts w:ascii="Arial Narrow" w:hAnsi="Arial Narrow"/>
          <w:color w:val="auto"/>
          <w:sz w:val="20"/>
          <w:szCs w:val="20"/>
        </w:rPr>
        <w:t xml:space="preserve">Table </w:t>
      </w:r>
      <w:r w:rsidR="006C6CBE">
        <w:rPr>
          <w:rFonts w:ascii="Arial Narrow" w:hAnsi="Arial Narrow"/>
          <w:noProof/>
          <w:color w:val="auto"/>
          <w:sz w:val="20"/>
          <w:szCs w:val="20"/>
        </w:rPr>
        <w:t>3</w:t>
      </w:r>
      <w:r w:rsidRPr="00B44949">
        <w:rPr>
          <w:rFonts w:ascii="Arial Narrow" w:hAnsi="Arial Narrow"/>
          <w:color w:val="auto"/>
          <w:sz w:val="20"/>
          <w:szCs w:val="20"/>
        </w:rPr>
        <w:t xml:space="preserve">: </w:t>
      </w:r>
      <w:r w:rsidR="002052CE">
        <w:rPr>
          <w:rFonts w:ascii="Arial Narrow" w:hAnsi="Arial Narrow"/>
          <w:color w:val="auto"/>
          <w:sz w:val="20"/>
          <w:szCs w:val="20"/>
        </w:rPr>
        <w:t>Population assumptions and references presented by the minor resubmission</w:t>
      </w: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2438"/>
        <w:gridCol w:w="1134"/>
        <w:gridCol w:w="3969"/>
        <w:gridCol w:w="1541"/>
      </w:tblGrid>
      <w:tr w:rsidR="005F62A4" w:rsidRPr="00793C1A" w:rsidTr="00DE4CFE">
        <w:tc>
          <w:tcPr>
            <w:tcW w:w="2438" w:type="dxa"/>
            <w:vAlign w:val="center"/>
          </w:tcPr>
          <w:p w:rsidR="005F62A4" w:rsidRPr="00793C1A" w:rsidRDefault="005549DD" w:rsidP="00FE41DD">
            <w:pPr>
              <w:rPr>
                <w:rFonts w:ascii="Arial Narrow" w:hAnsi="Arial Narrow"/>
                <w:b/>
                <w:sz w:val="20"/>
                <w:szCs w:val="20"/>
              </w:rPr>
            </w:pPr>
            <w:r>
              <w:rPr>
                <w:rFonts w:ascii="Arial Narrow" w:hAnsi="Arial Narrow"/>
                <w:b/>
                <w:sz w:val="20"/>
                <w:szCs w:val="20"/>
              </w:rPr>
              <w:t>Variable</w:t>
            </w:r>
          </w:p>
        </w:tc>
        <w:tc>
          <w:tcPr>
            <w:tcW w:w="1134" w:type="dxa"/>
            <w:vAlign w:val="center"/>
          </w:tcPr>
          <w:p w:rsidR="005F62A4" w:rsidRPr="00793C1A" w:rsidRDefault="00A11609" w:rsidP="00FE41DD">
            <w:pPr>
              <w:rPr>
                <w:rFonts w:ascii="Arial Narrow" w:hAnsi="Arial Narrow"/>
                <w:b/>
                <w:sz w:val="20"/>
                <w:szCs w:val="20"/>
              </w:rPr>
            </w:pPr>
            <w:r w:rsidRPr="00793C1A">
              <w:rPr>
                <w:rFonts w:ascii="Arial Narrow" w:hAnsi="Arial Narrow"/>
                <w:b/>
                <w:sz w:val="20"/>
                <w:szCs w:val="20"/>
              </w:rPr>
              <w:t>Value</w:t>
            </w:r>
          </w:p>
        </w:tc>
        <w:tc>
          <w:tcPr>
            <w:tcW w:w="3969" w:type="dxa"/>
            <w:vAlign w:val="center"/>
          </w:tcPr>
          <w:p w:rsidR="005F62A4" w:rsidRPr="00793C1A" w:rsidRDefault="00A11609" w:rsidP="00FE41DD">
            <w:pPr>
              <w:rPr>
                <w:rFonts w:ascii="Arial Narrow" w:hAnsi="Arial Narrow"/>
                <w:b/>
                <w:sz w:val="20"/>
                <w:szCs w:val="20"/>
              </w:rPr>
            </w:pPr>
            <w:r w:rsidRPr="00793C1A">
              <w:rPr>
                <w:rFonts w:ascii="Arial Narrow" w:hAnsi="Arial Narrow"/>
                <w:b/>
                <w:sz w:val="20"/>
                <w:szCs w:val="20"/>
              </w:rPr>
              <w:t>Source</w:t>
            </w:r>
          </w:p>
        </w:tc>
        <w:tc>
          <w:tcPr>
            <w:tcW w:w="1541" w:type="dxa"/>
            <w:vAlign w:val="center"/>
          </w:tcPr>
          <w:p w:rsidR="005F62A4" w:rsidRPr="00793C1A" w:rsidRDefault="00A11609" w:rsidP="00FE41DD">
            <w:pPr>
              <w:rPr>
                <w:rFonts w:ascii="Arial Narrow" w:hAnsi="Arial Narrow"/>
                <w:b/>
                <w:sz w:val="20"/>
                <w:szCs w:val="20"/>
              </w:rPr>
            </w:pPr>
            <w:r w:rsidRPr="00793C1A">
              <w:rPr>
                <w:rFonts w:ascii="Arial Narrow" w:hAnsi="Arial Narrow"/>
                <w:b/>
                <w:sz w:val="20"/>
                <w:szCs w:val="20"/>
              </w:rPr>
              <w:t>Comments</w:t>
            </w:r>
          </w:p>
        </w:tc>
      </w:tr>
      <w:tr w:rsidR="005F62A4" w:rsidRPr="00B44949" w:rsidTr="00DE4CFE">
        <w:tc>
          <w:tcPr>
            <w:tcW w:w="2438" w:type="dxa"/>
            <w:vAlign w:val="center"/>
          </w:tcPr>
          <w:p w:rsidR="005F62A4" w:rsidRPr="00B44949" w:rsidRDefault="00A11609" w:rsidP="00FE41DD">
            <w:pPr>
              <w:rPr>
                <w:rFonts w:ascii="Arial Narrow" w:hAnsi="Arial Narrow"/>
                <w:sz w:val="20"/>
                <w:szCs w:val="20"/>
              </w:rPr>
            </w:pPr>
            <w:r w:rsidRPr="00B44949">
              <w:rPr>
                <w:rFonts w:ascii="Arial Narrow" w:hAnsi="Arial Narrow"/>
                <w:sz w:val="20"/>
                <w:szCs w:val="20"/>
              </w:rPr>
              <w:t xml:space="preserve">Proportion of Stage IV patients of </w:t>
            </w:r>
            <w:r w:rsidR="00C3191E">
              <w:rPr>
                <w:rFonts w:ascii="Arial Narrow" w:hAnsi="Arial Narrow"/>
                <w:sz w:val="20"/>
                <w:szCs w:val="20"/>
              </w:rPr>
              <w:t xml:space="preserve">all </w:t>
            </w:r>
            <w:r w:rsidRPr="00B44949">
              <w:rPr>
                <w:rFonts w:ascii="Arial Narrow" w:hAnsi="Arial Narrow"/>
                <w:sz w:val="20"/>
                <w:szCs w:val="20"/>
              </w:rPr>
              <w:t>Stage IIIB/IV patients</w:t>
            </w:r>
          </w:p>
        </w:tc>
        <w:tc>
          <w:tcPr>
            <w:tcW w:w="1134" w:type="dxa"/>
            <w:vAlign w:val="center"/>
          </w:tcPr>
          <w:p w:rsidR="005F62A4" w:rsidRPr="00B44949" w:rsidRDefault="00A11609" w:rsidP="00FE41DD">
            <w:pPr>
              <w:rPr>
                <w:rFonts w:ascii="Arial Narrow" w:hAnsi="Arial Narrow"/>
                <w:sz w:val="20"/>
                <w:szCs w:val="20"/>
              </w:rPr>
            </w:pPr>
            <w:r w:rsidRPr="00B44949">
              <w:rPr>
                <w:rFonts w:ascii="Arial Narrow" w:hAnsi="Arial Narrow"/>
                <w:sz w:val="20"/>
                <w:szCs w:val="20"/>
              </w:rPr>
              <w:t>78.6%</w:t>
            </w:r>
          </w:p>
        </w:tc>
        <w:tc>
          <w:tcPr>
            <w:tcW w:w="3969" w:type="dxa"/>
            <w:vAlign w:val="center"/>
          </w:tcPr>
          <w:p w:rsidR="005F62A4" w:rsidRPr="00B44949" w:rsidRDefault="00B44949" w:rsidP="00FE41DD">
            <w:pPr>
              <w:rPr>
                <w:rFonts w:ascii="Arial Narrow" w:hAnsi="Arial Narrow"/>
                <w:sz w:val="20"/>
                <w:szCs w:val="20"/>
              </w:rPr>
            </w:pPr>
            <w:r w:rsidRPr="00B44949">
              <w:rPr>
                <w:rFonts w:ascii="Arial Narrow" w:hAnsi="Arial Narrow" w:cs="Arial"/>
                <w:color w:val="000000"/>
                <w:sz w:val="20"/>
                <w:szCs w:val="20"/>
              </w:rPr>
              <w:t>Mitchell et al. Lung cancer in Victoria: are we making progress? MJA 199 (10)·18 November 2013.</w:t>
            </w:r>
          </w:p>
        </w:tc>
        <w:tc>
          <w:tcPr>
            <w:tcW w:w="1541" w:type="dxa"/>
            <w:vAlign w:val="center"/>
          </w:tcPr>
          <w:p w:rsidR="005F62A4" w:rsidRPr="00007FE4" w:rsidRDefault="00007FE4" w:rsidP="00FE41DD">
            <w:pPr>
              <w:rPr>
                <w:rFonts w:ascii="Arial Narrow" w:hAnsi="Arial Narrow"/>
                <w:i/>
                <w:sz w:val="20"/>
                <w:szCs w:val="20"/>
              </w:rPr>
            </w:pPr>
            <w:r>
              <w:rPr>
                <w:rFonts w:ascii="Arial Narrow" w:hAnsi="Arial Narrow"/>
                <w:i/>
                <w:sz w:val="20"/>
                <w:szCs w:val="20"/>
              </w:rPr>
              <w:t>This is reasonable</w:t>
            </w:r>
            <w:r w:rsidR="00DE4CFE">
              <w:rPr>
                <w:rFonts w:ascii="Arial Narrow" w:hAnsi="Arial Narrow"/>
                <w:i/>
                <w:sz w:val="20"/>
                <w:szCs w:val="20"/>
              </w:rPr>
              <w:t xml:space="preserve"> (but see para 5.15)</w:t>
            </w:r>
            <w:r>
              <w:rPr>
                <w:rFonts w:ascii="Arial Narrow" w:hAnsi="Arial Narrow"/>
                <w:i/>
                <w:sz w:val="20"/>
                <w:szCs w:val="20"/>
              </w:rPr>
              <w:t xml:space="preserve">. </w:t>
            </w:r>
          </w:p>
        </w:tc>
      </w:tr>
      <w:tr w:rsidR="005F62A4" w:rsidRPr="00B44949" w:rsidTr="00DE4CFE">
        <w:tc>
          <w:tcPr>
            <w:tcW w:w="2438" w:type="dxa"/>
            <w:vAlign w:val="center"/>
          </w:tcPr>
          <w:p w:rsidR="005F62A4" w:rsidRPr="00B44949" w:rsidRDefault="00A11609" w:rsidP="00FE41DD">
            <w:pPr>
              <w:rPr>
                <w:rFonts w:ascii="Arial Narrow" w:hAnsi="Arial Narrow"/>
                <w:sz w:val="20"/>
                <w:szCs w:val="20"/>
              </w:rPr>
            </w:pPr>
            <w:r w:rsidRPr="00B44949">
              <w:rPr>
                <w:rFonts w:ascii="Arial Narrow" w:hAnsi="Arial Narrow"/>
                <w:sz w:val="20"/>
                <w:szCs w:val="20"/>
              </w:rPr>
              <w:t>Proportion of NSCLC patients with squamous vs non-squamous histology</w:t>
            </w:r>
          </w:p>
        </w:tc>
        <w:tc>
          <w:tcPr>
            <w:tcW w:w="1134" w:type="dxa"/>
            <w:vAlign w:val="center"/>
          </w:tcPr>
          <w:p w:rsidR="005F62A4" w:rsidRPr="00B44949" w:rsidRDefault="00A11609" w:rsidP="00FE41DD">
            <w:pPr>
              <w:rPr>
                <w:rFonts w:ascii="Arial Narrow" w:hAnsi="Arial Narrow"/>
                <w:sz w:val="20"/>
                <w:szCs w:val="20"/>
              </w:rPr>
            </w:pPr>
            <w:r w:rsidRPr="00B44949">
              <w:rPr>
                <w:rFonts w:ascii="Arial Narrow" w:hAnsi="Arial Narrow"/>
                <w:sz w:val="20"/>
                <w:szCs w:val="20"/>
              </w:rPr>
              <w:t>22.4% (squamous)</w:t>
            </w:r>
          </w:p>
          <w:p w:rsidR="00A11609" w:rsidRPr="00B44949" w:rsidRDefault="001165FE" w:rsidP="00FE41DD">
            <w:pPr>
              <w:rPr>
                <w:rFonts w:ascii="Arial Narrow" w:hAnsi="Arial Narrow"/>
                <w:sz w:val="20"/>
                <w:szCs w:val="20"/>
              </w:rPr>
            </w:pPr>
            <w:r w:rsidRPr="00B44949">
              <w:rPr>
                <w:rFonts w:ascii="Arial Narrow" w:hAnsi="Arial Narrow"/>
                <w:sz w:val="20"/>
                <w:szCs w:val="20"/>
              </w:rPr>
              <w:t>77.6% (non-squamous)</w:t>
            </w:r>
          </w:p>
        </w:tc>
        <w:tc>
          <w:tcPr>
            <w:tcW w:w="3969" w:type="dxa"/>
            <w:vAlign w:val="center"/>
          </w:tcPr>
          <w:p w:rsidR="005F62A4" w:rsidRPr="00B44949" w:rsidRDefault="00B44949" w:rsidP="00FE41DD">
            <w:pPr>
              <w:rPr>
                <w:rFonts w:ascii="Arial Narrow" w:hAnsi="Arial Narrow"/>
                <w:sz w:val="20"/>
                <w:szCs w:val="20"/>
              </w:rPr>
            </w:pPr>
            <w:r w:rsidRPr="00B44949">
              <w:rPr>
                <w:rFonts w:ascii="Arial Narrow" w:hAnsi="Arial Narrow" w:cs="Arial"/>
                <w:color w:val="000000"/>
                <w:sz w:val="20"/>
                <w:szCs w:val="20"/>
              </w:rPr>
              <w:t>Systemic therapy treatment patterns in patients with</w:t>
            </w:r>
            <w:r w:rsidR="00007FE4">
              <w:rPr>
                <w:rFonts w:ascii="Arial Narrow" w:hAnsi="Arial Narrow" w:cs="Arial"/>
                <w:color w:val="000000"/>
                <w:sz w:val="20"/>
                <w:szCs w:val="20"/>
              </w:rPr>
              <w:t xml:space="preserve"> </w:t>
            </w:r>
            <w:r w:rsidRPr="00B44949">
              <w:rPr>
                <w:rFonts w:ascii="Arial Narrow" w:hAnsi="Arial Narrow" w:cs="Arial"/>
                <w:color w:val="000000"/>
                <w:sz w:val="20"/>
                <w:szCs w:val="20"/>
              </w:rPr>
              <w:t>advanced non-small cell lung cancer (NSCLC): PIvOTAL</w:t>
            </w:r>
            <w:r w:rsidR="00007FE4">
              <w:rPr>
                <w:rFonts w:ascii="Arial Narrow" w:hAnsi="Arial Narrow" w:cs="Arial"/>
                <w:color w:val="000000"/>
                <w:sz w:val="20"/>
                <w:szCs w:val="20"/>
              </w:rPr>
              <w:t xml:space="preserve"> </w:t>
            </w:r>
            <w:r w:rsidRPr="00B44949">
              <w:rPr>
                <w:rFonts w:ascii="Arial Narrow" w:hAnsi="Arial Narrow" w:cs="Arial"/>
                <w:color w:val="000000"/>
                <w:sz w:val="20"/>
                <w:szCs w:val="20"/>
              </w:rPr>
              <w:t>study. European Journal of Cancer Care, February 2017.</w:t>
            </w:r>
          </w:p>
        </w:tc>
        <w:tc>
          <w:tcPr>
            <w:tcW w:w="1541" w:type="dxa"/>
            <w:vAlign w:val="center"/>
          </w:tcPr>
          <w:p w:rsidR="005F62A4" w:rsidRPr="00B44949" w:rsidRDefault="00007FE4" w:rsidP="00FE41DD">
            <w:pPr>
              <w:rPr>
                <w:rFonts w:ascii="Arial Narrow" w:hAnsi="Arial Narrow"/>
                <w:sz w:val="20"/>
                <w:szCs w:val="20"/>
              </w:rPr>
            </w:pPr>
            <w:r>
              <w:rPr>
                <w:rFonts w:ascii="Arial Narrow" w:hAnsi="Arial Narrow"/>
                <w:i/>
                <w:sz w:val="20"/>
                <w:szCs w:val="20"/>
              </w:rPr>
              <w:t>This is reasonable.</w:t>
            </w:r>
          </w:p>
        </w:tc>
      </w:tr>
      <w:tr w:rsidR="005F62A4" w:rsidRPr="00B44949" w:rsidTr="00DE4CFE">
        <w:tc>
          <w:tcPr>
            <w:tcW w:w="2438" w:type="dxa"/>
            <w:tcBorders>
              <w:bottom w:val="single" w:sz="4" w:space="0" w:color="auto"/>
            </w:tcBorders>
            <w:vAlign w:val="center"/>
          </w:tcPr>
          <w:p w:rsidR="005F62A4" w:rsidRPr="00B44949" w:rsidRDefault="001165FE" w:rsidP="00FE41DD">
            <w:pPr>
              <w:rPr>
                <w:rFonts w:ascii="Arial Narrow" w:hAnsi="Arial Narrow"/>
                <w:sz w:val="20"/>
                <w:szCs w:val="20"/>
              </w:rPr>
            </w:pPr>
            <w:r w:rsidRPr="00B44949">
              <w:rPr>
                <w:rFonts w:ascii="Arial Narrow" w:hAnsi="Arial Narrow"/>
                <w:sz w:val="20"/>
                <w:szCs w:val="20"/>
              </w:rPr>
              <w:t>Proportion of non-squamous NSCLC patients who are EGFR or ALK negative</w:t>
            </w:r>
          </w:p>
        </w:tc>
        <w:tc>
          <w:tcPr>
            <w:tcW w:w="1134" w:type="dxa"/>
            <w:tcBorders>
              <w:bottom w:val="single" w:sz="4" w:space="0" w:color="auto"/>
            </w:tcBorders>
            <w:vAlign w:val="center"/>
          </w:tcPr>
          <w:p w:rsidR="005F62A4" w:rsidRPr="00B44949" w:rsidRDefault="001165FE" w:rsidP="00FE41DD">
            <w:pPr>
              <w:rPr>
                <w:rFonts w:ascii="Arial Narrow" w:hAnsi="Arial Narrow"/>
                <w:sz w:val="20"/>
                <w:szCs w:val="20"/>
              </w:rPr>
            </w:pPr>
            <w:r w:rsidRPr="00B44949">
              <w:rPr>
                <w:rFonts w:ascii="Arial Narrow" w:hAnsi="Arial Narrow"/>
                <w:sz w:val="20"/>
                <w:szCs w:val="20"/>
              </w:rPr>
              <w:t>= 12.5% (EGFR +ve) + 4% (ALK +ve)</w:t>
            </w:r>
          </w:p>
          <w:p w:rsidR="001165FE" w:rsidRPr="00B44949" w:rsidRDefault="001165FE" w:rsidP="00FE41DD">
            <w:pPr>
              <w:rPr>
                <w:rFonts w:ascii="Arial Narrow" w:hAnsi="Arial Narrow"/>
                <w:sz w:val="20"/>
                <w:szCs w:val="20"/>
              </w:rPr>
            </w:pPr>
            <w:r w:rsidRPr="00B44949">
              <w:rPr>
                <w:rFonts w:ascii="Arial Narrow" w:hAnsi="Arial Narrow"/>
                <w:sz w:val="20"/>
                <w:szCs w:val="20"/>
              </w:rPr>
              <w:t>= 16.5% total</w:t>
            </w:r>
          </w:p>
        </w:tc>
        <w:tc>
          <w:tcPr>
            <w:tcW w:w="3969" w:type="dxa"/>
            <w:tcBorders>
              <w:bottom w:val="single" w:sz="4" w:space="0" w:color="auto"/>
            </w:tcBorders>
            <w:vAlign w:val="center"/>
          </w:tcPr>
          <w:p w:rsidR="00B44949" w:rsidRPr="00B44949" w:rsidRDefault="00B44949" w:rsidP="00FE41DD">
            <w:pPr>
              <w:rPr>
                <w:rFonts w:ascii="Arial Narrow" w:hAnsi="Arial Narrow" w:cs="Arial"/>
                <w:color w:val="000000"/>
                <w:sz w:val="20"/>
                <w:szCs w:val="20"/>
              </w:rPr>
            </w:pPr>
            <w:r w:rsidRPr="00B44949">
              <w:rPr>
                <w:rFonts w:ascii="Arial Narrow" w:hAnsi="Arial Narrow" w:cs="Arial"/>
                <w:color w:val="000000"/>
                <w:sz w:val="20"/>
                <w:szCs w:val="20"/>
              </w:rPr>
              <w:t>10-15% of NSCLC patients are estimated to b</w:t>
            </w:r>
            <w:r w:rsidR="00007FE4">
              <w:rPr>
                <w:rFonts w:ascii="Arial Narrow" w:hAnsi="Arial Narrow" w:cs="Arial"/>
                <w:color w:val="000000"/>
                <w:sz w:val="20"/>
                <w:szCs w:val="20"/>
              </w:rPr>
              <w:t xml:space="preserve">e EGFR positive [Assche et al, </w:t>
            </w:r>
            <w:r w:rsidRPr="00B44949">
              <w:rPr>
                <w:rFonts w:ascii="Arial Narrow" w:hAnsi="Arial Narrow" w:cs="Arial"/>
                <w:color w:val="000000"/>
                <w:sz w:val="20"/>
                <w:szCs w:val="20"/>
              </w:rPr>
              <w:t>"EGFR Mutation Positive Stage IV Non-Small-Cell Lung Cancer: Treatment Beyond Progression", Front Oncol, 2014].</w:t>
            </w:r>
          </w:p>
          <w:p w:rsidR="005F62A4" w:rsidRPr="00B44949" w:rsidRDefault="00B44949" w:rsidP="00FE41DD">
            <w:pPr>
              <w:rPr>
                <w:rFonts w:ascii="Arial Narrow" w:hAnsi="Arial Narrow" w:cs="Arial"/>
                <w:color w:val="000000"/>
                <w:sz w:val="20"/>
                <w:szCs w:val="20"/>
              </w:rPr>
            </w:pPr>
            <w:r w:rsidRPr="00B44949">
              <w:rPr>
                <w:rFonts w:ascii="Arial Narrow" w:hAnsi="Arial Narrow" w:cs="Arial"/>
                <w:color w:val="000000"/>
                <w:sz w:val="20"/>
                <w:szCs w:val="20"/>
              </w:rPr>
              <w:t>3-5% of NSCLC patients are estimated to be ALK positive [Crizotinib PSD PBAC November 2013].</w:t>
            </w:r>
          </w:p>
        </w:tc>
        <w:tc>
          <w:tcPr>
            <w:tcW w:w="1541" w:type="dxa"/>
            <w:tcBorders>
              <w:bottom w:val="single" w:sz="4" w:space="0" w:color="auto"/>
            </w:tcBorders>
            <w:vAlign w:val="center"/>
          </w:tcPr>
          <w:p w:rsidR="005F62A4" w:rsidRPr="00B44949" w:rsidRDefault="00007FE4" w:rsidP="00FE41DD">
            <w:pPr>
              <w:rPr>
                <w:rFonts w:ascii="Arial Narrow" w:hAnsi="Arial Narrow"/>
                <w:sz w:val="20"/>
                <w:szCs w:val="20"/>
              </w:rPr>
            </w:pPr>
            <w:r>
              <w:rPr>
                <w:rFonts w:ascii="Arial Narrow" w:hAnsi="Arial Narrow"/>
                <w:i/>
                <w:sz w:val="20"/>
                <w:szCs w:val="20"/>
              </w:rPr>
              <w:t>This is reasonable.</w:t>
            </w:r>
          </w:p>
        </w:tc>
      </w:tr>
      <w:tr w:rsidR="005F62A4" w:rsidRPr="00B44949" w:rsidTr="00DE4CFE">
        <w:tc>
          <w:tcPr>
            <w:tcW w:w="2438" w:type="dxa"/>
            <w:tcBorders>
              <w:bottom w:val="double" w:sz="4" w:space="0" w:color="auto"/>
            </w:tcBorders>
            <w:vAlign w:val="center"/>
          </w:tcPr>
          <w:p w:rsidR="005F62A4" w:rsidRPr="00B44949" w:rsidRDefault="001165FE" w:rsidP="00B84385">
            <w:pPr>
              <w:rPr>
                <w:rFonts w:ascii="Arial Narrow" w:hAnsi="Arial Narrow"/>
                <w:sz w:val="20"/>
                <w:szCs w:val="20"/>
              </w:rPr>
            </w:pPr>
            <w:r w:rsidRPr="00B44949">
              <w:rPr>
                <w:rFonts w:ascii="Arial Narrow" w:hAnsi="Arial Narrow"/>
                <w:sz w:val="20"/>
                <w:szCs w:val="20"/>
              </w:rPr>
              <w:t>Prevalence of TPS ≥50%</w:t>
            </w:r>
          </w:p>
        </w:tc>
        <w:tc>
          <w:tcPr>
            <w:tcW w:w="1134" w:type="dxa"/>
            <w:tcBorders>
              <w:bottom w:val="double" w:sz="4" w:space="0" w:color="auto"/>
            </w:tcBorders>
            <w:vAlign w:val="center"/>
          </w:tcPr>
          <w:p w:rsidR="005F62A4" w:rsidRPr="00B44949" w:rsidRDefault="001165FE" w:rsidP="00FE41DD">
            <w:pPr>
              <w:rPr>
                <w:rFonts w:ascii="Arial Narrow" w:hAnsi="Arial Narrow"/>
                <w:sz w:val="20"/>
                <w:szCs w:val="20"/>
              </w:rPr>
            </w:pPr>
            <w:r w:rsidRPr="00B44949">
              <w:rPr>
                <w:rFonts w:ascii="Arial Narrow" w:hAnsi="Arial Narrow"/>
                <w:sz w:val="20"/>
                <w:szCs w:val="20"/>
              </w:rPr>
              <w:t>28.5%</w:t>
            </w:r>
          </w:p>
        </w:tc>
        <w:tc>
          <w:tcPr>
            <w:tcW w:w="3969" w:type="dxa"/>
            <w:tcBorders>
              <w:bottom w:val="double" w:sz="4" w:space="0" w:color="auto"/>
            </w:tcBorders>
            <w:vAlign w:val="center"/>
          </w:tcPr>
          <w:p w:rsidR="005F62A4" w:rsidRPr="00B44949" w:rsidRDefault="00B44949" w:rsidP="00FE41DD">
            <w:pPr>
              <w:rPr>
                <w:rFonts w:ascii="Arial Narrow" w:hAnsi="Arial Narrow"/>
                <w:sz w:val="20"/>
                <w:szCs w:val="20"/>
              </w:rPr>
            </w:pPr>
            <w:r w:rsidRPr="00B44949">
              <w:rPr>
                <w:rFonts w:ascii="Arial Narrow" w:hAnsi="Arial Narrow" w:cs="Arial"/>
                <w:color w:val="000000"/>
                <w:sz w:val="20"/>
                <w:szCs w:val="20"/>
              </w:rPr>
              <w:t>Data on cohort of Australian patients from the KN-024 study.</w:t>
            </w:r>
          </w:p>
        </w:tc>
        <w:tc>
          <w:tcPr>
            <w:tcW w:w="1541" w:type="dxa"/>
            <w:tcBorders>
              <w:bottom w:val="double" w:sz="4" w:space="0" w:color="auto"/>
            </w:tcBorders>
            <w:vAlign w:val="center"/>
          </w:tcPr>
          <w:p w:rsidR="005F62A4" w:rsidRPr="00B44949" w:rsidRDefault="00007FE4" w:rsidP="00FE41DD">
            <w:pPr>
              <w:rPr>
                <w:rFonts w:ascii="Arial Narrow" w:hAnsi="Arial Narrow"/>
                <w:sz w:val="20"/>
                <w:szCs w:val="20"/>
              </w:rPr>
            </w:pPr>
            <w:r>
              <w:rPr>
                <w:rFonts w:ascii="Arial Narrow" w:hAnsi="Arial Narrow"/>
                <w:i/>
                <w:sz w:val="20"/>
                <w:szCs w:val="20"/>
              </w:rPr>
              <w:t>This is reasonable.</w:t>
            </w:r>
          </w:p>
        </w:tc>
      </w:tr>
      <w:tr w:rsidR="005F62A4" w:rsidRPr="00B44949" w:rsidTr="00DE4CFE">
        <w:tc>
          <w:tcPr>
            <w:tcW w:w="2438" w:type="dxa"/>
            <w:tcBorders>
              <w:top w:val="double" w:sz="4" w:space="0" w:color="auto"/>
            </w:tcBorders>
            <w:vAlign w:val="center"/>
          </w:tcPr>
          <w:p w:rsidR="005F62A4" w:rsidRPr="00851952" w:rsidRDefault="001165FE" w:rsidP="00FE41DD">
            <w:pPr>
              <w:rPr>
                <w:rFonts w:ascii="Arial Narrow" w:hAnsi="Arial Narrow"/>
                <w:b/>
                <w:sz w:val="20"/>
                <w:szCs w:val="20"/>
              </w:rPr>
            </w:pPr>
            <w:r w:rsidRPr="00851952">
              <w:rPr>
                <w:rFonts w:ascii="Arial Narrow" w:hAnsi="Arial Narrow"/>
                <w:b/>
                <w:sz w:val="20"/>
                <w:szCs w:val="20"/>
              </w:rPr>
              <w:t>2L nivolumab market replaced by 1L pembrolizumab</w:t>
            </w:r>
          </w:p>
        </w:tc>
        <w:tc>
          <w:tcPr>
            <w:tcW w:w="1134" w:type="dxa"/>
            <w:tcBorders>
              <w:top w:val="double" w:sz="4" w:space="0" w:color="auto"/>
            </w:tcBorders>
            <w:vAlign w:val="center"/>
          </w:tcPr>
          <w:p w:rsidR="001165FE" w:rsidRPr="00851952" w:rsidRDefault="001165FE" w:rsidP="00FE41DD">
            <w:pPr>
              <w:rPr>
                <w:rFonts w:ascii="Arial Narrow" w:hAnsi="Arial Narrow"/>
                <w:b/>
                <w:sz w:val="20"/>
                <w:szCs w:val="20"/>
              </w:rPr>
            </w:pPr>
            <w:r w:rsidRPr="00851952">
              <w:rPr>
                <w:rFonts w:ascii="Arial Narrow" w:hAnsi="Arial Narrow"/>
                <w:b/>
                <w:sz w:val="20"/>
                <w:szCs w:val="20"/>
              </w:rPr>
              <w:t>19.53%</w:t>
            </w:r>
          </w:p>
        </w:tc>
        <w:tc>
          <w:tcPr>
            <w:tcW w:w="3969" w:type="dxa"/>
            <w:tcBorders>
              <w:top w:val="double" w:sz="4" w:space="0" w:color="auto"/>
            </w:tcBorders>
            <w:vAlign w:val="center"/>
          </w:tcPr>
          <w:p w:rsidR="005F62A4" w:rsidRDefault="00B44949" w:rsidP="00FE41DD">
            <w:pPr>
              <w:rPr>
                <w:rFonts w:ascii="Arial Narrow" w:hAnsi="Arial Narrow"/>
                <w:sz w:val="20"/>
                <w:szCs w:val="20"/>
              </w:rPr>
            </w:pPr>
            <w:r w:rsidRPr="00B44949">
              <w:rPr>
                <w:rFonts w:ascii="Arial Narrow" w:hAnsi="Arial Narrow"/>
                <w:sz w:val="20"/>
                <w:szCs w:val="20"/>
              </w:rPr>
              <w:t>Calculation</w:t>
            </w:r>
          </w:p>
          <w:p w:rsidR="00B44949" w:rsidRPr="00B44949" w:rsidRDefault="00B44949" w:rsidP="00FE41DD">
            <w:pPr>
              <w:rPr>
                <w:rFonts w:ascii="Arial Narrow" w:hAnsi="Arial Narrow"/>
                <w:sz w:val="20"/>
                <w:szCs w:val="20"/>
              </w:rPr>
            </w:pPr>
            <w:r w:rsidRPr="00B44949">
              <w:rPr>
                <w:rFonts w:ascii="Arial Narrow" w:hAnsi="Arial Narrow"/>
                <w:sz w:val="20"/>
                <w:szCs w:val="20"/>
              </w:rPr>
              <w:t xml:space="preserve">= 78.6% x </w:t>
            </w:r>
            <w:r w:rsidR="00ED225A">
              <w:rPr>
                <w:rFonts w:ascii="Arial Narrow" w:hAnsi="Arial Narrow"/>
                <w:sz w:val="20"/>
                <w:szCs w:val="20"/>
              </w:rPr>
              <w:t>(</w:t>
            </w:r>
            <w:r w:rsidRPr="00B44949">
              <w:rPr>
                <w:rFonts w:ascii="Arial Narrow" w:hAnsi="Arial Narrow"/>
                <w:sz w:val="20"/>
                <w:szCs w:val="20"/>
              </w:rPr>
              <w:t>(77.6% x 83.5%</w:t>
            </w:r>
            <w:r w:rsidR="00ED225A">
              <w:rPr>
                <w:rFonts w:ascii="Arial Narrow" w:hAnsi="Arial Narrow"/>
                <w:sz w:val="20"/>
                <w:szCs w:val="20"/>
              </w:rPr>
              <w:t>)</w:t>
            </w:r>
            <w:r w:rsidRPr="00B44949">
              <w:rPr>
                <w:rFonts w:ascii="Arial Narrow" w:hAnsi="Arial Narrow"/>
                <w:sz w:val="20"/>
                <w:szCs w:val="20"/>
              </w:rPr>
              <w:t xml:space="preserve"> + 22.4%) x 28.5%</w:t>
            </w:r>
          </w:p>
        </w:tc>
        <w:tc>
          <w:tcPr>
            <w:tcW w:w="1541" w:type="dxa"/>
            <w:tcBorders>
              <w:top w:val="double" w:sz="4" w:space="0" w:color="auto"/>
            </w:tcBorders>
            <w:vAlign w:val="center"/>
          </w:tcPr>
          <w:p w:rsidR="005F62A4" w:rsidRPr="00B44949" w:rsidRDefault="00076DBF" w:rsidP="00FE41DD">
            <w:pPr>
              <w:rPr>
                <w:rFonts w:ascii="Arial Narrow" w:hAnsi="Arial Narrow"/>
                <w:sz w:val="20"/>
                <w:szCs w:val="20"/>
              </w:rPr>
            </w:pPr>
            <w:r>
              <w:rPr>
                <w:rFonts w:ascii="Arial Narrow" w:hAnsi="Arial Narrow"/>
                <w:i/>
                <w:sz w:val="20"/>
                <w:szCs w:val="20"/>
              </w:rPr>
              <w:t>This is reasonable.</w:t>
            </w:r>
          </w:p>
        </w:tc>
      </w:tr>
    </w:tbl>
    <w:p w:rsidR="00593B92" w:rsidRDefault="00593B92" w:rsidP="00FE41DD">
      <w:pPr>
        <w:pStyle w:val="ListParagraph"/>
        <w:widowControl/>
        <w:numPr>
          <w:ilvl w:val="1"/>
          <w:numId w:val="5"/>
        </w:numPr>
        <w:spacing w:before="120" w:after="120"/>
        <w:contextualSpacing w:val="0"/>
        <w:rPr>
          <w:rFonts w:asciiTheme="minorHAnsi" w:hAnsiTheme="minorHAnsi"/>
          <w:sz w:val="24"/>
          <w:szCs w:val="24"/>
        </w:rPr>
      </w:pPr>
      <w:r w:rsidRPr="00593B92">
        <w:rPr>
          <w:rFonts w:asciiTheme="minorHAnsi" w:hAnsiTheme="minorHAnsi"/>
          <w:sz w:val="24"/>
          <w:szCs w:val="24"/>
        </w:rPr>
        <w:t xml:space="preserve">The </w:t>
      </w:r>
      <w:r w:rsidR="00EB16C5">
        <w:rPr>
          <w:rFonts w:asciiTheme="minorHAnsi" w:hAnsiTheme="minorHAnsi"/>
          <w:sz w:val="24"/>
          <w:szCs w:val="24"/>
        </w:rPr>
        <w:t xml:space="preserve">minor </w:t>
      </w:r>
      <w:r w:rsidRPr="00593B92">
        <w:rPr>
          <w:rFonts w:asciiTheme="minorHAnsi" w:hAnsiTheme="minorHAnsi"/>
          <w:sz w:val="24"/>
          <w:szCs w:val="24"/>
        </w:rPr>
        <w:t xml:space="preserve">resubmission did not estimate the number of patients who currently receive nivolumab second-line, nor estimate the number of patients that would uptake first-line pembrolizumab using its estimate of the nivolumab market share. However, </w:t>
      </w:r>
      <w:r w:rsidR="003B7B75">
        <w:rPr>
          <w:rFonts w:asciiTheme="minorHAnsi" w:hAnsiTheme="minorHAnsi"/>
          <w:sz w:val="24"/>
          <w:szCs w:val="24"/>
        </w:rPr>
        <w:t xml:space="preserve">the </w:t>
      </w:r>
      <w:r w:rsidR="0074367F">
        <w:rPr>
          <w:rFonts w:asciiTheme="minorHAnsi" w:hAnsiTheme="minorHAnsi"/>
          <w:sz w:val="24"/>
          <w:szCs w:val="24"/>
        </w:rPr>
        <w:t xml:space="preserve">economic and </w:t>
      </w:r>
      <w:r w:rsidR="003B7B75">
        <w:rPr>
          <w:rFonts w:asciiTheme="minorHAnsi" w:hAnsiTheme="minorHAnsi"/>
          <w:sz w:val="24"/>
          <w:szCs w:val="24"/>
        </w:rPr>
        <w:t xml:space="preserve">financial analyses estimated that </w:t>
      </w:r>
      <w:r w:rsidRPr="00593B92">
        <w:rPr>
          <w:rFonts w:asciiTheme="minorHAnsi" w:hAnsiTheme="minorHAnsi"/>
          <w:sz w:val="24"/>
          <w:szCs w:val="24"/>
        </w:rPr>
        <w:t>nivolumab cost</w:t>
      </w:r>
      <w:r w:rsidR="00F07A41">
        <w:rPr>
          <w:rFonts w:asciiTheme="minorHAnsi" w:hAnsiTheme="minorHAnsi"/>
          <w:sz w:val="24"/>
          <w:szCs w:val="24"/>
        </w:rPr>
        <w:t xml:space="preserve"> </w:t>
      </w:r>
      <w:r w:rsidRPr="00593B92">
        <w:rPr>
          <w:rFonts w:asciiTheme="minorHAnsi" w:hAnsiTheme="minorHAnsi"/>
          <w:sz w:val="24"/>
          <w:szCs w:val="24"/>
        </w:rPr>
        <w:t>offsets w</w:t>
      </w:r>
      <w:r w:rsidR="003B7B75">
        <w:rPr>
          <w:rFonts w:asciiTheme="minorHAnsi" w:hAnsiTheme="minorHAnsi"/>
          <w:sz w:val="24"/>
          <w:szCs w:val="24"/>
        </w:rPr>
        <w:t xml:space="preserve">ould accrue for </w:t>
      </w:r>
      <w:r w:rsidR="003B7B75" w:rsidRPr="00E24312">
        <w:rPr>
          <w:rFonts w:asciiTheme="minorHAnsi" w:hAnsiTheme="minorHAnsi"/>
          <w:sz w:val="24"/>
          <w:szCs w:val="24"/>
        </w:rPr>
        <w:t>64.2</w:t>
      </w:r>
      <w:r w:rsidR="003B7B75">
        <w:rPr>
          <w:rFonts w:asciiTheme="minorHAnsi" w:hAnsiTheme="minorHAnsi"/>
          <w:sz w:val="24"/>
          <w:szCs w:val="24"/>
        </w:rPr>
        <w:t>% of patients receiving pembrolizumab</w:t>
      </w:r>
      <w:r w:rsidRPr="00593B92">
        <w:rPr>
          <w:rFonts w:asciiTheme="minorHAnsi" w:hAnsiTheme="minorHAnsi"/>
          <w:sz w:val="24"/>
          <w:szCs w:val="24"/>
        </w:rPr>
        <w:t xml:space="preserve">. Nivolumab cost offsets were also assumed in </w:t>
      </w:r>
      <w:r w:rsidRPr="00E24312">
        <w:rPr>
          <w:rFonts w:asciiTheme="minorHAnsi" w:hAnsiTheme="minorHAnsi"/>
          <w:sz w:val="24"/>
          <w:szCs w:val="24"/>
        </w:rPr>
        <w:t>64.2</w:t>
      </w:r>
      <w:r w:rsidRPr="00593B92">
        <w:rPr>
          <w:rFonts w:asciiTheme="minorHAnsi" w:hAnsiTheme="minorHAnsi"/>
          <w:sz w:val="24"/>
          <w:szCs w:val="24"/>
        </w:rPr>
        <w:t>% of grandfathering patients who would have otherwise received first-line chemotherapy.</w:t>
      </w:r>
    </w:p>
    <w:p w:rsidR="00593B92" w:rsidRPr="00D660D2" w:rsidRDefault="00593B92" w:rsidP="00D660D2">
      <w:pPr>
        <w:widowControl w:val="0"/>
        <w:snapToGrid w:val="0"/>
        <w:jc w:val="both"/>
        <w:rPr>
          <w:rFonts w:ascii="Arial Narrow" w:hAnsi="Arial Narrow" w:cs="Arial"/>
          <w:b/>
          <w:sz w:val="20"/>
          <w:szCs w:val="16"/>
          <w:lang w:eastAsia="en-US"/>
        </w:rPr>
      </w:pPr>
      <w:r w:rsidRPr="00D660D2">
        <w:rPr>
          <w:rFonts w:ascii="Arial Narrow" w:hAnsi="Arial Narrow" w:cs="Arial"/>
          <w:b/>
          <w:sz w:val="20"/>
          <w:szCs w:val="16"/>
          <w:lang w:eastAsia="en-US"/>
        </w:rPr>
        <w:t xml:space="preserve">Table </w:t>
      </w:r>
      <w:r w:rsidR="006C6CBE">
        <w:rPr>
          <w:rFonts w:ascii="Arial Narrow" w:hAnsi="Arial Narrow" w:cs="Arial"/>
          <w:b/>
          <w:noProof/>
          <w:sz w:val="20"/>
          <w:szCs w:val="16"/>
          <w:lang w:eastAsia="en-US"/>
        </w:rPr>
        <w:t>4</w:t>
      </w:r>
      <w:r w:rsidRPr="00D660D2">
        <w:rPr>
          <w:rFonts w:ascii="Arial Narrow" w:hAnsi="Arial Narrow" w:cs="Arial"/>
          <w:b/>
          <w:sz w:val="20"/>
          <w:szCs w:val="16"/>
          <w:lang w:eastAsia="en-US"/>
        </w:rPr>
        <w:t xml:space="preserve">: </w:t>
      </w:r>
      <w:r w:rsidR="006D3E68">
        <w:rPr>
          <w:rFonts w:ascii="Arial Narrow" w:hAnsi="Arial Narrow" w:cs="Arial"/>
          <w:b/>
          <w:sz w:val="20"/>
          <w:szCs w:val="16"/>
          <w:lang w:eastAsia="en-US"/>
        </w:rPr>
        <w:t xml:space="preserve">Estimates of numbers and types of </w:t>
      </w:r>
      <w:r w:rsidR="00BC6FA4">
        <w:rPr>
          <w:rFonts w:ascii="Arial Narrow" w:hAnsi="Arial Narrow" w:cs="Arial"/>
          <w:b/>
          <w:sz w:val="20"/>
          <w:szCs w:val="16"/>
          <w:lang w:eastAsia="en-US"/>
        </w:rPr>
        <w:t xml:space="preserve">patients with Stage IV NSCLC </w:t>
      </w:r>
      <w:r w:rsidR="006D3E68">
        <w:rPr>
          <w:rFonts w:ascii="Arial Narrow" w:hAnsi="Arial Narrow" w:cs="Arial"/>
          <w:b/>
          <w:sz w:val="20"/>
          <w:szCs w:val="16"/>
          <w:lang w:eastAsia="en-US"/>
        </w:rPr>
        <w:t xml:space="preserve">treated with pembrolizumab as presented in the minor resubmission </w:t>
      </w:r>
      <w:r w:rsidR="006D3E68" w:rsidRPr="006D3E68">
        <w:rPr>
          <w:rFonts w:ascii="Arial Narrow" w:hAnsi="Arial Narrow" w:cs="Arial"/>
          <w:b/>
          <w:i/>
          <w:sz w:val="20"/>
          <w:szCs w:val="16"/>
          <w:lang w:eastAsia="en-US"/>
        </w:rPr>
        <w:t xml:space="preserve">with a comparison of these estimates </w:t>
      </w:r>
      <w:r w:rsidR="006D3E68">
        <w:rPr>
          <w:rFonts w:ascii="Arial Narrow" w:hAnsi="Arial Narrow" w:cs="Arial"/>
          <w:b/>
          <w:i/>
          <w:sz w:val="20"/>
          <w:szCs w:val="16"/>
          <w:lang w:eastAsia="en-US"/>
        </w:rPr>
        <w:t xml:space="preserve">generated </w:t>
      </w:r>
      <w:r w:rsidR="006D3E68" w:rsidRPr="006D3E68">
        <w:rPr>
          <w:rFonts w:ascii="Arial Narrow" w:hAnsi="Arial Narrow" w:cs="Arial"/>
          <w:b/>
          <w:i/>
          <w:sz w:val="20"/>
          <w:szCs w:val="16"/>
          <w:lang w:eastAsia="en-US"/>
        </w:rPr>
        <w:t>with reference to the economic and financial models</w:t>
      </w:r>
      <w:r w:rsidR="006D3E68">
        <w:rPr>
          <w:rFonts w:ascii="Arial Narrow" w:hAnsi="Arial Narrow" w:cs="Arial"/>
          <w:b/>
          <w:i/>
          <w:sz w:val="20"/>
          <w:szCs w:val="16"/>
          <w:lang w:eastAsia="en-US"/>
        </w:rPr>
        <w:t xml:space="preserve"> of the minor resubmission</w:t>
      </w:r>
    </w:p>
    <w:tbl>
      <w:tblPr>
        <w:tblStyle w:val="TableGrid"/>
        <w:tblW w:w="9100" w:type="dxa"/>
        <w:tblCellMar>
          <w:top w:w="28" w:type="dxa"/>
          <w:left w:w="28" w:type="dxa"/>
          <w:bottom w:w="28" w:type="dxa"/>
          <w:right w:w="28" w:type="dxa"/>
        </w:tblCellMar>
        <w:tblLook w:val="04A0" w:firstRow="1" w:lastRow="0" w:firstColumn="1" w:lastColumn="0" w:noHBand="0" w:noVBand="1"/>
      </w:tblPr>
      <w:tblGrid>
        <w:gridCol w:w="312"/>
        <w:gridCol w:w="1276"/>
        <w:gridCol w:w="3260"/>
        <w:gridCol w:w="709"/>
        <w:gridCol w:w="708"/>
        <w:gridCol w:w="709"/>
        <w:gridCol w:w="709"/>
        <w:gridCol w:w="709"/>
        <w:gridCol w:w="708"/>
      </w:tblGrid>
      <w:tr w:rsidR="00593B92" w:rsidRPr="00E24312" w:rsidTr="00B434BC">
        <w:tc>
          <w:tcPr>
            <w:tcW w:w="312" w:type="dxa"/>
          </w:tcPr>
          <w:p w:rsidR="00593B92" w:rsidRPr="00E964DA" w:rsidRDefault="00593B92" w:rsidP="00A91CE7">
            <w:pPr>
              <w:pStyle w:val="NoSpacing"/>
              <w:rPr>
                <w:rFonts w:ascii="Arial Narrow" w:hAnsi="Arial Narrow" w:cs="Arial"/>
                <w:b/>
                <w:sz w:val="20"/>
                <w:szCs w:val="20"/>
              </w:rPr>
            </w:pPr>
          </w:p>
        </w:tc>
        <w:tc>
          <w:tcPr>
            <w:tcW w:w="4536" w:type="dxa"/>
            <w:gridSpan w:val="2"/>
          </w:tcPr>
          <w:p w:rsidR="00593B92" w:rsidRPr="00E964DA" w:rsidRDefault="00593B92" w:rsidP="00A91CE7">
            <w:pPr>
              <w:pStyle w:val="NoSpacing"/>
              <w:jc w:val="left"/>
              <w:rPr>
                <w:rFonts w:ascii="Arial Narrow" w:hAnsi="Arial Narrow" w:cs="Arial"/>
                <w:b/>
                <w:sz w:val="20"/>
                <w:szCs w:val="20"/>
              </w:rPr>
            </w:pPr>
            <w:r w:rsidRPr="002F7C2E">
              <w:rPr>
                <w:rFonts w:ascii="Arial Narrow" w:hAnsi="Arial Narrow" w:cs="Arial"/>
                <w:b/>
                <w:sz w:val="20"/>
                <w:szCs w:val="20"/>
              </w:rPr>
              <w:t>Population assumptions</w:t>
            </w:r>
          </w:p>
        </w:tc>
        <w:tc>
          <w:tcPr>
            <w:tcW w:w="709" w:type="dxa"/>
            <w:vAlign w:val="center"/>
          </w:tcPr>
          <w:p w:rsidR="00593B92" w:rsidRPr="00E964DA" w:rsidRDefault="00593B92" w:rsidP="00A91CE7">
            <w:pPr>
              <w:pStyle w:val="NoSpacing"/>
              <w:jc w:val="center"/>
              <w:rPr>
                <w:rFonts w:ascii="Arial Narrow" w:hAnsi="Arial Narrow" w:cs="Arial"/>
                <w:b/>
                <w:sz w:val="20"/>
                <w:szCs w:val="20"/>
              </w:rPr>
            </w:pPr>
            <w:r w:rsidRPr="002F7C2E">
              <w:rPr>
                <w:rFonts w:ascii="Arial Narrow" w:hAnsi="Arial Narrow" w:cs="Arial"/>
                <w:b/>
                <w:sz w:val="20"/>
                <w:szCs w:val="20"/>
              </w:rPr>
              <w:t>Year 1</w:t>
            </w:r>
          </w:p>
        </w:tc>
        <w:tc>
          <w:tcPr>
            <w:tcW w:w="708" w:type="dxa"/>
            <w:vAlign w:val="center"/>
          </w:tcPr>
          <w:p w:rsidR="00593B92" w:rsidRPr="00E964DA" w:rsidRDefault="00593B92" w:rsidP="00A91CE7">
            <w:pPr>
              <w:pStyle w:val="NoSpacing"/>
              <w:jc w:val="center"/>
              <w:rPr>
                <w:rFonts w:ascii="Arial Narrow" w:hAnsi="Arial Narrow" w:cs="Arial"/>
                <w:b/>
                <w:sz w:val="20"/>
                <w:szCs w:val="20"/>
              </w:rPr>
            </w:pPr>
            <w:r w:rsidRPr="002F7C2E">
              <w:rPr>
                <w:rFonts w:ascii="Arial Narrow" w:hAnsi="Arial Narrow" w:cs="Arial"/>
                <w:b/>
                <w:sz w:val="20"/>
                <w:szCs w:val="20"/>
              </w:rPr>
              <w:t>Year 2</w:t>
            </w:r>
          </w:p>
        </w:tc>
        <w:tc>
          <w:tcPr>
            <w:tcW w:w="709" w:type="dxa"/>
            <w:vAlign w:val="center"/>
          </w:tcPr>
          <w:p w:rsidR="00593B92" w:rsidRPr="00E964DA" w:rsidRDefault="00593B92" w:rsidP="00A91CE7">
            <w:pPr>
              <w:pStyle w:val="NoSpacing"/>
              <w:jc w:val="center"/>
              <w:rPr>
                <w:rFonts w:ascii="Arial Narrow" w:hAnsi="Arial Narrow" w:cs="Arial"/>
                <w:b/>
                <w:sz w:val="20"/>
                <w:szCs w:val="20"/>
              </w:rPr>
            </w:pPr>
            <w:r w:rsidRPr="002F7C2E">
              <w:rPr>
                <w:rFonts w:ascii="Arial Narrow" w:hAnsi="Arial Narrow" w:cs="Arial"/>
                <w:b/>
                <w:sz w:val="20"/>
                <w:szCs w:val="20"/>
              </w:rPr>
              <w:t>Year 3</w:t>
            </w:r>
          </w:p>
        </w:tc>
        <w:tc>
          <w:tcPr>
            <w:tcW w:w="709" w:type="dxa"/>
            <w:vAlign w:val="center"/>
          </w:tcPr>
          <w:p w:rsidR="00593B92" w:rsidRPr="00E964DA" w:rsidRDefault="00593B92" w:rsidP="00A91CE7">
            <w:pPr>
              <w:pStyle w:val="NoSpacing"/>
              <w:jc w:val="center"/>
              <w:rPr>
                <w:rFonts w:ascii="Arial Narrow" w:hAnsi="Arial Narrow" w:cs="Arial"/>
                <w:b/>
                <w:sz w:val="20"/>
                <w:szCs w:val="20"/>
              </w:rPr>
            </w:pPr>
            <w:r w:rsidRPr="002F7C2E">
              <w:rPr>
                <w:rFonts w:ascii="Arial Narrow" w:hAnsi="Arial Narrow" w:cs="Arial"/>
                <w:b/>
                <w:sz w:val="20"/>
                <w:szCs w:val="20"/>
              </w:rPr>
              <w:t>Year 4</w:t>
            </w:r>
          </w:p>
        </w:tc>
        <w:tc>
          <w:tcPr>
            <w:tcW w:w="709" w:type="dxa"/>
            <w:vAlign w:val="center"/>
          </w:tcPr>
          <w:p w:rsidR="00593B92" w:rsidRPr="00E964DA" w:rsidRDefault="00593B92" w:rsidP="00A91CE7">
            <w:pPr>
              <w:pStyle w:val="NoSpacing"/>
              <w:jc w:val="center"/>
              <w:rPr>
                <w:rFonts w:ascii="Arial Narrow" w:hAnsi="Arial Narrow" w:cs="Arial"/>
                <w:b/>
                <w:sz w:val="20"/>
                <w:szCs w:val="20"/>
              </w:rPr>
            </w:pPr>
            <w:r w:rsidRPr="002F7C2E">
              <w:rPr>
                <w:rFonts w:ascii="Arial Narrow" w:hAnsi="Arial Narrow" w:cs="Arial"/>
                <w:b/>
                <w:sz w:val="20"/>
                <w:szCs w:val="20"/>
              </w:rPr>
              <w:t>Year 5</w:t>
            </w:r>
          </w:p>
        </w:tc>
        <w:tc>
          <w:tcPr>
            <w:tcW w:w="708" w:type="dxa"/>
            <w:vAlign w:val="center"/>
          </w:tcPr>
          <w:p w:rsidR="00593B92" w:rsidRPr="00E964DA" w:rsidRDefault="00593B92" w:rsidP="00A91CE7">
            <w:pPr>
              <w:pStyle w:val="NoSpacing"/>
              <w:jc w:val="center"/>
              <w:rPr>
                <w:rFonts w:ascii="Arial Narrow" w:hAnsi="Arial Narrow" w:cs="Arial"/>
                <w:b/>
                <w:sz w:val="20"/>
                <w:szCs w:val="20"/>
              </w:rPr>
            </w:pPr>
            <w:r w:rsidRPr="002F7C2E">
              <w:rPr>
                <w:rFonts w:ascii="Arial Narrow" w:hAnsi="Arial Narrow" w:cs="Arial"/>
                <w:b/>
                <w:sz w:val="20"/>
                <w:szCs w:val="20"/>
              </w:rPr>
              <w:t>Year 6</w:t>
            </w:r>
          </w:p>
        </w:tc>
      </w:tr>
      <w:tr w:rsidR="00593B92" w:rsidRPr="00E24312" w:rsidTr="00B434BC">
        <w:tc>
          <w:tcPr>
            <w:tcW w:w="312" w:type="dxa"/>
          </w:tcPr>
          <w:p w:rsidR="00593B92" w:rsidRPr="00E964DA" w:rsidRDefault="00593B92" w:rsidP="00A91CE7">
            <w:pPr>
              <w:pStyle w:val="NoSpacing"/>
              <w:rPr>
                <w:rFonts w:ascii="Arial Narrow" w:hAnsi="Arial Narrow" w:cs="Arial"/>
                <w:sz w:val="20"/>
                <w:szCs w:val="20"/>
              </w:rPr>
            </w:pPr>
            <w:r w:rsidRPr="002F7C2E">
              <w:rPr>
                <w:rFonts w:ascii="Arial Narrow" w:hAnsi="Arial Narrow" w:cs="Arial"/>
                <w:sz w:val="20"/>
                <w:szCs w:val="20"/>
              </w:rPr>
              <w:t>A</w:t>
            </w:r>
          </w:p>
        </w:tc>
        <w:tc>
          <w:tcPr>
            <w:tcW w:w="4536" w:type="dxa"/>
            <w:gridSpan w:val="2"/>
          </w:tcPr>
          <w:p w:rsidR="00593B92" w:rsidRPr="00E964DA" w:rsidRDefault="00593B92" w:rsidP="00A91CE7">
            <w:pPr>
              <w:pStyle w:val="NoSpacing"/>
              <w:jc w:val="left"/>
              <w:rPr>
                <w:rFonts w:ascii="Arial Narrow" w:hAnsi="Arial Narrow" w:cs="Arial"/>
                <w:sz w:val="20"/>
                <w:szCs w:val="20"/>
              </w:rPr>
            </w:pPr>
            <w:r w:rsidRPr="002F7C2E">
              <w:rPr>
                <w:rFonts w:ascii="Arial Narrow" w:hAnsi="Arial Narrow" w:cs="Arial"/>
                <w:sz w:val="20"/>
                <w:szCs w:val="20"/>
              </w:rPr>
              <w:t>Patients who switch from chemo to pembro</w:t>
            </w:r>
          </w:p>
        </w:tc>
        <w:tc>
          <w:tcPr>
            <w:tcW w:w="709" w:type="dxa"/>
            <w:vAlign w:val="center"/>
          </w:tcPr>
          <w:p w:rsidR="00593B92" w:rsidRPr="00E964DA" w:rsidRDefault="00E964DA" w:rsidP="00A91CE7">
            <w:pPr>
              <w:pStyle w:val="NoSpacing"/>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708" w:type="dxa"/>
            <w:vAlign w:val="center"/>
          </w:tcPr>
          <w:p w:rsidR="00593B92" w:rsidRPr="00E964DA" w:rsidRDefault="00E964DA" w:rsidP="00A91CE7">
            <w:pPr>
              <w:pStyle w:val="NoSpacing"/>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709" w:type="dxa"/>
            <w:vAlign w:val="center"/>
          </w:tcPr>
          <w:p w:rsidR="00593B92" w:rsidRPr="00E964DA" w:rsidRDefault="00E964DA" w:rsidP="00A91CE7">
            <w:pPr>
              <w:pStyle w:val="NoSpacing"/>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709" w:type="dxa"/>
            <w:vAlign w:val="center"/>
          </w:tcPr>
          <w:p w:rsidR="00593B92" w:rsidRPr="00E964DA" w:rsidRDefault="00E964DA" w:rsidP="00A91CE7">
            <w:pPr>
              <w:pStyle w:val="NoSpacing"/>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709" w:type="dxa"/>
            <w:vAlign w:val="center"/>
          </w:tcPr>
          <w:p w:rsidR="00593B92" w:rsidRPr="00E964DA" w:rsidRDefault="00E964DA" w:rsidP="00A91CE7">
            <w:pPr>
              <w:pStyle w:val="NoSpacing"/>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708" w:type="dxa"/>
            <w:vAlign w:val="center"/>
          </w:tcPr>
          <w:p w:rsidR="00593B92" w:rsidRPr="00E964DA" w:rsidRDefault="00E964DA" w:rsidP="00A91CE7">
            <w:pPr>
              <w:pStyle w:val="NoSpacing"/>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593B92" w:rsidRPr="00E24312" w:rsidTr="00B434BC">
        <w:tc>
          <w:tcPr>
            <w:tcW w:w="312" w:type="dxa"/>
            <w:tcBorders>
              <w:bottom w:val="single" w:sz="4" w:space="0" w:color="auto"/>
            </w:tcBorders>
          </w:tcPr>
          <w:p w:rsidR="00593B92" w:rsidRPr="00E964DA" w:rsidRDefault="00593B92" w:rsidP="00A91CE7">
            <w:pPr>
              <w:pStyle w:val="NoSpacing"/>
              <w:rPr>
                <w:rFonts w:ascii="Arial Narrow" w:hAnsi="Arial Narrow" w:cs="Arial"/>
                <w:sz w:val="20"/>
                <w:szCs w:val="20"/>
              </w:rPr>
            </w:pPr>
            <w:r w:rsidRPr="002F7C2E">
              <w:rPr>
                <w:rFonts w:ascii="Arial Narrow" w:hAnsi="Arial Narrow" w:cs="Arial"/>
                <w:sz w:val="20"/>
                <w:szCs w:val="20"/>
              </w:rPr>
              <w:t>B</w:t>
            </w:r>
          </w:p>
        </w:tc>
        <w:tc>
          <w:tcPr>
            <w:tcW w:w="4536" w:type="dxa"/>
            <w:gridSpan w:val="2"/>
            <w:tcBorders>
              <w:bottom w:val="single" w:sz="4" w:space="0" w:color="auto"/>
            </w:tcBorders>
          </w:tcPr>
          <w:p w:rsidR="00593B92" w:rsidRPr="00E964DA" w:rsidRDefault="00593B92" w:rsidP="00A91CE7">
            <w:pPr>
              <w:pStyle w:val="NoSpacing"/>
              <w:jc w:val="left"/>
              <w:rPr>
                <w:rFonts w:ascii="Arial Narrow" w:hAnsi="Arial Narrow" w:cs="Arial"/>
                <w:sz w:val="20"/>
                <w:szCs w:val="20"/>
              </w:rPr>
            </w:pPr>
            <w:r w:rsidRPr="002F7C2E">
              <w:rPr>
                <w:rFonts w:ascii="Arial Narrow" w:hAnsi="Arial Narrow" w:cs="Arial"/>
                <w:sz w:val="20"/>
                <w:szCs w:val="20"/>
              </w:rPr>
              <w:t>Incremental pembro patients (would not have had chemo)</w:t>
            </w:r>
          </w:p>
        </w:tc>
        <w:tc>
          <w:tcPr>
            <w:tcW w:w="709" w:type="dxa"/>
            <w:tcBorders>
              <w:bottom w:val="single" w:sz="4" w:space="0" w:color="auto"/>
            </w:tcBorders>
            <w:vAlign w:val="center"/>
          </w:tcPr>
          <w:p w:rsidR="00593B92" w:rsidRPr="00E964DA" w:rsidRDefault="00E964DA" w:rsidP="00A91CE7">
            <w:pPr>
              <w:pStyle w:val="NoSpacing"/>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708" w:type="dxa"/>
            <w:tcBorders>
              <w:bottom w:val="single" w:sz="4" w:space="0" w:color="auto"/>
            </w:tcBorders>
            <w:vAlign w:val="center"/>
          </w:tcPr>
          <w:p w:rsidR="00593B92" w:rsidRPr="00E964DA" w:rsidRDefault="00E964DA" w:rsidP="00A91CE7">
            <w:pPr>
              <w:pStyle w:val="NoSpacing"/>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709" w:type="dxa"/>
            <w:tcBorders>
              <w:bottom w:val="single" w:sz="4" w:space="0" w:color="auto"/>
            </w:tcBorders>
            <w:vAlign w:val="center"/>
          </w:tcPr>
          <w:p w:rsidR="00593B92" w:rsidRPr="00E964DA" w:rsidRDefault="00E964DA" w:rsidP="00A91CE7">
            <w:pPr>
              <w:pStyle w:val="NoSpacing"/>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709" w:type="dxa"/>
            <w:tcBorders>
              <w:bottom w:val="single" w:sz="4" w:space="0" w:color="auto"/>
            </w:tcBorders>
            <w:vAlign w:val="center"/>
          </w:tcPr>
          <w:p w:rsidR="00593B92" w:rsidRPr="00E964DA" w:rsidRDefault="00E964DA" w:rsidP="00A91CE7">
            <w:pPr>
              <w:pStyle w:val="NoSpacing"/>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709" w:type="dxa"/>
            <w:tcBorders>
              <w:bottom w:val="single" w:sz="4" w:space="0" w:color="auto"/>
            </w:tcBorders>
            <w:vAlign w:val="center"/>
          </w:tcPr>
          <w:p w:rsidR="00593B92" w:rsidRPr="00E964DA" w:rsidRDefault="00E964DA" w:rsidP="00A91CE7">
            <w:pPr>
              <w:pStyle w:val="NoSpacing"/>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708" w:type="dxa"/>
            <w:tcBorders>
              <w:bottom w:val="single" w:sz="4" w:space="0" w:color="auto"/>
            </w:tcBorders>
            <w:vAlign w:val="center"/>
          </w:tcPr>
          <w:p w:rsidR="00593B92" w:rsidRPr="00E964DA" w:rsidRDefault="00E964DA" w:rsidP="00A91CE7">
            <w:pPr>
              <w:pStyle w:val="NoSpacing"/>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190BE7" w:rsidRPr="00E24312" w:rsidTr="00190BE7">
        <w:tc>
          <w:tcPr>
            <w:tcW w:w="312" w:type="dxa"/>
            <w:tcBorders>
              <w:bottom w:val="single" w:sz="4" w:space="0" w:color="auto"/>
            </w:tcBorders>
          </w:tcPr>
          <w:p w:rsidR="00190BE7" w:rsidRPr="00E964DA" w:rsidRDefault="00190BE7" w:rsidP="00A91CE7">
            <w:pPr>
              <w:rPr>
                <w:rFonts w:ascii="Arial Narrow" w:hAnsi="Arial Narrow"/>
                <w:sz w:val="20"/>
                <w:szCs w:val="20"/>
              </w:rPr>
            </w:pPr>
            <w:r w:rsidRPr="002F7C2E">
              <w:rPr>
                <w:rFonts w:ascii="Arial Narrow" w:hAnsi="Arial Narrow"/>
                <w:sz w:val="20"/>
                <w:szCs w:val="20"/>
              </w:rPr>
              <w:t>C1</w:t>
            </w:r>
          </w:p>
        </w:tc>
        <w:tc>
          <w:tcPr>
            <w:tcW w:w="1276" w:type="dxa"/>
            <w:vMerge w:val="restart"/>
            <w:vAlign w:val="center"/>
          </w:tcPr>
          <w:p w:rsidR="00190BE7" w:rsidRPr="00E964DA" w:rsidRDefault="00190BE7" w:rsidP="00190BE7">
            <w:pPr>
              <w:rPr>
                <w:rFonts w:ascii="Arial Narrow" w:hAnsi="Arial Narrow"/>
                <w:sz w:val="20"/>
                <w:szCs w:val="20"/>
                <w:vertAlign w:val="superscript"/>
              </w:rPr>
            </w:pPr>
            <w:r w:rsidRPr="002F7C2E">
              <w:rPr>
                <w:rFonts w:ascii="Arial Narrow" w:hAnsi="Arial Narrow"/>
                <w:sz w:val="20"/>
                <w:szCs w:val="20"/>
              </w:rPr>
              <w:t>Grandfathered patients</w:t>
            </w:r>
          </w:p>
        </w:tc>
        <w:tc>
          <w:tcPr>
            <w:tcW w:w="3260" w:type="dxa"/>
            <w:tcBorders>
              <w:bottom w:val="single" w:sz="4" w:space="0" w:color="auto"/>
            </w:tcBorders>
          </w:tcPr>
          <w:p w:rsidR="00190BE7" w:rsidRPr="00E964DA" w:rsidRDefault="00190BE7" w:rsidP="00A91CE7">
            <w:pPr>
              <w:rPr>
                <w:rFonts w:ascii="Arial Narrow" w:hAnsi="Arial Narrow"/>
                <w:sz w:val="20"/>
                <w:szCs w:val="20"/>
                <w:vertAlign w:val="superscript"/>
              </w:rPr>
            </w:pPr>
            <w:r w:rsidRPr="002F7C2E">
              <w:rPr>
                <w:rFonts w:ascii="Arial Narrow" w:hAnsi="Arial Narrow" w:cs="Arial"/>
                <w:sz w:val="20"/>
                <w:szCs w:val="20"/>
              </w:rPr>
              <w:t>Patients who switched from chemo to pembro</w:t>
            </w:r>
          </w:p>
        </w:tc>
        <w:tc>
          <w:tcPr>
            <w:tcW w:w="709" w:type="dxa"/>
            <w:tcBorders>
              <w:bottom w:val="single" w:sz="4" w:space="0" w:color="auto"/>
            </w:tcBorders>
            <w:vAlign w:val="center"/>
          </w:tcPr>
          <w:p w:rsidR="00190BE7" w:rsidRPr="00E964DA" w:rsidRDefault="00E964DA" w:rsidP="00A91CE7">
            <w:pPr>
              <w:jc w:val="center"/>
              <w:rPr>
                <w:rFonts w:ascii="Arial Narrow" w:hAnsi="Arial Narrow"/>
                <w:sz w:val="20"/>
                <w:szCs w:val="20"/>
                <w:highlight w:val="black"/>
                <w:vertAlign w:val="superscript"/>
              </w:rPr>
            </w:pPr>
            <w:r>
              <w:rPr>
                <w:rFonts w:ascii="Arial Narrow" w:hAnsi="Arial Narrow"/>
                <w:noProof/>
                <w:color w:val="000000"/>
                <w:sz w:val="20"/>
                <w:szCs w:val="20"/>
                <w:highlight w:val="black"/>
              </w:rPr>
              <w:t>'''''''''</w:t>
            </w:r>
          </w:p>
        </w:tc>
        <w:tc>
          <w:tcPr>
            <w:tcW w:w="708" w:type="dxa"/>
            <w:tcBorders>
              <w:bottom w:val="single" w:sz="4" w:space="0" w:color="auto"/>
            </w:tcBorders>
            <w:vAlign w:val="center"/>
          </w:tcPr>
          <w:p w:rsidR="00190BE7" w:rsidRPr="00E964DA" w:rsidRDefault="00E964DA" w:rsidP="00A91CE7">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709" w:type="dxa"/>
            <w:tcBorders>
              <w:bottom w:val="single" w:sz="4" w:space="0" w:color="auto"/>
            </w:tcBorders>
            <w:vAlign w:val="center"/>
          </w:tcPr>
          <w:p w:rsidR="00190BE7" w:rsidRPr="00E964DA" w:rsidRDefault="00E964DA" w:rsidP="00A91CE7">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709" w:type="dxa"/>
            <w:tcBorders>
              <w:bottom w:val="single" w:sz="4" w:space="0" w:color="auto"/>
            </w:tcBorders>
            <w:vAlign w:val="center"/>
          </w:tcPr>
          <w:p w:rsidR="00190BE7" w:rsidRPr="00E964DA" w:rsidRDefault="00E964DA" w:rsidP="00A91CE7">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709" w:type="dxa"/>
            <w:tcBorders>
              <w:bottom w:val="single" w:sz="4" w:space="0" w:color="auto"/>
            </w:tcBorders>
            <w:vAlign w:val="center"/>
          </w:tcPr>
          <w:p w:rsidR="00190BE7" w:rsidRPr="00E964DA" w:rsidRDefault="00E964DA" w:rsidP="00A91CE7">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708" w:type="dxa"/>
            <w:tcBorders>
              <w:bottom w:val="single" w:sz="4" w:space="0" w:color="auto"/>
            </w:tcBorders>
            <w:vAlign w:val="center"/>
          </w:tcPr>
          <w:p w:rsidR="00190BE7" w:rsidRPr="00E964DA" w:rsidRDefault="00E964DA" w:rsidP="00A91CE7">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190BE7" w:rsidRPr="00E24312" w:rsidTr="00190BE7">
        <w:trPr>
          <w:trHeight w:val="471"/>
        </w:trPr>
        <w:tc>
          <w:tcPr>
            <w:tcW w:w="312" w:type="dxa"/>
            <w:tcBorders>
              <w:top w:val="single" w:sz="4" w:space="0" w:color="auto"/>
              <w:bottom w:val="double" w:sz="4" w:space="0" w:color="auto"/>
            </w:tcBorders>
          </w:tcPr>
          <w:p w:rsidR="00190BE7" w:rsidRPr="00E964DA" w:rsidRDefault="00E964DA" w:rsidP="00A91CE7">
            <w:pPr>
              <w:rPr>
                <w:rFonts w:ascii="Arial Narrow" w:hAnsi="Arial Narrow"/>
                <w:sz w:val="20"/>
                <w:szCs w:val="20"/>
                <w:highlight w:val="black"/>
              </w:rPr>
            </w:pPr>
            <w:r>
              <w:rPr>
                <w:rFonts w:ascii="Arial Narrow" w:hAnsi="Arial Narrow"/>
                <w:noProof/>
                <w:color w:val="000000"/>
                <w:sz w:val="20"/>
                <w:szCs w:val="20"/>
                <w:highlight w:val="black"/>
              </w:rPr>
              <w:t>''''''</w:t>
            </w:r>
          </w:p>
        </w:tc>
        <w:tc>
          <w:tcPr>
            <w:tcW w:w="1276" w:type="dxa"/>
            <w:vMerge/>
            <w:tcBorders>
              <w:bottom w:val="double" w:sz="4" w:space="0" w:color="auto"/>
            </w:tcBorders>
          </w:tcPr>
          <w:p w:rsidR="00190BE7" w:rsidRPr="00E964DA" w:rsidRDefault="00190BE7" w:rsidP="00A91CE7">
            <w:pPr>
              <w:rPr>
                <w:rFonts w:ascii="Arial Narrow" w:hAnsi="Arial Narrow"/>
                <w:sz w:val="20"/>
                <w:szCs w:val="20"/>
              </w:rPr>
            </w:pPr>
          </w:p>
        </w:tc>
        <w:tc>
          <w:tcPr>
            <w:tcW w:w="3260" w:type="dxa"/>
            <w:tcBorders>
              <w:top w:val="single" w:sz="4" w:space="0" w:color="auto"/>
              <w:bottom w:val="double" w:sz="4" w:space="0" w:color="auto"/>
            </w:tcBorders>
          </w:tcPr>
          <w:p w:rsidR="00190BE7" w:rsidRPr="00E964DA" w:rsidRDefault="00190BE7" w:rsidP="00076DBF">
            <w:pPr>
              <w:rPr>
                <w:rFonts w:ascii="Arial Narrow" w:hAnsi="Arial Narrow"/>
                <w:sz w:val="20"/>
                <w:szCs w:val="20"/>
              </w:rPr>
            </w:pPr>
            <w:r w:rsidRPr="002F7C2E">
              <w:rPr>
                <w:rFonts w:ascii="Arial Narrow" w:hAnsi="Arial Narrow"/>
                <w:sz w:val="20"/>
                <w:szCs w:val="20"/>
              </w:rPr>
              <w:t>Patients who have taken pembro but would not have received chemo</w:t>
            </w:r>
          </w:p>
        </w:tc>
        <w:tc>
          <w:tcPr>
            <w:tcW w:w="709" w:type="dxa"/>
            <w:tcBorders>
              <w:top w:val="single" w:sz="4" w:space="0" w:color="auto"/>
              <w:bottom w:val="double" w:sz="4" w:space="0" w:color="auto"/>
            </w:tcBorders>
            <w:vAlign w:val="center"/>
          </w:tcPr>
          <w:p w:rsidR="00190BE7" w:rsidRPr="00E964DA" w:rsidRDefault="00E964DA" w:rsidP="00A91CE7">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708" w:type="dxa"/>
            <w:tcBorders>
              <w:top w:val="single" w:sz="4" w:space="0" w:color="auto"/>
              <w:bottom w:val="double" w:sz="4" w:space="0" w:color="auto"/>
            </w:tcBorders>
            <w:vAlign w:val="center"/>
          </w:tcPr>
          <w:p w:rsidR="00190BE7" w:rsidRPr="00E964DA" w:rsidRDefault="00E964DA" w:rsidP="00190BE7">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709" w:type="dxa"/>
            <w:tcBorders>
              <w:top w:val="single" w:sz="4" w:space="0" w:color="auto"/>
              <w:bottom w:val="double" w:sz="4" w:space="0" w:color="auto"/>
            </w:tcBorders>
            <w:vAlign w:val="center"/>
          </w:tcPr>
          <w:p w:rsidR="00190BE7" w:rsidRPr="00E964DA" w:rsidRDefault="00E964DA" w:rsidP="00190BE7">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709" w:type="dxa"/>
            <w:tcBorders>
              <w:top w:val="single" w:sz="4" w:space="0" w:color="auto"/>
              <w:bottom w:val="double" w:sz="4" w:space="0" w:color="auto"/>
            </w:tcBorders>
            <w:vAlign w:val="center"/>
          </w:tcPr>
          <w:p w:rsidR="00190BE7" w:rsidRPr="00E964DA" w:rsidRDefault="00E964DA" w:rsidP="00190BE7">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709" w:type="dxa"/>
            <w:tcBorders>
              <w:top w:val="single" w:sz="4" w:space="0" w:color="auto"/>
              <w:bottom w:val="double" w:sz="4" w:space="0" w:color="auto"/>
            </w:tcBorders>
            <w:vAlign w:val="center"/>
          </w:tcPr>
          <w:p w:rsidR="00190BE7" w:rsidRPr="00E964DA" w:rsidRDefault="00E964DA" w:rsidP="00190BE7">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708" w:type="dxa"/>
            <w:tcBorders>
              <w:top w:val="single" w:sz="4" w:space="0" w:color="auto"/>
              <w:bottom w:val="double" w:sz="4" w:space="0" w:color="auto"/>
            </w:tcBorders>
            <w:vAlign w:val="center"/>
          </w:tcPr>
          <w:p w:rsidR="00190BE7" w:rsidRPr="00E964DA" w:rsidRDefault="00E964DA" w:rsidP="00190BE7">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190BE7" w:rsidRPr="00E24312" w:rsidTr="00B434BC">
        <w:trPr>
          <w:trHeight w:val="26"/>
        </w:trPr>
        <w:tc>
          <w:tcPr>
            <w:tcW w:w="312" w:type="dxa"/>
            <w:tcBorders>
              <w:top w:val="double" w:sz="4" w:space="0" w:color="auto"/>
              <w:bottom w:val="double" w:sz="4" w:space="0" w:color="auto"/>
            </w:tcBorders>
            <w:shd w:val="clear" w:color="auto" w:fill="auto"/>
          </w:tcPr>
          <w:p w:rsidR="00190BE7" w:rsidRPr="00E964DA" w:rsidRDefault="00190BE7" w:rsidP="00A91CE7">
            <w:pPr>
              <w:rPr>
                <w:rFonts w:ascii="Arial Narrow" w:hAnsi="Arial Narrow"/>
                <w:b/>
                <w:sz w:val="20"/>
                <w:szCs w:val="20"/>
              </w:rPr>
            </w:pPr>
          </w:p>
        </w:tc>
        <w:tc>
          <w:tcPr>
            <w:tcW w:w="4536" w:type="dxa"/>
            <w:gridSpan w:val="2"/>
            <w:tcBorders>
              <w:top w:val="double" w:sz="4" w:space="0" w:color="auto"/>
              <w:bottom w:val="double" w:sz="4" w:space="0" w:color="auto"/>
            </w:tcBorders>
            <w:shd w:val="clear" w:color="auto" w:fill="auto"/>
          </w:tcPr>
          <w:p w:rsidR="00190BE7" w:rsidRPr="00E964DA" w:rsidRDefault="00190BE7" w:rsidP="00A91CE7">
            <w:pPr>
              <w:rPr>
                <w:rFonts w:ascii="Arial Narrow" w:hAnsi="Arial Narrow"/>
                <w:b/>
                <w:sz w:val="20"/>
                <w:szCs w:val="20"/>
              </w:rPr>
            </w:pPr>
            <w:r w:rsidRPr="002F7C2E">
              <w:rPr>
                <w:rFonts w:ascii="Arial Narrow" w:hAnsi="Arial Narrow"/>
                <w:b/>
                <w:sz w:val="20"/>
                <w:szCs w:val="20"/>
              </w:rPr>
              <w:t>Total pembro patients (A + B + C)</w:t>
            </w:r>
          </w:p>
        </w:tc>
        <w:tc>
          <w:tcPr>
            <w:tcW w:w="709" w:type="dxa"/>
            <w:tcBorders>
              <w:top w:val="double" w:sz="4" w:space="0" w:color="auto"/>
              <w:bottom w:val="double" w:sz="4" w:space="0" w:color="auto"/>
            </w:tcBorders>
            <w:shd w:val="clear" w:color="auto" w:fill="auto"/>
            <w:vAlign w:val="center"/>
          </w:tcPr>
          <w:p w:rsidR="00190BE7" w:rsidRPr="00E964DA" w:rsidRDefault="00E964DA" w:rsidP="00A91CE7">
            <w:pPr>
              <w:pStyle w:val="NoSpacing"/>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708" w:type="dxa"/>
            <w:tcBorders>
              <w:top w:val="double" w:sz="4" w:space="0" w:color="auto"/>
              <w:bottom w:val="double" w:sz="4" w:space="0" w:color="auto"/>
            </w:tcBorders>
            <w:shd w:val="clear" w:color="auto" w:fill="auto"/>
            <w:vAlign w:val="center"/>
          </w:tcPr>
          <w:p w:rsidR="00190BE7" w:rsidRPr="00E964DA" w:rsidRDefault="00E964DA" w:rsidP="00A91CE7">
            <w:pPr>
              <w:pStyle w:val="NoSpacing"/>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709" w:type="dxa"/>
            <w:tcBorders>
              <w:top w:val="double" w:sz="4" w:space="0" w:color="auto"/>
              <w:bottom w:val="double" w:sz="4" w:space="0" w:color="auto"/>
            </w:tcBorders>
            <w:shd w:val="clear" w:color="auto" w:fill="auto"/>
            <w:vAlign w:val="center"/>
          </w:tcPr>
          <w:p w:rsidR="00190BE7" w:rsidRPr="00E964DA" w:rsidRDefault="00E964DA" w:rsidP="00A91CE7">
            <w:pPr>
              <w:pStyle w:val="NoSpacing"/>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709" w:type="dxa"/>
            <w:tcBorders>
              <w:top w:val="double" w:sz="4" w:space="0" w:color="auto"/>
              <w:bottom w:val="double" w:sz="4" w:space="0" w:color="auto"/>
            </w:tcBorders>
            <w:shd w:val="clear" w:color="auto" w:fill="auto"/>
            <w:vAlign w:val="center"/>
          </w:tcPr>
          <w:p w:rsidR="00190BE7" w:rsidRPr="00E964DA" w:rsidRDefault="00E964DA" w:rsidP="00A91CE7">
            <w:pPr>
              <w:pStyle w:val="NoSpacing"/>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709" w:type="dxa"/>
            <w:tcBorders>
              <w:top w:val="double" w:sz="4" w:space="0" w:color="auto"/>
              <w:bottom w:val="double" w:sz="4" w:space="0" w:color="auto"/>
            </w:tcBorders>
            <w:shd w:val="clear" w:color="auto" w:fill="auto"/>
            <w:vAlign w:val="center"/>
          </w:tcPr>
          <w:p w:rsidR="00190BE7" w:rsidRPr="00E964DA" w:rsidRDefault="00E964DA" w:rsidP="00A91CE7">
            <w:pPr>
              <w:pStyle w:val="NoSpacing"/>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708" w:type="dxa"/>
            <w:tcBorders>
              <w:top w:val="double" w:sz="4" w:space="0" w:color="auto"/>
              <w:bottom w:val="double" w:sz="4" w:space="0" w:color="auto"/>
            </w:tcBorders>
            <w:shd w:val="clear" w:color="auto" w:fill="auto"/>
            <w:vAlign w:val="center"/>
          </w:tcPr>
          <w:p w:rsidR="00190BE7" w:rsidRPr="00E964DA" w:rsidRDefault="00E964DA" w:rsidP="00A91CE7">
            <w:pPr>
              <w:pStyle w:val="NoSpacing"/>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190BE7" w:rsidRPr="00E24312" w:rsidTr="00B434BC">
        <w:trPr>
          <w:trHeight w:val="26"/>
        </w:trPr>
        <w:tc>
          <w:tcPr>
            <w:tcW w:w="312" w:type="dxa"/>
            <w:tcBorders>
              <w:top w:val="double" w:sz="4" w:space="0" w:color="auto"/>
              <w:bottom w:val="single" w:sz="4" w:space="0" w:color="auto"/>
            </w:tcBorders>
          </w:tcPr>
          <w:p w:rsidR="00190BE7" w:rsidRPr="00E964DA" w:rsidRDefault="00190BE7" w:rsidP="00A91CE7">
            <w:pPr>
              <w:rPr>
                <w:rFonts w:ascii="Arial Narrow" w:hAnsi="Arial Narrow"/>
                <w:sz w:val="20"/>
                <w:szCs w:val="20"/>
              </w:rPr>
            </w:pPr>
            <w:r w:rsidRPr="002F7C2E">
              <w:rPr>
                <w:rFonts w:ascii="Arial Narrow" w:hAnsi="Arial Narrow"/>
                <w:sz w:val="20"/>
                <w:szCs w:val="20"/>
              </w:rPr>
              <w:t>D</w:t>
            </w:r>
          </w:p>
        </w:tc>
        <w:tc>
          <w:tcPr>
            <w:tcW w:w="4536" w:type="dxa"/>
            <w:gridSpan w:val="2"/>
            <w:tcBorders>
              <w:top w:val="double" w:sz="4" w:space="0" w:color="auto"/>
              <w:bottom w:val="single" w:sz="4" w:space="0" w:color="auto"/>
            </w:tcBorders>
          </w:tcPr>
          <w:p w:rsidR="00190BE7" w:rsidRPr="00E964DA" w:rsidRDefault="00190BE7" w:rsidP="006D3E68">
            <w:pPr>
              <w:rPr>
                <w:rFonts w:ascii="Arial Narrow" w:hAnsi="Arial Narrow"/>
                <w:sz w:val="20"/>
                <w:szCs w:val="20"/>
              </w:rPr>
            </w:pPr>
            <w:r w:rsidRPr="002F7C2E">
              <w:rPr>
                <w:rFonts w:ascii="Arial Narrow" w:hAnsi="Arial Narrow"/>
                <w:sz w:val="20"/>
                <w:szCs w:val="20"/>
              </w:rPr>
              <w:t>Patients for whom a cost offset for nivolumab was generated by the economic and financial models (64.2% of A)</w:t>
            </w:r>
          </w:p>
        </w:tc>
        <w:tc>
          <w:tcPr>
            <w:tcW w:w="709" w:type="dxa"/>
            <w:tcBorders>
              <w:top w:val="double" w:sz="4" w:space="0" w:color="auto"/>
              <w:bottom w:val="single" w:sz="4" w:space="0" w:color="auto"/>
            </w:tcBorders>
            <w:vAlign w:val="center"/>
          </w:tcPr>
          <w:p w:rsidR="00190BE7" w:rsidRPr="00E964DA" w:rsidRDefault="00E964DA" w:rsidP="00A91CE7">
            <w:pPr>
              <w:pStyle w:val="NoSpacing"/>
              <w:jc w:val="center"/>
              <w:rPr>
                <w:rFonts w:ascii="Arial Narrow" w:hAnsi="Arial Narrow" w:cs="Arial"/>
                <w:sz w:val="20"/>
                <w:szCs w:val="20"/>
                <w:highlight w:val="black"/>
                <w:vertAlign w:val="superscript"/>
              </w:rPr>
            </w:pPr>
            <w:r>
              <w:rPr>
                <w:rFonts w:ascii="Arial Narrow" w:hAnsi="Arial Narrow" w:cs="Arial"/>
                <w:noProof/>
                <w:color w:val="000000"/>
                <w:sz w:val="20"/>
                <w:szCs w:val="20"/>
                <w:highlight w:val="black"/>
              </w:rPr>
              <w:t>''''''''''''</w:t>
            </w:r>
          </w:p>
        </w:tc>
        <w:tc>
          <w:tcPr>
            <w:tcW w:w="708" w:type="dxa"/>
            <w:tcBorders>
              <w:top w:val="double" w:sz="4" w:space="0" w:color="auto"/>
              <w:bottom w:val="single" w:sz="4" w:space="0" w:color="auto"/>
            </w:tcBorders>
            <w:vAlign w:val="center"/>
          </w:tcPr>
          <w:p w:rsidR="00190BE7" w:rsidRPr="00E964DA" w:rsidRDefault="00E964DA" w:rsidP="00A91CE7">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709" w:type="dxa"/>
            <w:tcBorders>
              <w:top w:val="double" w:sz="4" w:space="0" w:color="auto"/>
              <w:bottom w:val="single" w:sz="4" w:space="0" w:color="auto"/>
            </w:tcBorders>
            <w:vAlign w:val="center"/>
          </w:tcPr>
          <w:p w:rsidR="00190BE7" w:rsidRPr="00E964DA" w:rsidRDefault="00E964DA" w:rsidP="00A91CE7">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709" w:type="dxa"/>
            <w:tcBorders>
              <w:top w:val="double" w:sz="4" w:space="0" w:color="auto"/>
              <w:bottom w:val="single" w:sz="4" w:space="0" w:color="auto"/>
            </w:tcBorders>
            <w:vAlign w:val="center"/>
          </w:tcPr>
          <w:p w:rsidR="00190BE7" w:rsidRPr="00E964DA" w:rsidRDefault="00E964DA" w:rsidP="00A91CE7">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709" w:type="dxa"/>
            <w:tcBorders>
              <w:top w:val="double" w:sz="4" w:space="0" w:color="auto"/>
              <w:bottom w:val="single" w:sz="4" w:space="0" w:color="auto"/>
            </w:tcBorders>
            <w:vAlign w:val="center"/>
          </w:tcPr>
          <w:p w:rsidR="00190BE7" w:rsidRPr="00E964DA" w:rsidRDefault="00E964DA" w:rsidP="00A91CE7">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708" w:type="dxa"/>
            <w:tcBorders>
              <w:top w:val="double" w:sz="4" w:space="0" w:color="auto"/>
              <w:bottom w:val="single" w:sz="4" w:space="0" w:color="auto"/>
            </w:tcBorders>
            <w:vAlign w:val="center"/>
          </w:tcPr>
          <w:p w:rsidR="00190BE7" w:rsidRPr="00E964DA" w:rsidRDefault="00E964DA" w:rsidP="00A91CE7">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190BE7" w:rsidRPr="00E24312" w:rsidTr="00B434BC">
        <w:trPr>
          <w:trHeight w:val="26"/>
        </w:trPr>
        <w:tc>
          <w:tcPr>
            <w:tcW w:w="312" w:type="dxa"/>
            <w:tcBorders>
              <w:top w:val="single" w:sz="4" w:space="0" w:color="auto"/>
              <w:bottom w:val="single" w:sz="4" w:space="0" w:color="auto"/>
            </w:tcBorders>
          </w:tcPr>
          <w:p w:rsidR="00190BE7" w:rsidRPr="00E964DA" w:rsidRDefault="00190BE7" w:rsidP="00A91CE7">
            <w:pPr>
              <w:rPr>
                <w:rFonts w:ascii="Arial Narrow" w:hAnsi="Arial Narrow"/>
                <w:sz w:val="20"/>
                <w:szCs w:val="20"/>
              </w:rPr>
            </w:pPr>
            <w:r w:rsidRPr="002F7C2E">
              <w:rPr>
                <w:rFonts w:ascii="Arial Narrow" w:hAnsi="Arial Narrow"/>
                <w:sz w:val="20"/>
                <w:szCs w:val="20"/>
              </w:rPr>
              <w:t>E</w:t>
            </w:r>
          </w:p>
        </w:tc>
        <w:tc>
          <w:tcPr>
            <w:tcW w:w="4536" w:type="dxa"/>
            <w:gridSpan w:val="2"/>
            <w:tcBorders>
              <w:top w:val="single" w:sz="4" w:space="0" w:color="auto"/>
              <w:bottom w:val="single" w:sz="4" w:space="0" w:color="auto"/>
            </w:tcBorders>
          </w:tcPr>
          <w:p w:rsidR="00190BE7" w:rsidRPr="00E964DA" w:rsidRDefault="00190BE7" w:rsidP="00A91CE7">
            <w:pPr>
              <w:rPr>
                <w:rFonts w:ascii="Arial Narrow" w:hAnsi="Arial Narrow"/>
                <w:sz w:val="20"/>
                <w:szCs w:val="20"/>
              </w:rPr>
            </w:pPr>
            <w:r w:rsidRPr="002F7C2E">
              <w:rPr>
                <w:rFonts w:ascii="Arial Narrow" w:hAnsi="Arial Narrow"/>
                <w:sz w:val="20"/>
                <w:szCs w:val="20"/>
              </w:rPr>
              <w:t>Patients who would not have received second-line immunotherapy after progression (A – D)</w:t>
            </w:r>
          </w:p>
        </w:tc>
        <w:tc>
          <w:tcPr>
            <w:tcW w:w="709" w:type="dxa"/>
            <w:tcBorders>
              <w:top w:val="single" w:sz="4" w:space="0" w:color="auto"/>
              <w:bottom w:val="single" w:sz="4" w:space="0" w:color="auto"/>
            </w:tcBorders>
            <w:vAlign w:val="center"/>
          </w:tcPr>
          <w:p w:rsidR="00190BE7" w:rsidRPr="00E964DA" w:rsidRDefault="00E964DA" w:rsidP="00A91CE7">
            <w:pPr>
              <w:jc w:val="center"/>
              <w:rPr>
                <w:rFonts w:ascii="Arial Narrow" w:hAnsi="Arial Narrow" w:cs="Arial"/>
                <w:sz w:val="20"/>
                <w:szCs w:val="20"/>
                <w:highlight w:val="black"/>
                <w:vertAlign w:val="superscript"/>
              </w:rPr>
            </w:pPr>
            <w:r>
              <w:rPr>
                <w:rFonts w:ascii="Arial Narrow" w:hAnsi="Arial Narrow" w:cs="Arial"/>
                <w:noProof/>
                <w:color w:val="000000"/>
                <w:sz w:val="20"/>
                <w:szCs w:val="20"/>
                <w:highlight w:val="black"/>
              </w:rPr>
              <w:t>''''''''''''</w:t>
            </w:r>
          </w:p>
        </w:tc>
        <w:tc>
          <w:tcPr>
            <w:tcW w:w="708" w:type="dxa"/>
            <w:tcBorders>
              <w:top w:val="single" w:sz="4" w:space="0" w:color="auto"/>
              <w:bottom w:val="single" w:sz="4" w:space="0" w:color="auto"/>
            </w:tcBorders>
            <w:vAlign w:val="center"/>
          </w:tcPr>
          <w:p w:rsidR="00190BE7" w:rsidRPr="00E964DA" w:rsidRDefault="00E964DA" w:rsidP="00A91CE7">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709" w:type="dxa"/>
            <w:tcBorders>
              <w:top w:val="single" w:sz="4" w:space="0" w:color="auto"/>
              <w:bottom w:val="single" w:sz="4" w:space="0" w:color="auto"/>
            </w:tcBorders>
            <w:vAlign w:val="center"/>
          </w:tcPr>
          <w:p w:rsidR="00190BE7" w:rsidRPr="00E964DA" w:rsidRDefault="00E964DA" w:rsidP="00A91CE7">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709" w:type="dxa"/>
            <w:tcBorders>
              <w:top w:val="single" w:sz="4" w:space="0" w:color="auto"/>
              <w:bottom w:val="single" w:sz="4" w:space="0" w:color="auto"/>
            </w:tcBorders>
            <w:vAlign w:val="center"/>
          </w:tcPr>
          <w:p w:rsidR="00190BE7" w:rsidRPr="00E964DA" w:rsidRDefault="00E964DA" w:rsidP="00A91CE7">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709" w:type="dxa"/>
            <w:tcBorders>
              <w:top w:val="single" w:sz="4" w:space="0" w:color="auto"/>
              <w:bottom w:val="single" w:sz="4" w:space="0" w:color="auto"/>
            </w:tcBorders>
            <w:vAlign w:val="center"/>
          </w:tcPr>
          <w:p w:rsidR="00190BE7" w:rsidRPr="00E964DA" w:rsidRDefault="00E964DA" w:rsidP="00A91CE7">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708" w:type="dxa"/>
            <w:tcBorders>
              <w:top w:val="single" w:sz="4" w:space="0" w:color="auto"/>
              <w:bottom w:val="single" w:sz="4" w:space="0" w:color="auto"/>
            </w:tcBorders>
            <w:vAlign w:val="center"/>
          </w:tcPr>
          <w:p w:rsidR="00190BE7" w:rsidRPr="00E964DA" w:rsidRDefault="00E964DA" w:rsidP="00A91CE7">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190BE7" w:rsidRPr="00E24312" w:rsidTr="00B434BC">
        <w:trPr>
          <w:trHeight w:val="26"/>
        </w:trPr>
        <w:tc>
          <w:tcPr>
            <w:tcW w:w="312" w:type="dxa"/>
            <w:tcBorders>
              <w:top w:val="single" w:sz="4" w:space="0" w:color="auto"/>
              <w:bottom w:val="double" w:sz="4" w:space="0" w:color="auto"/>
            </w:tcBorders>
          </w:tcPr>
          <w:p w:rsidR="00190BE7" w:rsidRPr="00E964DA" w:rsidRDefault="00190BE7" w:rsidP="00A91CE7">
            <w:pPr>
              <w:rPr>
                <w:rFonts w:ascii="Arial Narrow" w:hAnsi="Arial Narrow"/>
                <w:sz w:val="20"/>
                <w:szCs w:val="20"/>
              </w:rPr>
            </w:pPr>
            <w:r w:rsidRPr="002F7C2E">
              <w:rPr>
                <w:rFonts w:ascii="Arial Narrow" w:hAnsi="Arial Narrow"/>
                <w:sz w:val="20"/>
                <w:szCs w:val="20"/>
              </w:rPr>
              <w:t>F</w:t>
            </w:r>
          </w:p>
        </w:tc>
        <w:tc>
          <w:tcPr>
            <w:tcW w:w="4536" w:type="dxa"/>
            <w:gridSpan w:val="2"/>
            <w:tcBorders>
              <w:top w:val="single" w:sz="4" w:space="0" w:color="auto"/>
              <w:bottom w:val="double" w:sz="4" w:space="0" w:color="auto"/>
            </w:tcBorders>
          </w:tcPr>
          <w:p w:rsidR="00190BE7" w:rsidRPr="00E964DA" w:rsidRDefault="00190BE7" w:rsidP="00A91CE7">
            <w:pPr>
              <w:rPr>
                <w:rFonts w:ascii="Arial Narrow" w:hAnsi="Arial Narrow"/>
                <w:sz w:val="20"/>
                <w:szCs w:val="20"/>
              </w:rPr>
            </w:pPr>
            <w:r w:rsidRPr="002F7C2E">
              <w:rPr>
                <w:rFonts w:ascii="Arial Narrow" w:hAnsi="Arial Narrow"/>
                <w:sz w:val="20"/>
                <w:szCs w:val="20"/>
              </w:rPr>
              <w:t>New first-line pembrolizumab population (B + E)</w:t>
            </w:r>
          </w:p>
        </w:tc>
        <w:tc>
          <w:tcPr>
            <w:tcW w:w="709" w:type="dxa"/>
            <w:tcBorders>
              <w:top w:val="single" w:sz="4" w:space="0" w:color="auto"/>
              <w:bottom w:val="double" w:sz="4" w:space="0" w:color="auto"/>
            </w:tcBorders>
            <w:vAlign w:val="center"/>
          </w:tcPr>
          <w:p w:rsidR="00190BE7" w:rsidRPr="00E964DA" w:rsidRDefault="00E964DA" w:rsidP="00A91CE7">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708" w:type="dxa"/>
            <w:tcBorders>
              <w:top w:val="single" w:sz="4" w:space="0" w:color="auto"/>
              <w:bottom w:val="double" w:sz="4" w:space="0" w:color="auto"/>
            </w:tcBorders>
            <w:vAlign w:val="center"/>
          </w:tcPr>
          <w:p w:rsidR="00190BE7" w:rsidRPr="00E964DA" w:rsidRDefault="00E964DA" w:rsidP="00A91CE7">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709" w:type="dxa"/>
            <w:tcBorders>
              <w:top w:val="single" w:sz="4" w:space="0" w:color="auto"/>
              <w:bottom w:val="double" w:sz="4" w:space="0" w:color="auto"/>
            </w:tcBorders>
            <w:vAlign w:val="center"/>
          </w:tcPr>
          <w:p w:rsidR="00190BE7" w:rsidRPr="00E964DA" w:rsidRDefault="00E964DA" w:rsidP="00A91CE7">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709" w:type="dxa"/>
            <w:tcBorders>
              <w:top w:val="single" w:sz="4" w:space="0" w:color="auto"/>
              <w:bottom w:val="double" w:sz="4" w:space="0" w:color="auto"/>
            </w:tcBorders>
            <w:vAlign w:val="center"/>
          </w:tcPr>
          <w:p w:rsidR="00190BE7" w:rsidRPr="00E964DA" w:rsidRDefault="00E964DA" w:rsidP="00A91CE7">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709" w:type="dxa"/>
            <w:tcBorders>
              <w:top w:val="single" w:sz="4" w:space="0" w:color="auto"/>
              <w:bottom w:val="double" w:sz="4" w:space="0" w:color="auto"/>
            </w:tcBorders>
            <w:vAlign w:val="center"/>
          </w:tcPr>
          <w:p w:rsidR="00190BE7" w:rsidRPr="00E964DA" w:rsidRDefault="00E964DA" w:rsidP="00A91CE7">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708" w:type="dxa"/>
            <w:tcBorders>
              <w:top w:val="single" w:sz="4" w:space="0" w:color="auto"/>
              <w:bottom w:val="double" w:sz="4" w:space="0" w:color="auto"/>
            </w:tcBorders>
            <w:vAlign w:val="center"/>
          </w:tcPr>
          <w:p w:rsidR="00190BE7" w:rsidRPr="00E964DA" w:rsidRDefault="00E964DA" w:rsidP="00A91CE7">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190BE7" w:rsidRPr="00E24312" w:rsidTr="00190BE7">
        <w:trPr>
          <w:trHeight w:val="311"/>
        </w:trPr>
        <w:tc>
          <w:tcPr>
            <w:tcW w:w="312" w:type="dxa"/>
            <w:tcBorders>
              <w:top w:val="double" w:sz="4" w:space="0" w:color="auto"/>
            </w:tcBorders>
          </w:tcPr>
          <w:p w:rsidR="00190BE7" w:rsidRPr="00E964DA" w:rsidRDefault="00190BE7" w:rsidP="00A91CE7">
            <w:pPr>
              <w:rPr>
                <w:rFonts w:ascii="Arial Narrow" w:hAnsi="Arial Narrow"/>
                <w:sz w:val="20"/>
                <w:szCs w:val="20"/>
              </w:rPr>
            </w:pPr>
          </w:p>
        </w:tc>
        <w:tc>
          <w:tcPr>
            <w:tcW w:w="4536" w:type="dxa"/>
            <w:gridSpan w:val="2"/>
            <w:tcBorders>
              <w:top w:val="double" w:sz="4" w:space="0" w:color="auto"/>
            </w:tcBorders>
          </w:tcPr>
          <w:p w:rsidR="00190BE7" w:rsidRPr="00E964DA" w:rsidRDefault="00190BE7" w:rsidP="00A91CE7">
            <w:pPr>
              <w:rPr>
                <w:rFonts w:ascii="Arial Narrow" w:hAnsi="Arial Narrow"/>
                <w:b/>
                <w:sz w:val="20"/>
                <w:szCs w:val="20"/>
              </w:rPr>
            </w:pPr>
            <w:r w:rsidRPr="002F7C2E">
              <w:rPr>
                <w:rFonts w:ascii="Arial Narrow" w:hAnsi="Arial Narrow"/>
                <w:b/>
                <w:sz w:val="20"/>
                <w:szCs w:val="20"/>
              </w:rPr>
              <w:t>Total pembro patients (D + F)</w:t>
            </w:r>
          </w:p>
        </w:tc>
        <w:tc>
          <w:tcPr>
            <w:tcW w:w="709" w:type="dxa"/>
            <w:tcBorders>
              <w:top w:val="double" w:sz="4" w:space="0" w:color="auto"/>
            </w:tcBorders>
            <w:vAlign w:val="center"/>
          </w:tcPr>
          <w:p w:rsidR="00190BE7" w:rsidRPr="00E964DA" w:rsidRDefault="00E964DA" w:rsidP="00A91CE7">
            <w:pPr>
              <w:pStyle w:val="NoSpacing"/>
              <w:jc w:val="center"/>
              <w:rPr>
                <w:rFonts w:ascii="Arial Narrow" w:hAnsi="Arial Narrow" w:cs="Arial"/>
                <w:sz w:val="20"/>
                <w:szCs w:val="20"/>
                <w:highlight w:val="black"/>
                <w:vertAlign w:val="superscript"/>
              </w:rPr>
            </w:pPr>
            <w:r>
              <w:rPr>
                <w:rFonts w:ascii="Arial Narrow" w:hAnsi="Arial Narrow" w:cs="Arial"/>
                <w:noProof/>
                <w:color w:val="000000"/>
                <w:sz w:val="20"/>
                <w:szCs w:val="20"/>
                <w:highlight w:val="black"/>
              </w:rPr>
              <w:t>''''''''''''''''</w:t>
            </w:r>
          </w:p>
        </w:tc>
        <w:tc>
          <w:tcPr>
            <w:tcW w:w="708" w:type="dxa"/>
            <w:tcBorders>
              <w:top w:val="double" w:sz="4" w:space="0" w:color="auto"/>
            </w:tcBorders>
            <w:vAlign w:val="center"/>
          </w:tcPr>
          <w:p w:rsidR="00190BE7" w:rsidRPr="00E964DA" w:rsidRDefault="00E964DA" w:rsidP="00A91CE7">
            <w:pPr>
              <w:pStyle w:val="NoSpacing"/>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709" w:type="dxa"/>
            <w:tcBorders>
              <w:top w:val="double" w:sz="4" w:space="0" w:color="auto"/>
            </w:tcBorders>
            <w:vAlign w:val="center"/>
          </w:tcPr>
          <w:p w:rsidR="00190BE7" w:rsidRPr="00E964DA" w:rsidRDefault="00E964DA" w:rsidP="00A91CE7">
            <w:pPr>
              <w:pStyle w:val="NoSpacing"/>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709" w:type="dxa"/>
            <w:tcBorders>
              <w:top w:val="double" w:sz="4" w:space="0" w:color="auto"/>
            </w:tcBorders>
            <w:vAlign w:val="center"/>
          </w:tcPr>
          <w:p w:rsidR="00190BE7" w:rsidRPr="00E964DA" w:rsidRDefault="00E964DA" w:rsidP="00A91CE7">
            <w:pPr>
              <w:pStyle w:val="NoSpacing"/>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709" w:type="dxa"/>
            <w:tcBorders>
              <w:top w:val="double" w:sz="4" w:space="0" w:color="auto"/>
            </w:tcBorders>
            <w:vAlign w:val="center"/>
          </w:tcPr>
          <w:p w:rsidR="00190BE7" w:rsidRPr="00E964DA" w:rsidRDefault="00E964DA" w:rsidP="00A91CE7">
            <w:pPr>
              <w:pStyle w:val="NoSpacing"/>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708" w:type="dxa"/>
            <w:tcBorders>
              <w:top w:val="double" w:sz="4" w:space="0" w:color="auto"/>
            </w:tcBorders>
            <w:vAlign w:val="center"/>
          </w:tcPr>
          <w:p w:rsidR="00190BE7" w:rsidRPr="00E964DA" w:rsidRDefault="00E964DA" w:rsidP="00A91CE7">
            <w:pPr>
              <w:pStyle w:val="NoSpacing"/>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r>
    </w:tbl>
    <w:p w:rsidR="00593B92" w:rsidRPr="00E964DA" w:rsidRDefault="00E964DA" w:rsidP="00593B92">
      <w:pPr>
        <w:rPr>
          <w:rFonts w:ascii="Arial Narrow" w:hAnsi="Arial Narrow"/>
          <w:sz w:val="20"/>
          <w:szCs w:val="20"/>
          <w:highlight w:val="black"/>
        </w:rPr>
      </w:pPr>
      <w:r>
        <w:rPr>
          <w:rFonts w:ascii="Arial Narrow" w:hAnsi="Arial Narrow"/>
          <w:noProof/>
          <w:color w:val="000000"/>
          <w:sz w:val="20"/>
          <w:szCs w:val="20"/>
          <w:highlight w:val="black"/>
          <w:vertAlign w:val="superscript"/>
        </w:rPr>
        <w:t>''' '''''''''' '''' ''''''''''' ''''''' ''' ''''''''' ''''''''''' ''' ''''''''''''''''</w:t>
      </w:r>
    </w:p>
    <w:p w:rsidR="00593B92" w:rsidRPr="00E964DA" w:rsidRDefault="00E964DA" w:rsidP="00593B92">
      <w:pPr>
        <w:rPr>
          <w:rFonts w:ascii="Arial Narrow" w:hAnsi="Arial Narrow"/>
          <w:sz w:val="20"/>
          <w:szCs w:val="20"/>
          <w:highlight w:val="black"/>
        </w:rPr>
      </w:pPr>
      <w:r>
        <w:rPr>
          <w:rFonts w:ascii="Arial Narrow" w:hAnsi="Arial Narrow"/>
          <w:noProof/>
          <w:color w:val="000000"/>
          <w:sz w:val="20"/>
          <w:szCs w:val="20"/>
          <w:highlight w:val="black"/>
          <w:vertAlign w:val="superscript"/>
        </w:rPr>
        <w:t>''' ''''''''' '''' ''''''''' '''''''' ''' ''''''''''''''''' '''' ''''''''' ''''''''</w:t>
      </w:r>
    </w:p>
    <w:p w:rsidR="00593B92" w:rsidRPr="00E964DA" w:rsidRDefault="00E964DA" w:rsidP="00593B92">
      <w:pPr>
        <w:rPr>
          <w:rFonts w:ascii="Arial Narrow" w:hAnsi="Arial Narrow"/>
          <w:sz w:val="20"/>
          <w:szCs w:val="20"/>
          <w:highlight w:val="black"/>
        </w:rPr>
      </w:pPr>
      <w:r>
        <w:rPr>
          <w:rFonts w:ascii="Arial Narrow" w:hAnsi="Arial Narrow"/>
          <w:noProof/>
          <w:color w:val="000000"/>
          <w:sz w:val="20"/>
          <w:szCs w:val="20"/>
          <w:highlight w:val="black"/>
          <w:vertAlign w:val="superscript"/>
        </w:rPr>
        <w:t>''' ''''''''''' '''' ''''''''' '''''''' '''' ''''' '''''''''' '''' '''''''''' '''''''</w:t>
      </w:r>
    </w:p>
    <w:p w:rsidR="002F7C2E" w:rsidRPr="00806261" w:rsidRDefault="00806261" w:rsidP="00806261">
      <w:pPr>
        <w:spacing w:before="120" w:after="160"/>
        <w:rPr>
          <w:rFonts w:asciiTheme="minorHAnsi" w:hAnsiTheme="minorHAnsi"/>
        </w:rPr>
      </w:pPr>
      <w:r w:rsidRPr="00806261">
        <w:rPr>
          <w:rFonts w:asciiTheme="minorHAnsi" w:hAnsiTheme="minorHAnsi"/>
        </w:rPr>
        <w:t xml:space="preserve">The redacted table shows that at </w:t>
      </w:r>
      <w:r w:rsidR="00E8320A">
        <w:rPr>
          <w:rFonts w:asciiTheme="minorHAnsi" w:hAnsiTheme="minorHAnsi"/>
        </w:rPr>
        <w:t>Y</w:t>
      </w:r>
      <w:r w:rsidRPr="00806261">
        <w:rPr>
          <w:rFonts w:asciiTheme="minorHAnsi" w:hAnsiTheme="minorHAnsi"/>
        </w:rPr>
        <w:t>ear 5, the estimated number of patients was less than 10,000 per year.</w:t>
      </w:r>
    </w:p>
    <w:p w:rsidR="000A69FC" w:rsidRPr="00B14AD5" w:rsidRDefault="00851952" w:rsidP="00B14AD5">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sidRPr="008C6270">
        <w:rPr>
          <w:rFonts w:asciiTheme="minorHAnsi" w:eastAsiaTheme="minorHAnsi" w:hAnsiTheme="minorHAnsi" w:cstheme="minorBidi"/>
          <w:snapToGrid/>
          <w:sz w:val="24"/>
          <w:szCs w:val="22"/>
        </w:rPr>
        <w:t>The “</w:t>
      </w:r>
      <w:r w:rsidR="00593B92" w:rsidRPr="008C6270">
        <w:rPr>
          <w:rFonts w:asciiTheme="minorHAnsi" w:eastAsiaTheme="minorHAnsi" w:hAnsiTheme="minorHAnsi" w:cstheme="minorBidi"/>
          <w:snapToGrid/>
          <w:sz w:val="24"/>
          <w:szCs w:val="22"/>
        </w:rPr>
        <w:t>new first-line pembrolizumab population</w:t>
      </w:r>
      <w:r w:rsidR="00593B92" w:rsidRPr="008C6270">
        <w:rPr>
          <w:rFonts w:asciiTheme="minorHAnsi" w:eastAsiaTheme="minorHAnsi" w:hAnsiTheme="minorHAnsi" w:cstheme="minorBidi"/>
          <w:snapToGrid/>
          <w:sz w:val="24"/>
          <w:szCs w:val="22"/>
          <w:vertAlign w:val="superscript"/>
        </w:rPr>
        <w:footnoteReference w:id="3"/>
      </w:r>
      <w:r w:rsidRPr="008C6270">
        <w:rPr>
          <w:rFonts w:asciiTheme="minorHAnsi" w:eastAsiaTheme="minorHAnsi" w:hAnsiTheme="minorHAnsi" w:cstheme="minorBidi"/>
          <w:snapToGrid/>
          <w:sz w:val="24"/>
          <w:szCs w:val="22"/>
        </w:rPr>
        <w:t>”</w:t>
      </w:r>
      <w:r w:rsidR="00593B92" w:rsidRPr="008C6270">
        <w:rPr>
          <w:rFonts w:asciiTheme="minorHAnsi" w:eastAsiaTheme="minorHAnsi" w:hAnsiTheme="minorHAnsi" w:cstheme="minorBidi"/>
          <w:snapToGrid/>
          <w:sz w:val="24"/>
          <w:szCs w:val="22"/>
        </w:rPr>
        <w:t xml:space="preserve"> </w:t>
      </w:r>
      <w:r w:rsidRPr="008C6270">
        <w:rPr>
          <w:rFonts w:asciiTheme="minorHAnsi" w:eastAsiaTheme="minorHAnsi" w:hAnsiTheme="minorHAnsi" w:cstheme="minorBidi"/>
          <w:snapToGrid/>
          <w:sz w:val="24"/>
          <w:szCs w:val="22"/>
        </w:rPr>
        <w:t xml:space="preserve">proposed by the minor resubmission </w:t>
      </w:r>
      <w:r w:rsidR="00593B92" w:rsidRPr="008C6270">
        <w:rPr>
          <w:rFonts w:asciiTheme="minorHAnsi" w:eastAsiaTheme="minorHAnsi" w:hAnsiTheme="minorHAnsi" w:cstheme="minorBidi"/>
          <w:snapToGrid/>
          <w:sz w:val="24"/>
          <w:szCs w:val="22"/>
        </w:rPr>
        <w:t xml:space="preserve">was </w:t>
      </w:r>
      <w:r w:rsidRPr="008C6270">
        <w:rPr>
          <w:rFonts w:asciiTheme="minorHAnsi" w:eastAsiaTheme="minorHAnsi" w:hAnsiTheme="minorHAnsi" w:cstheme="minorBidi"/>
          <w:snapToGrid/>
          <w:sz w:val="24"/>
          <w:szCs w:val="22"/>
        </w:rPr>
        <w:t>defined as</w:t>
      </w:r>
      <w:r w:rsidR="00593B92" w:rsidRPr="008C6270">
        <w:rPr>
          <w:rFonts w:asciiTheme="minorHAnsi" w:eastAsiaTheme="minorHAnsi" w:hAnsiTheme="minorHAnsi" w:cstheme="minorBidi"/>
          <w:snapToGrid/>
          <w:sz w:val="24"/>
          <w:szCs w:val="22"/>
        </w:rPr>
        <w:t xml:space="preserve"> the number of patients who were estimated to uptak</w:t>
      </w:r>
      <w:r w:rsidRPr="008C6270">
        <w:rPr>
          <w:rFonts w:asciiTheme="minorHAnsi" w:eastAsiaTheme="minorHAnsi" w:hAnsiTheme="minorHAnsi" w:cstheme="minorBidi"/>
          <w:snapToGrid/>
          <w:sz w:val="24"/>
          <w:szCs w:val="22"/>
        </w:rPr>
        <w:t>e first-line pembrolizumab, who</w:t>
      </w:r>
      <w:r w:rsidR="00593B92" w:rsidRPr="008C6270">
        <w:rPr>
          <w:rFonts w:asciiTheme="minorHAnsi" w:eastAsiaTheme="minorHAnsi" w:hAnsiTheme="minorHAnsi" w:cstheme="minorBidi"/>
          <w:snapToGrid/>
          <w:sz w:val="24"/>
          <w:szCs w:val="22"/>
        </w:rPr>
        <w:t xml:space="preserve"> otherwise would not have received first-line chemotherapy</w:t>
      </w:r>
      <w:r w:rsidRPr="008C6270">
        <w:rPr>
          <w:rFonts w:asciiTheme="minorHAnsi" w:eastAsiaTheme="minorHAnsi" w:hAnsiTheme="minorHAnsi" w:cstheme="minorBidi"/>
          <w:snapToGrid/>
          <w:sz w:val="24"/>
          <w:szCs w:val="22"/>
        </w:rPr>
        <w:t xml:space="preserve"> (Row B</w:t>
      </w:r>
      <w:r w:rsidR="00593B92" w:rsidRPr="008C6270">
        <w:rPr>
          <w:rFonts w:asciiTheme="minorHAnsi" w:eastAsiaTheme="minorHAnsi" w:hAnsiTheme="minorHAnsi" w:cstheme="minorBidi"/>
          <w:snapToGrid/>
          <w:sz w:val="24"/>
          <w:szCs w:val="22"/>
        </w:rPr>
        <w:t xml:space="preserve">, Table </w:t>
      </w:r>
      <w:r w:rsidRPr="008C6270">
        <w:rPr>
          <w:rFonts w:asciiTheme="minorHAnsi" w:eastAsiaTheme="minorHAnsi" w:hAnsiTheme="minorHAnsi" w:cstheme="minorBidi"/>
          <w:snapToGrid/>
          <w:sz w:val="24"/>
          <w:szCs w:val="22"/>
        </w:rPr>
        <w:t>4</w:t>
      </w:r>
      <w:r w:rsidR="00593B92" w:rsidRPr="008C6270">
        <w:rPr>
          <w:rFonts w:asciiTheme="minorHAnsi" w:eastAsiaTheme="minorHAnsi" w:hAnsiTheme="minorHAnsi" w:cstheme="minorBidi"/>
          <w:snapToGrid/>
          <w:sz w:val="24"/>
          <w:szCs w:val="22"/>
        </w:rPr>
        <w:t xml:space="preserve">). </w:t>
      </w:r>
      <w:r w:rsidRPr="008C6270">
        <w:rPr>
          <w:rFonts w:asciiTheme="minorHAnsi" w:eastAsiaTheme="minorHAnsi" w:hAnsiTheme="minorHAnsi" w:cstheme="minorBidi"/>
          <w:snapToGrid/>
          <w:sz w:val="24"/>
          <w:szCs w:val="22"/>
        </w:rPr>
        <w:t>T</w:t>
      </w:r>
      <w:r w:rsidR="00593B92" w:rsidRPr="008C6270">
        <w:rPr>
          <w:rFonts w:asciiTheme="minorHAnsi" w:eastAsiaTheme="minorHAnsi" w:hAnsiTheme="minorHAnsi" w:cstheme="minorBidi"/>
          <w:snapToGrid/>
          <w:sz w:val="24"/>
          <w:szCs w:val="22"/>
        </w:rPr>
        <w:t xml:space="preserve">his population should also include those patients who </w:t>
      </w:r>
      <w:r w:rsidR="008F6251" w:rsidRPr="008C6270">
        <w:rPr>
          <w:rFonts w:asciiTheme="minorHAnsi" w:eastAsiaTheme="minorHAnsi" w:hAnsiTheme="minorHAnsi" w:cstheme="minorBidi"/>
          <w:snapToGrid/>
          <w:sz w:val="24"/>
          <w:szCs w:val="22"/>
        </w:rPr>
        <w:t>would have received</w:t>
      </w:r>
      <w:r w:rsidR="00593B92" w:rsidRPr="008C6270">
        <w:rPr>
          <w:rFonts w:asciiTheme="minorHAnsi" w:eastAsiaTheme="minorHAnsi" w:hAnsiTheme="minorHAnsi" w:cstheme="minorBidi"/>
          <w:snapToGrid/>
          <w:sz w:val="24"/>
          <w:szCs w:val="22"/>
        </w:rPr>
        <w:t xml:space="preserve"> first-line chemotherapy</w:t>
      </w:r>
      <w:r w:rsidR="008F6251" w:rsidRPr="008C6270">
        <w:rPr>
          <w:rFonts w:asciiTheme="minorHAnsi" w:eastAsiaTheme="minorHAnsi" w:hAnsiTheme="minorHAnsi" w:cstheme="minorBidi"/>
          <w:snapToGrid/>
          <w:sz w:val="24"/>
          <w:szCs w:val="22"/>
        </w:rPr>
        <w:t>,</w:t>
      </w:r>
      <w:r w:rsidR="00593B92" w:rsidRPr="008C6270">
        <w:rPr>
          <w:rFonts w:asciiTheme="minorHAnsi" w:eastAsiaTheme="minorHAnsi" w:hAnsiTheme="minorHAnsi" w:cstheme="minorBidi"/>
          <w:snapToGrid/>
          <w:sz w:val="24"/>
          <w:szCs w:val="22"/>
        </w:rPr>
        <w:t xml:space="preserve"> but </w:t>
      </w:r>
      <w:r w:rsidR="008F6251" w:rsidRPr="008C6270">
        <w:rPr>
          <w:rFonts w:asciiTheme="minorHAnsi" w:eastAsiaTheme="minorHAnsi" w:hAnsiTheme="minorHAnsi" w:cstheme="minorBidi"/>
          <w:snapToGrid/>
          <w:sz w:val="24"/>
          <w:szCs w:val="22"/>
        </w:rPr>
        <w:t xml:space="preserve">would </w:t>
      </w:r>
      <w:r w:rsidR="00593B92" w:rsidRPr="008C6270">
        <w:rPr>
          <w:rFonts w:asciiTheme="minorHAnsi" w:eastAsiaTheme="minorHAnsi" w:hAnsiTheme="minorHAnsi" w:cstheme="minorBidi"/>
          <w:snapToGrid/>
          <w:sz w:val="24"/>
          <w:szCs w:val="22"/>
        </w:rPr>
        <w:t xml:space="preserve">not </w:t>
      </w:r>
      <w:r w:rsidR="008F6251" w:rsidRPr="008C6270">
        <w:rPr>
          <w:rFonts w:asciiTheme="minorHAnsi" w:eastAsiaTheme="minorHAnsi" w:hAnsiTheme="minorHAnsi" w:cstheme="minorBidi"/>
          <w:snapToGrid/>
          <w:sz w:val="24"/>
          <w:szCs w:val="22"/>
        </w:rPr>
        <w:t xml:space="preserve">have received </w:t>
      </w:r>
      <w:r w:rsidR="00593B92" w:rsidRPr="008C6270">
        <w:rPr>
          <w:rFonts w:asciiTheme="minorHAnsi" w:eastAsiaTheme="minorHAnsi" w:hAnsiTheme="minorHAnsi" w:cstheme="minorBidi"/>
          <w:snapToGrid/>
          <w:sz w:val="24"/>
          <w:szCs w:val="22"/>
        </w:rPr>
        <w:t>second-line nivolumab</w:t>
      </w:r>
      <w:r w:rsidRPr="008C6270">
        <w:rPr>
          <w:rFonts w:asciiTheme="minorHAnsi" w:eastAsiaTheme="minorHAnsi" w:hAnsiTheme="minorHAnsi" w:cstheme="minorBidi"/>
          <w:snapToGrid/>
          <w:sz w:val="24"/>
          <w:szCs w:val="22"/>
        </w:rPr>
        <w:t xml:space="preserve"> (</w:t>
      </w:r>
      <w:r w:rsidR="00593B92" w:rsidRPr="008C6270">
        <w:rPr>
          <w:rFonts w:asciiTheme="minorHAnsi" w:eastAsiaTheme="minorHAnsi" w:hAnsiTheme="minorHAnsi" w:cstheme="minorBidi"/>
          <w:snapToGrid/>
          <w:sz w:val="24"/>
          <w:szCs w:val="22"/>
        </w:rPr>
        <w:t xml:space="preserve">Row </w:t>
      </w:r>
      <w:r w:rsidRPr="008C6270">
        <w:rPr>
          <w:rFonts w:asciiTheme="minorHAnsi" w:eastAsiaTheme="minorHAnsi" w:hAnsiTheme="minorHAnsi" w:cstheme="minorBidi"/>
          <w:snapToGrid/>
          <w:sz w:val="24"/>
          <w:szCs w:val="22"/>
        </w:rPr>
        <w:t>E, Table 4</w:t>
      </w:r>
      <w:r w:rsidR="00593B92" w:rsidRPr="008C6270">
        <w:rPr>
          <w:rFonts w:asciiTheme="minorHAnsi" w:eastAsiaTheme="minorHAnsi" w:hAnsiTheme="minorHAnsi" w:cstheme="minorBidi"/>
          <w:snapToGrid/>
          <w:sz w:val="24"/>
          <w:szCs w:val="22"/>
        </w:rPr>
        <w:t>).</w:t>
      </w:r>
      <w:r w:rsidR="00B14AD5">
        <w:rPr>
          <w:rFonts w:asciiTheme="minorHAnsi" w:eastAsiaTheme="minorHAnsi" w:hAnsiTheme="minorHAnsi" w:cstheme="minorBidi"/>
          <w:snapToGrid/>
          <w:sz w:val="24"/>
          <w:szCs w:val="22"/>
        </w:rPr>
        <w:t xml:space="preserve"> </w:t>
      </w:r>
      <w:r w:rsidR="00593B92" w:rsidRPr="008C6270">
        <w:rPr>
          <w:rFonts w:asciiTheme="minorHAnsi" w:eastAsiaTheme="minorHAnsi" w:hAnsiTheme="minorHAnsi" w:cstheme="minorBidi"/>
          <w:snapToGrid/>
          <w:sz w:val="24"/>
          <w:szCs w:val="22"/>
        </w:rPr>
        <w:t xml:space="preserve">When these patients are included in </w:t>
      </w:r>
      <w:r w:rsidRPr="008C6270">
        <w:rPr>
          <w:rFonts w:asciiTheme="minorHAnsi" w:eastAsiaTheme="minorHAnsi" w:hAnsiTheme="minorHAnsi" w:cstheme="minorBidi"/>
          <w:snapToGrid/>
          <w:sz w:val="24"/>
          <w:szCs w:val="22"/>
        </w:rPr>
        <w:t>“new first-line pembrolizumab population”</w:t>
      </w:r>
      <w:r w:rsidR="00593B92" w:rsidRPr="008C6270">
        <w:rPr>
          <w:rFonts w:asciiTheme="minorHAnsi" w:eastAsiaTheme="minorHAnsi" w:hAnsiTheme="minorHAnsi" w:cstheme="minorBidi"/>
          <w:snapToGrid/>
          <w:sz w:val="24"/>
          <w:szCs w:val="22"/>
        </w:rPr>
        <w:t xml:space="preserve"> estimates, they account for approximately half of the estimated number of </w:t>
      </w:r>
      <w:r w:rsidR="008F6251" w:rsidRPr="008C6270">
        <w:rPr>
          <w:rFonts w:asciiTheme="minorHAnsi" w:eastAsiaTheme="minorHAnsi" w:hAnsiTheme="minorHAnsi" w:cstheme="minorBidi"/>
          <w:snapToGrid/>
          <w:sz w:val="24"/>
          <w:szCs w:val="22"/>
        </w:rPr>
        <w:t xml:space="preserve">all </w:t>
      </w:r>
      <w:r w:rsidR="00593B92" w:rsidRPr="008C6270">
        <w:rPr>
          <w:rFonts w:asciiTheme="minorHAnsi" w:eastAsiaTheme="minorHAnsi" w:hAnsiTheme="minorHAnsi" w:cstheme="minorBidi"/>
          <w:snapToGrid/>
          <w:sz w:val="24"/>
          <w:szCs w:val="22"/>
        </w:rPr>
        <w:t xml:space="preserve">patients who </w:t>
      </w:r>
      <w:r w:rsidR="008F6251" w:rsidRPr="008C6270">
        <w:rPr>
          <w:rFonts w:asciiTheme="minorHAnsi" w:eastAsiaTheme="minorHAnsi" w:hAnsiTheme="minorHAnsi" w:cstheme="minorBidi"/>
          <w:snapToGrid/>
          <w:sz w:val="24"/>
          <w:szCs w:val="22"/>
        </w:rPr>
        <w:t>would receive</w:t>
      </w:r>
      <w:r w:rsidR="00593B92" w:rsidRPr="008C6270">
        <w:rPr>
          <w:rFonts w:asciiTheme="minorHAnsi" w:eastAsiaTheme="minorHAnsi" w:hAnsiTheme="minorHAnsi" w:cstheme="minorBidi"/>
          <w:snapToGrid/>
          <w:sz w:val="24"/>
          <w:szCs w:val="22"/>
        </w:rPr>
        <w:t xml:space="preserve"> first</w:t>
      </w:r>
      <w:r w:rsidR="003B7B75" w:rsidRPr="008C6270">
        <w:rPr>
          <w:rFonts w:asciiTheme="minorHAnsi" w:eastAsiaTheme="minorHAnsi" w:hAnsiTheme="minorHAnsi" w:cstheme="minorBidi"/>
          <w:snapToGrid/>
          <w:sz w:val="24"/>
          <w:szCs w:val="22"/>
        </w:rPr>
        <w:t>-line pembrolizumab (R</w:t>
      </w:r>
      <w:r w:rsidRPr="008C6270">
        <w:rPr>
          <w:rFonts w:asciiTheme="minorHAnsi" w:eastAsiaTheme="minorHAnsi" w:hAnsiTheme="minorHAnsi" w:cstheme="minorBidi"/>
          <w:snapToGrid/>
          <w:sz w:val="24"/>
          <w:szCs w:val="22"/>
        </w:rPr>
        <w:t>ow F, Table 4</w:t>
      </w:r>
      <w:r w:rsidR="00593B92" w:rsidRPr="008C6270">
        <w:rPr>
          <w:rFonts w:asciiTheme="minorHAnsi" w:eastAsiaTheme="minorHAnsi" w:hAnsiTheme="minorHAnsi" w:cstheme="minorBidi"/>
          <w:snapToGrid/>
          <w:sz w:val="24"/>
          <w:szCs w:val="22"/>
        </w:rPr>
        <w:t xml:space="preserve">). </w:t>
      </w:r>
      <w:r w:rsidR="00B14AD5">
        <w:rPr>
          <w:rFonts w:asciiTheme="minorHAnsi" w:eastAsiaTheme="minorHAnsi" w:hAnsiTheme="minorHAnsi" w:cstheme="minorBidi"/>
          <w:snapToGrid/>
          <w:sz w:val="24"/>
          <w:szCs w:val="22"/>
        </w:rPr>
        <w:t>The pre-PBAC response agreed with the Minor Overview on this approach.</w:t>
      </w:r>
      <w:r w:rsidR="00B14AD5" w:rsidRPr="008C6270">
        <w:rPr>
          <w:rFonts w:asciiTheme="minorHAnsi" w:eastAsiaTheme="minorHAnsi" w:hAnsiTheme="minorHAnsi" w:cstheme="minorBidi"/>
          <w:snapToGrid/>
          <w:sz w:val="24"/>
          <w:szCs w:val="22"/>
        </w:rPr>
        <w:t xml:space="preserve"> </w:t>
      </w:r>
      <w:r w:rsidR="00B14AD5">
        <w:rPr>
          <w:rFonts w:asciiTheme="minorHAnsi" w:eastAsiaTheme="minorHAnsi" w:hAnsiTheme="minorHAnsi" w:cstheme="minorBidi"/>
          <w:snapToGrid/>
          <w:sz w:val="24"/>
          <w:szCs w:val="22"/>
        </w:rPr>
        <w:t>However, t</w:t>
      </w:r>
      <w:r w:rsidR="00593B92" w:rsidRPr="008C6270">
        <w:rPr>
          <w:rFonts w:asciiTheme="minorHAnsi" w:eastAsiaTheme="minorHAnsi" w:hAnsiTheme="minorHAnsi" w:cstheme="minorBidi"/>
          <w:snapToGrid/>
          <w:sz w:val="24"/>
          <w:szCs w:val="22"/>
        </w:rPr>
        <w:t>his is not consistent with the PBA</w:t>
      </w:r>
      <w:r w:rsidRPr="008C6270">
        <w:rPr>
          <w:rFonts w:asciiTheme="minorHAnsi" w:eastAsiaTheme="minorHAnsi" w:hAnsiTheme="minorHAnsi" w:cstheme="minorBidi"/>
          <w:snapToGrid/>
          <w:sz w:val="24"/>
          <w:szCs w:val="22"/>
        </w:rPr>
        <w:t xml:space="preserve">C’s consideration that if pembrolizumab was made available on the PBS, there would only be a minor increase in the overall number of patients treated for metastatic Stage IV NSCLC either in the first- or second-line setting. </w:t>
      </w:r>
      <w:r w:rsidR="003B7B75" w:rsidRPr="008C6270">
        <w:rPr>
          <w:rFonts w:asciiTheme="minorHAnsi" w:eastAsiaTheme="minorHAnsi" w:hAnsiTheme="minorHAnsi" w:cstheme="minorBidi"/>
          <w:snapToGrid/>
          <w:sz w:val="24"/>
          <w:szCs w:val="22"/>
        </w:rPr>
        <w:t>This is also not consistent with t</w:t>
      </w:r>
      <w:r w:rsidR="00F37856" w:rsidRPr="008C6270">
        <w:rPr>
          <w:rFonts w:asciiTheme="minorHAnsi" w:eastAsiaTheme="minorHAnsi" w:hAnsiTheme="minorHAnsi" w:cstheme="minorBidi"/>
          <w:snapToGrid/>
          <w:sz w:val="24"/>
          <w:szCs w:val="22"/>
        </w:rPr>
        <w:t>he minor resubmission</w:t>
      </w:r>
      <w:r w:rsidR="003B7B75" w:rsidRPr="008C6270">
        <w:rPr>
          <w:rFonts w:asciiTheme="minorHAnsi" w:eastAsiaTheme="minorHAnsi" w:hAnsiTheme="minorHAnsi" w:cstheme="minorBidi"/>
          <w:snapToGrid/>
          <w:sz w:val="24"/>
          <w:szCs w:val="22"/>
        </w:rPr>
        <w:t>, which stated</w:t>
      </w:r>
      <w:r w:rsidR="00F37856" w:rsidRPr="008C6270">
        <w:rPr>
          <w:rFonts w:asciiTheme="minorHAnsi" w:eastAsiaTheme="minorHAnsi" w:hAnsiTheme="minorHAnsi" w:cstheme="minorBidi"/>
          <w:snapToGrid/>
          <w:sz w:val="24"/>
          <w:szCs w:val="22"/>
        </w:rPr>
        <w:t xml:space="preserve"> that </w:t>
      </w:r>
      <w:r w:rsidR="00C75321" w:rsidRPr="008C6270">
        <w:rPr>
          <w:rFonts w:asciiTheme="minorHAnsi" w:eastAsiaTheme="minorHAnsi" w:hAnsiTheme="minorHAnsi" w:cstheme="minorBidi"/>
          <w:snapToGrid/>
          <w:sz w:val="24"/>
          <w:szCs w:val="22"/>
        </w:rPr>
        <w:t>“[</w:t>
      </w:r>
      <w:r w:rsidR="00F37856" w:rsidRPr="008C6270">
        <w:rPr>
          <w:rFonts w:asciiTheme="minorHAnsi" w:eastAsiaTheme="minorHAnsi" w:hAnsiTheme="minorHAnsi" w:cstheme="minorBidi"/>
          <w:snapToGrid/>
          <w:sz w:val="24"/>
          <w:szCs w:val="22"/>
        </w:rPr>
        <w:t>the new first-line pembrolizumab population</w:t>
      </w:r>
      <w:r w:rsidR="00C75321" w:rsidRPr="008C6270">
        <w:rPr>
          <w:rFonts w:asciiTheme="minorHAnsi" w:eastAsiaTheme="minorHAnsi" w:hAnsiTheme="minorHAnsi" w:cstheme="minorBidi"/>
          <w:snapToGrid/>
          <w:sz w:val="24"/>
          <w:szCs w:val="22"/>
        </w:rPr>
        <w:t>]</w:t>
      </w:r>
      <w:r w:rsidR="00F37856" w:rsidRPr="008C6270">
        <w:rPr>
          <w:rFonts w:asciiTheme="minorHAnsi" w:eastAsiaTheme="minorHAnsi" w:hAnsiTheme="minorHAnsi" w:cstheme="minorBidi"/>
          <w:snapToGrid/>
          <w:sz w:val="24"/>
          <w:szCs w:val="22"/>
        </w:rPr>
        <w:t xml:space="preserve"> equates to </w:t>
      </w:r>
      <w:r w:rsidR="00F37856" w:rsidRPr="00E24312">
        <w:rPr>
          <w:rFonts w:asciiTheme="minorHAnsi" w:eastAsiaTheme="minorHAnsi" w:hAnsiTheme="minorHAnsi" w:cstheme="minorBidi"/>
          <w:snapToGrid/>
          <w:sz w:val="24"/>
          <w:szCs w:val="22"/>
        </w:rPr>
        <w:t>23.5</w:t>
      </w:r>
      <w:r w:rsidR="00F37856" w:rsidRPr="008C6270">
        <w:rPr>
          <w:rFonts w:asciiTheme="minorHAnsi" w:eastAsiaTheme="minorHAnsi" w:hAnsiTheme="minorHAnsi" w:cstheme="minorBidi"/>
          <w:snapToGrid/>
          <w:sz w:val="24"/>
          <w:szCs w:val="22"/>
        </w:rPr>
        <w:t xml:space="preserve">% of any new pembrolizumab patients eligible for first line therapy (Years 1 and 2) and increases to </w:t>
      </w:r>
      <w:r w:rsidR="00F37856" w:rsidRPr="00E24312">
        <w:rPr>
          <w:rFonts w:asciiTheme="minorHAnsi" w:eastAsiaTheme="minorHAnsi" w:hAnsiTheme="minorHAnsi" w:cstheme="minorBidi"/>
          <w:snapToGrid/>
          <w:sz w:val="24"/>
          <w:szCs w:val="22"/>
        </w:rPr>
        <w:t>25</w:t>
      </w:r>
      <w:r w:rsidR="00F37856" w:rsidRPr="008C6270">
        <w:rPr>
          <w:rFonts w:asciiTheme="minorHAnsi" w:eastAsiaTheme="minorHAnsi" w:hAnsiTheme="minorHAnsi" w:cstheme="minorBidi"/>
          <w:snapToGrid/>
          <w:sz w:val="24"/>
          <w:szCs w:val="22"/>
        </w:rPr>
        <w:t>% (Year 3 onwards)</w:t>
      </w:r>
      <w:r w:rsidR="00C75321" w:rsidRPr="008C6270">
        <w:rPr>
          <w:rFonts w:asciiTheme="minorHAnsi" w:eastAsiaTheme="minorHAnsi" w:hAnsiTheme="minorHAnsi" w:cstheme="minorBidi"/>
          <w:snapToGrid/>
          <w:sz w:val="24"/>
          <w:szCs w:val="22"/>
        </w:rPr>
        <w:t>”</w:t>
      </w:r>
      <w:r w:rsidR="00F37856" w:rsidRPr="008C6270">
        <w:rPr>
          <w:rFonts w:asciiTheme="minorHAnsi" w:eastAsiaTheme="minorHAnsi" w:hAnsiTheme="minorHAnsi" w:cstheme="minorBidi"/>
          <w:snapToGrid/>
          <w:sz w:val="24"/>
          <w:szCs w:val="22"/>
        </w:rPr>
        <w:t>.</w:t>
      </w:r>
    </w:p>
    <w:p w:rsidR="004534FB" w:rsidRPr="00453574" w:rsidRDefault="001B1E0B" w:rsidP="001B1E0B">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sidRPr="00453574">
        <w:rPr>
          <w:rFonts w:asciiTheme="minorHAnsi" w:eastAsiaTheme="minorHAnsi" w:hAnsiTheme="minorHAnsi" w:cstheme="minorBidi"/>
          <w:snapToGrid/>
          <w:sz w:val="24"/>
          <w:szCs w:val="22"/>
        </w:rPr>
        <w:t xml:space="preserve">The pre-PBAC response argued that the PBAC’s view “is at odds with the epidemiological estimates presented in the submission, which suggest a substantial increase of at least </w:t>
      </w:r>
      <w:r w:rsidR="00E964DA">
        <w:rPr>
          <w:rFonts w:asciiTheme="minorHAnsi" w:eastAsiaTheme="minorHAnsi" w:hAnsiTheme="minorHAnsi" w:cstheme="minorBidi"/>
          <w:noProof/>
          <w:snapToGrid/>
          <w:color w:val="000000"/>
          <w:sz w:val="24"/>
          <w:szCs w:val="22"/>
          <w:highlight w:val="black"/>
        </w:rPr>
        <w:t>''''''''</w:t>
      </w:r>
      <w:r w:rsidRPr="00453574">
        <w:rPr>
          <w:rFonts w:asciiTheme="minorHAnsi" w:eastAsiaTheme="minorHAnsi" w:hAnsiTheme="minorHAnsi" w:cstheme="minorBidi"/>
          <w:snapToGrid/>
          <w:sz w:val="24"/>
          <w:szCs w:val="22"/>
        </w:rPr>
        <w:t xml:space="preserve"> new patients.” It further argued that, “unless the estimates are aligned to those proposed in the submission, not all eligible patients would be accommodated”. </w:t>
      </w:r>
      <w:r w:rsidR="004534FB" w:rsidRPr="00453574">
        <w:rPr>
          <w:rFonts w:asciiTheme="minorHAnsi" w:eastAsiaTheme="minorHAnsi" w:hAnsiTheme="minorHAnsi" w:cstheme="minorBidi"/>
          <w:snapToGrid/>
          <w:sz w:val="24"/>
          <w:szCs w:val="22"/>
        </w:rPr>
        <w:t xml:space="preserve">The pre-PBAC response also presented an alternative approach to determination of new first-line pembrolizumab patients, with different estimates for rows D – F of Table 4, based on assuming </w:t>
      </w:r>
      <w:r w:rsidR="004534FB" w:rsidRPr="00E24312">
        <w:rPr>
          <w:rFonts w:asciiTheme="minorHAnsi" w:eastAsiaTheme="minorHAnsi" w:hAnsiTheme="minorHAnsi" w:cstheme="minorBidi"/>
          <w:snapToGrid/>
          <w:sz w:val="24"/>
          <w:szCs w:val="22"/>
        </w:rPr>
        <w:t>75</w:t>
      </w:r>
      <w:r w:rsidR="004534FB" w:rsidRPr="00453574">
        <w:rPr>
          <w:rFonts w:asciiTheme="minorHAnsi" w:eastAsiaTheme="minorHAnsi" w:hAnsiTheme="minorHAnsi" w:cstheme="minorBidi"/>
          <w:snapToGrid/>
          <w:sz w:val="24"/>
          <w:szCs w:val="22"/>
        </w:rPr>
        <w:t xml:space="preserve">% rather than </w:t>
      </w:r>
      <w:r w:rsidR="004534FB" w:rsidRPr="00E24312">
        <w:rPr>
          <w:rFonts w:asciiTheme="minorHAnsi" w:eastAsiaTheme="minorHAnsi" w:hAnsiTheme="minorHAnsi" w:cstheme="minorBidi"/>
          <w:snapToGrid/>
          <w:sz w:val="24"/>
          <w:szCs w:val="22"/>
        </w:rPr>
        <w:t>64.2</w:t>
      </w:r>
      <w:r w:rsidR="004534FB" w:rsidRPr="00453574">
        <w:rPr>
          <w:rFonts w:asciiTheme="minorHAnsi" w:eastAsiaTheme="minorHAnsi" w:hAnsiTheme="minorHAnsi" w:cstheme="minorBidi"/>
          <w:snapToGrid/>
          <w:sz w:val="24"/>
          <w:szCs w:val="22"/>
        </w:rPr>
        <w:t xml:space="preserve">% as the treatment rate with second-line nivolumab for patients initiated on chemotherapy. However, this did not change the total number of pembrolizumab patients proposed by the minor </w:t>
      </w:r>
      <w:r w:rsidR="00984960" w:rsidRPr="00453574">
        <w:rPr>
          <w:rFonts w:asciiTheme="minorHAnsi" w:eastAsiaTheme="minorHAnsi" w:hAnsiTheme="minorHAnsi" w:cstheme="minorBidi"/>
          <w:snapToGrid/>
          <w:sz w:val="24"/>
          <w:szCs w:val="22"/>
        </w:rPr>
        <w:t>re</w:t>
      </w:r>
      <w:r w:rsidR="00DE4A33" w:rsidRPr="00453574">
        <w:rPr>
          <w:rFonts w:asciiTheme="minorHAnsi" w:eastAsiaTheme="minorHAnsi" w:hAnsiTheme="minorHAnsi" w:cstheme="minorBidi"/>
          <w:snapToGrid/>
          <w:sz w:val="24"/>
          <w:szCs w:val="22"/>
        </w:rPr>
        <w:t>submission.</w:t>
      </w:r>
      <w:r w:rsidR="00937806">
        <w:rPr>
          <w:rFonts w:asciiTheme="minorHAnsi" w:eastAsiaTheme="minorHAnsi" w:hAnsiTheme="minorHAnsi" w:cstheme="minorBidi"/>
          <w:snapToGrid/>
          <w:sz w:val="24"/>
          <w:szCs w:val="22"/>
        </w:rPr>
        <w:t xml:space="preserve"> </w:t>
      </w:r>
      <w:r w:rsidR="00937806">
        <w:rPr>
          <w:rFonts w:asciiTheme="minorHAnsi" w:hAnsiTheme="minorHAnsi"/>
          <w:sz w:val="24"/>
          <w:szCs w:val="24"/>
        </w:rPr>
        <w:t>The PBAC noted that this alternative approach was not independently verified, but considered that the approach did not ameliorate its primary concerns over the large numbers of patients estimated to be eligible for pembrolizumab.</w:t>
      </w:r>
    </w:p>
    <w:p w:rsidR="00EB6B4F" w:rsidRDefault="00EB6B4F" w:rsidP="00851952">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8C6270">
        <w:rPr>
          <w:rFonts w:asciiTheme="minorHAnsi" w:eastAsiaTheme="minorHAnsi" w:hAnsiTheme="minorHAnsi" w:cstheme="minorBidi"/>
          <w:snapToGrid/>
          <w:sz w:val="24"/>
          <w:szCs w:val="22"/>
        </w:rPr>
        <w:t>The minor resubmission also</w:t>
      </w:r>
      <w:r w:rsidR="00DE4CFE" w:rsidRPr="008C6270">
        <w:rPr>
          <w:rFonts w:asciiTheme="minorHAnsi" w:eastAsiaTheme="minorHAnsi" w:hAnsiTheme="minorHAnsi" w:cstheme="minorBidi"/>
          <w:snapToGrid/>
          <w:sz w:val="24"/>
          <w:szCs w:val="22"/>
        </w:rPr>
        <w:t xml:space="preserve"> separately</w:t>
      </w:r>
      <w:r w:rsidRPr="008C6270">
        <w:rPr>
          <w:rFonts w:asciiTheme="minorHAnsi" w:eastAsiaTheme="minorHAnsi" w:hAnsiTheme="minorHAnsi" w:cstheme="minorBidi"/>
          <w:snapToGrid/>
          <w:sz w:val="24"/>
          <w:szCs w:val="22"/>
        </w:rPr>
        <w:t xml:space="preserve"> presented population and</w:t>
      </w:r>
      <w:r w:rsidR="00FF140E" w:rsidRPr="008C6270">
        <w:rPr>
          <w:rFonts w:asciiTheme="minorHAnsi" w:eastAsiaTheme="minorHAnsi" w:hAnsiTheme="minorHAnsi" w:cstheme="minorBidi"/>
          <w:snapToGrid/>
          <w:sz w:val="24"/>
          <w:szCs w:val="22"/>
        </w:rPr>
        <w:t xml:space="preserve"> uptake estimates for Stage IIIB</w:t>
      </w:r>
      <w:r w:rsidRPr="008C6270">
        <w:rPr>
          <w:rFonts w:asciiTheme="minorHAnsi" w:eastAsiaTheme="minorHAnsi" w:hAnsiTheme="minorHAnsi" w:cstheme="minorBidi"/>
          <w:snapToGrid/>
          <w:sz w:val="24"/>
          <w:szCs w:val="22"/>
        </w:rPr>
        <w:t>/IV patients, “should the PBAC agree that Stage III</w:t>
      </w:r>
      <w:r w:rsidR="00FF140E" w:rsidRPr="008C6270">
        <w:rPr>
          <w:rFonts w:asciiTheme="minorHAnsi" w:eastAsiaTheme="minorHAnsi" w:hAnsiTheme="minorHAnsi" w:cstheme="minorBidi"/>
          <w:snapToGrid/>
          <w:sz w:val="24"/>
          <w:szCs w:val="22"/>
        </w:rPr>
        <w:t>B</w:t>
      </w:r>
      <w:r w:rsidRPr="008C6270">
        <w:rPr>
          <w:rFonts w:asciiTheme="minorHAnsi" w:eastAsiaTheme="minorHAnsi" w:hAnsiTheme="minorHAnsi" w:cstheme="minorBidi"/>
          <w:snapToGrid/>
          <w:sz w:val="24"/>
          <w:szCs w:val="22"/>
        </w:rPr>
        <w:t xml:space="preserve"> patients could access treatment with pembrolizumab”. </w:t>
      </w:r>
      <w:r w:rsidR="006C46FF" w:rsidRPr="008C6270">
        <w:rPr>
          <w:rFonts w:asciiTheme="minorHAnsi" w:eastAsiaTheme="minorHAnsi" w:hAnsiTheme="minorHAnsi" w:cstheme="minorBidi"/>
          <w:snapToGrid/>
          <w:sz w:val="24"/>
          <w:szCs w:val="22"/>
        </w:rPr>
        <w:t>However, t</w:t>
      </w:r>
      <w:r w:rsidRPr="008C6270">
        <w:rPr>
          <w:rFonts w:asciiTheme="minorHAnsi" w:eastAsiaTheme="minorHAnsi" w:hAnsiTheme="minorHAnsi" w:cstheme="minorBidi"/>
          <w:snapToGrid/>
          <w:sz w:val="24"/>
          <w:szCs w:val="22"/>
        </w:rPr>
        <w:t xml:space="preserve">he key trial, KN-024, only included patients with Stage IV NSCLC. </w:t>
      </w:r>
      <w:r w:rsidR="006C46FF" w:rsidRPr="008C6270">
        <w:rPr>
          <w:rFonts w:asciiTheme="minorHAnsi" w:eastAsiaTheme="minorHAnsi" w:hAnsiTheme="minorHAnsi" w:cstheme="minorBidi"/>
          <w:snapToGrid/>
          <w:sz w:val="24"/>
          <w:szCs w:val="22"/>
        </w:rPr>
        <w:t>Furthermore, the TGA product information restricts pembrolizumab treatment to patients with metastatic NSCLC. The PBAC consider</w:t>
      </w:r>
      <w:r w:rsidR="00496803">
        <w:rPr>
          <w:rFonts w:asciiTheme="minorHAnsi" w:eastAsiaTheme="minorHAnsi" w:hAnsiTheme="minorHAnsi" w:cstheme="minorBidi"/>
          <w:snapToGrid/>
          <w:sz w:val="24"/>
          <w:szCs w:val="22"/>
        </w:rPr>
        <w:t>ed</w:t>
      </w:r>
      <w:r w:rsidR="006C46FF" w:rsidRPr="008C6270">
        <w:rPr>
          <w:rFonts w:asciiTheme="minorHAnsi" w:eastAsiaTheme="minorHAnsi" w:hAnsiTheme="minorHAnsi" w:cstheme="minorBidi"/>
          <w:snapToGrid/>
          <w:sz w:val="24"/>
          <w:szCs w:val="22"/>
        </w:rPr>
        <w:t xml:space="preserve"> </w:t>
      </w:r>
      <w:r w:rsidR="00FC693B">
        <w:rPr>
          <w:rFonts w:asciiTheme="minorHAnsi" w:eastAsiaTheme="minorHAnsi" w:hAnsiTheme="minorHAnsi" w:cstheme="minorBidi"/>
          <w:snapToGrid/>
          <w:sz w:val="24"/>
          <w:szCs w:val="22"/>
        </w:rPr>
        <w:t xml:space="preserve">that </w:t>
      </w:r>
      <w:r w:rsidR="006C46FF" w:rsidRPr="008C6270">
        <w:rPr>
          <w:rFonts w:asciiTheme="minorHAnsi" w:eastAsiaTheme="minorHAnsi" w:hAnsiTheme="minorHAnsi" w:cstheme="minorBidi"/>
          <w:snapToGrid/>
          <w:sz w:val="24"/>
          <w:szCs w:val="22"/>
        </w:rPr>
        <w:t xml:space="preserve">there </w:t>
      </w:r>
      <w:r w:rsidR="00FC693B">
        <w:rPr>
          <w:rFonts w:asciiTheme="minorHAnsi" w:eastAsiaTheme="minorHAnsi" w:hAnsiTheme="minorHAnsi" w:cstheme="minorBidi"/>
          <w:snapToGrid/>
          <w:sz w:val="24"/>
          <w:szCs w:val="22"/>
        </w:rPr>
        <w:t>wa</w:t>
      </w:r>
      <w:r w:rsidR="006C46FF" w:rsidRPr="008C6270">
        <w:rPr>
          <w:rFonts w:asciiTheme="minorHAnsi" w:eastAsiaTheme="minorHAnsi" w:hAnsiTheme="minorHAnsi" w:cstheme="minorBidi"/>
          <w:snapToGrid/>
          <w:sz w:val="24"/>
          <w:szCs w:val="22"/>
        </w:rPr>
        <w:t xml:space="preserve">s </w:t>
      </w:r>
      <w:r w:rsidR="00496803">
        <w:rPr>
          <w:rFonts w:asciiTheme="minorHAnsi" w:eastAsiaTheme="minorHAnsi" w:hAnsiTheme="minorHAnsi" w:cstheme="minorBidi"/>
          <w:snapToGrid/>
          <w:sz w:val="24"/>
          <w:szCs w:val="22"/>
        </w:rPr>
        <w:t>no</w:t>
      </w:r>
      <w:r w:rsidR="006C46FF" w:rsidRPr="008C6270">
        <w:rPr>
          <w:rFonts w:asciiTheme="minorHAnsi" w:eastAsiaTheme="minorHAnsi" w:hAnsiTheme="minorHAnsi" w:cstheme="minorBidi"/>
          <w:snapToGrid/>
          <w:sz w:val="24"/>
          <w:szCs w:val="22"/>
        </w:rPr>
        <w:t xml:space="preserve"> justification for broadening the </w:t>
      </w:r>
      <w:r w:rsidR="00FC693B">
        <w:rPr>
          <w:rFonts w:asciiTheme="minorHAnsi" w:eastAsiaTheme="minorHAnsi" w:hAnsiTheme="minorHAnsi" w:cstheme="minorBidi"/>
          <w:snapToGrid/>
          <w:sz w:val="24"/>
          <w:szCs w:val="22"/>
        </w:rPr>
        <w:t xml:space="preserve">requested access </w:t>
      </w:r>
      <w:r w:rsidR="006C46FF" w:rsidRPr="008C6270">
        <w:rPr>
          <w:rFonts w:asciiTheme="minorHAnsi" w:eastAsiaTheme="minorHAnsi" w:hAnsiTheme="minorHAnsi" w:cstheme="minorBidi"/>
          <w:snapToGrid/>
          <w:sz w:val="24"/>
          <w:szCs w:val="22"/>
        </w:rPr>
        <w:t>of pembro</w:t>
      </w:r>
      <w:r w:rsidR="00DE4CFE" w:rsidRPr="008C6270">
        <w:rPr>
          <w:rFonts w:asciiTheme="minorHAnsi" w:eastAsiaTheme="minorHAnsi" w:hAnsiTheme="minorHAnsi" w:cstheme="minorBidi"/>
          <w:snapToGrid/>
          <w:sz w:val="24"/>
          <w:szCs w:val="22"/>
        </w:rPr>
        <w:t xml:space="preserve">lizumab to </w:t>
      </w:r>
      <w:r w:rsidR="008516F3" w:rsidRPr="008C6270">
        <w:rPr>
          <w:rFonts w:asciiTheme="minorHAnsi" w:eastAsiaTheme="minorHAnsi" w:hAnsiTheme="minorHAnsi" w:cstheme="minorBidi"/>
          <w:snapToGrid/>
          <w:sz w:val="24"/>
          <w:szCs w:val="22"/>
        </w:rPr>
        <w:t xml:space="preserve">include </w:t>
      </w:r>
      <w:r w:rsidR="00DE4CFE" w:rsidRPr="008C6270">
        <w:rPr>
          <w:rFonts w:asciiTheme="minorHAnsi" w:eastAsiaTheme="minorHAnsi" w:hAnsiTheme="minorHAnsi" w:cstheme="minorBidi"/>
          <w:snapToGrid/>
          <w:sz w:val="24"/>
          <w:szCs w:val="22"/>
        </w:rPr>
        <w:t>Stage III</w:t>
      </w:r>
      <w:r w:rsidR="00267A78" w:rsidRPr="008C6270">
        <w:rPr>
          <w:rFonts w:asciiTheme="minorHAnsi" w:eastAsiaTheme="minorHAnsi" w:hAnsiTheme="minorHAnsi" w:cstheme="minorBidi"/>
          <w:snapToGrid/>
          <w:sz w:val="24"/>
          <w:szCs w:val="22"/>
        </w:rPr>
        <w:t>B</w:t>
      </w:r>
      <w:r w:rsidR="00DE4CFE" w:rsidRPr="008C6270">
        <w:rPr>
          <w:rFonts w:asciiTheme="minorHAnsi" w:eastAsiaTheme="minorHAnsi" w:hAnsiTheme="minorHAnsi" w:cstheme="minorBidi"/>
          <w:snapToGrid/>
          <w:sz w:val="24"/>
          <w:szCs w:val="22"/>
        </w:rPr>
        <w:t xml:space="preserve"> patients.</w:t>
      </w:r>
    </w:p>
    <w:p w:rsidR="00526375" w:rsidRPr="008C6270" w:rsidRDefault="00526375" w:rsidP="00526375">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The PBAC noted that the minor </w:t>
      </w:r>
      <w:r w:rsidR="00984960">
        <w:rPr>
          <w:rFonts w:asciiTheme="minorHAnsi" w:eastAsiaTheme="minorHAnsi" w:hAnsiTheme="minorHAnsi" w:cstheme="minorBidi"/>
          <w:snapToGrid/>
          <w:sz w:val="24"/>
          <w:szCs w:val="22"/>
        </w:rPr>
        <w:t>re</w:t>
      </w:r>
      <w:r>
        <w:rPr>
          <w:rFonts w:asciiTheme="minorHAnsi" w:eastAsiaTheme="minorHAnsi" w:hAnsiTheme="minorHAnsi" w:cstheme="minorBidi"/>
          <w:snapToGrid/>
          <w:sz w:val="24"/>
          <w:szCs w:val="22"/>
        </w:rPr>
        <w:t xml:space="preserve">submission applied a treatment rate for pembrolizumab of 83.5% in Year 1 to 85% in Year 6 of listing, compared to 60% for </w:t>
      </w:r>
      <w:r w:rsidRPr="00620D39">
        <w:rPr>
          <w:rFonts w:asciiTheme="minorHAnsi" w:eastAsiaTheme="minorHAnsi" w:hAnsiTheme="minorHAnsi" w:cstheme="minorBidi"/>
          <w:snapToGrid/>
          <w:sz w:val="24"/>
          <w:szCs w:val="22"/>
        </w:rPr>
        <w:t xml:space="preserve">platinum-based doublet </w:t>
      </w:r>
      <w:r>
        <w:rPr>
          <w:rFonts w:asciiTheme="minorHAnsi" w:eastAsiaTheme="minorHAnsi" w:hAnsiTheme="minorHAnsi" w:cstheme="minorBidi"/>
          <w:snapToGrid/>
          <w:sz w:val="24"/>
          <w:szCs w:val="22"/>
        </w:rPr>
        <w:t xml:space="preserve">chemotherapy. The PBAC noted </w:t>
      </w:r>
      <w:r w:rsidR="000142E2">
        <w:rPr>
          <w:rFonts w:asciiTheme="minorHAnsi" w:eastAsiaTheme="minorHAnsi" w:hAnsiTheme="minorHAnsi" w:cstheme="minorBidi"/>
          <w:snapToGrid/>
          <w:sz w:val="24"/>
          <w:szCs w:val="22"/>
        </w:rPr>
        <w:t xml:space="preserve">that the pre-PBAC response referred to the DUSC advice in relation to the original March 2017 submission, in which DUSC did not </w:t>
      </w:r>
      <w:r w:rsidR="007310E6">
        <w:rPr>
          <w:rFonts w:asciiTheme="minorHAnsi" w:eastAsiaTheme="minorHAnsi" w:hAnsiTheme="minorHAnsi" w:cstheme="minorBidi"/>
          <w:snapToGrid/>
          <w:sz w:val="24"/>
          <w:szCs w:val="22"/>
        </w:rPr>
        <w:t>change</w:t>
      </w:r>
      <w:r w:rsidR="000142E2">
        <w:rPr>
          <w:rFonts w:asciiTheme="minorHAnsi" w:eastAsiaTheme="minorHAnsi" w:hAnsiTheme="minorHAnsi" w:cstheme="minorBidi"/>
          <w:snapToGrid/>
          <w:sz w:val="24"/>
          <w:szCs w:val="22"/>
        </w:rPr>
        <w:t xml:space="preserve"> the </w:t>
      </w:r>
      <w:r w:rsidR="007310E6">
        <w:rPr>
          <w:rFonts w:asciiTheme="minorHAnsi" w:eastAsiaTheme="minorHAnsi" w:hAnsiTheme="minorHAnsi" w:cstheme="minorBidi"/>
          <w:snapToGrid/>
          <w:sz w:val="24"/>
          <w:szCs w:val="22"/>
        </w:rPr>
        <w:t xml:space="preserve">greater </w:t>
      </w:r>
      <w:r w:rsidR="000142E2">
        <w:rPr>
          <w:rFonts w:asciiTheme="minorHAnsi" w:eastAsiaTheme="minorHAnsi" w:hAnsiTheme="minorHAnsi" w:cstheme="minorBidi"/>
          <w:snapToGrid/>
          <w:sz w:val="24"/>
          <w:szCs w:val="22"/>
        </w:rPr>
        <w:t xml:space="preserve">uptake rates </w:t>
      </w:r>
      <w:r w:rsidR="007310E6">
        <w:rPr>
          <w:rFonts w:asciiTheme="minorHAnsi" w:eastAsiaTheme="minorHAnsi" w:hAnsiTheme="minorHAnsi" w:cstheme="minorBidi"/>
          <w:snapToGrid/>
          <w:sz w:val="24"/>
          <w:szCs w:val="22"/>
        </w:rPr>
        <w:t xml:space="preserve">for pembrolizumab </w:t>
      </w:r>
      <w:r w:rsidR="000142E2">
        <w:rPr>
          <w:rFonts w:asciiTheme="minorHAnsi" w:eastAsiaTheme="minorHAnsi" w:hAnsiTheme="minorHAnsi" w:cstheme="minorBidi"/>
          <w:snapToGrid/>
          <w:sz w:val="24"/>
          <w:szCs w:val="22"/>
        </w:rPr>
        <w:t>provided in the pre sub-committee response for that submission</w:t>
      </w:r>
      <w:r w:rsidR="007310E6">
        <w:rPr>
          <w:rFonts w:asciiTheme="minorHAnsi" w:eastAsiaTheme="minorHAnsi" w:hAnsiTheme="minorHAnsi" w:cstheme="minorBidi"/>
          <w:snapToGrid/>
          <w:sz w:val="24"/>
          <w:szCs w:val="22"/>
        </w:rPr>
        <w:t xml:space="preserve">. The PBAC also noted </w:t>
      </w:r>
      <w:r>
        <w:rPr>
          <w:rFonts w:asciiTheme="minorHAnsi" w:eastAsiaTheme="minorHAnsi" w:hAnsiTheme="minorHAnsi" w:cstheme="minorBidi"/>
          <w:snapToGrid/>
          <w:sz w:val="24"/>
          <w:szCs w:val="22"/>
        </w:rPr>
        <w:t>the argument</w:t>
      </w:r>
      <w:r w:rsidR="007310E6">
        <w:rPr>
          <w:rFonts w:asciiTheme="minorHAnsi" w:eastAsiaTheme="minorHAnsi" w:hAnsiTheme="minorHAnsi" w:cstheme="minorBidi"/>
          <w:snapToGrid/>
          <w:sz w:val="24"/>
          <w:szCs w:val="22"/>
        </w:rPr>
        <w:t>s</w:t>
      </w:r>
      <w:r>
        <w:rPr>
          <w:rFonts w:asciiTheme="minorHAnsi" w:eastAsiaTheme="minorHAnsi" w:hAnsiTheme="minorHAnsi" w:cstheme="minorBidi"/>
          <w:snapToGrid/>
          <w:sz w:val="24"/>
          <w:szCs w:val="22"/>
        </w:rPr>
        <w:t xml:space="preserve"> provided in the pre-PBAC response that “t</w:t>
      </w:r>
      <w:r w:rsidRPr="00526375">
        <w:rPr>
          <w:rFonts w:asciiTheme="minorHAnsi" w:eastAsiaTheme="minorHAnsi" w:hAnsiTheme="minorHAnsi" w:cstheme="minorBidi"/>
          <w:snapToGrid/>
          <w:sz w:val="24"/>
          <w:szCs w:val="22"/>
        </w:rPr>
        <w:t>his increase in treatment rate is justified given the efficacy and toxicity benefits of pembro</w:t>
      </w:r>
      <w:r>
        <w:rPr>
          <w:rFonts w:asciiTheme="minorHAnsi" w:eastAsiaTheme="minorHAnsi" w:hAnsiTheme="minorHAnsi" w:cstheme="minorBidi"/>
          <w:snapToGrid/>
          <w:sz w:val="24"/>
          <w:szCs w:val="22"/>
        </w:rPr>
        <w:t xml:space="preserve">lizumab versus standard of care” and that similar treatment uptake rates were accepted in the brentuximab vedotin submission for the treatment of </w:t>
      </w:r>
      <w:r w:rsidRPr="00526375">
        <w:rPr>
          <w:rFonts w:asciiTheme="minorHAnsi" w:eastAsiaTheme="minorHAnsi" w:hAnsiTheme="minorHAnsi" w:cstheme="minorBidi"/>
          <w:snapToGrid/>
          <w:sz w:val="24"/>
          <w:szCs w:val="22"/>
        </w:rPr>
        <w:t>relapsed or refractory CD30+ Hodgkin lymphoma following autologous stem cell transplant</w:t>
      </w:r>
      <w:r>
        <w:rPr>
          <w:rFonts w:asciiTheme="minorHAnsi" w:eastAsiaTheme="minorHAnsi" w:hAnsiTheme="minorHAnsi" w:cstheme="minorBidi"/>
          <w:snapToGrid/>
          <w:sz w:val="24"/>
          <w:szCs w:val="22"/>
        </w:rPr>
        <w:t>. The PBAC considered that th</w:t>
      </w:r>
      <w:r w:rsidR="00DE4A33">
        <w:rPr>
          <w:rFonts w:asciiTheme="minorHAnsi" w:eastAsiaTheme="minorHAnsi" w:hAnsiTheme="minorHAnsi" w:cstheme="minorBidi"/>
          <w:snapToGrid/>
          <w:sz w:val="24"/>
          <w:szCs w:val="22"/>
        </w:rPr>
        <w:t xml:space="preserve">is </w:t>
      </w:r>
      <w:r w:rsidR="007310E6">
        <w:rPr>
          <w:rFonts w:asciiTheme="minorHAnsi" w:eastAsiaTheme="minorHAnsi" w:hAnsiTheme="minorHAnsi" w:cstheme="minorBidi"/>
          <w:snapToGrid/>
          <w:sz w:val="24"/>
          <w:szCs w:val="22"/>
        </w:rPr>
        <w:t xml:space="preserve">reference to brentuximab vedotin </w:t>
      </w:r>
      <w:r w:rsidR="00DE4A33">
        <w:rPr>
          <w:rFonts w:asciiTheme="minorHAnsi" w:eastAsiaTheme="minorHAnsi" w:hAnsiTheme="minorHAnsi" w:cstheme="minorBidi"/>
          <w:snapToGrid/>
          <w:sz w:val="24"/>
          <w:szCs w:val="22"/>
        </w:rPr>
        <w:t>wa</w:t>
      </w:r>
      <w:r>
        <w:rPr>
          <w:rFonts w:asciiTheme="minorHAnsi" w:eastAsiaTheme="minorHAnsi" w:hAnsiTheme="minorHAnsi" w:cstheme="minorBidi"/>
          <w:snapToGrid/>
          <w:sz w:val="24"/>
          <w:szCs w:val="22"/>
        </w:rPr>
        <w:t xml:space="preserve">s of no relevance to the </w:t>
      </w:r>
      <w:r w:rsidR="00DE4A33">
        <w:rPr>
          <w:rFonts w:asciiTheme="minorHAnsi" w:eastAsiaTheme="minorHAnsi" w:hAnsiTheme="minorHAnsi" w:cstheme="minorBidi"/>
          <w:snapToGrid/>
          <w:sz w:val="24"/>
          <w:szCs w:val="22"/>
        </w:rPr>
        <w:t xml:space="preserve">estimates of </w:t>
      </w:r>
      <w:r>
        <w:rPr>
          <w:rFonts w:asciiTheme="minorHAnsi" w:eastAsiaTheme="minorHAnsi" w:hAnsiTheme="minorHAnsi" w:cstheme="minorBidi"/>
          <w:snapToGrid/>
          <w:sz w:val="24"/>
          <w:szCs w:val="22"/>
        </w:rPr>
        <w:t xml:space="preserve">pembrolizumab </w:t>
      </w:r>
      <w:r w:rsidR="00DE4A33">
        <w:rPr>
          <w:rFonts w:asciiTheme="minorHAnsi" w:eastAsiaTheme="minorHAnsi" w:hAnsiTheme="minorHAnsi" w:cstheme="minorBidi"/>
          <w:snapToGrid/>
          <w:sz w:val="24"/>
          <w:szCs w:val="22"/>
        </w:rPr>
        <w:t xml:space="preserve">because it related to a different </w:t>
      </w:r>
      <w:r w:rsidR="007310E6">
        <w:rPr>
          <w:rFonts w:asciiTheme="minorHAnsi" w:eastAsiaTheme="minorHAnsi" w:hAnsiTheme="minorHAnsi" w:cstheme="minorBidi"/>
          <w:snapToGrid/>
          <w:sz w:val="24"/>
          <w:szCs w:val="22"/>
        </w:rPr>
        <w:t xml:space="preserve">proposed </w:t>
      </w:r>
      <w:r w:rsidR="00DE4A33">
        <w:rPr>
          <w:rFonts w:asciiTheme="minorHAnsi" w:eastAsiaTheme="minorHAnsi" w:hAnsiTheme="minorHAnsi" w:cstheme="minorBidi"/>
          <w:snapToGrid/>
          <w:sz w:val="24"/>
          <w:szCs w:val="22"/>
        </w:rPr>
        <w:t>medicine, with different alternative therapies in a different cancer</w:t>
      </w:r>
      <w:r>
        <w:rPr>
          <w:rFonts w:asciiTheme="minorHAnsi" w:eastAsiaTheme="minorHAnsi" w:hAnsiTheme="minorHAnsi" w:cstheme="minorBidi"/>
          <w:snapToGrid/>
          <w:sz w:val="24"/>
          <w:szCs w:val="22"/>
        </w:rPr>
        <w:t xml:space="preserve">. </w:t>
      </w:r>
      <w:r w:rsidR="007310E6">
        <w:rPr>
          <w:rFonts w:asciiTheme="minorHAnsi" w:eastAsiaTheme="minorHAnsi" w:hAnsiTheme="minorHAnsi" w:cstheme="minorBidi"/>
          <w:snapToGrid/>
          <w:sz w:val="24"/>
          <w:szCs w:val="22"/>
        </w:rPr>
        <w:t>However, overall, t</w:t>
      </w:r>
      <w:r>
        <w:rPr>
          <w:rFonts w:asciiTheme="minorHAnsi" w:eastAsiaTheme="minorHAnsi" w:hAnsiTheme="minorHAnsi" w:cstheme="minorBidi"/>
          <w:snapToGrid/>
          <w:sz w:val="24"/>
          <w:szCs w:val="22"/>
        </w:rPr>
        <w:t xml:space="preserve">he PBAC considered that the pembrolizumab treatment uptake rate assumed by the minor </w:t>
      </w:r>
      <w:r w:rsidR="00984960">
        <w:rPr>
          <w:rFonts w:asciiTheme="minorHAnsi" w:eastAsiaTheme="minorHAnsi" w:hAnsiTheme="minorHAnsi" w:cstheme="minorBidi"/>
          <w:snapToGrid/>
          <w:sz w:val="24"/>
          <w:szCs w:val="22"/>
        </w:rPr>
        <w:t>re</w:t>
      </w:r>
      <w:r>
        <w:rPr>
          <w:rFonts w:asciiTheme="minorHAnsi" w:eastAsiaTheme="minorHAnsi" w:hAnsiTheme="minorHAnsi" w:cstheme="minorBidi"/>
          <w:snapToGrid/>
          <w:sz w:val="24"/>
          <w:szCs w:val="22"/>
        </w:rPr>
        <w:t xml:space="preserve">submission was unrealistically high, given that a proportion of patients may not have </w:t>
      </w:r>
      <w:r w:rsidR="009E61A6">
        <w:rPr>
          <w:rFonts w:asciiTheme="minorHAnsi" w:eastAsiaTheme="minorHAnsi" w:hAnsiTheme="minorHAnsi" w:cstheme="minorBidi"/>
          <w:snapToGrid/>
          <w:sz w:val="24"/>
          <w:szCs w:val="22"/>
        </w:rPr>
        <w:t xml:space="preserve">tumour material </w:t>
      </w:r>
      <w:r>
        <w:rPr>
          <w:rFonts w:asciiTheme="minorHAnsi" w:eastAsiaTheme="minorHAnsi" w:hAnsiTheme="minorHAnsi" w:cstheme="minorBidi"/>
          <w:snapToGrid/>
          <w:sz w:val="24"/>
          <w:szCs w:val="22"/>
        </w:rPr>
        <w:t xml:space="preserve">suitable </w:t>
      </w:r>
      <w:r w:rsidR="009E61A6">
        <w:rPr>
          <w:rFonts w:asciiTheme="minorHAnsi" w:eastAsiaTheme="minorHAnsi" w:hAnsiTheme="minorHAnsi" w:cstheme="minorBidi"/>
          <w:snapToGrid/>
          <w:sz w:val="24"/>
          <w:szCs w:val="22"/>
        </w:rPr>
        <w:t>for PD-L1 expression determination</w:t>
      </w:r>
      <w:r>
        <w:rPr>
          <w:rFonts w:asciiTheme="minorHAnsi" w:eastAsiaTheme="minorHAnsi" w:hAnsiTheme="minorHAnsi" w:cstheme="minorBidi"/>
          <w:snapToGrid/>
          <w:sz w:val="24"/>
          <w:szCs w:val="22"/>
        </w:rPr>
        <w:t xml:space="preserve"> and may not meet the performance status requirements specified in the PBS restriction. </w:t>
      </w:r>
      <w:r w:rsidR="00497908">
        <w:rPr>
          <w:rFonts w:asciiTheme="minorHAnsi" w:eastAsiaTheme="minorHAnsi" w:hAnsiTheme="minorHAnsi" w:cstheme="minorBidi"/>
          <w:snapToGrid/>
          <w:sz w:val="24"/>
          <w:szCs w:val="22"/>
        </w:rPr>
        <w:t xml:space="preserve">Further, </w:t>
      </w:r>
      <w:r w:rsidR="00CB3F90">
        <w:rPr>
          <w:rFonts w:asciiTheme="minorHAnsi" w:eastAsiaTheme="minorHAnsi" w:hAnsiTheme="minorHAnsi" w:cstheme="minorBidi"/>
          <w:snapToGrid/>
          <w:sz w:val="24"/>
          <w:szCs w:val="22"/>
        </w:rPr>
        <w:t xml:space="preserve">the PBAC advised </w:t>
      </w:r>
      <w:r w:rsidR="00497908">
        <w:rPr>
          <w:rFonts w:asciiTheme="minorHAnsi" w:eastAsiaTheme="minorHAnsi" w:hAnsiTheme="minorHAnsi" w:cstheme="minorBidi"/>
          <w:snapToGrid/>
          <w:sz w:val="24"/>
          <w:szCs w:val="22"/>
        </w:rPr>
        <w:t xml:space="preserve">that clinicians may choose chemotherapy rather than immunotherapy for a proportion of patients. </w:t>
      </w:r>
      <w:r>
        <w:rPr>
          <w:rFonts w:asciiTheme="minorHAnsi" w:eastAsiaTheme="minorHAnsi" w:hAnsiTheme="minorHAnsi" w:cstheme="minorBidi"/>
          <w:snapToGrid/>
          <w:sz w:val="24"/>
          <w:szCs w:val="22"/>
        </w:rPr>
        <w:t xml:space="preserve">The PBAC </w:t>
      </w:r>
      <w:r w:rsidR="007310E6">
        <w:rPr>
          <w:rFonts w:asciiTheme="minorHAnsi" w:eastAsiaTheme="minorHAnsi" w:hAnsiTheme="minorHAnsi" w:cstheme="minorBidi"/>
          <w:snapToGrid/>
          <w:sz w:val="24"/>
          <w:szCs w:val="22"/>
        </w:rPr>
        <w:t xml:space="preserve">instead </w:t>
      </w:r>
      <w:r>
        <w:rPr>
          <w:rFonts w:asciiTheme="minorHAnsi" w:eastAsiaTheme="minorHAnsi" w:hAnsiTheme="minorHAnsi" w:cstheme="minorBidi"/>
          <w:snapToGrid/>
          <w:sz w:val="24"/>
          <w:szCs w:val="22"/>
        </w:rPr>
        <w:t>advised that a treatment uptake rate of approximately 65% would be mor</w:t>
      </w:r>
      <w:r w:rsidR="00DE4A33">
        <w:rPr>
          <w:rFonts w:asciiTheme="minorHAnsi" w:eastAsiaTheme="minorHAnsi" w:hAnsiTheme="minorHAnsi" w:cstheme="minorBidi"/>
          <w:snapToGrid/>
          <w:sz w:val="24"/>
          <w:szCs w:val="22"/>
        </w:rPr>
        <w:t>e reasonable for pembrolizumab.</w:t>
      </w:r>
    </w:p>
    <w:p w:rsidR="008F6251" w:rsidRDefault="008F6251" w:rsidP="00FF749D">
      <w:pPr>
        <w:pStyle w:val="ListParagraph"/>
        <w:widowControl/>
        <w:numPr>
          <w:ilvl w:val="1"/>
          <w:numId w:val="5"/>
        </w:numPr>
        <w:spacing w:after="120"/>
        <w:contextualSpacing w:val="0"/>
        <w:rPr>
          <w:rFonts w:asciiTheme="minorHAnsi" w:hAnsiTheme="minorHAnsi"/>
          <w:sz w:val="24"/>
          <w:szCs w:val="24"/>
        </w:rPr>
      </w:pPr>
      <w:r w:rsidRPr="008C6270">
        <w:rPr>
          <w:rFonts w:asciiTheme="minorHAnsi" w:hAnsiTheme="minorHAnsi"/>
          <w:sz w:val="24"/>
          <w:szCs w:val="24"/>
        </w:rPr>
        <w:t>The minor resubmission estimated the number of patients to be grandfathered based on the approach in the following table. This d</w:t>
      </w:r>
      <w:r w:rsidR="00DE4A33">
        <w:rPr>
          <w:rFonts w:asciiTheme="minorHAnsi" w:hAnsiTheme="minorHAnsi"/>
          <w:sz w:val="24"/>
          <w:szCs w:val="24"/>
        </w:rPr>
        <w:t>id</w:t>
      </w:r>
      <w:r w:rsidRPr="008C6270">
        <w:rPr>
          <w:rFonts w:asciiTheme="minorHAnsi" w:hAnsiTheme="minorHAnsi"/>
          <w:sz w:val="24"/>
          <w:szCs w:val="24"/>
        </w:rPr>
        <w:t xml:space="preserve"> not reflect a known number of patients currently taking pembrolizumab on a compassionate use program, but </w:t>
      </w:r>
      <w:r w:rsidR="00FF749D" w:rsidRPr="008C6270">
        <w:rPr>
          <w:rFonts w:asciiTheme="minorHAnsi" w:hAnsiTheme="minorHAnsi"/>
          <w:sz w:val="24"/>
          <w:szCs w:val="24"/>
        </w:rPr>
        <w:t>reflect</w:t>
      </w:r>
      <w:r w:rsidR="00DE4A33">
        <w:rPr>
          <w:rFonts w:asciiTheme="minorHAnsi" w:hAnsiTheme="minorHAnsi"/>
          <w:sz w:val="24"/>
          <w:szCs w:val="24"/>
        </w:rPr>
        <w:t>ed</w:t>
      </w:r>
      <w:r w:rsidR="00FF749D" w:rsidRPr="008C6270">
        <w:rPr>
          <w:rFonts w:asciiTheme="minorHAnsi" w:hAnsiTheme="minorHAnsi"/>
          <w:sz w:val="24"/>
          <w:szCs w:val="24"/>
        </w:rPr>
        <w:t xml:space="preserve"> the proposal in the minor resubmission that the sponsor would create “an early access program (EAP) between the time of a positive PBAC recommendation and the PBS listing date with eligibility criteria being identical to the proposed PBS restriction (March 2018 and August 2018)”. The calculations </w:t>
      </w:r>
      <w:r w:rsidRPr="008C6270">
        <w:rPr>
          <w:rFonts w:asciiTheme="minorHAnsi" w:hAnsiTheme="minorHAnsi"/>
          <w:sz w:val="24"/>
          <w:szCs w:val="24"/>
        </w:rPr>
        <w:t xml:space="preserve">assume that </w:t>
      </w:r>
      <w:r w:rsidR="002F7C2E">
        <w:rPr>
          <w:rFonts w:asciiTheme="minorHAnsi" w:hAnsiTheme="minorHAnsi"/>
          <w:sz w:val="24"/>
          <w:szCs w:val="24"/>
        </w:rPr>
        <w:t xml:space="preserve">a </w:t>
      </w:r>
      <w:r w:rsidRPr="008C6270">
        <w:rPr>
          <w:rFonts w:asciiTheme="minorHAnsi" w:hAnsiTheme="minorHAnsi"/>
          <w:sz w:val="24"/>
          <w:szCs w:val="24"/>
        </w:rPr>
        <w:t>full year</w:t>
      </w:r>
      <w:r w:rsidR="00FF749D" w:rsidRPr="008C6270">
        <w:rPr>
          <w:rFonts w:asciiTheme="minorHAnsi" w:hAnsiTheme="minorHAnsi"/>
          <w:sz w:val="24"/>
          <w:szCs w:val="24"/>
        </w:rPr>
        <w:t>’s worth of patients</w:t>
      </w:r>
      <w:r w:rsidRPr="008C6270">
        <w:rPr>
          <w:rFonts w:asciiTheme="minorHAnsi" w:hAnsiTheme="minorHAnsi"/>
          <w:sz w:val="24"/>
          <w:szCs w:val="24"/>
        </w:rPr>
        <w:t xml:space="preserve"> </w:t>
      </w:r>
      <w:r w:rsidR="00FF749D" w:rsidRPr="008C6270">
        <w:rPr>
          <w:rFonts w:asciiTheme="minorHAnsi" w:hAnsiTheme="minorHAnsi"/>
          <w:sz w:val="24"/>
          <w:szCs w:val="24"/>
        </w:rPr>
        <w:t xml:space="preserve">would be eligible for </w:t>
      </w:r>
      <w:r w:rsidR="00560542" w:rsidRPr="008C6270">
        <w:rPr>
          <w:rFonts w:asciiTheme="minorHAnsi" w:hAnsiTheme="minorHAnsi"/>
          <w:sz w:val="24"/>
          <w:szCs w:val="24"/>
        </w:rPr>
        <w:t>pembrolizumab in this seven month period</w:t>
      </w:r>
      <w:r w:rsidRPr="008C6270">
        <w:rPr>
          <w:rFonts w:asciiTheme="minorHAnsi" w:hAnsiTheme="minorHAnsi"/>
          <w:sz w:val="24"/>
          <w:szCs w:val="24"/>
        </w:rPr>
        <w:t>, and that all eligible patients would start pembrolizumab.</w:t>
      </w:r>
      <w:r w:rsidR="00560542" w:rsidRPr="008C6270">
        <w:rPr>
          <w:rFonts w:asciiTheme="minorHAnsi" w:hAnsiTheme="minorHAnsi"/>
          <w:sz w:val="24"/>
          <w:szCs w:val="24"/>
        </w:rPr>
        <w:t xml:space="preserve"> The minor resubmission d</w:t>
      </w:r>
      <w:r w:rsidR="003B6902">
        <w:rPr>
          <w:rFonts w:asciiTheme="minorHAnsi" w:hAnsiTheme="minorHAnsi"/>
          <w:sz w:val="24"/>
          <w:szCs w:val="24"/>
        </w:rPr>
        <w:t>id</w:t>
      </w:r>
      <w:r w:rsidR="00560542" w:rsidRPr="008C6270">
        <w:rPr>
          <w:rFonts w:asciiTheme="minorHAnsi" w:hAnsiTheme="minorHAnsi"/>
          <w:sz w:val="24"/>
          <w:szCs w:val="24"/>
        </w:rPr>
        <w:t xml:space="preserve"> not state what form of subsidy on the published price would be offered in this proposed EAP, which might affect uptake rates.</w:t>
      </w:r>
    </w:p>
    <w:p w:rsidR="003B6902" w:rsidRDefault="003B6902" w:rsidP="00FF749D">
      <w:pPr>
        <w:pStyle w:val="ListParagraph"/>
        <w:widowControl/>
        <w:numPr>
          <w:ilvl w:val="1"/>
          <w:numId w:val="5"/>
        </w:numPr>
        <w:spacing w:after="120"/>
        <w:contextualSpacing w:val="0"/>
        <w:rPr>
          <w:rFonts w:asciiTheme="minorHAnsi" w:hAnsiTheme="minorHAnsi"/>
          <w:sz w:val="24"/>
          <w:szCs w:val="24"/>
        </w:rPr>
      </w:pPr>
      <w:r>
        <w:rPr>
          <w:rFonts w:asciiTheme="minorHAnsi" w:hAnsiTheme="minorHAnsi"/>
          <w:sz w:val="24"/>
          <w:szCs w:val="24"/>
        </w:rPr>
        <w:t xml:space="preserve">The pre-PBAC response stated that the sponsor </w:t>
      </w:r>
      <w:r w:rsidR="00DE4A33">
        <w:rPr>
          <w:rFonts w:asciiTheme="minorHAnsi" w:hAnsiTheme="minorHAnsi"/>
          <w:sz w:val="24"/>
          <w:szCs w:val="24"/>
        </w:rPr>
        <w:t xml:space="preserve">had </w:t>
      </w:r>
      <w:r>
        <w:rPr>
          <w:rFonts w:asciiTheme="minorHAnsi" w:hAnsiTheme="minorHAnsi"/>
          <w:sz w:val="24"/>
          <w:szCs w:val="24"/>
        </w:rPr>
        <w:t xml:space="preserve">launched </w:t>
      </w:r>
      <w:r w:rsidR="00DE4A33">
        <w:rPr>
          <w:rFonts w:asciiTheme="minorHAnsi" w:hAnsiTheme="minorHAnsi"/>
          <w:sz w:val="24"/>
          <w:szCs w:val="24"/>
        </w:rPr>
        <w:t>its</w:t>
      </w:r>
      <w:r>
        <w:rPr>
          <w:rFonts w:asciiTheme="minorHAnsi" w:hAnsiTheme="minorHAnsi"/>
          <w:sz w:val="24"/>
          <w:szCs w:val="24"/>
        </w:rPr>
        <w:t xml:space="preserve"> EAP in February 2018, with eligibility criteria identical to the requested PBS restriction and the costs of pembrolizumab and PD-L1 testing completely subsidised by the sponsor. </w:t>
      </w:r>
      <w:r w:rsidR="002B3548">
        <w:rPr>
          <w:rFonts w:asciiTheme="minorHAnsi" w:hAnsiTheme="minorHAnsi"/>
          <w:sz w:val="24"/>
          <w:szCs w:val="24"/>
        </w:rPr>
        <w:t>It stated that 46 patients were enrolled in th</w:t>
      </w:r>
      <w:r w:rsidR="009018EC">
        <w:rPr>
          <w:rFonts w:asciiTheme="minorHAnsi" w:hAnsiTheme="minorHAnsi"/>
          <w:sz w:val="24"/>
          <w:szCs w:val="24"/>
        </w:rPr>
        <w:t>e first three weeks of the EAP.</w:t>
      </w:r>
    </w:p>
    <w:p w:rsidR="00C93583" w:rsidRPr="00BD4830" w:rsidRDefault="00132250" w:rsidP="00BD4830">
      <w:pPr>
        <w:pStyle w:val="ListParagraph"/>
        <w:widowControl/>
        <w:numPr>
          <w:ilvl w:val="1"/>
          <w:numId w:val="5"/>
        </w:numPr>
        <w:spacing w:after="120"/>
        <w:contextualSpacing w:val="0"/>
        <w:rPr>
          <w:rFonts w:asciiTheme="minorHAnsi" w:hAnsiTheme="minorHAnsi"/>
          <w:sz w:val="24"/>
          <w:szCs w:val="24"/>
        </w:rPr>
      </w:pPr>
      <w:r w:rsidRPr="002266C9">
        <w:rPr>
          <w:rFonts w:asciiTheme="minorHAnsi" w:hAnsiTheme="minorHAnsi"/>
          <w:sz w:val="24"/>
          <w:szCs w:val="24"/>
        </w:rPr>
        <w:t xml:space="preserve">The PBAC noted that the minor </w:t>
      </w:r>
      <w:r>
        <w:rPr>
          <w:rFonts w:asciiTheme="minorHAnsi" w:hAnsiTheme="minorHAnsi"/>
          <w:sz w:val="24"/>
          <w:szCs w:val="24"/>
        </w:rPr>
        <w:t>re</w:t>
      </w:r>
      <w:r w:rsidRPr="002266C9">
        <w:rPr>
          <w:rFonts w:asciiTheme="minorHAnsi" w:hAnsiTheme="minorHAnsi"/>
          <w:sz w:val="24"/>
          <w:szCs w:val="24"/>
        </w:rPr>
        <w:t xml:space="preserve">submission </w:t>
      </w:r>
      <w:r>
        <w:rPr>
          <w:rFonts w:asciiTheme="minorHAnsi" w:hAnsiTheme="minorHAnsi"/>
          <w:sz w:val="24"/>
          <w:szCs w:val="24"/>
        </w:rPr>
        <w:t xml:space="preserve">included </w:t>
      </w:r>
      <w:r w:rsidRPr="002266C9">
        <w:rPr>
          <w:rFonts w:asciiTheme="minorHAnsi" w:hAnsiTheme="minorHAnsi"/>
          <w:sz w:val="24"/>
          <w:szCs w:val="24"/>
        </w:rPr>
        <w:t xml:space="preserve">grandfathered patients </w:t>
      </w:r>
      <w:r w:rsidR="00B84385">
        <w:rPr>
          <w:rFonts w:asciiTheme="minorHAnsi" w:hAnsiTheme="minorHAnsi"/>
          <w:sz w:val="24"/>
          <w:szCs w:val="24"/>
        </w:rPr>
        <w:t>from</w:t>
      </w:r>
      <w:r w:rsidRPr="002266C9">
        <w:rPr>
          <w:rFonts w:asciiTheme="minorHAnsi" w:hAnsiTheme="minorHAnsi"/>
          <w:sz w:val="24"/>
          <w:szCs w:val="24"/>
        </w:rPr>
        <w:t xml:space="preserve"> th</w:t>
      </w:r>
      <w:r>
        <w:rPr>
          <w:rFonts w:asciiTheme="minorHAnsi" w:hAnsiTheme="minorHAnsi"/>
          <w:sz w:val="24"/>
          <w:szCs w:val="24"/>
        </w:rPr>
        <w:t>e prevalent</w:t>
      </w:r>
      <w:r w:rsidRPr="002266C9">
        <w:rPr>
          <w:rFonts w:asciiTheme="minorHAnsi" w:hAnsiTheme="minorHAnsi"/>
          <w:sz w:val="24"/>
          <w:szCs w:val="24"/>
        </w:rPr>
        <w:t xml:space="preserve"> pool</w:t>
      </w:r>
      <w:r>
        <w:rPr>
          <w:rFonts w:asciiTheme="minorHAnsi" w:hAnsiTheme="minorHAnsi"/>
          <w:sz w:val="24"/>
          <w:szCs w:val="24"/>
        </w:rPr>
        <w:t xml:space="preserve"> in its </w:t>
      </w:r>
      <w:r w:rsidRPr="002266C9">
        <w:rPr>
          <w:rFonts w:asciiTheme="minorHAnsi" w:hAnsiTheme="minorHAnsi"/>
          <w:sz w:val="24"/>
          <w:szCs w:val="24"/>
        </w:rPr>
        <w:t xml:space="preserve">epidemiological approach to estimate the </w:t>
      </w:r>
      <w:r>
        <w:rPr>
          <w:rFonts w:asciiTheme="minorHAnsi" w:hAnsiTheme="minorHAnsi"/>
          <w:sz w:val="24"/>
          <w:szCs w:val="24"/>
        </w:rPr>
        <w:t xml:space="preserve">size of the </w:t>
      </w:r>
      <w:r w:rsidRPr="002266C9">
        <w:rPr>
          <w:rFonts w:asciiTheme="minorHAnsi" w:hAnsiTheme="minorHAnsi"/>
          <w:sz w:val="24"/>
          <w:szCs w:val="24"/>
        </w:rPr>
        <w:t xml:space="preserve">PBS population </w:t>
      </w:r>
      <w:r>
        <w:rPr>
          <w:rFonts w:asciiTheme="minorHAnsi" w:hAnsiTheme="minorHAnsi"/>
          <w:sz w:val="24"/>
          <w:szCs w:val="24"/>
        </w:rPr>
        <w:t xml:space="preserve">which would be eligible for </w:t>
      </w:r>
      <w:r w:rsidRPr="002266C9">
        <w:rPr>
          <w:rFonts w:asciiTheme="minorHAnsi" w:hAnsiTheme="minorHAnsi"/>
          <w:sz w:val="24"/>
          <w:szCs w:val="24"/>
        </w:rPr>
        <w:t xml:space="preserve">pembrolizumab. The PBAC considered that this </w:t>
      </w:r>
      <w:r>
        <w:rPr>
          <w:rFonts w:asciiTheme="minorHAnsi" w:hAnsiTheme="minorHAnsi"/>
          <w:sz w:val="24"/>
          <w:szCs w:val="24"/>
        </w:rPr>
        <w:t>inclusion would affect any proposal to use a risk sharing arrangement to generate an upper cost per patient for pembrolizumab in order to achieve acceptable cost-effectiveness.</w:t>
      </w:r>
    </w:p>
    <w:p w:rsidR="00D939E9" w:rsidRDefault="00D939E9" w:rsidP="00FF749D">
      <w:pPr>
        <w:rPr>
          <w:rFonts w:ascii="Arial Narrow" w:hAnsi="Arial Narrow" w:cs="Arial"/>
          <w:b/>
          <w:sz w:val="20"/>
          <w:lang w:eastAsia="en-US"/>
        </w:rPr>
      </w:pPr>
      <w:r w:rsidRPr="00D660D2">
        <w:rPr>
          <w:rFonts w:ascii="Arial Narrow" w:hAnsi="Arial Narrow" w:cs="Arial"/>
          <w:b/>
          <w:sz w:val="20"/>
          <w:szCs w:val="16"/>
          <w:lang w:eastAsia="en-US"/>
        </w:rPr>
        <w:t>Table</w:t>
      </w:r>
      <w:r w:rsidRPr="00D660D2">
        <w:rPr>
          <w:rFonts w:ascii="Arial Narrow" w:hAnsi="Arial Narrow" w:cs="Arial"/>
          <w:b/>
          <w:sz w:val="20"/>
          <w:lang w:eastAsia="en-US"/>
        </w:rPr>
        <w:t xml:space="preserve"> </w:t>
      </w:r>
      <w:r w:rsidR="006C6CBE">
        <w:rPr>
          <w:rFonts w:ascii="Arial Narrow" w:hAnsi="Arial Narrow" w:cs="Arial"/>
          <w:b/>
          <w:noProof/>
          <w:sz w:val="20"/>
          <w:lang w:eastAsia="en-US"/>
        </w:rPr>
        <w:t>5</w:t>
      </w:r>
      <w:r w:rsidRPr="00D660D2">
        <w:rPr>
          <w:rFonts w:ascii="Arial Narrow" w:hAnsi="Arial Narrow" w:cs="Arial"/>
          <w:b/>
          <w:sz w:val="20"/>
          <w:lang w:eastAsia="en-US"/>
        </w:rPr>
        <w:t xml:space="preserve">: </w:t>
      </w:r>
      <w:r>
        <w:rPr>
          <w:rFonts w:ascii="Arial Narrow" w:hAnsi="Arial Narrow" w:cs="Arial"/>
          <w:b/>
          <w:sz w:val="20"/>
          <w:lang w:eastAsia="en-US"/>
        </w:rPr>
        <w:t>C</w:t>
      </w:r>
      <w:r w:rsidR="00FF749D">
        <w:rPr>
          <w:rFonts w:ascii="Arial Narrow" w:hAnsi="Arial Narrow" w:cs="Arial"/>
          <w:b/>
          <w:sz w:val="20"/>
          <w:lang w:eastAsia="en-US"/>
        </w:rPr>
        <w:t xml:space="preserve">alculation of the number of grandfathered patients </w:t>
      </w:r>
      <w:r>
        <w:rPr>
          <w:rFonts w:ascii="Arial Narrow" w:hAnsi="Arial Narrow" w:cs="Arial"/>
          <w:b/>
          <w:sz w:val="20"/>
          <w:lang w:eastAsia="en-US"/>
        </w:rPr>
        <w:t>in the current minor resubmission</w:t>
      </w:r>
    </w:p>
    <w:tbl>
      <w:tblPr>
        <w:tblW w:w="9072" w:type="dxa"/>
        <w:tblInd w:w="108" w:type="dxa"/>
        <w:tblCellMar>
          <w:left w:w="0" w:type="dxa"/>
          <w:right w:w="0" w:type="dxa"/>
        </w:tblCellMar>
        <w:tblLook w:val="04A0" w:firstRow="1" w:lastRow="0" w:firstColumn="1" w:lastColumn="0" w:noHBand="0" w:noVBand="1"/>
      </w:tblPr>
      <w:tblGrid>
        <w:gridCol w:w="709"/>
        <w:gridCol w:w="7513"/>
        <w:gridCol w:w="850"/>
      </w:tblGrid>
      <w:tr w:rsidR="00FF749D" w:rsidRPr="00FF749D" w:rsidTr="00FF749D">
        <w:trPr>
          <w:trHeight w:val="20"/>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749D" w:rsidRPr="00FF749D" w:rsidRDefault="00FF749D" w:rsidP="0051182F">
            <w:pPr>
              <w:spacing w:line="20" w:lineRule="atLeast"/>
              <w:rPr>
                <w:rFonts w:ascii="Arial Narrow" w:eastAsiaTheme="minorHAnsi" w:hAnsi="Arial Narrow"/>
                <w:sz w:val="20"/>
                <w:szCs w:val="20"/>
                <w:lang w:eastAsia="en-US"/>
              </w:rPr>
            </w:pPr>
            <w:r w:rsidRPr="00FF749D">
              <w:rPr>
                <w:rFonts w:ascii="Arial Narrow" w:hAnsi="Arial Narrow"/>
                <w:color w:val="000000"/>
                <w:sz w:val="20"/>
                <w:szCs w:val="20"/>
              </w:rPr>
              <w:t>A</w:t>
            </w:r>
          </w:p>
        </w:tc>
        <w:tc>
          <w:tcPr>
            <w:tcW w:w="751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FF749D" w:rsidRPr="00FF749D" w:rsidRDefault="00FF749D" w:rsidP="0051182F">
            <w:pPr>
              <w:spacing w:line="20" w:lineRule="atLeast"/>
              <w:rPr>
                <w:rFonts w:ascii="Arial Narrow" w:eastAsiaTheme="minorHAnsi" w:hAnsi="Arial Narrow"/>
                <w:sz w:val="20"/>
                <w:szCs w:val="20"/>
                <w:lang w:eastAsia="en-US"/>
              </w:rPr>
            </w:pPr>
            <w:r w:rsidRPr="00FF749D">
              <w:rPr>
                <w:rFonts w:ascii="Arial Narrow" w:hAnsi="Arial Narrow"/>
                <w:color w:val="000000"/>
                <w:sz w:val="20"/>
                <w:szCs w:val="20"/>
              </w:rPr>
              <w:t>Patients available for grandfathering (same in November sub &amp;PSCR and minor resub)</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749D" w:rsidRPr="00E964DA" w:rsidRDefault="00E964DA" w:rsidP="00FF749D">
            <w:pPr>
              <w:spacing w:line="20" w:lineRule="atLeast"/>
              <w:jc w:val="right"/>
              <w:rPr>
                <w:rFonts w:ascii="Arial Narrow" w:eastAsiaTheme="minorHAnsi" w:hAnsi="Arial Narrow"/>
                <w:sz w:val="20"/>
                <w:szCs w:val="20"/>
                <w:highlight w:val="black"/>
                <w:lang w:eastAsia="en-US"/>
              </w:rPr>
            </w:pPr>
            <w:r>
              <w:rPr>
                <w:rFonts w:ascii="Arial Narrow" w:hAnsi="Arial Narrow"/>
                <w:noProof/>
                <w:color w:val="000000"/>
                <w:sz w:val="20"/>
                <w:szCs w:val="20"/>
                <w:highlight w:val="black"/>
              </w:rPr>
              <w:t>'''''''''''''</w:t>
            </w:r>
          </w:p>
        </w:tc>
      </w:tr>
      <w:tr w:rsidR="00FF749D" w:rsidRPr="00FF749D" w:rsidTr="00FF749D">
        <w:trPr>
          <w:trHeight w:val="2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749D" w:rsidRPr="00FF749D" w:rsidRDefault="00FF749D" w:rsidP="0051182F">
            <w:pPr>
              <w:spacing w:line="20" w:lineRule="atLeast"/>
              <w:rPr>
                <w:rFonts w:ascii="Arial Narrow" w:eastAsiaTheme="minorHAnsi" w:hAnsi="Arial Narrow"/>
                <w:sz w:val="20"/>
                <w:szCs w:val="20"/>
                <w:lang w:eastAsia="en-US"/>
              </w:rPr>
            </w:pPr>
            <w:r w:rsidRPr="00FF749D">
              <w:rPr>
                <w:rFonts w:ascii="Arial Narrow" w:hAnsi="Arial Narrow"/>
                <w:color w:val="000000"/>
                <w:sz w:val="20"/>
                <w:szCs w:val="20"/>
              </w:rPr>
              <w:t>B</w:t>
            </w:r>
          </w:p>
        </w:tc>
        <w:tc>
          <w:tcPr>
            <w:tcW w:w="7513" w:type="dxa"/>
            <w:tcBorders>
              <w:top w:val="nil"/>
              <w:left w:val="nil"/>
              <w:bottom w:val="single" w:sz="8" w:space="0" w:color="auto"/>
              <w:right w:val="single" w:sz="8" w:space="0" w:color="auto"/>
            </w:tcBorders>
            <w:noWrap/>
            <w:tcMar>
              <w:top w:w="0" w:type="dxa"/>
              <w:left w:w="108" w:type="dxa"/>
              <w:bottom w:w="0" w:type="dxa"/>
              <w:right w:w="108" w:type="dxa"/>
            </w:tcMar>
            <w:hideMark/>
          </w:tcPr>
          <w:p w:rsidR="00FF749D" w:rsidRPr="00FF749D" w:rsidRDefault="00FF749D" w:rsidP="0051182F">
            <w:pPr>
              <w:spacing w:line="20" w:lineRule="atLeast"/>
              <w:rPr>
                <w:rFonts w:ascii="Arial Narrow" w:eastAsiaTheme="minorHAnsi" w:hAnsi="Arial Narrow"/>
                <w:sz w:val="20"/>
                <w:szCs w:val="20"/>
                <w:lang w:eastAsia="en-US"/>
              </w:rPr>
            </w:pPr>
            <w:r w:rsidRPr="00FF749D">
              <w:rPr>
                <w:rFonts w:ascii="Arial Narrow" w:hAnsi="Arial Narrow"/>
                <w:color w:val="000000"/>
                <w:sz w:val="20"/>
                <w:szCs w:val="20"/>
              </w:rPr>
              <w:t>Number of patients that are PD-L1 positive (28.5% × A)</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FF749D" w:rsidRPr="00E964DA" w:rsidRDefault="00E964DA" w:rsidP="00FF749D">
            <w:pPr>
              <w:spacing w:line="20" w:lineRule="atLeast"/>
              <w:jc w:val="right"/>
              <w:rPr>
                <w:rFonts w:ascii="Arial Narrow" w:eastAsiaTheme="minorHAnsi" w:hAnsi="Arial Narrow"/>
                <w:sz w:val="20"/>
                <w:szCs w:val="20"/>
                <w:highlight w:val="black"/>
                <w:lang w:eastAsia="en-US"/>
              </w:rPr>
            </w:pPr>
            <w:r>
              <w:rPr>
                <w:rFonts w:ascii="Arial Narrow" w:hAnsi="Arial Narrow"/>
                <w:noProof/>
                <w:color w:val="000000"/>
                <w:sz w:val="20"/>
                <w:szCs w:val="20"/>
                <w:highlight w:val="black"/>
              </w:rPr>
              <w:t>''''''''''</w:t>
            </w:r>
          </w:p>
        </w:tc>
      </w:tr>
      <w:tr w:rsidR="00FF749D" w:rsidRPr="00FF749D" w:rsidTr="00FF749D">
        <w:trPr>
          <w:trHeight w:val="2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749D" w:rsidRPr="00FF749D" w:rsidRDefault="00FF749D" w:rsidP="0051182F">
            <w:pPr>
              <w:spacing w:line="20" w:lineRule="atLeast"/>
              <w:rPr>
                <w:rFonts w:ascii="Arial Narrow" w:eastAsiaTheme="minorHAnsi" w:hAnsi="Arial Narrow"/>
                <w:sz w:val="20"/>
                <w:szCs w:val="20"/>
                <w:lang w:eastAsia="en-US"/>
              </w:rPr>
            </w:pPr>
            <w:r w:rsidRPr="00FF749D">
              <w:rPr>
                <w:rFonts w:ascii="Arial Narrow" w:hAnsi="Arial Narrow"/>
                <w:color w:val="000000"/>
                <w:sz w:val="20"/>
                <w:szCs w:val="20"/>
              </w:rPr>
              <w:t>C</w:t>
            </w:r>
          </w:p>
        </w:tc>
        <w:tc>
          <w:tcPr>
            <w:tcW w:w="7513" w:type="dxa"/>
            <w:tcBorders>
              <w:top w:val="nil"/>
              <w:left w:val="nil"/>
              <w:bottom w:val="single" w:sz="8" w:space="0" w:color="auto"/>
              <w:right w:val="single" w:sz="8" w:space="0" w:color="auto"/>
            </w:tcBorders>
            <w:noWrap/>
            <w:tcMar>
              <w:top w:w="0" w:type="dxa"/>
              <w:left w:w="108" w:type="dxa"/>
              <w:bottom w:w="0" w:type="dxa"/>
              <w:right w:w="108" w:type="dxa"/>
            </w:tcMar>
            <w:hideMark/>
          </w:tcPr>
          <w:p w:rsidR="00FF749D" w:rsidRPr="00FF749D" w:rsidRDefault="00FF749D" w:rsidP="0051182F">
            <w:pPr>
              <w:spacing w:line="20" w:lineRule="atLeast"/>
              <w:rPr>
                <w:rFonts w:ascii="Arial Narrow" w:eastAsiaTheme="minorHAnsi" w:hAnsi="Arial Narrow"/>
                <w:sz w:val="20"/>
                <w:szCs w:val="20"/>
                <w:lang w:eastAsia="en-US"/>
              </w:rPr>
            </w:pPr>
            <w:r w:rsidRPr="00FF749D">
              <w:rPr>
                <w:rFonts w:ascii="Arial Narrow" w:hAnsi="Arial Narrow"/>
                <w:color w:val="000000"/>
                <w:sz w:val="20"/>
                <w:szCs w:val="20"/>
              </w:rPr>
              <w:t>PD-L1+ non-squamous (77.6% × B)</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FF749D" w:rsidRPr="00E964DA" w:rsidRDefault="00E964DA" w:rsidP="00FF749D">
            <w:pPr>
              <w:spacing w:line="20" w:lineRule="atLeast"/>
              <w:jc w:val="right"/>
              <w:rPr>
                <w:rFonts w:ascii="Arial Narrow" w:eastAsiaTheme="minorHAnsi" w:hAnsi="Arial Narrow"/>
                <w:sz w:val="20"/>
                <w:szCs w:val="20"/>
                <w:highlight w:val="black"/>
                <w:lang w:eastAsia="en-US"/>
              </w:rPr>
            </w:pPr>
            <w:r>
              <w:rPr>
                <w:rFonts w:ascii="Arial Narrow" w:hAnsi="Arial Narrow"/>
                <w:noProof/>
                <w:color w:val="000000"/>
                <w:sz w:val="20"/>
                <w:szCs w:val="20"/>
                <w:highlight w:val="black"/>
              </w:rPr>
              <w:t>''''''''''</w:t>
            </w:r>
          </w:p>
        </w:tc>
      </w:tr>
      <w:tr w:rsidR="00FF749D" w:rsidRPr="00FF749D" w:rsidTr="00FF749D">
        <w:trPr>
          <w:trHeight w:val="2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749D" w:rsidRPr="00FF749D" w:rsidRDefault="00FF749D" w:rsidP="0051182F">
            <w:pPr>
              <w:spacing w:line="20" w:lineRule="atLeast"/>
              <w:rPr>
                <w:rFonts w:ascii="Arial Narrow" w:eastAsiaTheme="minorHAnsi" w:hAnsi="Arial Narrow"/>
                <w:sz w:val="20"/>
                <w:szCs w:val="20"/>
                <w:lang w:eastAsia="en-US"/>
              </w:rPr>
            </w:pPr>
            <w:r w:rsidRPr="00FF749D">
              <w:rPr>
                <w:rFonts w:ascii="Arial Narrow" w:hAnsi="Arial Narrow"/>
                <w:color w:val="000000"/>
                <w:sz w:val="20"/>
                <w:szCs w:val="20"/>
              </w:rPr>
              <w:t>D</w:t>
            </w:r>
          </w:p>
        </w:tc>
        <w:tc>
          <w:tcPr>
            <w:tcW w:w="7513" w:type="dxa"/>
            <w:tcBorders>
              <w:top w:val="nil"/>
              <w:left w:val="nil"/>
              <w:bottom w:val="single" w:sz="8" w:space="0" w:color="auto"/>
              <w:right w:val="single" w:sz="8" w:space="0" w:color="auto"/>
            </w:tcBorders>
            <w:noWrap/>
            <w:tcMar>
              <w:top w:w="0" w:type="dxa"/>
              <w:left w:w="108" w:type="dxa"/>
              <w:bottom w:w="0" w:type="dxa"/>
              <w:right w:w="108" w:type="dxa"/>
            </w:tcMar>
            <w:hideMark/>
          </w:tcPr>
          <w:p w:rsidR="00FF749D" w:rsidRPr="00FF749D" w:rsidRDefault="00FF749D" w:rsidP="0051182F">
            <w:pPr>
              <w:spacing w:line="20" w:lineRule="atLeast"/>
              <w:rPr>
                <w:rFonts w:ascii="Arial Narrow" w:eastAsiaTheme="minorHAnsi" w:hAnsi="Arial Narrow"/>
                <w:sz w:val="20"/>
                <w:szCs w:val="20"/>
                <w:lang w:eastAsia="en-US"/>
              </w:rPr>
            </w:pPr>
            <w:r w:rsidRPr="00FF749D">
              <w:rPr>
                <w:rFonts w:ascii="Arial Narrow" w:hAnsi="Arial Narrow"/>
                <w:color w:val="000000"/>
                <w:sz w:val="20"/>
                <w:szCs w:val="20"/>
              </w:rPr>
              <w:t>PD-L1+ non-squamous, EGFR- and ALK- (83.5% × C)</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FF749D" w:rsidRPr="00E964DA" w:rsidRDefault="00E964DA" w:rsidP="00FF749D">
            <w:pPr>
              <w:spacing w:line="20" w:lineRule="atLeast"/>
              <w:jc w:val="right"/>
              <w:rPr>
                <w:rFonts w:ascii="Arial Narrow" w:eastAsiaTheme="minorHAnsi" w:hAnsi="Arial Narrow"/>
                <w:sz w:val="20"/>
                <w:szCs w:val="20"/>
                <w:highlight w:val="black"/>
                <w:lang w:eastAsia="en-US"/>
              </w:rPr>
            </w:pPr>
            <w:r>
              <w:rPr>
                <w:rFonts w:ascii="Arial Narrow" w:hAnsi="Arial Narrow"/>
                <w:noProof/>
                <w:color w:val="000000"/>
                <w:sz w:val="20"/>
                <w:szCs w:val="20"/>
                <w:highlight w:val="black"/>
              </w:rPr>
              <w:t>'''''''''</w:t>
            </w:r>
          </w:p>
        </w:tc>
      </w:tr>
      <w:tr w:rsidR="00FF749D" w:rsidRPr="00FF749D" w:rsidTr="00FF749D">
        <w:trPr>
          <w:trHeight w:val="2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749D" w:rsidRPr="00FF749D" w:rsidRDefault="00FF749D" w:rsidP="0051182F">
            <w:pPr>
              <w:spacing w:line="20" w:lineRule="atLeast"/>
              <w:rPr>
                <w:rFonts w:ascii="Arial Narrow" w:eastAsiaTheme="minorHAnsi" w:hAnsi="Arial Narrow"/>
                <w:sz w:val="20"/>
                <w:szCs w:val="20"/>
                <w:lang w:eastAsia="en-US"/>
              </w:rPr>
            </w:pPr>
            <w:r w:rsidRPr="00FF749D">
              <w:rPr>
                <w:rFonts w:ascii="Arial Narrow" w:hAnsi="Arial Narrow"/>
                <w:color w:val="000000"/>
                <w:sz w:val="20"/>
                <w:szCs w:val="20"/>
              </w:rPr>
              <w:t>E</w:t>
            </w:r>
          </w:p>
        </w:tc>
        <w:tc>
          <w:tcPr>
            <w:tcW w:w="7513" w:type="dxa"/>
            <w:tcBorders>
              <w:top w:val="nil"/>
              <w:left w:val="nil"/>
              <w:bottom w:val="single" w:sz="8" w:space="0" w:color="auto"/>
              <w:right w:val="single" w:sz="8" w:space="0" w:color="auto"/>
            </w:tcBorders>
            <w:noWrap/>
            <w:tcMar>
              <w:top w:w="0" w:type="dxa"/>
              <w:left w:w="108" w:type="dxa"/>
              <w:bottom w:w="0" w:type="dxa"/>
              <w:right w:w="108" w:type="dxa"/>
            </w:tcMar>
            <w:hideMark/>
          </w:tcPr>
          <w:p w:rsidR="00FF749D" w:rsidRPr="00FF749D" w:rsidRDefault="00FF749D" w:rsidP="0051182F">
            <w:pPr>
              <w:spacing w:line="20" w:lineRule="atLeast"/>
              <w:rPr>
                <w:rFonts w:ascii="Arial Narrow" w:eastAsiaTheme="minorHAnsi" w:hAnsi="Arial Narrow"/>
                <w:sz w:val="20"/>
                <w:szCs w:val="20"/>
                <w:lang w:eastAsia="en-US"/>
              </w:rPr>
            </w:pPr>
            <w:r w:rsidRPr="00FF749D">
              <w:rPr>
                <w:rFonts w:ascii="Arial Narrow" w:hAnsi="Arial Narrow"/>
                <w:color w:val="000000"/>
                <w:sz w:val="20"/>
                <w:szCs w:val="20"/>
              </w:rPr>
              <w:t>PD-L1+ squamous (22.4% × A)</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FF749D" w:rsidRPr="00E964DA" w:rsidRDefault="00E964DA" w:rsidP="00FF749D">
            <w:pPr>
              <w:spacing w:line="20" w:lineRule="atLeast"/>
              <w:jc w:val="right"/>
              <w:rPr>
                <w:rFonts w:ascii="Arial Narrow" w:eastAsiaTheme="minorHAnsi" w:hAnsi="Arial Narrow"/>
                <w:sz w:val="20"/>
                <w:szCs w:val="20"/>
                <w:highlight w:val="black"/>
                <w:lang w:eastAsia="en-US"/>
              </w:rPr>
            </w:pPr>
            <w:r>
              <w:rPr>
                <w:rFonts w:ascii="Arial Narrow" w:hAnsi="Arial Narrow"/>
                <w:noProof/>
                <w:color w:val="000000"/>
                <w:sz w:val="20"/>
                <w:szCs w:val="20"/>
                <w:highlight w:val="black"/>
              </w:rPr>
              <w:t>'''''</w:t>
            </w:r>
          </w:p>
        </w:tc>
      </w:tr>
      <w:tr w:rsidR="00FF749D" w:rsidRPr="00FF749D" w:rsidTr="00FF749D">
        <w:trPr>
          <w:trHeight w:val="2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749D" w:rsidRPr="00FF749D" w:rsidRDefault="00FF749D" w:rsidP="0051182F">
            <w:pPr>
              <w:spacing w:line="20" w:lineRule="atLeast"/>
              <w:rPr>
                <w:rFonts w:ascii="Arial Narrow" w:eastAsiaTheme="minorHAnsi" w:hAnsi="Arial Narrow"/>
                <w:sz w:val="20"/>
                <w:szCs w:val="20"/>
                <w:lang w:eastAsia="en-US"/>
              </w:rPr>
            </w:pPr>
            <w:r w:rsidRPr="00FF749D">
              <w:rPr>
                <w:rFonts w:ascii="Arial Narrow" w:hAnsi="Arial Narrow"/>
                <w:color w:val="000000"/>
                <w:sz w:val="20"/>
                <w:szCs w:val="20"/>
              </w:rPr>
              <w:t>F</w:t>
            </w:r>
          </w:p>
        </w:tc>
        <w:tc>
          <w:tcPr>
            <w:tcW w:w="7513" w:type="dxa"/>
            <w:tcBorders>
              <w:top w:val="nil"/>
              <w:left w:val="nil"/>
              <w:bottom w:val="single" w:sz="8" w:space="0" w:color="auto"/>
              <w:right w:val="single" w:sz="8" w:space="0" w:color="auto"/>
            </w:tcBorders>
            <w:noWrap/>
            <w:tcMar>
              <w:top w:w="0" w:type="dxa"/>
              <w:left w:w="108" w:type="dxa"/>
              <w:bottom w:w="0" w:type="dxa"/>
              <w:right w:w="108" w:type="dxa"/>
            </w:tcMar>
            <w:hideMark/>
          </w:tcPr>
          <w:p w:rsidR="00FF749D" w:rsidRPr="00FF749D" w:rsidRDefault="00FF749D" w:rsidP="0051182F">
            <w:pPr>
              <w:spacing w:line="20" w:lineRule="atLeast"/>
              <w:rPr>
                <w:rFonts w:ascii="Arial Narrow" w:eastAsiaTheme="minorHAnsi" w:hAnsi="Arial Narrow"/>
                <w:sz w:val="20"/>
                <w:szCs w:val="20"/>
                <w:lang w:eastAsia="en-US"/>
              </w:rPr>
            </w:pPr>
            <w:r w:rsidRPr="00FF749D">
              <w:rPr>
                <w:rFonts w:ascii="Arial Narrow" w:hAnsi="Arial Narrow"/>
                <w:color w:val="000000"/>
                <w:sz w:val="20"/>
                <w:szCs w:val="20"/>
              </w:rPr>
              <w:t>Patients that would have received chemo (60% × (D + E))</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FF749D" w:rsidRPr="00E964DA" w:rsidRDefault="00E964DA" w:rsidP="00FF749D">
            <w:pPr>
              <w:spacing w:line="20" w:lineRule="atLeast"/>
              <w:jc w:val="right"/>
              <w:rPr>
                <w:rFonts w:ascii="Arial Narrow" w:eastAsiaTheme="minorHAnsi" w:hAnsi="Arial Narrow"/>
                <w:sz w:val="20"/>
                <w:szCs w:val="20"/>
                <w:highlight w:val="black"/>
                <w:lang w:eastAsia="en-US"/>
              </w:rPr>
            </w:pPr>
            <w:r>
              <w:rPr>
                <w:rFonts w:ascii="Arial Narrow" w:hAnsi="Arial Narrow"/>
                <w:noProof/>
                <w:color w:val="000000"/>
                <w:sz w:val="20"/>
                <w:szCs w:val="20"/>
                <w:highlight w:val="black"/>
              </w:rPr>
              <w:t>''''''''''</w:t>
            </w:r>
          </w:p>
        </w:tc>
      </w:tr>
      <w:tr w:rsidR="00FF749D" w:rsidRPr="00FF749D" w:rsidTr="00FF749D">
        <w:trPr>
          <w:trHeight w:val="2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749D" w:rsidRPr="00FF749D" w:rsidRDefault="00FF749D" w:rsidP="0051182F">
            <w:pPr>
              <w:spacing w:line="20" w:lineRule="atLeast"/>
              <w:rPr>
                <w:rFonts w:ascii="Arial Narrow" w:eastAsiaTheme="minorHAnsi" w:hAnsi="Arial Narrow"/>
                <w:sz w:val="20"/>
                <w:szCs w:val="20"/>
                <w:lang w:eastAsia="en-US"/>
              </w:rPr>
            </w:pPr>
            <w:r w:rsidRPr="00FF749D">
              <w:rPr>
                <w:rFonts w:ascii="Arial Narrow" w:hAnsi="Arial Narrow"/>
                <w:color w:val="000000"/>
                <w:sz w:val="20"/>
                <w:szCs w:val="20"/>
              </w:rPr>
              <w:t>G</w:t>
            </w:r>
          </w:p>
        </w:tc>
        <w:tc>
          <w:tcPr>
            <w:tcW w:w="7513" w:type="dxa"/>
            <w:tcBorders>
              <w:top w:val="nil"/>
              <w:left w:val="nil"/>
              <w:bottom w:val="single" w:sz="8" w:space="0" w:color="auto"/>
              <w:right w:val="single" w:sz="8" w:space="0" w:color="auto"/>
            </w:tcBorders>
            <w:noWrap/>
            <w:tcMar>
              <w:top w:w="0" w:type="dxa"/>
              <w:left w:w="108" w:type="dxa"/>
              <w:bottom w:w="0" w:type="dxa"/>
              <w:right w:w="108" w:type="dxa"/>
            </w:tcMar>
            <w:hideMark/>
          </w:tcPr>
          <w:p w:rsidR="00FF749D" w:rsidRPr="00FF749D" w:rsidRDefault="00FF749D" w:rsidP="00851F1E">
            <w:pPr>
              <w:spacing w:line="20" w:lineRule="atLeast"/>
              <w:rPr>
                <w:rFonts w:ascii="Arial Narrow" w:eastAsiaTheme="minorHAnsi" w:hAnsi="Arial Narrow"/>
                <w:sz w:val="20"/>
                <w:szCs w:val="20"/>
                <w:lang w:eastAsia="en-US"/>
              </w:rPr>
            </w:pPr>
            <w:r w:rsidRPr="00FF749D">
              <w:rPr>
                <w:rFonts w:ascii="Arial Narrow" w:hAnsi="Arial Narrow"/>
                <w:color w:val="000000"/>
                <w:sz w:val="20"/>
                <w:szCs w:val="20"/>
              </w:rPr>
              <w:t>Patients that w</w:t>
            </w:r>
            <w:r w:rsidR="00851F1E">
              <w:rPr>
                <w:rFonts w:ascii="Arial Narrow" w:hAnsi="Arial Narrow"/>
                <w:color w:val="000000"/>
                <w:sz w:val="20"/>
                <w:szCs w:val="20"/>
              </w:rPr>
              <w:t>ould</w:t>
            </w:r>
            <w:r w:rsidRPr="00FF749D">
              <w:rPr>
                <w:rFonts w:ascii="Arial Narrow" w:hAnsi="Arial Narrow"/>
                <w:color w:val="000000"/>
                <w:sz w:val="20"/>
                <w:szCs w:val="20"/>
              </w:rPr>
              <w:t xml:space="preserve"> uptake pembro (83.5% × (D + E))</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FF749D" w:rsidRPr="00E964DA" w:rsidRDefault="00E964DA" w:rsidP="00FF749D">
            <w:pPr>
              <w:spacing w:line="20" w:lineRule="atLeast"/>
              <w:jc w:val="right"/>
              <w:rPr>
                <w:rFonts w:ascii="Arial Narrow" w:eastAsiaTheme="minorHAnsi" w:hAnsi="Arial Narrow"/>
                <w:sz w:val="20"/>
                <w:szCs w:val="20"/>
                <w:highlight w:val="black"/>
                <w:lang w:eastAsia="en-US"/>
              </w:rPr>
            </w:pPr>
            <w:r>
              <w:rPr>
                <w:rFonts w:ascii="Arial Narrow" w:hAnsi="Arial Narrow"/>
                <w:noProof/>
                <w:color w:val="000000"/>
                <w:sz w:val="20"/>
                <w:szCs w:val="20"/>
                <w:highlight w:val="black"/>
              </w:rPr>
              <w:t>''''''''</w:t>
            </w:r>
          </w:p>
        </w:tc>
      </w:tr>
      <w:tr w:rsidR="00FF749D" w:rsidRPr="00FF749D" w:rsidTr="00FF749D">
        <w:trPr>
          <w:trHeight w:val="2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749D" w:rsidRPr="00FF749D" w:rsidRDefault="00FF749D" w:rsidP="0051182F">
            <w:pPr>
              <w:spacing w:line="20" w:lineRule="atLeast"/>
              <w:rPr>
                <w:rFonts w:ascii="Arial Narrow" w:eastAsiaTheme="minorHAnsi" w:hAnsi="Arial Narrow"/>
                <w:sz w:val="20"/>
                <w:szCs w:val="20"/>
                <w:lang w:eastAsia="en-US"/>
              </w:rPr>
            </w:pPr>
            <w:r w:rsidRPr="00FF749D">
              <w:rPr>
                <w:rFonts w:ascii="Arial Narrow" w:hAnsi="Arial Narrow"/>
                <w:color w:val="000000"/>
                <w:sz w:val="20"/>
                <w:szCs w:val="20"/>
              </w:rPr>
              <w:t>H</w:t>
            </w:r>
          </w:p>
        </w:tc>
        <w:tc>
          <w:tcPr>
            <w:tcW w:w="7513" w:type="dxa"/>
            <w:tcBorders>
              <w:top w:val="nil"/>
              <w:left w:val="nil"/>
              <w:bottom w:val="single" w:sz="8" w:space="0" w:color="auto"/>
              <w:right w:val="single" w:sz="8" w:space="0" w:color="auto"/>
            </w:tcBorders>
            <w:noWrap/>
            <w:tcMar>
              <w:top w:w="0" w:type="dxa"/>
              <w:left w:w="108" w:type="dxa"/>
              <w:bottom w:w="0" w:type="dxa"/>
              <w:right w:w="108" w:type="dxa"/>
            </w:tcMar>
            <w:hideMark/>
          </w:tcPr>
          <w:p w:rsidR="00FF749D" w:rsidRPr="00FF749D" w:rsidRDefault="00FF749D" w:rsidP="00851F1E">
            <w:pPr>
              <w:spacing w:line="20" w:lineRule="atLeast"/>
              <w:rPr>
                <w:rFonts w:ascii="Arial Narrow" w:eastAsiaTheme="minorHAnsi" w:hAnsi="Arial Narrow"/>
                <w:sz w:val="20"/>
                <w:szCs w:val="20"/>
                <w:lang w:eastAsia="en-US"/>
              </w:rPr>
            </w:pPr>
            <w:r w:rsidRPr="00FF749D">
              <w:rPr>
                <w:rFonts w:ascii="Arial Narrow" w:hAnsi="Arial Narrow"/>
                <w:color w:val="000000"/>
                <w:sz w:val="20"/>
                <w:szCs w:val="20"/>
              </w:rPr>
              <w:t>Therefore, patients who would uptake pembro, who would</w:t>
            </w:r>
            <w:r w:rsidR="00851F1E">
              <w:rPr>
                <w:rFonts w:ascii="Arial Narrow" w:hAnsi="Arial Narrow"/>
                <w:color w:val="000000"/>
                <w:sz w:val="20"/>
                <w:szCs w:val="20"/>
              </w:rPr>
              <w:t xml:space="preserve"> </w:t>
            </w:r>
            <w:r w:rsidRPr="00FF749D">
              <w:rPr>
                <w:rFonts w:ascii="Arial Narrow" w:hAnsi="Arial Narrow"/>
                <w:color w:val="000000"/>
                <w:sz w:val="20"/>
                <w:szCs w:val="20"/>
              </w:rPr>
              <w:t>n</w:t>
            </w:r>
            <w:r w:rsidR="00851F1E">
              <w:rPr>
                <w:rFonts w:ascii="Arial Narrow" w:hAnsi="Arial Narrow"/>
                <w:color w:val="000000"/>
                <w:sz w:val="20"/>
                <w:szCs w:val="20"/>
              </w:rPr>
              <w:t>o</w:t>
            </w:r>
            <w:r w:rsidRPr="00FF749D">
              <w:rPr>
                <w:rFonts w:ascii="Arial Narrow" w:hAnsi="Arial Narrow"/>
                <w:color w:val="000000"/>
                <w:sz w:val="20"/>
                <w:szCs w:val="20"/>
              </w:rPr>
              <w:t>t uptake chemo (G - F)</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FF749D" w:rsidRPr="00E964DA" w:rsidRDefault="00E964DA" w:rsidP="00FF749D">
            <w:pPr>
              <w:spacing w:line="20" w:lineRule="atLeast"/>
              <w:jc w:val="right"/>
              <w:rPr>
                <w:rFonts w:ascii="Arial Narrow" w:eastAsiaTheme="minorHAnsi" w:hAnsi="Arial Narrow"/>
                <w:sz w:val="20"/>
                <w:szCs w:val="20"/>
                <w:highlight w:val="black"/>
                <w:lang w:eastAsia="en-US"/>
              </w:rPr>
            </w:pPr>
            <w:r>
              <w:rPr>
                <w:rFonts w:ascii="Arial Narrow" w:hAnsi="Arial Narrow"/>
                <w:noProof/>
                <w:color w:val="000000"/>
                <w:sz w:val="20"/>
                <w:szCs w:val="20"/>
                <w:highlight w:val="black"/>
              </w:rPr>
              <w:t>''''''</w:t>
            </w:r>
          </w:p>
        </w:tc>
      </w:tr>
    </w:tbl>
    <w:p w:rsidR="00593B92" w:rsidRDefault="00F249AF" w:rsidP="00FF749D">
      <w:pPr>
        <w:pStyle w:val="ListParagraph"/>
        <w:widowControl/>
        <w:numPr>
          <w:ilvl w:val="1"/>
          <w:numId w:val="5"/>
        </w:numPr>
        <w:spacing w:before="120" w:after="120"/>
        <w:contextualSpacing w:val="0"/>
        <w:rPr>
          <w:rFonts w:asciiTheme="minorHAnsi" w:hAnsiTheme="minorHAnsi"/>
          <w:sz w:val="24"/>
          <w:szCs w:val="24"/>
        </w:rPr>
      </w:pPr>
      <w:r>
        <w:rPr>
          <w:rFonts w:asciiTheme="minorHAnsi" w:hAnsiTheme="minorHAnsi"/>
          <w:sz w:val="24"/>
          <w:szCs w:val="24"/>
        </w:rPr>
        <w:t>A comparison of the net cost to the PBS as a result of listing pembrolizumab estimated in the November 2017 Pre-Subcommittee Response</w:t>
      </w:r>
      <w:r w:rsidR="0088784F">
        <w:rPr>
          <w:rFonts w:asciiTheme="minorHAnsi" w:hAnsiTheme="minorHAnsi"/>
          <w:sz w:val="24"/>
          <w:szCs w:val="24"/>
        </w:rPr>
        <w:t xml:space="preserve"> (PSCR)</w:t>
      </w:r>
      <w:r>
        <w:rPr>
          <w:rFonts w:asciiTheme="minorHAnsi" w:hAnsiTheme="minorHAnsi"/>
          <w:sz w:val="24"/>
          <w:szCs w:val="24"/>
        </w:rPr>
        <w:t xml:space="preserve"> and the current minor resubmission is presented below.</w:t>
      </w:r>
    </w:p>
    <w:p w:rsidR="0088784F" w:rsidRPr="003B0266" w:rsidRDefault="0088784F" w:rsidP="00D660D2">
      <w:pPr>
        <w:widowControl w:val="0"/>
        <w:snapToGrid w:val="0"/>
        <w:jc w:val="both"/>
        <w:rPr>
          <w:rFonts w:ascii="Arial Narrow" w:hAnsi="Arial Narrow" w:cs="Arial"/>
          <w:b/>
          <w:sz w:val="20"/>
          <w:vertAlign w:val="superscript"/>
          <w:lang w:eastAsia="en-US"/>
        </w:rPr>
      </w:pPr>
      <w:r w:rsidRPr="00D660D2">
        <w:rPr>
          <w:rFonts w:ascii="Arial Narrow" w:hAnsi="Arial Narrow" w:cs="Arial"/>
          <w:b/>
          <w:sz w:val="20"/>
          <w:szCs w:val="16"/>
          <w:lang w:eastAsia="en-US"/>
        </w:rPr>
        <w:t>Table</w:t>
      </w:r>
      <w:r w:rsidRPr="00D660D2">
        <w:rPr>
          <w:rFonts w:ascii="Arial Narrow" w:hAnsi="Arial Narrow" w:cs="Arial"/>
          <w:b/>
          <w:sz w:val="20"/>
          <w:lang w:eastAsia="en-US"/>
        </w:rPr>
        <w:t xml:space="preserve"> </w:t>
      </w:r>
      <w:r w:rsidR="00D939E9">
        <w:rPr>
          <w:rFonts w:ascii="Arial Narrow" w:hAnsi="Arial Narrow" w:cs="Arial"/>
          <w:b/>
          <w:sz w:val="20"/>
          <w:lang w:eastAsia="en-US"/>
        </w:rPr>
        <w:t>6</w:t>
      </w:r>
      <w:r w:rsidRPr="00D660D2">
        <w:rPr>
          <w:rFonts w:ascii="Arial Narrow" w:hAnsi="Arial Narrow" w:cs="Arial"/>
          <w:b/>
          <w:sz w:val="20"/>
          <w:lang w:eastAsia="en-US"/>
        </w:rPr>
        <w:t xml:space="preserve">: </w:t>
      </w:r>
      <w:r w:rsidR="00B97EF8">
        <w:rPr>
          <w:rFonts w:ascii="Arial Narrow" w:hAnsi="Arial Narrow" w:cs="Arial"/>
          <w:b/>
          <w:sz w:val="20"/>
          <w:lang w:eastAsia="en-US"/>
        </w:rPr>
        <w:t>Comparison of net cost to the PBS as presented in the PSCR to the November 2017 PBAC meeting and in</w:t>
      </w:r>
      <w:r w:rsidR="008F6251">
        <w:rPr>
          <w:rFonts w:ascii="Arial Narrow" w:hAnsi="Arial Narrow" w:cs="Arial"/>
          <w:b/>
          <w:sz w:val="20"/>
          <w:lang w:eastAsia="en-US"/>
        </w:rPr>
        <w:t xml:space="preserve"> the current minor resubmission</w:t>
      </w:r>
      <w:r w:rsidR="00D939E9">
        <w:rPr>
          <w:rFonts w:ascii="Arial Narrow" w:hAnsi="Arial Narrow" w:cs="Arial"/>
          <w:b/>
          <w:sz w:val="20"/>
          <w:lang w:eastAsia="en-US"/>
        </w:rPr>
        <w:t xml:space="preserve"> </w:t>
      </w:r>
      <w:r w:rsidR="00D939E9" w:rsidRPr="00D939E9">
        <w:rPr>
          <w:rFonts w:ascii="Arial Narrow" w:hAnsi="Arial Narrow" w:cs="Arial"/>
          <w:b/>
          <w:i/>
          <w:sz w:val="20"/>
          <w:lang w:eastAsia="en-US"/>
        </w:rPr>
        <w:t>and updated with fee changes occurring on 1 January 2018</w:t>
      </w:r>
      <w:r w:rsidR="003B0266">
        <w:rPr>
          <w:rFonts w:ascii="Arial Narrow" w:hAnsi="Arial Narrow" w:cs="Arial"/>
          <w:b/>
          <w:i/>
          <w:sz w:val="20"/>
          <w:vertAlign w:val="superscript"/>
          <w:lang w:eastAsia="en-US"/>
        </w:rPr>
        <w: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710"/>
        <w:gridCol w:w="1228"/>
        <w:gridCol w:w="1230"/>
        <w:gridCol w:w="1230"/>
        <w:gridCol w:w="1228"/>
        <w:gridCol w:w="1230"/>
        <w:gridCol w:w="1226"/>
      </w:tblGrid>
      <w:tr w:rsidR="00F249AF" w:rsidRPr="00534D45" w:rsidTr="0088784F">
        <w:trPr>
          <w:trHeight w:val="255"/>
        </w:trPr>
        <w:tc>
          <w:tcPr>
            <w:tcW w:w="941" w:type="pct"/>
            <w:tcBorders>
              <w:top w:val="single" w:sz="4" w:space="0" w:color="auto"/>
              <w:left w:val="single" w:sz="4" w:space="0" w:color="auto"/>
              <w:bottom w:val="single" w:sz="4" w:space="0" w:color="auto"/>
              <w:right w:val="single" w:sz="4" w:space="0" w:color="auto"/>
            </w:tcBorders>
            <w:noWrap/>
            <w:vAlign w:val="center"/>
            <w:hideMark/>
          </w:tcPr>
          <w:p w:rsidR="00F249AF" w:rsidRPr="00534D45" w:rsidRDefault="00F249AF" w:rsidP="00F249AF">
            <w:pPr>
              <w:pStyle w:val="NoSpacing"/>
              <w:jc w:val="left"/>
              <w:rPr>
                <w:rFonts w:ascii="Arial Narrow" w:hAnsi="Arial Narrow" w:cs="Arial"/>
                <w:b/>
                <w:sz w:val="20"/>
                <w:szCs w:val="20"/>
              </w:rPr>
            </w:pPr>
            <w:r w:rsidRPr="00534D45">
              <w:rPr>
                <w:rFonts w:ascii="Arial Narrow" w:hAnsi="Arial Narrow" w:cs="Arial"/>
                <w:b/>
                <w:sz w:val="20"/>
                <w:szCs w:val="20"/>
              </w:rPr>
              <w:t>Net cost to PBS</w:t>
            </w:r>
          </w:p>
        </w:tc>
        <w:tc>
          <w:tcPr>
            <w:tcW w:w="676" w:type="pct"/>
            <w:tcBorders>
              <w:top w:val="single" w:sz="4" w:space="0" w:color="auto"/>
              <w:left w:val="single" w:sz="4" w:space="0" w:color="auto"/>
              <w:bottom w:val="single" w:sz="4" w:space="0" w:color="auto"/>
              <w:right w:val="single" w:sz="4" w:space="0" w:color="auto"/>
            </w:tcBorders>
            <w:vAlign w:val="center"/>
            <w:hideMark/>
          </w:tcPr>
          <w:p w:rsidR="00F249AF" w:rsidRPr="00534D45" w:rsidRDefault="00F249AF" w:rsidP="00F249AF">
            <w:pPr>
              <w:pStyle w:val="NoSpacing"/>
              <w:jc w:val="center"/>
              <w:rPr>
                <w:rFonts w:ascii="Arial Narrow" w:hAnsi="Arial Narrow" w:cs="Arial"/>
                <w:b/>
                <w:sz w:val="20"/>
                <w:szCs w:val="20"/>
              </w:rPr>
            </w:pPr>
            <w:r w:rsidRPr="00534D45">
              <w:rPr>
                <w:rFonts w:ascii="Arial Narrow" w:hAnsi="Arial Narrow" w:cs="Arial"/>
                <w:b/>
                <w:sz w:val="20"/>
                <w:szCs w:val="20"/>
              </w:rPr>
              <w:t>Year 1</w:t>
            </w:r>
          </w:p>
        </w:tc>
        <w:tc>
          <w:tcPr>
            <w:tcW w:w="677" w:type="pct"/>
            <w:tcBorders>
              <w:top w:val="single" w:sz="4" w:space="0" w:color="auto"/>
              <w:left w:val="single" w:sz="4" w:space="0" w:color="auto"/>
              <w:bottom w:val="single" w:sz="4" w:space="0" w:color="auto"/>
              <w:right w:val="single" w:sz="4" w:space="0" w:color="auto"/>
            </w:tcBorders>
            <w:vAlign w:val="center"/>
            <w:hideMark/>
          </w:tcPr>
          <w:p w:rsidR="00F249AF" w:rsidRPr="00534D45" w:rsidRDefault="00F249AF" w:rsidP="00F249AF">
            <w:pPr>
              <w:pStyle w:val="NoSpacing"/>
              <w:jc w:val="center"/>
              <w:rPr>
                <w:rFonts w:ascii="Arial Narrow" w:hAnsi="Arial Narrow" w:cs="Arial"/>
                <w:b/>
                <w:sz w:val="20"/>
                <w:szCs w:val="20"/>
              </w:rPr>
            </w:pPr>
            <w:r w:rsidRPr="00534D45">
              <w:rPr>
                <w:rFonts w:ascii="Arial Narrow" w:hAnsi="Arial Narrow" w:cs="Arial"/>
                <w:b/>
                <w:sz w:val="20"/>
                <w:szCs w:val="20"/>
              </w:rPr>
              <w:t>Year 2</w:t>
            </w:r>
          </w:p>
        </w:tc>
        <w:tc>
          <w:tcPr>
            <w:tcW w:w="677" w:type="pct"/>
            <w:tcBorders>
              <w:top w:val="single" w:sz="4" w:space="0" w:color="auto"/>
              <w:left w:val="single" w:sz="4" w:space="0" w:color="auto"/>
              <w:bottom w:val="single" w:sz="4" w:space="0" w:color="auto"/>
              <w:right w:val="single" w:sz="4" w:space="0" w:color="auto"/>
            </w:tcBorders>
            <w:vAlign w:val="center"/>
            <w:hideMark/>
          </w:tcPr>
          <w:p w:rsidR="00F249AF" w:rsidRPr="00534D45" w:rsidRDefault="00F249AF" w:rsidP="00F249AF">
            <w:pPr>
              <w:pStyle w:val="NoSpacing"/>
              <w:jc w:val="center"/>
              <w:rPr>
                <w:rFonts w:ascii="Arial Narrow" w:hAnsi="Arial Narrow" w:cs="Arial"/>
                <w:b/>
                <w:sz w:val="20"/>
                <w:szCs w:val="20"/>
              </w:rPr>
            </w:pPr>
            <w:r w:rsidRPr="00534D45">
              <w:rPr>
                <w:rFonts w:ascii="Arial Narrow" w:hAnsi="Arial Narrow" w:cs="Arial"/>
                <w:b/>
                <w:sz w:val="20"/>
                <w:szCs w:val="20"/>
              </w:rPr>
              <w:t>Year 3</w:t>
            </w:r>
          </w:p>
        </w:tc>
        <w:tc>
          <w:tcPr>
            <w:tcW w:w="676" w:type="pct"/>
            <w:tcBorders>
              <w:top w:val="single" w:sz="4" w:space="0" w:color="auto"/>
              <w:left w:val="single" w:sz="4" w:space="0" w:color="auto"/>
              <w:bottom w:val="single" w:sz="4" w:space="0" w:color="auto"/>
              <w:right w:val="single" w:sz="4" w:space="0" w:color="auto"/>
            </w:tcBorders>
            <w:vAlign w:val="center"/>
            <w:hideMark/>
          </w:tcPr>
          <w:p w:rsidR="00F249AF" w:rsidRPr="00534D45" w:rsidRDefault="00F249AF" w:rsidP="00F249AF">
            <w:pPr>
              <w:pStyle w:val="NoSpacing"/>
              <w:jc w:val="center"/>
              <w:rPr>
                <w:rFonts w:ascii="Arial Narrow" w:hAnsi="Arial Narrow" w:cs="Arial"/>
                <w:b/>
                <w:sz w:val="20"/>
                <w:szCs w:val="20"/>
              </w:rPr>
            </w:pPr>
            <w:r w:rsidRPr="00534D45">
              <w:rPr>
                <w:rFonts w:ascii="Arial Narrow" w:hAnsi="Arial Narrow" w:cs="Arial"/>
                <w:b/>
                <w:sz w:val="20"/>
                <w:szCs w:val="20"/>
              </w:rPr>
              <w:t>Year 4</w:t>
            </w:r>
          </w:p>
        </w:tc>
        <w:tc>
          <w:tcPr>
            <w:tcW w:w="677" w:type="pct"/>
            <w:tcBorders>
              <w:top w:val="single" w:sz="4" w:space="0" w:color="auto"/>
              <w:left w:val="single" w:sz="4" w:space="0" w:color="auto"/>
              <w:bottom w:val="single" w:sz="4" w:space="0" w:color="auto"/>
              <w:right w:val="single" w:sz="4" w:space="0" w:color="auto"/>
            </w:tcBorders>
            <w:vAlign w:val="center"/>
            <w:hideMark/>
          </w:tcPr>
          <w:p w:rsidR="00F249AF" w:rsidRPr="00534D45" w:rsidRDefault="00F249AF" w:rsidP="00F249AF">
            <w:pPr>
              <w:pStyle w:val="NoSpacing"/>
              <w:jc w:val="center"/>
              <w:rPr>
                <w:rFonts w:ascii="Arial Narrow" w:hAnsi="Arial Narrow" w:cs="Arial"/>
                <w:b/>
                <w:sz w:val="20"/>
                <w:szCs w:val="20"/>
              </w:rPr>
            </w:pPr>
            <w:r w:rsidRPr="00534D45">
              <w:rPr>
                <w:rFonts w:ascii="Arial Narrow" w:hAnsi="Arial Narrow" w:cs="Arial"/>
                <w:b/>
                <w:sz w:val="20"/>
                <w:szCs w:val="20"/>
              </w:rPr>
              <w:t>Year 5</w:t>
            </w:r>
          </w:p>
        </w:tc>
        <w:tc>
          <w:tcPr>
            <w:tcW w:w="675" w:type="pct"/>
            <w:tcBorders>
              <w:top w:val="single" w:sz="4" w:space="0" w:color="auto"/>
              <w:left w:val="single" w:sz="4" w:space="0" w:color="auto"/>
              <w:bottom w:val="single" w:sz="4" w:space="0" w:color="auto"/>
              <w:right w:val="single" w:sz="4" w:space="0" w:color="auto"/>
            </w:tcBorders>
            <w:vAlign w:val="center"/>
            <w:hideMark/>
          </w:tcPr>
          <w:p w:rsidR="00F249AF" w:rsidRPr="00534D45" w:rsidRDefault="00F249AF" w:rsidP="00F249AF">
            <w:pPr>
              <w:pStyle w:val="NoSpacing"/>
              <w:jc w:val="center"/>
              <w:rPr>
                <w:rFonts w:ascii="Arial Narrow" w:hAnsi="Arial Narrow" w:cs="Arial"/>
                <w:b/>
                <w:sz w:val="20"/>
                <w:szCs w:val="20"/>
              </w:rPr>
            </w:pPr>
            <w:r w:rsidRPr="00534D45">
              <w:rPr>
                <w:rFonts w:ascii="Arial Narrow" w:hAnsi="Arial Narrow" w:cs="Arial"/>
                <w:b/>
                <w:sz w:val="20"/>
                <w:szCs w:val="20"/>
              </w:rPr>
              <w:t>Year 6</w:t>
            </w:r>
          </w:p>
        </w:tc>
      </w:tr>
      <w:tr w:rsidR="00534D45" w:rsidRPr="00534D45" w:rsidTr="00534D45">
        <w:trPr>
          <w:trHeight w:val="255"/>
        </w:trPr>
        <w:tc>
          <w:tcPr>
            <w:tcW w:w="941" w:type="pct"/>
            <w:tcBorders>
              <w:top w:val="single" w:sz="4" w:space="0" w:color="auto"/>
              <w:left w:val="single" w:sz="4" w:space="0" w:color="auto"/>
              <w:bottom w:val="single" w:sz="4" w:space="0" w:color="auto"/>
              <w:right w:val="single" w:sz="4" w:space="0" w:color="auto"/>
            </w:tcBorders>
            <w:noWrap/>
            <w:vAlign w:val="center"/>
            <w:hideMark/>
          </w:tcPr>
          <w:p w:rsidR="00534D45" w:rsidRPr="00534D45" w:rsidRDefault="00534D45" w:rsidP="00F249AF">
            <w:pPr>
              <w:pStyle w:val="NoSpacing"/>
              <w:jc w:val="left"/>
              <w:rPr>
                <w:rFonts w:ascii="Arial Narrow" w:hAnsi="Arial Narrow" w:cs="Arial"/>
                <w:sz w:val="20"/>
                <w:szCs w:val="20"/>
              </w:rPr>
            </w:pPr>
            <w:r w:rsidRPr="00534D45">
              <w:rPr>
                <w:rFonts w:ascii="Arial Narrow" w:hAnsi="Arial Narrow" w:cs="Arial"/>
                <w:sz w:val="20"/>
                <w:szCs w:val="20"/>
              </w:rPr>
              <w:t>Nov 2017 PSCR</w:t>
            </w:r>
            <w:r>
              <w:rPr>
                <w:rStyle w:val="FootnoteReference"/>
                <w:rFonts w:ascii="Arial Narrow" w:hAnsi="Arial Narrow" w:cs="Arial"/>
                <w:sz w:val="20"/>
                <w:szCs w:val="20"/>
              </w:rPr>
              <w:footnoteReference w:id="4"/>
            </w:r>
          </w:p>
        </w:tc>
        <w:tc>
          <w:tcPr>
            <w:tcW w:w="676" w:type="pct"/>
            <w:tcBorders>
              <w:top w:val="single" w:sz="4" w:space="0" w:color="auto"/>
              <w:left w:val="single" w:sz="4" w:space="0" w:color="auto"/>
              <w:bottom w:val="single" w:sz="4" w:space="0" w:color="auto"/>
              <w:right w:val="single" w:sz="4" w:space="0" w:color="auto"/>
            </w:tcBorders>
            <w:vAlign w:val="center"/>
            <w:hideMark/>
          </w:tcPr>
          <w:p w:rsidR="00534D45" w:rsidRPr="00E964DA" w:rsidRDefault="00E964DA" w:rsidP="00534D45">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77" w:type="pct"/>
            <w:tcBorders>
              <w:top w:val="single" w:sz="4" w:space="0" w:color="auto"/>
              <w:left w:val="single" w:sz="4" w:space="0" w:color="auto"/>
              <w:bottom w:val="single" w:sz="4" w:space="0" w:color="auto"/>
              <w:right w:val="single" w:sz="4" w:space="0" w:color="auto"/>
            </w:tcBorders>
            <w:vAlign w:val="center"/>
            <w:hideMark/>
          </w:tcPr>
          <w:p w:rsidR="00534D45" w:rsidRPr="00E964DA" w:rsidRDefault="00E964DA" w:rsidP="00534D45">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77" w:type="pct"/>
            <w:tcBorders>
              <w:top w:val="single" w:sz="4" w:space="0" w:color="auto"/>
              <w:left w:val="single" w:sz="4" w:space="0" w:color="auto"/>
              <w:bottom w:val="single" w:sz="4" w:space="0" w:color="auto"/>
              <w:right w:val="single" w:sz="4" w:space="0" w:color="auto"/>
            </w:tcBorders>
            <w:vAlign w:val="center"/>
            <w:hideMark/>
          </w:tcPr>
          <w:p w:rsidR="00534D45" w:rsidRPr="00E964DA" w:rsidRDefault="00E964DA" w:rsidP="00534D45">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76" w:type="pct"/>
            <w:tcBorders>
              <w:top w:val="single" w:sz="4" w:space="0" w:color="auto"/>
              <w:left w:val="single" w:sz="4" w:space="0" w:color="auto"/>
              <w:bottom w:val="single" w:sz="4" w:space="0" w:color="auto"/>
              <w:right w:val="single" w:sz="4" w:space="0" w:color="auto"/>
            </w:tcBorders>
            <w:vAlign w:val="center"/>
            <w:hideMark/>
          </w:tcPr>
          <w:p w:rsidR="00534D45" w:rsidRPr="00E964DA" w:rsidRDefault="00E964DA" w:rsidP="00534D45">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77" w:type="pct"/>
            <w:tcBorders>
              <w:top w:val="single" w:sz="4" w:space="0" w:color="auto"/>
              <w:left w:val="single" w:sz="4" w:space="0" w:color="auto"/>
              <w:bottom w:val="single" w:sz="4" w:space="0" w:color="auto"/>
              <w:right w:val="single" w:sz="4" w:space="0" w:color="auto"/>
            </w:tcBorders>
            <w:vAlign w:val="center"/>
            <w:hideMark/>
          </w:tcPr>
          <w:p w:rsidR="00534D45" w:rsidRPr="00E964DA" w:rsidRDefault="00E964DA" w:rsidP="00534D45">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75" w:type="pct"/>
            <w:tcBorders>
              <w:top w:val="single" w:sz="4" w:space="0" w:color="auto"/>
              <w:left w:val="single" w:sz="4" w:space="0" w:color="auto"/>
              <w:bottom w:val="single" w:sz="4" w:space="0" w:color="auto"/>
              <w:right w:val="single" w:sz="4" w:space="0" w:color="auto"/>
            </w:tcBorders>
            <w:noWrap/>
            <w:vAlign w:val="center"/>
            <w:hideMark/>
          </w:tcPr>
          <w:p w:rsidR="00534D45" w:rsidRPr="00E964DA" w:rsidRDefault="00E964DA" w:rsidP="00534D45">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F249AF" w:rsidRPr="00534D45" w:rsidTr="0088784F">
        <w:trPr>
          <w:trHeight w:val="255"/>
        </w:trPr>
        <w:tc>
          <w:tcPr>
            <w:tcW w:w="941" w:type="pct"/>
            <w:tcBorders>
              <w:top w:val="single" w:sz="4" w:space="0" w:color="auto"/>
              <w:left w:val="single" w:sz="4" w:space="0" w:color="auto"/>
              <w:bottom w:val="single" w:sz="4" w:space="0" w:color="auto"/>
              <w:right w:val="single" w:sz="4" w:space="0" w:color="auto"/>
            </w:tcBorders>
            <w:noWrap/>
            <w:vAlign w:val="center"/>
          </w:tcPr>
          <w:p w:rsidR="00F249AF" w:rsidRPr="00534D45" w:rsidRDefault="00F249AF" w:rsidP="00F249AF">
            <w:pPr>
              <w:pStyle w:val="NoSpacing"/>
              <w:jc w:val="left"/>
              <w:rPr>
                <w:rFonts w:ascii="Arial Narrow" w:hAnsi="Arial Narrow" w:cs="Arial"/>
                <w:sz w:val="20"/>
                <w:szCs w:val="20"/>
              </w:rPr>
            </w:pPr>
            <w:r w:rsidRPr="00534D45">
              <w:rPr>
                <w:rFonts w:ascii="Arial Narrow" w:hAnsi="Arial Narrow" w:cs="Arial"/>
                <w:sz w:val="20"/>
                <w:szCs w:val="20"/>
              </w:rPr>
              <w:t>Minor resubmission</w:t>
            </w:r>
          </w:p>
        </w:tc>
        <w:tc>
          <w:tcPr>
            <w:tcW w:w="676" w:type="pct"/>
            <w:tcBorders>
              <w:top w:val="single" w:sz="4" w:space="0" w:color="auto"/>
              <w:left w:val="single" w:sz="4" w:space="0" w:color="auto"/>
              <w:bottom w:val="single" w:sz="4" w:space="0" w:color="auto"/>
              <w:right w:val="single" w:sz="4" w:space="0" w:color="auto"/>
            </w:tcBorders>
            <w:vAlign w:val="center"/>
          </w:tcPr>
          <w:p w:rsidR="00F249AF" w:rsidRPr="00E964DA" w:rsidRDefault="00E964DA" w:rsidP="00F249AF">
            <w:pPr>
              <w:pStyle w:val="NoSpacing"/>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77" w:type="pct"/>
            <w:tcBorders>
              <w:top w:val="single" w:sz="4" w:space="0" w:color="auto"/>
              <w:left w:val="single" w:sz="4" w:space="0" w:color="auto"/>
              <w:bottom w:val="single" w:sz="4" w:space="0" w:color="auto"/>
              <w:right w:val="single" w:sz="4" w:space="0" w:color="auto"/>
            </w:tcBorders>
            <w:vAlign w:val="center"/>
          </w:tcPr>
          <w:p w:rsidR="00F249AF" w:rsidRPr="00E964DA" w:rsidRDefault="00E964DA" w:rsidP="00F249AF">
            <w:pPr>
              <w:pStyle w:val="NoSpacing"/>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77" w:type="pct"/>
            <w:tcBorders>
              <w:top w:val="single" w:sz="4" w:space="0" w:color="auto"/>
              <w:left w:val="single" w:sz="4" w:space="0" w:color="auto"/>
              <w:bottom w:val="single" w:sz="4" w:space="0" w:color="auto"/>
              <w:right w:val="single" w:sz="4" w:space="0" w:color="auto"/>
            </w:tcBorders>
            <w:vAlign w:val="center"/>
          </w:tcPr>
          <w:p w:rsidR="00F249AF" w:rsidRPr="00E964DA" w:rsidRDefault="00E964DA" w:rsidP="00F249AF">
            <w:pPr>
              <w:pStyle w:val="NoSpacing"/>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76" w:type="pct"/>
            <w:tcBorders>
              <w:top w:val="single" w:sz="4" w:space="0" w:color="auto"/>
              <w:left w:val="single" w:sz="4" w:space="0" w:color="auto"/>
              <w:bottom w:val="single" w:sz="4" w:space="0" w:color="auto"/>
              <w:right w:val="single" w:sz="4" w:space="0" w:color="auto"/>
            </w:tcBorders>
            <w:vAlign w:val="center"/>
          </w:tcPr>
          <w:p w:rsidR="00F249AF" w:rsidRPr="00E964DA" w:rsidRDefault="00E964DA" w:rsidP="00F249AF">
            <w:pPr>
              <w:pStyle w:val="NoSpacing"/>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77" w:type="pct"/>
            <w:tcBorders>
              <w:top w:val="single" w:sz="4" w:space="0" w:color="auto"/>
              <w:left w:val="single" w:sz="4" w:space="0" w:color="auto"/>
              <w:bottom w:val="single" w:sz="4" w:space="0" w:color="auto"/>
              <w:right w:val="single" w:sz="4" w:space="0" w:color="auto"/>
            </w:tcBorders>
            <w:vAlign w:val="center"/>
          </w:tcPr>
          <w:p w:rsidR="00F249AF" w:rsidRPr="00E964DA" w:rsidRDefault="00E964DA" w:rsidP="00F249AF">
            <w:pPr>
              <w:pStyle w:val="NoSpacing"/>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75" w:type="pct"/>
            <w:tcBorders>
              <w:top w:val="single" w:sz="4" w:space="0" w:color="auto"/>
              <w:left w:val="single" w:sz="4" w:space="0" w:color="auto"/>
              <w:bottom w:val="single" w:sz="4" w:space="0" w:color="auto"/>
              <w:right w:val="single" w:sz="4" w:space="0" w:color="auto"/>
            </w:tcBorders>
            <w:noWrap/>
            <w:vAlign w:val="center"/>
          </w:tcPr>
          <w:p w:rsidR="00F249AF" w:rsidRPr="00E964DA" w:rsidRDefault="00E964DA" w:rsidP="00F249AF">
            <w:pPr>
              <w:pStyle w:val="NoSpacing"/>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D939E9" w:rsidTr="00D939E9">
        <w:trPr>
          <w:trHeight w:val="255"/>
        </w:trPr>
        <w:tc>
          <w:tcPr>
            <w:tcW w:w="941" w:type="pct"/>
            <w:tcBorders>
              <w:top w:val="single" w:sz="4" w:space="0" w:color="auto"/>
              <w:left w:val="single" w:sz="4" w:space="0" w:color="auto"/>
              <w:bottom w:val="single" w:sz="4" w:space="0" w:color="auto"/>
              <w:right w:val="single" w:sz="4" w:space="0" w:color="auto"/>
            </w:tcBorders>
            <w:noWrap/>
            <w:vAlign w:val="center"/>
          </w:tcPr>
          <w:p w:rsidR="00D939E9" w:rsidRPr="00D939E9" w:rsidRDefault="00D939E9" w:rsidP="00D939E9">
            <w:pPr>
              <w:pStyle w:val="NoSpacing"/>
              <w:jc w:val="left"/>
              <w:rPr>
                <w:rFonts w:ascii="Arial Narrow" w:hAnsi="Arial Narrow" w:cs="Arial"/>
                <w:i/>
                <w:sz w:val="20"/>
                <w:szCs w:val="20"/>
              </w:rPr>
            </w:pPr>
            <w:r w:rsidRPr="00D939E9">
              <w:rPr>
                <w:rFonts w:ascii="Arial Narrow" w:hAnsi="Arial Narrow" w:cs="Arial"/>
                <w:i/>
                <w:sz w:val="20"/>
                <w:szCs w:val="20"/>
              </w:rPr>
              <w:t>Updated copayment</w:t>
            </w:r>
          </w:p>
        </w:tc>
        <w:tc>
          <w:tcPr>
            <w:tcW w:w="676" w:type="pct"/>
            <w:tcBorders>
              <w:top w:val="single" w:sz="4" w:space="0" w:color="auto"/>
              <w:left w:val="single" w:sz="4" w:space="0" w:color="auto"/>
              <w:bottom w:val="single" w:sz="4" w:space="0" w:color="auto"/>
              <w:right w:val="single" w:sz="4" w:space="0" w:color="auto"/>
            </w:tcBorders>
            <w:vAlign w:val="center"/>
          </w:tcPr>
          <w:p w:rsidR="00D939E9" w:rsidRPr="00E964DA" w:rsidRDefault="00E964DA">
            <w:pPr>
              <w:pStyle w:val="NoSpacing"/>
              <w:jc w:val="center"/>
              <w:rPr>
                <w:rFonts w:ascii="Arial Narrow" w:hAnsi="Arial Narrow" w:cs="Arial"/>
                <w:i/>
                <w:sz w:val="20"/>
                <w:szCs w:val="20"/>
                <w:highlight w:val="black"/>
              </w:rPr>
            </w:pPr>
            <w:r>
              <w:rPr>
                <w:rFonts w:ascii="Arial Narrow" w:hAnsi="Arial Narrow" w:cs="Arial"/>
                <w:i/>
                <w:noProof/>
                <w:color w:val="000000"/>
                <w:sz w:val="20"/>
                <w:szCs w:val="20"/>
                <w:highlight w:val="black"/>
              </w:rPr>
              <w:t>''''''''''''''''''''''''''''</w:t>
            </w:r>
          </w:p>
        </w:tc>
        <w:tc>
          <w:tcPr>
            <w:tcW w:w="677" w:type="pct"/>
            <w:tcBorders>
              <w:top w:val="single" w:sz="4" w:space="0" w:color="auto"/>
              <w:left w:val="single" w:sz="4" w:space="0" w:color="auto"/>
              <w:bottom w:val="single" w:sz="4" w:space="0" w:color="auto"/>
              <w:right w:val="single" w:sz="4" w:space="0" w:color="auto"/>
            </w:tcBorders>
            <w:vAlign w:val="center"/>
          </w:tcPr>
          <w:p w:rsidR="00D939E9" w:rsidRPr="00E964DA" w:rsidRDefault="00E964DA">
            <w:pPr>
              <w:pStyle w:val="NoSpacing"/>
              <w:jc w:val="center"/>
              <w:rPr>
                <w:rFonts w:ascii="Arial Narrow" w:hAnsi="Arial Narrow" w:cs="Arial"/>
                <w:i/>
                <w:sz w:val="20"/>
                <w:szCs w:val="20"/>
                <w:highlight w:val="black"/>
              </w:rPr>
            </w:pPr>
            <w:r>
              <w:rPr>
                <w:rFonts w:ascii="Arial Narrow" w:hAnsi="Arial Narrow" w:cs="Arial"/>
                <w:i/>
                <w:noProof/>
                <w:color w:val="000000"/>
                <w:sz w:val="20"/>
                <w:szCs w:val="20"/>
                <w:highlight w:val="black"/>
              </w:rPr>
              <w:t>'''''''''''''''''''''''''''</w:t>
            </w:r>
          </w:p>
        </w:tc>
        <w:tc>
          <w:tcPr>
            <w:tcW w:w="677" w:type="pct"/>
            <w:tcBorders>
              <w:top w:val="single" w:sz="4" w:space="0" w:color="auto"/>
              <w:left w:val="single" w:sz="4" w:space="0" w:color="auto"/>
              <w:bottom w:val="single" w:sz="4" w:space="0" w:color="auto"/>
              <w:right w:val="single" w:sz="4" w:space="0" w:color="auto"/>
            </w:tcBorders>
            <w:vAlign w:val="center"/>
          </w:tcPr>
          <w:p w:rsidR="00D939E9" w:rsidRPr="00E964DA" w:rsidRDefault="00E964DA">
            <w:pPr>
              <w:pStyle w:val="NoSpacing"/>
              <w:jc w:val="center"/>
              <w:rPr>
                <w:rFonts w:ascii="Arial Narrow" w:hAnsi="Arial Narrow" w:cs="Arial"/>
                <w:i/>
                <w:sz w:val="20"/>
                <w:szCs w:val="20"/>
                <w:highlight w:val="black"/>
              </w:rPr>
            </w:pPr>
            <w:r>
              <w:rPr>
                <w:rFonts w:ascii="Arial Narrow" w:hAnsi="Arial Narrow" w:cs="Arial"/>
                <w:i/>
                <w:noProof/>
                <w:color w:val="000000"/>
                <w:sz w:val="20"/>
                <w:szCs w:val="20"/>
                <w:highlight w:val="black"/>
              </w:rPr>
              <w:t>''''''''''''''''''''''''''''</w:t>
            </w:r>
          </w:p>
        </w:tc>
        <w:tc>
          <w:tcPr>
            <w:tcW w:w="676" w:type="pct"/>
            <w:tcBorders>
              <w:top w:val="single" w:sz="4" w:space="0" w:color="auto"/>
              <w:left w:val="single" w:sz="4" w:space="0" w:color="auto"/>
              <w:bottom w:val="single" w:sz="4" w:space="0" w:color="auto"/>
              <w:right w:val="single" w:sz="4" w:space="0" w:color="auto"/>
            </w:tcBorders>
            <w:vAlign w:val="center"/>
          </w:tcPr>
          <w:p w:rsidR="00D939E9" w:rsidRPr="00E964DA" w:rsidRDefault="00E964DA">
            <w:pPr>
              <w:pStyle w:val="NoSpacing"/>
              <w:jc w:val="center"/>
              <w:rPr>
                <w:rFonts w:ascii="Arial Narrow" w:hAnsi="Arial Narrow" w:cs="Arial"/>
                <w:i/>
                <w:sz w:val="20"/>
                <w:szCs w:val="20"/>
                <w:highlight w:val="black"/>
              </w:rPr>
            </w:pPr>
            <w:r>
              <w:rPr>
                <w:rFonts w:ascii="Arial Narrow" w:hAnsi="Arial Narrow" w:cs="Arial"/>
                <w:i/>
                <w:noProof/>
                <w:color w:val="000000"/>
                <w:sz w:val="20"/>
                <w:szCs w:val="20"/>
                <w:highlight w:val="black"/>
              </w:rPr>
              <w:t>''''''''''''''''''''''''''''''''</w:t>
            </w:r>
          </w:p>
        </w:tc>
        <w:tc>
          <w:tcPr>
            <w:tcW w:w="677" w:type="pct"/>
            <w:tcBorders>
              <w:top w:val="single" w:sz="4" w:space="0" w:color="auto"/>
              <w:left w:val="single" w:sz="4" w:space="0" w:color="auto"/>
              <w:bottom w:val="single" w:sz="4" w:space="0" w:color="auto"/>
              <w:right w:val="single" w:sz="4" w:space="0" w:color="auto"/>
            </w:tcBorders>
            <w:vAlign w:val="center"/>
          </w:tcPr>
          <w:p w:rsidR="00D939E9" w:rsidRPr="00E964DA" w:rsidRDefault="00E964DA">
            <w:pPr>
              <w:pStyle w:val="NoSpacing"/>
              <w:jc w:val="center"/>
              <w:rPr>
                <w:rFonts w:ascii="Arial Narrow" w:hAnsi="Arial Narrow" w:cs="Arial"/>
                <w:i/>
                <w:sz w:val="20"/>
                <w:szCs w:val="20"/>
                <w:highlight w:val="black"/>
              </w:rPr>
            </w:pPr>
            <w:r>
              <w:rPr>
                <w:rFonts w:ascii="Arial Narrow" w:hAnsi="Arial Narrow" w:cs="Arial"/>
                <w:i/>
                <w:noProof/>
                <w:color w:val="000000"/>
                <w:sz w:val="20"/>
                <w:szCs w:val="20"/>
                <w:highlight w:val="black"/>
              </w:rPr>
              <w:t>''''''''''''''''''''''''''''''''</w:t>
            </w:r>
          </w:p>
        </w:tc>
        <w:tc>
          <w:tcPr>
            <w:tcW w:w="675" w:type="pct"/>
            <w:tcBorders>
              <w:top w:val="single" w:sz="4" w:space="0" w:color="auto"/>
              <w:left w:val="single" w:sz="4" w:space="0" w:color="auto"/>
              <w:bottom w:val="single" w:sz="4" w:space="0" w:color="auto"/>
              <w:right w:val="single" w:sz="4" w:space="0" w:color="auto"/>
            </w:tcBorders>
            <w:noWrap/>
            <w:vAlign w:val="center"/>
          </w:tcPr>
          <w:p w:rsidR="00D939E9" w:rsidRPr="00E964DA" w:rsidRDefault="00E964DA">
            <w:pPr>
              <w:pStyle w:val="NoSpacing"/>
              <w:jc w:val="center"/>
              <w:rPr>
                <w:rFonts w:ascii="Arial Narrow" w:hAnsi="Arial Narrow" w:cs="Arial"/>
                <w:i/>
                <w:sz w:val="20"/>
                <w:szCs w:val="20"/>
                <w:highlight w:val="black"/>
              </w:rPr>
            </w:pPr>
            <w:r>
              <w:rPr>
                <w:rFonts w:ascii="Arial Narrow" w:hAnsi="Arial Narrow" w:cs="Arial"/>
                <w:i/>
                <w:noProof/>
                <w:color w:val="000000"/>
                <w:sz w:val="20"/>
                <w:szCs w:val="20"/>
                <w:highlight w:val="black"/>
              </w:rPr>
              <w:t>'''''''''''''''''''''''''''''</w:t>
            </w:r>
          </w:p>
        </w:tc>
      </w:tr>
      <w:tr w:rsidR="00D939E9" w:rsidTr="00D939E9">
        <w:trPr>
          <w:trHeight w:val="255"/>
        </w:trPr>
        <w:tc>
          <w:tcPr>
            <w:tcW w:w="941" w:type="pct"/>
            <w:tcBorders>
              <w:top w:val="single" w:sz="4" w:space="0" w:color="auto"/>
              <w:left w:val="single" w:sz="4" w:space="0" w:color="auto"/>
              <w:bottom w:val="single" w:sz="4" w:space="0" w:color="auto"/>
              <w:right w:val="single" w:sz="4" w:space="0" w:color="auto"/>
            </w:tcBorders>
            <w:noWrap/>
            <w:vAlign w:val="center"/>
          </w:tcPr>
          <w:p w:rsidR="00D939E9" w:rsidRPr="00D939E9" w:rsidRDefault="00D939E9">
            <w:pPr>
              <w:pStyle w:val="NoSpacing"/>
              <w:jc w:val="left"/>
              <w:rPr>
                <w:rFonts w:ascii="Arial Narrow" w:hAnsi="Arial Narrow" w:cs="Arial"/>
                <w:i/>
                <w:sz w:val="20"/>
                <w:szCs w:val="20"/>
              </w:rPr>
            </w:pPr>
            <w:r w:rsidRPr="00D939E9">
              <w:rPr>
                <w:rFonts w:ascii="Arial Narrow" w:hAnsi="Arial Narrow" w:cs="Arial"/>
                <w:i/>
                <w:sz w:val="20"/>
                <w:szCs w:val="20"/>
              </w:rPr>
              <w:t>Updated EFC fees</w:t>
            </w:r>
          </w:p>
        </w:tc>
        <w:tc>
          <w:tcPr>
            <w:tcW w:w="676" w:type="pct"/>
            <w:tcBorders>
              <w:top w:val="single" w:sz="4" w:space="0" w:color="auto"/>
              <w:left w:val="single" w:sz="4" w:space="0" w:color="auto"/>
              <w:bottom w:val="single" w:sz="4" w:space="0" w:color="auto"/>
              <w:right w:val="single" w:sz="4" w:space="0" w:color="auto"/>
            </w:tcBorders>
            <w:vAlign w:val="center"/>
          </w:tcPr>
          <w:p w:rsidR="00D939E9" w:rsidRPr="00E964DA" w:rsidRDefault="00E964DA">
            <w:pPr>
              <w:pStyle w:val="NoSpacing"/>
              <w:jc w:val="center"/>
              <w:rPr>
                <w:rFonts w:ascii="Arial Narrow" w:hAnsi="Arial Narrow" w:cs="Arial"/>
                <w:i/>
                <w:sz w:val="20"/>
                <w:szCs w:val="20"/>
                <w:highlight w:val="black"/>
              </w:rPr>
            </w:pPr>
            <w:r>
              <w:rPr>
                <w:rFonts w:ascii="Arial Narrow" w:hAnsi="Arial Narrow" w:cs="Arial"/>
                <w:i/>
                <w:noProof/>
                <w:color w:val="000000"/>
                <w:sz w:val="20"/>
                <w:szCs w:val="20"/>
                <w:highlight w:val="black"/>
              </w:rPr>
              <w:t>''''''''''''''''''''''''''''</w:t>
            </w:r>
          </w:p>
        </w:tc>
        <w:tc>
          <w:tcPr>
            <w:tcW w:w="677" w:type="pct"/>
            <w:tcBorders>
              <w:top w:val="single" w:sz="4" w:space="0" w:color="auto"/>
              <w:left w:val="single" w:sz="4" w:space="0" w:color="auto"/>
              <w:bottom w:val="single" w:sz="4" w:space="0" w:color="auto"/>
              <w:right w:val="single" w:sz="4" w:space="0" w:color="auto"/>
            </w:tcBorders>
            <w:vAlign w:val="center"/>
          </w:tcPr>
          <w:p w:rsidR="00D939E9" w:rsidRPr="00E964DA" w:rsidRDefault="00E964DA">
            <w:pPr>
              <w:pStyle w:val="NoSpacing"/>
              <w:jc w:val="center"/>
              <w:rPr>
                <w:rFonts w:ascii="Arial Narrow" w:hAnsi="Arial Narrow" w:cs="Arial"/>
                <w:i/>
                <w:sz w:val="20"/>
                <w:szCs w:val="20"/>
                <w:highlight w:val="black"/>
              </w:rPr>
            </w:pPr>
            <w:r>
              <w:rPr>
                <w:rFonts w:ascii="Arial Narrow" w:hAnsi="Arial Narrow" w:cs="Arial"/>
                <w:i/>
                <w:noProof/>
                <w:color w:val="000000"/>
                <w:sz w:val="20"/>
                <w:szCs w:val="20"/>
                <w:highlight w:val="black"/>
              </w:rPr>
              <w:t>''''''''''''''''''''''''''''</w:t>
            </w:r>
          </w:p>
        </w:tc>
        <w:tc>
          <w:tcPr>
            <w:tcW w:w="677" w:type="pct"/>
            <w:tcBorders>
              <w:top w:val="single" w:sz="4" w:space="0" w:color="auto"/>
              <w:left w:val="single" w:sz="4" w:space="0" w:color="auto"/>
              <w:bottom w:val="single" w:sz="4" w:space="0" w:color="auto"/>
              <w:right w:val="single" w:sz="4" w:space="0" w:color="auto"/>
            </w:tcBorders>
            <w:vAlign w:val="center"/>
          </w:tcPr>
          <w:p w:rsidR="00D939E9" w:rsidRPr="00E964DA" w:rsidRDefault="00E964DA">
            <w:pPr>
              <w:pStyle w:val="NoSpacing"/>
              <w:jc w:val="center"/>
              <w:rPr>
                <w:rFonts w:ascii="Arial Narrow" w:hAnsi="Arial Narrow" w:cs="Arial"/>
                <w:i/>
                <w:sz w:val="20"/>
                <w:szCs w:val="20"/>
                <w:highlight w:val="black"/>
              </w:rPr>
            </w:pPr>
            <w:r>
              <w:rPr>
                <w:rFonts w:ascii="Arial Narrow" w:hAnsi="Arial Narrow" w:cs="Arial"/>
                <w:i/>
                <w:noProof/>
                <w:color w:val="000000"/>
                <w:sz w:val="20"/>
                <w:szCs w:val="20"/>
                <w:highlight w:val="black"/>
              </w:rPr>
              <w:t>'''''''''''''''''''''''''''''''</w:t>
            </w:r>
          </w:p>
        </w:tc>
        <w:tc>
          <w:tcPr>
            <w:tcW w:w="676" w:type="pct"/>
            <w:tcBorders>
              <w:top w:val="single" w:sz="4" w:space="0" w:color="auto"/>
              <w:left w:val="single" w:sz="4" w:space="0" w:color="auto"/>
              <w:bottom w:val="single" w:sz="4" w:space="0" w:color="auto"/>
              <w:right w:val="single" w:sz="4" w:space="0" w:color="auto"/>
            </w:tcBorders>
            <w:vAlign w:val="center"/>
          </w:tcPr>
          <w:p w:rsidR="00D939E9" w:rsidRPr="00E964DA" w:rsidRDefault="00E964DA">
            <w:pPr>
              <w:pStyle w:val="NoSpacing"/>
              <w:jc w:val="center"/>
              <w:rPr>
                <w:rFonts w:ascii="Arial Narrow" w:hAnsi="Arial Narrow" w:cs="Arial"/>
                <w:i/>
                <w:sz w:val="20"/>
                <w:szCs w:val="20"/>
                <w:highlight w:val="black"/>
              </w:rPr>
            </w:pPr>
            <w:r>
              <w:rPr>
                <w:rFonts w:ascii="Arial Narrow" w:hAnsi="Arial Narrow" w:cs="Arial"/>
                <w:i/>
                <w:noProof/>
                <w:color w:val="000000"/>
                <w:sz w:val="20"/>
                <w:szCs w:val="20"/>
                <w:highlight w:val="black"/>
              </w:rPr>
              <w:t>'''''''''''''''''''''''''''''''</w:t>
            </w:r>
          </w:p>
        </w:tc>
        <w:tc>
          <w:tcPr>
            <w:tcW w:w="677" w:type="pct"/>
            <w:tcBorders>
              <w:top w:val="single" w:sz="4" w:space="0" w:color="auto"/>
              <w:left w:val="single" w:sz="4" w:space="0" w:color="auto"/>
              <w:bottom w:val="single" w:sz="4" w:space="0" w:color="auto"/>
              <w:right w:val="single" w:sz="4" w:space="0" w:color="auto"/>
            </w:tcBorders>
            <w:vAlign w:val="center"/>
          </w:tcPr>
          <w:p w:rsidR="00D939E9" w:rsidRPr="00E964DA" w:rsidRDefault="00E964DA">
            <w:pPr>
              <w:pStyle w:val="NoSpacing"/>
              <w:jc w:val="center"/>
              <w:rPr>
                <w:rFonts w:ascii="Arial Narrow" w:hAnsi="Arial Narrow" w:cs="Arial"/>
                <w:i/>
                <w:sz w:val="20"/>
                <w:szCs w:val="20"/>
                <w:highlight w:val="black"/>
              </w:rPr>
            </w:pPr>
            <w:r>
              <w:rPr>
                <w:rFonts w:ascii="Arial Narrow" w:hAnsi="Arial Narrow" w:cs="Arial"/>
                <w:i/>
                <w:noProof/>
                <w:color w:val="000000"/>
                <w:sz w:val="20"/>
                <w:szCs w:val="20"/>
                <w:highlight w:val="black"/>
              </w:rPr>
              <w:t>''''''''''''''''''''''''''''</w:t>
            </w:r>
          </w:p>
        </w:tc>
        <w:tc>
          <w:tcPr>
            <w:tcW w:w="675" w:type="pct"/>
            <w:tcBorders>
              <w:top w:val="single" w:sz="4" w:space="0" w:color="auto"/>
              <w:left w:val="single" w:sz="4" w:space="0" w:color="auto"/>
              <w:bottom w:val="single" w:sz="4" w:space="0" w:color="auto"/>
              <w:right w:val="single" w:sz="4" w:space="0" w:color="auto"/>
            </w:tcBorders>
            <w:noWrap/>
            <w:vAlign w:val="center"/>
          </w:tcPr>
          <w:p w:rsidR="00D939E9" w:rsidRPr="00E964DA" w:rsidRDefault="00E964DA">
            <w:pPr>
              <w:pStyle w:val="NoSpacing"/>
              <w:jc w:val="center"/>
              <w:rPr>
                <w:rFonts w:ascii="Arial Narrow" w:hAnsi="Arial Narrow" w:cs="Arial"/>
                <w:i/>
                <w:sz w:val="20"/>
                <w:szCs w:val="20"/>
                <w:highlight w:val="black"/>
              </w:rPr>
            </w:pPr>
            <w:r>
              <w:rPr>
                <w:rFonts w:ascii="Arial Narrow" w:hAnsi="Arial Narrow" w:cs="Arial"/>
                <w:i/>
                <w:noProof/>
                <w:color w:val="000000"/>
                <w:sz w:val="20"/>
                <w:szCs w:val="20"/>
                <w:highlight w:val="black"/>
              </w:rPr>
              <w:t>''''''''''''''''''''''''''''''''</w:t>
            </w:r>
          </w:p>
        </w:tc>
      </w:tr>
      <w:tr w:rsidR="00D939E9" w:rsidTr="00D939E9">
        <w:trPr>
          <w:trHeight w:val="255"/>
        </w:trPr>
        <w:tc>
          <w:tcPr>
            <w:tcW w:w="941" w:type="pct"/>
            <w:tcBorders>
              <w:top w:val="single" w:sz="4" w:space="0" w:color="auto"/>
              <w:left w:val="single" w:sz="4" w:space="0" w:color="auto"/>
              <w:bottom w:val="single" w:sz="4" w:space="0" w:color="auto"/>
              <w:right w:val="single" w:sz="4" w:space="0" w:color="auto"/>
            </w:tcBorders>
            <w:noWrap/>
            <w:vAlign w:val="center"/>
          </w:tcPr>
          <w:p w:rsidR="00D939E9" w:rsidRPr="00D939E9" w:rsidRDefault="00D939E9" w:rsidP="00D939E9">
            <w:pPr>
              <w:pStyle w:val="NoSpacing"/>
              <w:jc w:val="left"/>
              <w:rPr>
                <w:rFonts w:ascii="Arial Narrow" w:hAnsi="Arial Narrow" w:cs="Arial"/>
                <w:i/>
                <w:sz w:val="20"/>
                <w:szCs w:val="20"/>
              </w:rPr>
            </w:pPr>
            <w:r w:rsidRPr="00D939E9">
              <w:rPr>
                <w:rFonts w:ascii="Arial Narrow" w:hAnsi="Arial Narrow" w:cs="Arial"/>
                <w:i/>
                <w:sz w:val="20"/>
                <w:szCs w:val="20"/>
              </w:rPr>
              <w:t>Both updated</w:t>
            </w:r>
          </w:p>
        </w:tc>
        <w:tc>
          <w:tcPr>
            <w:tcW w:w="676" w:type="pct"/>
            <w:tcBorders>
              <w:top w:val="single" w:sz="4" w:space="0" w:color="auto"/>
              <w:left w:val="single" w:sz="4" w:space="0" w:color="auto"/>
              <w:bottom w:val="single" w:sz="4" w:space="0" w:color="auto"/>
              <w:right w:val="single" w:sz="4" w:space="0" w:color="auto"/>
            </w:tcBorders>
            <w:vAlign w:val="center"/>
          </w:tcPr>
          <w:p w:rsidR="00D939E9" w:rsidRPr="00E964DA" w:rsidRDefault="00E964DA">
            <w:pPr>
              <w:pStyle w:val="NoSpacing"/>
              <w:jc w:val="center"/>
              <w:rPr>
                <w:rFonts w:ascii="Arial Narrow" w:hAnsi="Arial Narrow" w:cs="Arial"/>
                <w:i/>
                <w:sz w:val="20"/>
                <w:szCs w:val="20"/>
                <w:highlight w:val="black"/>
              </w:rPr>
            </w:pPr>
            <w:r>
              <w:rPr>
                <w:rFonts w:ascii="Arial Narrow" w:hAnsi="Arial Narrow" w:cs="Arial"/>
                <w:i/>
                <w:noProof/>
                <w:color w:val="000000"/>
                <w:sz w:val="20"/>
                <w:szCs w:val="20"/>
                <w:highlight w:val="black"/>
              </w:rPr>
              <w:t>''''''''''''''''''''''''''''''''</w:t>
            </w:r>
          </w:p>
        </w:tc>
        <w:tc>
          <w:tcPr>
            <w:tcW w:w="677" w:type="pct"/>
            <w:tcBorders>
              <w:top w:val="single" w:sz="4" w:space="0" w:color="auto"/>
              <w:left w:val="single" w:sz="4" w:space="0" w:color="auto"/>
              <w:bottom w:val="single" w:sz="4" w:space="0" w:color="auto"/>
              <w:right w:val="single" w:sz="4" w:space="0" w:color="auto"/>
            </w:tcBorders>
            <w:vAlign w:val="center"/>
          </w:tcPr>
          <w:p w:rsidR="00D939E9" w:rsidRPr="00E964DA" w:rsidRDefault="00E964DA">
            <w:pPr>
              <w:pStyle w:val="NoSpacing"/>
              <w:jc w:val="center"/>
              <w:rPr>
                <w:rFonts w:ascii="Arial Narrow" w:hAnsi="Arial Narrow" w:cs="Arial"/>
                <w:i/>
                <w:sz w:val="20"/>
                <w:szCs w:val="20"/>
                <w:highlight w:val="black"/>
              </w:rPr>
            </w:pPr>
            <w:r>
              <w:rPr>
                <w:rFonts w:ascii="Arial Narrow" w:hAnsi="Arial Narrow" w:cs="Arial"/>
                <w:i/>
                <w:noProof/>
                <w:color w:val="000000"/>
                <w:sz w:val="20"/>
                <w:szCs w:val="20"/>
                <w:highlight w:val="black"/>
              </w:rPr>
              <w:t>'''''''''''''''''''''''''''''</w:t>
            </w:r>
          </w:p>
        </w:tc>
        <w:tc>
          <w:tcPr>
            <w:tcW w:w="677" w:type="pct"/>
            <w:tcBorders>
              <w:top w:val="single" w:sz="4" w:space="0" w:color="auto"/>
              <w:left w:val="single" w:sz="4" w:space="0" w:color="auto"/>
              <w:bottom w:val="single" w:sz="4" w:space="0" w:color="auto"/>
              <w:right w:val="single" w:sz="4" w:space="0" w:color="auto"/>
            </w:tcBorders>
            <w:vAlign w:val="center"/>
          </w:tcPr>
          <w:p w:rsidR="00D939E9" w:rsidRPr="00E964DA" w:rsidRDefault="00E964DA">
            <w:pPr>
              <w:pStyle w:val="NoSpacing"/>
              <w:jc w:val="center"/>
              <w:rPr>
                <w:rFonts w:ascii="Arial Narrow" w:hAnsi="Arial Narrow" w:cs="Arial"/>
                <w:i/>
                <w:sz w:val="20"/>
                <w:szCs w:val="20"/>
                <w:highlight w:val="black"/>
              </w:rPr>
            </w:pPr>
            <w:r>
              <w:rPr>
                <w:rFonts w:ascii="Arial Narrow" w:hAnsi="Arial Narrow" w:cs="Arial"/>
                <w:i/>
                <w:noProof/>
                <w:color w:val="000000"/>
                <w:sz w:val="20"/>
                <w:szCs w:val="20"/>
                <w:highlight w:val="black"/>
              </w:rPr>
              <w:t>'''''''''''''''''''''''''''''''''</w:t>
            </w:r>
          </w:p>
        </w:tc>
        <w:tc>
          <w:tcPr>
            <w:tcW w:w="676" w:type="pct"/>
            <w:tcBorders>
              <w:top w:val="single" w:sz="4" w:space="0" w:color="auto"/>
              <w:left w:val="single" w:sz="4" w:space="0" w:color="auto"/>
              <w:bottom w:val="single" w:sz="4" w:space="0" w:color="auto"/>
              <w:right w:val="single" w:sz="4" w:space="0" w:color="auto"/>
            </w:tcBorders>
            <w:vAlign w:val="center"/>
          </w:tcPr>
          <w:p w:rsidR="00D939E9" w:rsidRPr="00E964DA" w:rsidRDefault="00E964DA">
            <w:pPr>
              <w:pStyle w:val="NoSpacing"/>
              <w:jc w:val="center"/>
              <w:rPr>
                <w:rFonts w:ascii="Arial Narrow" w:hAnsi="Arial Narrow" w:cs="Arial"/>
                <w:i/>
                <w:sz w:val="20"/>
                <w:szCs w:val="20"/>
                <w:highlight w:val="black"/>
              </w:rPr>
            </w:pPr>
            <w:r>
              <w:rPr>
                <w:rFonts w:ascii="Arial Narrow" w:hAnsi="Arial Narrow" w:cs="Arial"/>
                <w:i/>
                <w:noProof/>
                <w:color w:val="000000"/>
                <w:sz w:val="20"/>
                <w:szCs w:val="20"/>
                <w:highlight w:val="black"/>
              </w:rPr>
              <w:t>'''''''''''''''''''''''''''</w:t>
            </w:r>
          </w:p>
        </w:tc>
        <w:tc>
          <w:tcPr>
            <w:tcW w:w="677" w:type="pct"/>
            <w:tcBorders>
              <w:top w:val="single" w:sz="4" w:space="0" w:color="auto"/>
              <w:left w:val="single" w:sz="4" w:space="0" w:color="auto"/>
              <w:bottom w:val="single" w:sz="4" w:space="0" w:color="auto"/>
              <w:right w:val="single" w:sz="4" w:space="0" w:color="auto"/>
            </w:tcBorders>
            <w:vAlign w:val="center"/>
          </w:tcPr>
          <w:p w:rsidR="00D939E9" w:rsidRPr="00E964DA" w:rsidRDefault="00E964DA">
            <w:pPr>
              <w:pStyle w:val="NoSpacing"/>
              <w:jc w:val="center"/>
              <w:rPr>
                <w:rFonts w:ascii="Arial Narrow" w:hAnsi="Arial Narrow" w:cs="Arial"/>
                <w:i/>
                <w:sz w:val="20"/>
                <w:szCs w:val="20"/>
                <w:highlight w:val="black"/>
              </w:rPr>
            </w:pPr>
            <w:r>
              <w:rPr>
                <w:rFonts w:ascii="Arial Narrow" w:hAnsi="Arial Narrow" w:cs="Arial"/>
                <w:i/>
                <w:noProof/>
                <w:color w:val="000000"/>
                <w:sz w:val="20"/>
                <w:szCs w:val="20"/>
                <w:highlight w:val="black"/>
              </w:rPr>
              <w:t>'''''''''''''''''''''''''''</w:t>
            </w:r>
          </w:p>
        </w:tc>
        <w:tc>
          <w:tcPr>
            <w:tcW w:w="675" w:type="pct"/>
            <w:tcBorders>
              <w:top w:val="single" w:sz="4" w:space="0" w:color="auto"/>
              <w:left w:val="single" w:sz="4" w:space="0" w:color="auto"/>
              <w:bottom w:val="single" w:sz="4" w:space="0" w:color="auto"/>
              <w:right w:val="single" w:sz="4" w:space="0" w:color="auto"/>
            </w:tcBorders>
            <w:noWrap/>
            <w:vAlign w:val="center"/>
          </w:tcPr>
          <w:p w:rsidR="00D939E9" w:rsidRPr="00E964DA" w:rsidRDefault="00E964DA">
            <w:pPr>
              <w:pStyle w:val="NoSpacing"/>
              <w:jc w:val="center"/>
              <w:rPr>
                <w:rFonts w:ascii="Arial Narrow" w:hAnsi="Arial Narrow" w:cs="Arial"/>
                <w:i/>
                <w:sz w:val="20"/>
                <w:szCs w:val="20"/>
                <w:highlight w:val="black"/>
              </w:rPr>
            </w:pPr>
            <w:r>
              <w:rPr>
                <w:rFonts w:ascii="Arial Narrow" w:hAnsi="Arial Narrow" w:cs="Arial"/>
                <w:i/>
                <w:noProof/>
                <w:color w:val="000000"/>
                <w:sz w:val="20"/>
                <w:szCs w:val="20"/>
                <w:highlight w:val="black"/>
              </w:rPr>
              <w:t>'''''''''''''''''''''''''''</w:t>
            </w:r>
          </w:p>
        </w:tc>
      </w:tr>
    </w:tbl>
    <w:p w:rsidR="0051182F" w:rsidRDefault="0051182F" w:rsidP="0051182F">
      <w:pPr>
        <w:spacing w:after="120"/>
        <w:rPr>
          <w:rFonts w:ascii="Arial Narrow" w:hAnsi="Arial Narrow"/>
          <w:i/>
          <w:sz w:val="20"/>
          <w:szCs w:val="20"/>
        </w:rPr>
      </w:pPr>
      <w:r w:rsidRPr="0051182F">
        <w:rPr>
          <w:rFonts w:ascii="Arial Narrow" w:hAnsi="Arial Narrow"/>
          <w:sz w:val="20"/>
          <w:szCs w:val="20"/>
          <w:vertAlign w:val="superscript"/>
        </w:rPr>
        <w:t>a</w:t>
      </w:r>
      <w:r w:rsidRPr="0051182F">
        <w:rPr>
          <w:rFonts w:ascii="Arial Narrow" w:hAnsi="Arial Narrow"/>
          <w:sz w:val="20"/>
          <w:szCs w:val="20"/>
        </w:rPr>
        <w:t xml:space="preserve"> The updates do not correct for residual errors in the </w:t>
      </w:r>
      <w:r w:rsidR="00F07A41">
        <w:rPr>
          <w:rFonts w:ascii="Arial Narrow" w:hAnsi="Arial Narrow"/>
          <w:sz w:val="20"/>
          <w:szCs w:val="20"/>
        </w:rPr>
        <w:t>approach to estimating cost off</w:t>
      </w:r>
      <w:r w:rsidRPr="0051182F">
        <w:rPr>
          <w:rFonts w:ascii="Arial Narrow" w:hAnsi="Arial Narrow"/>
          <w:sz w:val="20"/>
          <w:szCs w:val="20"/>
        </w:rPr>
        <w:t>sets as identified</w:t>
      </w:r>
      <w:r w:rsidR="003B0266">
        <w:rPr>
          <w:rFonts w:ascii="Arial Narrow" w:hAnsi="Arial Narrow"/>
          <w:sz w:val="20"/>
          <w:szCs w:val="20"/>
        </w:rPr>
        <w:t xml:space="preserve"> in Section 4.3 of the Commentary to the November 2017 major resubmission</w:t>
      </w:r>
      <w:r w:rsidRPr="0051182F">
        <w:rPr>
          <w:rFonts w:ascii="Arial Narrow" w:hAnsi="Arial Narrow"/>
          <w:sz w:val="20"/>
          <w:szCs w:val="20"/>
        </w:rPr>
        <w:t>.</w:t>
      </w:r>
      <w:r w:rsidR="003B0266">
        <w:rPr>
          <w:rFonts w:ascii="Arial Narrow" w:hAnsi="Arial Narrow"/>
          <w:sz w:val="20"/>
          <w:szCs w:val="20"/>
        </w:rPr>
        <w:t xml:space="preserve"> </w:t>
      </w:r>
      <w:r w:rsidR="003B0266" w:rsidRPr="003B0266">
        <w:rPr>
          <w:rFonts w:ascii="Arial Narrow" w:hAnsi="Arial Narrow"/>
          <w:i/>
          <w:sz w:val="20"/>
          <w:szCs w:val="20"/>
        </w:rPr>
        <w:t>A patient co-payment was erroneously assumed for each comparator medicine administration, rather than per original prescription. This was not corrected for in the minor resubmission, therefore updating the co-payment fees inflates the effect of this difference.</w:t>
      </w:r>
    </w:p>
    <w:p w:rsidR="00806261" w:rsidRPr="00806261" w:rsidRDefault="00806261" w:rsidP="00806261">
      <w:pPr>
        <w:spacing w:before="120" w:after="160"/>
        <w:rPr>
          <w:rFonts w:asciiTheme="minorHAnsi" w:hAnsiTheme="minorHAnsi"/>
          <w:vertAlign w:val="superscript"/>
        </w:rPr>
      </w:pPr>
      <w:r>
        <w:rPr>
          <w:rFonts w:asciiTheme="minorHAnsi" w:hAnsiTheme="minorHAnsi"/>
        </w:rPr>
        <w:t xml:space="preserve">The redacted table shows that at </w:t>
      </w:r>
      <w:r w:rsidR="00E8320A">
        <w:rPr>
          <w:rFonts w:asciiTheme="minorHAnsi" w:hAnsiTheme="minorHAnsi"/>
        </w:rPr>
        <w:t>Y</w:t>
      </w:r>
      <w:r>
        <w:rPr>
          <w:rFonts w:asciiTheme="minorHAnsi" w:hAnsiTheme="minorHAnsi"/>
        </w:rPr>
        <w:t xml:space="preserve">ear </w:t>
      </w:r>
      <w:r w:rsidR="003633DD">
        <w:rPr>
          <w:rFonts w:asciiTheme="minorHAnsi" w:hAnsiTheme="minorHAnsi"/>
        </w:rPr>
        <w:t>6</w:t>
      </w:r>
      <w:r>
        <w:rPr>
          <w:rFonts w:asciiTheme="minorHAnsi" w:hAnsiTheme="minorHAnsi"/>
        </w:rPr>
        <w:t>, the estimated net cost to the PBS would be $</w:t>
      </w:r>
      <w:r w:rsidR="003633DD">
        <w:rPr>
          <w:rFonts w:asciiTheme="minorHAnsi" w:hAnsiTheme="minorHAnsi"/>
        </w:rPr>
        <w:t>6</w:t>
      </w:r>
      <w:r>
        <w:rPr>
          <w:rFonts w:asciiTheme="minorHAnsi" w:hAnsiTheme="minorHAnsi"/>
        </w:rPr>
        <w:t>0 - $100 million.</w:t>
      </w:r>
    </w:p>
    <w:p w:rsidR="008F6E83" w:rsidRPr="008C6270" w:rsidRDefault="008F6E83" w:rsidP="00B434BC">
      <w:pPr>
        <w:pStyle w:val="ListParagraph"/>
        <w:widowControl/>
        <w:numPr>
          <w:ilvl w:val="1"/>
          <w:numId w:val="5"/>
        </w:numPr>
        <w:spacing w:before="120" w:after="120"/>
        <w:contextualSpacing w:val="0"/>
        <w:rPr>
          <w:rFonts w:asciiTheme="minorHAnsi" w:hAnsiTheme="minorHAnsi"/>
          <w:sz w:val="24"/>
          <w:szCs w:val="24"/>
        </w:rPr>
      </w:pPr>
      <w:r w:rsidRPr="008C6270">
        <w:rPr>
          <w:rFonts w:asciiTheme="minorHAnsi" w:hAnsiTheme="minorHAnsi"/>
          <w:sz w:val="24"/>
          <w:szCs w:val="24"/>
        </w:rPr>
        <w:t xml:space="preserve">The minor resubmission estimated a net cost to the PBS of </w:t>
      </w:r>
      <w:r w:rsidR="00E8320A">
        <w:rPr>
          <w:rFonts w:asciiTheme="minorHAnsi" w:hAnsiTheme="minorHAnsi"/>
          <w:sz w:val="24"/>
          <w:szCs w:val="24"/>
        </w:rPr>
        <w:t>$</w:t>
      </w:r>
      <w:r w:rsidR="00E255F4">
        <w:rPr>
          <w:rFonts w:asciiTheme="minorHAnsi" w:hAnsiTheme="minorHAnsi"/>
          <w:sz w:val="24"/>
          <w:szCs w:val="24"/>
        </w:rPr>
        <w:t>3</w:t>
      </w:r>
      <w:r w:rsidR="00E8320A">
        <w:rPr>
          <w:rFonts w:asciiTheme="minorHAnsi" w:hAnsiTheme="minorHAnsi"/>
          <w:sz w:val="24"/>
          <w:szCs w:val="24"/>
        </w:rPr>
        <w:t>0 – $</w:t>
      </w:r>
      <w:r w:rsidR="00E255F4">
        <w:rPr>
          <w:rFonts w:asciiTheme="minorHAnsi" w:hAnsiTheme="minorHAnsi"/>
          <w:sz w:val="24"/>
          <w:szCs w:val="24"/>
        </w:rPr>
        <w:t>6</w:t>
      </w:r>
      <w:r w:rsidR="00E8320A">
        <w:rPr>
          <w:rFonts w:asciiTheme="minorHAnsi" w:hAnsiTheme="minorHAnsi"/>
          <w:sz w:val="24"/>
          <w:szCs w:val="24"/>
        </w:rPr>
        <w:t xml:space="preserve">0 </w:t>
      </w:r>
      <w:r w:rsidRPr="008C6270">
        <w:rPr>
          <w:rFonts w:asciiTheme="minorHAnsi" w:hAnsiTheme="minorHAnsi"/>
          <w:sz w:val="24"/>
          <w:szCs w:val="24"/>
        </w:rPr>
        <w:t xml:space="preserve">million in Year </w:t>
      </w:r>
      <w:r w:rsidR="00E8320A">
        <w:rPr>
          <w:rFonts w:asciiTheme="minorHAnsi" w:hAnsiTheme="minorHAnsi"/>
          <w:sz w:val="24"/>
          <w:szCs w:val="24"/>
        </w:rPr>
        <w:t>1</w:t>
      </w:r>
      <w:r w:rsidR="00E8320A" w:rsidRPr="008C6270">
        <w:rPr>
          <w:rFonts w:asciiTheme="minorHAnsi" w:hAnsiTheme="minorHAnsi"/>
          <w:sz w:val="24"/>
          <w:szCs w:val="24"/>
        </w:rPr>
        <w:t xml:space="preserve"> </w:t>
      </w:r>
      <w:r w:rsidRPr="008C6270">
        <w:rPr>
          <w:rFonts w:asciiTheme="minorHAnsi" w:hAnsiTheme="minorHAnsi"/>
          <w:sz w:val="24"/>
          <w:szCs w:val="24"/>
        </w:rPr>
        <w:t xml:space="preserve">of listing, </w:t>
      </w:r>
      <w:r w:rsidR="00E8320A">
        <w:rPr>
          <w:rFonts w:asciiTheme="minorHAnsi" w:hAnsiTheme="minorHAnsi"/>
          <w:sz w:val="24"/>
          <w:szCs w:val="24"/>
        </w:rPr>
        <w:t xml:space="preserve">increasing to $60 - $100 </w:t>
      </w:r>
      <w:r w:rsidRPr="008C6270">
        <w:rPr>
          <w:rFonts w:asciiTheme="minorHAnsi" w:hAnsiTheme="minorHAnsi"/>
          <w:sz w:val="24"/>
          <w:szCs w:val="24"/>
        </w:rPr>
        <w:t xml:space="preserve">million </w:t>
      </w:r>
      <w:r w:rsidR="00E8320A">
        <w:rPr>
          <w:rFonts w:asciiTheme="minorHAnsi" w:hAnsiTheme="minorHAnsi"/>
          <w:sz w:val="24"/>
          <w:szCs w:val="24"/>
        </w:rPr>
        <w:t>per year in Year 6</w:t>
      </w:r>
      <w:r w:rsidRPr="008C6270">
        <w:rPr>
          <w:rFonts w:asciiTheme="minorHAnsi" w:hAnsiTheme="minorHAnsi"/>
          <w:sz w:val="24"/>
          <w:szCs w:val="24"/>
        </w:rPr>
        <w:t xml:space="preserve"> of listing. Compared to the November 2017 major submission, the</w:t>
      </w:r>
      <w:r w:rsidR="00437EC2" w:rsidRPr="008C6270">
        <w:rPr>
          <w:rFonts w:asciiTheme="minorHAnsi" w:hAnsiTheme="minorHAnsi"/>
          <w:sz w:val="24"/>
          <w:szCs w:val="24"/>
        </w:rPr>
        <w:t xml:space="preserve"> minor resubmission estimated </w:t>
      </w:r>
      <w:r w:rsidRPr="008C6270">
        <w:rPr>
          <w:rFonts w:asciiTheme="minorHAnsi" w:hAnsiTheme="minorHAnsi"/>
          <w:sz w:val="24"/>
          <w:szCs w:val="24"/>
        </w:rPr>
        <w:t xml:space="preserve">a </w:t>
      </w:r>
      <w:r w:rsidR="00E964DA">
        <w:rPr>
          <w:rFonts w:asciiTheme="minorHAnsi" w:hAnsiTheme="minorHAnsi"/>
          <w:noProof/>
          <w:color w:val="000000"/>
          <w:sz w:val="24"/>
          <w:szCs w:val="24"/>
          <w:highlight w:val="black"/>
        </w:rPr>
        <w:t>'''</w:t>
      </w:r>
      <w:r w:rsidRPr="008C6270">
        <w:rPr>
          <w:rFonts w:asciiTheme="minorHAnsi" w:hAnsiTheme="minorHAnsi"/>
          <w:sz w:val="24"/>
          <w:szCs w:val="24"/>
        </w:rPr>
        <w:t xml:space="preserve">% reduction in the net cost to the PBS </w:t>
      </w:r>
      <w:r w:rsidR="00E964DA">
        <w:rPr>
          <w:rFonts w:asciiTheme="minorHAnsi" w:hAnsiTheme="minorHAnsi"/>
          <w:noProof/>
          <w:color w:val="000000"/>
          <w:sz w:val="24"/>
          <w:szCs w:val="24"/>
          <w:highlight w:val="black"/>
        </w:rPr>
        <w:t>'''''''''''''' '''''''''''''' ''''' ''''''''''''' ''''''''''''''</w:t>
      </w:r>
      <w:r w:rsidRPr="008C6270">
        <w:rPr>
          <w:rFonts w:asciiTheme="minorHAnsi" w:hAnsiTheme="minorHAnsi"/>
          <w:sz w:val="24"/>
          <w:szCs w:val="24"/>
        </w:rPr>
        <w:t xml:space="preserve"> over six years.</w:t>
      </w:r>
      <w:r w:rsidR="008012D1" w:rsidRPr="008C6270">
        <w:rPr>
          <w:rFonts w:asciiTheme="minorHAnsi" w:hAnsiTheme="minorHAnsi"/>
          <w:sz w:val="24"/>
          <w:szCs w:val="24"/>
        </w:rPr>
        <w:t xml:space="preserve"> Although the minor resubmission anticipated the number of patients for whom a nivolumab cost offset might be expected, the extent of </w:t>
      </w:r>
      <w:r w:rsidR="00284042" w:rsidRPr="008C6270">
        <w:rPr>
          <w:rFonts w:asciiTheme="minorHAnsi" w:hAnsiTheme="minorHAnsi"/>
          <w:sz w:val="24"/>
          <w:szCs w:val="24"/>
        </w:rPr>
        <w:t xml:space="preserve">cost </w:t>
      </w:r>
      <w:r w:rsidR="008012D1" w:rsidRPr="008C6270">
        <w:rPr>
          <w:rFonts w:asciiTheme="minorHAnsi" w:hAnsiTheme="minorHAnsi"/>
          <w:sz w:val="24"/>
          <w:szCs w:val="24"/>
        </w:rPr>
        <w:t>offset per patient is the product of the price of nivolumab multiplied by the duration of therapy of nivolumab. The</w:t>
      </w:r>
      <w:r w:rsidR="00284042" w:rsidRPr="008C6270">
        <w:rPr>
          <w:rFonts w:asciiTheme="minorHAnsi" w:hAnsiTheme="minorHAnsi"/>
          <w:sz w:val="24"/>
          <w:szCs w:val="24"/>
        </w:rPr>
        <w:t xml:space="preserve"> full </w:t>
      </w:r>
      <w:r w:rsidR="008012D1" w:rsidRPr="008C6270">
        <w:rPr>
          <w:rFonts w:asciiTheme="minorHAnsi" w:hAnsiTheme="minorHAnsi"/>
          <w:sz w:val="24"/>
          <w:szCs w:val="24"/>
        </w:rPr>
        <w:t xml:space="preserve">details cannot be provided to the sponsor of pembrolizumab until such time as PBAC recommends listing pembrolizumab </w:t>
      </w:r>
      <w:r w:rsidR="005336ED">
        <w:rPr>
          <w:rFonts w:asciiTheme="minorHAnsi" w:hAnsiTheme="minorHAnsi"/>
          <w:sz w:val="24"/>
          <w:szCs w:val="24"/>
        </w:rPr>
        <w:t>for</w:t>
      </w:r>
      <w:r w:rsidR="005336ED" w:rsidRPr="008C6270">
        <w:rPr>
          <w:rFonts w:asciiTheme="minorHAnsi" w:hAnsiTheme="minorHAnsi"/>
          <w:sz w:val="24"/>
          <w:szCs w:val="24"/>
        </w:rPr>
        <w:t xml:space="preserve"> </w:t>
      </w:r>
      <w:r w:rsidR="008012D1" w:rsidRPr="008C6270">
        <w:rPr>
          <w:rFonts w:asciiTheme="minorHAnsi" w:hAnsiTheme="minorHAnsi"/>
          <w:sz w:val="24"/>
          <w:szCs w:val="24"/>
        </w:rPr>
        <w:t>NSCLC.</w:t>
      </w:r>
    </w:p>
    <w:p w:rsidR="009C4641" w:rsidRDefault="009C4641" w:rsidP="009C4641">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Risk Sharing Arrangement</w:t>
      </w:r>
    </w:p>
    <w:p w:rsidR="00A154CD" w:rsidRPr="005D455D" w:rsidRDefault="001B572F" w:rsidP="001B572F">
      <w:pPr>
        <w:pStyle w:val="ListParagraph"/>
        <w:numPr>
          <w:ilvl w:val="1"/>
          <w:numId w:val="14"/>
        </w:numPr>
        <w:rPr>
          <w:rFonts w:asciiTheme="minorHAnsi" w:hAnsiTheme="minorHAnsi"/>
          <w:sz w:val="24"/>
          <w:szCs w:val="24"/>
        </w:rPr>
      </w:pPr>
      <w:r w:rsidRPr="005D455D">
        <w:rPr>
          <w:rFonts w:asciiTheme="minorHAnsi" w:eastAsiaTheme="minorHAnsi" w:hAnsiTheme="minorHAnsi" w:cstheme="minorBidi"/>
          <w:snapToGrid/>
          <w:sz w:val="24"/>
          <w:szCs w:val="24"/>
        </w:rPr>
        <w:t>The</w:t>
      </w:r>
      <w:r w:rsidRPr="005D455D">
        <w:rPr>
          <w:rFonts w:asciiTheme="minorHAnsi" w:hAnsiTheme="minorHAnsi"/>
          <w:sz w:val="24"/>
          <w:szCs w:val="24"/>
        </w:rPr>
        <w:t xml:space="preserve"> minor resubmission proposed both a special pricing arrangement and a risk sharing arrangement (</w:t>
      </w:r>
      <w:r w:rsidR="00E964DA">
        <w:rPr>
          <w:rFonts w:asciiTheme="minorHAnsi" w:hAnsiTheme="minorHAnsi"/>
          <w:noProof/>
          <w:color w:val="000000"/>
          <w:sz w:val="24"/>
          <w:szCs w:val="24"/>
          <w:highlight w:val="black"/>
        </w:rPr>
        <w:t>''''''''' '''''''''''' ''''' '''''''''''''''''''' '''''''''''''''''''''''''''' ''''''''' ''''' ''''''''''' ''''''''''''''' '''''''' ''''''' '''''''''''''' ''''''''' '''''''''''''''''''''''''''''' ''''' ''''''''' '''''''' ''''' ''''''''''''</w:t>
      </w:r>
      <w:r w:rsidRPr="005D455D">
        <w:rPr>
          <w:rFonts w:asciiTheme="minorHAnsi" w:hAnsiTheme="minorHAnsi"/>
          <w:sz w:val="24"/>
          <w:szCs w:val="24"/>
        </w:rPr>
        <w:t>).</w:t>
      </w:r>
    </w:p>
    <w:p w:rsidR="00A154CD" w:rsidRDefault="00DA7521" w:rsidP="00A154CD">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 xml:space="preserve">Further assessments containing </w:t>
      </w:r>
      <w:r w:rsidR="00A154CD" w:rsidRPr="00CC650E">
        <w:rPr>
          <w:rFonts w:asciiTheme="minorHAnsi" w:eastAsiaTheme="majorEastAsia" w:hAnsiTheme="minorHAnsi" w:cstheme="majorBidi"/>
          <w:sz w:val="28"/>
          <w:szCs w:val="28"/>
          <w:lang w:eastAsia="en-US"/>
        </w:rPr>
        <w:t>Committee in Confidence</w:t>
      </w:r>
      <w:r>
        <w:rPr>
          <w:rFonts w:asciiTheme="minorHAnsi" w:eastAsiaTheme="majorEastAsia" w:hAnsiTheme="minorHAnsi" w:cstheme="majorBidi"/>
          <w:sz w:val="28"/>
          <w:szCs w:val="28"/>
          <w:lang w:eastAsia="en-US"/>
        </w:rPr>
        <w:t xml:space="preserve"> information</w:t>
      </w:r>
    </w:p>
    <w:p w:rsidR="00B17845" w:rsidRPr="003D6C80" w:rsidRDefault="00B17845" w:rsidP="00B17845">
      <w:pPr>
        <w:rPr>
          <w:rFonts w:ascii="Arial Narrow" w:hAnsi="Arial Narrow" w:cs="Arial"/>
          <w:b/>
          <w:sz w:val="20"/>
          <w:szCs w:val="16"/>
          <w:lang w:eastAsia="en-US"/>
        </w:rPr>
      </w:pPr>
      <w:r w:rsidRPr="003D6C80">
        <w:rPr>
          <w:rFonts w:ascii="Arial Narrow" w:hAnsi="Arial Narrow" w:cs="Arial"/>
          <w:b/>
          <w:sz w:val="20"/>
          <w:szCs w:val="16"/>
          <w:lang w:eastAsia="en-US"/>
        </w:rPr>
        <w:t xml:space="preserve">Table 7: </w:t>
      </w:r>
      <w:r>
        <w:rPr>
          <w:rFonts w:ascii="Arial Narrow" w:hAnsi="Arial Narrow" w:cs="Arial"/>
          <w:b/>
          <w:sz w:val="20"/>
          <w:szCs w:val="16"/>
          <w:lang w:eastAsia="en-US"/>
        </w:rPr>
        <w:t>Comparison of the minor resubmission’s estimates with the agreed patient numbers in the nivolumab deed</w:t>
      </w:r>
    </w:p>
    <w:tbl>
      <w:tblPr>
        <w:tblStyle w:val="TableGrid"/>
        <w:tblW w:w="5088" w:type="pct"/>
        <w:tblLayout w:type="fixed"/>
        <w:tblCellMar>
          <w:top w:w="28" w:type="dxa"/>
          <w:left w:w="28" w:type="dxa"/>
          <w:bottom w:w="28" w:type="dxa"/>
          <w:right w:w="28" w:type="dxa"/>
        </w:tblCellMar>
        <w:tblLook w:val="04A0" w:firstRow="1" w:lastRow="0" w:firstColumn="1" w:lastColumn="0" w:noHBand="0" w:noVBand="1"/>
      </w:tblPr>
      <w:tblGrid>
        <w:gridCol w:w="186"/>
        <w:gridCol w:w="4378"/>
        <w:gridCol w:w="566"/>
        <w:gridCol w:w="710"/>
        <w:gridCol w:w="710"/>
        <w:gridCol w:w="712"/>
        <w:gridCol w:w="713"/>
        <w:gridCol w:w="712"/>
        <w:gridCol w:w="555"/>
      </w:tblGrid>
      <w:tr w:rsidR="00B17845" w:rsidRPr="00752FB2" w:rsidTr="00851F1E">
        <w:tc>
          <w:tcPr>
            <w:tcW w:w="101" w:type="pct"/>
            <w:tcBorders>
              <w:top w:val="single" w:sz="8" w:space="0" w:color="auto"/>
              <w:left w:val="single" w:sz="8" w:space="0" w:color="auto"/>
              <w:bottom w:val="single" w:sz="8" w:space="0" w:color="auto"/>
            </w:tcBorders>
            <w:vAlign w:val="center"/>
          </w:tcPr>
          <w:p w:rsidR="00B17845" w:rsidRPr="00F74414" w:rsidRDefault="00B17845" w:rsidP="00B17845">
            <w:pPr>
              <w:jc w:val="center"/>
              <w:rPr>
                <w:rFonts w:ascii="Arial Narrow" w:hAnsi="Arial Narrow"/>
                <w:b/>
                <w:sz w:val="20"/>
                <w:szCs w:val="20"/>
              </w:rPr>
            </w:pPr>
          </w:p>
        </w:tc>
        <w:tc>
          <w:tcPr>
            <w:tcW w:w="2369" w:type="pct"/>
            <w:tcBorders>
              <w:top w:val="single" w:sz="8" w:space="0" w:color="auto"/>
              <w:bottom w:val="single" w:sz="8" w:space="0" w:color="auto"/>
            </w:tcBorders>
          </w:tcPr>
          <w:p w:rsidR="00B17845" w:rsidRPr="00AE5DC3" w:rsidRDefault="00B17845" w:rsidP="000546F6">
            <w:pPr>
              <w:rPr>
                <w:rFonts w:ascii="Arial Narrow" w:hAnsi="Arial Narrow"/>
                <w:b/>
                <w:sz w:val="20"/>
                <w:szCs w:val="20"/>
              </w:rPr>
            </w:pPr>
            <w:r w:rsidRPr="00AE5DC3">
              <w:rPr>
                <w:rFonts w:ascii="Arial Narrow" w:hAnsi="Arial Narrow"/>
                <w:b/>
                <w:sz w:val="20"/>
                <w:szCs w:val="20"/>
              </w:rPr>
              <w:t>Estimated patient numbers</w:t>
            </w:r>
          </w:p>
        </w:tc>
        <w:tc>
          <w:tcPr>
            <w:tcW w:w="2531" w:type="pct"/>
            <w:gridSpan w:val="7"/>
            <w:tcBorders>
              <w:top w:val="single" w:sz="8" w:space="0" w:color="auto"/>
              <w:bottom w:val="single" w:sz="8" w:space="0" w:color="auto"/>
              <w:right w:val="single" w:sz="8" w:space="0" w:color="auto"/>
            </w:tcBorders>
            <w:vAlign w:val="center"/>
          </w:tcPr>
          <w:p w:rsidR="00B17845" w:rsidRPr="00F74414" w:rsidRDefault="00B17845" w:rsidP="000546F6">
            <w:pPr>
              <w:jc w:val="center"/>
              <w:rPr>
                <w:rFonts w:ascii="Arial Narrow" w:hAnsi="Arial Narrow"/>
                <w:b/>
                <w:sz w:val="20"/>
                <w:szCs w:val="20"/>
              </w:rPr>
            </w:pPr>
            <w:r w:rsidRPr="00F74414">
              <w:rPr>
                <w:rFonts w:ascii="Arial Narrow" w:hAnsi="Arial Narrow"/>
                <w:b/>
                <w:sz w:val="20"/>
                <w:szCs w:val="20"/>
              </w:rPr>
              <w:t>Calendar years</w:t>
            </w:r>
          </w:p>
        </w:tc>
      </w:tr>
      <w:tr w:rsidR="00851F1E" w:rsidRPr="00752FB2" w:rsidTr="00851F1E">
        <w:tc>
          <w:tcPr>
            <w:tcW w:w="101" w:type="pct"/>
            <w:tcBorders>
              <w:top w:val="single" w:sz="8" w:space="0" w:color="auto"/>
              <w:left w:val="single" w:sz="8" w:space="0" w:color="auto"/>
            </w:tcBorders>
            <w:vAlign w:val="center"/>
          </w:tcPr>
          <w:p w:rsidR="00B17845" w:rsidRPr="002B0CF2" w:rsidRDefault="00B17845" w:rsidP="00B17845">
            <w:pPr>
              <w:jc w:val="center"/>
              <w:rPr>
                <w:rFonts w:ascii="Arial Narrow" w:hAnsi="Arial Narrow"/>
                <w:b/>
                <w:i/>
                <w:sz w:val="20"/>
                <w:szCs w:val="20"/>
              </w:rPr>
            </w:pPr>
          </w:p>
        </w:tc>
        <w:tc>
          <w:tcPr>
            <w:tcW w:w="2369" w:type="pct"/>
            <w:tcBorders>
              <w:top w:val="single" w:sz="8" w:space="0" w:color="auto"/>
            </w:tcBorders>
          </w:tcPr>
          <w:p w:rsidR="00B17845" w:rsidRPr="002B0CF2" w:rsidRDefault="00B17845" w:rsidP="002B0CF2">
            <w:pPr>
              <w:rPr>
                <w:rFonts w:ascii="Arial Narrow" w:hAnsi="Arial Narrow"/>
                <w:b/>
                <w:i/>
                <w:sz w:val="20"/>
                <w:szCs w:val="20"/>
              </w:rPr>
            </w:pPr>
            <w:r w:rsidRPr="002B0CF2">
              <w:rPr>
                <w:rFonts w:ascii="Arial Narrow" w:hAnsi="Arial Narrow"/>
                <w:b/>
                <w:i/>
                <w:sz w:val="20"/>
                <w:szCs w:val="20"/>
              </w:rPr>
              <w:t>Nivolumab (as per estimates for</w:t>
            </w:r>
            <w:r w:rsidR="0091030A" w:rsidRPr="002B0CF2">
              <w:rPr>
                <w:rFonts w:ascii="Arial Narrow" w:hAnsi="Arial Narrow"/>
                <w:b/>
                <w:i/>
                <w:sz w:val="20"/>
                <w:szCs w:val="20"/>
              </w:rPr>
              <w:t xml:space="preserve"> </w:t>
            </w:r>
            <w:r w:rsidR="002B0CF2" w:rsidRPr="002B0CF2">
              <w:rPr>
                <w:rFonts w:ascii="Arial Narrow" w:hAnsi="Arial Narrow"/>
                <w:b/>
                <w:i/>
                <w:sz w:val="20"/>
                <w:szCs w:val="20"/>
              </w:rPr>
              <w:t xml:space="preserve">the </w:t>
            </w:r>
            <w:r w:rsidR="0091030A" w:rsidRPr="002B0CF2">
              <w:rPr>
                <w:rFonts w:ascii="Arial Narrow" w:hAnsi="Arial Narrow"/>
                <w:b/>
                <w:i/>
                <w:sz w:val="20"/>
                <w:szCs w:val="20"/>
              </w:rPr>
              <w:t>PBS</w:t>
            </w:r>
            <w:r w:rsidRPr="002B0CF2">
              <w:rPr>
                <w:rFonts w:ascii="Arial Narrow" w:hAnsi="Arial Narrow"/>
                <w:b/>
                <w:i/>
                <w:sz w:val="20"/>
                <w:szCs w:val="20"/>
              </w:rPr>
              <w:t xml:space="preserve"> listing</w:t>
            </w:r>
            <w:r w:rsidR="002B0CF2" w:rsidRPr="002B0CF2">
              <w:rPr>
                <w:rFonts w:ascii="Arial Narrow" w:hAnsi="Arial Narrow"/>
                <w:b/>
                <w:i/>
                <w:sz w:val="20"/>
                <w:szCs w:val="20"/>
              </w:rPr>
              <w:t xml:space="preserve"> starting </w:t>
            </w:r>
            <w:r w:rsidRPr="002B0CF2">
              <w:rPr>
                <w:rFonts w:ascii="Arial Narrow" w:hAnsi="Arial Narrow"/>
                <w:b/>
                <w:i/>
                <w:sz w:val="20"/>
                <w:szCs w:val="20"/>
              </w:rPr>
              <w:t>1 Aug</w:t>
            </w:r>
            <w:r w:rsidR="0091030A" w:rsidRPr="002B0CF2">
              <w:rPr>
                <w:rFonts w:ascii="Arial Narrow" w:hAnsi="Arial Narrow"/>
                <w:b/>
                <w:i/>
                <w:sz w:val="20"/>
                <w:szCs w:val="20"/>
              </w:rPr>
              <w:t>ust</w:t>
            </w:r>
            <w:r w:rsidRPr="002B0CF2">
              <w:rPr>
                <w:rFonts w:ascii="Arial Narrow" w:hAnsi="Arial Narrow"/>
                <w:b/>
                <w:i/>
                <w:sz w:val="20"/>
                <w:szCs w:val="20"/>
              </w:rPr>
              <w:t xml:space="preserve"> 2017)</w:t>
            </w:r>
          </w:p>
        </w:tc>
        <w:tc>
          <w:tcPr>
            <w:tcW w:w="306" w:type="pct"/>
            <w:tcBorders>
              <w:top w:val="single" w:sz="8" w:space="0" w:color="auto"/>
            </w:tcBorders>
            <w:vAlign w:val="center"/>
          </w:tcPr>
          <w:p w:rsidR="00B17845" w:rsidRPr="00752FB2" w:rsidRDefault="00B17845" w:rsidP="000546F6">
            <w:pPr>
              <w:jc w:val="center"/>
              <w:rPr>
                <w:rFonts w:ascii="Arial Narrow" w:hAnsi="Arial Narrow"/>
                <w:b/>
                <w:sz w:val="20"/>
                <w:szCs w:val="20"/>
              </w:rPr>
            </w:pPr>
            <w:r w:rsidRPr="00752FB2">
              <w:rPr>
                <w:rFonts w:ascii="Arial Narrow" w:hAnsi="Arial Narrow"/>
                <w:b/>
                <w:sz w:val="20"/>
                <w:szCs w:val="20"/>
              </w:rPr>
              <w:t>1</w:t>
            </w:r>
          </w:p>
        </w:tc>
        <w:tc>
          <w:tcPr>
            <w:tcW w:w="384" w:type="pct"/>
            <w:tcBorders>
              <w:top w:val="single" w:sz="8" w:space="0" w:color="auto"/>
            </w:tcBorders>
            <w:vAlign w:val="center"/>
          </w:tcPr>
          <w:p w:rsidR="00B17845" w:rsidRPr="00752FB2" w:rsidRDefault="00B17845" w:rsidP="000546F6">
            <w:pPr>
              <w:jc w:val="center"/>
              <w:rPr>
                <w:rFonts w:ascii="Arial Narrow" w:hAnsi="Arial Narrow"/>
                <w:b/>
                <w:sz w:val="20"/>
                <w:szCs w:val="20"/>
              </w:rPr>
            </w:pPr>
            <w:r w:rsidRPr="00752FB2">
              <w:rPr>
                <w:rFonts w:ascii="Arial Narrow" w:hAnsi="Arial Narrow"/>
                <w:b/>
                <w:sz w:val="20"/>
                <w:szCs w:val="20"/>
              </w:rPr>
              <w:t>2</w:t>
            </w:r>
          </w:p>
        </w:tc>
        <w:tc>
          <w:tcPr>
            <w:tcW w:w="384" w:type="pct"/>
            <w:tcBorders>
              <w:top w:val="single" w:sz="8" w:space="0" w:color="auto"/>
            </w:tcBorders>
            <w:vAlign w:val="center"/>
          </w:tcPr>
          <w:p w:rsidR="00B17845" w:rsidRPr="00752FB2" w:rsidRDefault="00B17845" w:rsidP="000546F6">
            <w:pPr>
              <w:jc w:val="center"/>
              <w:rPr>
                <w:rFonts w:ascii="Arial Narrow" w:hAnsi="Arial Narrow"/>
                <w:b/>
                <w:sz w:val="20"/>
                <w:szCs w:val="20"/>
              </w:rPr>
            </w:pPr>
            <w:r w:rsidRPr="00752FB2">
              <w:rPr>
                <w:rFonts w:ascii="Arial Narrow" w:hAnsi="Arial Narrow"/>
                <w:b/>
                <w:sz w:val="20"/>
                <w:szCs w:val="20"/>
              </w:rPr>
              <w:t>3</w:t>
            </w:r>
          </w:p>
        </w:tc>
        <w:tc>
          <w:tcPr>
            <w:tcW w:w="385" w:type="pct"/>
            <w:tcBorders>
              <w:top w:val="single" w:sz="8" w:space="0" w:color="auto"/>
            </w:tcBorders>
            <w:vAlign w:val="center"/>
          </w:tcPr>
          <w:p w:rsidR="00B17845" w:rsidRPr="00752FB2" w:rsidRDefault="00B17845" w:rsidP="000546F6">
            <w:pPr>
              <w:jc w:val="center"/>
              <w:rPr>
                <w:rFonts w:ascii="Arial Narrow" w:hAnsi="Arial Narrow"/>
                <w:b/>
                <w:sz w:val="20"/>
                <w:szCs w:val="20"/>
              </w:rPr>
            </w:pPr>
            <w:r w:rsidRPr="00752FB2">
              <w:rPr>
                <w:rFonts w:ascii="Arial Narrow" w:hAnsi="Arial Narrow"/>
                <w:b/>
                <w:sz w:val="20"/>
                <w:szCs w:val="20"/>
              </w:rPr>
              <w:t>4</w:t>
            </w:r>
          </w:p>
        </w:tc>
        <w:tc>
          <w:tcPr>
            <w:tcW w:w="384" w:type="pct"/>
            <w:tcBorders>
              <w:top w:val="single" w:sz="8" w:space="0" w:color="auto"/>
            </w:tcBorders>
            <w:vAlign w:val="center"/>
          </w:tcPr>
          <w:p w:rsidR="00B17845" w:rsidRPr="00752FB2" w:rsidRDefault="00B17845" w:rsidP="000546F6">
            <w:pPr>
              <w:jc w:val="center"/>
              <w:rPr>
                <w:rFonts w:ascii="Arial Narrow" w:hAnsi="Arial Narrow"/>
                <w:b/>
                <w:sz w:val="20"/>
                <w:szCs w:val="20"/>
              </w:rPr>
            </w:pPr>
            <w:r w:rsidRPr="00752FB2">
              <w:rPr>
                <w:rFonts w:ascii="Arial Narrow" w:hAnsi="Arial Narrow"/>
                <w:b/>
                <w:sz w:val="20"/>
                <w:szCs w:val="20"/>
              </w:rPr>
              <w:t>5</w:t>
            </w:r>
          </w:p>
        </w:tc>
        <w:tc>
          <w:tcPr>
            <w:tcW w:w="385" w:type="pct"/>
            <w:tcBorders>
              <w:top w:val="single" w:sz="8" w:space="0" w:color="auto"/>
            </w:tcBorders>
            <w:vAlign w:val="center"/>
          </w:tcPr>
          <w:p w:rsidR="00B17845" w:rsidRPr="00752FB2" w:rsidRDefault="00B17845" w:rsidP="000546F6">
            <w:pPr>
              <w:jc w:val="center"/>
              <w:rPr>
                <w:rFonts w:ascii="Arial Narrow" w:hAnsi="Arial Narrow"/>
                <w:b/>
                <w:sz w:val="20"/>
                <w:szCs w:val="20"/>
              </w:rPr>
            </w:pPr>
            <w:r w:rsidRPr="00752FB2">
              <w:rPr>
                <w:rFonts w:ascii="Arial Narrow" w:hAnsi="Arial Narrow"/>
                <w:b/>
                <w:sz w:val="20"/>
                <w:szCs w:val="20"/>
              </w:rPr>
              <w:t>6</w:t>
            </w:r>
          </w:p>
        </w:tc>
        <w:tc>
          <w:tcPr>
            <w:tcW w:w="302" w:type="pct"/>
            <w:tcBorders>
              <w:top w:val="single" w:sz="8" w:space="0" w:color="auto"/>
              <w:right w:val="single" w:sz="8" w:space="0" w:color="auto"/>
            </w:tcBorders>
            <w:vAlign w:val="center"/>
          </w:tcPr>
          <w:p w:rsidR="00B17845" w:rsidRPr="00752FB2" w:rsidRDefault="00B17845" w:rsidP="000546F6">
            <w:pPr>
              <w:jc w:val="center"/>
              <w:rPr>
                <w:rFonts w:ascii="Arial Narrow" w:hAnsi="Arial Narrow"/>
                <w:b/>
                <w:sz w:val="20"/>
                <w:szCs w:val="20"/>
              </w:rPr>
            </w:pPr>
            <w:r w:rsidRPr="00752FB2">
              <w:rPr>
                <w:rFonts w:ascii="Arial Narrow" w:hAnsi="Arial Narrow"/>
                <w:b/>
                <w:sz w:val="20"/>
                <w:szCs w:val="20"/>
              </w:rPr>
              <w:t>–</w:t>
            </w:r>
          </w:p>
        </w:tc>
      </w:tr>
      <w:tr w:rsidR="00851F1E" w:rsidRPr="00752FB2" w:rsidTr="00851F1E">
        <w:tc>
          <w:tcPr>
            <w:tcW w:w="101" w:type="pct"/>
            <w:tcBorders>
              <w:left w:val="single" w:sz="8" w:space="0" w:color="auto"/>
              <w:bottom w:val="single" w:sz="4" w:space="0" w:color="auto"/>
            </w:tcBorders>
            <w:vAlign w:val="center"/>
          </w:tcPr>
          <w:p w:rsidR="00B17845" w:rsidRPr="002B0CF2" w:rsidRDefault="00B17845" w:rsidP="00B17845">
            <w:pPr>
              <w:jc w:val="center"/>
              <w:rPr>
                <w:rFonts w:ascii="Arial Narrow" w:hAnsi="Arial Narrow"/>
                <w:b/>
                <w:i/>
                <w:sz w:val="20"/>
                <w:szCs w:val="20"/>
              </w:rPr>
            </w:pPr>
          </w:p>
        </w:tc>
        <w:tc>
          <w:tcPr>
            <w:tcW w:w="2369" w:type="pct"/>
            <w:tcBorders>
              <w:bottom w:val="single" w:sz="4" w:space="0" w:color="auto"/>
            </w:tcBorders>
          </w:tcPr>
          <w:p w:rsidR="00B17845" w:rsidRPr="002B0CF2" w:rsidRDefault="00B17845" w:rsidP="000546F6">
            <w:pPr>
              <w:rPr>
                <w:rFonts w:ascii="Arial Narrow" w:hAnsi="Arial Narrow"/>
                <w:i/>
                <w:sz w:val="20"/>
                <w:szCs w:val="20"/>
              </w:rPr>
            </w:pPr>
            <w:r w:rsidRPr="002B0CF2">
              <w:rPr>
                <w:rFonts w:ascii="Arial Narrow" w:hAnsi="Arial Narrow"/>
                <w:i/>
                <w:sz w:val="20"/>
                <w:szCs w:val="20"/>
              </w:rPr>
              <w:t>Squamous</w:t>
            </w:r>
          </w:p>
        </w:tc>
        <w:tc>
          <w:tcPr>
            <w:tcW w:w="306" w:type="pct"/>
            <w:tcBorders>
              <w:bottom w:val="single" w:sz="4" w:space="0" w:color="auto"/>
            </w:tcBorders>
            <w:vAlign w:val="center"/>
          </w:tcPr>
          <w:p w:rsidR="00B17845" w:rsidRPr="00660757" w:rsidRDefault="00660757" w:rsidP="000546F6">
            <w:pPr>
              <w:jc w:val="center"/>
              <w:rPr>
                <w:rFonts w:ascii="Arial Narrow" w:hAnsi="Arial Narrow"/>
                <w:i/>
                <w:sz w:val="20"/>
                <w:szCs w:val="20"/>
                <w:highlight w:val="black"/>
              </w:rPr>
            </w:pPr>
            <w:r>
              <w:rPr>
                <w:rFonts w:ascii="Arial Narrow" w:hAnsi="Arial Narrow" w:cs="Arial"/>
                <w:i/>
                <w:noProof/>
                <w:color w:val="000000"/>
                <w:sz w:val="20"/>
                <w:szCs w:val="20"/>
                <w:highlight w:val="black"/>
              </w:rPr>
              <w:t>''''''''''''''</w:t>
            </w:r>
          </w:p>
        </w:tc>
        <w:tc>
          <w:tcPr>
            <w:tcW w:w="384" w:type="pct"/>
            <w:tcBorders>
              <w:bottom w:val="single" w:sz="4" w:space="0" w:color="auto"/>
            </w:tcBorders>
            <w:vAlign w:val="center"/>
          </w:tcPr>
          <w:p w:rsidR="00B17845" w:rsidRPr="00660757" w:rsidRDefault="00660757" w:rsidP="000546F6">
            <w:pPr>
              <w:jc w:val="center"/>
              <w:rPr>
                <w:rFonts w:ascii="Arial Narrow" w:hAnsi="Arial Narrow"/>
                <w:i/>
                <w:sz w:val="20"/>
                <w:szCs w:val="20"/>
                <w:highlight w:val="black"/>
              </w:rPr>
            </w:pPr>
            <w:r>
              <w:rPr>
                <w:rFonts w:ascii="Arial Narrow" w:hAnsi="Arial Narrow" w:cs="Arial"/>
                <w:i/>
                <w:noProof/>
                <w:color w:val="000000"/>
                <w:sz w:val="20"/>
                <w:szCs w:val="20"/>
                <w:highlight w:val="black"/>
              </w:rPr>
              <w:t>''''''''''''''</w:t>
            </w:r>
          </w:p>
        </w:tc>
        <w:tc>
          <w:tcPr>
            <w:tcW w:w="384" w:type="pct"/>
            <w:tcBorders>
              <w:bottom w:val="single" w:sz="4" w:space="0" w:color="auto"/>
            </w:tcBorders>
            <w:vAlign w:val="center"/>
          </w:tcPr>
          <w:p w:rsidR="00B17845" w:rsidRPr="00660757" w:rsidRDefault="00660757" w:rsidP="000546F6">
            <w:pPr>
              <w:jc w:val="center"/>
              <w:rPr>
                <w:rFonts w:ascii="Arial Narrow" w:hAnsi="Arial Narrow"/>
                <w:i/>
                <w:sz w:val="20"/>
                <w:szCs w:val="20"/>
                <w:highlight w:val="black"/>
              </w:rPr>
            </w:pPr>
            <w:r>
              <w:rPr>
                <w:rFonts w:ascii="Arial Narrow" w:hAnsi="Arial Narrow" w:cs="Arial"/>
                <w:i/>
                <w:noProof/>
                <w:color w:val="000000"/>
                <w:sz w:val="20"/>
                <w:szCs w:val="20"/>
                <w:highlight w:val="black"/>
              </w:rPr>
              <w:t>'''''''''''''</w:t>
            </w:r>
          </w:p>
        </w:tc>
        <w:tc>
          <w:tcPr>
            <w:tcW w:w="385" w:type="pct"/>
            <w:tcBorders>
              <w:bottom w:val="single" w:sz="4" w:space="0" w:color="auto"/>
            </w:tcBorders>
            <w:vAlign w:val="center"/>
          </w:tcPr>
          <w:p w:rsidR="00B17845" w:rsidRPr="00660757" w:rsidRDefault="00660757" w:rsidP="000546F6">
            <w:pPr>
              <w:jc w:val="center"/>
              <w:rPr>
                <w:rFonts w:ascii="Arial Narrow" w:hAnsi="Arial Narrow"/>
                <w:i/>
                <w:sz w:val="20"/>
                <w:szCs w:val="20"/>
                <w:highlight w:val="black"/>
              </w:rPr>
            </w:pPr>
            <w:r>
              <w:rPr>
                <w:rFonts w:ascii="Arial Narrow" w:hAnsi="Arial Narrow" w:cs="Arial"/>
                <w:i/>
                <w:noProof/>
                <w:color w:val="000000"/>
                <w:sz w:val="20"/>
                <w:szCs w:val="20"/>
                <w:highlight w:val="black"/>
              </w:rPr>
              <w:t>'''''''''''''</w:t>
            </w:r>
          </w:p>
        </w:tc>
        <w:tc>
          <w:tcPr>
            <w:tcW w:w="384" w:type="pct"/>
            <w:tcBorders>
              <w:bottom w:val="single" w:sz="4" w:space="0" w:color="auto"/>
            </w:tcBorders>
            <w:vAlign w:val="center"/>
          </w:tcPr>
          <w:p w:rsidR="00B17845" w:rsidRPr="00660757" w:rsidRDefault="00660757" w:rsidP="000546F6">
            <w:pPr>
              <w:jc w:val="center"/>
              <w:rPr>
                <w:rFonts w:ascii="Arial Narrow" w:hAnsi="Arial Narrow"/>
                <w:i/>
                <w:sz w:val="20"/>
                <w:szCs w:val="20"/>
                <w:highlight w:val="black"/>
              </w:rPr>
            </w:pPr>
            <w:r>
              <w:rPr>
                <w:rFonts w:ascii="Arial Narrow" w:hAnsi="Arial Narrow" w:cs="Arial"/>
                <w:i/>
                <w:noProof/>
                <w:color w:val="000000"/>
                <w:sz w:val="20"/>
                <w:szCs w:val="20"/>
                <w:highlight w:val="black"/>
              </w:rPr>
              <w:t>''''''''''''</w:t>
            </w:r>
          </w:p>
        </w:tc>
        <w:tc>
          <w:tcPr>
            <w:tcW w:w="385" w:type="pct"/>
            <w:tcBorders>
              <w:bottom w:val="single" w:sz="4" w:space="0" w:color="auto"/>
            </w:tcBorders>
            <w:vAlign w:val="center"/>
          </w:tcPr>
          <w:p w:rsidR="00B17845" w:rsidRPr="00660757" w:rsidRDefault="00660757" w:rsidP="000546F6">
            <w:pPr>
              <w:jc w:val="center"/>
              <w:rPr>
                <w:rFonts w:ascii="Arial Narrow" w:hAnsi="Arial Narrow"/>
                <w:i/>
                <w:sz w:val="20"/>
                <w:szCs w:val="20"/>
                <w:highlight w:val="black"/>
              </w:rPr>
            </w:pPr>
            <w:r>
              <w:rPr>
                <w:rFonts w:ascii="Arial Narrow" w:hAnsi="Arial Narrow" w:cs="Arial"/>
                <w:i/>
                <w:noProof/>
                <w:color w:val="000000"/>
                <w:sz w:val="20"/>
                <w:szCs w:val="20"/>
                <w:highlight w:val="black"/>
              </w:rPr>
              <w:t>''''''''''''''</w:t>
            </w:r>
          </w:p>
        </w:tc>
        <w:tc>
          <w:tcPr>
            <w:tcW w:w="302" w:type="pct"/>
            <w:tcBorders>
              <w:bottom w:val="single" w:sz="4" w:space="0" w:color="auto"/>
              <w:right w:val="single" w:sz="8" w:space="0" w:color="auto"/>
            </w:tcBorders>
            <w:vAlign w:val="center"/>
          </w:tcPr>
          <w:p w:rsidR="00B17845" w:rsidRPr="00752FB2" w:rsidRDefault="00B17845" w:rsidP="000546F6">
            <w:pPr>
              <w:jc w:val="center"/>
              <w:rPr>
                <w:rFonts w:ascii="Arial Narrow" w:hAnsi="Arial Narrow"/>
                <w:sz w:val="20"/>
                <w:szCs w:val="20"/>
              </w:rPr>
            </w:pPr>
            <w:r w:rsidRPr="00752FB2">
              <w:rPr>
                <w:rFonts w:ascii="Arial Narrow" w:hAnsi="Arial Narrow"/>
                <w:sz w:val="20"/>
                <w:szCs w:val="20"/>
              </w:rPr>
              <w:t>–</w:t>
            </w:r>
          </w:p>
        </w:tc>
      </w:tr>
      <w:tr w:rsidR="00851F1E" w:rsidRPr="00752FB2" w:rsidTr="00851F1E">
        <w:tc>
          <w:tcPr>
            <w:tcW w:w="101" w:type="pct"/>
            <w:tcBorders>
              <w:left w:val="single" w:sz="8" w:space="0" w:color="auto"/>
              <w:bottom w:val="single" w:sz="8" w:space="0" w:color="auto"/>
            </w:tcBorders>
            <w:vAlign w:val="center"/>
          </w:tcPr>
          <w:p w:rsidR="00B17845" w:rsidRPr="002B0CF2" w:rsidRDefault="00B17845" w:rsidP="00B17845">
            <w:pPr>
              <w:jc w:val="center"/>
              <w:rPr>
                <w:rFonts w:ascii="Arial Narrow" w:hAnsi="Arial Narrow"/>
                <w:b/>
                <w:i/>
                <w:sz w:val="20"/>
                <w:szCs w:val="20"/>
              </w:rPr>
            </w:pPr>
          </w:p>
        </w:tc>
        <w:tc>
          <w:tcPr>
            <w:tcW w:w="2369" w:type="pct"/>
            <w:tcBorders>
              <w:bottom w:val="single" w:sz="8" w:space="0" w:color="auto"/>
            </w:tcBorders>
          </w:tcPr>
          <w:p w:rsidR="00B17845" w:rsidRPr="002B0CF2" w:rsidRDefault="00B17845" w:rsidP="000546F6">
            <w:pPr>
              <w:rPr>
                <w:rFonts w:ascii="Arial Narrow" w:hAnsi="Arial Narrow"/>
                <w:i/>
                <w:sz w:val="20"/>
                <w:szCs w:val="20"/>
              </w:rPr>
            </w:pPr>
            <w:r w:rsidRPr="002B0CF2">
              <w:rPr>
                <w:rFonts w:ascii="Arial Narrow" w:hAnsi="Arial Narrow"/>
                <w:i/>
                <w:sz w:val="20"/>
                <w:szCs w:val="20"/>
              </w:rPr>
              <w:t>Non-squamous</w:t>
            </w:r>
          </w:p>
        </w:tc>
        <w:tc>
          <w:tcPr>
            <w:tcW w:w="306" w:type="pct"/>
            <w:tcBorders>
              <w:bottom w:val="single" w:sz="8" w:space="0" w:color="auto"/>
            </w:tcBorders>
            <w:vAlign w:val="center"/>
          </w:tcPr>
          <w:p w:rsidR="00B17845" w:rsidRPr="00660757" w:rsidRDefault="00660757" w:rsidP="000546F6">
            <w:pPr>
              <w:jc w:val="center"/>
              <w:rPr>
                <w:rFonts w:ascii="Arial Narrow" w:hAnsi="Arial Narrow"/>
                <w:i/>
                <w:sz w:val="20"/>
                <w:szCs w:val="20"/>
                <w:highlight w:val="black"/>
              </w:rPr>
            </w:pPr>
            <w:r>
              <w:rPr>
                <w:rFonts w:ascii="Arial Narrow" w:hAnsi="Arial Narrow" w:cs="Arial"/>
                <w:i/>
                <w:noProof/>
                <w:color w:val="000000"/>
                <w:sz w:val="20"/>
                <w:szCs w:val="20"/>
                <w:highlight w:val="black"/>
              </w:rPr>
              <w:t>''''''''''''''</w:t>
            </w:r>
          </w:p>
        </w:tc>
        <w:tc>
          <w:tcPr>
            <w:tcW w:w="384" w:type="pct"/>
            <w:tcBorders>
              <w:bottom w:val="single" w:sz="8" w:space="0" w:color="auto"/>
            </w:tcBorders>
            <w:vAlign w:val="center"/>
          </w:tcPr>
          <w:p w:rsidR="00B17845" w:rsidRPr="00660757" w:rsidRDefault="00660757" w:rsidP="000546F6">
            <w:pPr>
              <w:jc w:val="center"/>
              <w:rPr>
                <w:rFonts w:ascii="Arial Narrow" w:hAnsi="Arial Narrow"/>
                <w:i/>
                <w:sz w:val="20"/>
                <w:szCs w:val="20"/>
                <w:highlight w:val="black"/>
              </w:rPr>
            </w:pPr>
            <w:r>
              <w:rPr>
                <w:rFonts w:ascii="Arial Narrow" w:hAnsi="Arial Narrow" w:cs="Arial"/>
                <w:i/>
                <w:noProof/>
                <w:color w:val="000000"/>
                <w:sz w:val="20"/>
                <w:szCs w:val="20"/>
                <w:highlight w:val="black"/>
              </w:rPr>
              <w:t>'''''''''''''</w:t>
            </w:r>
          </w:p>
        </w:tc>
        <w:tc>
          <w:tcPr>
            <w:tcW w:w="384" w:type="pct"/>
            <w:tcBorders>
              <w:bottom w:val="single" w:sz="8" w:space="0" w:color="auto"/>
            </w:tcBorders>
            <w:vAlign w:val="center"/>
          </w:tcPr>
          <w:p w:rsidR="00B17845" w:rsidRPr="00660757" w:rsidRDefault="00660757" w:rsidP="000546F6">
            <w:pPr>
              <w:jc w:val="center"/>
              <w:rPr>
                <w:rFonts w:ascii="Arial Narrow" w:hAnsi="Arial Narrow"/>
                <w:i/>
                <w:sz w:val="20"/>
                <w:szCs w:val="20"/>
                <w:highlight w:val="black"/>
              </w:rPr>
            </w:pPr>
            <w:r>
              <w:rPr>
                <w:rFonts w:ascii="Arial Narrow" w:hAnsi="Arial Narrow" w:cs="Arial"/>
                <w:i/>
                <w:noProof/>
                <w:color w:val="000000"/>
                <w:sz w:val="20"/>
                <w:szCs w:val="20"/>
                <w:highlight w:val="black"/>
              </w:rPr>
              <w:t>''''''''''''</w:t>
            </w:r>
          </w:p>
        </w:tc>
        <w:tc>
          <w:tcPr>
            <w:tcW w:w="385" w:type="pct"/>
            <w:tcBorders>
              <w:bottom w:val="single" w:sz="8" w:space="0" w:color="auto"/>
            </w:tcBorders>
            <w:vAlign w:val="center"/>
          </w:tcPr>
          <w:p w:rsidR="00B17845" w:rsidRPr="00660757" w:rsidRDefault="00660757" w:rsidP="000546F6">
            <w:pPr>
              <w:jc w:val="center"/>
              <w:rPr>
                <w:rFonts w:ascii="Arial Narrow" w:hAnsi="Arial Narrow"/>
                <w:i/>
                <w:sz w:val="20"/>
                <w:szCs w:val="20"/>
                <w:highlight w:val="black"/>
              </w:rPr>
            </w:pPr>
            <w:r>
              <w:rPr>
                <w:rFonts w:ascii="Arial Narrow" w:hAnsi="Arial Narrow" w:cs="Arial"/>
                <w:i/>
                <w:noProof/>
                <w:color w:val="000000"/>
                <w:sz w:val="20"/>
                <w:szCs w:val="20"/>
                <w:highlight w:val="black"/>
              </w:rPr>
              <w:t>''''''''''''''</w:t>
            </w:r>
          </w:p>
        </w:tc>
        <w:tc>
          <w:tcPr>
            <w:tcW w:w="384" w:type="pct"/>
            <w:tcBorders>
              <w:bottom w:val="single" w:sz="8" w:space="0" w:color="auto"/>
            </w:tcBorders>
            <w:vAlign w:val="center"/>
          </w:tcPr>
          <w:p w:rsidR="00B17845" w:rsidRPr="00660757" w:rsidRDefault="00660757" w:rsidP="000546F6">
            <w:pPr>
              <w:jc w:val="center"/>
              <w:rPr>
                <w:rFonts w:ascii="Arial Narrow" w:hAnsi="Arial Narrow"/>
                <w:i/>
                <w:sz w:val="20"/>
                <w:szCs w:val="20"/>
                <w:highlight w:val="black"/>
              </w:rPr>
            </w:pPr>
            <w:r>
              <w:rPr>
                <w:rFonts w:ascii="Arial Narrow" w:hAnsi="Arial Narrow" w:cs="Arial"/>
                <w:i/>
                <w:noProof/>
                <w:color w:val="000000"/>
                <w:sz w:val="20"/>
                <w:szCs w:val="20"/>
                <w:highlight w:val="black"/>
              </w:rPr>
              <w:t>'''''''''''''''</w:t>
            </w:r>
          </w:p>
        </w:tc>
        <w:tc>
          <w:tcPr>
            <w:tcW w:w="385" w:type="pct"/>
            <w:tcBorders>
              <w:bottom w:val="single" w:sz="8" w:space="0" w:color="auto"/>
            </w:tcBorders>
            <w:vAlign w:val="center"/>
          </w:tcPr>
          <w:p w:rsidR="00B17845" w:rsidRPr="00660757" w:rsidRDefault="00660757" w:rsidP="000546F6">
            <w:pPr>
              <w:jc w:val="center"/>
              <w:rPr>
                <w:rFonts w:ascii="Arial Narrow" w:hAnsi="Arial Narrow"/>
                <w:i/>
                <w:sz w:val="20"/>
                <w:szCs w:val="20"/>
                <w:highlight w:val="black"/>
              </w:rPr>
            </w:pPr>
            <w:r>
              <w:rPr>
                <w:rFonts w:ascii="Arial Narrow" w:hAnsi="Arial Narrow" w:cs="Arial"/>
                <w:i/>
                <w:noProof/>
                <w:color w:val="000000"/>
                <w:sz w:val="20"/>
                <w:szCs w:val="20"/>
                <w:highlight w:val="black"/>
              </w:rPr>
              <w:t>''''''''''''''</w:t>
            </w:r>
          </w:p>
        </w:tc>
        <w:tc>
          <w:tcPr>
            <w:tcW w:w="302" w:type="pct"/>
            <w:tcBorders>
              <w:bottom w:val="single" w:sz="8" w:space="0" w:color="auto"/>
              <w:right w:val="single" w:sz="8" w:space="0" w:color="auto"/>
            </w:tcBorders>
            <w:vAlign w:val="center"/>
          </w:tcPr>
          <w:p w:rsidR="00B17845" w:rsidRPr="00752FB2" w:rsidRDefault="00B17845" w:rsidP="000546F6">
            <w:pPr>
              <w:jc w:val="center"/>
              <w:rPr>
                <w:rFonts w:ascii="Arial Narrow" w:hAnsi="Arial Narrow"/>
                <w:sz w:val="20"/>
                <w:szCs w:val="20"/>
              </w:rPr>
            </w:pPr>
            <w:r w:rsidRPr="00752FB2">
              <w:rPr>
                <w:rFonts w:ascii="Arial Narrow" w:hAnsi="Arial Narrow"/>
                <w:sz w:val="20"/>
                <w:szCs w:val="20"/>
              </w:rPr>
              <w:t>–</w:t>
            </w:r>
          </w:p>
        </w:tc>
      </w:tr>
      <w:tr w:rsidR="00851F1E" w:rsidRPr="00752FB2" w:rsidTr="00851F1E">
        <w:tc>
          <w:tcPr>
            <w:tcW w:w="101" w:type="pct"/>
            <w:tcBorders>
              <w:top w:val="single" w:sz="8" w:space="0" w:color="auto"/>
              <w:left w:val="single" w:sz="8" w:space="0" w:color="auto"/>
              <w:bottom w:val="thinThickSmallGap" w:sz="12" w:space="0" w:color="auto"/>
            </w:tcBorders>
            <w:vAlign w:val="center"/>
          </w:tcPr>
          <w:p w:rsidR="00B17845" w:rsidRPr="002B0CF2" w:rsidRDefault="00B17845" w:rsidP="00B17845">
            <w:pPr>
              <w:jc w:val="center"/>
              <w:rPr>
                <w:rFonts w:ascii="Arial Narrow" w:hAnsi="Arial Narrow"/>
                <w:b/>
                <w:i/>
                <w:sz w:val="20"/>
                <w:szCs w:val="20"/>
              </w:rPr>
            </w:pPr>
            <w:r w:rsidRPr="002B0CF2">
              <w:rPr>
                <w:rFonts w:ascii="Arial Narrow" w:hAnsi="Arial Narrow"/>
                <w:b/>
                <w:i/>
                <w:sz w:val="20"/>
                <w:szCs w:val="20"/>
              </w:rPr>
              <w:t>A</w:t>
            </w:r>
          </w:p>
        </w:tc>
        <w:tc>
          <w:tcPr>
            <w:tcW w:w="2369" w:type="pct"/>
            <w:tcBorders>
              <w:top w:val="single" w:sz="8" w:space="0" w:color="auto"/>
              <w:bottom w:val="thinThickSmallGap" w:sz="12" w:space="0" w:color="auto"/>
            </w:tcBorders>
          </w:tcPr>
          <w:p w:rsidR="00B17845" w:rsidRPr="002B0CF2" w:rsidRDefault="00B17845" w:rsidP="000546F6">
            <w:pPr>
              <w:rPr>
                <w:rFonts w:ascii="Arial Narrow" w:hAnsi="Arial Narrow"/>
                <w:i/>
                <w:sz w:val="20"/>
                <w:szCs w:val="20"/>
              </w:rPr>
            </w:pPr>
            <w:r w:rsidRPr="002B0CF2">
              <w:rPr>
                <w:rFonts w:ascii="Arial Narrow" w:hAnsi="Arial Narrow"/>
                <w:i/>
                <w:sz w:val="20"/>
                <w:szCs w:val="20"/>
              </w:rPr>
              <w:t>Total</w:t>
            </w:r>
          </w:p>
        </w:tc>
        <w:tc>
          <w:tcPr>
            <w:tcW w:w="306" w:type="pct"/>
            <w:tcBorders>
              <w:top w:val="single" w:sz="8" w:space="0" w:color="auto"/>
              <w:bottom w:val="thinThickSmallGap" w:sz="12" w:space="0" w:color="auto"/>
            </w:tcBorders>
            <w:vAlign w:val="center"/>
          </w:tcPr>
          <w:p w:rsidR="00B17845" w:rsidRPr="00660757" w:rsidRDefault="00660757" w:rsidP="000546F6">
            <w:pPr>
              <w:jc w:val="center"/>
              <w:rPr>
                <w:rFonts w:ascii="Arial Narrow" w:hAnsi="Arial Narrow"/>
                <w:i/>
                <w:sz w:val="20"/>
                <w:szCs w:val="20"/>
                <w:highlight w:val="black"/>
              </w:rPr>
            </w:pPr>
            <w:r>
              <w:rPr>
                <w:rFonts w:ascii="Arial Narrow" w:hAnsi="Arial Narrow" w:cs="Arial"/>
                <w:i/>
                <w:noProof/>
                <w:color w:val="000000"/>
                <w:sz w:val="20"/>
                <w:szCs w:val="20"/>
                <w:highlight w:val="black"/>
              </w:rPr>
              <w:t>'''''''''''''</w:t>
            </w:r>
          </w:p>
        </w:tc>
        <w:tc>
          <w:tcPr>
            <w:tcW w:w="384" w:type="pct"/>
            <w:tcBorders>
              <w:top w:val="single" w:sz="8" w:space="0" w:color="auto"/>
              <w:bottom w:val="thinThickSmallGap" w:sz="12" w:space="0" w:color="auto"/>
            </w:tcBorders>
            <w:vAlign w:val="center"/>
          </w:tcPr>
          <w:p w:rsidR="00B17845" w:rsidRPr="00660757" w:rsidRDefault="00660757" w:rsidP="000546F6">
            <w:pPr>
              <w:jc w:val="center"/>
              <w:rPr>
                <w:rFonts w:ascii="Arial Narrow" w:hAnsi="Arial Narrow"/>
                <w:i/>
                <w:sz w:val="20"/>
                <w:szCs w:val="20"/>
                <w:highlight w:val="black"/>
              </w:rPr>
            </w:pPr>
            <w:r>
              <w:rPr>
                <w:rFonts w:ascii="Arial Narrow" w:hAnsi="Arial Narrow" w:cs="Arial"/>
                <w:i/>
                <w:noProof/>
                <w:color w:val="000000"/>
                <w:sz w:val="20"/>
                <w:szCs w:val="20"/>
                <w:highlight w:val="black"/>
              </w:rPr>
              <w:t>''''''''''''</w:t>
            </w:r>
          </w:p>
        </w:tc>
        <w:tc>
          <w:tcPr>
            <w:tcW w:w="384" w:type="pct"/>
            <w:tcBorders>
              <w:top w:val="single" w:sz="8" w:space="0" w:color="auto"/>
              <w:bottom w:val="thinThickSmallGap" w:sz="12" w:space="0" w:color="auto"/>
            </w:tcBorders>
            <w:vAlign w:val="center"/>
          </w:tcPr>
          <w:p w:rsidR="00B17845" w:rsidRPr="00660757" w:rsidRDefault="00660757" w:rsidP="000546F6">
            <w:pPr>
              <w:jc w:val="center"/>
              <w:rPr>
                <w:rFonts w:ascii="Arial Narrow" w:hAnsi="Arial Narrow"/>
                <w:i/>
                <w:sz w:val="20"/>
                <w:szCs w:val="20"/>
                <w:highlight w:val="black"/>
              </w:rPr>
            </w:pPr>
            <w:r>
              <w:rPr>
                <w:rFonts w:ascii="Arial Narrow" w:hAnsi="Arial Narrow" w:cs="Arial"/>
                <w:i/>
                <w:noProof/>
                <w:color w:val="000000"/>
                <w:sz w:val="20"/>
                <w:szCs w:val="20"/>
                <w:highlight w:val="black"/>
              </w:rPr>
              <w:t>'''''''''''''</w:t>
            </w:r>
          </w:p>
        </w:tc>
        <w:tc>
          <w:tcPr>
            <w:tcW w:w="385" w:type="pct"/>
            <w:tcBorders>
              <w:top w:val="single" w:sz="8" w:space="0" w:color="auto"/>
              <w:bottom w:val="thinThickSmallGap" w:sz="12" w:space="0" w:color="auto"/>
            </w:tcBorders>
            <w:vAlign w:val="center"/>
          </w:tcPr>
          <w:p w:rsidR="00B17845" w:rsidRPr="00660757" w:rsidRDefault="00660757" w:rsidP="000546F6">
            <w:pPr>
              <w:jc w:val="center"/>
              <w:rPr>
                <w:rFonts w:ascii="Arial Narrow" w:hAnsi="Arial Narrow"/>
                <w:i/>
                <w:sz w:val="20"/>
                <w:szCs w:val="20"/>
                <w:highlight w:val="black"/>
              </w:rPr>
            </w:pPr>
            <w:r>
              <w:rPr>
                <w:rFonts w:ascii="Arial Narrow" w:hAnsi="Arial Narrow" w:cs="Arial"/>
                <w:i/>
                <w:noProof/>
                <w:color w:val="000000"/>
                <w:sz w:val="20"/>
                <w:szCs w:val="20"/>
                <w:highlight w:val="black"/>
              </w:rPr>
              <w:t>''''''''''''</w:t>
            </w:r>
          </w:p>
        </w:tc>
        <w:tc>
          <w:tcPr>
            <w:tcW w:w="384" w:type="pct"/>
            <w:tcBorders>
              <w:top w:val="single" w:sz="8" w:space="0" w:color="auto"/>
              <w:bottom w:val="thinThickSmallGap" w:sz="12" w:space="0" w:color="auto"/>
            </w:tcBorders>
            <w:vAlign w:val="center"/>
          </w:tcPr>
          <w:p w:rsidR="00B17845" w:rsidRPr="00660757" w:rsidRDefault="00660757" w:rsidP="000546F6">
            <w:pPr>
              <w:jc w:val="center"/>
              <w:rPr>
                <w:rFonts w:ascii="Arial Narrow" w:hAnsi="Arial Narrow"/>
                <w:i/>
                <w:sz w:val="20"/>
                <w:szCs w:val="20"/>
                <w:highlight w:val="black"/>
              </w:rPr>
            </w:pPr>
            <w:r>
              <w:rPr>
                <w:rFonts w:ascii="Arial Narrow" w:hAnsi="Arial Narrow" w:cs="Arial"/>
                <w:i/>
                <w:noProof/>
                <w:color w:val="000000"/>
                <w:sz w:val="20"/>
                <w:szCs w:val="20"/>
                <w:highlight w:val="black"/>
              </w:rPr>
              <w:t>''''''''''''''</w:t>
            </w:r>
          </w:p>
        </w:tc>
        <w:tc>
          <w:tcPr>
            <w:tcW w:w="385" w:type="pct"/>
            <w:tcBorders>
              <w:top w:val="single" w:sz="8" w:space="0" w:color="auto"/>
              <w:bottom w:val="thinThickSmallGap" w:sz="12" w:space="0" w:color="auto"/>
            </w:tcBorders>
            <w:vAlign w:val="center"/>
          </w:tcPr>
          <w:p w:rsidR="00B17845" w:rsidRPr="00660757" w:rsidRDefault="00660757" w:rsidP="000546F6">
            <w:pPr>
              <w:jc w:val="center"/>
              <w:rPr>
                <w:rFonts w:ascii="Arial Narrow" w:hAnsi="Arial Narrow"/>
                <w:i/>
                <w:sz w:val="20"/>
                <w:szCs w:val="20"/>
                <w:highlight w:val="black"/>
              </w:rPr>
            </w:pPr>
            <w:r>
              <w:rPr>
                <w:rFonts w:ascii="Arial Narrow" w:hAnsi="Arial Narrow" w:cs="Arial"/>
                <w:i/>
                <w:noProof/>
                <w:color w:val="000000"/>
                <w:sz w:val="20"/>
                <w:szCs w:val="20"/>
                <w:highlight w:val="black"/>
              </w:rPr>
              <w:t>'''''''''''''</w:t>
            </w:r>
          </w:p>
        </w:tc>
        <w:tc>
          <w:tcPr>
            <w:tcW w:w="302" w:type="pct"/>
            <w:tcBorders>
              <w:top w:val="single" w:sz="8" w:space="0" w:color="auto"/>
              <w:bottom w:val="thinThickSmallGap" w:sz="12" w:space="0" w:color="auto"/>
              <w:right w:val="single" w:sz="8" w:space="0" w:color="auto"/>
            </w:tcBorders>
            <w:vAlign w:val="center"/>
          </w:tcPr>
          <w:p w:rsidR="00B17845" w:rsidRPr="00752FB2" w:rsidRDefault="00B17845" w:rsidP="000546F6">
            <w:pPr>
              <w:jc w:val="center"/>
              <w:rPr>
                <w:rFonts w:ascii="Arial Narrow" w:hAnsi="Arial Narrow"/>
                <w:sz w:val="20"/>
                <w:szCs w:val="20"/>
              </w:rPr>
            </w:pPr>
            <w:r w:rsidRPr="00752FB2">
              <w:rPr>
                <w:rFonts w:ascii="Arial Narrow" w:hAnsi="Arial Narrow"/>
                <w:sz w:val="20"/>
                <w:szCs w:val="20"/>
              </w:rPr>
              <w:t>–</w:t>
            </w:r>
          </w:p>
        </w:tc>
      </w:tr>
      <w:tr w:rsidR="00851F1E" w:rsidRPr="00752FB2" w:rsidTr="00851F1E">
        <w:tc>
          <w:tcPr>
            <w:tcW w:w="101" w:type="pct"/>
            <w:tcBorders>
              <w:top w:val="thinThickSmallGap" w:sz="12" w:space="0" w:color="auto"/>
              <w:left w:val="single" w:sz="8" w:space="0" w:color="auto"/>
            </w:tcBorders>
            <w:vAlign w:val="center"/>
          </w:tcPr>
          <w:p w:rsidR="00B17845" w:rsidRPr="00F74414" w:rsidRDefault="00B17845" w:rsidP="00B17845">
            <w:pPr>
              <w:jc w:val="center"/>
              <w:rPr>
                <w:rFonts w:ascii="Arial Narrow" w:hAnsi="Arial Narrow"/>
                <w:b/>
                <w:sz w:val="20"/>
                <w:szCs w:val="20"/>
              </w:rPr>
            </w:pPr>
          </w:p>
        </w:tc>
        <w:tc>
          <w:tcPr>
            <w:tcW w:w="2369" w:type="pct"/>
            <w:tcBorders>
              <w:top w:val="thinThickSmallGap" w:sz="12" w:space="0" w:color="auto"/>
            </w:tcBorders>
          </w:tcPr>
          <w:p w:rsidR="00B17845" w:rsidRPr="00752FB2" w:rsidRDefault="00B17845" w:rsidP="000546F6">
            <w:pPr>
              <w:rPr>
                <w:rFonts w:ascii="Arial Narrow" w:hAnsi="Arial Narrow"/>
                <w:b/>
                <w:sz w:val="20"/>
                <w:szCs w:val="20"/>
              </w:rPr>
            </w:pPr>
            <w:r w:rsidRPr="00752FB2">
              <w:rPr>
                <w:rFonts w:ascii="Arial Narrow" w:hAnsi="Arial Narrow"/>
                <w:b/>
                <w:sz w:val="20"/>
                <w:szCs w:val="20"/>
              </w:rPr>
              <w:t>Pembrolizumab</w:t>
            </w:r>
            <w:r>
              <w:rPr>
                <w:rFonts w:ascii="Arial Narrow" w:hAnsi="Arial Narrow"/>
                <w:b/>
                <w:sz w:val="20"/>
                <w:szCs w:val="20"/>
              </w:rPr>
              <w:t xml:space="preserve"> (as per minor resubmission)</w:t>
            </w:r>
          </w:p>
        </w:tc>
        <w:tc>
          <w:tcPr>
            <w:tcW w:w="306" w:type="pct"/>
            <w:tcBorders>
              <w:top w:val="thinThickSmallGap" w:sz="12" w:space="0" w:color="auto"/>
            </w:tcBorders>
            <w:vAlign w:val="center"/>
          </w:tcPr>
          <w:p w:rsidR="00B17845" w:rsidRPr="00655231" w:rsidRDefault="00B17845" w:rsidP="000546F6">
            <w:pPr>
              <w:jc w:val="center"/>
              <w:rPr>
                <w:rFonts w:ascii="Arial Narrow" w:hAnsi="Arial Narrow"/>
                <w:b/>
                <w:sz w:val="20"/>
                <w:szCs w:val="20"/>
              </w:rPr>
            </w:pPr>
            <w:r w:rsidRPr="00655231">
              <w:rPr>
                <w:rFonts w:ascii="Arial Narrow" w:hAnsi="Arial Narrow"/>
                <w:b/>
                <w:sz w:val="20"/>
                <w:szCs w:val="20"/>
              </w:rPr>
              <w:t>–</w:t>
            </w:r>
          </w:p>
        </w:tc>
        <w:tc>
          <w:tcPr>
            <w:tcW w:w="384" w:type="pct"/>
            <w:tcBorders>
              <w:top w:val="thinThickSmallGap" w:sz="12" w:space="0" w:color="auto"/>
            </w:tcBorders>
            <w:vAlign w:val="center"/>
          </w:tcPr>
          <w:p w:rsidR="00B17845" w:rsidRPr="00655231" w:rsidRDefault="00B17845" w:rsidP="000546F6">
            <w:pPr>
              <w:jc w:val="center"/>
              <w:rPr>
                <w:rFonts w:ascii="Arial Narrow" w:hAnsi="Arial Narrow"/>
                <w:b/>
                <w:sz w:val="20"/>
                <w:szCs w:val="20"/>
              </w:rPr>
            </w:pPr>
            <w:r w:rsidRPr="00655231">
              <w:rPr>
                <w:rFonts w:ascii="Arial Narrow" w:hAnsi="Arial Narrow"/>
                <w:b/>
                <w:sz w:val="20"/>
                <w:szCs w:val="20"/>
              </w:rPr>
              <w:t>1</w:t>
            </w:r>
          </w:p>
        </w:tc>
        <w:tc>
          <w:tcPr>
            <w:tcW w:w="384" w:type="pct"/>
            <w:tcBorders>
              <w:top w:val="thinThickSmallGap" w:sz="12" w:space="0" w:color="auto"/>
            </w:tcBorders>
            <w:vAlign w:val="center"/>
          </w:tcPr>
          <w:p w:rsidR="00B17845" w:rsidRPr="00655231" w:rsidRDefault="00B17845" w:rsidP="000546F6">
            <w:pPr>
              <w:jc w:val="center"/>
              <w:rPr>
                <w:rFonts w:ascii="Arial Narrow" w:hAnsi="Arial Narrow"/>
                <w:b/>
                <w:sz w:val="20"/>
                <w:szCs w:val="20"/>
              </w:rPr>
            </w:pPr>
            <w:r w:rsidRPr="00655231">
              <w:rPr>
                <w:rFonts w:ascii="Arial Narrow" w:hAnsi="Arial Narrow"/>
                <w:b/>
                <w:sz w:val="20"/>
                <w:szCs w:val="20"/>
              </w:rPr>
              <w:t>2</w:t>
            </w:r>
          </w:p>
        </w:tc>
        <w:tc>
          <w:tcPr>
            <w:tcW w:w="385" w:type="pct"/>
            <w:tcBorders>
              <w:top w:val="thinThickSmallGap" w:sz="12" w:space="0" w:color="auto"/>
            </w:tcBorders>
            <w:vAlign w:val="center"/>
          </w:tcPr>
          <w:p w:rsidR="00B17845" w:rsidRPr="00655231" w:rsidRDefault="00B17845" w:rsidP="000546F6">
            <w:pPr>
              <w:jc w:val="center"/>
              <w:rPr>
                <w:rFonts w:ascii="Arial Narrow" w:hAnsi="Arial Narrow"/>
                <w:b/>
                <w:sz w:val="20"/>
                <w:szCs w:val="20"/>
              </w:rPr>
            </w:pPr>
            <w:r w:rsidRPr="00655231">
              <w:rPr>
                <w:rFonts w:ascii="Arial Narrow" w:hAnsi="Arial Narrow"/>
                <w:b/>
                <w:sz w:val="20"/>
                <w:szCs w:val="20"/>
              </w:rPr>
              <w:t>3</w:t>
            </w:r>
          </w:p>
        </w:tc>
        <w:tc>
          <w:tcPr>
            <w:tcW w:w="384" w:type="pct"/>
            <w:tcBorders>
              <w:top w:val="thinThickSmallGap" w:sz="12" w:space="0" w:color="auto"/>
            </w:tcBorders>
            <w:vAlign w:val="center"/>
          </w:tcPr>
          <w:p w:rsidR="00B17845" w:rsidRPr="00655231" w:rsidRDefault="00B17845" w:rsidP="000546F6">
            <w:pPr>
              <w:jc w:val="center"/>
              <w:rPr>
                <w:rFonts w:ascii="Arial Narrow" w:hAnsi="Arial Narrow"/>
                <w:b/>
                <w:sz w:val="20"/>
                <w:szCs w:val="20"/>
              </w:rPr>
            </w:pPr>
            <w:r w:rsidRPr="00655231">
              <w:rPr>
                <w:rFonts w:ascii="Arial Narrow" w:hAnsi="Arial Narrow"/>
                <w:b/>
                <w:sz w:val="20"/>
                <w:szCs w:val="20"/>
              </w:rPr>
              <w:t>4</w:t>
            </w:r>
          </w:p>
        </w:tc>
        <w:tc>
          <w:tcPr>
            <w:tcW w:w="385" w:type="pct"/>
            <w:tcBorders>
              <w:top w:val="thinThickSmallGap" w:sz="12" w:space="0" w:color="auto"/>
            </w:tcBorders>
            <w:vAlign w:val="center"/>
          </w:tcPr>
          <w:p w:rsidR="00B17845" w:rsidRPr="00655231" w:rsidRDefault="00B17845" w:rsidP="000546F6">
            <w:pPr>
              <w:jc w:val="center"/>
              <w:rPr>
                <w:rFonts w:ascii="Arial Narrow" w:hAnsi="Arial Narrow"/>
                <w:b/>
                <w:sz w:val="20"/>
                <w:szCs w:val="20"/>
              </w:rPr>
            </w:pPr>
            <w:r w:rsidRPr="00655231">
              <w:rPr>
                <w:rFonts w:ascii="Arial Narrow" w:hAnsi="Arial Narrow"/>
                <w:b/>
                <w:sz w:val="20"/>
                <w:szCs w:val="20"/>
              </w:rPr>
              <w:t>5</w:t>
            </w:r>
          </w:p>
        </w:tc>
        <w:tc>
          <w:tcPr>
            <w:tcW w:w="302" w:type="pct"/>
            <w:tcBorders>
              <w:top w:val="thinThickSmallGap" w:sz="12" w:space="0" w:color="auto"/>
              <w:right w:val="single" w:sz="8" w:space="0" w:color="auto"/>
            </w:tcBorders>
            <w:vAlign w:val="center"/>
          </w:tcPr>
          <w:p w:rsidR="00B17845" w:rsidRPr="00752FB2" w:rsidRDefault="00B17845" w:rsidP="000546F6">
            <w:pPr>
              <w:jc w:val="center"/>
              <w:rPr>
                <w:rFonts w:ascii="Arial Narrow" w:hAnsi="Arial Narrow"/>
                <w:b/>
                <w:sz w:val="20"/>
                <w:szCs w:val="20"/>
              </w:rPr>
            </w:pPr>
            <w:r w:rsidRPr="00752FB2">
              <w:rPr>
                <w:rFonts w:ascii="Arial Narrow" w:hAnsi="Arial Narrow"/>
                <w:b/>
                <w:sz w:val="20"/>
                <w:szCs w:val="20"/>
              </w:rPr>
              <w:t>6</w:t>
            </w:r>
          </w:p>
        </w:tc>
      </w:tr>
      <w:tr w:rsidR="00851F1E" w:rsidRPr="00752FB2" w:rsidTr="00851F1E">
        <w:tc>
          <w:tcPr>
            <w:tcW w:w="101" w:type="pct"/>
            <w:tcBorders>
              <w:left w:val="single" w:sz="8" w:space="0" w:color="auto"/>
              <w:bottom w:val="single" w:sz="4" w:space="0" w:color="auto"/>
            </w:tcBorders>
            <w:vAlign w:val="center"/>
          </w:tcPr>
          <w:p w:rsidR="00B17845" w:rsidRPr="00F74414" w:rsidRDefault="00B17845" w:rsidP="00B17845">
            <w:pPr>
              <w:jc w:val="center"/>
              <w:rPr>
                <w:rFonts w:ascii="Arial Narrow" w:hAnsi="Arial Narrow"/>
                <w:b/>
                <w:sz w:val="20"/>
                <w:szCs w:val="20"/>
              </w:rPr>
            </w:pPr>
            <w:r w:rsidRPr="00F74414">
              <w:rPr>
                <w:rFonts w:ascii="Arial Narrow" w:hAnsi="Arial Narrow"/>
                <w:b/>
                <w:sz w:val="20"/>
                <w:szCs w:val="20"/>
              </w:rPr>
              <w:t>B</w:t>
            </w:r>
          </w:p>
        </w:tc>
        <w:tc>
          <w:tcPr>
            <w:tcW w:w="2369" w:type="pct"/>
            <w:tcBorders>
              <w:bottom w:val="single" w:sz="4" w:space="0" w:color="auto"/>
            </w:tcBorders>
          </w:tcPr>
          <w:p w:rsidR="00B17845" w:rsidRPr="00AE5DC3" w:rsidRDefault="00B17845" w:rsidP="000546F6">
            <w:pPr>
              <w:rPr>
                <w:rFonts w:ascii="Arial Narrow" w:hAnsi="Arial Narrow"/>
                <w:sz w:val="20"/>
                <w:szCs w:val="20"/>
                <w:vertAlign w:val="superscript"/>
              </w:rPr>
            </w:pPr>
            <w:r w:rsidRPr="00752FB2">
              <w:rPr>
                <w:rFonts w:ascii="Arial Narrow" w:hAnsi="Arial Narrow"/>
                <w:sz w:val="20"/>
                <w:szCs w:val="20"/>
              </w:rPr>
              <w:t>Patients for whom a cost offset for nivolumab was generated by the economic and financial models</w:t>
            </w:r>
            <w:r>
              <w:rPr>
                <w:rFonts w:ascii="Arial Narrow" w:hAnsi="Arial Narrow"/>
                <w:sz w:val="20"/>
                <w:szCs w:val="20"/>
                <w:vertAlign w:val="superscript"/>
              </w:rPr>
              <w:t>a</w:t>
            </w:r>
          </w:p>
        </w:tc>
        <w:tc>
          <w:tcPr>
            <w:tcW w:w="306" w:type="pct"/>
            <w:tcBorders>
              <w:bottom w:val="single" w:sz="4" w:space="0" w:color="auto"/>
            </w:tcBorders>
            <w:vAlign w:val="center"/>
          </w:tcPr>
          <w:p w:rsidR="00B17845" w:rsidRPr="00655231" w:rsidRDefault="00B17845" w:rsidP="000546F6">
            <w:pPr>
              <w:jc w:val="center"/>
              <w:rPr>
                <w:rFonts w:ascii="Arial Narrow" w:hAnsi="Arial Narrow"/>
                <w:sz w:val="20"/>
                <w:szCs w:val="20"/>
              </w:rPr>
            </w:pPr>
            <w:r w:rsidRPr="00655231">
              <w:rPr>
                <w:rFonts w:ascii="Arial Narrow" w:hAnsi="Arial Narrow"/>
                <w:sz w:val="20"/>
                <w:szCs w:val="20"/>
              </w:rPr>
              <w:t>–</w:t>
            </w:r>
          </w:p>
        </w:tc>
        <w:tc>
          <w:tcPr>
            <w:tcW w:w="384" w:type="pct"/>
            <w:tcBorders>
              <w:bottom w:val="single" w:sz="4" w:space="0" w:color="auto"/>
            </w:tcBorders>
            <w:vAlign w:val="center"/>
          </w:tcPr>
          <w:p w:rsidR="00B17845" w:rsidRPr="00E964DA" w:rsidRDefault="00E964DA" w:rsidP="000546F6">
            <w:pPr>
              <w:jc w:val="center"/>
              <w:rPr>
                <w:rFonts w:ascii="Arial Narrow" w:hAnsi="Arial Narrow"/>
                <w:sz w:val="20"/>
                <w:szCs w:val="20"/>
                <w:highlight w:val="black"/>
              </w:rPr>
            </w:pPr>
            <w:r>
              <w:rPr>
                <w:rFonts w:ascii="Arial Narrow" w:hAnsi="Arial Narrow" w:cs="Arial"/>
                <w:noProof/>
                <w:color w:val="000000"/>
                <w:sz w:val="20"/>
                <w:szCs w:val="20"/>
                <w:highlight w:val="black"/>
              </w:rPr>
              <w:t>''''''''''</w:t>
            </w:r>
          </w:p>
        </w:tc>
        <w:tc>
          <w:tcPr>
            <w:tcW w:w="384" w:type="pct"/>
            <w:tcBorders>
              <w:bottom w:val="single" w:sz="4" w:space="0" w:color="auto"/>
            </w:tcBorders>
            <w:vAlign w:val="center"/>
          </w:tcPr>
          <w:p w:rsidR="00B17845" w:rsidRPr="00E964DA" w:rsidRDefault="00E964DA" w:rsidP="000546F6">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385" w:type="pct"/>
            <w:tcBorders>
              <w:bottom w:val="single" w:sz="4" w:space="0" w:color="auto"/>
            </w:tcBorders>
            <w:vAlign w:val="center"/>
          </w:tcPr>
          <w:p w:rsidR="00B17845" w:rsidRPr="00E964DA" w:rsidRDefault="00E964DA" w:rsidP="000546F6">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384" w:type="pct"/>
            <w:tcBorders>
              <w:bottom w:val="single" w:sz="4" w:space="0" w:color="auto"/>
            </w:tcBorders>
            <w:vAlign w:val="center"/>
          </w:tcPr>
          <w:p w:rsidR="00B17845" w:rsidRPr="00E964DA" w:rsidRDefault="00E964DA" w:rsidP="000546F6">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385" w:type="pct"/>
            <w:tcBorders>
              <w:bottom w:val="single" w:sz="4" w:space="0" w:color="auto"/>
            </w:tcBorders>
            <w:vAlign w:val="center"/>
          </w:tcPr>
          <w:p w:rsidR="00B17845" w:rsidRPr="00E964DA" w:rsidRDefault="00E964DA" w:rsidP="000546F6">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302" w:type="pct"/>
            <w:tcBorders>
              <w:bottom w:val="single" w:sz="4" w:space="0" w:color="auto"/>
              <w:right w:val="single" w:sz="8" w:space="0" w:color="auto"/>
            </w:tcBorders>
            <w:vAlign w:val="center"/>
          </w:tcPr>
          <w:p w:rsidR="00B17845" w:rsidRPr="00E964DA" w:rsidRDefault="00E964DA" w:rsidP="000546F6">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851F1E" w:rsidRPr="00752FB2" w:rsidTr="00851F1E">
        <w:tc>
          <w:tcPr>
            <w:tcW w:w="101" w:type="pct"/>
            <w:tcBorders>
              <w:left w:val="single" w:sz="8" w:space="0" w:color="auto"/>
              <w:bottom w:val="single" w:sz="8" w:space="0" w:color="auto"/>
            </w:tcBorders>
            <w:vAlign w:val="center"/>
          </w:tcPr>
          <w:p w:rsidR="00B17845" w:rsidRPr="00F74414" w:rsidRDefault="00B17845" w:rsidP="00B17845">
            <w:pPr>
              <w:jc w:val="center"/>
              <w:rPr>
                <w:rFonts w:ascii="Arial Narrow" w:hAnsi="Arial Narrow"/>
                <w:b/>
                <w:sz w:val="20"/>
                <w:szCs w:val="20"/>
              </w:rPr>
            </w:pPr>
            <w:r w:rsidRPr="00F74414">
              <w:rPr>
                <w:rFonts w:ascii="Arial Narrow" w:hAnsi="Arial Narrow"/>
                <w:b/>
                <w:sz w:val="20"/>
                <w:szCs w:val="20"/>
              </w:rPr>
              <w:t>C</w:t>
            </w:r>
          </w:p>
        </w:tc>
        <w:tc>
          <w:tcPr>
            <w:tcW w:w="2369" w:type="pct"/>
            <w:tcBorders>
              <w:bottom w:val="single" w:sz="8" w:space="0" w:color="auto"/>
            </w:tcBorders>
          </w:tcPr>
          <w:p w:rsidR="00B17845" w:rsidRPr="001D10B1" w:rsidRDefault="00B17845" w:rsidP="000546F6">
            <w:pPr>
              <w:rPr>
                <w:rFonts w:ascii="Arial Narrow" w:hAnsi="Arial Narrow"/>
                <w:sz w:val="20"/>
                <w:szCs w:val="20"/>
                <w:vertAlign w:val="superscript"/>
              </w:rPr>
            </w:pPr>
            <w:r w:rsidRPr="00752FB2">
              <w:rPr>
                <w:rFonts w:ascii="Arial Narrow" w:hAnsi="Arial Narrow"/>
                <w:sz w:val="20"/>
                <w:szCs w:val="20"/>
              </w:rPr>
              <w:t>New first-line pembrolizumab population</w:t>
            </w:r>
            <w:r>
              <w:rPr>
                <w:rFonts w:ascii="Arial Narrow" w:hAnsi="Arial Narrow"/>
                <w:sz w:val="20"/>
                <w:szCs w:val="20"/>
                <w:vertAlign w:val="superscript"/>
              </w:rPr>
              <w:t>b</w:t>
            </w:r>
          </w:p>
        </w:tc>
        <w:tc>
          <w:tcPr>
            <w:tcW w:w="306" w:type="pct"/>
            <w:tcBorders>
              <w:bottom w:val="single" w:sz="8" w:space="0" w:color="auto"/>
            </w:tcBorders>
            <w:vAlign w:val="center"/>
          </w:tcPr>
          <w:p w:rsidR="00B17845" w:rsidRPr="00655231" w:rsidRDefault="00B17845" w:rsidP="000546F6">
            <w:pPr>
              <w:jc w:val="center"/>
              <w:rPr>
                <w:rFonts w:ascii="Arial Narrow" w:hAnsi="Arial Narrow"/>
                <w:sz w:val="20"/>
                <w:szCs w:val="20"/>
              </w:rPr>
            </w:pPr>
            <w:r w:rsidRPr="00655231">
              <w:rPr>
                <w:rFonts w:ascii="Arial Narrow" w:hAnsi="Arial Narrow"/>
                <w:sz w:val="20"/>
                <w:szCs w:val="20"/>
              </w:rPr>
              <w:t>–</w:t>
            </w:r>
          </w:p>
        </w:tc>
        <w:tc>
          <w:tcPr>
            <w:tcW w:w="384" w:type="pct"/>
            <w:tcBorders>
              <w:bottom w:val="single" w:sz="8" w:space="0" w:color="auto"/>
            </w:tcBorders>
            <w:vAlign w:val="center"/>
          </w:tcPr>
          <w:p w:rsidR="00B17845" w:rsidRPr="00E964DA" w:rsidRDefault="00E964DA" w:rsidP="000546F6">
            <w:pPr>
              <w:jc w:val="center"/>
              <w:rPr>
                <w:rFonts w:ascii="Arial Narrow" w:hAnsi="Arial Narrow"/>
                <w:sz w:val="20"/>
                <w:szCs w:val="20"/>
                <w:highlight w:val="black"/>
              </w:rPr>
            </w:pPr>
            <w:r>
              <w:rPr>
                <w:rFonts w:ascii="Arial Narrow" w:hAnsi="Arial Narrow" w:cs="Arial"/>
                <w:noProof/>
                <w:color w:val="000000"/>
                <w:sz w:val="20"/>
                <w:szCs w:val="20"/>
                <w:highlight w:val="black"/>
              </w:rPr>
              <w:t>''''''''''</w:t>
            </w:r>
          </w:p>
        </w:tc>
        <w:tc>
          <w:tcPr>
            <w:tcW w:w="384" w:type="pct"/>
            <w:tcBorders>
              <w:bottom w:val="single" w:sz="8" w:space="0" w:color="auto"/>
            </w:tcBorders>
            <w:vAlign w:val="center"/>
          </w:tcPr>
          <w:p w:rsidR="00B17845" w:rsidRPr="00E964DA" w:rsidRDefault="00E964DA" w:rsidP="000546F6">
            <w:pPr>
              <w:jc w:val="center"/>
              <w:rPr>
                <w:rFonts w:ascii="Arial Narrow" w:hAnsi="Arial Narrow"/>
                <w:sz w:val="20"/>
                <w:szCs w:val="20"/>
                <w:highlight w:val="black"/>
              </w:rPr>
            </w:pPr>
            <w:r>
              <w:rPr>
                <w:rFonts w:ascii="Arial Narrow" w:hAnsi="Arial Narrow" w:cs="Arial"/>
                <w:noProof/>
                <w:color w:val="000000"/>
                <w:sz w:val="20"/>
                <w:szCs w:val="20"/>
                <w:highlight w:val="black"/>
              </w:rPr>
              <w:t>''''''''''</w:t>
            </w:r>
          </w:p>
        </w:tc>
        <w:tc>
          <w:tcPr>
            <w:tcW w:w="385" w:type="pct"/>
            <w:tcBorders>
              <w:bottom w:val="single" w:sz="8" w:space="0" w:color="auto"/>
            </w:tcBorders>
            <w:vAlign w:val="center"/>
          </w:tcPr>
          <w:p w:rsidR="00B17845" w:rsidRPr="00E964DA" w:rsidRDefault="00E964DA" w:rsidP="000546F6">
            <w:pPr>
              <w:jc w:val="center"/>
              <w:rPr>
                <w:rFonts w:ascii="Arial Narrow" w:hAnsi="Arial Narrow"/>
                <w:sz w:val="20"/>
                <w:szCs w:val="20"/>
                <w:highlight w:val="black"/>
              </w:rPr>
            </w:pPr>
            <w:r>
              <w:rPr>
                <w:rFonts w:ascii="Arial Narrow" w:hAnsi="Arial Narrow" w:cs="Arial"/>
                <w:noProof/>
                <w:color w:val="000000"/>
                <w:sz w:val="20"/>
                <w:szCs w:val="20"/>
                <w:highlight w:val="black"/>
              </w:rPr>
              <w:t>''''''''''</w:t>
            </w:r>
          </w:p>
        </w:tc>
        <w:tc>
          <w:tcPr>
            <w:tcW w:w="384" w:type="pct"/>
            <w:tcBorders>
              <w:bottom w:val="single" w:sz="8" w:space="0" w:color="auto"/>
            </w:tcBorders>
            <w:vAlign w:val="center"/>
          </w:tcPr>
          <w:p w:rsidR="00B17845" w:rsidRPr="00E964DA" w:rsidRDefault="00E964DA" w:rsidP="000546F6">
            <w:pPr>
              <w:jc w:val="center"/>
              <w:rPr>
                <w:rFonts w:ascii="Arial Narrow" w:hAnsi="Arial Narrow"/>
                <w:sz w:val="20"/>
                <w:szCs w:val="20"/>
                <w:highlight w:val="black"/>
              </w:rPr>
            </w:pPr>
            <w:r>
              <w:rPr>
                <w:rFonts w:ascii="Arial Narrow" w:hAnsi="Arial Narrow" w:cs="Arial"/>
                <w:noProof/>
                <w:color w:val="000000"/>
                <w:sz w:val="20"/>
                <w:szCs w:val="20"/>
                <w:highlight w:val="black"/>
              </w:rPr>
              <w:t>'''''''''</w:t>
            </w:r>
          </w:p>
        </w:tc>
        <w:tc>
          <w:tcPr>
            <w:tcW w:w="385" w:type="pct"/>
            <w:tcBorders>
              <w:bottom w:val="single" w:sz="8" w:space="0" w:color="auto"/>
            </w:tcBorders>
            <w:vAlign w:val="center"/>
          </w:tcPr>
          <w:p w:rsidR="00B17845" w:rsidRPr="00E964DA" w:rsidRDefault="00E964DA" w:rsidP="000546F6">
            <w:pPr>
              <w:jc w:val="center"/>
              <w:rPr>
                <w:rFonts w:ascii="Arial Narrow" w:hAnsi="Arial Narrow"/>
                <w:sz w:val="20"/>
                <w:szCs w:val="20"/>
                <w:highlight w:val="black"/>
              </w:rPr>
            </w:pPr>
            <w:r>
              <w:rPr>
                <w:rFonts w:ascii="Arial Narrow" w:hAnsi="Arial Narrow" w:cs="Arial"/>
                <w:noProof/>
                <w:color w:val="000000"/>
                <w:sz w:val="20"/>
                <w:szCs w:val="20"/>
                <w:highlight w:val="black"/>
              </w:rPr>
              <w:t>'''''''''</w:t>
            </w:r>
          </w:p>
        </w:tc>
        <w:tc>
          <w:tcPr>
            <w:tcW w:w="302" w:type="pct"/>
            <w:tcBorders>
              <w:bottom w:val="single" w:sz="8" w:space="0" w:color="auto"/>
              <w:right w:val="single" w:sz="8" w:space="0" w:color="auto"/>
            </w:tcBorders>
            <w:vAlign w:val="center"/>
          </w:tcPr>
          <w:p w:rsidR="00B17845" w:rsidRPr="00E964DA" w:rsidRDefault="00E964DA" w:rsidP="000546F6">
            <w:pPr>
              <w:jc w:val="center"/>
              <w:rPr>
                <w:rFonts w:ascii="Arial Narrow" w:hAnsi="Arial Narrow"/>
                <w:sz w:val="20"/>
                <w:szCs w:val="20"/>
                <w:highlight w:val="black"/>
              </w:rPr>
            </w:pPr>
            <w:r>
              <w:rPr>
                <w:rFonts w:ascii="Arial Narrow" w:hAnsi="Arial Narrow" w:cs="Arial"/>
                <w:noProof/>
                <w:color w:val="000000"/>
                <w:sz w:val="20"/>
                <w:szCs w:val="20"/>
                <w:highlight w:val="black"/>
              </w:rPr>
              <w:t>'''''''''</w:t>
            </w:r>
          </w:p>
        </w:tc>
      </w:tr>
      <w:tr w:rsidR="00851F1E" w:rsidRPr="00752FB2" w:rsidTr="00851F1E">
        <w:tc>
          <w:tcPr>
            <w:tcW w:w="101" w:type="pct"/>
            <w:tcBorders>
              <w:top w:val="single" w:sz="8" w:space="0" w:color="auto"/>
              <w:left w:val="single" w:sz="8" w:space="0" w:color="auto"/>
              <w:bottom w:val="thinThickSmallGap" w:sz="12" w:space="0" w:color="auto"/>
            </w:tcBorders>
            <w:vAlign w:val="center"/>
          </w:tcPr>
          <w:p w:rsidR="00B17845" w:rsidRPr="00F74414" w:rsidRDefault="00B17845" w:rsidP="00B17845">
            <w:pPr>
              <w:jc w:val="center"/>
              <w:rPr>
                <w:rFonts w:ascii="Arial Narrow" w:hAnsi="Arial Narrow"/>
                <w:b/>
                <w:sz w:val="20"/>
                <w:szCs w:val="20"/>
              </w:rPr>
            </w:pPr>
            <w:r w:rsidRPr="00F74414">
              <w:rPr>
                <w:rFonts w:ascii="Arial Narrow" w:hAnsi="Arial Narrow"/>
                <w:b/>
                <w:sz w:val="20"/>
                <w:szCs w:val="20"/>
              </w:rPr>
              <w:t>D</w:t>
            </w:r>
          </w:p>
        </w:tc>
        <w:tc>
          <w:tcPr>
            <w:tcW w:w="2369" w:type="pct"/>
            <w:tcBorders>
              <w:top w:val="single" w:sz="8" w:space="0" w:color="auto"/>
              <w:bottom w:val="thinThickSmallGap" w:sz="12" w:space="0" w:color="auto"/>
            </w:tcBorders>
          </w:tcPr>
          <w:p w:rsidR="00B17845" w:rsidRPr="00752FB2" w:rsidRDefault="00851F1E" w:rsidP="000546F6">
            <w:pPr>
              <w:rPr>
                <w:rFonts w:ascii="Arial Narrow" w:hAnsi="Arial Narrow"/>
                <w:sz w:val="20"/>
                <w:szCs w:val="20"/>
              </w:rPr>
            </w:pPr>
            <w:r>
              <w:rPr>
                <w:rFonts w:ascii="Arial Narrow" w:hAnsi="Arial Narrow"/>
                <w:sz w:val="20"/>
                <w:szCs w:val="20"/>
              </w:rPr>
              <w:t>Total</w:t>
            </w:r>
          </w:p>
        </w:tc>
        <w:tc>
          <w:tcPr>
            <w:tcW w:w="306" w:type="pct"/>
            <w:tcBorders>
              <w:top w:val="single" w:sz="8" w:space="0" w:color="auto"/>
              <w:bottom w:val="thinThickSmallGap" w:sz="12" w:space="0" w:color="auto"/>
            </w:tcBorders>
            <w:vAlign w:val="center"/>
          </w:tcPr>
          <w:p w:rsidR="00B17845" w:rsidRPr="00655231" w:rsidRDefault="00B17845" w:rsidP="000546F6">
            <w:pPr>
              <w:jc w:val="center"/>
              <w:rPr>
                <w:rFonts w:ascii="Arial Narrow" w:hAnsi="Arial Narrow"/>
                <w:sz w:val="20"/>
                <w:szCs w:val="20"/>
              </w:rPr>
            </w:pPr>
            <w:r w:rsidRPr="00655231">
              <w:rPr>
                <w:rFonts w:ascii="Arial Narrow" w:hAnsi="Arial Narrow"/>
                <w:sz w:val="20"/>
                <w:szCs w:val="20"/>
              </w:rPr>
              <w:t>–</w:t>
            </w:r>
          </w:p>
        </w:tc>
        <w:tc>
          <w:tcPr>
            <w:tcW w:w="384" w:type="pct"/>
            <w:tcBorders>
              <w:top w:val="single" w:sz="8" w:space="0" w:color="auto"/>
              <w:bottom w:val="thinThickSmallGap" w:sz="12" w:space="0" w:color="auto"/>
            </w:tcBorders>
            <w:vAlign w:val="center"/>
          </w:tcPr>
          <w:p w:rsidR="00B17845" w:rsidRPr="00E964DA" w:rsidRDefault="00E964DA" w:rsidP="000546F6">
            <w:pPr>
              <w:jc w:val="center"/>
              <w:rPr>
                <w:rFonts w:ascii="Arial Narrow" w:hAnsi="Arial Narrow"/>
                <w:sz w:val="20"/>
                <w:szCs w:val="20"/>
                <w:highlight w:val="black"/>
                <w:vertAlign w:val="superscript"/>
              </w:rPr>
            </w:pPr>
            <w:r>
              <w:rPr>
                <w:rFonts w:ascii="Arial Narrow" w:hAnsi="Arial Narrow" w:cs="Arial"/>
                <w:noProof/>
                <w:color w:val="000000"/>
                <w:sz w:val="20"/>
                <w:szCs w:val="20"/>
                <w:highlight w:val="black"/>
              </w:rPr>
              <w:t>'''''''''''''''''</w:t>
            </w:r>
          </w:p>
        </w:tc>
        <w:tc>
          <w:tcPr>
            <w:tcW w:w="384" w:type="pct"/>
            <w:tcBorders>
              <w:top w:val="single" w:sz="8" w:space="0" w:color="auto"/>
              <w:bottom w:val="thinThickSmallGap" w:sz="12" w:space="0" w:color="auto"/>
            </w:tcBorders>
            <w:vAlign w:val="center"/>
          </w:tcPr>
          <w:p w:rsidR="00B17845" w:rsidRPr="00E964DA" w:rsidRDefault="00E964DA" w:rsidP="000546F6">
            <w:pPr>
              <w:jc w:val="center"/>
              <w:rPr>
                <w:rFonts w:ascii="Arial Narrow" w:hAnsi="Arial Narrow"/>
                <w:sz w:val="20"/>
                <w:szCs w:val="20"/>
                <w:highlight w:val="black"/>
              </w:rPr>
            </w:pPr>
            <w:r>
              <w:rPr>
                <w:rFonts w:ascii="Arial Narrow" w:hAnsi="Arial Narrow" w:cs="Arial"/>
                <w:noProof/>
                <w:color w:val="000000"/>
                <w:sz w:val="20"/>
                <w:szCs w:val="20"/>
                <w:highlight w:val="black"/>
              </w:rPr>
              <w:t>''''''''''''</w:t>
            </w:r>
          </w:p>
        </w:tc>
        <w:tc>
          <w:tcPr>
            <w:tcW w:w="385" w:type="pct"/>
            <w:tcBorders>
              <w:top w:val="single" w:sz="8" w:space="0" w:color="auto"/>
              <w:bottom w:val="thinThickSmallGap" w:sz="12" w:space="0" w:color="auto"/>
            </w:tcBorders>
            <w:vAlign w:val="center"/>
          </w:tcPr>
          <w:p w:rsidR="00B17845" w:rsidRPr="00E964DA" w:rsidRDefault="00E964DA" w:rsidP="000546F6">
            <w:pPr>
              <w:jc w:val="center"/>
              <w:rPr>
                <w:rFonts w:ascii="Arial Narrow" w:hAnsi="Arial Narrow"/>
                <w:sz w:val="20"/>
                <w:szCs w:val="20"/>
                <w:highlight w:val="black"/>
              </w:rPr>
            </w:pPr>
            <w:r>
              <w:rPr>
                <w:rFonts w:ascii="Arial Narrow" w:hAnsi="Arial Narrow" w:cs="Arial"/>
                <w:noProof/>
                <w:color w:val="000000"/>
                <w:sz w:val="20"/>
                <w:szCs w:val="20"/>
                <w:highlight w:val="black"/>
              </w:rPr>
              <w:t>''''''''''''''</w:t>
            </w:r>
          </w:p>
        </w:tc>
        <w:tc>
          <w:tcPr>
            <w:tcW w:w="384" w:type="pct"/>
            <w:tcBorders>
              <w:top w:val="single" w:sz="8" w:space="0" w:color="auto"/>
              <w:bottom w:val="thinThickSmallGap" w:sz="12" w:space="0" w:color="auto"/>
            </w:tcBorders>
            <w:vAlign w:val="center"/>
          </w:tcPr>
          <w:p w:rsidR="00B17845" w:rsidRPr="00E964DA" w:rsidRDefault="00E964DA" w:rsidP="000546F6">
            <w:pPr>
              <w:jc w:val="center"/>
              <w:rPr>
                <w:rFonts w:ascii="Arial Narrow" w:hAnsi="Arial Narrow"/>
                <w:sz w:val="20"/>
                <w:szCs w:val="20"/>
                <w:highlight w:val="black"/>
              </w:rPr>
            </w:pPr>
            <w:r>
              <w:rPr>
                <w:rFonts w:ascii="Arial Narrow" w:hAnsi="Arial Narrow" w:cs="Arial"/>
                <w:noProof/>
                <w:color w:val="000000"/>
                <w:sz w:val="20"/>
                <w:szCs w:val="20"/>
                <w:highlight w:val="black"/>
              </w:rPr>
              <w:t>''''''''''''''</w:t>
            </w:r>
          </w:p>
        </w:tc>
        <w:tc>
          <w:tcPr>
            <w:tcW w:w="385" w:type="pct"/>
            <w:tcBorders>
              <w:top w:val="single" w:sz="8" w:space="0" w:color="auto"/>
              <w:bottom w:val="thinThickSmallGap" w:sz="12" w:space="0" w:color="auto"/>
            </w:tcBorders>
            <w:vAlign w:val="center"/>
          </w:tcPr>
          <w:p w:rsidR="00B17845" w:rsidRPr="00E964DA" w:rsidRDefault="00E964DA" w:rsidP="000546F6">
            <w:pPr>
              <w:jc w:val="center"/>
              <w:rPr>
                <w:rFonts w:ascii="Arial Narrow" w:hAnsi="Arial Narrow"/>
                <w:sz w:val="20"/>
                <w:szCs w:val="20"/>
                <w:highlight w:val="black"/>
              </w:rPr>
            </w:pPr>
            <w:r>
              <w:rPr>
                <w:rFonts w:ascii="Arial Narrow" w:hAnsi="Arial Narrow" w:cs="Arial"/>
                <w:noProof/>
                <w:color w:val="000000"/>
                <w:sz w:val="20"/>
                <w:szCs w:val="20"/>
                <w:highlight w:val="black"/>
              </w:rPr>
              <w:t>'''''''''''''''</w:t>
            </w:r>
          </w:p>
        </w:tc>
        <w:tc>
          <w:tcPr>
            <w:tcW w:w="302" w:type="pct"/>
            <w:tcBorders>
              <w:top w:val="single" w:sz="8" w:space="0" w:color="auto"/>
              <w:bottom w:val="thinThickSmallGap" w:sz="12" w:space="0" w:color="auto"/>
              <w:right w:val="single" w:sz="8" w:space="0" w:color="auto"/>
            </w:tcBorders>
            <w:vAlign w:val="center"/>
          </w:tcPr>
          <w:p w:rsidR="00B17845" w:rsidRPr="00E964DA" w:rsidRDefault="00E964DA" w:rsidP="000546F6">
            <w:pPr>
              <w:jc w:val="center"/>
              <w:rPr>
                <w:rFonts w:ascii="Arial Narrow" w:hAnsi="Arial Narrow"/>
                <w:sz w:val="20"/>
                <w:szCs w:val="20"/>
                <w:highlight w:val="black"/>
              </w:rPr>
            </w:pPr>
            <w:r>
              <w:rPr>
                <w:rFonts w:ascii="Arial Narrow" w:hAnsi="Arial Narrow" w:cs="Arial"/>
                <w:noProof/>
                <w:color w:val="000000"/>
                <w:sz w:val="20"/>
                <w:szCs w:val="20"/>
                <w:highlight w:val="black"/>
              </w:rPr>
              <w:t>''''''''''''</w:t>
            </w:r>
          </w:p>
        </w:tc>
      </w:tr>
      <w:tr w:rsidR="00B17845" w:rsidRPr="00752FB2" w:rsidTr="00851F1E">
        <w:tc>
          <w:tcPr>
            <w:tcW w:w="101" w:type="pct"/>
            <w:tcBorders>
              <w:top w:val="thinThickSmallGap" w:sz="12" w:space="0" w:color="auto"/>
              <w:left w:val="single" w:sz="8" w:space="0" w:color="auto"/>
            </w:tcBorders>
            <w:vAlign w:val="center"/>
          </w:tcPr>
          <w:p w:rsidR="00B17845" w:rsidRPr="00F74414" w:rsidRDefault="00B17845" w:rsidP="00B17845">
            <w:pPr>
              <w:jc w:val="center"/>
              <w:rPr>
                <w:rFonts w:ascii="Arial Narrow" w:hAnsi="Arial Narrow"/>
                <w:b/>
                <w:sz w:val="20"/>
                <w:szCs w:val="20"/>
              </w:rPr>
            </w:pPr>
          </w:p>
        </w:tc>
        <w:tc>
          <w:tcPr>
            <w:tcW w:w="4899" w:type="pct"/>
            <w:gridSpan w:val="8"/>
            <w:tcBorders>
              <w:top w:val="thinThickSmallGap" w:sz="12" w:space="0" w:color="auto"/>
              <w:right w:val="single" w:sz="8" w:space="0" w:color="auto"/>
            </w:tcBorders>
          </w:tcPr>
          <w:p w:rsidR="00B17845" w:rsidRPr="00655231" w:rsidRDefault="00B17845" w:rsidP="000546F6">
            <w:pPr>
              <w:rPr>
                <w:rFonts w:ascii="Arial Narrow" w:hAnsi="Arial Narrow" w:cs="Arial"/>
                <w:sz w:val="20"/>
                <w:szCs w:val="20"/>
              </w:rPr>
            </w:pPr>
            <w:r w:rsidRPr="00655231">
              <w:rPr>
                <w:rFonts w:ascii="Arial Narrow" w:hAnsi="Arial Narrow"/>
                <w:b/>
                <w:sz w:val="20"/>
                <w:szCs w:val="20"/>
              </w:rPr>
              <w:t>Comparison of the minor resubmission’s assumptions with the nivolumab population as per the deed</w:t>
            </w:r>
          </w:p>
        </w:tc>
      </w:tr>
      <w:tr w:rsidR="00851F1E" w:rsidRPr="00752FB2" w:rsidTr="00655231">
        <w:tc>
          <w:tcPr>
            <w:tcW w:w="101" w:type="pct"/>
            <w:tcBorders>
              <w:left w:val="single" w:sz="8" w:space="0" w:color="auto"/>
            </w:tcBorders>
            <w:vAlign w:val="center"/>
          </w:tcPr>
          <w:p w:rsidR="00B17845" w:rsidRPr="00F74414" w:rsidRDefault="00B17845" w:rsidP="00B17845">
            <w:pPr>
              <w:jc w:val="center"/>
              <w:rPr>
                <w:rFonts w:ascii="Arial Narrow" w:hAnsi="Arial Narrow"/>
                <w:b/>
                <w:sz w:val="20"/>
                <w:szCs w:val="20"/>
              </w:rPr>
            </w:pPr>
            <w:r w:rsidRPr="00F74414">
              <w:rPr>
                <w:rFonts w:ascii="Arial Narrow" w:hAnsi="Arial Narrow"/>
                <w:b/>
                <w:sz w:val="20"/>
                <w:szCs w:val="20"/>
              </w:rPr>
              <w:t>E</w:t>
            </w:r>
          </w:p>
        </w:tc>
        <w:tc>
          <w:tcPr>
            <w:tcW w:w="2369" w:type="pct"/>
          </w:tcPr>
          <w:p w:rsidR="00B17845" w:rsidRPr="001D10B1" w:rsidRDefault="00851F1E" w:rsidP="00851F1E">
            <w:pPr>
              <w:rPr>
                <w:rFonts w:ascii="Arial Narrow" w:hAnsi="Arial Narrow"/>
                <w:sz w:val="20"/>
                <w:szCs w:val="20"/>
                <w:vertAlign w:val="superscript"/>
              </w:rPr>
            </w:pPr>
            <w:r>
              <w:rPr>
                <w:rFonts w:ascii="Arial Narrow" w:hAnsi="Arial Narrow"/>
                <w:sz w:val="20"/>
                <w:szCs w:val="20"/>
              </w:rPr>
              <w:t>Minor resubmission’s estimate of p</w:t>
            </w:r>
            <w:r w:rsidR="00B17845" w:rsidRPr="00752FB2">
              <w:rPr>
                <w:rFonts w:ascii="Arial Narrow" w:hAnsi="Arial Narrow"/>
                <w:sz w:val="20"/>
                <w:szCs w:val="20"/>
              </w:rPr>
              <w:t>roportion of Stage IIIB/IV NSCLC eligible for pembro</w:t>
            </w:r>
            <w:r w:rsidR="00B17845">
              <w:rPr>
                <w:rFonts w:ascii="Arial Narrow" w:hAnsi="Arial Narrow"/>
                <w:sz w:val="20"/>
                <w:szCs w:val="20"/>
              </w:rPr>
              <w:t>lizumab</w:t>
            </w:r>
            <w:r w:rsidR="00B17845">
              <w:rPr>
                <w:rFonts w:ascii="Arial Narrow" w:hAnsi="Arial Narrow"/>
                <w:sz w:val="20"/>
                <w:szCs w:val="20"/>
                <w:vertAlign w:val="superscript"/>
              </w:rPr>
              <w:t>d</w:t>
            </w:r>
          </w:p>
        </w:tc>
        <w:tc>
          <w:tcPr>
            <w:tcW w:w="306" w:type="pct"/>
            <w:vAlign w:val="center"/>
          </w:tcPr>
          <w:p w:rsidR="00B17845" w:rsidRPr="00655231" w:rsidRDefault="00B17845" w:rsidP="000546F6">
            <w:pPr>
              <w:jc w:val="center"/>
              <w:rPr>
                <w:rFonts w:ascii="Arial Narrow" w:hAnsi="Arial Narrow"/>
                <w:sz w:val="20"/>
                <w:szCs w:val="20"/>
              </w:rPr>
            </w:pPr>
            <w:r w:rsidRPr="00655231">
              <w:rPr>
                <w:rFonts w:ascii="Arial Narrow" w:hAnsi="Arial Narrow"/>
                <w:sz w:val="20"/>
                <w:szCs w:val="20"/>
              </w:rPr>
              <w:t>–</w:t>
            </w:r>
          </w:p>
        </w:tc>
        <w:tc>
          <w:tcPr>
            <w:tcW w:w="384" w:type="pct"/>
            <w:vAlign w:val="center"/>
          </w:tcPr>
          <w:p w:rsidR="00B17845" w:rsidRPr="00655231" w:rsidRDefault="00B17845" w:rsidP="000546F6">
            <w:pPr>
              <w:jc w:val="center"/>
              <w:rPr>
                <w:rFonts w:ascii="Arial Narrow" w:hAnsi="Arial Narrow"/>
                <w:sz w:val="20"/>
                <w:szCs w:val="20"/>
              </w:rPr>
            </w:pPr>
            <w:r w:rsidRPr="00655231">
              <w:rPr>
                <w:rFonts w:ascii="Arial Narrow" w:hAnsi="Arial Narrow"/>
                <w:sz w:val="20"/>
                <w:szCs w:val="20"/>
              </w:rPr>
              <w:t>19.53%</w:t>
            </w:r>
          </w:p>
        </w:tc>
        <w:tc>
          <w:tcPr>
            <w:tcW w:w="384" w:type="pct"/>
            <w:vAlign w:val="center"/>
          </w:tcPr>
          <w:p w:rsidR="00B17845" w:rsidRPr="00655231" w:rsidRDefault="00B17845" w:rsidP="000546F6">
            <w:pPr>
              <w:jc w:val="center"/>
              <w:rPr>
                <w:rFonts w:ascii="Arial Narrow" w:hAnsi="Arial Narrow"/>
                <w:sz w:val="20"/>
                <w:szCs w:val="20"/>
              </w:rPr>
            </w:pPr>
            <w:r w:rsidRPr="00655231">
              <w:rPr>
                <w:rFonts w:ascii="Arial Narrow" w:hAnsi="Arial Narrow"/>
                <w:sz w:val="20"/>
                <w:szCs w:val="20"/>
              </w:rPr>
              <w:t>19.53%</w:t>
            </w:r>
          </w:p>
        </w:tc>
        <w:tc>
          <w:tcPr>
            <w:tcW w:w="383" w:type="pct"/>
            <w:vAlign w:val="center"/>
          </w:tcPr>
          <w:p w:rsidR="00B17845" w:rsidRPr="00655231" w:rsidRDefault="00B17845" w:rsidP="000546F6">
            <w:pPr>
              <w:jc w:val="center"/>
              <w:rPr>
                <w:rFonts w:ascii="Arial Narrow" w:hAnsi="Arial Narrow"/>
                <w:sz w:val="20"/>
                <w:szCs w:val="20"/>
              </w:rPr>
            </w:pPr>
            <w:r w:rsidRPr="00655231">
              <w:rPr>
                <w:rFonts w:ascii="Arial Narrow" w:hAnsi="Arial Narrow"/>
                <w:sz w:val="20"/>
                <w:szCs w:val="20"/>
              </w:rPr>
              <w:t>19.53%</w:t>
            </w:r>
          </w:p>
        </w:tc>
        <w:tc>
          <w:tcPr>
            <w:tcW w:w="386" w:type="pct"/>
            <w:vAlign w:val="center"/>
          </w:tcPr>
          <w:p w:rsidR="00B17845" w:rsidRPr="00655231" w:rsidRDefault="00B17845" w:rsidP="000546F6">
            <w:pPr>
              <w:jc w:val="center"/>
              <w:rPr>
                <w:rFonts w:ascii="Arial Narrow" w:hAnsi="Arial Narrow"/>
                <w:sz w:val="20"/>
                <w:szCs w:val="20"/>
              </w:rPr>
            </w:pPr>
            <w:r w:rsidRPr="00655231">
              <w:rPr>
                <w:rFonts w:ascii="Arial Narrow" w:hAnsi="Arial Narrow"/>
                <w:sz w:val="20"/>
                <w:szCs w:val="20"/>
              </w:rPr>
              <w:t>19.53%</w:t>
            </w:r>
          </w:p>
        </w:tc>
        <w:tc>
          <w:tcPr>
            <w:tcW w:w="385" w:type="pct"/>
            <w:vAlign w:val="center"/>
          </w:tcPr>
          <w:p w:rsidR="00B17845" w:rsidRPr="00655231" w:rsidRDefault="00B17845" w:rsidP="000546F6">
            <w:pPr>
              <w:jc w:val="center"/>
              <w:rPr>
                <w:rFonts w:ascii="Arial Narrow" w:hAnsi="Arial Narrow"/>
                <w:sz w:val="20"/>
                <w:szCs w:val="20"/>
              </w:rPr>
            </w:pPr>
            <w:r w:rsidRPr="00655231">
              <w:rPr>
                <w:rFonts w:ascii="Arial Narrow" w:hAnsi="Arial Narrow"/>
                <w:sz w:val="20"/>
                <w:szCs w:val="20"/>
              </w:rPr>
              <w:t>19.53%</w:t>
            </w:r>
          </w:p>
        </w:tc>
        <w:tc>
          <w:tcPr>
            <w:tcW w:w="302" w:type="pct"/>
            <w:tcBorders>
              <w:right w:val="single" w:sz="8" w:space="0" w:color="auto"/>
            </w:tcBorders>
            <w:vAlign w:val="center"/>
          </w:tcPr>
          <w:p w:rsidR="00B17845" w:rsidRPr="00752FB2" w:rsidRDefault="00B17845" w:rsidP="000546F6">
            <w:pPr>
              <w:jc w:val="center"/>
              <w:rPr>
                <w:rFonts w:ascii="Arial Narrow" w:hAnsi="Arial Narrow" w:cs="Arial"/>
                <w:sz w:val="20"/>
                <w:szCs w:val="20"/>
              </w:rPr>
            </w:pPr>
            <w:r w:rsidRPr="00752FB2">
              <w:rPr>
                <w:rFonts w:ascii="Arial Narrow" w:hAnsi="Arial Narrow"/>
                <w:sz w:val="20"/>
                <w:szCs w:val="20"/>
              </w:rPr>
              <w:t>–</w:t>
            </w:r>
          </w:p>
        </w:tc>
      </w:tr>
      <w:tr w:rsidR="00851F1E" w:rsidRPr="00752FB2" w:rsidTr="00655231">
        <w:tc>
          <w:tcPr>
            <w:tcW w:w="101" w:type="pct"/>
            <w:tcBorders>
              <w:left w:val="single" w:sz="8" w:space="0" w:color="auto"/>
            </w:tcBorders>
            <w:vAlign w:val="center"/>
          </w:tcPr>
          <w:p w:rsidR="00B17845" w:rsidRPr="00F74414" w:rsidRDefault="00B17845" w:rsidP="00B17845">
            <w:pPr>
              <w:jc w:val="center"/>
              <w:rPr>
                <w:rFonts w:ascii="Arial Narrow" w:hAnsi="Arial Narrow"/>
                <w:b/>
                <w:sz w:val="20"/>
                <w:szCs w:val="20"/>
              </w:rPr>
            </w:pPr>
            <w:r w:rsidRPr="00F74414">
              <w:rPr>
                <w:rFonts w:ascii="Arial Narrow" w:hAnsi="Arial Narrow"/>
                <w:b/>
                <w:sz w:val="20"/>
                <w:szCs w:val="20"/>
              </w:rPr>
              <w:t>F</w:t>
            </w:r>
          </w:p>
        </w:tc>
        <w:tc>
          <w:tcPr>
            <w:tcW w:w="2369" w:type="pct"/>
          </w:tcPr>
          <w:p w:rsidR="00B17845" w:rsidRPr="002B0CF2" w:rsidRDefault="00B17845" w:rsidP="000546F6">
            <w:pPr>
              <w:rPr>
                <w:rFonts w:ascii="Arial Narrow" w:hAnsi="Arial Narrow"/>
                <w:i/>
                <w:sz w:val="20"/>
                <w:szCs w:val="20"/>
              </w:rPr>
            </w:pPr>
            <w:r w:rsidRPr="002B0CF2">
              <w:rPr>
                <w:rFonts w:ascii="Arial Narrow" w:hAnsi="Arial Narrow"/>
                <w:i/>
                <w:sz w:val="20"/>
                <w:szCs w:val="20"/>
              </w:rPr>
              <w:t xml:space="preserve">Pembrolizumab patients with nivolumab offset applied / total nivolumab population </w:t>
            </w:r>
            <w:r w:rsidRPr="002B0CF2">
              <w:rPr>
                <w:rFonts w:ascii="Arial Narrow" w:hAnsi="Arial Narrow"/>
                <w:b/>
                <w:i/>
                <w:sz w:val="20"/>
                <w:szCs w:val="20"/>
              </w:rPr>
              <w:t>(B/A)</w:t>
            </w:r>
          </w:p>
        </w:tc>
        <w:tc>
          <w:tcPr>
            <w:tcW w:w="306" w:type="pct"/>
            <w:vAlign w:val="center"/>
          </w:tcPr>
          <w:p w:rsidR="00B17845" w:rsidRPr="00655231" w:rsidRDefault="00B17845" w:rsidP="000546F6">
            <w:pPr>
              <w:jc w:val="center"/>
              <w:rPr>
                <w:rFonts w:ascii="Arial Narrow" w:hAnsi="Arial Narrow"/>
                <w:sz w:val="20"/>
                <w:szCs w:val="20"/>
              </w:rPr>
            </w:pPr>
            <w:r w:rsidRPr="00655231">
              <w:rPr>
                <w:rFonts w:ascii="Arial Narrow" w:hAnsi="Arial Narrow"/>
                <w:sz w:val="20"/>
                <w:szCs w:val="20"/>
              </w:rPr>
              <w:t>–</w:t>
            </w:r>
          </w:p>
        </w:tc>
        <w:tc>
          <w:tcPr>
            <w:tcW w:w="384" w:type="pct"/>
            <w:vAlign w:val="center"/>
          </w:tcPr>
          <w:p w:rsidR="00B17845" w:rsidRPr="00660757" w:rsidRDefault="00660757" w:rsidP="000546F6">
            <w:pPr>
              <w:jc w:val="center"/>
              <w:rPr>
                <w:rFonts w:ascii="Arial Narrow" w:hAnsi="Arial Narrow"/>
                <w:i/>
                <w:sz w:val="20"/>
                <w:szCs w:val="20"/>
                <w:highlight w:val="black"/>
              </w:rPr>
            </w:pPr>
            <w:r>
              <w:rPr>
                <w:rFonts w:ascii="Arial Narrow" w:hAnsi="Arial Narrow"/>
                <w:i/>
                <w:noProof/>
                <w:color w:val="000000"/>
                <w:sz w:val="20"/>
                <w:szCs w:val="20"/>
                <w:highlight w:val="black"/>
              </w:rPr>
              <w:t>'''''''''''''''''</w:t>
            </w:r>
          </w:p>
        </w:tc>
        <w:tc>
          <w:tcPr>
            <w:tcW w:w="384" w:type="pct"/>
            <w:vAlign w:val="center"/>
          </w:tcPr>
          <w:p w:rsidR="00B17845" w:rsidRPr="00660757" w:rsidRDefault="00660757" w:rsidP="000546F6">
            <w:pPr>
              <w:jc w:val="center"/>
              <w:rPr>
                <w:rFonts w:ascii="Arial Narrow" w:hAnsi="Arial Narrow"/>
                <w:i/>
                <w:sz w:val="20"/>
                <w:szCs w:val="20"/>
                <w:highlight w:val="black"/>
              </w:rPr>
            </w:pPr>
            <w:r>
              <w:rPr>
                <w:rFonts w:ascii="Arial Narrow" w:hAnsi="Arial Narrow"/>
                <w:i/>
                <w:noProof/>
                <w:color w:val="000000"/>
                <w:sz w:val="20"/>
                <w:szCs w:val="20"/>
                <w:highlight w:val="black"/>
              </w:rPr>
              <w:t>''''''''''''''''''''</w:t>
            </w:r>
          </w:p>
        </w:tc>
        <w:tc>
          <w:tcPr>
            <w:tcW w:w="383" w:type="pct"/>
            <w:vAlign w:val="center"/>
          </w:tcPr>
          <w:p w:rsidR="00B17845" w:rsidRPr="00660757" w:rsidRDefault="00660757" w:rsidP="000546F6">
            <w:pPr>
              <w:jc w:val="center"/>
              <w:rPr>
                <w:rFonts w:ascii="Arial Narrow" w:hAnsi="Arial Narrow"/>
                <w:i/>
                <w:sz w:val="20"/>
                <w:szCs w:val="20"/>
                <w:highlight w:val="black"/>
              </w:rPr>
            </w:pPr>
            <w:r>
              <w:rPr>
                <w:rFonts w:ascii="Arial Narrow" w:hAnsi="Arial Narrow"/>
                <w:i/>
                <w:noProof/>
                <w:color w:val="000000"/>
                <w:sz w:val="20"/>
                <w:szCs w:val="20"/>
                <w:highlight w:val="black"/>
              </w:rPr>
              <w:t>''''''''''''''''''</w:t>
            </w:r>
          </w:p>
        </w:tc>
        <w:tc>
          <w:tcPr>
            <w:tcW w:w="386" w:type="pct"/>
            <w:vAlign w:val="center"/>
          </w:tcPr>
          <w:p w:rsidR="00B17845" w:rsidRPr="00660757" w:rsidRDefault="00660757" w:rsidP="000546F6">
            <w:pPr>
              <w:jc w:val="center"/>
              <w:rPr>
                <w:rFonts w:ascii="Arial Narrow" w:hAnsi="Arial Narrow"/>
                <w:i/>
                <w:sz w:val="20"/>
                <w:szCs w:val="20"/>
                <w:highlight w:val="black"/>
              </w:rPr>
            </w:pPr>
            <w:r>
              <w:rPr>
                <w:rFonts w:ascii="Arial Narrow" w:hAnsi="Arial Narrow"/>
                <w:i/>
                <w:noProof/>
                <w:color w:val="000000"/>
                <w:sz w:val="20"/>
                <w:szCs w:val="20"/>
                <w:highlight w:val="black"/>
              </w:rPr>
              <w:t>'''''''''''''''''</w:t>
            </w:r>
          </w:p>
        </w:tc>
        <w:tc>
          <w:tcPr>
            <w:tcW w:w="385" w:type="pct"/>
            <w:vAlign w:val="center"/>
          </w:tcPr>
          <w:p w:rsidR="00B17845" w:rsidRPr="00660757" w:rsidRDefault="00660757" w:rsidP="000546F6">
            <w:pPr>
              <w:jc w:val="center"/>
              <w:rPr>
                <w:rFonts w:ascii="Arial Narrow" w:hAnsi="Arial Narrow"/>
                <w:i/>
                <w:sz w:val="20"/>
                <w:szCs w:val="20"/>
                <w:highlight w:val="black"/>
              </w:rPr>
            </w:pPr>
            <w:r>
              <w:rPr>
                <w:rFonts w:ascii="Arial Narrow" w:hAnsi="Arial Narrow"/>
                <w:i/>
                <w:noProof/>
                <w:color w:val="000000"/>
                <w:sz w:val="20"/>
                <w:szCs w:val="20"/>
                <w:highlight w:val="black"/>
              </w:rPr>
              <w:t>''''''''''''''''''</w:t>
            </w:r>
          </w:p>
        </w:tc>
        <w:tc>
          <w:tcPr>
            <w:tcW w:w="302" w:type="pct"/>
            <w:tcBorders>
              <w:right w:val="single" w:sz="8" w:space="0" w:color="auto"/>
            </w:tcBorders>
            <w:vAlign w:val="center"/>
          </w:tcPr>
          <w:p w:rsidR="00B17845" w:rsidRPr="00752FB2" w:rsidRDefault="00B17845" w:rsidP="000546F6">
            <w:pPr>
              <w:jc w:val="center"/>
              <w:rPr>
                <w:rFonts w:ascii="Arial Narrow" w:hAnsi="Arial Narrow" w:cs="Arial"/>
                <w:sz w:val="20"/>
                <w:szCs w:val="20"/>
              </w:rPr>
            </w:pPr>
            <w:r w:rsidRPr="00752FB2">
              <w:rPr>
                <w:rFonts w:ascii="Arial Narrow" w:hAnsi="Arial Narrow"/>
                <w:sz w:val="20"/>
                <w:szCs w:val="20"/>
              </w:rPr>
              <w:t>–</w:t>
            </w:r>
          </w:p>
        </w:tc>
      </w:tr>
      <w:tr w:rsidR="00851F1E" w:rsidRPr="00752FB2" w:rsidTr="00655231">
        <w:tc>
          <w:tcPr>
            <w:tcW w:w="101" w:type="pct"/>
            <w:tcBorders>
              <w:left w:val="single" w:sz="8" w:space="0" w:color="auto"/>
            </w:tcBorders>
            <w:vAlign w:val="center"/>
          </w:tcPr>
          <w:p w:rsidR="00B17845" w:rsidRPr="00F74414" w:rsidRDefault="00B17845" w:rsidP="00B17845">
            <w:pPr>
              <w:jc w:val="center"/>
              <w:rPr>
                <w:rFonts w:ascii="Arial Narrow" w:hAnsi="Arial Narrow"/>
                <w:b/>
                <w:sz w:val="20"/>
                <w:szCs w:val="20"/>
              </w:rPr>
            </w:pPr>
            <w:r w:rsidRPr="00F74414">
              <w:rPr>
                <w:rFonts w:ascii="Arial Narrow" w:hAnsi="Arial Narrow"/>
                <w:b/>
                <w:sz w:val="20"/>
                <w:szCs w:val="20"/>
              </w:rPr>
              <w:t>G</w:t>
            </w:r>
          </w:p>
        </w:tc>
        <w:tc>
          <w:tcPr>
            <w:tcW w:w="2369" w:type="pct"/>
          </w:tcPr>
          <w:p w:rsidR="00B17845" w:rsidRPr="002B0CF2" w:rsidRDefault="00B17845" w:rsidP="000546F6">
            <w:pPr>
              <w:rPr>
                <w:rFonts w:ascii="Arial Narrow" w:hAnsi="Arial Narrow"/>
                <w:i/>
                <w:sz w:val="20"/>
                <w:szCs w:val="20"/>
              </w:rPr>
            </w:pPr>
            <w:r w:rsidRPr="002B0CF2">
              <w:rPr>
                <w:rFonts w:ascii="Arial Narrow" w:hAnsi="Arial Narrow"/>
                <w:i/>
                <w:sz w:val="20"/>
                <w:szCs w:val="20"/>
              </w:rPr>
              <w:t xml:space="preserve">New pembrolizumab patients/ total nivolumab population </w:t>
            </w:r>
            <w:r w:rsidRPr="002B0CF2">
              <w:rPr>
                <w:rFonts w:ascii="Arial Narrow" w:hAnsi="Arial Narrow"/>
                <w:b/>
                <w:i/>
                <w:sz w:val="20"/>
                <w:szCs w:val="20"/>
              </w:rPr>
              <w:t>(C/A)</w:t>
            </w:r>
          </w:p>
        </w:tc>
        <w:tc>
          <w:tcPr>
            <w:tcW w:w="306" w:type="pct"/>
            <w:vAlign w:val="center"/>
          </w:tcPr>
          <w:p w:rsidR="00B17845" w:rsidRPr="00655231" w:rsidRDefault="00B17845" w:rsidP="000546F6">
            <w:pPr>
              <w:jc w:val="center"/>
              <w:rPr>
                <w:rFonts w:ascii="Arial Narrow" w:hAnsi="Arial Narrow"/>
                <w:sz w:val="20"/>
                <w:szCs w:val="20"/>
              </w:rPr>
            </w:pPr>
            <w:r w:rsidRPr="00655231">
              <w:rPr>
                <w:rFonts w:ascii="Arial Narrow" w:hAnsi="Arial Narrow"/>
                <w:sz w:val="20"/>
                <w:szCs w:val="20"/>
              </w:rPr>
              <w:t>–</w:t>
            </w:r>
          </w:p>
        </w:tc>
        <w:tc>
          <w:tcPr>
            <w:tcW w:w="384" w:type="pct"/>
            <w:vAlign w:val="center"/>
          </w:tcPr>
          <w:p w:rsidR="00B17845" w:rsidRPr="00660757" w:rsidRDefault="00660757" w:rsidP="000546F6">
            <w:pPr>
              <w:jc w:val="center"/>
              <w:rPr>
                <w:rFonts w:ascii="Arial Narrow" w:hAnsi="Arial Narrow"/>
                <w:i/>
                <w:sz w:val="20"/>
                <w:szCs w:val="20"/>
                <w:highlight w:val="black"/>
              </w:rPr>
            </w:pPr>
            <w:r>
              <w:rPr>
                <w:rFonts w:ascii="Arial Narrow" w:hAnsi="Arial Narrow"/>
                <w:i/>
                <w:noProof/>
                <w:color w:val="000000"/>
                <w:sz w:val="20"/>
                <w:szCs w:val="20"/>
                <w:highlight w:val="black"/>
              </w:rPr>
              <w:t>'''''''''''''''''''</w:t>
            </w:r>
          </w:p>
        </w:tc>
        <w:tc>
          <w:tcPr>
            <w:tcW w:w="384" w:type="pct"/>
            <w:vAlign w:val="center"/>
          </w:tcPr>
          <w:p w:rsidR="00B17845" w:rsidRPr="00660757" w:rsidRDefault="00660757" w:rsidP="000546F6">
            <w:pPr>
              <w:jc w:val="center"/>
              <w:rPr>
                <w:rFonts w:ascii="Arial Narrow" w:hAnsi="Arial Narrow"/>
                <w:i/>
                <w:sz w:val="20"/>
                <w:szCs w:val="20"/>
                <w:highlight w:val="black"/>
              </w:rPr>
            </w:pPr>
            <w:r>
              <w:rPr>
                <w:rFonts w:ascii="Arial Narrow" w:hAnsi="Arial Narrow"/>
                <w:i/>
                <w:noProof/>
                <w:color w:val="000000"/>
                <w:sz w:val="20"/>
                <w:szCs w:val="20"/>
                <w:highlight w:val="black"/>
              </w:rPr>
              <w:t>''''''''''''''''''''</w:t>
            </w:r>
          </w:p>
        </w:tc>
        <w:tc>
          <w:tcPr>
            <w:tcW w:w="383" w:type="pct"/>
            <w:vAlign w:val="center"/>
          </w:tcPr>
          <w:p w:rsidR="00B17845" w:rsidRPr="00660757" w:rsidRDefault="00660757" w:rsidP="000546F6">
            <w:pPr>
              <w:jc w:val="center"/>
              <w:rPr>
                <w:rFonts w:ascii="Arial Narrow" w:hAnsi="Arial Narrow"/>
                <w:i/>
                <w:sz w:val="20"/>
                <w:szCs w:val="20"/>
                <w:highlight w:val="black"/>
              </w:rPr>
            </w:pPr>
            <w:r>
              <w:rPr>
                <w:rFonts w:ascii="Arial Narrow" w:hAnsi="Arial Narrow"/>
                <w:i/>
                <w:noProof/>
                <w:color w:val="000000"/>
                <w:sz w:val="20"/>
                <w:szCs w:val="20"/>
                <w:highlight w:val="black"/>
              </w:rPr>
              <w:t>''''''''''''''''''</w:t>
            </w:r>
          </w:p>
        </w:tc>
        <w:tc>
          <w:tcPr>
            <w:tcW w:w="386" w:type="pct"/>
            <w:vAlign w:val="center"/>
          </w:tcPr>
          <w:p w:rsidR="00B17845" w:rsidRPr="00660757" w:rsidRDefault="00660757" w:rsidP="000546F6">
            <w:pPr>
              <w:jc w:val="center"/>
              <w:rPr>
                <w:rFonts w:ascii="Arial Narrow" w:hAnsi="Arial Narrow"/>
                <w:i/>
                <w:sz w:val="20"/>
                <w:szCs w:val="20"/>
                <w:highlight w:val="black"/>
              </w:rPr>
            </w:pPr>
            <w:r>
              <w:rPr>
                <w:rFonts w:ascii="Arial Narrow" w:hAnsi="Arial Narrow"/>
                <w:i/>
                <w:noProof/>
                <w:color w:val="000000"/>
                <w:sz w:val="20"/>
                <w:szCs w:val="20"/>
                <w:highlight w:val="black"/>
              </w:rPr>
              <w:t>''''''''''''''''''</w:t>
            </w:r>
          </w:p>
        </w:tc>
        <w:tc>
          <w:tcPr>
            <w:tcW w:w="385" w:type="pct"/>
            <w:vAlign w:val="center"/>
          </w:tcPr>
          <w:p w:rsidR="00B17845" w:rsidRPr="00660757" w:rsidRDefault="00660757" w:rsidP="000546F6">
            <w:pPr>
              <w:jc w:val="center"/>
              <w:rPr>
                <w:rFonts w:ascii="Arial Narrow" w:hAnsi="Arial Narrow"/>
                <w:i/>
                <w:sz w:val="20"/>
                <w:szCs w:val="20"/>
                <w:highlight w:val="black"/>
              </w:rPr>
            </w:pPr>
            <w:r>
              <w:rPr>
                <w:rFonts w:ascii="Arial Narrow" w:hAnsi="Arial Narrow"/>
                <w:i/>
                <w:noProof/>
                <w:color w:val="000000"/>
                <w:sz w:val="20"/>
                <w:szCs w:val="20"/>
                <w:highlight w:val="black"/>
              </w:rPr>
              <w:t>''''''''''''''''</w:t>
            </w:r>
          </w:p>
        </w:tc>
        <w:tc>
          <w:tcPr>
            <w:tcW w:w="302" w:type="pct"/>
            <w:tcBorders>
              <w:right w:val="single" w:sz="8" w:space="0" w:color="auto"/>
            </w:tcBorders>
            <w:vAlign w:val="center"/>
          </w:tcPr>
          <w:p w:rsidR="00B17845" w:rsidRPr="00752FB2" w:rsidRDefault="00B17845" w:rsidP="000546F6">
            <w:pPr>
              <w:jc w:val="center"/>
              <w:rPr>
                <w:rFonts w:ascii="Arial Narrow" w:hAnsi="Arial Narrow" w:cs="Arial"/>
                <w:sz w:val="20"/>
                <w:szCs w:val="20"/>
              </w:rPr>
            </w:pPr>
            <w:r w:rsidRPr="00752FB2">
              <w:rPr>
                <w:rFonts w:ascii="Arial Narrow" w:hAnsi="Arial Narrow"/>
                <w:sz w:val="20"/>
                <w:szCs w:val="20"/>
              </w:rPr>
              <w:t>–</w:t>
            </w:r>
          </w:p>
        </w:tc>
      </w:tr>
      <w:tr w:rsidR="00851F1E" w:rsidRPr="00752FB2" w:rsidTr="00655231">
        <w:tc>
          <w:tcPr>
            <w:tcW w:w="101" w:type="pct"/>
            <w:tcBorders>
              <w:left w:val="single" w:sz="8" w:space="0" w:color="auto"/>
            </w:tcBorders>
            <w:vAlign w:val="center"/>
          </w:tcPr>
          <w:p w:rsidR="00B17845" w:rsidRPr="00F74414" w:rsidRDefault="00B17845" w:rsidP="00B17845">
            <w:pPr>
              <w:jc w:val="center"/>
              <w:rPr>
                <w:rFonts w:ascii="Arial Narrow" w:hAnsi="Arial Narrow"/>
                <w:b/>
                <w:sz w:val="20"/>
                <w:szCs w:val="20"/>
              </w:rPr>
            </w:pPr>
            <w:r w:rsidRPr="00F74414">
              <w:rPr>
                <w:rFonts w:ascii="Arial Narrow" w:hAnsi="Arial Narrow"/>
                <w:b/>
                <w:sz w:val="20"/>
                <w:szCs w:val="20"/>
              </w:rPr>
              <w:t>H</w:t>
            </w:r>
          </w:p>
        </w:tc>
        <w:tc>
          <w:tcPr>
            <w:tcW w:w="2369" w:type="pct"/>
          </w:tcPr>
          <w:p w:rsidR="00B17845" w:rsidRPr="002B0CF2" w:rsidRDefault="00B17845" w:rsidP="002B0CF2">
            <w:pPr>
              <w:rPr>
                <w:rFonts w:ascii="Arial Narrow" w:hAnsi="Arial Narrow"/>
                <w:i/>
                <w:sz w:val="20"/>
                <w:szCs w:val="20"/>
              </w:rPr>
            </w:pPr>
            <w:r w:rsidRPr="002B0CF2">
              <w:rPr>
                <w:rFonts w:ascii="Arial Narrow" w:hAnsi="Arial Narrow"/>
                <w:i/>
                <w:sz w:val="20"/>
                <w:szCs w:val="20"/>
              </w:rPr>
              <w:t xml:space="preserve">Extension of Stage IIIB/IV NSCLC population beyond the nivolumab market </w:t>
            </w:r>
            <w:r w:rsidRPr="002B0CF2">
              <w:rPr>
                <w:rFonts w:ascii="Arial Narrow" w:hAnsi="Arial Narrow"/>
                <w:b/>
                <w:i/>
                <w:sz w:val="20"/>
                <w:szCs w:val="20"/>
              </w:rPr>
              <w:t>(C/E)</w:t>
            </w:r>
          </w:p>
        </w:tc>
        <w:tc>
          <w:tcPr>
            <w:tcW w:w="306" w:type="pct"/>
            <w:vAlign w:val="center"/>
          </w:tcPr>
          <w:p w:rsidR="00B17845" w:rsidRPr="00655231" w:rsidRDefault="00B17845" w:rsidP="000546F6">
            <w:pPr>
              <w:jc w:val="center"/>
              <w:rPr>
                <w:rFonts w:ascii="Arial Narrow" w:hAnsi="Arial Narrow"/>
                <w:sz w:val="20"/>
                <w:szCs w:val="20"/>
              </w:rPr>
            </w:pPr>
            <w:r w:rsidRPr="00655231">
              <w:rPr>
                <w:rFonts w:ascii="Arial Narrow" w:hAnsi="Arial Narrow"/>
                <w:sz w:val="20"/>
                <w:szCs w:val="20"/>
              </w:rPr>
              <w:t>–</w:t>
            </w:r>
          </w:p>
        </w:tc>
        <w:tc>
          <w:tcPr>
            <w:tcW w:w="384" w:type="pct"/>
            <w:vAlign w:val="center"/>
          </w:tcPr>
          <w:p w:rsidR="00B17845" w:rsidRPr="00E964DA" w:rsidRDefault="00E964DA" w:rsidP="000546F6">
            <w:pPr>
              <w:jc w:val="center"/>
              <w:rPr>
                <w:rFonts w:ascii="Arial Narrow" w:hAnsi="Arial Narrow"/>
                <w:i/>
                <w:sz w:val="20"/>
                <w:szCs w:val="20"/>
                <w:highlight w:val="black"/>
              </w:rPr>
            </w:pPr>
            <w:r>
              <w:rPr>
                <w:rFonts w:ascii="Arial Narrow" w:hAnsi="Arial Narrow"/>
                <w:i/>
                <w:noProof/>
                <w:color w:val="000000"/>
                <w:sz w:val="20"/>
                <w:szCs w:val="20"/>
                <w:highlight w:val="black"/>
              </w:rPr>
              <w:t>''''''''''''''</w:t>
            </w:r>
          </w:p>
        </w:tc>
        <w:tc>
          <w:tcPr>
            <w:tcW w:w="384" w:type="pct"/>
            <w:vAlign w:val="center"/>
          </w:tcPr>
          <w:p w:rsidR="00B17845" w:rsidRPr="00E964DA" w:rsidRDefault="00E964DA" w:rsidP="000546F6">
            <w:pPr>
              <w:jc w:val="center"/>
              <w:rPr>
                <w:rFonts w:ascii="Arial Narrow" w:hAnsi="Arial Narrow"/>
                <w:i/>
                <w:sz w:val="20"/>
                <w:szCs w:val="20"/>
                <w:highlight w:val="black"/>
              </w:rPr>
            </w:pPr>
            <w:r>
              <w:rPr>
                <w:rFonts w:ascii="Arial Narrow" w:hAnsi="Arial Narrow"/>
                <w:i/>
                <w:noProof/>
                <w:color w:val="000000"/>
                <w:sz w:val="20"/>
                <w:szCs w:val="20"/>
                <w:highlight w:val="black"/>
              </w:rPr>
              <w:t>''''''''''''''</w:t>
            </w:r>
          </w:p>
        </w:tc>
        <w:tc>
          <w:tcPr>
            <w:tcW w:w="383" w:type="pct"/>
            <w:vAlign w:val="center"/>
          </w:tcPr>
          <w:p w:rsidR="00B17845" w:rsidRPr="00E964DA" w:rsidRDefault="00E964DA" w:rsidP="000546F6">
            <w:pPr>
              <w:jc w:val="center"/>
              <w:rPr>
                <w:rFonts w:ascii="Arial Narrow" w:hAnsi="Arial Narrow"/>
                <w:i/>
                <w:sz w:val="20"/>
                <w:szCs w:val="20"/>
                <w:highlight w:val="black"/>
              </w:rPr>
            </w:pPr>
            <w:r>
              <w:rPr>
                <w:rFonts w:ascii="Arial Narrow" w:hAnsi="Arial Narrow"/>
                <w:i/>
                <w:noProof/>
                <w:color w:val="000000"/>
                <w:sz w:val="20"/>
                <w:szCs w:val="20"/>
                <w:highlight w:val="black"/>
              </w:rPr>
              <w:t>'''''''''''''</w:t>
            </w:r>
          </w:p>
        </w:tc>
        <w:tc>
          <w:tcPr>
            <w:tcW w:w="386" w:type="pct"/>
            <w:vAlign w:val="center"/>
          </w:tcPr>
          <w:p w:rsidR="00B17845" w:rsidRPr="00E964DA" w:rsidRDefault="00E964DA" w:rsidP="000546F6">
            <w:pPr>
              <w:jc w:val="center"/>
              <w:rPr>
                <w:rFonts w:ascii="Arial Narrow" w:hAnsi="Arial Narrow"/>
                <w:i/>
                <w:sz w:val="20"/>
                <w:szCs w:val="20"/>
                <w:highlight w:val="black"/>
              </w:rPr>
            </w:pPr>
            <w:r>
              <w:rPr>
                <w:rFonts w:ascii="Arial Narrow" w:hAnsi="Arial Narrow"/>
                <w:i/>
                <w:noProof/>
                <w:color w:val="000000"/>
                <w:sz w:val="20"/>
                <w:szCs w:val="20"/>
                <w:highlight w:val="black"/>
              </w:rPr>
              <w:t>''''''''''''</w:t>
            </w:r>
          </w:p>
        </w:tc>
        <w:tc>
          <w:tcPr>
            <w:tcW w:w="385" w:type="pct"/>
            <w:vAlign w:val="center"/>
          </w:tcPr>
          <w:p w:rsidR="00B17845" w:rsidRPr="00E964DA" w:rsidRDefault="00E964DA" w:rsidP="000546F6">
            <w:pPr>
              <w:jc w:val="center"/>
              <w:rPr>
                <w:rFonts w:ascii="Arial Narrow" w:hAnsi="Arial Narrow"/>
                <w:i/>
                <w:sz w:val="20"/>
                <w:szCs w:val="20"/>
                <w:highlight w:val="black"/>
              </w:rPr>
            </w:pPr>
            <w:r>
              <w:rPr>
                <w:rFonts w:ascii="Arial Narrow" w:hAnsi="Arial Narrow"/>
                <w:i/>
                <w:noProof/>
                <w:color w:val="000000"/>
                <w:sz w:val="20"/>
                <w:szCs w:val="20"/>
                <w:highlight w:val="black"/>
              </w:rPr>
              <w:t>''''''''''''''</w:t>
            </w:r>
          </w:p>
        </w:tc>
        <w:tc>
          <w:tcPr>
            <w:tcW w:w="302" w:type="pct"/>
            <w:tcBorders>
              <w:right w:val="single" w:sz="8" w:space="0" w:color="auto"/>
            </w:tcBorders>
            <w:vAlign w:val="center"/>
          </w:tcPr>
          <w:p w:rsidR="00B17845" w:rsidRPr="00752FB2" w:rsidRDefault="00B17845" w:rsidP="000546F6">
            <w:pPr>
              <w:jc w:val="center"/>
              <w:rPr>
                <w:rFonts w:ascii="Arial Narrow" w:hAnsi="Arial Narrow" w:cs="Arial"/>
                <w:sz w:val="20"/>
                <w:szCs w:val="20"/>
              </w:rPr>
            </w:pPr>
            <w:r w:rsidRPr="00752FB2">
              <w:rPr>
                <w:rFonts w:ascii="Arial Narrow" w:hAnsi="Arial Narrow"/>
                <w:sz w:val="20"/>
                <w:szCs w:val="20"/>
              </w:rPr>
              <w:t>–</w:t>
            </w:r>
          </w:p>
        </w:tc>
      </w:tr>
      <w:tr w:rsidR="00851F1E" w:rsidRPr="00752FB2" w:rsidTr="00655231">
        <w:tc>
          <w:tcPr>
            <w:tcW w:w="101" w:type="pct"/>
            <w:tcBorders>
              <w:left w:val="single" w:sz="8" w:space="0" w:color="auto"/>
              <w:bottom w:val="single" w:sz="4" w:space="0" w:color="auto"/>
            </w:tcBorders>
            <w:vAlign w:val="center"/>
          </w:tcPr>
          <w:p w:rsidR="00B17845" w:rsidRPr="00F74414" w:rsidRDefault="00B17845" w:rsidP="00B17845">
            <w:pPr>
              <w:jc w:val="center"/>
              <w:rPr>
                <w:rFonts w:ascii="Arial Narrow" w:hAnsi="Arial Narrow"/>
                <w:b/>
                <w:sz w:val="20"/>
                <w:szCs w:val="20"/>
              </w:rPr>
            </w:pPr>
            <w:r>
              <w:rPr>
                <w:rFonts w:ascii="Arial Narrow" w:hAnsi="Arial Narrow"/>
                <w:b/>
                <w:sz w:val="20"/>
                <w:szCs w:val="20"/>
              </w:rPr>
              <w:t>I</w:t>
            </w:r>
          </w:p>
        </w:tc>
        <w:tc>
          <w:tcPr>
            <w:tcW w:w="2369" w:type="pct"/>
            <w:tcBorders>
              <w:bottom w:val="single" w:sz="4" w:space="0" w:color="auto"/>
            </w:tcBorders>
          </w:tcPr>
          <w:p w:rsidR="00B17845" w:rsidRPr="002B0CF2" w:rsidRDefault="00D30FD9" w:rsidP="00D30FD9">
            <w:pPr>
              <w:rPr>
                <w:rFonts w:ascii="Arial Narrow" w:hAnsi="Arial Narrow"/>
                <w:i/>
                <w:sz w:val="20"/>
                <w:szCs w:val="20"/>
              </w:rPr>
            </w:pPr>
            <w:r>
              <w:rPr>
                <w:rFonts w:ascii="Arial Narrow" w:hAnsi="Arial Narrow"/>
                <w:i/>
                <w:sz w:val="20"/>
                <w:szCs w:val="20"/>
              </w:rPr>
              <w:t>Derived o</w:t>
            </w:r>
            <w:r w:rsidR="00B17845" w:rsidRPr="002B0CF2">
              <w:rPr>
                <w:rFonts w:ascii="Arial Narrow" w:hAnsi="Arial Narrow"/>
                <w:i/>
                <w:sz w:val="20"/>
                <w:szCs w:val="20"/>
              </w:rPr>
              <w:t xml:space="preserve">verall eligible population </w:t>
            </w:r>
            <w:r w:rsidR="00B17845" w:rsidRPr="002B0CF2">
              <w:rPr>
                <w:rFonts w:ascii="Arial Narrow" w:hAnsi="Arial Narrow"/>
                <w:b/>
                <w:i/>
                <w:sz w:val="20"/>
                <w:szCs w:val="20"/>
              </w:rPr>
              <w:t>(A + H)</w:t>
            </w:r>
          </w:p>
        </w:tc>
        <w:tc>
          <w:tcPr>
            <w:tcW w:w="306" w:type="pct"/>
            <w:tcBorders>
              <w:bottom w:val="single" w:sz="4" w:space="0" w:color="auto"/>
            </w:tcBorders>
            <w:vAlign w:val="center"/>
          </w:tcPr>
          <w:p w:rsidR="00B17845" w:rsidRPr="00655231" w:rsidRDefault="00B17845" w:rsidP="000546F6">
            <w:pPr>
              <w:jc w:val="center"/>
              <w:rPr>
                <w:rFonts w:ascii="Arial Narrow" w:hAnsi="Arial Narrow"/>
                <w:sz w:val="20"/>
                <w:szCs w:val="20"/>
              </w:rPr>
            </w:pPr>
            <w:r w:rsidRPr="00655231">
              <w:rPr>
                <w:rFonts w:ascii="Arial Narrow" w:hAnsi="Arial Narrow"/>
                <w:sz w:val="20"/>
                <w:szCs w:val="20"/>
              </w:rPr>
              <w:t>–</w:t>
            </w:r>
          </w:p>
        </w:tc>
        <w:tc>
          <w:tcPr>
            <w:tcW w:w="384" w:type="pct"/>
            <w:tcBorders>
              <w:bottom w:val="single" w:sz="4" w:space="0" w:color="auto"/>
            </w:tcBorders>
            <w:vAlign w:val="center"/>
          </w:tcPr>
          <w:p w:rsidR="00B17845" w:rsidRPr="00660757" w:rsidRDefault="00660757" w:rsidP="000546F6">
            <w:pPr>
              <w:jc w:val="center"/>
              <w:rPr>
                <w:rFonts w:ascii="Arial Narrow" w:hAnsi="Arial Narrow"/>
                <w:i/>
                <w:sz w:val="20"/>
                <w:szCs w:val="20"/>
                <w:highlight w:val="black"/>
              </w:rPr>
            </w:pPr>
            <w:r>
              <w:rPr>
                <w:rFonts w:ascii="Arial Narrow" w:hAnsi="Arial Narrow"/>
                <w:i/>
                <w:noProof/>
                <w:color w:val="000000"/>
                <w:sz w:val="20"/>
                <w:szCs w:val="20"/>
                <w:highlight w:val="black"/>
              </w:rPr>
              <w:t>''''''''''''''</w:t>
            </w:r>
          </w:p>
        </w:tc>
        <w:tc>
          <w:tcPr>
            <w:tcW w:w="384" w:type="pct"/>
            <w:tcBorders>
              <w:bottom w:val="single" w:sz="4" w:space="0" w:color="auto"/>
            </w:tcBorders>
            <w:vAlign w:val="center"/>
          </w:tcPr>
          <w:p w:rsidR="00B17845" w:rsidRPr="00660757" w:rsidRDefault="00660757" w:rsidP="000546F6">
            <w:pPr>
              <w:jc w:val="center"/>
              <w:rPr>
                <w:rFonts w:ascii="Arial Narrow" w:hAnsi="Arial Narrow"/>
                <w:i/>
                <w:sz w:val="20"/>
                <w:szCs w:val="20"/>
                <w:highlight w:val="black"/>
              </w:rPr>
            </w:pPr>
            <w:r>
              <w:rPr>
                <w:rFonts w:ascii="Arial Narrow" w:hAnsi="Arial Narrow"/>
                <w:i/>
                <w:noProof/>
                <w:color w:val="000000"/>
                <w:sz w:val="20"/>
                <w:szCs w:val="20"/>
                <w:highlight w:val="black"/>
              </w:rPr>
              <w:t>''''''''''''''</w:t>
            </w:r>
          </w:p>
        </w:tc>
        <w:tc>
          <w:tcPr>
            <w:tcW w:w="383" w:type="pct"/>
            <w:tcBorders>
              <w:bottom w:val="single" w:sz="4" w:space="0" w:color="auto"/>
            </w:tcBorders>
            <w:vAlign w:val="center"/>
          </w:tcPr>
          <w:p w:rsidR="00B17845" w:rsidRPr="00660757" w:rsidRDefault="00660757" w:rsidP="000546F6">
            <w:pPr>
              <w:jc w:val="center"/>
              <w:rPr>
                <w:rFonts w:ascii="Arial Narrow" w:hAnsi="Arial Narrow"/>
                <w:i/>
                <w:sz w:val="20"/>
                <w:szCs w:val="20"/>
                <w:highlight w:val="black"/>
              </w:rPr>
            </w:pPr>
            <w:r>
              <w:rPr>
                <w:rFonts w:ascii="Arial Narrow" w:hAnsi="Arial Narrow"/>
                <w:i/>
                <w:noProof/>
                <w:color w:val="000000"/>
                <w:sz w:val="20"/>
                <w:szCs w:val="20"/>
                <w:highlight w:val="black"/>
              </w:rPr>
              <w:t>'''''''''''''</w:t>
            </w:r>
          </w:p>
        </w:tc>
        <w:tc>
          <w:tcPr>
            <w:tcW w:w="386" w:type="pct"/>
            <w:tcBorders>
              <w:bottom w:val="single" w:sz="4" w:space="0" w:color="auto"/>
            </w:tcBorders>
            <w:vAlign w:val="center"/>
          </w:tcPr>
          <w:p w:rsidR="00B17845" w:rsidRPr="00660757" w:rsidRDefault="00660757" w:rsidP="000546F6">
            <w:pPr>
              <w:jc w:val="center"/>
              <w:rPr>
                <w:rFonts w:ascii="Arial Narrow" w:hAnsi="Arial Narrow"/>
                <w:i/>
                <w:sz w:val="20"/>
                <w:szCs w:val="20"/>
                <w:highlight w:val="black"/>
              </w:rPr>
            </w:pPr>
            <w:r>
              <w:rPr>
                <w:rFonts w:ascii="Arial Narrow" w:hAnsi="Arial Narrow"/>
                <w:i/>
                <w:noProof/>
                <w:color w:val="000000"/>
                <w:sz w:val="20"/>
                <w:szCs w:val="20"/>
                <w:highlight w:val="black"/>
              </w:rPr>
              <w:t>'''''''''''''</w:t>
            </w:r>
          </w:p>
        </w:tc>
        <w:tc>
          <w:tcPr>
            <w:tcW w:w="385" w:type="pct"/>
            <w:tcBorders>
              <w:bottom w:val="single" w:sz="4" w:space="0" w:color="auto"/>
            </w:tcBorders>
            <w:vAlign w:val="center"/>
          </w:tcPr>
          <w:p w:rsidR="00B17845" w:rsidRPr="00660757" w:rsidRDefault="00660757" w:rsidP="000546F6">
            <w:pPr>
              <w:jc w:val="center"/>
              <w:rPr>
                <w:rFonts w:ascii="Arial Narrow" w:hAnsi="Arial Narrow"/>
                <w:i/>
                <w:sz w:val="20"/>
                <w:szCs w:val="20"/>
                <w:highlight w:val="black"/>
              </w:rPr>
            </w:pPr>
            <w:r>
              <w:rPr>
                <w:rFonts w:ascii="Arial Narrow" w:hAnsi="Arial Narrow"/>
                <w:i/>
                <w:noProof/>
                <w:color w:val="000000"/>
                <w:sz w:val="20"/>
                <w:szCs w:val="20"/>
                <w:highlight w:val="black"/>
              </w:rPr>
              <w:t>'''''''''''''</w:t>
            </w:r>
          </w:p>
        </w:tc>
        <w:tc>
          <w:tcPr>
            <w:tcW w:w="302" w:type="pct"/>
            <w:tcBorders>
              <w:bottom w:val="single" w:sz="4" w:space="0" w:color="auto"/>
              <w:right w:val="single" w:sz="8" w:space="0" w:color="auto"/>
            </w:tcBorders>
            <w:vAlign w:val="center"/>
          </w:tcPr>
          <w:p w:rsidR="00B17845" w:rsidRPr="00752FB2" w:rsidRDefault="00B17845" w:rsidP="000546F6">
            <w:pPr>
              <w:jc w:val="center"/>
              <w:rPr>
                <w:rFonts w:ascii="Arial Narrow" w:hAnsi="Arial Narrow" w:cs="Arial"/>
                <w:sz w:val="20"/>
                <w:szCs w:val="20"/>
              </w:rPr>
            </w:pPr>
            <w:r w:rsidRPr="00752FB2">
              <w:rPr>
                <w:rFonts w:ascii="Arial Narrow" w:hAnsi="Arial Narrow"/>
                <w:sz w:val="20"/>
                <w:szCs w:val="20"/>
              </w:rPr>
              <w:t>–</w:t>
            </w:r>
          </w:p>
        </w:tc>
      </w:tr>
      <w:tr w:rsidR="00851F1E" w:rsidRPr="00752FB2" w:rsidTr="00655231">
        <w:tc>
          <w:tcPr>
            <w:tcW w:w="101" w:type="pct"/>
            <w:tcBorders>
              <w:left w:val="single" w:sz="8" w:space="0" w:color="auto"/>
              <w:bottom w:val="single" w:sz="8" w:space="0" w:color="auto"/>
            </w:tcBorders>
            <w:vAlign w:val="center"/>
          </w:tcPr>
          <w:p w:rsidR="00B17845" w:rsidRPr="00F74414" w:rsidRDefault="00B17845" w:rsidP="00B17845">
            <w:pPr>
              <w:jc w:val="center"/>
              <w:rPr>
                <w:rFonts w:ascii="Arial Narrow" w:hAnsi="Arial Narrow"/>
                <w:b/>
                <w:sz w:val="20"/>
                <w:szCs w:val="20"/>
              </w:rPr>
            </w:pPr>
            <w:r>
              <w:rPr>
                <w:rFonts w:ascii="Arial Narrow" w:hAnsi="Arial Narrow"/>
                <w:b/>
                <w:sz w:val="20"/>
                <w:szCs w:val="20"/>
              </w:rPr>
              <w:t>J</w:t>
            </w:r>
          </w:p>
        </w:tc>
        <w:tc>
          <w:tcPr>
            <w:tcW w:w="2369" w:type="pct"/>
            <w:tcBorders>
              <w:bottom w:val="single" w:sz="8" w:space="0" w:color="auto"/>
            </w:tcBorders>
          </w:tcPr>
          <w:p w:rsidR="00B17845" w:rsidRPr="00761034" w:rsidRDefault="00D30FD9" w:rsidP="00D30FD9">
            <w:pPr>
              <w:rPr>
                <w:rFonts w:ascii="Arial Narrow" w:hAnsi="Arial Narrow"/>
                <w:sz w:val="20"/>
                <w:szCs w:val="20"/>
                <w:vertAlign w:val="superscript"/>
              </w:rPr>
            </w:pPr>
            <w:r>
              <w:rPr>
                <w:rFonts w:ascii="Arial Narrow" w:hAnsi="Arial Narrow"/>
                <w:sz w:val="20"/>
                <w:szCs w:val="20"/>
              </w:rPr>
              <w:t>Minor resubmission’s e</w:t>
            </w:r>
            <w:r w:rsidR="00B17845" w:rsidRPr="00752FB2">
              <w:rPr>
                <w:rFonts w:ascii="Arial Narrow" w:hAnsi="Arial Narrow"/>
                <w:sz w:val="20"/>
                <w:szCs w:val="20"/>
              </w:rPr>
              <w:t>stimate of patients with eligible disease</w:t>
            </w:r>
            <w:r w:rsidR="00B17845">
              <w:rPr>
                <w:rFonts w:ascii="Arial Narrow" w:hAnsi="Arial Narrow"/>
                <w:sz w:val="20"/>
                <w:szCs w:val="20"/>
                <w:vertAlign w:val="superscript"/>
              </w:rPr>
              <w:t>e</w:t>
            </w:r>
          </w:p>
        </w:tc>
        <w:tc>
          <w:tcPr>
            <w:tcW w:w="306" w:type="pct"/>
            <w:tcBorders>
              <w:bottom w:val="single" w:sz="8" w:space="0" w:color="auto"/>
            </w:tcBorders>
            <w:vAlign w:val="center"/>
          </w:tcPr>
          <w:p w:rsidR="00B17845" w:rsidRPr="00752FB2" w:rsidRDefault="00B17845" w:rsidP="000546F6">
            <w:pPr>
              <w:jc w:val="center"/>
              <w:rPr>
                <w:rFonts w:ascii="Arial Narrow" w:hAnsi="Arial Narrow"/>
                <w:sz w:val="20"/>
                <w:szCs w:val="20"/>
              </w:rPr>
            </w:pPr>
            <w:r w:rsidRPr="00752FB2">
              <w:rPr>
                <w:rFonts w:ascii="Arial Narrow" w:hAnsi="Arial Narrow"/>
                <w:sz w:val="20"/>
                <w:szCs w:val="20"/>
              </w:rPr>
              <w:t>–</w:t>
            </w:r>
          </w:p>
        </w:tc>
        <w:tc>
          <w:tcPr>
            <w:tcW w:w="384" w:type="pct"/>
            <w:tcBorders>
              <w:bottom w:val="single" w:sz="8" w:space="0" w:color="auto"/>
            </w:tcBorders>
            <w:vAlign w:val="center"/>
          </w:tcPr>
          <w:p w:rsidR="00B17845" w:rsidRPr="00E964DA" w:rsidRDefault="00E964DA" w:rsidP="000546F6">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384" w:type="pct"/>
            <w:tcBorders>
              <w:bottom w:val="single" w:sz="8" w:space="0" w:color="auto"/>
            </w:tcBorders>
            <w:vAlign w:val="center"/>
          </w:tcPr>
          <w:p w:rsidR="00B17845" w:rsidRPr="00E964DA" w:rsidRDefault="00E964DA" w:rsidP="000546F6">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383" w:type="pct"/>
            <w:tcBorders>
              <w:bottom w:val="single" w:sz="8" w:space="0" w:color="auto"/>
            </w:tcBorders>
            <w:vAlign w:val="center"/>
          </w:tcPr>
          <w:p w:rsidR="00B17845" w:rsidRPr="00E964DA" w:rsidRDefault="00E964DA" w:rsidP="000546F6">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386" w:type="pct"/>
            <w:tcBorders>
              <w:bottom w:val="single" w:sz="8" w:space="0" w:color="auto"/>
            </w:tcBorders>
            <w:vAlign w:val="center"/>
          </w:tcPr>
          <w:p w:rsidR="00B17845" w:rsidRPr="00E964DA" w:rsidRDefault="00E964DA" w:rsidP="000546F6">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385" w:type="pct"/>
            <w:tcBorders>
              <w:bottom w:val="single" w:sz="8" w:space="0" w:color="auto"/>
            </w:tcBorders>
            <w:vAlign w:val="center"/>
          </w:tcPr>
          <w:p w:rsidR="00B17845" w:rsidRPr="00E964DA" w:rsidRDefault="00E964DA" w:rsidP="000546F6">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302" w:type="pct"/>
            <w:tcBorders>
              <w:bottom w:val="single" w:sz="8" w:space="0" w:color="auto"/>
              <w:right w:val="single" w:sz="8" w:space="0" w:color="auto"/>
            </w:tcBorders>
            <w:vAlign w:val="center"/>
          </w:tcPr>
          <w:p w:rsidR="00B17845" w:rsidRPr="00752FB2" w:rsidRDefault="00B17845" w:rsidP="000546F6">
            <w:pPr>
              <w:jc w:val="center"/>
              <w:rPr>
                <w:rFonts w:ascii="Arial Narrow" w:hAnsi="Arial Narrow" w:cs="Arial"/>
                <w:sz w:val="20"/>
                <w:szCs w:val="20"/>
              </w:rPr>
            </w:pPr>
            <w:r w:rsidRPr="00752FB2">
              <w:rPr>
                <w:rFonts w:ascii="Arial Narrow" w:hAnsi="Arial Narrow"/>
                <w:sz w:val="20"/>
                <w:szCs w:val="20"/>
              </w:rPr>
              <w:t>–</w:t>
            </w:r>
          </w:p>
        </w:tc>
      </w:tr>
    </w:tbl>
    <w:p w:rsidR="00B17845" w:rsidRPr="00F74414" w:rsidRDefault="00B17845" w:rsidP="00B17845">
      <w:pPr>
        <w:rPr>
          <w:rFonts w:ascii="Arial Narrow" w:hAnsi="Arial Narrow"/>
          <w:sz w:val="20"/>
          <w:szCs w:val="20"/>
        </w:rPr>
      </w:pPr>
      <w:r w:rsidRPr="00F74414">
        <w:rPr>
          <w:rFonts w:ascii="Arial Narrow" w:hAnsi="Arial Narrow"/>
          <w:sz w:val="20"/>
          <w:szCs w:val="20"/>
          <w:vertAlign w:val="superscript"/>
        </w:rPr>
        <w:t>a</w:t>
      </w:r>
      <w:r w:rsidRPr="00F74414">
        <w:rPr>
          <w:rFonts w:ascii="Arial Narrow" w:hAnsi="Arial Narrow"/>
          <w:sz w:val="20"/>
          <w:szCs w:val="20"/>
        </w:rPr>
        <w:t xml:space="preserve"> Row D of Table 4: 64.2% x patients who switch from first-lin</w:t>
      </w:r>
      <w:r w:rsidR="00DA7521">
        <w:rPr>
          <w:rFonts w:ascii="Arial Narrow" w:hAnsi="Arial Narrow"/>
          <w:sz w:val="20"/>
          <w:szCs w:val="20"/>
        </w:rPr>
        <w:t>e chemotherapy to pembrolizumab</w:t>
      </w:r>
    </w:p>
    <w:p w:rsidR="00B17845" w:rsidRPr="00F74414" w:rsidRDefault="00B17845" w:rsidP="00B17845">
      <w:pPr>
        <w:rPr>
          <w:rFonts w:ascii="Arial Narrow" w:hAnsi="Arial Narrow"/>
          <w:sz w:val="20"/>
          <w:szCs w:val="20"/>
        </w:rPr>
      </w:pPr>
      <w:r w:rsidRPr="00F74414">
        <w:rPr>
          <w:rFonts w:ascii="Arial Narrow" w:hAnsi="Arial Narrow"/>
          <w:sz w:val="20"/>
          <w:szCs w:val="20"/>
          <w:vertAlign w:val="superscript"/>
        </w:rPr>
        <w:t>b</w:t>
      </w:r>
      <w:r w:rsidRPr="00F74414">
        <w:rPr>
          <w:rFonts w:ascii="Arial Narrow" w:hAnsi="Arial Narrow"/>
          <w:sz w:val="20"/>
          <w:szCs w:val="20"/>
        </w:rPr>
        <w:t xml:space="preserve"> Row F of Table 4: incremental patients who are treated with pembrolizumab but who would not have had first-line chemotherapy + patients who would not have received second-line </w:t>
      </w:r>
      <w:r w:rsidR="00DA7521">
        <w:rPr>
          <w:rFonts w:ascii="Arial Narrow" w:hAnsi="Arial Narrow"/>
          <w:sz w:val="20"/>
          <w:szCs w:val="20"/>
        </w:rPr>
        <w:t>immunotherapy after progression</w:t>
      </w:r>
    </w:p>
    <w:p w:rsidR="00B17845" w:rsidRPr="00F74414" w:rsidRDefault="00B17845" w:rsidP="00B17845">
      <w:pPr>
        <w:rPr>
          <w:rFonts w:ascii="Arial Narrow" w:hAnsi="Arial Narrow"/>
          <w:sz w:val="20"/>
          <w:szCs w:val="20"/>
        </w:rPr>
      </w:pPr>
      <w:r w:rsidRPr="00F74414">
        <w:rPr>
          <w:rFonts w:ascii="Arial Narrow" w:hAnsi="Arial Narrow"/>
          <w:sz w:val="20"/>
          <w:szCs w:val="20"/>
          <w:vertAlign w:val="superscript"/>
        </w:rPr>
        <w:t>c</w:t>
      </w:r>
      <w:r w:rsidRPr="00F74414">
        <w:rPr>
          <w:rFonts w:ascii="Arial Narrow" w:hAnsi="Arial Narrow"/>
          <w:sz w:val="20"/>
          <w:szCs w:val="20"/>
        </w:rPr>
        <w:t xml:space="preserve"> </w:t>
      </w:r>
      <w:r w:rsidR="00E964DA">
        <w:rPr>
          <w:rFonts w:ascii="Arial Narrow" w:hAnsi="Arial Narrow"/>
          <w:noProof/>
          <w:color w:val="000000"/>
          <w:sz w:val="20"/>
          <w:szCs w:val="20"/>
          <w:highlight w:val="black"/>
        </w:rPr>
        <w:t>''''''''''''</w:t>
      </w:r>
      <w:r w:rsidRPr="00F74414">
        <w:rPr>
          <w:rFonts w:ascii="Arial Narrow" w:hAnsi="Arial Narrow"/>
          <w:sz w:val="20"/>
          <w:szCs w:val="20"/>
        </w:rPr>
        <w:t xml:space="preserve"> = B + C + </w:t>
      </w:r>
      <w:r w:rsidR="00E964DA">
        <w:rPr>
          <w:rFonts w:ascii="Arial Narrow" w:hAnsi="Arial Narrow"/>
          <w:noProof/>
          <w:color w:val="000000"/>
          <w:sz w:val="20"/>
          <w:szCs w:val="20"/>
          <w:highlight w:val="black"/>
        </w:rPr>
        <w:t>'''''''</w:t>
      </w:r>
      <w:r w:rsidRPr="00F74414">
        <w:rPr>
          <w:rFonts w:ascii="Arial Narrow" w:hAnsi="Arial Narrow"/>
          <w:sz w:val="20"/>
          <w:szCs w:val="20"/>
        </w:rPr>
        <w:t xml:space="preserve"> grandfathered patients (who are treated with pembrolizumab but who would not have had first-line chemotherapy)</w:t>
      </w:r>
    </w:p>
    <w:p w:rsidR="00B17845" w:rsidRPr="00F74414" w:rsidRDefault="00B17845" w:rsidP="00B17845">
      <w:pPr>
        <w:rPr>
          <w:rFonts w:ascii="Arial Narrow" w:hAnsi="Arial Narrow"/>
          <w:sz w:val="20"/>
          <w:szCs w:val="20"/>
        </w:rPr>
      </w:pPr>
      <w:r w:rsidRPr="00F74414">
        <w:rPr>
          <w:rFonts w:ascii="Arial Narrow" w:hAnsi="Arial Narrow"/>
          <w:sz w:val="20"/>
          <w:szCs w:val="20"/>
          <w:vertAlign w:val="superscript"/>
        </w:rPr>
        <w:t>d</w:t>
      </w:r>
      <w:r w:rsidRPr="00F74414">
        <w:rPr>
          <w:rFonts w:ascii="Arial Narrow" w:hAnsi="Arial Narrow"/>
          <w:sz w:val="20"/>
          <w:szCs w:val="20"/>
        </w:rPr>
        <w:t xml:space="preserve"> Minor resubmission’s estimate (Table 6, p14) of the proportion of the second-line nivolumab market that would be replaced by pembroli</w:t>
      </w:r>
      <w:r w:rsidR="00DA7521">
        <w:rPr>
          <w:rFonts w:ascii="Arial Narrow" w:hAnsi="Arial Narrow"/>
          <w:sz w:val="20"/>
          <w:szCs w:val="20"/>
        </w:rPr>
        <w:t>zumab in the first-line setting</w:t>
      </w:r>
    </w:p>
    <w:p w:rsidR="00B17845" w:rsidRDefault="00B17845" w:rsidP="00B17845">
      <w:pPr>
        <w:rPr>
          <w:rFonts w:ascii="Arial Narrow" w:hAnsi="Arial Narrow"/>
          <w:sz w:val="20"/>
          <w:szCs w:val="20"/>
        </w:rPr>
      </w:pPr>
      <w:r w:rsidRPr="00F74414">
        <w:rPr>
          <w:rFonts w:ascii="Arial Narrow" w:hAnsi="Arial Narrow"/>
          <w:sz w:val="20"/>
          <w:szCs w:val="20"/>
          <w:vertAlign w:val="superscript"/>
        </w:rPr>
        <w:t>e</w:t>
      </w:r>
      <w:r w:rsidRPr="00F74414">
        <w:rPr>
          <w:rFonts w:ascii="Arial Narrow" w:hAnsi="Arial Narrow"/>
          <w:sz w:val="20"/>
          <w:szCs w:val="20"/>
        </w:rPr>
        <w:t xml:space="preserve"> Based on the minor resubmission’s estimate of patients with advanced </w:t>
      </w:r>
      <w:r w:rsidR="002B0CF2">
        <w:rPr>
          <w:rFonts w:ascii="Arial Narrow" w:hAnsi="Arial Narrow"/>
          <w:sz w:val="20"/>
          <w:szCs w:val="20"/>
        </w:rPr>
        <w:t>(</w:t>
      </w:r>
      <w:r w:rsidR="002B0CF2" w:rsidRPr="00F74414">
        <w:rPr>
          <w:rFonts w:ascii="Arial Narrow" w:hAnsi="Arial Narrow"/>
          <w:sz w:val="20"/>
          <w:szCs w:val="20"/>
        </w:rPr>
        <w:t xml:space="preserve">stage </w:t>
      </w:r>
      <w:r w:rsidR="002B0CF2">
        <w:rPr>
          <w:rFonts w:ascii="Arial Narrow" w:hAnsi="Arial Narrow"/>
          <w:sz w:val="20"/>
          <w:szCs w:val="20"/>
        </w:rPr>
        <w:t>IIIB/</w:t>
      </w:r>
      <w:r w:rsidR="002B0CF2" w:rsidRPr="00F74414">
        <w:rPr>
          <w:rFonts w:ascii="Arial Narrow" w:hAnsi="Arial Narrow"/>
          <w:sz w:val="20"/>
          <w:szCs w:val="20"/>
        </w:rPr>
        <w:t>IV</w:t>
      </w:r>
      <w:r w:rsidR="002B0CF2">
        <w:rPr>
          <w:rFonts w:ascii="Arial Narrow" w:hAnsi="Arial Narrow"/>
          <w:sz w:val="20"/>
          <w:szCs w:val="20"/>
        </w:rPr>
        <w:t>)</w:t>
      </w:r>
      <w:r w:rsidR="002B0CF2" w:rsidRPr="00F74414">
        <w:rPr>
          <w:rFonts w:ascii="Arial Narrow" w:hAnsi="Arial Narrow"/>
          <w:sz w:val="20"/>
          <w:szCs w:val="20"/>
        </w:rPr>
        <w:t xml:space="preserve"> </w:t>
      </w:r>
      <w:r w:rsidRPr="00F74414">
        <w:rPr>
          <w:rFonts w:ascii="Arial Narrow" w:hAnsi="Arial Narrow"/>
          <w:sz w:val="20"/>
          <w:szCs w:val="20"/>
        </w:rPr>
        <w:t>NSCLC who are candidates for first-line treatment, “Background and assumptions” worksheet of the budget impact model accom</w:t>
      </w:r>
      <w:r w:rsidR="00DA7521">
        <w:rPr>
          <w:rFonts w:ascii="Arial Narrow" w:hAnsi="Arial Narrow"/>
          <w:sz w:val="20"/>
          <w:szCs w:val="20"/>
        </w:rPr>
        <w:t>panying the minor resubmission</w:t>
      </w:r>
    </w:p>
    <w:p w:rsidR="00385F57" w:rsidRPr="00385F57" w:rsidRDefault="00385F57" w:rsidP="00385F57">
      <w:pPr>
        <w:spacing w:before="120" w:after="160"/>
        <w:rPr>
          <w:rFonts w:asciiTheme="minorHAnsi" w:hAnsiTheme="minorHAnsi"/>
        </w:rPr>
      </w:pPr>
      <w:r>
        <w:rPr>
          <w:rFonts w:asciiTheme="minorHAnsi" w:hAnsiTheme="minorHAnsi"/>
        </w:rPr>
        <w:t>The redacted table shows estimated patient numbers of less than 10,000 per year.</w:t>
      </w:r>
    </w:p>
    <w:p w:rsidR="005D455D" w:rsidRPr="008C6270" w:rsidRDefault="00F0485A" w:rsidP="005D455D">
      <w:pPr>
        <w:pStyle w:val="ListParagraph"/>
        <w:widowControl/>
        <w:numPr>
          <w:ilvl w:val="1"/>
          <w:numId w:val="5"/>
        </w:numPr>
        <w:spacing w:before="120" w:after="120"/>
        <w:contextualSpacing w:val="0"/>
        <w:rPr>
          <w:rFonts w:asciiTheme="minorHAnsi" w:hAnsiTheme="minorHAnsi"/>
          <w:sz w:val="24"/>
          <w:szCs w:val="24"/>
        </w:rPr>
      </w:pPr>
      <w:r w:rsidRPr="008C6270">
        <w:rPr>
          <w:rFonts w:asciiTheme="minorHAnsi" w:hAnsiTheme="minorHAnsi"/>
          <w:sz w:val="24"/>
          <w:szCs w:val="24"/>
        </w:rPr>
        <w:t>Th</w:t>
      </w:r>
      <w:r w:rsidR="00437EC2" w:rsidRPr="008C6270">
        <w:rPr>
          <w:rFonts w:asciiTheme="minorHAnsi" w:hAnsiTheme="minorHAnsi"/>
          <w:sz w:val="24"/>
          <w:szCs w:val="24"/>
        </w:rPr>
        <w:t xml:space="preserve">e </w:t>
      </w:r>
      <w:r w:rsidRPr="008C6270">
        <w:rPr>
          <w:rFonts w:asciiTheme="minorHAnsi" w:hAnsiTheme="minorHAnsi"/>
          <w:sz w:val="24"/>
          <w:szCs w:val="24"/>
        </w:rPr>
        <w:t xml:space="preserve">table </w:t>
      </w:r>
      <w:r w:rsidR="00437EC2" w:rsidRPr="008C6270">
        <w:rPr>
          <w:rFonts w:asciiTheme="minorHAnsi" w:hAnsiTheme="minorHAnsi"/>
          <w:sz w:val="24"/>
          <w:szCs w:val="24"/>
        </w:rPr>
        <w:t xml:space="preserve">above </w:t>
      </w:r>
      <w:r w:rsidRPr="008C6270">
        <w:rPr>
          <w:rFonts w:asciiTheme="minorHAnsi" w:hAnsiTheme="minorHAnsi"/>
          <w:sz w:val="24"/>
          <w:szCs w:val="24"/>
        </w:rPr>
        <w:t xml:space="preserve">seeks to assess two sources of patients for pembrolizumab compared to the existing </w:t>
      </w:r>
      <w:r w:rsidR="00D6406B" w:rsidRPr="008C6270">
        <w:rPr>
          <w:rFonts w:asciiTheme="minorHAnsi" w:hAnsiTheme="minorHAnsi"/>
          <w:sz w:val="24"/>
          <w:szCs w:val="24"/>
        </w:rPr>
        <w:t xml:space="preserve">estimates </w:t>
      </w:r>
      <w:r w:rsidRPr="008C6270">
        <w:rPr>
          <w:rFonts w:asciiTheme="minorHAnsi" w:hAnsiTheme="minorHAnsi"/>
          <w:sz w:val="24"/>
          <w:szCs w:val="24"/>
        </w:rPr>
        <w:t>for nivolumab.</w:t>
      </w:r>
    </w:p>
    <w:p w:rsidR="005D455D" w:rsidRPr="008C6270" w:rsidRDefault="00F0485A" w:rsidP="005D455D">
      <w:pPr>
        <w:pStyle w:val="ListParagraph"/>
        <w:widowControl/>
        <w:numPr>
          <w:ilvl w:val="1"/>
          <w:numId w:val="5"/>
        </w:numPr>
        <w:spacing w:before="120" w:after="120"/>
        <w:contextualSpacing w:val="0"/>
        <w:rPr>
          <w:rFonts w:asciiTheme="minorHAnsi" w:hAnsiTheme="minorHAnsi"/>
          <w:sz w:val="24"/>
          <w:szCs w:val="24"/>
        </w:rPr>
      </w:pPr>
      <w:r w:rsidRPr="008C6270">
        <w:rPr>
          <w:rFonts w:asciiTheme="minorHAnsi" w:hAnsiTheme="minorHAnsi"/>
          <w:sz w:val="24"/>
          <w:szCs w:val="24"/>
        </w:rPr>
        <w:t>The first population is those patients who would no</w:t>
      </w:r>
      <w:r w:rsidR="005D455D" w:rsidRPr="008C6270">
        <w:rPr>
          <w:rFonts w:asciiTheme="minorHAnsi" w:hAnsiTheme="minorHAnsi"/>
          <w:sz w:val="24"/>
          <w:szCs w:val="24"/>
        </w:rPr>
        <w:t xml:space="preserve"> longer </w:t>
      </w:r>
      <w:r w:rsidRPr="008C6270">
        <w:rPr>
          <w:rFonts w:asciiTheme="minorHAnsi" w:hAnsiTheme="minorHAnsi"/>
          <w:sz w:val="24"/>
          <w:szCs w:val="24"/>
        </w:rPr>
        <w:t>receive second</w:t>
      </w:r>
      <w:r w:rsidR="00851F1E" w:rsidRPr="008C6270">
        <w:rPr>
          <w:rFonts w:asciiTheme="minorHAnsi" w:hAnsiTheme="minorHAnsi"/>
          <w:sz w:val="24"/>
          <w:szCs w:val="24"/>
        </w:rPr>
        <w:t>-</w:t>
      </w:r>
      <w:r w:rsidRPr="008C6270">
        <w:rPr>
          <w:rFonts w:asciiTheme="minorHAnsi" w:hAnsiTheme="minorHAnsi"/>
          <w:sz w:val="24"/>
          <w:szCs w:val="24"/>
        </w:rPr>
        <w:t xml:space="preserve">line nivolumab if </w:t>
      </w:r>
      <w:r w:rsidR="00851F1E" w:rsidRPr="008C6270">
        <w:rPr>
          <w:rFonts w:asciiTheme="minorHAnsi" w:hAnsiTheme="minorHAnsi"/>
          <w:sz w:val="24"/>
          <w:szCs w:val="24"/>
        </w:rPr>
        <w:t>first-</w:t>
      </w:r>
      <w:r w:rsidRPr="008C6270">
        <w:rPr>
          <w:rFonts w:asciiTheme="minorHAnsi" w:hAnsiTheme="minorHAnsi"/>
          <w:sz w:val="24"/>
          <w:szCs w:val="24"/>
        </w:rPr>
        <w:t>line pembrolizumab w</w:t>
      </w:r>
      <w:r w:rsidR="005D455D" w:rsidRPr="008C6270">
        <w:rPr>
          <w:rFonts w:asciiTheme="minorHAnsi" w:hAnsiTheme="minorHAnsi"/>
          <w:sz w:val="24"/>
          <w:szCs w:val="24"/>
        </w:rPr>
        <w:t>as to be</w:t>
      </w:r>
      <w:r w:rsidRPr="008C6270">
        <w:rPr>
          <w:rFonts w:asciiTheme="minorHAnsi" w:hAnsiTheme="minorHAnsi"/>
          <w:sz w:val="24"/>
          <w:szCs w:val="24"/>
        </w:rPr>
        <w:t xml:space="preserve"> listed. As pembrolizumab </w:t>
      </w:r>
      <w:r w:rsidR="00437EC2" w:rsidRPr="008C6270">
        <w:rPr>
          <w:rFonts w:asciiTheme="minorHAnsi" w:hAnsiTheme="minorHAnsi"/>
          <w:sz w:val="24"/>
          <w:szCs w:val="24"/>
        </w:rPr>
        <w:t>would be</w:t>
      </w:r>
      <w:r w:rsidRPr="008C6270">
        <w:rPr>
          <w:rFonts w:asciiTheme="minorHAnsi" w:hAnsiTheme="minorHAnsi"/>
          <w:sz w:val="24"/>
          <w:szCs w:val="24"/>
        </w:rPr>
        <w:t xml:space="preserve"> limited to those patients who are not EGFR or ALK positive and whose tumours strongly express PD-L1, </w:t>
      </w:r>
      <w:r w:rsidR="00A02454" w:rsidRPr="008C6270">
        <w:rPr>
          <w:rFonts w:asciiTheme="minorHAnsi" w:hAnsiTheme="minorHAnsi"/>
          <w:sz w:val="24"/>
          <w:szCs w:val="24"/>
        </w:rPr>
        <w:t xml:space="preserve">the minor resubmission’s estimate </w:t>
      </w:r>
      <w:r w:rsidR="00437EC2" w:rsidRPr="008C6270">
        <w:rPr>
          <w:rFonts w:asciiTheme="minorHAnsi" w:hAnsiTheme="minorHAnsi"/>
          <w:sz w:val="24"/>
          <w:szCs w:val="24"/>
        </w:rPr>
        <w:t>wa</w:t>
      </w:r>
      <w:r w:rsidRPr="008C6270">
        <w:rPr>
          <w:rFonts w:asciiTheme="minorHAnsi" w:hAnsiTheme="minorHAnsi"/>
          <w:sz w:val="24"/>
          <w:szCs w:val="24"/>
        </w:rPr>
        <w:t xml:space="preserve">s </w:t>
      </w:r>
      <w:r w:rsidR="00A02454" w:rsidRPr="008C6270">
        <w:rPr>
          <w:rFonts w:asciiTheme="minorHAnsi" w:hAnsiTheme="minorHAnsi"/>
          <w:sz w:val="24"/>
          <w:szCs w:val="24"/>
        </w:rPr>
        <w:t xml:space="preserve">that </w:t>
      </w:r>
      <w:r w:rsidRPr="008C6270">
        <w:rPr>
          <w:rFonts w:asciiTheme="minorHAnsi" w:hAnsiTheme="minorHAnsi"/>
          <w:sz w:val="24"/>
          <w:szCs w:val="24"/>
        </w:rPr>
        <w:t xml:space="preserve">a maximum of </w:t>
      </w:r>
      <w:r w:rsidR="00A02454" w:rsidRPr="008C6270">
        <w:rPr>
          <w:rFonts w:asciiTheme="minorHAnsi" w:hAnsiTheme="minorHAnsi"/>
          <w:sz w:val="24"/>
          <w:szCs w:val="24"/>
        </w:rPr>
        <w:t>19.53% of the second-line nivolumab population would be replaced by pembrolizumab in the first-line setting</w:t>
      </w:r>
      <w:r w:rsidRPr="008C6270">
        <w:rPr>
          <w:rFonts w:asciiTheme="minorHAnsi" w:hAnsiTheme="minorHAnsi"/>
          <w:sz w:val="24"/>
          <w:szCs w:val="24"/>
        </w:rPr>
        <w:t xml:space="preserve"> (Row E). By comparison</w:t>
      </w:r>
      <w:r w:rsidR="00A02454" w:rsidRPr="008C6270">
        <w:rPr>
          <w:rFonts w:asciiTheme="minorHAnsi" w:hAnsiTheme="minorHAnsi"/>
          <w:sz w:val="24"/>
          <w:szCs w:val="24"/>
        </w:rPr>
        <w:t xml:space="preserve">, </w:t>
      </w:r>
      <w:r w:rsidRPr="008C6270">
        <w:rPr>
          <w:rFonts w:asciiTheme="minorHAnsi" w:hAnsiTheme="minorHAnsi"/>
          <w:sz w:val="24"/>
          <w:szCs w:val="24"/>
        </w:rPr>
        <w:t xml:space="preserve">the </w:t>
      </w:r>
      <w:r w:rsidR="005D455D" w:rsidRPr="008C6270">
        <w:rPr>
          <w:rFonts w:asciiTheme="minorHAnsi" w:hAnsiTheme="minorHAnsi"/>
          <w:sz w:val="24"/>
          <w:szCs w:val="24"/>
        </w:rPr>
        <w:t xml:space="preserve">actual percentages derived from the approach used in the minor resubmission to generate the financial </w:t>
      </w:r>
      <w:r w:rsidRPr="008C6270">
        <w:rPr>
          <w:rFonts w:asciiTheme="minorHAnsi" w:hAnsiTheme="minorHAnsi"/>
          <w:sz w:val="24"/>
          <w:szCs w:val="24"/>
        </w:rPr>
        <w:t xml:space="preserve">estimates </w:t>
      </w:r>
      <w:r w:rsidR="005D455D" w:rsidRPr="008C6270">
        <w:rPr>
          <w:rFonts w:asciiTheme="minorHAnsi" w:hAnsiTheme="minorHAnsi"/>
          <w:sz w:val="24"/>
          <w:szCs w:val="24"/>
        </w:rPr>
        <w:t xml:space="preserve">are </w:t>
      </w:r>
      <w:r w:rsidR="00660757">
        <w:rPr>
          <w:rFonts w:asciiTheme="minorHAnsi" w:hAnsiTheme="minorHAnsi"/>
          <w:noProof/>
          <w:color w:val="000000"/>
          <w:sz w:val="24"/>
          <w:szCs w:val="24"/>
          <w:highlight w:val="black"/>
        </w:rPr>
        <w:t>''''''''''''' '''''''''''''''''</w:t>
      </w:r>
      <w:r w:rsidR="005D455D" w:rsidRPr="008C6270">
        <w:rPr>
          <w:rFonts w:asciiTheme="minorHAnsi" w:hAnsiTheme="minorHAnsi"/>
          <w:sz w:val="24"/>
          <w:szCs w:val="24"/>
        </w:rPr>
        <w:t xml:space="preserve"> (Row F).</w:t>
      </w:r>
    </w:p>
    <w:p w:rsidR="007D0B60" w:rsidRPr="008C6270" w:rsidRDefault="005D455D" w:rsidP="005D455D">
      <w:pPr>
        <w:pStyle w:val="ListParagraph"/>
        <w:widowControl/>
        <w:numPr>
          <w:ilvl w:val="1"/>
          <w:numId w:val="5"/>
        </w:numPr>
        <w:spacing w:before="120" w:after="120"/>
        <w:contextualSpacing w:val="0"/>
        <w:rPr>
          <w:rFonts w:asciiTheme="minorHAnsi" w:hAnsiTheme="minorHAnsi"/>
          <w:sz w:val="24"/>
          <w:szCs w:val="24"/>
        </w:rPr>
      </w:pPr>
      <w:r w:rsidRPr="008C6270">
        <w:rPr>
          <w:rFonts w:asciiTheme="minorHAnsi" w:hAnsiTheme="minorHAnsi"/>
          <w:sz w:val="24"/>
          <w:szCs w:val="24"/>
        </w:rPr>
        <w:t>The second population is those patients who would not have received second</w:t>
      </w:r>
      <w:r w:rsidR="00851F1E" w:rsidRPr="008C6270">
        <w:rPr>
          <w:rFonts w:asciiTheme="minorHAnsi" w:hAnsiTheme="minorHAnsi"/>
          <w:sz w:val="24"/>
          <w:szCs w:val="24"/>
        </w:rPr>
        <w:t>-</w:t>
      </w:r>
      <w:r w:rsidRPr="008C6270">
        <w:rPr>
          <w:rFonts w:asciiTheme="minorHAnsi" w:hAnsiTheme="minorHAnsi"/>
          <w:sz w:val="24"/>
          <w:szCs w:val="24"/>
        </w:rPr>
        <w:t xml:space="preserve">line nivolumab if </w:t>
      </w:r>
      <w:r w:rsidR="00851F1E" w:rsidRPr="008C6270">
        <w:rPr>
          <w:rFonts w:asciiTheme="minorHAnsi" w:hAnsiTheme="minorHAnsi"/>
          <w:sz w:val="24"/>
          <w:szCs w:val="24"/>
        </w:rPr>
        <w:t>first-</w:t>
      </w:r>
      <w:r w:rsidRPr="008C6270">
        <w:rPr>
          <w:rFonts w:asciiTheme="minorHAnsi" w:hAnsiTheme="minorHAnsi"/>
          <w:sz w:val="24"/>
          <w:szCs w:val="24"/>
        </w:rPr>
        <w:t>line pembrolizumab w</w:t>
      </w:r>
      <w:r w:rsidR="00851F1E" w:rsidRPr="008C6270">
        <w:rPr>
          <w:rFonts w:asciiTheme="minorHAnsi" w:hAnsiTheme="minorHAnsi"/>
          <w:sz w:val="24"/>
          <w:szCs w:val="24"/>
        </w:rPr>
        <w:t>as to be</w:t>
      </w:r>
      <w:r w:rsidRPr="008C6270">
        <w:rPr>
          <w:rFonts w:asciiTheme="minorHAnsi" w:hAnsiTheme="minorHAnsi"/>
          <w:sz w:val="24"/>
          <w:szCs w:val="24"/>
        </w:rPr>
        <w:t xml:space="preserve"> listed (Row C</w:t>
      </w:r>
      <w:r w:rsidR="00437EC2" w:rsidRPr="008C6270">
        <w:rPr>
          <w:rFonts w:asciiTheme="minorHAnsi" w:hAnsiTheme="minorHAnsi"/>
          <w:sz w:val="24"/>
          <w:szCs w:val="24"/>
        </w:rPr>
        <w:t>,</w:t>
      </w:r>
      <w:r w:rsidRPr="008C6270">
        <w:rPr>
          <w:rFonts w:asciiTheme="minorHAnsi" w:hAnsiTheme="minorHAnsi"/>
          <w:sz w:val="24"/>
          <w:szCs w:val="24"/>
        </w:rPr>
        <w:t xml:space="preserve"> or Row G as a percentage expansion over the previously agreed nivolumab population). By comparison, the PBAC previously expressed its view that this </w:t>
      </w:r>
      <w:r w:rsidR="00437EC2" w:rsidRPr="008C6270">
        <w:rPr>
          <w:rFonts w:asciiTheme="minorHAnsi" w:hAnsiTheme="minorHAnsi"/>
          <w:sz w:val="24"/>
          <w:szCs w:val="24"/>
        </w:rPr>
        <w:t xml:space="preserve">second population </w:t>
      </w:r>
      <w:r w:rsidRPr="008C6270">
        <w:rPr>
          <w:rFonts w:asciiTheme="minorHAnsi" w:hAnsiTheme="minorHAnsi"/>
          <w:sz w:val="24"/>
          <w:szCs w:val="24"/>
        </w:rPr>
        <w:t xml:space="preserve">would be </w:t>
      </w:r>
      <w:r w:rsidR="00437EC2" w:rsidRPr="008C6270">
        <w:rPr>
          <w:rFonts w:asciiTheme="minorHAnsi" w:hAnsiTheme="minorHAnsi"/>
          <w:sz w:val="24"/>
          <w:szCs w:val="24"/>
        </w:rPr>
        <w:t>small</w:t>
      </w:r>
      <w:r w:rsidRPr="008C6270">
        <w:rPr>
          <w:rFonts w:asciiTheme="minorHAnsi" w:hAnsiTheme="minorHAnsi"/>
          <w:sz w:val="24"/>
          <w:szCs w:val="24"/>
        </w:rPr>
        <w:t>.</w:t>
      </w:r>
      <w:r w:rsidR="007D0B60" w:rsidRPr="008C6270">
        <w:rPr>
          <w:rFonts w:asciiTheme="minorHAnsi" w:hAnsiTheme="minorHAnsi"/>
          <w:sz w:val="24"/>
          <w:szCs w:val="24"/>
        </w:rPr>
        <w:t xml:space="preserve"> Specifically, from paragraph 7.16 of the November 2017 </w:t>
      </w:r>
      <w:r w:rsidR="005336ED">
        <w:rPr>
          <w:rFonts w:asciiTheme="minorHAnsi" w:hAnsiTheme="minorHAnsi"/>
          <w:sz w:val="24"/>
          <w:szCs w:val="24"/>
        </w:rPr>
        <w:t>PSD</w:t>
      </w:r>
      <w:r w:rsidR="007D0B60" w:rsidRPr="008C6270">
        <w:rPr>
          <w:rFonts w:asciiTheme="minorHAnsi" w:hAnsiTheme="minorHAnsi"/>
          <w:sz w:val="24"/>
          <w:szCs w:val="24"/>
        </w:rPr>
        <w:t>: “The PBAC considered that</w:t>
      </w:r>
      <w:r w:rsidR="00D6406B" w:rsidRPr="008C6270">
        <w:rPr>
          <w:rFonts w:asciiTheme="minorHAnsi" w:hAnsiTheme="minorHAnsi"/>
          <w:sz w:val="24"/>
          <w:szCs w:val="24"/>
        </w:rPr>
        <w:t>,</w:t>
      </w:r>
      <w:r w:rsidR="007D0B60" w:rsidRPr="008C6270">
        <w:rPr>
          <w:rFonts w:asciiTheme="minorHAnsi" w:hAnsiTheme="minorHAnsi"/>
          <w:sz w:val="24"/>
          <w:szCs w:val="24"/>
        </w:rPr>
        <w:t xml:space="preserve"> if pembrolizumab was made available on the PBS, there would only be a minor increase in the overall number of patients treated for metastatic Stage IV NSCLC either in the first- or second-line setting, above what was accepted for the nivolumab caps</w:t>
      </w:r>
      <w:r w:rsidR="00D6406B" w:rsidRPr="008C6270">
        <w:rPr>
          <w:rFonts w:asciiTheme="minorHAnsi" w:hAnsiTheme="minorHAnsi"/>
          <w:sz w:val="24"/>
          <w:szCs w:val="24"/>
        </w:rPr>
        <w:t xml:space="preserve"> at the time of the negotiations with the sponsor of nivolumab”</w:t>
      </w:r>
      <w:r w:rsidR="007D0B60" w:rsidRPr="008C6270">
        <w:rPr>
          <w:rFonts w:asciiTheme="minorHAnsi" w:hAnsiTheme="minorHAnsi"/>
          <w:sz w:val="24"/>
          <w:szCs w:val="24"/>
        </w:rPr>
        <w:t>.</w:t>
      </w:r>
      <w:r w:rsidRPr="008C6270">
        <w:rPr>
          <w:rFonts w:asciiTheme="minorHAnsi" w:hAnsiTheme="minorHAnsi"/>
          <w:sz w:val="24"/>
          <w:szCs w:val="24"/>
        </w:rPr>
        <w:t xml:space="preserve"> </w:t>
      </w:r>
      <w:r w:rsidR="007D0B60" w:rsidRPr="008C6270">
        <w:rPr>
          <w:rFonts w:asciiTheme="minorHAnsi" w:hAnsiTheme="minorHAnsi"/>
          <w:sz w:val="24"/>
          <w:szCs w:val="24"/>
        </w:rPr>
        <w:t>Rather, the minor resubmission estimate</w:t>
      </w:r>
      <w:r w:rsidR="00497908">
        <w:rPr>
          <w:rFonts w:asciiTheme="minorHAnsi" w:hAnsiTheme="minorHAnsi"/>
          <w:sz w:val="24"/>
          <w:szCs w:val="24"/>
        </w:rPr>
        <w:t>d</w:t>
      </w:r>
      <w:r w:rsidR="007D0B60" w:rsidRPr="008C6270">
        <w:rPr>
          <w:rFonts w:asciiTheme="minorHAnsi" w:hAnsiTheme="minorHAnsi"/>
          <w:sz w:val="24"/>
          <w:szCs w:val="24"/>
        </w:rPr>
        <w:t xml:space="preserve"> a substantial increase in the number of NSCLC patients </w:t>
      </w:r>
      <w:r w:rsidR="00851F1E" w:rsidRPr="008C6270">
        <w:rPr>
          <w:rFonts w:asciiTheme="minorHAnsi" w:hAnsiTheme="minorHAnsi"/>
          <w:sz w:val="24"/>
          <w:szCs w:val="24"/>
        </w:rPr>
        <w:t xml:space="preserve">who </w:t>
      </w:r>
      <w:r w:rsidR="007D0B60" w:rsidRPr="008C6270">
        <w:rPr>
          <w:rFonts w:asciiTheme="minorHAnsi" w:hAnsiTheme="minorHAnsi"/>
          <w:sz w:val="24"/>
          <w:szCs w:val="24"/>
        </w:rPr>
        <w:t xml:space="preserve">would be </w:t>
      </w:r>
      <w:r w:rsidR="00437EC2" w:rsidRPr="008C6270">
        <w:rPr>
          <w:rFonts w:asciiTheme="minorHAnsi" w:hAnsiTheme="minorHAnsi"/>
          <w:sz w:val="24"/>
          <w:szCs w:val="24"/>
        </w:rPr>
        <w:t>treated with an immunotherapy agent</w:t>
      </w:r>
      <w:r w:rsidR="007D0B60" w:rsidRPr="008C6270">
        <w:rPr>
          <w:rFonts w:asciiTheme="minorHAnsi" w:hAnsiTheme="minorHAnsi"/>
          <w:sz w:val="24"/>
          <w:szCs w:val="24"/>
        </w:rPr>
        <w:t xml:space="preserve"> as a result of the proposed first-line listing.</w:t>
      </w:r>
    </w:p>
    <w:p w:rsidR="00437EC2" w:rsidRPr="008C6270" w:rsidRDefault="007D0B60" w:rsidP="005D455D">
      <w:pPr>
        <w:pStyle w:val="ListParagraph"/>
        <w:widowControl/>
        <w:numPr>
          <w:ilvl w:val="1"/>
          <w:numId w:val="5"/>
        </w:numPr>
        <w:spacing w:before="120" w:after="120"/>
        <w:contextualSpacing w:val="0"/>
        <w:rPr>
          <w:rFonts w:asciiTheme="minorHAnsi" w:hAnsiTheme="minorHAnsi"/>
          <w:sz w:val="24"/>
          <w:szCs w:val="24"/>
        </w:rPr>
      </w:pPr>
      <w:r w:rsidRPr="008C6270">
        <w:rPr>
          <w:rFonts w:asciiTheme="minorHAnsi" w:hAnsiTheme="minorHAnsi"/>
          <w:sz w:val="24"/>
          <w:szCs w:val="24"/>
        </w:rPr>
        <w:t xml:space="preserve">To investigate this further by </w:t>
      </w:r>
      <w:r w:rsidR="00437EC2" w:rsidRPr="008C6270">
        <w:rPr>
          <w:rFonts w:asciiTheme="minorHAnsi" w:hAnsiTheme="minorHAnsi"/>
          <w:sz w:val="24"/>
          <w:szCs w:val="24"/>
        </w:rPr>
        <w:t xml:space="preserve">dividing the minor resubmission’s estimates in Row C by </w:t>
      </w:r>
      <w:r w:rsidR="005D455D" w:rsidRPr="008C6270">
        <w:rPr>
          <w:rFonts w:asciiTheme="minorHAnsi" w:hAnsiTheme="minorHAnsi"/>
          <w:sz w:val="24"/>
          <w:szCs w:val="24"/>
        </w:rPr>
        <w:t xml:space="preserve">19.53% </w:t>
      </w:r>
      <w:r w:rsidR="00437EC2" w:rsidRPr="008C6270">
        <w:rPr>
          <w:rFonts w:asciiTheme="minorHAnsi" w:hAnsiTheme="minorHAnsi"/>
          <w:sz w:val="24"/>
          <w:szCs w:val="24"/>
        </w:rPr>
        <w:t xml:space="preserve">(the </w:t>
      </w:r>
      <w:r w:rsidRPr="008C6270">
        <w:rPr>
          <w:rFonts w:asciiTheme="minorHAnsi" w:hAnsiTheme="minorHAnsi"/>
          <w:sz w:val="24"/>
          <w:szCs w:val="24"/>
        </w:rPr>
        <w:t>limit of pembrolizumab eligibility to those patients who are not EGFR or ALK positive and whose tumours strongly express PD-L1</w:t>
      </w:r>
      <w:r w:rsidR="00437EC2" w:rsidRPr="008C6270">
        <w:rPr>
          <w:rFonts w:asciiTheme="minorHAnsi" w:hAnsiTheme="minorHAnsi"/>
          <w:sz w:val="24"/>
          <w:szCs w:val="24"/>
        </w:rPr>
        <w:t>),</w:t>
      </w:r>
      <w:r w:rsidRPr="008C6270">
        <w:rPr>
          <w:rFonts w:asciiTheme="minorHAnsi" w:hAnsiTheme="minorHAnsi"/>
          <w:sz w:val="24"/>
          <w:szCs w:val="24"/>
        </w:rPr>
        <w:t xml:space="preserve"> it is possible</w:t>
      </w:r>
      <w:r w:rsidR="005D455D" w:rsidRPr="008C6270">
        <w:rPr>
          <w:rFonts w:asciiTheme="minorHAnsi" w:hAnsiTheme="minorHAnsi"/>
          <w:sz w:val="24"/>
          <w:szCs w:val="24"/>
        </w:rPr>
        <w:t xml:space="preserve"> to estimate the total eligible population that the minor resubmission infers would not receive nivolumab (Row H)</w:t>
      </w:r>
      <w:r w:rsidRPr="008C6270">
        <w:rPr>
          <w:rFonts w:asciiTheme="minorHAnsi" w:hAnsiTheme="minorHAnsi"/>
          <w:sz w:val="24"/>
          <w:szCs w:val="24"/>
        </w:rPr>
        <w:t xml:space="preserve">. Adding this estimate to the agreed numbers of nivolumab patients represents </w:t>
      </w:r>
      <w:r w:rsidR="00660757">
        <w:rPr>
          <w:rFonts w:asciiTheme="minorHAnsi" w:hAnsiTheme="minorHAnsi"/>
          <w:noProof/>
          <w:color w:val="000000"/>
          <w:sz w:val="24"/>
          <w:szCs w:val="24"/>
          <w:highlight w:val="black"/>
        </w:rPr>
        <w:t>''''' ''''''''''''''''''''''' '''''''''''''''' '''' '''''' '''''''''''''' '''''''''''' ''''''''''''' ''' ''''''''''''''''''''''''''' ''''''''' '''''''''' ''''''''''''''' ''''''''''' ''''''''''''''''''</w:t>
      </w:r>
      <w:r w:rsidRPr="008C6270">
        <w:rPr>
          <w:rFonts w:asciiTheme="minorHAnsi" w:hAnsiTheme="minorHAnsi"/>
          <w:sz w:val="24"/>
          <w:szCs w:val="24"/>
        </w:rPr>
        <w:t xml:space="preserve"> </w:t>
      </w:r>
      <w:r w:rsidR="00A02454" w:rsidRPr="008C6270">
        <w:rPr>
          <w:rFonts w:asciiTheme="minorHAnsi" w:hAnsiTheme="minorHAnsi"/>
          <w:sz w:val="24"/>
          <w:szCs w:val="24"/>
        </w:rPr>
        <w:t xml:space="preserve">(Row I). </w:t>
      </w:r>
      <w:r w:rsidR="002B33CF" w:rsidRPr="008C6270">
        <w:rPr>
          <w:rFonts w:asciiTheme="minorHAnsi" w:hAnsiTheme="minorHAnsi"/>
          <w:sz w:val="24"/>
          <w:szCs w:val="24"/>
        </w:rPr>
        <w:t xml:space="preserve">This </w:t>
      </w:r>
      <w:r w:rsidR="00E964DA">
        <w:rPr>
          <w:rFonts w:asciiTheme="minorHAnsi" w:hAnsiTheme="minorHAnsi"/>
          <w:noProof/>
          <w:color w:val="000000"/>
          <w:sz w:val="24"/>
          <w:szCs w:val="24"/>
          <w:highlight w:val="black"/>
        </w:rPr>
        <w:t>''</w:t>
      </w:r>
      <w:r w:rsidR="00660757">
        <w:rPr>
          <w:rFonts w:asciiTheme="minorHAnsi" w:hAnsiTheme="minorHAnsi"/>
          <w:noProof/>
          <w:color w:val="000000"/>
          <w:sz w:val="24"/>
          <w:szCs w:val="24"/>
          <w:highlight w:val="black"/>
        </w:rPr>
        <w:t xml:space="preserve">'' '''''''' '''''' ''''''''''''''''' ''''''''' </w:t>
      </w:r>
      <w:r w:rsidR="002B0CF2" w:rsidRPr="008C6270">
        <w:rPr>
          <w:rFonts w:asciiTheme="minorHAnsi" w:hAnsiTheme="minorHAnsi"/>
          <w:sz w:val="24"/>
          <w:szCs w:val="24"/>
        </w:rPr>
        <w:t xml:space="preserve">the minor resubmission’s estimate of the total population </w:t>
      </w:r>
      <w:r w:rsidR="00437EC2" w:rsidRPr="008C6270">
        <w:rPr>
          <w:rFonts w:asciiTheme="minorHAnsi" w:hAnsiTheme="minorHAnsi"/>
          <w:sz w:val="24"/>
          <w:szCs w:val="24"/>
        </w:rPr>
        <w:t xml:space="preserve">with eligible disease </w:t>
      </w:r>
      <w:r w:rsidR="002B0CF2" w:rsidRPr="008C6270">
        <w:rPr>
          <w:rFonts w:asciiTheme="minorHAnsi" w:hAnsiTheme="minorHAnsi"/>
          <w:sz w:val="24"/>
          <w:szCs w:val="24"/>
        </w:rPr>
        <w:t>(Row J).</w:t>
      </w:r>
    </w:p>
    <w:p w:rsidR="00C93583" w:rsidRDefault="00C93583">
      <w:pPr>
        <w:rPr>
          <w:rFonts w:ascii="Arial Narrow" w:hAnsi="Arial Narrow" w:cs="Arial"/>
          <w:b/>
          <w:sz w:val="20"/>
          <w:szCs w:val="16"/>
          <w:lang w:eastAsia="en-US"/>
        </w:rPr>
      </w:pPr>
      <w:r>
        <w:rPr>
          <w:rFonts w:ascii="Arial Narrow" w:hAnsi="Arial Narrow" w:cs="Arial"/>
          <w:b/>
          <w:sz w:val="20"/>
          <w:szCs w:val="16"/>
          <w:lang w:eastAsia="en-US"/>
        </w:rPr>
        <w:br w:type="page"/>
      </w:r>
    </w:p>
    <w:p w:rsidR="00360FED" w:rsidRPr="00360FED" w:rsidRDefault="00360FED" w:rsidP="00360FED">
      <w:pPr>
        <w:rPr>
          <w:rFonts w:ascii="Arial Narrow" w:hAnsi="Arial Narrow" w:cs="Arial"/>
          <w:b/>
          <w:sz w:val="20"/>
          <w:szCs w:val="16"/>
          <w:lang w:eastAsia="en-US"/>
        </w:rPr>
      </w:pPr>
      <w:r w:rsidRPr="00360FED">
        <w:rPr>
          <w:rFonts w:ascii="Arial Narrow" w:hAnsi="Arial Narrow" w:cs="Arial"/>
          <w:b/>
          <w:sz w:val="20"/>
          <w:szCs w:val="16"/>
          <w:lang w:eastAsia="en-US"/>
        </w:rPr>
        <w:t>Table 8: Sensitivity analyses of the economic evaluation</w:t>
      </w:r>
      <w:r w:rsidR="002B0CF2">
        <w:rPr>
          <w:rFonts w:ascii="Arial Narrow" w:hAnsi="Arial Narrow" w:cs="Arial"/>
          <w:b/>
          <w:sz w:val="20"/>
          <w:szCs w:val="16"/>
          <w:lang w:eastAsia="en-US"/>
        </w:rPr>
        <w:t xml:space="preserve"> assessing the consequence of different nivolumab cost offsets</w:t>
      </w:r>
    </w:p>
    <w:tbl>
      <w:tblPr>
        <w:tblStyle w:val="TableGrid"/>
        <w:tblW w:w="0" w:type="auto"/>
        <w:tblLayout w:type="fixed"/>
        <w:tblLook w:val="04A0" w:firstRow="1" w:lastRow="0" w:firstColumn="1" w:lastColumn="0" w:noHBand="0" w:noVBand="1"/>
      </w:tblPr>
      <w:tblGrid>
        <w:gridCol w:w="8046"/>
        <w:gridCol w:w="1196"/>
      </w:tblGrid>
      <w:tr w:rsidR="00C0199B" w:rsidRPr="00C0199B" w:rsidTr="00BD4830">
        <w:tc>
          <w:tcPr>
            <w:tcW w:w="8046" w:type="dxa"/>
          </w:tcPr>
          <w:p w:rsidR="00C0199B" w:rsidRPr="00C0199B" w:rsidRDefault="00C0199B" w:rsidP="00C0199B">
            <w:pPr>
              <w:rPr>
                <w:rFonts w:ascii="Arial Narrow" w:hAnsi="Arial Narrow"/>
                <w:b/>
                <w:sz w:val="20"/>
                <w:szCs w:val="20"/>
              </w:rPr>
            </w:pPr>
            <w:r>
              <w:rPr>
                <w:rFonts w:ascii="Arial Narrow" w:hAnsi="Arial Narrow"/>
                <w:b/>
                <w:sz w:val="20"/>
                <w:szCs w:val="20"/>
              </w:rPr>
              <w:t>Sensitivity a</w:t>
            </w:r>
            <w:r w:rsidRPr="00C0199B">
              <w:rPr>
                <w:rFonts w:ascii="Arial Narrow" w:hAnsi="Arial Narrow"/>
                <w:b/>
                <w:sz w:val="20"/>
                <w:szCs w:val="20"/>
              </w:rPr>
              <w:t>nalys</w:t>
            </w:r>
            <w:r>
              <w:rPr>
                <w:rFonts w:ascii="Arial Narrow" w:hAnsi="Arial Narrow"/>
                <w:b/>
                <w:sz w:val="20"/>
                <w:szCs w:val="20"/>
              </w:rPr>
              <w:t>e</w:t>
            </w:r>
            <w:r w:rsidRPr="00C0199B">
              <w:rPr>
                <w:rFonts w:ascii="Arial Narrow" w:hAnsi="Arial Narrow"/>
                <w:b/>
                <w:sz w:val="20"/>
                <w:szCs w:val="20"/>
              </w:rPr>
              <w:t>s</w:t>
            </w:r>
            <w:r>
              <w:rPr>
                <w:rFonts w:ascii="Arial Narrow" w:hAnsi="Arial Narrow"/>
                <w:b/>
                <w:sz w:val="20"/>
                <w:szCs w:val="20"/>
              </w:rPr>
              <w:t xml:space="preserve"> of economic evaluation</w:t>
            </w:r>
          </w:p>
        </w:tc>
        <w:tc>
          <w:tcPr>
            <w:tcW w:w="1196" w:type="dxa"/>
          </w:tcPr>
          <w:p w:rsidR="00C0199B" w:rsidRPr="00C0199B" w:rsidRDefault="00C0199B" w:rsidP="000546F6">
            <w:pPr>
              <w:rPr>
                <w:rFonts w:ascii="Arial Narrow" w:hAnsi="Arial Narrow"/>
                <w:b/>
                <w:sz w:val="20"/>
                <w:szCs w:val="20"/>
              </w:rPr>
            </w:pPr>
            <w:r w:rsidRPr="00C0199B">
              <w:rPr>
                <w:rFonts w:ascii="Arial Narrow" w:hAnsi="Arial Narrow"/>
                <w:b/>
                <w:sz w:val="20"/>
                <w:szCs w:val="20"/>
              </w:rPr>
              <w:t>ICER</w:t>
            </w:r>
            <w:r w:rsidR="00172E87">
              <w:rPr>
                <w:rFonts w:ascii="Arial Narrow" w:hAnsi="Arial Narrow"/>
                <w:b/>
                <w:sz w:val="20"/>
                <w:szCs w:val="20"/>
              </w:rPr>
              <w:t>/QALY</w:t>
            </w:r>
          </w:p>
        </w:tc>
      </w:tr>
      <w:tr w:rsidR="00C0199B" w:rsidRPr="00655231" w:rsidTr="00BD4830">
        <w:tc>
          <w:tcPr>
            <w:tcW w:w="8046" w:type="dxa"/>
          </w:tcPr>
          <w:p w:rsidR="00C0199B" w:rsidRPr="00655231" w:rsidRDefault="00C0199B" w:rsidP="000546F6">
            <w:pPr>
              <w:rPr>
                <w:rFonts w:ascii="Arial Narrow" w:hAnsi="Arial Narrow"/>
                <w:sz w:val="20"/>
                <w:szCs w:val="20"/>
              </w:rPr>
            </w:pPr>
            <w:r w:rsidRPr="00655231">
              <w:rPr>
                <w:rFonts w:ascii="Arial Narrow" w:hAnsi="Arial Narrow"/>
                <w:sz w:val="20"/>
                <w:szCs w:val="20"/>
              </w:rPr>
              <w:t>Minor resubmission base case</w:t>
            </w:r>
          </w:p>
          <w:p w:rsidR="00C0199B" w:rsidRPr="00655231" w:rsidRDefault="00C0199B" w:rsidP="00C0199B">
            <w:pPr>
              <w:pStyle w:val="ListParagraph"/>
              <w:widowControl/>
              <w:numPr>
                <w:ilvl w:val="0"/>
                <w:numId w:val="19"/>
              </w:numPr>
              <w:ind w:left="454" w:hanging="283"/>
              <w:jc w:val="left"/>
              <w:rPr>
                <w:rFonts w:ascii="Arial Narrow" w:hAnsi="Arial Narrow"/>
                <w:sz w:val="20"/>
              </w:rPr>
            </w:pPr>
            <w:r w:rsidRPr="00655231">
              <w:rPr>
                <w:rFonts w:ascii="Arial Narrow" w:hAnsi="Arial Narrow"/>
                <w:sz w:val="20"/>
              </w:rPr>
              <w:t xml:space="preserve">Accept </w:t>
            </w:r>
            <w:r w:rsidR="00DA7521" w:rsidRPr="00655231">
              <w:rPr>
                <w:rFonts w:ascii="Arial Narrow" w:hAnsi="Arial Narrow"/>
                <w:sz w:val="20"/>
              </w:rPr>
              <w:t>minor re</w:t>
            </w:r>
            <w:r w:rsidRPr="00655231">
              <w:rPr>
                <w:rFonts w:ascii="Arial Narrow" w:hAnsi="Arial Narrow"/>
                <w:sz w:val="20"/>
              </w:rPr>
              <w:t>submission’s estimates of QALYs</w:t>
            </w:r>
          </w:p>
          <w:p w:rsidR="00C0199B" w:rsidRPr="00655231" w:rsidRDefault="00C0199B" w:rsidP="00C0199B">
            <w:pPr>
              <w:pStyle w:val="ListParagraph"/>
              <w:widowControl/>
              <w:numPr>
                <w:ilvl w:val="0"/>
                <w:numId w:val="19"/>
              </w:numPr>
              <w:ind w:left="454" w:hanging="283"/>
              <w:jc w:val="left"/>
              <w:rPr>
                <w:rFonts w:ascii="Arial Narrow" w:hAnsi="Arial Narrow"/>
                <w:sz w:val="20"/>
              </w:rPr>
            </w:pPr>
            <w:r w:rsidRPr="00655231">
              <w:rPr>
                <w:rFonts w:ascii="Arial Narrow" w:hAnsi="Arial Narrow"/>
                <w:sz w:val="20"/>
              </w:rPr>
              <w:t xml:space="preserve">Accept </w:t>
            </w:r>
            <w:r w:rsidR="00DA7521" w:rsidRPr="00655231">
              <w:rPr>
                <w:rFonts w:ascii="Arial Narrow" w:hAnsi="Arial Narrow"/>
                <w:sz w:val="20"/>
              </w:rPr>
              <w:t>minor re</w:t>
            </w:r>
            <w:r w:rsidRPr="00655231">
              <w:rPr>
                <w:rFonts w:ascii="Arial Narrow" w:hAnsi="Arial Narrow"/>
                <w:sz w:val="20"/>
              </w:rPr>
              <w:t>submission’s approach to estimate drug costs (based on PFS rather than ToT)</w:t>
            </w:r>
          </w:p>
          <w:p w:rsidR="00C0199B" w:rsidRPr="00655231" w:rsidRDefault="00C0199B" w:rsidP="00DA7521">
            <w:pPr>
              <w:pStyle w:val="ListParagraph"/>
              <w:widowControl/>
              <w:numPr>
                <w:ilvl w:val="0"/>
                <w:numId w:val="19"/>
              </w:numPr>
              <w:ind w:left="454" w:hanging="283"/>
              <w:jc w:val="left"/>
              <w:rPr>
                <w:rFonts w:ascii="Arial Narrow" w:hAnsi="Arial Narrow"/>
                <w:sz w:val="20"/>
              </w:rPr>
            </w:pPr>
            <w:r w:rsidRPr="00655231">
              <w:rPr>
                <w:rFonts w:ascii="Arial Narrow" w:hAnsi="Arial Narrow"/>
                <w:sz w:val="20"/>
              </w:rPr>
              <w:t>Assume nivolumab cost offset of $</w:t>
            </w:r>
            <w:r w:rsidR="00E964DA">
              <w:rPr>
                <w:rFonts w:ascii="Arial Narrow" w:hAnsi="Arial Narrow"/>
                <w:noProof/>
                <w:color w:val="000000"/>
                <w:sz w:val="20"/>
                <w:highlight w:val="black"/>
              </w:rPr>
              <w:t>'''''''''''''''''''''''''</w:t>
            </w:r>
            <w:r w:rsidRPr="00655231">
              <w:rPr>
                <w:rFonts w:ascii="Arial Narrow" w:hAnsi="Arial Narrow"/>
                <w:sz w:val="20"/>
              </w:rPr>
              <w:t xml:space="preserve"> (stated to be from Nivo NSQ NSCLC PSD, Nov 2016)</w:t>
            </w:r>
          </w:p>
        </w:tc>
        <w:tc>
          <w:tcPr>
            <w:tcW w:w="1196" w:type="dxa"/>
          </w:tcPr>
          <w:p w:rsidR="00C0199B" w:rsidRPr="00655231" w:rsidRDefault="00C0199B" w:rsidP="000546F6">
            <w:pPr>
              <w:rPr>
                <w:rFonts w:ascii="Arial Narrow" w:hAnsi="Arial Narrow"/>
                <w:sz w:val="20"/>
                <w:szCs w:val="20"/>
              </w:rPr>
            </w:pPr>
            <w:r w:rsidRPr="00655231">
              <w:rPr>
                <w:rFonts w:ascii="Arial Narrow" w:hAnsi="Arial Narrow"/>
                <w:sz w:val="20"/>
                <w:szCs w:val="20"/>
              </w:rPr>
              <w:t>$</w:t>
            </w:r>
            <w:r w:rsidR="00E964DA">
              <w:rPr>
                <w:rFonts w:ascii="Arial Narrow" w:hAnsi="Arial Narrow"/>
                <w:noProof/>
                <w:color w:val="000000"/>
                <w:sz w:val="20"/>
                <w:szCs w:val="20"/>
                <w:highlight w:val="black"/>
              </w:rPr>
              <w:t>'''''''''''''''</w:t>
            </w:r>
          </w:p>
        </w:tc>
      </w:tr>
      <w:tr w:rsidR="00C0199B" w:rsidRPr="00655231" w:rsidTr="00BD4830">
        <w:tc>
          <w:tcPr>
            <w:tcW w:w="8046" w:type="dxa"/>
          </w:tcPr>
          <w:p w:rsidR="00C0199B" w:rsidRPr="00660757" w:rsidRDefault="00660757" w:rsidP="000546F6">
            <w:pPr>
              <w:rPr>
                <w:rFonts w:ascii="Arial Narrow" w:hAnsi="Arial Narrow"/>
                <w:sz w:val="20"/>
                <w:szCs w:val="20"/>
                <w:highlight w:val="black"/>
              </w:rPr>
            </w:pPr>
            <w:r>
              <w:rPr>
                <w:rFonts w:ascii="Arial Narrow" w:hAnsi="Arial Narrow"/>
                <w:noProof/>
                <w:color w:val="000000"/>
                <w:sz w:val="20"/>
                <w:szCs w:val="20"/>
                <w:highlight w:val="black"/>
              </w:rPr>
              <w:t>''''''''''''''''''''''' ''''''''''' ''''''' ''''''''''''''''''''' ''''''''' '''''''''''''</w:t>
            </w:r>
          </w:p>
          <w:p w:rsidR="00C0199B" w:rsidRPr="00660757" w:rsidRDefault="00660757" w:rsidP="00660757">
            <w:pPr>
              <w:ind w:left="454" w:hanging="283"/>
              <w:rPr>
                <w:rFonts w:ascii="Arial Narrow" w:hAnsi="Arial Narrow"/>
                <w:sz w:val="20"/>
                <w:highlight w:val="black"/>
              </w:rPr>
            </w:pP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p>
          <w:p w:rsidR="00C0199B" w:rsidRPr="00660757" w:rsidRDefault="00660757" w:rsidP="00660757">
            <w:pPr>
              <w:ind w:left="454" w:hanging="283"/>
              <w:rPr>
                <w:rFonts w:ascii="Arial Narrow" w:hAnsi="Arial Narrow"/>
                <w:sz w:val="20"/>
                <w:highlight w:val="black"/>
              </w:rPr>
            </w:pP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p>
          <w:p w:rsidR="00C0199B" w:rsidRPr="00660757" w:rsidRDefault="00660757" w:rsidP="00660757">
            <w:pPr>
              <w:ind w:left="454" w:hanging="283"/>
              <w:rPr>
                <w:rFonts w:ascii="Arial Narrow" w:hAnsi="Arial Narrow"/>
                <w:sz w:val="20"/>
                <w:highlight w:val="black"/>
              </w:rPr>
            </w:pP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p>
        </w:tc>
        <w:tc>
          <w:tcPr>
            <w:tcW w:w="1196" w:type="dxa"/>
          </w:tcPr>
          <w:p w:rsidR="00C0199B" w:rsidRPr="00655231" w:rsidRDefault="00C0199B" w:rsidP="000546F6">
            <w:pPr>
              <w:rPr>
                <w:rFonts w:ascii="Arial Narrow" w:hAnsi="Arial Narrow"/>
                <w:sz w:val="20"/>
                <w:szCs w:val="20"/>
              </w:rPr>
            </w:pPr>
            <w:r w:rsidRPr="00655231">
              <w:rPr>
                <w:rFonts w:ascii="Arial Narrow" w:hAnsi="Arial Narrow"/>
                <w:sz w:val="20"/>
                <w:szCs w:val="20"/>
              </w:rPr>
              <w:t>$</w:t>
            </w:r>
            <w:r w:rsidR="00660757">
              <w:rPr>
                <w:rFonts w:ascii="Arial Narrow" w:hAnsi="Arial Narrow"/>
                <w:noProof/>
                <w:color w:val="000000"/>
                <w:sz w:val="20"/>
                <w:szCs w:val="20"/>
                <w:highlight w:val="black"/>
              </w:rPr>
              <w:t>''''''''''''''''</w:t>
            </w:r>
          </w:p>
        </w:tc>
      </w:tr>
      <w:tr w:rsidR="00C0199B" w:rsidRPr="00655231" w:rsidTr="00BD4830">
        <w:tc>
          <w:tcPr>
            <w:tcW w:w="8046" w:type="dxa"/>
          </w:tcPr>
          <w:p w:rsidR="00C0199B" w:rsidRPr="00655231" w:rsidRDefault="00C0199B" w:rsidP="000546F6">
            <w:pPr>
              <w:rPr>
                <w:rFonts w:ascii="Arial Narrow" w:hAnsi="Arial Narrow"/>
                <w:sz w:val="20"/>
                <w:szCs w:val="20"/>
              </w:rPr>
            </w:pPr>
            <w:r w:rsidRPr="00655231">
              <w:rPr>
                <w:rFonts w:ascii="Arial Narrow" w:hAnsi="Arial Narrow"/>
                <w:sz w:val="20"/>
                <w:szCs w:val="20"/>
              </w:rPr>
              <w:t>Treatment costs based on ToT</w:t>
            </w:r>
          </w:p>
          <w:p w:rsidR="00C0199B" w:rsidRPr="00655231" w:rsidRDefault="00C0199B" w:rsidP="00C0199B">
            <w:pPr>
              <w:pStyle w:val="ListParagraph"/>
              <w:widowControl/>
              <w:numPr>
                <w:ilvl w:val="0"/>
                <w:numId w:val="19"/>
              </w:numPr>
              <w:ind w:left="454" w:hanging="283"/>
              <w:jc w:val="left"/>
              <w:rPr>
                <w:rFonts w:ascii="Arial Narrow" w:hAnsi="Arial Narrow"/>
                <w:sz w:val="20"/>
              </w:rPr>
            </w:pPr>
            <w:r w:rsidRPr="00655231">
              <w:rPr>
                <w:rFonts w:ascii="Arial Narrow" w:hAnsi="Arial Narrow"/>
                <w:sz w:val="20"/>
              </w:rPr>
              <w:t xml:space="preserve">Accept </w:t>
            </w:r>
            <w:r w:rsidR="00DA7521" w:rsidRPr="00655231">
              <w:rPr>
                <w:rFonts w:ascii="Arial Narrow" w:hAnsi="Arial Narrow"/>
                <w:sz w:val="20"/>
              </w:rPr>
              <w:t>minor re</w:t>
            </w:r>
            <w:r w:rsidRPr="00655231">
              <w:rPr>
                <w:rFonts w:ascii="Arial Narrow" w:hAnsi="Arial Narrow"/>
                <w:sz w:val="20"/>
              </w:rPr>
              <w:t>submission’s estimates of QALYs</w:t>
            </w:r>
          </w:p>
          <w:p w:rsidR="00C0199B" w:rsidRPr="00655231" w:rsidRDefault="00C0199B" w:rsidP="00C0199B">
            <w:pPr>
              <w:pStyle w:val="ListParagraph"/>
              <w:widowControl/>
              <w:numPr>
                <w:ilvl w:val="0"/>
                <w:numId w:val="19"/>
              </w:numPr>
              <w:ind w:left="454" w:hanging="283"/>
              <w:jc w:val="left"/>
              <w:rPr>
                <w:rFonts w:ascii="Arial Narrow" w:hAnsi="Arial Narrow"/>
                <w:sz w:val="20"/>
              </w:rPr>
            </w:pPr>
            <w:r w:rsidRPr="00655231">
              <w:rPr>
                <w:rFonts w:ascii="Arial Narrow" w:hAnsi="Arial Narrow"/>
                <w:sz w:val="20"/>
              </w:rPr>
              <w:t>Use ToT to estimate drug costs (rather than PFS)</w:t>
            </w:r>
          </w:p>
          <w:p w:rsidR="00C0199B" w:rsidRPr="00655231" w:rsidRDefault="00C0199B" w:rsidP="00DA7521">
            <w:pPr>
              <w:pStyle w:val="ListParagraph"/>
              <w:widowControl/>
              <w:numPr>
                <w:ilvl w:val="0"/>
                <w:numId w:val="19"/>
              </w:numPr>
              <w:ind w:left="454" w:hanging="283"/>
              <w:jc w:val="left"/>
              <w:rPr>
                <w:rFonts w:ascii="Arial Narrow" w:hAnsi="Arial Narrow"/>
                <w:sz w:val="20"/>
              </w:rPr>
            </w:pPr>
            <w:r w:rsidRPr="00655231">
              <w:rPr>
                <w:rFonts w:ascii="Arial Narrow" w:hAnsi="Arial Narrow"/>
                <w:sz w:val="20"/>
              </w:rPr>
              <w:t>Assume nivolumab cost offset of $</w:t>
            </w:r>
            <w:r w:rsidR="00E964DA">
              <w:rPr>
                <w:rFonts w:ascii="Arial Narrow" w:hAnsi="Arial Narrow"/>
                <w:noProof/>
                <w:color w:val="000000"/>
                <w:sz w:val="20"/>
                <w:highlight w:val="black"/>
              </w:rPr>
              <w:t>'''''''''''''''''''''''</w:t>
            </w:r>
            <w:r w:rsidRPr="00655231">
              <w:rPr>
                <w:rFonts w:ascii="Arial Narrow" w:hAnsi="Arial Narrow"/>
                <w:sz w:val="20"/>
              </w:rPr>
              <w:t xml:space="preserve"> (stated to be from Nivo NSQ NSCLC PSD, Nov 2016)</w:t>
            </w:r>
          </w:p>
        </w:tc>
        <w:tc>
          <w:tcPr>
            <w:tcW w:w="1196" w:type="dxa"/>
          </w:tcPr>
          <w:p w:rsidR="00C0199B" w:rsidRPr="00655231" w:rsidRDefault="00C0199B" w:rsidP="000546F6">
            <w:pPr>
              <w:rPr>
                <w:rFonts w:ascii="Arial Narrow" w:hAnsi="Arial Narrow"/>
                <w:sz w:val="20"/>
                <w:szCs w:val="20"/>
              </w:rPr>
            </w:pPr>
            <w:r w:rsidRPr="00655231">
              <w:rPr>
                <w:rFonts w:ascii="Arial Narrow" w:hAnsi="Arial Narrow"/>
                <w:sz w:val="20"/>
                <w:szCs w:val="20"/>
              </w:rPr>
              <w:t>$</w:t>
            </w:r>
            <w:r w:rsidR="00E964DA">
              <w:rPr>
                <w:rFonts w:ascii="Arial Narrow" w:hAnsi="Arial Narrow"/>
                <w:noProof/>
                <w:color w:val="000000"/>
                <w:sz w:val="20"/>
                <w:szCs w:val="20"/>
                <w:highlight w:val="black"/>
              </w:rPr>
              <w:t>''''''''''''''''</w:t>
            </w:r>
          </w:p>
        </w:tc>
      </w:tr>
      <w:tr w:rsidR="00C0199B" w:rsidRPr="00655231" w:rsidTr="00BD4830">
        <w:tc>
          <w:tcPr>
            <w:tcW w:w="8046" w:type="dxa"/>
          </w:tcPr>
          <w:p w:rsidR="00C0199B" w:rsidRPr="00660757" w:rsidRDefault="00660757" w:rsidP="000546F6">
            <w:pPr>
              <w:rPr>
                <w:rFonts w:ascii="Arial Narrow" w:hAnsi="Arial Narrow"/>
                <w:sz w:val="20"/>
                <w:szCs w:val="20"/>
                <w:highlight w:val="black"/>
              </w:rPr>
            </w:pPr>
            <w:r>
              <w:rPr>
                <w:rFonts w:ascii="Arial Narrow" w:hAnsi="Arial Narrow"/>
                <w:noProof/>
                <w:color w:val="000000"/>
                <w:sz w:val="20"/>
                <w:szCs w:val="20"/>
                <w:highlight w:val="black"/>
              </w:rPr>
              <w:t>''''''''''''''''''''''' ''''''''''''' ''''''''''''''' '''''' '''''''''' ''''''''' '''''''''''''''''' '''''''''''''''''''''''''' '''''''' '''''''''''''</w:t>
            </w:r>
          </w:p>
          <w:p w:rsidR="00C0199B" w:rsidRPr="00660757" w:rsidRDefault="00660757" w:rsidP="00660757">
            <w:pPr>
              <w:ind w:left="454" w:hanging="283"/>
              <w:rPr>
                <w:rFonts w:ascii="Arial Narrow" w:hAnsi="Arial Narrow"/>
                <w:sz w:val="20"/>
                <w:highlight w:val="black"/>
              </w:rPr>
            </w:pP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p>
          <w:p w:rsidR="00C0199B" w:rsidRPr="00660757" w:rsidRDefault="00660757" w:rsidP="00660757">
            <w:pPr>
              <w:ind w:left="454" w:hanging="283"/>
              <w:rPr>
                <w:rFonts w:ascii="Arial Narrow" w:hAnsi="Arial Narrow"/>
                <w:sz w:val="20"/>
                <w:highlight w:val="black"/>
              </w:rPr>
            </w:pP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p>
          <w:p w:rsidR="00C0199B" w:rsidRPr="00660757" w:rsidRDefault="00660757" w:rsidP="00660757">
            <w:pPr>
              <w:ind w:left="454" w:hanging="283"/>
              <w:rPr>
                <w:rFonts w:ascii="Arial Narrow" w:hAnsi="Arial Narrow"/>
                <w:sz w:val="20"/>
                <w:highlight w:val="black"/>
              </w:rPr>
            </w:pP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p>
        </w:tc>
        <w:tc>
          <w:tcPr>
            <w:tcW w:w="1196" w:type="dxa"/>
          </w:tcPr>
          <w:p w:rsidR="00C0199B" w:rsidRPr="00655231" w:rsidRDefault="00C0199B" w:rsidP="000546F6">
            <w:pPr>
              <w:rPr>
                <w:rFonts w:ascii="Arial Narrow" w:hAnsi="Arial Narrow"/>
                <w:sz w:val="20"/>
                <w:szCs w:val="20"/>
              </w:rPr>
            </w:pPr>
            <w:r w:rsidRPr="00655231">
              <w:rPr>
                <w:rFonts w:ascii="Arial Narrow" w:hAnsi="Arial Narrow"/>
                <w:sz w:val="20"/>
                <w:szCs w:val="20"/>
              </w:rPr>
              <w:t>$</w:t>
            </w:r>
            <w:r w:rsidR="00660757">
              <w:rPr>
                <w:rFonts w:ascii="Arial Narrow" w:hAnsi="Arial Narrow"/>
                <w:noProof/>
                <w:color w:val="000000"/>
                <w:sz w:val="20"/>
                <w:szCs w:val="20"/>
                <w:highlight w:val="black"/>
              </w:rPr>
              <w:t>'''''''''''''''''</w:t>
            </w:r>
          </w:p>
        </w:tc>
      </w:tr>
    </w:tbl>
    <w:p w:rsidR="00C0199B" w:rsidRPr="00660757" w:rsidRDefault="00660757" w:rsidP="00C0199B">
      <w:pPr>
        <w:spacing w:after="120"/>
        <w:rPr>
          <w:sz w:val="18"/>
          <w:highlight w:val="black"/>
        </w:rPr>
      </w:pPr>
      <w:r>
        <w:rPr>
          <w:noProof/>
          <w:color w:val="000000"/>
          <w:sz w:val="18"/>
          <w:highlight w:val="black"/>
          <w:vertAlign w:val="superscript"/>
        </w:rPr>
        <w:t>''' '''''' '''''''' ''''''' ''''''''''''''' ''''''''''''''''' ''''' '''''''' ''''''''''''''''''''''''''' '''''' ''''''' ''''''''''''''''''''''' ''''''''''' ''''''''''''' ''''''''''''''''''''''''''''' '''''''''''' '''''''''''''''''''''' '''''''''''''''''''''''''''''''''' '''''''''''' ''''''' '''''''''''''''''''''''''' ''''''''''''''''''''''''''' '''''''' ''''''''''''''''''''' '''''''' '''''''''''''''''''' ''''''' '''''' '''''''' ''''''''' ''''''''' '''''''' ''''''''' ''''''' ''''''''' '''''''''''''''''''''''''''''' ''''''''' '''''''''''''''''''''''''''''' '''''''''' ''''''' '''''''''''''''''''''''''' '''' ''' ''''''''''''''' ''''''''''''' ''' ''''''''''''''' ''''''''''''''' '''''' ''''' ''''''''''''''''''' ''''''''''' '''''''''''''''' '''''' ''''''''''' '''''' ''''''''''' '''''''''''' '''''''''''''''''''' '''''' '''''''' '''''''''''''''''''''''''''''''' ''''''''' '''' '''''''' ''''''' ''''''' '''''''''''''''''''''''''' ''''''''''''''''''''''' ''''''''''' '''' ''''''''''''''''''' ''''''''''''''''''' '''''''' ''''''''''''' ''''''''''''''' '''''' ''' ''''''''''''''' ''''''''''''''''''' ''''''''''''''' '''''''' '''''''' '''''''''''''''''''''''' '''''''''''' ''''' '' ''''''''''''''''' '''''''''''''''''''' '''''''''''''''''' ''''''' '''''''''''''''''''''' ''''''''' '''''''' ''''''' '''''''''''''''''''''''' '''''''''''''' '''''' '''''''''''''''''''''' '''''''' ''''''''''''''''''' '''' '''''''''' '''''''''''''''''''' '''''''' ''' ''' ''''''''' ''''''' ''''''''''' ''' ''' ''' '''''' '''''''' ''''''''''' '''' ''''''''''''''''''''''</w:t>
      </w:r>
    </w:p>
    <w:p w:rsidR="00C0199B" w:rsidRPr="00A97CEC" w:rsidRDefault="00C0199B" w:rsidP="00A154CD">
      <w:pPr>
        <w:pStyle w:val="ListParagraph"/>
        <w:widowControl/>
        <w:numPr>
          <w:ilvl w:val="1"/>
          <w:numId w:val="5"/>
        </w:numPr>
        <w:spacing w:before="120" w:after="120"/>
        <w:contextualSpacing w:val="0"/>
        <w:rPr>
          <w:rFonts w:asciiTheme="minorHAnsi" w:hAnsiTheme="minorHAnsi"/>
          <w:sz w:val="24"/>
          <w:szCs w:val="24"/>
        </w:rPr>
      </w:pPr>
      <w:r w:rsidRPr="008C6270">
        <w:rPr>
          <w:rFonts w:asciiTheme="minorHAnsi" w:hAnsiTheme="minorHAnsi"/>
          <w:sz w:val="24"/>
          <w:szCs w:val="24"/>
        </w:rPr>
        <w:t>The primary message of th</w:t>
      </w:r>
      <w:r w:rsidR="00437EC2" w:rsidRPr="008C6270">
        <w:rPr>
          <w:rFonts w:asciiTheme="minorHAnsi" w:hAnsiTheme="minorHAnsi"/>
          <w:sz w:val="24"/>
          <w:szCs w:val="24"/>
        </w:rPr>
        <w:t xml:space="preserve">e </w:t>
      </w:r>
      <w:r w:rsidRPr="008C6270">
        <w:rPr>
          <w:rFonts w:asciiTheme="minorHAnsi" w:hAnsiTheme="minorHAnsi"/>
          <w:sz w:val="24"/>
          <w:szCs w:val="24"/>
        </w:rPr>
        <w:t xml:space="preserve">table </w:t>
      </w:r>
      <w:r w:rsidR="00437EC2" w:rsidRPr="008C6270">
        <w:rPr>
          <w:rFonts w:asciiTheme="minorHAnsi" w:hAnsiTheme="minorHAnsi"/>
          <w:sz w:val="24"/>
          <w:szCs w:val="24"/>
        </w:rPr>
        <w:t xml:space="preserve">above </w:t>
      </w:r>
      <w:r w:rsidRPr="008C6270">
        <w:rPr>
          <w:rFonts w:asciiTheme="minorHAnsi" w:hAnsiTheme="minorHAnsi"/>
          <w:sz w:val="24"/>
          <w:szCs w:val="24"/>
        </w:rPr>
        <w:t xml:space="preserve">is that, </w:t>
      </w:r>
      <w:r w:rsidR="00660757">
        <w:rPr>
          <w:rFonts w:asciiTheme="minorHAnsi" w:hAnsiTheme="minorHAnsi"/>
          <w:noProof/>
          <w:color w:val="000000"/>
          <w:sz w:val="24"/>
          <w:szCs w:val="24"/>
          <w:highlight w:val="black"/>
        </w:rPr>
        <w:t>'''''''''' ''''''''''''''''' '''''''''''' '''''' ''''''''''''''''''' ''''''''''''''''''''' '''''''' ''''''''''''' '''''' '''''''''''''' '''' ''''''' '''''''''''''''''''''''''''''''' '''''''''' '''''''''''''''''''''''' '''''''' '''''''''''' '''''''''''''''''' '''''''''''' ''''''''''' ''''''''''' ''''' '''''''''''''''''''' ''''''''' '''''''''''''''' ''''''' ''''''''' '''' '''''''''''''''' ''''' ''''''''''''''''' ''''''''''' '''''''''''' ''' ''''''''''''' ''''''''' '''' ''''''''''''''''' '''' ''''''' ''''''''''''''''''''' '''''''</w:t>
      </w:r>
      <w:r w:rsidRPr="00E255F4">
        <w:rPr>
          <w:rFonts w:asciiTheme="minorHAnsi" w:hAnsiTheme="minorHAnsi"/>
          <w:sz w:val="24"/>
          <w:szCs w:val="24"/>
        </w:rPr>
        <w:t>.</w:t>
      </w:r>
    </w:p>
    <w:p w:rsidR="00032BDB" w:rsidRDefault="008C6270" w:rsidP="005336ED">
      <w:pPr>
        <w:rPr>
          <w:rFonts w:asciiTheme="minorHAnsi" w:hAnsiTheme="minorHAnsi"/>
          <w:i/>
        </w:rPr>
      </w:pPr>
      <w:r w:rsidRPr="00525B39">
        <w:rPr>
          <w:rFonts w:asciiTheme="minorHAnsi" w:hAnsiTheme="minorHAnsi"/>
          <w:i/>
        </w:rPr>
        <w:t>For more deta</w:t>
      </w:r>
      <w:r w:rsidR="00A97CEC">
        <w:rPr>
          <w:rFonts w:asciiTheme="minorHAnsi" w:hAnsiTheme="minorHAnsi"/>
          <w:i/>
        </w:rPr>
        <w:t>il on PBAC’s view, see section 6</w:t>
      </w:r>
      <w:r w:rsidRPr="00525B39">
        <w:rPr>
          <w:rFonts w:asciiTheme="minorHAnsi" w:hAnsiTheme="minorHAnsi"/>
          <w:i/>
        </w:rPr>
        <w:t xml:space="preserve"> PBAC outcome</w:t>
      </w:r>
      <w:r w:rsidR="00A97CEC">
        <w:rPr>
          <w:rFonts w:asciiTheme="minorHAnsi" w:hAnsiTheme="minorHAnsi"/>
          <w:i/>
        </w:rPr>
        <w:t>.</w:t>
      </w:r>
    </w:p>
    <w:p w:rsidR="008C1DCA" w:rsidRPr="00032BDB" w:rsidRDefault="008C1DCA" w:rsidP="00032BDB">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032BDB">
        <w:rPr>
          <w:rFonts w:asciiTheme="minorHAnsi" w:hAnsiTheme="minorHAnsi"/>
          <w:sz w:val="32"/>
          <w:szCs w:val="32"/>
        </w:rPr>
        <w:t xml:space="preserve">PBAC </w:t>
      </w:r>
      <w:r w:rsidR="00B84385">
        <w:rPr>
          <w:rFonts w:asciiTheme="minorHAnsi" w:hAnsiTheme="minorHAnsi"/>
          <w:sz w:val="32"/>
          <w:szCs w:val="32"/>
        </w:rPr>
        <w:t>o</w:t>
      </w:r>
      <w:r w:rsidRPr="00032BDB">
        <w:rPr>
          <w:rFonts w:asciiTheme="minorHAnsi" w:hAnsiTheme="minorHAnsi"/>
          <w:sz w:val="32"/>
          <w:szCs w:val="32"/>
        </w:rPr>
        <w:t>utcome</w:t>
      </w:r>
    </w:p>
    <w:p w:rsidR="00032BDB" w:rsidRPr="002266C9" w:rsidRDefault="00032BDB" w:rsidP="002266C9">
      <w:pPr>
        <w:pStyle w:val="ListParagraph"/>
        <w:widowControl/>
        <w:numPr>
          <w:ilvl w:val="1"/>
          <w:numId w:val="5"/>
        </w:numPr>
        <w:spacing w:after="120"/>
        <w:contextualSpacing w:val="0"/>
        <w:rPr>
          <w:rFonts w:asciiTheme="minorHAnsi" w:hAnsiTheme="minorHAnsi"/>
          <w:sz w:val="24"/>
          <w:szCs w:val="24"/>
        </w:rPr>
      </w:pPr>
      <w:r w:rsidRPr="002266C9">
        <w:rPr>
          <w:rFonts w:asciiTheme="minorHAnsi" w:hAnsiTheme="minorHAnsi"/>
          <w:sz w:val="24"/>
          <w:szCs w:val="24"/>
        </w:rPr>
        <w:t>The PBAC deferred making a recommendation to list pembrolizumab for the first line treatment of patients with metastatic (Stage IV) non-small cell lung cancer (NSCLC), who have high expression of programmed cell death ligand 1 (PD-L1), defined as a tum</w:t>
      </w:r>
      <w:r w:rsidR="00B84385">
        <w:rPr>
          <w:rFonts w:asciiTheme="minorHAnsi" w:hAnsiTheme="minorHAnsi"/>
          <w:sz w:val="24"/>
          <w:szCs w:val="24"/>
        </w:rPr>
        <w:t>our proportion score (TPS) of ≥</w:t>
      </w:r>
      <w:r w:rsidRPr="002266C9">
        <w:rPr>
          <w:rFonts w:asciiTheme="minorHAnsi" w:hAnsiTheme="minorHAnsi"/>
          <w:sz w:val="24"/>
          <w:szCs w:val="24"/>
        </w:rPr>
        <w:t xml:space="preserve">50%. In deciding to defer, the PBAC advised that </w:t>
      </w:r>
      <w:r w:rsidR="00497908">
        <w:rPr>
          <w:rFonts w:asciiTheme="minorHAnsi" w:hAnsiTheme="minorHAnsi"/>
          <w:sz w:val="24"/>
          <w:szCs w:val="24"/>
        </w:rPr>
        <w:t xml:space="preserve">its primary concern was that </w:t>
      </w:r>
      <w:r w:rsidRPr="002266C9">
        <w:rPr>
          <w:rFonts w:asciiTheme="minorHAnsi" w:hAnsiTheme="minorHAnsi"/>
          <w:sz w:val="24"/>
          <w:szCs w:val="24"/>
        </w:rPr>
        <w:t>further work was required to determine the size of the patient population eligible for treatment with pembrolizumab.</w:t>
      </w:r>
      <w:r w:rsidR="00497908">
        <w:rPr>
          <w:rFonts w:asciiTheme="minorHAnsi" w:hAnsiTheme="minorHAnsi"/>
          <w:sz w:val="24"/>
          <w:szCs w:val="24"/>
        </w:rPr>
        <w:t xml:space="preserve"> The PBAC also preferred</w:t>
      </w:r>
      <w:r w:rsidR="003E2EFE">
        <w:rPr>
          <w:rFonts w:asciiTheme="minorHAnsi" w:hAnsiTheme="minorHAnsi"/>
          <w:sz w:val="24"/>
          <w:szCs w:val="24"/>
        </w:rPr>
        <w:t xml:space="preserve"> </w:t>
      </w:r>
      <w:r w:rsidR="003E2EFE" w:rsidRPr="002266C9">
        <w:rPr>
          <w:rFonts w:asciiTheme="minorHAnsi" w:hAnsiTheme="minorHAnsi"/>
          <w:sz w:val="24"/>
          <w:szCs w:val="24"/>
        </w:rPr>
        <w:t xml:space="preserve">a further </w:t>
      </w:r>
      <w:r w:rsidR="00D00A9B">
        <w:rPr>
          <w:rFonts w:asciiTheme="minorHAnsi" w:hAnsiTheme="minorHAnsi"/>
          <w:sz w:val="24"/>
          <w:szCs w:val="24"/>
        </w:rPr>
        <w:t xml:space="preserve">price </w:t>
      </w:r>
      <w:r w:rsidR="003E2EFE" w:rsidRPr="002266C9">
        <w:rPr>
          <w:rFonts w:asciiTheme="minorHAnsi" w:hAnsiTheme="minorHAnsi"/>
          <w:sz w:val="24"/>
          <w:szCs w:val="24"/>
        </w:rPr>
        <w:t xml:space="preserve">reduction </w:t>
      </w:r>
      <w:r w:rsidR="003E2EFE">
        <w:rPr>
          <w:rFonts w:asciiTheme="minorHAnsi" w:hAnsiTheme="minorHAnsi"/>
          <w:sz w:val="24"/>
          <w:szCs w:val="24"/>
        </w:rPr>
        <w:t xml:space="preserve">to minimise the indirect, uncertain and delayed reliance on exceeding expenditure caps to achieve cost effectiveness. </w:t>
      </w:r>
      <w:r w:rsidR="00FF49D4">
        <w:rPr>
          <w:rFonts w:asciiTheme="minorHAnsi" w:hAnsiTheme="minorHAnsi"/>
          <w:sz w:val="24"/>
          <w:szCs w:val="24"/>
        </w:rPr>
        <w:t>T</w:t>
      </w:r>
      <w:r w:rsidR="003E2EFE">
        <w:rPr>
          <w:rFonts w:asciiTheme="minorHAnsi" w:hAnsiTheme="minorHAnsi"/>
          <w:sz w:val="24"/>
          <w:szCs w:val="24"/>
        </w:rPr>
        <w:t xml:space="preserve">he PBAC </w:t>
      </w:r>
      <w:r w:rsidR="00FF49D4">
        <w:rPr>
          <w:rFonts w:asciiTheme="minorHAnsi" w:hAnsiTheme="minorHAnsi"/>
          <w:sz w:val="24"/>
          <w:szCs w:val="24"/>
        </w:rPr>
        <w:t>considered that a further reduction in the cost per patient of pembrolizumab might also be required to address the residual uncertainties in th</w:t>
      </w:r>
      <w:r w:rsidR="00CB3F90">
        <w:rPr>
          <w:rFonts w:asciiTheme="minorHAnsi" w:hAnsiTheme="minorHAnsi"/>
          <w:sz w:val="24"/>
          <w:szCs w:val="24"/>
        </w:rPr>
        <w:t>e economic evaluation</w:t>
      </w:r>
      <w:r w:rsidR="00FF49D4">
        <w:rPr>
          <w:rFonts w:asciiTheme="minorHAnsi" w:hAnsiTheme="minorHAnsi"/>
          <w:sz w:val="24"/>
          <w:szCs w:val="24"/>
        </w:rPr>
        <w:t xml:space="preserve"> as noted below in paragraphs 6.5 and 6.6. In this context, the PBAC </w:t>
      </w:r>
      <w:r w:rsidR="003E2EFE">
        <w:rPr>
          <w:rFonts w:asciiTheme="minorHAnsi" w:hAnsiTheme="minorHAnsi"/>
          <w:sz w:val="24"/>
          <w:szCs w:val="24"/>
        </w:rPr>
        <w:t xml:space="preserve">accepted the </w:t>
      </w:r>
      <w:r w:rsidR="00FF49D4">
        <w:rPr>
          <w:rFonts w:asciiTheme="minorHAnsi" w:hAnsiTheme="minorHAnsi"/>
          <w:sz w:val="24"/>
          <w:szCs w:val="24"/>
        </w:rPr>
        <w:t xml:space="preserve">respecified basis of the economic model to estimate pembrolizumab costs directly from the extrapolated time to treatment cessation. The PBAC noted that this respecification had resulted in the </w:t>
      </w:r>
      <w:r w:rsidR="003E2EFE">
        <w:rPr>
          <w:rFonts w:asciiTheme="minorHAnsi" w:hAnsiTheme="minorHAnsi"/>
          <w:sz w:val="24"/>
          <w:szCs w:val="24"/>
        </w:rPr>
        <w:t xml:space="preserve">revised ICER of </w:t>
      </w:r>
      <w:r w:rsidR="00385F57">
        <w:rPr>
          <w:rFonts w:asciiTheme="minorHAnsi" w:hAnsiTheme="minorHAnsi"/>
          <w:sz w:val="24"/>
          <w:szCs w:val="24"/>
        </w:rPr>
        <w:t>$45,000/QALY - $75,000/QALY</w:t>
      </w:r>
      <w:r w:rsidR="003E2EFE">
        <w:rPr>
          <w:rFonts w:asciiTheme="minorHAnsi" w:hAnsiTheme="minorHAnsi"/>
          <w:sz w:val="24"/>
          <w:szCs w:val="24"/>
        </w:rPr>
        <w:t xml:space="preserve">, </w:t>
      </w:r>
      <w:r w:rsidR="00CB3F90">
        <w:rPr>
          <w:rFonts w:asciiTheme="minorHAnsi" w:hAnsiTheme="minorHAnsi"/>
          <w:sz w:val="24"/>
          <w:szCs w:val="24"/>
        </w:rPr>
        <w:t xml:space="preserve">compared to the </w:t>
      </w:r>
      <w:r w:rsidR="00385F57">
        <w:rPr>
          <w:rFonts w:asciiTheme="minorHAnsi" w:hAnsiTheme="minorHAnsi"/>
          <w:sz w:val="24"/>
          <w:szCs w:val="24"/>
        </w:rPr>
        <w:t>$45,000/QALY - $75,000/QALY</w:t>
      </w:r>
      <w:r w:rsidR="003633DD">
        <w:rPr>
          <w:rFonts w:asciiTheme="minorHAnsi" w:hAnsiTheme="minorHAnsi"/>
          <w:sz w:val="24"/>
          <w:szCs w:val="24"/>
        </w:rPr>
        <w:t xml:space="preserve"> </w:t>
      </w:r>
      <w:r w:rsidR="00CB3F90">
        <w:rPr>
          <w:rFonts w:asciiTheme="minorHAnsi" w:hAnsiTheme="minorHAnsi"/>
          <w:sz w:val="24"/>
          <w:szCs w:val="24"/>
        </w:rPr>
        <w:t>from the minor resubmission.</w:t>
      </w:r>
    </w:p>
    <w:p w:rsidR="0068183D" w:rsidRPr="002266C9" w:rsidRDefault="0068183D" w:rsidP="002266C9">
      <w:pPr>
        <w:pStyle w:val="ListParagraph"/>
        <w:widowControl/>
        <w:numPr>
          <w:ilvl w:val="1"/>
          <w:numId w:val="5"/>
        </w:numPr>
        <w:spacing w:after="120"/>
        <w:contextualSpacing w:val="0"/>
        <w:rPr>
          <w:rFonts w:asciiTheme="minorHAnsi" w:hAnsiTheme="minorHAnsi"/>
          <w:sz w:val="24"/>
          <w:szCs w:val="24"/>
        </w:rPr>
      </w:pPr>
      <w:r w:rsidRPr="002266C9">
        <w:rPr>
          <w:rFonts w:asciiTheme="minorHAnsi" w:hAnsiTheme="minorHAnsi"/>
          <w:sz w:val="24"/>
          <w:szCs w:val="24"/>
        </w:rPr>
        <w:t>The PBAC agreed with the changes to the proposed restriction suggested by the Secretariat</w:t>
      </w:r>
      <w:r w:rsidR="00113772">
        <w:rPr>
          <w:rFonts w:asciiTheme="minorHAnsi" w:hAnsiTheme="minorHAnsi"/>
          <w:sz w:val="24"/>
          <w:szCs w:val="24"/>
        </w:rPr>
        <w:t>,</w:t>
      </w:r>
      <w:r w:rsidRPr="002266C9">
        <w:rPr>
          <w:rFonts w:asciiTheme="minorHAnsi" w:hAnsiTheme="minorHAnsi"/>
          <w:sz w:val="24"/>
          <w:szCs w:val="24"/>
        </w:rPr>
        <w:t xml:space="preserve"> and </w:t>
      </w:r>
      <w:r w:rsidR="00113772">
        <w:rPr>
          <w:rFonts w:asciiTheme="minorHAnsi" w:hAnsiTheme="minorHAnsi"/>
          <w:sz w:val="24"/>
          <w:szCs w:val="24"/>
        </w:rPr>
        <w:t>confirmed</w:t>
      </w:r>
      <w:r w:rsidRPr="002266C9">
        <w:rPr>
          <w:rFonts w:asciiTheme="minorHAnsi" w:hAnsiTheme="minorHAnsi"/>
          <w:sz w:val="24"/>
          <w:szCs w:val="24"/>
        </w:rPr>
        <w:t xml:space="preserve"> that it </w:t>
      </w:r>
      <w:r w:rsidR="00B7652F">
        <w:rPr>
          <w:rFonts w:asciiTheme="minorHAnsi" w:hAnsiTheme="minorHAnsi"/>
          <w:sz w:val="24"/>
          <w:szCs w:val="24"/>
        </w:rPr>
        <w:t>would</w:t>
      </w:r>
      <w:r w:rsidRPr="002266C9">
        <w:rPr>
          <w:rFonts w:asciiTheme="minorHAnsi" w:hAnsiTheme="minorHAnsi"/>
          <w:sz w:val="24"/>
          <w:szCs w:val="24"/>
        </w:rPr>
        <w:t xml:space="preserve"> </w:t>
      </w:r>
      <w:r w:rsidR="00B7652F">
        <w:rPr>
          <w:rFonts w:asciiTheme="minorHAnsi" w:hAnsiTheme="minorHAnsi"/>
          <w:sz w:val="24"/>
          <w:szCs w:val="24"/>
        </w:rPr>
        <w:t xml:space="preserve">be </w:t>
      </w:r>
      <w:r w:rsidRPr="002266C9">
        <w:rPr>
          <w:rFonts w:asciiTheme="minorHAnsi" w:hAnsiTheme="minorHAnsi"/>
          <w:sz w:val="24"/>
          <w:szCs w:val="24"/>
        </w:rPr>
        <w:t>necessary to include a criterion for performance status in the grandfathering restriction. The PBAC foreshadowed that, in the event of any recommendation to list pembrolizumab, as first-line therapy in metastatic NSCLC, both its restriction and that of nivolumab would need to be modified to prevent PBS-subsidised sequential immunotherapy.</w:t>
      </w:r>
    </w:p>
    <w:p w:rsidR="0068183D" w:rsidRPr="002266C9" w:rsidRDefault="0068183D" w:rsidP="002266C9">
      <w:pPr>
        <w:pStyle w:val="ListParagraph"/>
        <w:widowControl/>
        <w:numPr>
          <w:ilvl w:val="1"/>
          <w:numId w:val="5"/>
        </w:numPr>
        <w:spacing w:after="120"/>
        <w:contextualSpacing w:val="0"/>
        <w:rPr>
          <w:rFonts w:asciiTheme="minorHAnsi" w:hAnsiTheme="minorHAnsi"/>
          <w:sz w:val="24"/>
          <w:szCs w:val="24"/>
        </w:rPr>
      </w:pPr>
      <w:r w:rsidRPr="002266C9">
        <w:rPr>
          <w:rFonts w:asciiTheme="minorHAnsi" w:hAnsiTheme="minorHAnsi"/>
          <w:sz w:val="24"/>
          <w:szCs w:val="24"/>
        </w:rPr>
        <w:t xml:space="preserve">The PBAC </w:t>
      </w:r>
      <w:r w:rsidR="00113772">
        <w:rPr>
          <w:rFonts w:asciiTheme="minorHAnsi" w:hAnsiTheme="minorHAnsi"/>
          <w:sz w:val="24"/>
          <w:szCs w:val="24"/>
        </w:rPr>
        <w:t xml:space="preserve">recalled </w:t>
      </w:r>
      <w:r w:rsidRPr="002266C9">
        <w:rPr>
          <w:rFonts w:asciiTheme="minorHAnsi" w:hAnsiTheme="minorHAnsi"/>
          <w:sz w:val="24"/>
          <w:szCs w:val="24"/>
        </w:rPr>
        <w:t xml:space="preserve">that, since its first consideration of pembrolizumab for first-line metastatic NSCLC in patients with </w:t>
      </w:r>
      <w:r w:rsidR="0046690B">
        <w:rPr>
          <w:rFonts w:asciiTheme="minorHAnsi" w:hAnsiTheme="minorHAnsi"/>
          <w:sz w:val="24"/>
          <w:szCs w:val="24"/>
        </w:rPr>
        <w:t xml:space="preserve">a </w:t>
      </w:r>
      <w:r w:rsidRPr="002266C9">
        <w:rPr>
          <w:rFonts w:asciiTheme="minorHAnsi" w:hAnsiTheme="minorHAnsi"/>
          <w:sz w:val="24"/>
          <w:szCs w:val="24"/>
        </w:rPr>
        <w:t>TPS of ≥50% in March 2017, nivolumab (another PD-L1 inhibitor) has become PBS subsidised for the second-line treatment of NSCLC</w:t>
      </w:r>
      <w:r w:rsidR="00D00A9B" w:rsidRPr="00D00A9B">
        <w:rPr>
          <w:rFonts w:asciiTheme="minorHAnsi" w:hAnsiTheme="minorHAnsi"/>
          <w:sz w:val="24"/>
          <w:szCs w:val="24"/>
        </w:rPr>
        <w:t xml:space="preserve"> </w:t>
      </w:r>
      <w:r w:rsidR="00D00A9B">
        <w:rPr>
          <w:rFonts w:asciiTheme="minorHAnsi" w:hAnsiTheme="minorHAnsi"/>
          <w:sz w:val="24"/>
          <w:szCs w:val="24"/>
        </w:rPr>
        <w:t>irrespective of the status of tumour PD-L1 expression</w:t>
      </w:r>
      <w:r w:rsidRPr="002266C9">
        <w:rPr>
          <w:rFonts w:asciiTheme="minorHAnsi" w:hAnsiTheme="minorHAnsi"/>
          <w:sz w:val="24"/>
          <w:szCs w:val="24"/>
        </w:rPr>
        <w:t>. The PBAC con</w:t>
      </w:r>
      <w:r w:rsidR="00113772">
        <w:rPr>
          <w:rFonts w:asciiTheme="minorHAnsi" w:hAnsiTheme="minorHAnsi"/>
          <w:sz w:val="24"/>
          <w:szCs w:val="24"/>
        </w:rPr>
        <w:t>firmed</w:t>
      </w:r>
      <w:r w:rsidRPr="002266C9">
        <w:rPr>
          <w:rFonts w:asciiTheme="minorHAnsi" w:hAnsiTheme="minorHAnsi"/>
          <w:sz w:val="24"/>
          <w:szCs w:val="24"/>
        </w:rPr>
        <w:t xml:space="preserve"> that this had shifted the clinical context and clinical need in the treatment of metastatic NSCLC, as </w:t>
      </w:r>
      <w:r w:rsidR="00D00A9B">
        <w:rPr>
          <w:rFonts w:asciiTheme="minorHAnsi" w:hAnsiTheme="minorHAnsi"/>
          <w:sz w:val="24"/>
          <w:szCs w:val="24"/>
        </w:rPr>
        <w:t xml:space="preserve">all these </w:t>
      </w:r>
      <w:r w:rsidRPr="002266C9">
        <w:rPr>
          <w:rFonts w:asciiTheme="minorHAnsi" w:hAnsiTheme="minorHAnsi"/>
          <w:sz w:val="24"/>
          <w:szCs w:val="24"/>
        </w:rPr>
        <w:t xml:space="preserve">patients </w:t>
      </w:r>
      <w:r w:rsidR="00D00A9B">
        <w:rPr>
          <w:rFonts w:asciiTheme="minorHAnsi" w:hAnsiTheme="minorHAnsi"/>
          <w:sz w:val="24"/>
          <w:szCs w:val="24"/>
        </w:rPr>
        <w:t xml:space="preserve">now had access to immunotherapy </w:t>
      </w:r>
      <w:r w:rsidRPr="002266C9">
        <w:rPr>
          <w:rFonts w:asciiTheme="minorHAnsi" w:hAnsiTheme="minorHAnsi"/>
          <w:sz w:val="24"/>
          <w:szCs w:val="24"/>
        </w:rPr>
        <w:t>in the second-line setting.</w:t>
      </w:r>
    </w:p>
    <w:p w:rsidR="001804E7" w:rsidRPr="00684410" w:rsidRDefault="001804E7" w:rsidP="001804E7">
      <w:pPr>
        <w:pStyle w:val="ListParagraph"/>
        <w:widowControl/>
        <w:numPr>
          <w:ilvl w:val="1"/>
          <w:numId w:val="5"/>
        </w:numPr>
        <w:spacing w:after="120"/>
        <w:contextualSpacing w:val="0"/>
        <w:rPr>
          <w:rFonts w:asciiTheme="minorHAnsi" w:hAnsiTheme="minorHAnsi"/>
          <w:sz w:val="24"/>
          <w:szCs w:val="24"/>
        </w:rPr>
      </w:pPr>
      <w:r>
        <w:rPr>
          <w:rFonts w:asciiTheme="minorHAnsi" w:hAnsiTheme="minorHAnsi"/>
          <w:sz w:val="24"/>
          <w:szCs w:val="24"/>
        </w:rPr>
        <w:t xml:space="preserve">The PBAC noted that the </w:t>
      </w:r>
      <w:r w:rsidR="00E964DA">
        <w:rPr>
          <w:rFonts w:asciiTheme="minorHAnsi" w:hAnsiTheme="minorHAnsi"/>
          <w:noProof/>
          <w:color w:val="000000"/>
          <w:sz w:val="24"/>
          <w:szCs w:val="24"/>
          <w:highlight w:val="black"/>
        </w:rPr>
        <w:t>'''''</w:t>
      </w:r>
      <w:r>
        <w:rPr>
          <w:rFonts w:asciiTheme="minorHAnsi" w:hAnsiTheme="minorHAnsi"/>
          <w:sz w:val="24"/>
          <w:szCs w:val="24"/>
        </w:rPr>
        <w:t>% rebate offered by the minor resubmission would only apply from 18 months of therapy onwards for a patient receiving pembrolizumab and that this is approximately halfway between the estimated mean duration of therapy and the maximum TGA approved duration of therapy. The PBAC considered that few patients would reach 18 months of treatment. The PBAC also noted the early and sharp decline in the PFS curves</w:t>
      </w:r>
      <w:r w:rsidR="00D00A9B">
        <w:rPr>
          <w:rFonts w:asciiTheme="minorHAnsi" w:hAnsiTheme="minorHAnsi"/>
          <w:sz w:val="24"/>
          <w:szCs w:val="24"/>
        </w:rPr>
        <w:t xml:space="preserve"> following the initiation of pembrolizumab. Notably, this initial decrement in health outcomes</w:t>
      </w:r>
      <w:r>
        <w:rPr>
          <w:rFonts w:asciiTheme="minorHAnsi" w:hAnsiTheme="minorHAnsi"/>
          <w:sz w:val="24"/>
          <w:szCs w:val="24"/>
        </w:rPr>
        <w:t xml:space="preserve"> </w:t>
      </w:r>
      <w:r w:rsidRPr="002266C9">
        <w:rPr>
          <w:rFonts w:asciiTheme="minorHAnsi" w:hAnsiTheme="minorHAnsi"/>
          <w:sz w:val="24"/>
          <w:szCs w:val="24"/>
        </w:rPr>
        <w:t xml:space="preserve">was due to early mortality and not radiologic </w:t>
      </w:r>
      <w:r w:rsidR="00D00A9B">
        <w:rPr>
          <w:rFonts w:asciiTheme="minorHAnsi" w:hAnsiTheme="minorHAnsi"/>
          <w:sz w:val="24"/>
          <w:szCs w:val="24"/>
        </w:rPr>
        <w:t xml:space="preserve">evidence </w:t>
      </w:r>
      <w:r w:rsidRPr="002266C9">
        <w:rPr>
          <w:rFonts w:asciiTheme="minorHAnsi" w:hAnsiTheme="minorHAnsi"/>
          <w:sz w:val="24"/>
          <w:szCs w:val="24"/>
        </w:rPr>
        <w:t>of progression.</w:t>
      </w:r>
    </w:p>
    <w:p w:rsidR="0068183D" w:rsidRPr="002266C9" w:rsidRDefault="0068183D" w:rsidP="002266C9">
      <w:pPr>
        <w:pStyle w:val="ListParagraph"/>
        <w:widowControl/>
        <w:numPr>
          <w:ilvl w:val="1"/>
          <w:numId w:val="5"/>
        </w:numPr>
        <w:spacing w:after="120"/>
        <w:contextualSpacing w:val="0"/>
        <w:rPr>
          <w:rFonts w:asciiTheme="minorHAnsi" w:hAnsiTheme="minorHAnsi"/>
          <w:sz w:val="24"/>
          <w:szCs w:val="24"/>
        </w:rPr>
      </w:pPr>
      <w:r w:rsidRPr="002266C9">
        <w:rPr>
          <w:rFonts w:asciiTheme="minorHAnsi" w:hAnsiTheme="minorHAnsi"/>
          <w:sz w:val="24"/>
          <w:szCs w:val="24"/>
        </w:rPr>
        <w:t xml:space="preserve">The PBAC recalled its advice from the November 2017 meeting that the base case of the economic model would need to be respecified to use the observed Kaplan-Meier results from the key trial in the model up to the median duration of follow-up and to not exclude any Kaplan-Meier results. The PBAC noted that the minor </w:t>
      </w:r>
      <w:r w:rsidR="00F87320">
        <w:rPr>
          <w:rFonts w:asciiTheme="minorHAnsi" w:hAnsiTheme="minorHAnsi"/>
          <w:sz w:val="24"/>
          <w:szCs w:val="24"/>
        </w:rPr>
        <w:t>re</w:t>
      </w:r>
      <w:r w:rsidRPr="002266C9">
        <w:rPr>
          <w:rFonts w:asciiTheme="minorHAnsi" w:hAnsiTheme="minorHAnsi"/>
          <w:sz w:val="24"/>
          <w:szCs w:val="24"/>
        </w:rPr>
        <w:t xml:space="preserve">submission did not follow its advice for the extrapolation of PFS data and that the first 9 weeks of Kaplan-Meier results </w:t>
      </w:r>
      <w:r w:rsidR="00984960">
        <w:rPr>
          <w:rFonts w:asciiTheme="minorHAnsi" w:hAnsiTheme="minorHAnsi"/>
          <w:sz w:val="24"/>
          <w:szCs w:val="24"/>
        </w:rPr>
        <w:t xml:space="preserve">for PFS </w:t>
      </w:r>
      <w:r w:rsidRPr="002266C9">
        <w:rPr>
          <w:rFonts w:asciiTheme="minorHAnsi" w:hAnsiTheme="minorHAnsi"/>
          <w:sz w:val="24"/>
          <w:szCs w:val="24"/>
        </w:rPr>
        <w:t xml:space="preserve">were excluded </w:t>
      </w:r>
      <w:r w:rsidR="00113772">
        <w:rPr>
          <w:rFonts w:asciiTheme="minorHAnsi" w:hAnsiTheme="minorHAnsi"/>
          <w:sz w:val="24"/>
          <w:szCs w:val="24"/>
        </w:rPr>
        <w:t xml:space="preserve">when assessing </w:t>
      </w:r>
      <w:r w:rsidRPr="002266C9">
        <w:rPr>
          <w:rFonts w:asciiTheme="minorHAnsi" w:hAnsiTheme="minorHAnsi"/>
          <w:sz w:val="24"/>
          <w:szCs w:val="24"/>
        </w:rPr>
        <w:t>the goodness of fit comparison</w:t>
      </w:r>
      <w:r w:rsidR="00113772">
        <w:rPr>
          <w:rFonts w:asciiTheme="minorHAnsi" w:hAnsiTheme="minorHAnsi"/>
          <w:sz w:val="24"/>
          <w:szCs w:val="24"/>
        </w:rPr>
        <w:t xml:space="preserve"> for the proposed basis of extrapolation beyond the duration of follow-up in the key trial</w:t>
      </w:r>
      <w:r w:rsidRPr="002266C9">
        <w:rPr>
          <w:rFonts w:asciiTheme="minorHAnsi" w:hAnsiTheme="minorHAnsi"/>
          <w:sz w:val="24"/>
          <w:szCs w:val="24"/>
        </w:rPr>
        <w:t xml:space="preserve">. The PBAC noted the explanation provided by the pre-PBAC response regarding the exclusion of data prior to week 9, however considered that it would have been informative if </w:t>
      </w:r>
      <w:r w:rsidR="00911A00">
        <w:rPr>
          <w:rFonts w:asciiTheme="minorHAnsi" w:hAnsiTheme="minorHAnsi"/>
          <w:sz w:val="24"/>
          <w:szCs w:val="24"/>
        </w:rPr>
        <w:t xml:space="preserve">a </w:t>
      </w:r>
      <w:r w:rsidRPr="002266C9">
        <w:rPr>
          <w:rFonts w:asciiTheme="minorHAnsi" w:hAnsiTheme="minorHAnsi"/>
          <w:sz w:val="24"/>
          <w:szCs w:val="24"/>
        </w:rPr>
        <w:t xml:space="preserve">separate </w:t>
      </w:r>
      <w:r w:rsidR="00911A00">
        <w:rPr>
          <w:rFonts w:asciiTheme="minorHAnsi" w:hAnsiTheme="minorHAnsi"/>
          <w:sz w:val="24"/>
          <w:szCs w:val="24"/>
        </w:rPr>
        <w:t xml:space="preserve">set of </w:t>
      </w:r>
      <w:r w:rsidRPr="002266C9">
        <w:rPr>
          <w:rFonts w:asciiTheme="minorHAnsi" w:hAnsiTheme="minorHAnsi"/>
          <w:sz w:val="24"/>
          <w:szCs w:val="24"/>
        </w:rPr>
        <w:t>extr</w:t>
      </w:r>
      <w:r w:rsidR="00337438" w:rsidRPr="002266C9">
        <w:rPr>
          <w:rFonts w:asciiTheme="minorHAnsi" w:hAnsiTheme="minorHAnsi"/>
          <w:sz w:val="24"/>
          <w:szCs w:val="24"/>
        </w:rPr>
        <w:t>apolations were fitted to the Kaplan-Meier</w:t>
      </w:r>
      <w:r w:rsidRPr="002266C9">
        <w:rPr>
          <w:rFonts w:asciiTheme="minorHAnsi" w:hAnsiTheme="minorHAnsi"/>
          <w:sz w:val="24"/>
          <w:szCs w:val="24"/>
        </w:rPr>
        <w:t xml:space="preserve"> curve</w:t>
      </w:r>
      <w:r w:rsidR="00911A00">
        <w:rPr>
          <w:rFonts w:asciiTheme="minorHAnsi" w:hAnsiTheme="minorHAnsi"/>
          <w:sz w:val="24"/>
          <w:szCs w:val="24"/>
        </w:rPr>
        <w:t xml:space="preserve">s including </w:t>
      </w:r>
      <w:r w:rsidRPr="002266C9">
        <w:rPr>
          <w:rFonts w:asciiTheme="minorHAnsi" w:hAnsiTheme="minorHAnsi"/>
          <w:sz w:val="24"/>
          <w:szCs w:val="24"/>
        </w:rPr>
        <w:t xml:space="preserve">weeks 0 – 9 </w:t>
      </w:r>
      <w:r w:rsidR="00984960">
        <w:rPr>
          <w:rFonts w:asciiTheme="minorHAnsi" w:hAnsiTheme="minorHAnsi"/>
          <w:sz w:val="24"/>
          <w:szCs w:val="24"/>
        </w:rPr>
        <w:t>in order to examine the consequence of the exclusion</w:t>
      </w:r>
      <w:r w:rsidR="00911A00">
        <w:rPr>
          <w:rFonts w:asciiTheme="minorHAnsi" w:hAnsiTheme="minorHAnsi"/>
          <w:sz w:val="24"/>
          <w:szCs w:val="24"/>
        </w:rPr>
        <w:t>.</w:t>
      </w:r>
      <w:r w:rsidR="00911A00" w:rsidRPr="00911A00">
        <w:rPr>
          <w:rFonts w:asciiTheme="minorHAnsi" w:hAnsiTheme="minorHAnsi"/>
          <w:sz w:val="24"/>
          <w:szCs w:val="24"/>
        </w:rPr>
        <w:t xml:space="preserve"> </w:t>
      </w:r>
      <w:r w:rsidR="00911A00">
        <w:rPr>
          <w:rFonts w:asciiTheme="minorHAnsi" w:hAnsiTheme="minorHAnsi"/>
          <w:sz w:val="24"/>
          <w:szCs w:val="24"/>
        </w:rPr>
        <w:t>The PBAC concluded</w:t>
      </w:r>
      <w:r w:rsidR="00984960" w:rsidRPr="002266C9">
        <w:rPr>
          <w:rFonts w:asciiTheme="minorHAnsi" w:hAnsiTheme="minorHAnsi"/>
          <w:sz w:val="24"/>
          <w:szCs w:val="24"/>
        </w:rPr>
        <w:t xml:space="preserve"> that the impact of </w:t>
      </w:r>
      <w:r w:rsidR="007665EB">
        <w:rPr>
          <w:rFonts w:asciiTheme="minorHAnsi" w:hAnsiTheme="minorHAnsi"/>
          <w:sz w:val="24"/>
          <w:szCs w:val="24"/>
        </w:rPr>
        <w:t>ex</w:t>
      </w:r>
      <w:r w:rsidR="00984960" w:rsidRPr="002266C9">
        <w:rPr>
          <w:rFonts w:asciiTheme="minorHAnsi" w:hAnsiTheme="minorHAnsi"/>
          <w:sz w:val="24"/>
          <w:szCs w:val="24"/>
        </w:rPr>
        <w:t>cluding the first 9 weeks of data on the ICER remain</w:t>
      </w:r>
      <w:r w:rsidR="00911A00">
        <w:rPr>
          <w:rFonts w:asciiTheme="minorHAnsi" w:hAnsiTheme="minorHAnsi"/>
          <w:sz w:val="24"/>
          <w:szCs w:val="24"/>
        </w:rPr>
        <w:t>ed</w:t>
      </w:r>
      <w:r w:rsidR="00984960" w:rsidRPr="002266C9">
        <w:rPr>
          <w:rFonts w:asciiTheme="minorHAnsi" w:hAnsiTheme="minorHAnsi"/>
          <w:sz w:val="24"/>
          <w:szCs w:val="24"/>
        </w:rPr>
        <w:t xml:space="preserve"> unknown</w:t>
      </w:r>
      <w:r w:rsidRPr="002266C9">
        <w:rPr>
          <w:rFonts w:asciiTheme="minorHAnsi" w:hAnsiTheme="minorHAnsi"/>
          <w:sz w:val="24"/>
          <w:szCs w:val="24"/>
        </w:rPr>
        <w:t xml:space="preserve">. On this basis, the PBAC considered that the ICER presented by the minor </w:t>
      </w:r>
      <w:r w:rsidR="00F87320">
        <w:rPr>
          <w:rFonts w:asciiTheme="minorHAnsi" w:hAnsiTheme="minorHAnsi"/>
          <w:sz w:val="24"/>
          <w:szCs w:val="24"/>
        </w:rPr>
        <w:t>re</w:t>
      </w:r>
      <w:r w:rsidRPr="002266C9">
        <w:rPr>
          <w:rFonts w:asciiTheme="minorHAnsi" w:hAnsiTheme="minorHAnsi"/>
          <w:sz w:val="24"/>
          <w:szCs w:val="24"/>
        </w:rPr>
        <w:t xml:space="preserve">submission </w:t>
      </w:r>
      <w:r w:rsidR="0008455E">
        <w:rPr>
          <w:rFonts w:asciiTheme="minorHAnsi" w:hAnsiTheme="minorHAnsi"/>
          <w:sz w:val="24"/>
          <w:szCs w:val="24"/>
        </w:rPr>
        <w:t xml:space="preserve">remained </w:t>
      </w:r>
      <w:r w:rsidRPr="002266C9">
        <w:rPr>
          <w:rFonts w:asciiTheme="minorHAnsi" w:hAnsiTheme="minorHAnsi"/>
          <w:sz w:val="24"/>
          <w:szCs w:val="24"/>
        </w:rPr>
        <w:t>uncertain.</w:t>
      </w:r>
    </w:p>
    <w:p w:rsidR="00337438" w:rsidRDefault="00337438" w:rsidP="00337438">
      <w:pPr>
        <w:pStyle w:val="ListParagraph"/>
        <w:widowControl/>
        <w:numPr>
          <w:ilvl w:val="1"/>
          <w:numId w:val="5"/>
        </w:numPr>
        <w:spacing w:after="120"/>
        <w:contextualSpacing w:val="0"/>
        <w:rPr>
          <w:rFonts w:asciiTheme="minorHAnsi" w:hAnsiTheme="minorHAnsi"/>
          <w:sz w:val="24"/>
          <w:szCs w:val="24"/>
        </w:rPr>
      </w:pPr>
      <w:r w:rsidRPr="002266C9">
        <w:rPr>
          <w:rFonts w:asciiTheme="minorHAnsi" w:hAnsiTheme="minorHAnsi"/>
          <w:sz w:val="24"/>
          <w:szCs w:val="24"/>
        </w:rPr>
        <w:t xml:space="preserve">The PBAC recalled that it </w:t>
      </w:r>
      <w:r w:rsidR="00984960">
        <w:rPr>
          <w:rFonts w:asciiTheme="minorHAnsi" w:hAnsiTheme="minorHAnsi"/>
          <w:sz w:val="24"/>
          <w:szCs w:val="24"/>
        </w:rPr>
        <w:t xml:space="preserve">had </w:t>
      </w:r>
      <w:r w:rsidRPr="002266C9">
        <w:rPr>
          <w:rFonts w:asciiTheme="minorHAnsi" w:hAnsiTheme="minorHAnsi"/>
          <w:sz w:val="24"/>
          <w:szCs w:val="24"/>
        </w:rPr>
        <w:t>advised that a conservative set of extrapolation curves should be applied after the median duration of follow-up</w:t>
      </w:r>
      <w:r w:rsidR="00132250">
        <w:rPr>
          <w:rFonts w:asciiTheme="minorHAnsi" w:hAnsiTheme="minorHAnsi"/>
          <w:sz w:val="24"/>
          <w:szCs w:val="24"/>
        </w:rPr>
        <w:t>, which</w:t>
      </w:r>
      <w:r w:rsidRPr="002266C9">
        <w:rPr>
          <w:rFonts w:asciiTheme="minorHAnsi" w:hAnsiTheme="minorHAnsi"/>
          <w:sz w:val="24"/>
          <w:szCs w:val="24"/>
        </w:rPr>
        <w:t xml:space="preserve"> take into account the remaining uncertainty in the magnitude of </w:t>
      </w:r>
      <w:r w:rsidR="00984960">
        <w:rPr>
          <w:rFonts w:asciiTheme="minorHAnsi" w:hAnsiTheme="minorHAnsi"/>
          <w:sz w:val="24"/>
          <w:szCs w:val="24"/>
        </w:rPr>
        <w:t xml:space="preserve">any incremental </w:t>
      </w:r>
      <w:r w:rsidRPr="002266C9">
        <w:rPr>
          <w:rFonts w:asciiTheme="minorHAnsi" w:hAnsiTheme="minorHAnsi"/>
          <w:sz w:val="24"/>
          <w:szCs w:val="24"/>
        </w:rPr>
        <w:t xml:space="preserve">PFS and OS </w:t>
      </w:r>
      <w:r w:rsidR="00984960">
        <w:rPr>
          <w:rFonts w:asciiTheme="minorHAnsi" w:hAnsiTheme="minorHAnsi"/>
          <w:sz w:val="24"/>
          <w:szCs w:val="24"/>
        </w:rPr>
        <w:t>gains</w:t>
      </w:r>
      <w:r w:rsidRPr="002266C9">
        <w:rPr>
          <w:rFonts w:asciiTheme="minorHAnsi" w:hAnsiTheme="minorHAnsi"/>
          <w:sz w:val="24"/>
          <w:szCs w:val="24"/>
        </w:rPr>
        <w:t xml:space="preserve">. </w:t>
      </w:r>
      <w:r w:rsidRPr="00684410">
        <w:rPr>
          <w:rFonts w:asciiTheme="minorHAnsi" w:hAnsiTheme="minorHAnsi"/>
          <w:sz w:val="24"/>
          <w:szCs w:val="24"/>
        </w:rPr>
        <w:t>The PBAC noted that</w:t>
      </w:r>
      <w:r w:rsidR="00984960">
        <w:rPr>
          <w:rFonts w:asciiTheme="minorHAnsi" w:hAnsiTheme="minorHAnsi"/>
          <w:sz w:val="24"/>
          <w:szCs w:val="24"/>
        </w:rPr>
        <w:t>,</w:t>
      </w:r>
      <w:r w:rsidRPr="00684410">
        <w:rPr>
          <w:rFonts w:asciiTheme="minorHAnsi" w:hAnsiTheme="minorHAnsi"/>
          <w:sz w:val="24"/>
          <w:szCs w:val="24"/>
        </w:rPr>
        <w:t xml:space="preserve"> as the </w:t>
      </w:r>
      <w:r>
        <w:rPr>
          <w:rFonts w:asciiTheme="minorHAnsi" w:hAnsiTheme="minorHAnsi"/>
          <w:sz w:val="24"/>
          <w:szCs w:val="24"/>
        </w:rPr>
        <w:t xml:space="preserve">minor </w:t>
      </w:r>
      <w:r w:rsidR="00984960">
        <w:rPr>
          <w:rFonts w:asciiTheme="minorHAnsi" w:hAnsiTheme="minorHAnsi"/>
          <w:sz w:val="24"/>
          <w:szCs w:val="24"/>
        </w:rPr>
        <w:t>re</w:t>
      </w:r>
      <w:r>
        <w:rPr>
          <w:rFonts w:asciiTheme="minorHAnsi" w:hAnsiTheme="minorHAnsi"/>
          <w:sz w:val="24"/>
          <w:szCs w:val="24"/>
        </w:rPr>
        <w:t xml:space="preserve">submission and </w:t>
      </w:r>
      <w:r w:rsidR="00984960">
        <w:rPr>
          <w:rFonts w:asciiTheme="minorHAnsi" w:hAnsiTheme="minorHAnsi"/>
          <w:sz w:val="24"/>
          <w:szCs w:val="24"/>
        </w:rPr>
        <w:t xml:space="preserve">the </w:t>
      </w:r>
      <w:r w:rsidRPr="00684410">
        <w:rPr>
          <w:rFonts w:asciiTheme="minorHAnsi" w:hAnsiTheme="minorHAnsi"/>
          <w:sz w:val="24"/>
          <w:szCs w:val="24"/>
        </w:rPr>
        <w:t xml:space="preserve">pre-PBAC response did not provide traces of the area between the pembrolizumab and SOC curves for </w:t>
      </w:r>
      <w:r w:rsidR="007665EB">
        <w:rPr>
          <w:rFonts w:asciiTheme="minorHAnsi" w:hAnsiTheme="minorHAnsi"/>
          <w:sz w:val="24"/>
          <w:szCs w:val="24"/>
        </w:rPr>
        <w:t xml:space="preserve">each extrapolation option across </w:t>
      </w:r>
      <w:r>
        <w:rPr>
          <w:rFonts w:asciiTheme="minorHAnsi" w:hAnsiTheme="minorHAnsi"/>
          <w:sz w:val="24"/>
          <w:szCs w:val="24"/>
        </w:rPr>
        <w:t>PFS and OS</w:t>
      </w:r>
      <w:r w:rsidRPr="00684410">
        <w:rPr>
          <w:rFonts w:asciiTheme="minorHAnsi" w:hAnsiTheme="minorHAnsi"/>
          <w:sz w:val="24"/>
          <w:szCs w:val="24"/>
        </w:rPr>
        <w:t>, it was uncertain which extrapolations were the most conservative</w:t>
      </w:r>
      <w:r w:rsidR="00984960">
        <w:rPr>
          <w:rFonts w:asciiTheme="minorHAnsi" w:hAnsiTheme="minorHAnsi"/>
          <w:sz w:val="24"/>
          <w:szCs w:val="24"/>
        </w:rPr>
        <w:t>.</w:t>
      </w:r>
      <w:r w:rsidR="0008455E" w:rsidRPr="002266C9">
        <w:rPr>
          <w:rFonts w:asciiTheme="minorHAnsi" w:hAnsiTheme="minorHAnsi"/>
          <w:sz w:val="24"/>
          <w:szCs w:val="24"/>
        </w:rPr>
        <w:t xml:space="preserve"> On this basis, the PBAC considered that the ICER presented by the minor </w:t>
      </w:r>
      <w:r w:rsidR="0008455E">
        <w:rPr>
          <w:rFonts w:asciiTheme="minorHAnsi" w:hAnsiTheme="minorHAnsi"/>
          <w:sz w:val="24"/>
          <w:szCs w:val="24"/>
        </w:rPr>
        <w:t>re</w:t>
      </w:r>
      <w:r w:rsidR="0008455E" w:rsidRPr="002266C9">
        <w:rPr>
          <w:rFonts w:asciiTheme="minorHAnsi" w:hAnsiTheme="minorHAnsi"/>
          <w:sz w:val="24"/>
          <w:szCs w:val="24"/>
        </w:rPr>
        <w:t xml:space="preserve">submission </w:t>
      </w:r>
      <w:r w:rsidR="0008455E">
        <w:rPr>
          <w:rFonts w:asciiTheme="minorHAnsi" w:hAnsiTheme="minorHAnsi"/>
          <w:sz w:val="24"/>
          <w:szCs w:val="24"/>
        </w:rPr>
        <w:t xml:space="preserve">remained </w:t>
      </w:r>
      <w:r w:rsidR="0008455E" w:rsidRPr="002266C9">
        <w:rPr>
          <w:rFonts w:asciiTheme="minorHAnsi" w:hAnsiTheme="minorHAnsi"/>
          <w:sz w:val="24"/>
          <w:szCs w:val="24"/>
        </w:rPr>
        <w:t>uncertain.</w:t>
      </w:r>
    </w:p>
    <w:p w:rsidR="009F6D90" w:rsidRDefault="00B01C78" w:rsidP="00337438">
      <w:pPr>
        <w:pStyle w:val="ListParagraph"/>
        <w:widowControl/>
        <w:numPr>
          <w:ilvl w:val="1"/>
          <w:numId w:val="5"/>
        </w:numPr>
        <w:spacing w:after="120"/>
        <w:contextualSpacing w:val="0"/>
        <w:rPr>
          <w:rFonts w:asciiTheme="minorHAnsi" w:hAnsiTheme="minorHAnsi"/>
          <w:sz w:val="24"/>
          <w:szCs w:val="24"/>
        </w:rPr>
      </w:pPr>
      <w:r>
        <w:rPr>
          <w:rFonts w:asciiTheme="minorHAnsi" w:hAnsiTheme="minorHAnsi"/>
          <w:sz w:val="24"/>
          <w:szCs w:val="24"/>
        </w:rPr>
        <w:t xml:space="preserve">The PBAC </w:t>
      </w:r>
      <w:r w:rsidR="0008455E">
        <w:rPr>
          <w:rFonts w:asciiTheme="minorHAnsi" w:hAnsiTheme="minorHAnsi"/>
          <w:sz w:val="24"/>
          <w:szCs w:val="24"/>
        </w:rPr>
        <w:t xml:space="preserve">noted the revised ICER of </w:t>
      </w:r>
      <w:r w:rsidR="007E0B2A">
        <w:rPr>
          <w:rFonts w:asciiTheme="minorHAnsi" w:hAnsiTheme="minorHAnsi"/>
          <w:sz w:val="24"/>
          <w:szCs w:val="24"/>
        </w:rPr>
        <w:t xml:space="preserve">$45,000/QALY - $75,000/QALY </w:t>
      </w:r>
      <w:r w:rsidR="0008455E">
        <w:rPr>
          <w:rFonts w:asciiTheme="minorHAnsi" w:hAnsiTheme="minorHAnsi"/>
          <w:sz w:val="24"/>
          <w:szCs w:val="24"/>
        </w:rPr>
        <w:t xml:space="preserve">retained these two sources of uncertainty, but </w:t>
      </w:r>
      <w:r w:rsidR="00D17FE6">
        <w:rPr>
          <w:rFonts w:asciiTheme="minorHAnsi" w:hAnsiTheme="minorHAnsi"/>
          <w:sz w:val="24"/>
          <w:szCs w:val="24"/>
        </w:rPr>
        <w:t xml:space="preserve">did </w:t>
      </w:r>
      <w:r w:rsidR="0008455E">
        <w:rPr>
          <w:rFonts w:asciiTheme="minorHAnsi" w:hAnsiTheme="minorHAnsi"/>
          <w:sz w:val="24"/>
          <w:szCs w:val="24"/>
        </w:rPr>
        <w:t>estimate the costs of pembrolizumab directly from the observed duration of treatment from the key trial with an appropriate extrapolation.</w:t>
      </w:r>
    </w:p>
    <w:p w:rsidR="003E1E3A" w:rsidRPr="002266C9" w:rsidRDefault="003E1E3A" w:rsidP="003E1E3A">
      <w:pPr>
        <w:pStyle w:val="ListParagraph"/>
        <w:widowControl/>
        <w:numPr>
          <w:ilvl w:val="1"/>
          <w:numId w:val="5"/>
        </w:numPr>
        <w:spacing w:after="120"/>
        <w:contextualSpacing w:val="0"/>
        <w:rPr>
          <w:rFonts w:asciiTheme="minorHAnsi" w:hAnsiTheme="minorHAnsi"/>
          <w:sz w:val="24"/>
          <w:szCs w:val="24"/>
        </w:rPr>
      </w:pPr>
      <w:r w:rsidRPr="002266C9">
        <w:rPr>
          <w:rFonts w:asciiTheme="minorHAnsi" w:hAnsiTheme="minorHAnsi"/>
          <w:sz w:val="24"/>
          <w:szCs w:val="24"/>
        </w:rPr>
        <w:t>The PBAC noted that</w:t>
      </w:r>
      <w:r w:rsidR="000142E2">
        <w:rPr>
          <w:rFonts w:asciiTheme="minorHAnsi" w:hAnsiTheme="minorHAnsi"/>
          <w:sz w:val="24"/>
          <w:szCs w:val="24"/>
        </w:rPr>
        <w:t xml:space="preserve"> the estimates of the annual numbers of patients treated with pembrolizumab proposed by the minor resubmission</w:t>
      </w:r>
      <w:r w:rsidRPr="002266C9">
        <w:rPr>
          <w:rFonts w:asciiTheme="minorHAnsi" w:hAnsiTheme="minorHAnsi"/>
          <w:sz w:val="24"/>
          <w:szCs w:val="24"/>
        </w:rPr>
        <w:t xml:space="preserve"> </w:t>
      </w:r>
      <w:r w:rsidR="000142E2">
        <w:rPr>
          <w:rFonts w:asciiTheme="minorHAnsi" w:hAnsiTheme="minorHAnsi"/>
          <w:sz w:val="24"/>
          <w:szCs w:val="24"/>
        </w:rPr>
        <w:t xml:space="preserve">relied on </w:t>
      </w:r>
      <w:r w:rsidRPr="002266C9">
        <w:rPr>
          <w:rFonts w:asciiTheme="minorHAnsi" w:hAnsiTheme="minorHAnsi"/>
          <w:sz w:val="24"/>
          <w:szCs w:val="24"/>
        </w:rPr>
        <w:t>a</w:t>
      </w:r>
      <w:r>
        <w:rPr>
          <w:rFonts w:asciiTheme="minorHAnsi" w:hAnsiTheme="minorHAnsi"/>
          <w:sz w:val="24"/>
          <w:szCs w:val="24"/>
        </w:rPr>
        <w:t>n uptake</w:t>
      </w:r>
      <w:r w:rsidRPr="002266C9">
        <w:rPr>
          <w:rFonts w:asciiTheme="minorHAnsi" w:hAnsiTheme="minorHAnsi"/>
          <w:sz w:val="24"/>
          <w:szCs w:val="24"/>
        </w:rPr>
        <w:t xml:space="preserve"> rate of 83.5% in Year 1 </w:t>
      </w:r>
      <w:r w:rsidR="000142E2">
        <w:rPr>
          <w:rFonts w:asciiTheme="minorHAnsi" w:hAnsiTheme="minorHAnsi"/>
          <w:sz w:val="24"/>
          <w:szCs w:val="24"/>
        </w:rPr>
        <w:t xml:space="preserve">increasing </w:t>
      </w:r>
      <w:r w:rsidRPr="002266C9">
        <w:rPr>
          <w:rFonts w:asciiTheme="minorHAnsi" w:hAnsiTheme="minorHAnsi"/>
          <w:sz w:val="24"/>
          <w:szCs w:val="24"/>
        </w:rPr>
        <w:t xml:space="preserve">to 85% in Year 6 of listing, compared to </w:t>
      </w:r>
      <w:r w:rsidR="000142E2">
        <w:rPr>
          <w:rFonts w:asciiTheme="minorHAnsi" w:hAnsiTheme="minorHAnsi"/>
          <w:sz w:val="24"/>
          <w:szCs w:val="24"/>
        </w:rPr>
        <w:t xml:space="preserve">a constant </w:t>
      </w:r>
      <w:r w:rsidRPr="002266C9">
        <w:rPr>
          <w:rFonts w:asciiTheme="minorHAnsi" w:hAnsiTheme="minorHAnsi"/>
          <w:sz w:val="24"/>
          <w:szCs w:val="24"/>
        </w:rPr>
        <w:t xml:space="preserve">60% for platinum-based doublet chemotherapy. The PBAC considered that the pembrolizumab uptake rate assumed by the minor </w:t>
      </w:r>
      <w:r>
        <w:rPr>
          <w:rFonts w:asciiTheme="minorHAnsi" w:hAnsiTheme="minorHAnsi"/>
          <w:sz w:val="24"/>
          <w:szCs w:val="24"/>
        </w:rPr>
        <w:t>re</w:t>
      </w:r>
      <w:r w:rsidRPr="002266C9">
        <w:rPr>
          <w:rFonts w:asciiTheme="minorHAnsi" w:hAnsiTheme="minorHAnsi"/>
          <w:sz w:val="24"/>
          <w:szCs w:val="24"/>
        </w:rPr>
        <w:t xml:space="preserve">submission was unrealistically high, given that a proportion of patients may not have a suitable biopsy and may not meet the performance status requirements specified in the PBS restriction. </w:t>
      </w:r>
      <w:r w:rsidR="00CB3F90">
        <w:rPr>
          <w:rFonts w:asciiTheme="minorHAnsi" w:hAnsiTheme="minorHAnsi"/>
          <w:sz w:val="24"/>
          <w:szCs w:val="24"/>
        </w:rPr>
        <w:t>For the reasons outlined in paragraph 5.26 above, t</w:t>
      </w:r>
      <w:r w:rsidRPr="002266C9">
        <w:rPr>
          <w:rFonts w:asciiTheme="minorHAnsi" w:hAnsiTheme="minorHAnsi"/>
          <w:sz w:val="24"/>
          <w:szCs w:val="24"/>
        </w:rPr>
        <w:t xml:space="preserve">he PBAC considered that an overestimate of the pembrolizumab uptake rate resulted in overestimated financial impact to government. The PBAC </w:t>
      </w:r>
      <w:r w:rsidR="007310E6">
        <w:rPr>
          <w:rFonts w:asciiTheme="minorHAnsi" w:hAnsiTheme="minorHAnsi"/>
          <w:sz w:val="24"/>
          <w:szCs w:val="24"/>
        </w:rPr>
        <w:t xml:space="preserve">instead </w:t>
      </w:r>
      <w:r w:rsidRPr="002266C9">
        <w:rPr>
          <w:rFonts w:asciiTheme="minorHAnsi" w:hAnsiTheme="minorHAnsi"/>
          <w:sz w:val="24"/>
          <w:szCs w:val="24"/>
        </w:rPr>
        <w:t>advised that a</w:t>
      </w:r>
      <w:r>
        <w:rPr>
          <w:rFonts w:asciiTheme="minorHAnsi" w:hAnsiTheme="minorHAnsi"/>
          <w:sz w:val="24"/>
          <w:szCs w:val="24"/>
        </w:rPr>
        <w:t>n</w:t>
      </w:r>
      <w:r w:rsidRPr="002266C9">
        <w:rPr>
          <w:rFonts w:asciiTheme="minorHAnsi" w:hAnsiTheme="minorHAnsi"/>
          <w:sz w:val="24"/>
          <w:szCs w:val="24"/>
        </w:rPr>
        <w:t xml:space="preserve"> uptake rate of approximately 65% would be mor</w:t>
      </w:r>
      <w:r>
        <w:rPr>
          <w:rFonts w:asciiTheme="minorHAnsi" w:hAnsiTheme="minorHAnsi"/>
          <w:sz w:val="24"/>
          <w:szCs w:val="24"/>
        </w:rPr>
        <w:t>e reasonable for pembrolizumab.</w:t>
      </w:r>
    </w:p>
    <w:p w:rsidR="003E1E3A" w:rsidRPr="003E1E3A" w:rsidRDefault="003E1E3A" w:rsidP="003E1E3A">
      <w:pPr>
        <w:pStyle w:val="ListParagraph"/>
        <w:widowControl/>
        <w:numPr>
          <w:ilvl w:val="1"/>
          <w:numId w:val="5"/>
        </w:numPr>
        <w:spacing w:after="120"/>
        <w:contextualSpacing w:val="0"/>
        <w:rPr>
          <w:rFonts w:asciiTheme="minorHAnsi" w:hAnsiTheme="minorHAnsi"/>
          <w:sz w:val="24"/>
          <w:szCs w:val="24"/>
        </w:rPr>
      </w:pPr>
      <w:r w:rsidRPr="002266C9">
        <w:rPr>
          <w:rFonts w:asciiTheme="minorHAnsi" w:hAnsiTheme="minorHAnsi"/>
          <w:sz w:val="24"/>
          <w:szCs w:val="24"/>
        </w:rPr>
        <w:t xml:space="preserve">The PBAC noted that the minor </w:t>
      </w:r>
      <w:r>
        <w:rPr>
          <w:rFonts w:asciiTheme="minorHAnsi" w:hAnsiTheme="minorHAnsi"/>
          <w:sz w:val="24"/>
          <w:szCs w:val="24"/>
        </w:rPr>
        <w:t>re</w:t>
      </w:r>
      <w:r w:rsidRPr="002266C9">
        <w:rPr>
          <w:rFonts w:asciiTheme="minorHAnsi" w:hAnsiTheme="minorHAnsi"/>
          <w:sz w:val="24"/>
          <w:szCs w:val="24"/>
        </w:rPr>
        <w:t xml:space="preserve">submission </w:t>
      </w:r>
      <w:r>
        <w:rPr>
          <w:rFonts w:asciiTheme="minorHAnsi" w:hAnsiTheme="minorHAnsi"/>
          <w:sz w:val="24"/>
          <w:szCs w:val="24"/>
        </w:rPr>
        <w:t xml:space="preserve">included </w:t>
      </w:r>
      <w:r w:rsidRPr="002266C9">
        <w:rPr>
          <w:rFonts w:asciiTheme="minorHAnsi" w:hAnsiTheme="minorHAnsi"/>
          <w:sz w:val="24"/>
          <w:szCs w:val="24"/>
        </w:rPr>
        <w:t xml:space="preserve">grandfathered patients </w:t>
      </w:r>
      <w:r w:rsidR="007310E6">
        <w:rPr>
          <w:rFonts w:asciiTheme="minorHAnsi" w:hAnsiTheme="minorHAnsi"/>
          <w:sz w:val="24"/>
          <w:szCs w:val="24"/>
        </w:rPr>
        <w:t>from</w:t>
      </w:r>
      <w:r w:rsidRPr="002266C9">
        <w:rPr>
          <w:rFonts w:asciiTheme="minorHAnsi" w:hAnsiTheme="minorHAnsi"/>
          <w:sz w:val="24"/>
          <w:szCs w:val="24"/>
        </w:rPr>
        <w:t xml:space="preserve"> th</w:t>
      </w:r>
      <w:r>
        <w:rPr>
          <w:rFonts w:asciiTheme="minorHAnsi" w:hAnsiTheme="minorHAnsi"/>
          <w:sz w:val="24"/>
          <w:szCs w:val="24"/>
        </w:rPr>
        <w:t>e prevalent</w:t>
      </w:r>
      <w:r w:rsidRPr="002266C9">
        <w:rPr>
          <w:rFonts w:asciiTheme="minorHAnsi" w:hAnsiTheme="minorHAnsi"/>
          <w:sz w:val="24"/>
          <w:szCs w:val="24"/>
        </w:rPr>
        <w:t xml:space="preserve"> pool</w:t>
      </w:r>
      <w:r>
        <w:rPr>
          <w:rFonts w:asciiTheme="minorHAnsi" w:hAnsiTheme="minorHAnsi"/>
          <w:sz w:val="24"/>
          <w:szCs w:val="24"/>
        </w:rPr>
        <w:t xml:space="preserve"> in its </w:t>
      </w:r>
      <w:r w:rsidRPr="002266C9">
        <w:rPr>
          <w:rFonts w:asciiTheme="minorHAnsi" w:hAnsiTheme="minorHAnsi"/>
          <w:sz w:val="24"/>
          <w:szCs w:val="24"/>
        </w:rPr>
        <w:t xml:space="preserve">epidemiological approach to estimate the </w:t>
      </w:r>
      <w:r>
        <w:rPr>
          <w:rFonts w:asciiTheme="minorHAnsi" w:hAnsiTheme="minorHAnsi"/>
          <w:sz w:val="24"/>
          <w:szCs w:val="24"/>
        </w:rPr>
        <w:t xml:space="preserve">size of the </w:t>
      </w:r>
      <w:r w:rsidRPr="002266C9">
        <w:rPr>
          <w:rFonts w:asciiTheme="minorHAnsi" w:hAnsiTheme="minorHAnsi"/>
          <w:sz w:val="24"/>
          <w:szCs w:val="24"/>
        </w:rPr>
        <w:t xml:space="preserve">PBS population </w:t>
      </w:r>
      <w:r>
        <w:rPr>
          <w:rFonts w:asciiTheme="minorHAnsi" w:hAnsiTheme="minorHAnsi"/>
          <w:sz w:val="24"/>
          <w:szCs w:val="24"/>
        </w:rPr>
        <w:t xml:space="preserve">which would be eligible for </w:t>
      </w:r>
      <w:r w:rsidRPr="002266C9">
        <w:rPr>
          <w:rFonts w:asciiTheme="minorHAnsi" w:hAnsiTheme="minorHAnsi"/>
          <w:sz w:val="24"/>
          <w:szCs w:val="24"/>
        </w:rPr>
        <w:t xml:space="preserve">pembrolizumab. The PBAC considered that this </w:t>
      </w:r>
      <w:r>
        <w:rPr>
          <w:rFonts w:asciiTheme="minorHAnsi" w:hAnsiTheme="minorHAnsi"/>
          <w:sz w:val="24"/>
          <w:szCs w:val="24"/>
        </w:rPr>
        <w:t>inclusion would affect any proposal to use a risk sharing arrangement to generate an upper cost per patient for pembrolizumab in order to achieve acceptable cost-effectiveness.</w:t>
      </w:r>
    </w:p>
    <w:p w:rsidR="00565F0F" w:rsidRDefault="002266C9" w:rsidP="002266C9">
      <w:pPr>
        <w:pStyle w:val="ListParagraph"/>
        <w:widowControl/>
        <w:numPr>
          <w:ilvl w:val="1"/>
          <w:numId w:val="5"/>
        </w:numPr>
        <w:spacing w:after="120"/>
        <w:contextualSpacing w:val="0"/>
        <w:rPr>
          <w:rFonts w:asciiTheme="minorHAnsi" w:hAnsiTheme="minorHAnsi"/>
          <w:sz w:val="24"/>
          <w:szCs w:val="24"/>
        </w:rPr>
      </w:pPr>
      <w:r>
        <w:rPr>
          <w:rFonts w:asciiTheme="minorHAnsi" w:hAnsiTheme="minorHAnsi"/>
          <w:sz w:val="24"/>
          <w:szCs w:val="24"/>
        </w:rPr>
        <w:t xml:space="preserve">The PBAC </w:t>
      </w:r>
      <w:r w:rsidR="009F6D90">
        <w:rPr>
          <w:rFonts w:asciiTheme="minorHAnsi" w:hAnsiTheme="minorHAnsi"/>
          <w:sz w:val="24"/>
          <w:szCs w:val="24"/>
        </w:rPr>
        <w:t>considered</w:t>
      </w:r>
      <w:r>
        <w:rPr>
          <w:rFonts w:asciiTheme="minorHAnsi" w:hAnsiTheme="minorHAnsi"/>
          <w:sz w:val="24"/>
          <w:szCs w:val="24"/>
        </w:rPr>
        <w:t xml:space="preserve"> that there was a large discrepancy between the estimated patient population proposed by the minor </w:t>
      </w:r>
      <w:r w:rsidR="00F87320">
        <w:rPr>
          <w:rFonts w:asciiTheme="minorHAnsi" w:hAnsiTheme="minorHAnsi"/>
          <w:sz w:val="24"/>
          <w:szCs w:val="24"/>
        </w:rPr>
        <w:t>re</w:t>
      </w:r>
      <w:r>
        <w:rPr>
          <w:rFonts w:asciiTheme="minorHAnsi" w:hAnsiTheme="minorHAnsi"/>
          <w:sz w:val="24"/>
          <w:szCs w:val="24"/>
        </w:rPr>
        <w:t xml:space="preserve">submission and the Committee’s advice from November 2017 that, </w:t>
      </w:r>
      <w:r w:rsidRPr="002266C9">
        <w:rPr>
          <w:rFonts w:asciiTheme="minorHAnsi" w:hAnsiTheme="minorHAnsi"/>
          <w:sz w:val="24"/>
          <w:szCs w:val="24"/>
        </w:rPr>
        <w:t>if pembrolizumab was made available on the PBS, there would only be a minor increase in the overall number of patients treated for metastatic Stage IV NSCLC either in the first- or second-line setting, above what was accepted for the nivolumab caps at the time of the negotiations with the sponsor of nivolumab</w:t>
      </w:r>
      <w:r>
        <w:rPr>
          <w:rFonts w:asciiTheme="minorHAnsi" w:hAnsiTheme="minorHAnsi"/>
          <w:sz w:val="24"/>
          <w:szCs w:val="24"/>
        </w:rPr>
        <w:t xml:space="preserve">. </w:t>
      </w:r>
      <w:r w:rsidR="00565F0F">
        <w:rPr>
          <w:rFonts w:asciiTheme="minorHAnsi" w:hAnsiTheme="minorHAnsi"/>
          <w:sz w:val="24"/>
          <w:szCs w:val="24"/>
        </w:rPr>
        <w:t xml:space="preserve">The PBAC considered that the utilisation estimates </w:t>
      </w:r>
      <w:r w:rsidR="00884BB4">
        <w:rPr>
          <w:rFonts w:asciiTheme="minorHAnsi" w:hAnsiTheme="minorHAnsi"/>
          <w:sz w:val="24"/>
          <w:szCs w:val="24"/>
        </w:rPr>
        <w:t xml:space="preserve">in Table 4 </w:t>
      </w:r>
      <w:r w:rsidR="00565F0F">
        <w:rPr>
          <w:rFonts w:asciiTheme="minorHAnsi" w:hAnsiTheme="minorHAnsi"/>
          <w:sz w:val="24"/>
          <w:szCs w:val="24"/>
        </w:rPr>
        <w:t>were within its expectations for the population for whom a cost offset from second-line nivolumab was estimated, but the committee’s concerns centred around the large projected uptake in the added population. The PBAC disagreed with the minor resubmission that such large numbers of patients would be eligible for pembrolizumab but would not subsequently have been eligible for nivolumab</w:t>
      </w:r>
      <w:r w:rsidR="000C3066">
        <w:rPr>
          <w:rFonts w:asciiTheme="minorHAnsi" w:hAnsiTheme="minorHAnsi"/>
          <w:sz w:val="24"/>
          <w:szCs w:val="24"/>
        </w:rPr>
        <w:t>.</w:t>
      </w:r>
      <w:r w:rsidR="00884BB4">
        <w:rPr>
          <w:rFonts w:asciiTheme="minorHAnsi" w:hAnsiTheme="minorHAnsi"/>
          <w:sz w:val="24"/>
          <w:szCs w:val="24"/>
        </w:rPr>
        <w:t xml:space="preserve"> </w:t>
      </w:r>
      <w:r w:rsidR="008041C3">
        <w:rPr>
          <w:rFonts w:asciiTheme="minorHAnsi" w:hAnsiTheme="minorHAnsi"/>
          <w:sz w:val="24"/>
          <w:szCs w:val="24"/>
        </w:rPr>
        <w:t xml:space="preserve">As previously, </w:t>
      </w:r>
      <w:r w:rsidR="00132250">
        <w:rPr>
          <w:rFonts w:asciiTheme="minorHAnsi" w:hAnsiTheme="minorHAnsi"/>
          <w:sz w:val="24"/>
          <w:szCs w:val="24"/>
        </w:rPr>
        <w:t xml:space="preserve">the </w:t>
      </w:r>
      <w:r w:rsidR="008041C3">
        <w:rPr>
          <w:rFonts w:asciiTheme="minorHAnsi" w:hAnsiTheme="minorHAnsi"/>
          <w:sz w:val="24"/>
          <w:szCs w:val="24"/>
        </w:rPr>
        <w:t>PBAC could not identify</w:t>
      </w:r>
      <w:r w:rsidR="000C3066">
        <w:rPr>
          <w:rFonts w:asciiTheme="minorHAnsi" w:hAnsiTheme="minorHAnsi"/>
          <w:sz w:val="24"/>
          <w:szCs w:val="24"/>
        </w:rPr>
        <w:t xml:space="preserve"> any clinical rationale for any estimate beyond a small increase for patients who could not tolerate first-line chemotherapy and also be eligible for pembrolizumab. </w:t>
      </w:r>
      <w:r w:rsidR="002B1E83">
        <w:rPr>
          <w:rFonts w:asciiTheme="minorHAnsi" w:hAnsiTheme="minorHAnsi"/>
          <w:sz w:val="24"/>
          <w:szCs w:val="24"/>
        </w:rPr>
        <w:t xml:space="preserve">The PBAC was not confident that reducing the uptake rate as advised above would be sufficient to address its concerns with the large projected uptake in the added population. </w:t>
      </w:r>
      <w:r w:rsidR="00937806">
        <w:rPr>
          <w:rFonts w:asciiTheme="minorHAnsi" w:hAnsiTheme="minorHAnsi"/>
          <w:sz w:val="24"/>
          <w:szCs w:val="24"/>
        </w:rPr>
        <w:t xml:space="preserve">The PBAC was also concerned with the </w:t>
      </w:r>
      <w:r w:rsidR="00B60F31">
        <w:rPr>
          <w:rFonts w:asciiTheme="minorHAnsi" w:hAnsiTheme="minorHAnsi"/>
          <w:sz w:val="24"/>
          <w:szCs w:val="24"/>
        </w:rPr>
        <w:t xml:space="preserve">reliability of the overall estimated numbers of patients per year given </w:t>
      </w:r>
      <w:r w:rsidR="00937806">
        <w:rPr>
          <w:rFonts w:asciiTheme="minorHAnsi" w:hAnsiTheme="minorHAnsi"/>
          <w:sz w:val="24"/>
          <w:szCs w:val="24"/>
        </w:rPr>
        <w:t>that the Cancer Drugs Fund Managed Access Agreement in England estimated a similar number of eligible patients per year (</w:t>
      </w:r>
      <w:r w:rsidR="00E964DA">
        <w:rPr>
          <w:rFonts w:asciiTheme="minorHAnsi" w:hAnsiTheme="minorHAnsi"/>
          <w:noProof/>
          <w:color w:val="000000"/>
          <w:sz w:val="24"/>
          <w:szCs w:val="24"/>
          <w:highlight w:val="black"/>
        </w:rPr>
        <w:t>''''''' '''''''' ''''''''''''</w:t>
      </w:r>
      <w:r w:rsidR="00937806">
        <w:rPr>
          <w:rFonts w:asciiTheme="minorHAnsi" w:hAnsiTheme="minorHAnsi"/>
          <w:sz w:val="24"/>
          <w:szCs w:val="24"/>
        </w:rPr>
        <w:t xml:space="preserve">) </w:t>
      </w:r>
      <w:r w:rsidR="00B60F31">
        <w:rPr>
          <w:rFonts w:asciiTheme="minorHAnsi" w:hAnsiTheme="minorHAnsi"/>
          <w:sz w:val="24"/>
          <w:szCs w:val="24"/>
        </w:rPr>
        <w:t>for</w:t>
      </w:r>
      <w:r w:rsidR="00937806">
        <w:rPr>
          <w:rFonts w:asciiTheme="minorHAnsi" w:hAnsiTheme="minorHAnsi"/>
          <w:sz w:val="24"/>
          <w:szCs w:val="24"/>
        </w:rPr>
        <w:t xml:space="preserve"> a</w:t>
      </w:r>
      <w:r w:rsidR="00B60F31">
        <w:rPr>
          <w:rFonts w:asciiTheme="minorHAnsi" w:hAnsiTheme="minorHAnsi"/>
          <w:sz w:val="24"/>
          <w:szCs w:val="24"/>
        </w:rPr>
        <w:t>n overall</w:t>
      </w:r>
      <w:r w:rsidR="00937806">
        <w:rPr>
          <w:rFonts w:asciiTheme="minorHAnsi" w:hAnsiTheme="minorHAnsi"/>
          <w:sz w:val="24"/>
          <w:szCs w:val="24"/>
        </w:rPr>
        <w:t xml:space="preserve"> population </w:t>
      </w:r>
      <w:r w:rsidR="002B1E83">
        <w:rPr>
          <w:rFonts w:asciiTheme="minorHAnsi" w:hAnsiTheme="minorHAnsi"/>
          <w:sz w:val="24"/>
          <w:szCs w:val="24"/>
        </w:rPr>
        <w:t xml:space="preserve">which is </w:t>
      </w:r>
      <w:r w:rsidR="00937806">
        <w:rPr>
          <w:rFonts w:asciiTheme="minorHAnsi" w:hAnsiTheme="minorHAnsi"/>
          <w:sz w:val="24"/>
          <w:szCs w:val="24"/>
        </w:rPr>
        <w:t>about double that of the Australian population.</w:t>
      </w:r>
    </w:p>
    <w:p w:rsidR="002266C9" w:rsidRDefault="00843BD0" w:rsidP="002266C9">
      <w:pPr>
        <w:pStyle w:val="ListParagraph"/>
        <w:widowControl/>
        <w:numPr>
          <w:ilvl w:val="1"/>
          <w:numId w:val="5"/>
        </w:numPr>
        <w:spacing w:after="120"/>
        <w:contextualSpacing w:val="0"/>
        <w:rPr>
          <w:rFonts w:asciiTheme="minorHAnsi" w:hAnsiTheme="minorHAnsi"/>
          <w:sz w:val="24"/>
          <w:szCs w:val="24"/>
        </w:rPr>
      </w:pPr>
      <w:r>
        <w:rPr>
          <w:rFonts w:asciiTheme="minorHAnsi" w:hAnsiTheme="minorHAnsi"/>
          <w:sz w:val="24"/>
          <w:szCs w:val="24"/>
        </w:rPr>
        <w:t>Overall, t</w:t>
      </w:r>
      <w:r w:rsidR="002266C9">
        <w:rPr>
          <w:rFonts w:asciiTheme="minorHAnsi" w:hAnsiTheme="minorHAnsi"/>
          <w:sz w:val="24"/>
          <w:szCs w:val="24"/>
        </w:rPr>
        <w:t xml:space="preserve">he PBAC </w:t>
      </w:r>
      <w:r w:rsidR="00294CAE">
        <w:rPr>
          <w:rFonts w:asciiTheme="minorHAnsi" w:hAnsiTheme="minorHAnsi"/>
          <w:sz w:val="24"/>
          <w:szCs w:val="24"/>
        </w:rPr>
        <w:t xml:space="preserve">therefore </w:t>
      </w:r>
      <w:r w:rsidR="008041C3">
        <w:rPr>
          <w:rFonts w:asciiTheme="minorHAnsi" w:hAnsiTheme="minorHAnsi"/>
          <w:sz w:val="24"/>
          <w:szCs w:val="24"/>
        </w:rPr>
        <w:t>advised</w:t>
      </w:r>
      <w:r w:rsidR="002266C9">
        <w:rPr>
          <w:rFonts w:asciiTheme="minorHAnsi" w:hAnsiTheme="minorHAnsi"/>
          <w:sz w:val="24"/>
          <w:szCs w:val="24"/>
        </w:rPr>
        <w:t xml:space="preserve"> that further work was required </w:t>
      </w:r>
      <w:r w:rsidR="00294CAE" w:rsidRPr="002266C9">
        <w:rPr>
          <w:rFonts w:asciiTheme="minorHAnsi" w:hAnsiTheme="minorHAnsi"/>
          <w:sz w:val="24"/>
          <w:szCs w:val="24"/>
        </w:rPr>
        <w:t xml:space="preserve">to determine the </w:t>
      </w:r>
      <w:r w:rsidR="009F6D90">
        <w:rPr>
          <w:rFonts w:asciiTheme="minorHAnsi" w:hAnsiTheme="minorHAnsi"/>
          <w:sz w:val="24"/>
          <w:szCs w:val="24"/>
        </w:rPr>
        <w:t xml:space="preserve">appropriate </w:t>
      </w:r>
      <w:r w:rsidR="001804E7">
        <w:rPr>
          <w:rFonts w:asciiTheme="minorHAnsi" w:hAnsiTheme="minorHAnsi"/>
          <w:sz w:val="24"/>
          <w:szCs w:val="24"/>
        </w:rPr>
        <w:t xml:space="preserve">annual estimates </w:t>
      </w:r>
      <w:r w:rsidR="00294CAE" w:rsidRPr="002266C9">
        <w:rPr>
          <w:rFonts w:asciiTheme="minorHAnsi" w:hAnsiTheme="minorHAnsi"/>
          <w:sz w:val="24"/>
          <w:szCs w:val="24"/>
        </w:rPr>
        <w:t xml:space="preserve">of the </w:t>
      </w:r>
      <w:r w:rsidR="002B1E83">
        <w:rPr>
          <w:rFonts w:asciiTheme="minorHAnsi" w:hAnsiTheme="minorHAnsi"/>
          <w:sz w:val="24"/>
          <w:szCs w:val="24"/>
        </w:rPr>
        <w:t xml:space="preserve">overall </w:t>
      </w:r>
      <w:r w:rsidR="00294CAE" w:rsidRPr="002266C9">
        <w:rPr>
          <w:rFonts w:asciiTheme="minorHAnsi" w:hAnsiTheme="minorHAnsi"/>
          <w:sz w:val="24"/>
          <w:szCs w:val="24"/>
        </w:rPr>
        <w:t>patient population eligible for treatment with pembrolizumab</w:t>
      </w:r>
      <w:r w:rsidR="00294CAE">
        <w:rPr>
          <w:rFonts w:asciiTheme="minorHAnsi" w:hAnsiTheme="minorHAnsi"/>
          <w:sz w:val="24"/>
          <w:szCs w:val="24"/>
        </w:rPr>
        <w:t>.</w:t>
      </w:r>
      <w:r w:rsidR="00405657">
        <w:rPr>
          <w:rFonts w:asciiTheme="minorHAnsi" w:hAnsiTheme="minorHAnsi"/>
          <w:sz w:val="24"/>
          <w:szCs w:val="24"/>
        </w:rPr>
        <w:t xml:space="preserve"> The PBAC </w:t>
      </w:r>
      <w:r w:rsidR="008041C3">
        <w:rPr>
          <w:rFonts w:asciiTheme="minorHAnsi" w:hAnsiTheme="minorHAnsi"/>
          <w:sz w:val="24"/>
          <w:szCs w:val="24"/>
        </w:rPr>
        <w:t xml:space="preserve">further suggested </w:t>
      </w:r>
      <w:r w:rsidR="00405657">
        <w:rPr>
          <w:rFonts w:asciiTheme="minorHAnsi" w:hAnsiTheme="minorHAnsi"/>
          <w:sz w:val="24"/>
          <w:szCs w:val="24"/>
        </w:rPr>
        <w:t xml:space="preserve">that the </w:t>
      </w:r>
      <w:r w:rsidR="008041C3">
        <w:rPr>
          <w:rFonts w:asciiTheme="minorHAnsi" w:hAnsiTheme="minorHAnsi"/>
          <w:sz w:val="24"/>
          <w:szCs w:val="24"/>
        </w:rPr>
        <w:t xml:space="preserve">input </w:t>
      </w:r>
      <w:r w:rsidR="00405657">
        <w:rPr>
          <w:rFonts w:asciiTheme="minorHAnsi" w:hAnsiTheme="minorHAnsi"/>
          <w:sz w:val="24"/>
          <w:szCs w:val="24"/>
        </w:rPr>
        <w:t>of its Drug Utilisatio</w:t>
      </w:r>
      <w:r w:rsidR="009F6D90">
        <w:rPr>
          <w:rFonts w:asciiTheme="minorHAnsi" w:hAnsiTheme="minorHAnsi"/>
          <w:sz w:val="24"/>
          <w:szCs w:val="24"/>
        </w:rPr>
        <w:t>n Subcommittee may be required</w:t>
      </w:r>
      <w:r w:rsidR="001804E7">
        <w:rPr>
          <w:rFonts w:asciiTheme="minorHAnsi" w:hAnsiTheme="minorHAnsi"/>
          <w:sz w:val="24"/>
          <w:szCs w:val="24"/>
        </w:rPr>
        <w:t xml:space="preserve"> on these estimates</w:t>
      </w:r>
      <w:r w:rsidR="009F6D90">
        <w:rPr>
          <w:rFonts w:asciiTheme="minorHAnsi" w:hAnsiTheme="minorHAnsi"/>
          <w:sz w:val="24"/>
          <w:szCs w:val="24"/>
        </w:rPr>
        <w:t>.</w:t>
      </w:r>
    </w:p>
    <w:p w:rsidR="00FF49D4" w:rsidRDefault="00405657" w:rsidP="002266C9">
      <w:pPr>
        <w:pStyle w:val="ListParagraph"/>
        <w:widowControl/>
        <w:numPr>
          <w:ilvl w:val="1"/>
          <w:numId w:val="5"/>
        </w:numPr>
        <w:spacing w:after="120"/>
        <w:contextualSpacing w:val="0"/>
        <w:rPr>
          <w:rFonts w:asciiTheme="minorHAnsi" w:hAnsiTheme="minorHAnsi"/>
          <w:sz w:val="24"/>
          <w:szCs w:val="24"/>
        </w:rPr>
      </w:pPr>
      <w:r w:rsidRPr="002266C9">
        <w:rPr>
          <w:rFonts w:asciiTheme="minorHAnsi" w:hAnsiTheme="minorHAnsi"/>
          <w:sz w:val="24"/>
          <w:szCs w:val="24"/>
        </w:rPr>
        <w:t xml:space="preserve">Given the uncertainty around the estimated extent of utilisation, the PBAC </w:t>
      </w:r>
      <w:r w:rsidR="00364D25">
        <w:rPr>
          <w:rFonts w:asciiTheme="minorHAnsi" w:hAnsiTheme="minorHAnsi"/>
          <w:sz w:val="24"/>
          <w:szCs w:val="24"/>
        </w:rPr>
        <w:t xml:space="preserve">would prefer greater confidence </w:t>
      </w:r>
      <w:r w:rsidRPr="002266C9">
        <w:rPr>
          <w:rFonts w:asciiTheme="minorHAnsi" w:hAnsiTheme="minorHAnsi"/>
          <w:sz w:val="24"/>
          <w:szCs w:val="24"/>
        </w:rPr>
        <w:t>that the cost per patient of pembrolizumab is acceptably cost-effective</w:t>
      </w:r>
      <w:r>
        <w:rPr>
          <w:rFonts w:asciiTheme="minorHAnsi" w:hAnsiTheme="minorHAnsi"/>
          <w:sz w:val="24"/>
          <w:szCs w:val="24"/>
        </w:rPr>
        <w:t xml:space="preserve">. The </w:t>
      </w:r>
      <w:r w:rsidRPr="002266C9">
        <w:rPr>
          <w:rFonts w:asciiTheme="minorHAnsi" w:hAnsiTheme="minorHAnsi"/>
          <w:sz w:val="24"/>
          <w:szCs w:val="24"/>
        </w:rPr>
        <w:t xml:space="preserve">PBAC advised that a further price reduction would </w:t>
      </w:r>
      <w:r w:rsidR="00364D25">
        <w:rPr>
          <w:rFonts w:asciiTheme="minorHAnsi" w:hAnsiTheme="minorHAnsi"/>
          <w:sz w:val="24"/>
          <w:szCs w:val="24"/>
        </w:rPr>
        <w:t xml:space="preserve">help </w:t>
      </w:r>
      <w:r w:rsidR="00FF49D4">
        <w:rPr>
          <w:rFonts w:asciiTheme="minorHAnsi" w:hAnsiTheme="minorHAnsi"/>
          <w:sz w:val="24"/>
          <w:szCs w:val="24"/>
        </w:rPr>
        <w:t xml:space="preserve">minimise the indirect, uncertain and delayed reliance on exceeding expenditure caps to achieve cost effectiveness. However, the PBAC could not reach a final conclusion on this aspect until the respecified basis of the economic model resulting in a revised ICER of </w:t>
      </w:r>
      <w:r w:rsidR="007E0B2A">
        <w:rPr>
          <w:rFonts w:asciiTheme="minorHAnsi" w:hAnsiTheme="minorHAnsi"/>
          <w:sz w:val="24"/>
          <w:szCs w:val="24"/>
        </w:rPr>
        <w:t>$45,000/QALY - $75,000/QALY</w:t>
      </w:r>
      <w:r w:rsidR="00FF49D4">
        <w:rPr>
          <w:rFonts w:asciiTheme="minorHAnsi" w:hAnsiTheme="minorHAnsi"/>
          <w:sz w:val="24"/>
          <w:szCs w:val="24"/>
        </w:rPr>
        <w:t xml:space="preserve"> could be further adjusted to address the residual modelling uncertainties noted in paragraphs 6.5 and 6.6.</w:t>
      </w:r>
    </w:p>
    <w:p w:rsidR="00405657" w:rsidRPr="002266C9" w:rsidRDefault="00FF49D4" w:rsidP="002266C9">
      <w:pPr>
        <w:pStyle w:val="ListParagraph"/>
        <w:widowControl/>
        <w:numPr>
          <w:ilvl w:val="1"/>
          <w:numId w:val="5"/>
        </w:numPr>
        <w:spacing w:after="120"/>
        <w:contextualSpacing w:val="0"/>
        <w:rPr>
          <w:rFonts w:asciiTheme="minorHAnsi" w:hAnsiTheme="minorHAnsi"/>
          <w:sz w:val="24"/>
          <w:szCs w:val="24"/>
        </w:rPr>
      </w:pPr>
      <w:r>
        <w:rPr>
          <w:rFonts w:asciiTheme="minorHAnsi" w:hAnsiTheme="minorHAnsi"/>
          <w:sz w:val="24"/>
          <w:szCs w:val="24"/>
        </w:rPr>
        <w:t>In addition</w:t>
      </w:r>
      <w:r w:rsidR="00405657">
        <w:rPr>
          <w:rFonts w:asciiTheme="minorHAnsi" w:hAnsiTheme="minorHAnsi"/>
          <w:sz w:val="24"/>
          <w:szCs w:val="24"/>
        </w:rPr>
        <w:t xml:space="preserve">, the PBAC also advised that a risk sharing arrangement would </w:t>
      </w:r>
      <w:r>
        <w:rPr>
          <w:rFonts w:asciiTheme="minorHAnsi" w:hAnsiTheme="minorHAnsi"/>
          <w:sz w:val="24"/>
          <w:szCs w:val="24"/>
        </w:rPr>
        <w:t xml:space="preserve">also </w:t>
      </w:r>
      <w:r w:rsidR="00405657">
        <w:rPr>
          <w:rFonts w:asciiTheme="minorHAnsi" w:hAnsiTheme="minorHAnsi"/>
          <w:sz w:val="24"/>
          <w:szCs w:val="24"/>
        </w:rPr>
        <w:t xml:space="preserve">be required to mitigate the overall </w:t>
      </w:r>
      <w:r w:rsidR="009F6D90">
        <w:rPr>
          <w:rFonts w:asciiTheme="minorHAnsi" w:hAnsiTheme="minorHAnsi"/>
          <w:sz w:val="24"/>
          <w:szCs w:val="24"/>
        </w:rPr>
        <w:t>budgetary</w:t>
      </w:r>
      <w:r w:rsidR="0007574E">
        <w:rPr>
          <w:rFonts w:asciiTheme="minorHAnsi" w:hAnsiTheme="minorHAnsi"/>
          <w:sz w:val="24"/>
          <w:szCs w:val="24"/>
        </w:rPr>
        <w:t xml:space="preserve"> risk to Government.</w:t>
      </w:r>
    </w:p>
    <w:p w:rsidR="008C1DCA" w:rsidRPr="00525B39" w:rsidRDefault="008C1DCA" w:rsidP="008C1DCA">
      <w:pPr>
        <w:spacing w:before="240"/>
        <w:jc w:val="both"/>
        <w:rPr>
          <w:rFonts w:asciiTheme="minorHAnsi" w:hAnsiTheme="minorHAnsi" w:cs="Arial"/>
          <w:b/>
          <w:bCs/>
          <w:snapToGrid w:val="0"/>
          <w:lang w:val="en-GB"/>
        </w:rPr>
      </w:pPr>
      <w:r w:rsidRPr="00525B39">
        <w:rPr>
          <w:rFonts w:asciiTheme="minorHAnsi" w:hAnsiTheme="minorHAnsi" w:cs="Arial"/>
          <w:b/>
          <w:bCs/>
          <w:snapToGrid w:val="0"/>
          <w:lang w:val="en-GB"/>
        </w:rPr>
        <w:t>Outcome:</w:t>
      </w:r>
    </w:p>
    <w:p w:rsidR="00563ED2" w:rsidRPr="00525B39" w:rsidRDefault="00032BDB" w:rsidP="008C1DCA">
      <w:pPr>
        <w:jc w:val="both"/>
        <w:rPr>
          <w:rFonts w:asciiTheme="minorHAnsi" w:hAnsiTheme="minorHAnsi" w:cs="Arial"/>
          <w:bCs/>
          <w:snapToGrid w:val="0"/>
          <w:lang w:val="en-GB"/>
        </w:rPr>
      </w:pPr>
      <w:r>
        <w:rPr>
          <w:rFonts w:asciiTheme="minorHAnsi" w:hAnsiTheme="minorHAnsi" w:cs="Arial"/>
          <w:bCs/>
          <w:snapToGrid w:val="0"/>
          <w:lang w:val="en-GB"/>
        </w:rPr>
        <w:t>Deferred</w:t>
      </w:r>
    </w:p>
    <w:p w:rsidR="00563ED2" w:rsidRPr="00C07617" w:rsidRDefault="00563ED2" w:rsidP="00563ED2">
      <w:pPr>
        <w:pStyle w:val="Heading1"/>
        <w:keepNext/>
        <w:keepLines/>
        <w:widowControl/>
        <w:numPr>
          <w:ilvl w:val="0"/>
          <w:numId w:val="14"/>
        </w:numPr>
        <w:spacing w:before="240" w:after="120"/>
        <w:ind w:left="709" w:hanging="709"/>
        <w:contextualSpacing w:val="0"/>
        <w:jc w:val="left"/>
        <w:rPr>
          <w:rFonts w:asciiTheme="minorHAnsi" w:hAnsiTheme="minorHAnsi"/>
          <w:b w:val="0"/>
          <w:sz w:val="32"/>
        </w:rPr>
      </w:pPr>
      <w:r w:rsidRPr="002E4454">
        <w:rPr>
          <w:rFonts w:asciiTheme="minorHAnsi" w:hAnsiTheme="minorHAnsi"/>
          <w:bCs/>
          <w:sz w:val="32"/>
        </w:rPr>
        <w:t>Context</w:t>
      </w:r>
      <w:r w:rsidRPr="00C07617">
        <w:rPr>
          <w:rFonts w:asciiTheme="minorHAnsi" w:hAnsiTheme="minorHAnsi"/>
          <w:sz w:val="32"/>
        </w:rPr>
        <w:t xml:space="preserve"> for Decision</w:t>
      </w:r>
    </w:p>
    <w:p w:rsidR="00563ED2" w:rsidRPr="00C07617" w:rsidRDefault="00563ED2" w:rsidP="00563ED2">
      <w:pPr>
        <w:jc w:val="both"/>
        <w:rPr>
          <w:rFonts w:asciiTheme="minorHAnsi" w:hAnsiTheme="minorHAnsi" w:cs="Arial"/>
        </w:rPr>
      </w:pPr>
      <w:r w:rsidRPr="00C07617">
        <w:rPr>
          <w:rFonts w:asciiTheme="minorHAnsi" w:hAnsiTheme="minorHAnsi"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563ED2" w:rsidRPr="00C07617" w:rsidRDefault="00563ED2" w:rsidP="00563ED2">
      <w:pPr>
        <w:pStyle w:val="Heading1"/>
        <w:keepNext/>
        <w:keepLines/>
        <w:widowControl/>
        <w:numPr>
          <w:ilvl w:val="0"/>
          <w:numId w:val="14"/>
        </w:numPr>
        <w:spacing w:before="240" w:after="120"/>
        <w:ind w:left="709" w:hanging="709"/>
        <w:contextualSpacing w:val="0"/>
        <w:jc w:val="left"/>
        <w:rPr>
          <w:rFonts w:asciiTheme="minorHAnsi" w:hAnsiTheme="minorHAnsi"/>
          <w:b w:val="0"/>
          <w:sz w:val="32"/>
        </w:rPr>
      </w:pPr>
      <w:r w:rsidRPr="00C07617">
        <w:rPr>
          <w:rFonts w:asciiTheme="minorHAnsi" w:hAnsiTheme="minorHAnsi"/>
          <w:sz w:val="32"/>
        </w:rPr>
        <w:t xml:space="preserve"> </w:t>
      </w:r>
      <w:r>
        <w:rPr>
          <w:rFonts w:asciiTheme="minorHAnsi" w:hAnsiTheme="minorHAnsi"/>
          <w:sz w:val="32"/>
        </w:rPr>
        <w:t>Sponsor’s Comment</w:t>
      </w:r>
    </w:p>
    <w:p w:rsidR="00563ED2" w:rsidRPr="00525B39" w:rsidRDefault="00563ED2" w:rsidP="00563ED2">
      <w:pPr>
        <w:widowControl w:val="0"/>
        <w:jc w:val="both"/>
        <w:rPr>
          <w:rFonts w:asciiTheme="minorHAnsi" w:hAnsiTheme="minorHAnsi" w:cs="Arial"/>
          <w:bCs/>
          <w:snapToGrid w:val="0"/>
        </w:rPr>
      </w:pPr>
      <w:r w:rsidRPr="00E255F4">
        <w:rPr>
          <w:rFonts w:asciiTheme="minorHAnsi" w:hAnsiTheme="minorHAnsi" w:cs="Arial"/>
          <w:bCs/>
          <w:snapToGrid w:val="0"/>
        </w:rPr>
        <w:t>The sponsor had no comment.</w:t>
      </w:r>
    </w:p>
    <w:p w:rsidR="008C1DCA" w:rsidRPr="00525B39" w:rsidRDefault="008C1DCA" w:rsidP="008C1DCA">
      <w:pPr>
        <w:widowControl w:val="0"/>
        <w:jc w:val="both"/>
        <w:rPr>
          <w:rFonts w:asciiTheme="minorHAnsi" w:hAnsiTheme="minorHAnsi" w:cs="Arial"/>
          <w:b/>
          <w:bCs/>
          <w:snapToGrid w:val="0"/>
        </w:rPr>
      </w:pPr>
    </w:p>
    <w:sectPr w:rsidR="008C1DCA" w:rsidRPr="00525B39" w:rsidSect="000E6B16">
      <w:pgSz w:w="11906" w:h="16838"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4DA" w:rsidRDefault="00E964DA">
      <w:r>
        <w:separator/>
      </w:r>
    </w:p>
    <w:p w:rsidR="00E964DA" w:rsidRDefault="00E964DA"/>
  </w:endnote>
  <w:endnote w:type="continuationSeparator" w:id="0">
    <w:p w:rsidR="00E964DA" w:rsidRDefault="00E964DA">
      <w:r>
        <w:continuationSeparator/>
      </w:r>
    </w:p>
    <w:p w:rsidR="00E964DA" w:rsidRDefault="00E964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2E6857" w:rsidTr="005A3173">
      <w:trPr>
        <w:trHeight w:val="151"/>
      </w:trPr>
      <w:tc>
        <w:tcPr>
          <w:tcW w:w="2250" w:type="pct"/>
          <w:tcBorders>
            <w:top w:val="nil"/>
            <w:left w:val="nil"/>
            <w:bottom w:val="single" w:sz="4" w:space="0" w:color="4F81BD"/>
            <w:right w:val="nil"/>
          </w:tcBorders>
        </w:tcPr>
        <w:p w:rsidR="002E6857" w:rsidRPr="005A3173" w:rsidRDefault="002E6857" w:rsidP="005A3173">
          <w:pPr>
            <w:pStyle w:val="Header"/>
            <w:spacing w:line="276" w:lineRule="auto"/>
            <w:rPr>
              <w:rFonts w:ascii="Calibri" w:eastAsia="MS Gothic" w:hAnsi="Calibri"/>
              <w:b/>
              <w:bCs/>
              <w:color w:val="4F81BD"/>
            </w:rPr>
          </w:pPr>
        </w:p>
      </w:tc>
      <w:tc>
        <w:tcPr>
          <w:tcW w:w="500" w:type="pct"/>
          <w:vMerge w:val="restart"/>
          <w:noWrap/>
          <w:vAlign w:val="center"/>
          <w:hideMark/>
        </w:tcPr>
        <w:p w:rsidR="002E6857" w:rsidRPr="005A3173" w:rsidRDefault="002E685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2E6857" w:rsidRPr="005A3173" w:rsidRDefault="002E6857" w:rsidP="005A3173">
          <w:pPr>
            <w:pStyle w:val="Header"/>
            <w:spacing w:line="276" w:lineRule="auto"/>
            <w:rPr>
              <w:rFonts w:ascii="Calibri" w:eastAsia="MS Gothic" w:hAnsi="Calibri"/>
              <w:b/>
              <w:bCs/>
              <w:color w:val="4F81BD"/>
            </w:rPr>
          </w:pPr>
        </w:p>
      </w:tc>
    </w:tr>
    <w:tr w:rsidR="002E6857" w:rsidTr="005A3173">
      <w:trPr>
        <w:trHeight w:val="150"/>
      </w:trPr>
      <w:tc>
        <w:tcPr>
          <w:tcW w:w="2250" w:type="pct"/>
          <w:tcBorders>
            <w:top w:val="single" w:sz="4" w:space="0" w:color="4F81BD"/>
            <w:left w:val="nil"/>
            <w:bottom w:val="nil"/>
            <w:right w:val="nil"/>
          </w:tcBorders>
        </w:tcPr>
        <w:p w:rsidR="002E6857" w:rsidRPr="005A3173" w:rsidRDefault="002E6857" w:rsidP="005A3173">
          <w:pPr>
            <w:pStyle w:val="Header"/>
            <w:spacing w:line="276" w:lineRule="auto"/>
            <w:rPr>
              <w:rFonts w:ascii="Calibri" w:eastAsia="MS Gothic" w:hAnsi="Calibri"/>
              <w:b/>
              <w:bCs/>
              <w:color w:val="4F81BD"/>
            </w:rPr>
          </w:pPr>
        </w:p>
      </w:tc>
      <w:tc>
        <w:tcPr>
          <w:tcW w:w="0" w:type="auto"/>
          <w:vMerge/>
          <w:vAlign w:val="center"/>
          <w:hideMark/>
        </w:tcPr>
        <w:p w:rsidR="002E6857" w:rsidRPr="005A3173" w:rsidRDefault="002E6857" w:rsidP="005A3173">
          <w:pPr>
            <w:rPr>
              <w:rFonts w:ascii="Calibri" w:hAnsi="Calibri"/>
              <w:color w:val="365F91"/>
              <w:sz w:val="22"/>
              <w:szCs w:val="22"/>
            </w:rPr>
          </w:pPr>
        </w:p>
      </w:tc>
      <w:tc>
        <w:tcPr>
          <w:tcW w:w="2250" w:type="pct"/>
          <w:tcBorders>
            <w:top w:val="single" w:sz="4" w:space="0" w:color="4F81BD"/>
            <w:left w:val="nil"/>
            <w:bottom w:val="nil"/>
            <w:right w:val="nil"/>
          </w:tcBorders>
        </w:tcPr>
        <w:p w:rsidR="002E6857" w:rsidRPr="005A3173" w:rsidRDefault="002E6857" w:rsidP="005A3173">
          <w:pPr>
            <w:pStyle w:val="Header"/>
            <w:spacing w:line="276" w:lineRule="auto"/>
            <w:rPr>
              <w:rFonts w:ascii="Calibri" w:eastAsia="MS Gothic" w:hAnsi="Calibri"/>
              <w:b/>
              <w:bCs/>
              <w:color w:val="4F81BD"/>
            </w:rPr>
          </w:pPr>
        </w:p>
      </w:tc>
    </w:tr>
  </w:tbl>
  <w:p w:rsidR="002E6857" w:rsidRDefault="002E6857"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E6857" w:rsidRDefault="002E6857">
    <w:pPr>
      <w:pStyle w:val="Footer"/>
    </w:pPr>
  </w:p>
  <w:p w:rsidR="002E6857" w:rsidRDefault="002E685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857" w:rsidRDefault="002E6857" w:rsidP="00EF44A0">
    <w:pPr>
      <w:pStyle w:val="Footer"/>
      <w:jc w:val="center"/>
      <w:rPr>
        <w:rFonts w:ascii="Arial" w:hAnsi="Arial" w:cs="Arial"/>
        <w:b/>
        <w:sz w:val="20"/>
        <w:szCs w:val="20"/>
      </w:rPr>
    </w:pPr>
  </w:p>
  <w:p w:rsidR="002E6857" w:rsidRPr="00F90A91" w:rsidRDefault="002E6857" w:rsidP="008C6270">
    <w:pPr>
      <w:pStyle w:val="Footer"/>
      <w:ind w:left="360"/>
      <w:jc w:val="center"/>
      <w:rPr>
        <w:rFonts w:ascii="Calibri" w:hAnsi="Calibri" w:cs="Arial"/>
        <w:b/>
        <w:sz w:val="20"/>
      </w:rPr>
    </w:pPr>
    <w:r w:rsidRPr="00F90A91">
      <w:rPr>
        <w:rFonts w:ascii="Calibri" w:hAnsi="Calibri" w:cs="Arial"/>
        <w:b/>
        <w:sz w:val="20"/>
      </w:rPr>
      <w:fldChar w:fldCharType="begin"/>
    </w:r>
    <w:r w:rsidRPr="00F90A91">
      <w:rPr>
        <w:rFonts w:ascii="Calibri" w:hAnsi="Calibri" w:cs="Arial"/>
        <w:b/>
        <w:sz w:val="20"/>
      </w:rPr>
      <w:instrText xml:space="preserve"> PAGE   \* MERGEFORMAT </w:instrText>
    </w:r>
    <w:r w:rsidRPr="00F90A91">
      <w:rPr>
        <w:rFonts w:ascii="Calibri" w:hAnsi="Calibri" w:cs="Arial"/>
        <w:b/>
        <w:sz w:val="20"/>
      </w:rPr>
      <w:fldChar w:fldCharType="separate"/>
    </w:r>
    <w:r w:rsidR="00E964DA">
      <w:rPr>
        <w:rFonts w:ascii="Calibri" w:hAnsi="Calibri" w:cs="Arial"/>
        <w:b/>
        <w:noProof/>
        <w:sz w:val="20"/>
      </w:rPr>
      <w:t>8</w:t>
    </w:r>
    <w:r w:rsidRPr="00F90A91">
      <w:rPr>
        <w:rFonts w:ascii="Calibri" w:hAnsi="Calibri" w:cs="Arial"/>
        <w:b/>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2E6857" w:rsidTr="005A3173">
      <w:trPr>
        <w:trHeight w:val="151"/>
      </w:trPr>
      <w:tc>
        <w:tcPr>
          <w:tcW w:w="2250" w:type="pct"/>
          <w:tcBorders>
            <w:top w:val="nil"/>
            <w:left w:val="nil"/>
            <w:bottom w:val="single" w:sz="4" w:space="0" w:color="4F81BD"/>
            <w:right w:val="nil"/>
          </w:tcBorders>
        </w:tcPr>
        <w:p w:rsidR="002E6857" w:rsidRPr="005A3173" w:rsidRDefault="002E6857" w:rsidP="005A3173">
          <w:pPr>
            <w:pStyle w:val="Header"/>
            <w:spacing w:line="276" w:lineRule="auto"/>
            <w:rPr>
              <w:rFonts w:ascii="Calibri" w:eastAsia="MS Gothic" w:hAnsi="Calibri"/>
              <w:b/>
              <w:bCs/>
              <w:color w:val="4F81BD"/>
            </w:rPr>
          </w:pPr>
        </w:p>
      </w:tc>
      <w:tc>
        <w:tcPr>
          <w:tcW w:w="500" w:type="pct"/>
          <w:vMerge w:val="restart"/>
          <w:noWrap/>
          <w:vAlign w:val="center"/>
          <w:hideMark/>
        </w:tcPr>
        <w:p w:rsidR="002E6857" w:rsidRPr="005A3173" w:rsidRDefault="002E685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2E6857" w:rsidRPr="005A3173" w:rsidRDefault="002E6857" w:rsidP="005A3173">
          <w:pPr>
            <w:pStyle w:val="Header"/>
            <w:spacing w:line="276" w:lineRule="auto"/>
            <w:rPr>
              <w:rFonts w:ascii="Calibri" w:eastAsia="MS Gothic" w:hAnsi="Calibri"/>
              <w:b/>
              <w:bCs/>
              <w:color w:val="4F81BD"/>
            </w:rPr>
          </w:pPr>
        </w:p>
      </w:tc>
    </w:tr>
    <w:tr w:rsidR="002E6857" w:rsidTr="005A3173">
      <w:trPr>
        <w:trHeight w:val="150"/>
      </w:trPr>
      <w:tc>
        <w:tcPr>
          <w:tcW w:w="2250" w:type="pct"/>
          <w:tcBorders>
            <w:top w:val="single" w:sz="4" w:space="0" w:color="4F81BD"/>
            <w:left w:val="nil"/>
            <w:bottom w:val="nil"/>
            <w:right w:val="nil"/>
          </w:tcBorders>
        </w:tcPr>
        <w:p w:rsidR="002E6857" w:rsidRPr="005A3173" w:rsidRDefault="002E6857" w:rsidP="005A3173">
          <w:pPr>
            <w:pStyle w:val="Header"/>
            <w:spacing w:line="276" w:lineRule="auto"/>
            <w:rPr>
              <w:rFonts w:ascii="Calibri" w:eastAsia="MS Gothic" w:hAnsi="Calibri"/>
              <w:b/>
              <w:bCs/>
              <w:color w:val="4F81BD"/>
            </w:rPr>
          </w:pPr>
        </w:p>
      </w:tc>
      <w:tc>
        <w:tcPr>
          <w:tcW w:w="0" w:type="auto"/>
          <w:vMerge/>
          <w:vAlign w:val="center"/>
          <w:hideMark/>
        </w:tcPr>
        <w:p w:rsidR="002E6857" w:rsidRPr="005A3173" w:rsidRDefault="002E6857" w:rsidP="005A3173">
          <w:pPr>
            <w:rPr>
              <w:rFonts w:ascii="Calibri" w:hAnsi="Calibri"/>
              <w:color w:val="365F91"/>
              <w:sz w:val="22"/>
              <w:szCs w:val="22"/>
            </w:rPr>
          </w:pPr>
        </w:p>
      </w:tc>
      <w:tc>
        <w:tcPr>
          <w:tcW w:w="2250" w:type="pct"/>
          <w:tcBorders>
            <w:top w:val="single" w:sz="4" w:space="0" w:color="4F81BD"/>
            <w:left w:val="nil"/>
            <w:bottom w:val="nil"/>
            <w:right w:val="nil"/>
          </w:tcBorders>
        </w:tcPr>
        <w:p w:rsidR="002E6857" w:rsidRPr="005A3173" w:rsidRDefault="002E6857"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2E6857" w:rsidTr="005A3173">
      <w:trPr>
        <w:trHeight w:val="151"/>
      </w:trPr>
      <w:tc>
        <w:tcPr>
          <w:tcW w:w="2250" w:type="pct"/>
          <w:tcBorders>
            <w:top w:val="nil"/>
            <w:left w:val="nil"/>
            <w:bottom w:val="single" w:sz="4" w:space="0" w:color="4F81BD"/>
            <w:right w:val="nil"/>
          </w:tcBorders>
        </w:tcPr>
        <w:p w:rsidR="002E6857" w:rsidRPr="005A3173" w:rsidRDefault="002E6857" w:rsidP="005A3173">
          <w:pPr>
            <w:pStyle w:val="Header"/>
            <w:spacing w:line="276" w:lineRule="auto"/>
            <w:rPr>
              <w:rFonts w:ascii="Calibri" w:eastAsia="MS Gothic" w:hAnsi="Calibri"/>
              <w:b/>
              <w:bCs/>
              <w:color w:val="4F81BD"/>
            </w:rPr>
          </w:pPr>
        </w:p>
      </w:tc>
      <w:tc>
        <w:tcPr>
          <w:tcW w:w="500" w:type="pct"/>
          <w:vMerge w:val="restart"/>
          <w:noWrap/>
          <w:vAlign w:val="center"/>
          <w:hideMark/>
        </w:tcPr>
        <w:p w:rsidR="002E6857" w:rsidRPr="005A3173" w:rsidRDefault="002E685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2E6857" w:rsidRPr="005A3173" w:rsidRDefault="002E6857" w:rsidP="005A3173">
          <w:pPr>
            <w:pStyle w:val="Header"/>
            <w:spacing w:line="276" w:lineRule="auto"/>
            <w:rPr>
              <w:rFonts w:ascii="Calibri" w:eastAsia="MS Gothic" w:hAnsi="Calibri"/>
              <w:b/>
              <w:bCs/>
              <w:color w:val="4F81BD"/>
            </w:rPr>
          </w:pPr>
        </w:p>
      </w:tc>
    </w:tr>
    <w:tr w:rsidR="002E6857" w:rsidTr="005A3173">
      <w:trPr>
        <w:trHeight w:val="150"/>
      </w:trPr>
      <w:tc>
        <w:tcPr>
          <w:tcW w:w="2250" w:type="pct"/>
          <w:tcBorders>
            <w:top w:val="single" w:sz="4" w:space="0" w:color="4F81BD"/>
            <w:left w:val="nil"/>
            <w:bottom w:val="nil"/>
            <w:right w:val="nil"/>
          </w:tcBorders>
        </w:tcPr>
        <w:p w:rsidR="002E6857" w:rsidRPr="005A3173" w:rsidRDefault="002E6857" w:rsidP="005A3173">
          <w:pPr>
            <w:pStyle w:val="Header"/>
            <w:spacing w:line="276" w:lineRule="auto"/>
            <w:rPr>
              <w:rFonts w:ascii="Calibri" w:eastAsia="MS Gothic" w:hAnsi="Calibri"/>
              <w:b/>
              <w:bCs/>
              <w:color w:val="4F81BD"/>
            </w:rPr>
          </w:pPr>
        </w:p>
      </w:tc>
      <w:tc>
        <w:tcPr>
          <w:tcW w:w="0" w:type="auto"/>
          <w:vMerge/>
          <w:vAlign w:val="center"/>
          <w:hideMark/>
        </w:tcPr>
        <w:p w:rsidR="002E6857" w:rsidRPr="005A3173" w:rsidRDefault="002E6857" w:rsidP="005A3173">
          <w:pPr>
            <w:rPr>
              <w:rFonts w:ascii="Calibri" w:hAnsi="Calibri"/>
              <w:color w:val="365F91"/>
              <w:sz w:val="22"/>
              <w:szCs w:val="22"/>
            </w:rPr>
          </w:pPr>
        </w:p>
      </w:tc>
      <w:tc>
        <w:tcPr>
          <w:tcW w:w="2250" w:type="pct"/>
          <w:tcBorders>
            <w:top w:val="single" w:sz="4" w:space="0" w:color="4F81BD"/>
            <w:left w:val="nil"/>
            <w:bottom w:val="nil"/>
            <w:right w:val="nil"/>
          </w:tcBorders>
        </w:tcPr>
        <w:p w:rsidR="002E6857" w:rsidRPr="005A3173" w:rsidRDefault="002E6857" w:rsidP="005A3173">
          <w:pPr>
            <w:pStyle w:val="Header"/>
            <w:spacing w:line="276" w:lineRule="auto"/>
            <w:rPr>
              <w:rFonts w:ascii="Calibri" w:eastAsia="MS Gothic" w:hAnsi="Calibri"/>
              <w:b/>
              <w:bCs/>
              <w:color w:val="4F81BD"/>
            </w:rPr>
          </w:pPr>
        </w:p>
      </w:tc>
    </w:tr>
  </w:tbl>
  <w:p w:rsidR="002E6857" w:rsidRPr="007C0F57" w:rsidRDefault="002E6857"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2E6857" w:rsidRPr="007C0F57" w:rsidRDefault="002E6857" w:rsidP="007C0F57">
    <w:pPr>
      <w:pStyle w:val="Footer"/>
      <w:jc w:val="center"/>
      <w:rPr>
        <w:b/>
        <w:i/>
        <w:sz w:val="20"/>
        <w:szCs w:val="20"/>
      </w:rPr>
    </w:pPr>
    <w:r w:rsidRPr="007C0F57">
      <w:rPr>
        <w:b/>
        <w:i/>
        <w:sz w:val="20"/>
        <w:szCs w:val="20"/>
      </w:rPr>
      <w:t>Commercial-in-Confidence</w:t>
    </w:r>
  </w:p>
  <w:p w:rsidR="002E6857" w:rsidRDefault="002E685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4DA" w:rsidRDefault="00E964DA">
      <w:r>
        <w:separator/>
      </w:r>
    </w:p>
    <w:p w:rsidR="00E964DA" w:rsidRDefault="00E964DA"/>
  </w:footnote>
  <w:footnote w:type="continuationSeparator" w:id="0">
    <w:p w:rsidR="00E964DA" w:rsidRDefault="00E964DA">
      <w:r>
        <w:continuationSeparator/>
      </w:r>
    </w:p>
    <w:p w:rsidR="00E964DA" w:rsidRDefault="00E964DA"/>
  </w:footnote>
  <w:footnote w:id="1">
    <w:p w:rsidR="002E6857" w:rsidRDefault="002E6857">
      <w:pPr>
        <w:pStyle w:val="FootnoteText"/>
      </w:pPr>
      <w:r>
        <w:rPr>
          <w:rStyle w:val="FootnoteReference"/>
        </w:rPr>
        <w:footnoteRef/>
      </w:r>
      <w:r>
        <w:t xml:space="preserve"> </w:t>
      </w:r>
      <w:r w:rsidRPr="007A537A">
        <w:rPr>
          <w:rFonts w:asciiTheme="minorHAnsi" w:hAnsiTheme="minorHAnsi" w:cs="Arial"/>
          <w:bCs/>
          <w:snapToGrid w:val="0"/>
          <w:sz w:val="16"/>
          <w:szCs w:val="24"/>
        </w:rPr>
        <w:t>Cherny NI, Dafni U, Bogaerts J, et al: ESMO-Magnitude of Clinical Benefit Scale version 1.1. Annals of Oncology 28:2340-2366, 2017</w:t>
      </w:r>
    </w:p>
  </w:footnote>
  <w:footnote w:id="2">
    <w:p w:rsidR="002E6857" w:rsidRDefault="002E6857">
      <w:pPr>
        <w:pStyle w:val="FootnoteText"/>
      </w:pPr>
      <w:r>
        <w:rPr>
          <w:rStyle w:val="FootnoteReference"/>
        </w:rPr>
        <w:footnoteRef/>
      </w:r>
      <w:r>
        <w:t xml:space="preserve"> The pembrolizumab November 2017 PBAC Minutes stated the medicine cost per patient per course to be $</w:t>
      </w:r>
      <w:r w:rsidR="00E964DA">
        <w:rPr>
          <w:noProof/>
          <w:color w:val="000000"/>
          <w:highlight w:val="black"/>
        </w:rPr>
        <w:t>''''''''''''''''</w:t>
      </w:r>
      <w:r>
        <w:t xml:space="preserve">, based on an average of </w:t>
      </w:r>
      <w:r w:rsidR="00E964DA">
        <w:rPr>
          <w:noProof/>
          <w:color w:val="000000"/>
          <w:highlight w:val="black"/>
        </w:rPr>
        <w:t>''''''''''''''</w:t>
      </w:r>
      <w:r>
        <w:t xml:space="preserve"> administrations per course (paragraph 6.50). During preparation of the minor overview, it was found that reference to </w:t>
      </w:r>
      <w:r w:rsidR="00E964DA">
        <w:rPr>
          <w:noProof/>
          <w:color w:val="000000"/>
          <w:highlight w:val="black"/>
        </w:rPr>
        <w:t>''''''''''''</w:t>
      </w:r>
      <w:r>
        <w:t xml:space="preserve"> administrations was made in the pembrolizumab November 2017 major resubmission, however, the economic and financial analyses accompanying the resubmission applied </w:t>
      </w:r>
      <w:r w:rsidR="00E964DA">
        <w:rPr>
          <w:noProof/>
          <w:color w:val="000000"/>
          <w:highlight w:val="black"/>
        </w:rPr>
        <w:t>''''''''''''''</w:t>
      </w:r>
      <w:r>
        <w:t xml:space="preserve"> administrations. Therefore, figures provided in this minor overview have updated those provided in the context of the November 2017 major resubmission.</w:t>
      </w:r>
    </w:p>
  </w:footnote>
  <w:footnote w:id="3">
    <w:p w:rsidR="002E6857" w:rsidRDefault="002E6857">
      <w:pPr>
        <w:pStyle w:val="FootnoteText"/>
      </w:pPr>
      <w:r>
        <w:rPr>
          <w:rStyle w:val="FootnoteReference"/>
        </w:rPr>
        <w:footnoteRef/>
      </w:r>
      <w:r>
        <w:t xml:space="preserve"> The minor resubmission used this term to define the population of new and additional pembrolizumab patients who currently would not receive either first- or second-line therapy.</w:t>
      </w:r>
    </w:p>
  </w:footnote>
  <w:footnote w:id="4">
    <w:p w:rsidR="002E6857" w:rsidRDefault="002E6857">
      <w:pPr>
        <w:pStyle w:val="FootnoteText"/>
      </w:pPr>
      <w:r>
        <w:rPr>
          <w:rStyle w:val="FootnoteReference"/>
        </w:rPr>
        <w:footnoteRef/>
      </w:r>
      <w:r>
        <w:t xml:space="preserve"> Table 15 of the pembrolizumab November 2017 PBAC Minutes reported slightly different figures for the net financial implications to the PBS/RPBS. During the preparation of this minor overview, it was found that those figures were based on the November 2017 Commentary. The pembrolizumab PSCR to the November PBAC meeting provided a revised budget impact model, which updated the net PBS estimates in response to that Commentary. The estimates for the net cost to the PBS (for the November 2017 major resubmission) presented in this minor overview are therefore based on the workbook provided with the pembrolizumab November 2017 PSCR, which has been verified to be correct.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2E6857" w:rsidRPr="008E0D90" w:rsidTr="00A06225">
      <w:trPr>
        <w:trHeight w:val="151"/>
      </w:trPr>
      <w:tc>
        <w:tcPr>
          <w:tcW w:w="2389" w:type="pct"/>
          <w:tcBorders>
            <w:top w:val="nil"/>
            <w:left w:val="nil"/>
            <w:bottom w:val="single" w:sz="4" w:space="0" w:color="4F81BD"/>
            <w:right w:val="nil"/>
          </w:tcBorders>
        </w:tcPr>
        <w:p w:rsidR="002E6857" w:rsidRPr="00A06225" w:rsidRDefault="002E6857">
          <w:pPr>
            <w:pStyle w:val="Header"/>
            <w:spacing w:line="276" w:lineRule="auto"/>
            <w:rPr>
              <w:rFonts w:ascii="Cambria" w:eastAsia="MS Gothic" w:hAnsi="Cambria"/>
              <w:b/>
              <w:bCs/>
              <w:color w:val="4F81BD"/>
            </w:rPr>
          </w:pPr>
        </w:p>
      </w:tc>
      <w:tc>
        <w:tcPr>
          <w:tcW w:w="333" w:type="pct"/>
          <w:vMerge w:val="restart"/>
          <w:noWrap/>
          <w:vAlign w:val="center"/>
          <w:hideMark/>
        </w:tcPr>
        <w:p w:rsidR="002E6857" w:rsidRPr="00A06225" w:rsidRDefault="002E6857"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2E6857" w:rsidRPr="00A06225" w:rsidRDefault="002E6857">
          <w:pPr>
            <w:pStyle w:val="Header"/>
            <w:spacing w:line="276" w:lineRule="auto"/>
            <w:rPr>
              <w:rFonts w:ascii="Cambria" w:eastAsia="MS Gothic" w:hAnsi="Cambria"/>
              <w:b/>
              <w:bCs/>
              <w:color w:val="4F81BD"/>
            </w:rPr>
          </w:pPr>
        </w:p>
      </w:tc>
    </w:tr>
    <w:tr w:rsidR="002E6857" w:rsidRPr="008E0D90" w:rsidTr="00A06225">
      <w:trPr>
        <w:trHeight w:val="150"/>
      </w:trPr>
      <w:tc>
        <w:tcPr>
          <w:tcW w:w="2389" w:type="pct"/>
          <w:tcBorders>
            <w:top w:val="single" w:sz="4" w:space="0" w:color="4F81BD"/>
            <w:left w:val="nil"/>
            <w:bottom w:val="nil"/>
            <w:right w:val="nil"/>
          </w:tcBorders>
        </w:tcPr>
        <w:p w:rsidR="002E6857" w:rsidRPr="00A06225" w:rsidRDefault="002E6857">
          <w:pPr>
            <w:pStyle w:val="Header"/>
            <w:spacing w:line="276" w:lineRule="auto"/>
            <w:rPr>
              <w:rFonts w:ascii="Cambria" w:eastAsia="MS Gothic" w:hAnsi="Cambria"/>
              <w:b/>
              <w:bCs/>
              <w:color w:val="4F81BD"/>
            </w:rPr>
          </w:pPr>
        </w:p>
      </w:tc>
      <w:tc>
        <w:tcPr>
          <w:tcW w:w="0" w:type="auto"/>
          <w:vMerge/>
          <w:vAlign w:val="center"/>
          <w:hideMark/>
        </w:tcPr>
        <w:p w:rsidR="002E6857" w:rsidRPr="00A06225" w:rsidRDefault="002E6857">
          <w:pPr>
            <w:rPr>
              <w:rFonts w:ascii="Cambria" w:hAnsi="Cambria"/>
              <w:color w:val="4F81BD"/>
              <w:sz w:val="22"/>
              <w:szCs w:val="22"/>
            </w:rPr>
          </w:pPr>
        </w:p>
      </w:tc>
      <w:tc>
        <w:tcPr>
          <w:tcW w:w="2278" w:type="pct"/>
          <w:tcBorders>
            <w:top w:val="single" w:sz="4" w:space="0" w:color="4F81BD"/>
            <w:left w:val="nil"/>
            <w:bottom w:val="nil"/>
            <w:right w:val="nil"/>
          </w:tcBorders>
        </w:tcPr>
        <w:p w:rsidR="002E6857" w:rsidRPr="00A06225" w:rsidRDefault="002E6857">
          <w:pPr>
            <w:pStyle w:val="Header"/>
            <w:spacing w:line="276" w:lineRule="auto"/>
            <w:rPr>
              <w:rFonts w:ascii="Cambria" w:eastAsia="MS Gothic" w:hAnsi="Cambria"/>
              <w:b/>
              <w:bCs/>
              <w:color w:val="4F81BD"/>
            </w:rPr>
          </w:pPr>
        </w:p>
      </w:tc>
    </w:tr>
  </w:tbl>
  <w:p w:rsidR="002E6857" w:rsidRDefault="002E6857">
    <w:pPr>
      <w:pStyle w:val="Header"/>
    </w:pPr>
  </w:p>
  <w:p w:rsidR="002E6857" w:rsidRDefault="002E685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857" w:rsidRPr="00F90A91" w:rsidRDefault="002E6857" w:rsidP="008C6270">
    <w:pPr>
      <w:pStyle w:val="Header"/>
      <w:ind w:left="360"/>
      <w:jc w:val="center"/>
      <w:rPr>
        <w:rFonts w:asciiTheme="minorHAnsi" w:hAnsiTheme="minorHAnsi" w:cs="Arial"/>
        <w:i/>
        <w:color w:val="808080"/>
        <w:sz w:val="22"/>
      </w:rPr>
    </w:pPr>
    <w:r>
      <w:rPr>
        <w:rFonts w:asciiTheme="minorHAnsi" w:hAnsiTheme="minorHAnsi" w:cs="Arial"/>
        <w:i/>
        <w:color w:val="808080"/>
        <w:sz w:val="22"/>
      </w:rPr>
      <w:t>Public Summary Document</w:t>
    </w:r>
    <w:r w:rsidRPr="00F90A91">
      <w:rPr>
        <w:rFonts w:asciiTheme="minorHAnsi" w:hAnsiTheme="minorHAnsi" w:cs="Arial"/>
        <w:i/>
        <w:color w:val="808080"/>
        <w:sz w:val="22"/>
      </w:rPr>
      <w:t xml:space="preserve"> – </w:t>
    </w:r>
    <w:r>
      <w:rPr>
        <w:rFonts w:asciiTheme="minorHAnsi" w:hAnsiTheme="minorHAnsi" w:cs="Arial"/>
        <w:i/>
        <w:color w:val="808080"/>
        <w:sz w:val="22"/>
      </w:rPr>
      <w:t>March 2018</w:t>
    </w:r>
    <w:r w:rsidRPr="00F90A91">
      <w:rPr>
        <w:rFonts w:asciiTheme="minorHAnsi" w:hAnsiTheme="minorHAnsi" w:cs="Arial"/>
        <w:i/>
        <w:color w:val="808080"/>
        <w:sz w:val="22"/>
      </w:rPr>
      <w:t xml:space="preserve"> PBAC Meeting</w:t>
    </w:r>
  </w:p>
  <w:p w:rsidR="002E6857" w:rsidRDefault="002E6857" w:rsidP="00A128E6">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4DA" w:rsidRDefault="00E964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9">
    <w:nsid w:val="218C32D1"/>
    <w:multiLevelType w:val="multilevel"/>
    <w:tmpl w:val="BEF4288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ABC27F2"/>
    <w:multiLevelType w:val="hybridMultilevel"/>
    <w:tmpl w:val="3BD0F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5340E4"/>
    <w:multiLevelType w:val="hybridMultilevel"/>
    <w:tmpl w:val="79648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D4A5D31"/>
    <w:multiLevelType w:val="hybridMultilevel"/>
    <w:tmpl w:val="BCB2876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C3B06A4"/>
    <w:multiLevelType w:val="hybridMultilevel"/>
    <w:tmpl w:val="8AB0E5E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70B05E6E"/>
    <w:multiLevelType w:val="hybridMultilevel"/>
    <w:tmpl w:val="F5347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84D033C"/>
    <w:multiLevelType w:val="multilevel"/>
    <w:tmpl w:val="8B7A296E"/>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3"/>
  </w:num>
  <w:num w:numId="3">
    <w:abstractNumId w:val="6"/>
  </w:num>
  <w:num w:numId="4">
    <w:abstractNumId w:val="17"/>
  </w:num>
  <w:num w:numId="5">
    <w:abstractNumId w:val="22"/>
  </w:num>
  <w:num w:numId="6">
    <w:abstractNumId w:val="7"/>
  </w:num>
  <w:num w:numId="7">
    <w:abstractNumId w:val="16"/>
  </w:num>
  <w:num w:numId="8">
    <w:abstractNumId w:val="4"/>
  </w:num>
  <w:num w:numId="9">
    <w:abstractNumId w:val="15"/>
  </w:num>
  <w:num w:numId="10">
    <w:abstractNumId w:val="13"/>
  </w:num>
  <w:num w:numId="11">
    <w:abstractNumId w:val="12"/>
  </w:num>
  <w:num w:numId="12">
    <w:abstractNumId w:val="1"/>
  </w:num>
  <w:num w:numId="13">
    <w:abstractNumId w:val="0"/>
  </w:num>
  <w:num w:numId="14">
    <w:abstractNumId w:val="22"/>
  </w:num>
  <w:num w:numId="15">
    <w:abstractNumId w:val="20"/>
  </w:num>
  <w:num w:numId="16">
    <w:abstractNumId w:val="18"/>
  </w:num>
  <w:num w:numId="17">
    <w:abstractNumId w:val="14"/>
  </w:num>
  <w:num w:numId="18">
    <w:abstractNumId w:val="21"/>
  </w:num>
  <w:num w:numId="19">
    <w:abstractNumId w:val="11"/>
  </w:num>
  <w:num w:numId="20">
    <w:abstractNumId w:val="19"/>
  </w:num>
  <w:num w:numId="21">
    <w:abstractNumId w:val="5"/>
  </w:num>
  <w:num w:numId="22">
    <w:abstractNumId w:val="2"/>
  </w:num>
  <w:num w:numId="23">
    <w:abstractNumId w:val="10"/>
  </w:num>
  <w:num w:numId="2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335D"/>
    <w:rsid w:val="00007FE4"/>
    <w:rsid w:val="000129C3"/>
    <w:rsid w:val="000142E2"/>
    <w:rsid w:val="0001726E"/>
    <w:rsid w:val="00021A5D"/>
    <w:rsid w:val="000225D6"/>
    <w:rsid w:val="0002464A"/>
    <w:rsid w:val="000278E6"/>
    <w:rsid w:val="0003106B"/>
    <w:rsid w:val="00032BDB"/>
    <w:rsid w:val="000421A1"/>
    <w:rsid w:val="0004240E"/>
    <w:rsid w:val="00045E26"/>
    <w:rsid w:val="000514B5"/>
    <w:rsid w:val="00053BFF"/>
    <w:rsid w:val="000546F6"/>
    <w:rsid w:val="00060E64"/>
    <w:rsid w:val="00066755"/>
    <w:rsid w:val="00067CDF"/>
    <w:rsid w:val="0007053C"/>
    <w:rsid w:val="000731F9"/>
    <w:rsid w:val="0007574E"/>
    <w:rsid w:val="00075FB9"/>
    <w:rsid w:val="00076CC8"/>
    <w:rsid w:val="00076DBF"/>
    <w:rsid w:val="00077143"/>
    <w:rsid w:val="00082169"/>
    <w:rsid w:val="0008455E"/>
    <w:rsid w:val="00090F67"/>
    <w:rsid w:val="000957D9"/>
    <w:rsid w:val="000969AD"/>
    <w:rsid w:val="000A1018"/>
    <w:rsid w:val="000A69FC"/>
    <w:rsid w:val="000B1503"/>
    <w:rsid w:val="000B32B0"/>
    <w:rsid w:val="000B558D"/>
    <w:rsid w:val="000C3066"/>
    <w:rsid w:val="000C4B1C"/>
    <w:rsid w:val="000C6996"/>
    <w:rsid w:val="000D23BA"/>
    <w:rsid w:val="000D472E"/>
    <w:rsid w:val="000D4A12"/>
    <w:rsid w:val="000D52FD"/>
    <w:rsid w:val="000E06F3"/>
    <w:rsid w:val="000E681E"/>
    <w:rsid w:val="000E6B16"/>
    <w:rsid w:val="000F0003"/>
    <w:rsid w:val="000F0233"/>
    <w:rsid w:val="000F1764"/>
    <w:rsid w:val="000F4E6A"/>
    <w:rsid w:val="000F7FA4"/>
    <w:rsid w:val="00104227"/>
    <w:rsid w:val="001107BF"/>
    <w:rsid w:val="00113772"/>
    <w:rsid w:val="001165FE"/>
    <w:rsid w:val="0012417C"/>
    <w:rsid w:val="00132250"/>
    <w:rsid w:val="00142395"/>
    <w:rsid w:val="00142714"/>
    <w:rsid w:val="001452ED"/>
    <w:rsid w:val="00146BEB"/>
    <w:rsid w:val="0015089A"/>
    <w:rsid w:val="00152AD8"/>
    <w:rsid w:val="00154440"/>
    <w:rsid w:val="00163329"/>
    <w:rsid w:val="00164623"/>
    <w:rsid w:val="00165B64"/>
    <w:rsid w:val="00172E87"/>
    <w:rsid w:val="001804E7"/>
    <w:rsid w:val="001830CE"/>
    <w:rsid w:val="0018636B"/>
    <w:rsid w:val="0018643B"/>
    <w:rsid w:val="00190BE7"/>
    <w:rsid w:val="00196307"/>
    <w:rsid w:val="001A33EA"/>
    <w:rsid w:val="001A56A0"/>
    <w:rsid w:val="001B017F"/>
    <w:rsid w:val="001B0CF5"/>
    <w:rsid w:val="001B1E0B"/>
    <w:rsid w:val="001B2BBC"/>
    <w:rsid w:val="001B4757"/>
    <w:rsid w:val="001B5129"/>
    <w:rsid w:val="001B572F"/>
    <w:rsid w:val="001C1195"/>
    <w:rsid w:val="001C162A"/>
    <w:rsid w:val="001D781D"/>
    <w:rsid w:val="001F1850"/>
    <w:rsid w:val="00203FAC"/>
    <w:rsid w:val="002052CE"/>
    <w:rsid w:val="00213CFB"/>
    <w:rsid w:val="00215A65"/>
    <w:rsid w:val="00217BE1"/>
    <w:rsid w:val="00222B3F"/>
    <w:rsid w:val="002238A3"/>
    <w:rsid w:val="00223F38"/>
    <w:rsid w:val="002266C9"/>
    <w:rsid w:val="002439CE"/>
    <w:rsid w:val="00243ABA"/>
    <w:rsid w:val="00267A78"/>
    <w:rsid w:val="00271BA1"/>
    <w:rsid w:val="002726CD"/>
    <w:rsid w:val="002762FA"/>
    <w:rsid w:val="00277505"/>
    <w:rsid w:val="00284042"/>
    <w:rsid w:val="00291DB4"/>
    <w:rsid w:val="0029458F"/>
    <w:rsid w:val="00294CAE"/>
    <w:rsid w:val="002A104C"/>
    <w:rsid w:val="002A4960"/>
    <w:rsid w:val="002A71E0"/>
    <w:rsid w:val="002B0CF2"/>
    <w:rsid w:val="002B1AE6"/>
    <w:rsid w:val="002B1E83"/>
    <w:rsid w:val="002B2DE8"/>
    <w:rsid w:val="002B30F8"/>
    <w:rsid w:val="002B33CF"/>
    <w:rsid w:val="002B3548"/>
    <w:rsid w:val="002B5596"/>
    <w:rsid w:val="002B68DA"/>
    <w:rsid w:val="002C212F"/>
    <w:rsid w:val="002C27FA"/>
    <w:rsid w:val="002D4543"/>
    <w:rsid w:val="002D5FC3"/>
    <w:rsid w:val="002E3153"/>
    <w:rsid w:val="002E6857"/>
    <w:rsid w:val="002E72CA"/>
    <w:rsid w:val="002F3D4A"/>
    <w:rsid w:val="002F5F97"/>
    <w:rsid w:val="002F7C2E"/>
    <w:rsid w:val="00300AD6"/>
    <w:rsid w:val="0030141D"/>
    <w:rsid w:val="00302C16"/>
    <w:rsid w:val="0030421E"/>
    <w:rsid w:val="00317C6C"/>
    <w:rsid w:val="00324A5F"/>
    <w:rsid w:val="00326E79"/>
    <w:rsid w:val="0033518A"/>
    <w:rsid w:val="003367EF"/>
    <w:rsid w:val="00337438"/>
    <w:rsid w:val="00341AE4"/>
    <w:rsid w:val="00356078"/>
    <w:rsid w:val="00360FED"/>
    <w:rsid w:val="003633DD"/>
    <w:rsid w:val="00364D25"/>
    <w:rsid w:val="003673DC"/>
    <w:rsid w:val="00385F57"/>
    <w:rsid w:val="003872CF"/>
    <w:rsid w:val="0039039B"/>
    <w:rsid w:val="0039782C"/>
    <w:rsid w:val="003A5B4A"/>
    <w:rsid w:val="003A737C"/>
    <w:rsid w:val="003B0266"/>
    <w:rsid w:val="003B140D"/>
    <w:rsid w:val="003B23C5"/>
    <w:rsid w:val="003B2A75"/>
    <w:rsid w:val="003B6124"/>
    <w:rsid w:val="003B6902"/>
    <w:rsid w:val="003B7B75"/>
    <w:rsid w:val="003C0003"/>
    <w:rsid w:val="003C083B"/>
    <w:rsid w:val="003C2FB5"/>
    <w:rsid w:val="003C6F40"/>
    <w:rsid w:val="003D1826"/>
    <w:rsid w:val="003D4651"/>
    <w:rsid w:val="003D4AC4"/>
    <w:rsid w:val="003D63B7"/>
    <w:rsid w:val="003E1E3A"/>
    <w:rsid w:val="003E2EFE"/>
    <w:rsid w:val="003E468B"/>
    <w:rsid w:val="003F3228"/>
    <w:rsid w:val="003F5C8C"/>
    <w:rsid w:val="00405657"/>
    <w:rsid w:val="0040797E"/>
    <w:rsid w:val="00411161"/>
    <w:rsid w:val="00416B6E"/>
    <w:rsid w:val="004252EC"/>
    <w:rsid w:val="00432CDE"/>
    <w:rsid w:val="00437EC2"/>
    <w:rsid w:val="004465BD"/>
    <w:rsid w:val="00451C08"/>
    <w:rsid w:val="004534FB"/>
    <w:rsid w:val="00453574"/>
    <w:rsid w:val="00463DD4"/>
    <w:rsid w:val="0046690B"/>
    <w:rsid w:val="00466ADA"/>
    <w:rsid w:val="0047485F"/>
    <w:rsid w:val="00476245"/>
    <w:rsid w:val="004762C3"/>
    <w:rsid w:val="00482D8C"/>
    <w:rsid w:val="00482DAA"/>
    <w:rsid w:val="00483035"/>
    <w:rsid w:val="00483297"/>
    <w:rsid w:val="004834F8"/>
    <w:rsid w:val="0048378D"/>
    <w:rsid w:val="00485940"/>
    <w:rsid w:val="00496803"/>
    <w:rsid w:val="00497908"/>
    <w:rsid w:val="004A2484"/>
    <w:rsid w:val="004A5A85"/>
    <w:rsid w:val="004A71D1"/>
    <w:rsid w:val="004B5640"/>
    <w:rsid w:val="004C1BD7"/>
    <w:rsid w:val="004C31FE"/>
    <w:rsid w:val="004C691D"/>
    <w:rsid w:val="004C6C07"/>
    <w:rsid w:val="004D5163"/>
    <w:rsid w:val="004E2020"/>
    <w:rsid w:val="004E692D"/>
    <w:rsid w:val="004E7AD5"/>
    <w:rsid w:val="004F3204"/>
    <w:rsid w:val="004F532C"/>
    <w:rsid w:val="00500E75"/>
    <w:rsid w:val="005012E1"/>
    <w:rsid w:val="00501554"/>
    <w:rsid w:val="0051182F"/>
    <w:rsid w:val="00514CD7"/>
    <w:rsid w:val="00521796"/>
    <w:rsid w:val="0052471A"/>
    <w:rsid w:val="00526375"/>
    <w:rsid w:val="00530FDE"/>
    <w:rsid w:val="005319B2"/>
    <w:rsid w:val="00532402"/>
    <w:rsid w:val="00532C74"/>
    <w:rsid w:val="0053361F"/>
    <w:rsid w:val="005336ED"/>
    <w:rsid w:val="005347E9"/>
    <w:rsid w:val="00534D45"/>
    <w:rsid w:val="00534E2E"/>
    <w:rsid w:val="005368F5"/>
    <w:rsid w:val="0053789B"/>
    <w:rsid w:val="00542ED1"/>
    <w:rsid w:val="00544552"/>
    <w:rsid w:val="005549DD"/>
    <w:rsid w:val="00560542"/>
    <w:rsid w:val="00563ED2"/>
    <w:rsid w:val="00565275"/>
    <w:rsid w:val="00565F0F"/>
    <w:rsid w:val="00577C4D"/>
    <w:rsid w:val="00581932"/>
    <w:rsid w:val="005875F5"/>
    <w:rsid w:val="00593B92"/>
    <w:rsid w:val="005963BB"/>
    <w:rsid w:val="00597173"/>
    <w:rsid w:val="005A2D2E"/>
    <w:rsid w:val="005A3173"/>
    <w:rsid w:val="005A3223"/>
    <w:rsid w:val="005A3DA3"/>
    <w:rsid w:val="005A52C4"/>
    <w:rsid w:val="005B1A5B"/>
    <w:rsid w:val="005B5043"/>
    <w:rsid w:val="005B7B62"/>
    <w:rsid w:val="005C453A"/>
    <w:rsid w:val="005D03AB"/>
    <w:rsid w:val="005D3576"/>
    <w:rsid w:val="005D455D"/>
    <w:rsid w:val="005D5017"/>
    <w:rsid w:val="005E1333"/>
    <w:rsid w:val="005F62A4"/>
    <w:rsid w:val="00601A91"/>
    <w:rsid w:val="00602BA3"/>
    <w:rsid w:val="00612E34"/>
    <w:rsid w:val="00614159"/>
    <w:rsid w:val="00617C00"/>
    <w:rsid w:val="00620CE9"/>
    <w:rsid w:val="00620D39"/>
    <w:rsid w:val="006263BF"/>
    <w:rsid w:val="0062748A"/>
    <w:rsid w:val="00630A2C"/>
    <w:rsid w:val="0063682E"/>
    <w:rsid w:val="00641171"/>
    <w:rsid w:val="006436CD"/>
    <w:rsid w:val="00645788"/>
    <w:rsid w:val="0064716C"/>
    <w:rsid w:val="00651169"/>
    <w:rsid w:val="00653D69"/>
    <w:rsid w:val="00655231"/>
    <w:rsid w:val="00657B1D"/>
    <w:rsid w:val="00660757"/>
    <w:rsid w:val="00661833"/>
    <w:rsid w:val="0066298B"/>
    <w:rsid w:val="006670BE"/>
    <w:rsid w:val="00670A76"/>
    <w:rsid w:val="006711AA"/>
    <w:rsid w:val="00672B57"/>
    <w:rsid w:val="00673860"/>
    <w:rsid w:val="00675622"/>
    <w:rsid w:val="0067747D"/>
    <w:rsid w:val="0068183D"/>
    <w:rsid w:val="00684410"/>
    <w:rsid w:val="0068575C"/>
    <w:rsid w:val="006906DB"/>
    <w:rsid w:val="00691E6C"/>
    <w:rsid w:val="00696129"/>
    <w:rsid w:val="00697CF2"/>
    <w:rsid w:val="006A12A5"/>
    <w:rsid w:val="006A15C9"/>
    <w:rsid w:val="006B0D94"/>
    <w:rsid w:val="006B485D"/>
    <w:rsid w:val="006C46FF"/>
    <w:rsid w:val="006C4A8E"/>
    <w:rsid w:val="006C6CBE"/>
    <w:rsid w:val="006C708E"/>
    <w:rsid w:val="006D3E68"/>
    <w:rsid w:val="006D54BB"/>
    <w:rsid w:val="006D6EC7"/>
    <w:rsid w:val="006E5C4A"/>
    <w:rsid w:val="006E6F72"/>
    <w:rsid w:val="006F5125"/>
    <w:rsid w:val="006F6F31"/>
    <w:rsid w:val="00701887"/>
    <w:rsid w:val="00702B6F"/>
    <w:rsid w:val="007055D5"/>
    <w:rsid w:val="0071340B"/>
    <w:rsid w:val="007174BB"/>
    <w:rsid w:val="0072025D"/>
    <w:rsid w:val="007310E6"/>
    <w:rsid w:val="007353D3"/>
    <w:rsid w:val="00736790"/>
    <w:rsid w:val="0074367F"/>
    <w:rsid w:val="00744CF6"/>
    <w:rsid w:val="00745A1E"/>
    <w:rsid w:val="007521BA"/>
    <w:rsid w:val="00752CDE"/>
    <w:rsid w:val="00756A90"/>
    <w:rsid w:val="0076420C"/>
    <w:rsid w:val="007665EB"/>
    <w:rsid w:val="007753C2"/>
    <w:rsid w:val="00782CF2"/>
    <w:rsid w:val="007838B8"/>
    <w:rsid w:val="007867C9"/>
    <w:rsid w:val="00793C1A"/>
    <w:rsid w:val="007A5FE7"/>
    <w:rsid w:val="007C0F57"/>
    <w:rsid w:val="007C40B6"/>
    <w:rsid w:val="007C729F"/>
    <w:rsid w:val="007D0B60"/>
    <w:rsid w:val="007E0B2A"/>
    <w:rsid w:val="007E1D28"/>
    <w:rsid w:val="007E3BD7"/>
    <w:rsid w:val="007E6EB8"/>
    <w:rsid w:val="007F2641"/>
    <w:rsid w:val="007F7C36"/>
    <w:rsid w:val="008012D1"/>
    <w:rsid w:val="008041C3"/>
    <w:rsid w:val="00805724"/>
    <w:rsid w:val="00806261"/>
    <w:rsid w:val="00806796"/>
    <w:rsid w:val="00812475"/>
    <w:rsid w:val="0081466A"/>
    <w:rsid w:val="008151D6"/>
    <w:rsid w:val="00826F6D"/>
    <w:rsid w:val="008306F3"/>
    <w:rsid w:val="00840FB8"/>
    <w:rsid w:val="0084167C"/>
    <w:rsid w:val="00843609"/>
    <w:rsid w:val="00843BD0"/>
    <w:rsid w:val="008516F3"/>
    <w:rsid w:val="00851952"/>
    <w:rsid w:val="00851F1E"/>
    <w:rsid w:val="00856DDD"/>
    <w:rsid w:val="0086196A"/>
    <w:rsid w:val="00863E68"/>
    <w:rsid w:val="0086430E"/>
    <w:rsid w:val="0087205E"/>
    <w:rsid w:val="00873AF7"/>
    <w:rsid w:val="008769DB"/>
    <w:rsid w:val="00877448"/>
    <w:rsid w:val="00877608"/>
    <w:rsid w:val="00882085"/>
    <w:rsid w:val="00883188"/>
    <w:rsid w:val="00884BB4"/>
    <w:rsid w:val="0088784F"/>
    <w:rsid w:val="00891457"/>
    <w:rsid w:val="00895DEA"/>
    <w:rsid w:val="00897D58"/>
    <w:rsid w:val="00897F22"/>
    <w:rsid w:val="008A1430"/>
    <w:rsid w:val="008A1956"/>
    <w:rsid w:val="008A2FCD"/>
    <w:rsid w:val="008A48EC"/>
    <w:rsid w:val="008A4937"/>
    <w:rsid w:val="008A50F1"/>
    <w:rsid w:val="008B261E"/>
    <w:rsid w:val="008C1DCA"/>
    <w:rsid w:val="008C6270"/>
    <w:rsid w:val="008D1B5C"/>
    <w:rsid w:val="008D2340"/>
    <w:rsid w:val="008D3C82"/>
    <w:rsid w:val="008D447E"/>
    <w:rsid w:val="008D7A41"/>
    <w:rsid w:val="008E3680"/>
    <w:rsid w:val="008E5870"/>
    <w:rsid w:val="008F1434"/>
    <w:rsid w:val="008F6251"/>
    <w:rsid w:val="008F6E83"/>
    <w:rsid w:val="008F7355"/>
    <w:rsid w:val="009018EC"/>
    <w:rsid w:val="009067B7"/>
    <w:rsid w:val="0091030A"/>
    <w:rsid w:val="00911A00"/>
    <w:rsid w:val="00925716"/>
    <w:rsid w:val="009303CD"/>
    <w:rsid w:val="00930937"/>
    <w:rsid w:val="00933E6C"/>
    <w:rsid w:val="00937806"/>
    <w:rsid w:val="00937958"/>
    <w:rsid w:val="00942160"/>
    <w:rsid w:val="00945D32"/>
    <w:rsid w:val="0095146F"/>
    <w:rsid w:val="009518B4"/>
    <w:rsid w:val="009602C5"/>
    <w:rsid w:val="00961CA3"/>
    <w:rsid w:val="00962223"/>
    <w:rsid w:val="00966D0D"/>
    <w:rsid w:val="009720E3"/>
    <w:rsid w:val="00974C21"/>
    <w:rsid w:val="00976D85"/>
    <w:rsid w:val="009779FF"/>
    <w:rsid w:val="00982397"/>
    <w:rsid w:val="00982C6D"/>
    <w:rsid w:val="00984960"/>
    <w:rsid w:val="0098684A"/>
    <w:rsid w:val="00987F0D"/>
    <w:rsid w:val="009A4A40"/>
    <w:rsid w:val="009B0F67"/>
    <w:rsid w:val="009C34FB"/>
    <w:rsid w:val="009C4641"/>
    <w:rsid w:val="009C703C"/>
    <w:rsid w:val="009D3CAA"/>
    <w:rsid w:val="009E0AA4"/>
    <w:rsid w:val="009E61A6"/>
    <w:rsid w:val="009F12C6"/>
    <w:rsid w:val="009F4E46"/>
    <w:rsid w:val="009F5B65"/>
    <w:rsid w:val="009F5F2E"/>
    <w:rsid w:val="009F6D90"/>
    <w:rsid w:val="00A02454"/>
    <w:rsid w:val="00A06225"/>
    <w:rsid w:val="00A11609"/>
    <w:rsid w:val="00A1267B"/>
    <w:rsid w:val="00A128E6"/>
    <w:rsid w:val="00A154CD"/>
    <w:rsid w:val="00A34836"/>
    <w:rsid w:val="00A34E6C"/>
    <w:rsid w:val="00A37C8D"/>
    <w:rsid w:val="00A43BB0"/>
    <w:rsid w:val="00A44D23"/>
    <w:rsid w:val="00A456D0"/>
    <w:rsid w:val="00A5273B"/>
    <w:rsid w:val="00A53A9D"/>
    <w:rsid w:val="00A55FEE"/>
    <w:rsid w:val="00A61312"/>
    <w:rsid w:val="00A62C1A"/>
    <w:rsid w:val="00A6426D"/>
    <w:rsid w:val="00A665C1"/>
    <w:rsid w:val="00A70622"/>
    <w:rsid w:val="00A70977"/>
    <w:rsid w:val="00A771AE"/>
    <w:rsid w:val="00A77613"/>
    <w:rsid w:val="00A8390C"/>
    <w:rsid w:val="00A85136"/>
    <w:rsid w:val="00A91CE7"/>
    <w:rsid w:val="00A928BD"/>
    <w:rsid w:val="00A97CEC"/>
    <w:rsid w:val="00AA32F9"/>
    <w:rsid w:val="00AA4D1C"/>
    <w:rsid w:val="00AC18C2"/>
    <w:rsid w:val="00AC193C"/>
    <w:rsid w:val="00AC5206"/>
    <w:rsid w:val="00AD1BB2"/>
    <w:rsid w:val="00AE11A5"/>
    <w:rsid w:val="00AE13E2"/>
    <w:rsid w:val="00AE17BB"/>
    <w:rsid w:val="00AE22D3"/>
    <w:rsid w:val="00AE6C39"/>
    <w:rsid w:val="00AE6F82"/>
    <w:rsid w:val="00AF62DF"/>
    <w:rsid w:val="00AF68CC"/>
    <w:rsid w:val="00AF7FEB"/>
    <w:rsid w:val="00B016AA"/>
    <w:rsid w:val="00B01C78"/>
    <w:rsid w:val="00B021F1"/>
    <w:rsid w:val="00B1059E"/>
    <w:rsid w:val="00B105BA"/>
    <w:rsid w:val="00B126B8"/>
    <w:rsid w:val="00B14AD5"/>
    <w:rsid w:val="00B1671D"/>
    <w:rsid w:val="00B176C8"/>
    <w:rsid w:val="00B17845"/>
    <w:rsid w:val="00B205AA"/>
    <w:rsid w:val="00B22E84"/>
    <w:rsid w:val="00B23072"/>
    <w:rsid w:val="00B25F75"/>
    <w:rsid w:val="00B26B3F"/>
    <w:rsid w:val="00B35113"/>
    <w:rsid w:val="00B434BC"/>
    <w:rsid w:val="00B43E90"/>
    <w:rsid w:val="00B43EA1"/>
    <w:rsid w:val="00B44949"/>
    <w:rsid w:val="00B467DC"/>
    <w:rsid w:val="00B50EFF"/>
    <w:rsid w:val="00B517C9"/>
    <w:rsid w:val="00B56118"/>
    <w:rsid w:val="00B60F31"/>
    <w:rsid w:val="00B644A8"/>
    <w:rsid w:val="00B64F25"/>
    <w:rsid w:val="00B65D50"/>
    <w:rsid w:val="00B6773F"/>
    <w:rsid w:val="00B71D0E"/>
    <w:rsid w:val="00B7652F"/>
    <w:rsid w:val="00B801BA"/>
    <w:rsid w:val="00B84385"/>
    <w:rsid w:val="00B84D5C"/>
    <w:rsid w:val="00B971A2"/>
    <w:rsid w:val="00B97EF8"/>
    <w:rsid w:val="00BA1A0A"/>
    <w:rsid w:val="00BB69F5"/>
    <w:rsid w:val="00BB7EC3"/>
    <w:rsid w:val="00BC3676"/>
    <w:rsid w:val="00BC4B9A"/>
    <w:rsid w:val="00BC5649"/>
    <w:rsid w:val="00BC6FA4"/>
    <w:rsid w:val="00BD1737"/>
    <w:rsid w:val="00BD4830"/>
    <w:rsid w:val="00BD784C"/>
    <w:rsid w:val="00BF2088"/>
    <w:rsid w:val="00BF4CB6"/>
    <w:rsid w:val="00BF6CDA"/>
    <w:rsid w:val="00C00DA7"/>
    <w:rsid w:val="00C0199B"/>
    <w:rsid w:val="00C12768"/>
    <w:rsid w:val="00C263DE"/>
    <w:rsid w:val="00C27B58"/>
    <w:rsid w:val="00C3191E"/>
    <w:rsid w:val="00C339C6"/>
    <w:rsid w:val="00C35996"/>
    <w:rsid w:val="00C41FD3"/>
    <w:rsid w:val="00C45738"/>
    <w:rsid w:val="00C4747E"/>
    <w:rsid w:val="00C50E27"/>
    <w:rsid w:val="00C5342C"/>
    <w:rsid w:val="00C54DA9"/>
    <w:rsid w:val="00C603D4"/>
    <w:rsid w:val="00C61B15"/>
    <w:rsid w:val="00C6256A"/>
    <w:rsid w:val="00C75321"/>
    <w:rsid w:val="00C77891"/>
    <w:rsid w:val="00C82876"/>
    <w:rsid w:val="00C91449"/>
    <w:rsid w:val="00C92D10"/>
    <w:rsid w:val="00C93006"/>
    <w:rsid w:val="00C93583"/>
    <w:rsid w:val="00CB2614"/>
    <w:rsid w:val="00CB3F90"/>
    <w:rsid w:val="00CC15FF"/>
    <w:rsid w:val="00CC562F"/>
    <w:rsid w:val="00CC61B1"/>
    <w:rsid w:val="00CE10C4"/>
    <w:rsid w:val="00CE27B5"/>
    <w:rsid w:val="00CE423A"/>
    <w:rsid w:val="00CE599F"/>
    <w:rsid w:val="00CF1ECF"/>
    <w:rsid w:val="00D00A9B"/>
    <w:rsid w:val="00D019BA"/>
    <w:rsid w:val="00D01BB4"/>
    <w:rsid w:val="00D0321E"/>
    <w:rsid w:val="00D057D1"/>
    <w:rsid w:val="00D05BD3"/>
    <w:rsid w:val="00D062A5"/>
    <w:rsid w:val="00D07C9F"/>
    <w:rsid w:val="00D1455A"/>
    <w:rsid w:val="00D16EBE"/>
    <w:rsid w:val="00D17FE6"/>
    <w:rsid w:val="00D2610F"/>
    <w:rsid w:val="00D30EDD"/>
    <w:rsid w:val="00D30FD9"/>
    <w:rsid w:val="00D31150"/>
    <w:rsid w:val="00D3138B"/>
    <w:rsid w:val="00D3280C"/>
    <w:rsid w:val="00D3406A"/>
    <w:rsid w:val="00D36DC3"/>
    <w:rsid w:val="00D409C6"/>
    <w:rsid w:val="00D437BA"/>
    <w:rsid w:val="00D4572C"/>
    <w:rsid w:val="00D469B2"/>
    <w:rsid w:val="00D53AF7"/>
    <w:rsid w:val="00D62320"/>
    <w:rsid w:val="00D631AF"/>
    <w:rsid w:val="00D63749"/>
    <w:rsid w:val="00D6406B"/>
    <w:rsid w:val="00D660D2"/>
    <w:rsid w:val="00D741EB"/>
    <w:rsid w:val="00D80FA8"/>
    <w:rsid w:val="00D83605"/>
    <w:rsid w:val="00D84934"/>
    <w:rsid w:val="00D906B9"/>
    <w:rsid w:val="00D91271"/>
    <w:rsid w:val="00D939E9"/>
    <w:rsid w:val="00DA2CB5"/>
    <w:rsid w:val="00DA4BAC"/>
    <w:rsid w:val="00DA7521"/>
    <w:rsid w:val="00DC59B1"/>
    <w:rsid w:val="00DC7C9E"/>
    <w:rsid w:val="00DE4A33"/>
    <w:rsid w:val="00DE4CFE"/>
    <w:rsid w:val="00DE6D27"/>
    <w:rsid w:val="00DF0488"/>
    <w:rsid w:val="00DF217D"/>
    <w:rsid w:val="00DF26A7"/>
    <w:rsid w:val="00E01B3E"/>
    <w:rsid w:val="00E06BD4"/>
    <w:rsid w:val="00E100A1"/>
    <w:rsid w:val="00E112C9"/>
    <w:rsid w:val="00E15627"/>
    <w:rsid w:val="00E164B3"/>
    <w:rsid w:val="00E16910"/>
    <w:rsid w:val="00E17C72"/>
    <w:rsid w:val="00E20E39"/>
    <w:rsid w:val="00E24312"/>
    <w:rsid w:val="00E255F4"/>
    <w:rsid w:val="00E31A69"/>
    <w:rsid w:val="00E373BE"/>
    <w:rsid w:val="00E40E44"/>
    <w:rsid w:val="00E42BDB"/>
    <w:rsid w:val="00E45710"/>
    <w:rsid w:val="00E5112F"/>
    <w:rsid w:val="00E53FD7"/>
    <w:rsid w:val="00E54E86"/>
    <w:rsid w:val="00E55D9F"/>
    <w:rsid w:val="00E57EEB"/>
    <w:rsid w:val="00E62D94"/>
    <w:rsid w:val="00E65E54"/>
    <w:rsid w:val="00E80155"/>
    <w:rsid w:val="00E8225A"/>
    <w:rsid w:val="00E8320A"/>
    <w:rsid w:val="00E848C0"/>
    <w:rsid w:val="00E91753"/>
    <w:rsid w:val="00E91B96"/>
    <w:rsid w:val="00E92104"/>
    <w:rsid w:val="00E941A1"/>
    <w:rsid w:val="00E95CE3"/>
    <w:rsid w:val="00E95DE7"/>
    <w:rsid w:val="00E964DA"/>
    <w:rsid w:val="00E96EA0"/>
    <w:rsid w:val="00E97EA0"/>
    <w:rsid w:val="00EA2825"/>
    <w:rsid w:val="00EA6A09"/>
    <w:rsid w:val="00EB0B63"/>
    <w:rsid w:val="00EB16C5"/>
    <w:rsid w:val="00EB1936"/>
    <w:rsid w:val="00EB21ED"/>
    <w:rsid w:val="00EB5088"/>
    <w:rsid w:val="00EB6B4F"/>
    <w:rsid w:val="00ED0A7C"/>
    <w:rsid w:val="00ED1644"/>
    <w:rsid w:val="00ED225A"/>
    <w:rsid w:val="00ED2593"/>
    <w:rsid w:val="00ED7D9C"/>
    <w:rsid w:val="00EF06AA"/>
    <w:rsid w:val="00EF06C5"/>
    <w:rsid w:val="00EF44A0"/>
    <w:rsid w:val="00EF4FED"/>
    <w:rsid w:val="00F00940"/>
    <w:rsid w:val="00F017AD"/>
    <w:rsid w:val="00F0485A"/>
    <w:rsid w:val="00F04D7D"/>
    <w:rsid w:val="00F050BD"/>
    <w:rsid w:val="00F05657"/>
    <w:rsid w:val="00F07A41"/>
    <w:rsid w:val="00F13C8C"/>
    <w:rsid w:val="00F20812"/>
    <w:rsid w:val="00F22089"/>
    <w:rsid w:val="00F249AF"/>
    <w:rsid w:val="00F25578"/>
    <w:rsid w:val="00F258E5"/>
    <w:rsid w:val="00F26922"/>
    <w:rsid w:val="00F300BC"/>
    <w:rsid w:val="00F30D03"/>
    <w:rsid w:val="00F3334E"/>
    <w:rsid w:val="00F36CCB"/>
    <w:rsid w:val="00F374E5"/>
    <w:rsid w:val="00F37856"/>
    <w:rsid w:val="00F43AF2"/>
    <w:rsid w:val="00F43BC8"/>
    <w:rsid w:val="00F478C9"/>
    <w:rsid w:val="00F50EC4"/>
    <w:rsid w:val="00F550CF"/>
    <w:rsid w:val="00F57A6D"/>
    <w:rsid w:val="00F638CC"/>
    <w:rsid w:val="00F64B44"/>
    <w:rsid w:val="00F64CC1"/>
    <w:rsid w:val="00F72317"/>
    <w:rsid w:val="00F80475"/>
    <w:rsid w:val="00F8247A"/>
    <w:rsid w:val="00F86214"/>
    <w:rsid w:val="00F87320"/>
    <w:rsid w:val="00F9629A"/>
    <w:rsid w:val="00F97EFC"/>
    <w:rsid w:val="00FA523F"/>
    <w:rsid w:val="00FA5883"/>
    <w:rsid w:val="00FA6055"/>
    <w:rsid w:val="00FB038A"/>
    <w:rsid w:val="00FB322F"/>
    <w:rsid w:val="00FB442F"/>
    <w:rsid w:val="00FC1929"/>
    <w:rsid w:val="00FC5B46"/>
    <w:rsid w:val="00FC693B"/>
    <w:rsid w:val="00FD58C5"/>
    <w:rsid w:val="00FD5D84"/>
    <w:rsid w:val="00FD6D8E"/>
    <w:rsid w:val="00FE0E94"/>
    <w:rsid w:val="00FE41DD"/>
    <w:rsid w:val="00FF00BD"/>
    <w:rsid w:val="00FF140E"/>
    <w:rsid w:val="00FF1ED4"/>
    <w:rsid w:val="00FF2801"/>
    <w:rsid w:val="00FF49D4"/>
    <w:rsid w:val="00FF74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List Paragraph1"/>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List Paragraph1 Char"/>
    <w:basedOn w:val="DefaultParagraphFont"/>
    <w:link w:val="ListParagraph"/>
    <w:uiPriority w:val="72"/>
    <w:qFormat/>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paragraph" w:customStyle="1" w:styleId="TableText0">
    <w:name w:val="Table Text"/>
    <w:basedOn w:val="Normal"/>
    <w:link w:val="TableTextChar"/>
    <w:qFormat/>
    <w:rsid w:val="00E01B3E"/>
    <w:pPr>
      <w:widowControl w:val="0"/>
      <w:spacing w:before="40" w:after="40"/>
      <w:jc w:val="both"/>
    </w:pPr>
    <w:rPr>
      <w:rFonts w:ascii="Arial Narrow" w:eastAsiaTheme="minorHAnsi" w:hAnsi="Arial Narrow" w:cstheme="minorBidi"/>
      <w:sz w:val="20"/>
      <w:szCs w:val="22"/>
      <w:lang w:eastAsia="en-US"/>
    </w:rPr>
  </w:style>
  <w:style w:type="paragraph" w:customStyle="1" w:styleId="TableFooter">
    <w:name w:val="Table Footer"/>
    <w:basedOn w:val="Normal"/>
    <w:link w:val="TableFooterChar"/>
    <w:uiPriority w:val="4"/>
    <w:qFormat/>
    <w:rsid w:val="00E01B3E"/>
    <w:pPr>
      <w:widowControl w:val="0"/>
      <w:spacing w:before="40" w:after="240"/>
      <w:contextualSpacing/>
      <w:jc w:val="both"/>
    </w:pPr>
    <w:rPr>
      <w:rFonts w:ascii="Arial Narrow" w:hAnsi="Arial Narrow" w:cs="Arial"/>
      <w:snapToGrid w:val="0"/>
      <w:sz w:val="18"/>
      <w:szCs w:val="20"/>
      <w:lang w:eastAsia="en-US"/>
    </w:rPr>
  </w:style>
  <w:style w:type="character" w:customStyle="1" w:styleId="TableFooterChar">
    <w:name w:val="Table Footer Char"/>
    <w:link w:val="TableFooter"/>
    <w:uiPriority w:val="4"/>
    <w:rsid w:val="00E01B3E"/>
    <w:rPr>
      <w:rFonts w:ascii="Arial Narrow" w:hAnsi="Arial Narrow" w:cs="Arial"/>
      <w:snapToGrid w:val="0"/>
      <w:sz w:val="18"/>
      <w:lang w:eastAsia="en-US"/>
    </w:rPr>
  </w:style>
  <w:style w:type="character" w:customStyle="1" w:styleId="TableTextChar">
    <w:name w:val="Table Text Char"/>
    <w:link w:val="TableText0"/>
    <w:rsid w:val="00E01B3E"/>
    <w:rPr>
      <w:rFonts w:ascii="Arial Narrow" w:eastAsiaTheme="minorHAnsi" w:hAnsi="Arial Narrow" w:cstheme="minorBidi"/>
      <w:szCs w:val="22"/>
      <w:lang w:eastAsia="en-US"/>
    </w:rPr>
  </w:style>
  <w:style w:type="paragraph" w:customStyle="1" w:styleId="ESHeading2">
    <w:name w:val="ES Heading 2"/>
    <w:basedOn w:val="Heading2"/>
    <w:link w:val="ESHeading2Char"/>
    <w:uiPriority w:val="2"/>
    <w:qFormat/>
    <w:rsid w:val="006E6F72"/>
    <w:pPr>
      <w:keepLines/>
      <w:spacing w:before="360" w:after="120"/>
      <w:ind w:left="720" w:hanging="720"/>
    </w:pPr>
    <w:rPr>
      <w:rFonts w:asciiTheme="majorHAnsi" w:eastAsiaTheme="majorEastAsia" w:hAnsiTheme="majorHAnsi" w:cstheme="majorBidi"/>
      <w:snapToGrid w:val="0"/>
      <w:sz w:val="28"/>
      <w:szCs w:val="28"/>
      <w:lang w:eastAsia="en-US"/>
    </w:rPr>
  </w:style>
  <w:style w:type="character" w:customStyle="1" w:styleId="ESHeading2Char">
    <w:name w:val="ES Heading 2 Char"/>
    <w:basedOn w:val="Heading2Char"/>
    <w:link w:val="ESHeading2"/>
    <w:uiPriority w:val="2"/>
    <w:rsid w:val="006E6F72"/>
    <w:rPr>
      <w:rFonts w:asciiTheme="majorHAnsi" w:eastAsiaTheme="majorEastAsia" w:hAnsiTheme="majorHAnsi" w:cstheme="majorBidi"/>
      <w:b/>
      <w:i/>
      <w:snapToGrid w:val="0"/>
      <w:sz w:val="28"/>
      <w:szCs w:val="28"/>
      <w:lang w:eastAsia="en-US"/>
    </w:rPr>
  </w:style>
  <w:style w:type="paragraph" w:styleId="Caption">
    <w:name w:val="caption"/>
    <w:basedOn w:val="Normal"/>
    <w:next w:val="Normal"/>
    <w:unhideWhenUsed/>
    <w:qFormat/>
    <w:rsid w:val="00A34836"/>
    <w:pPr>
      <w:spacing w:after="200"/>
    </w:pPr>
    <w:rPr>
      <w:b/>
      <w:bCs/>
      <w:color w:val="4F81BD" w:themeColor="accent1"/>
      <w:sz w:val="18"/>
      <w:szCs w:val="18"/>
    </w:rPr>
  </w:style>
  <w:style w:type="paragraph" w:styleId="BodyText">
    <w:name w:val="Body Text"/>
    <w:basedOn w:val="Normal"/>
    <w:link w:val="BodyTextChar"/>
    <w:rsid w:val="00E20E39"/>
    <w:pPr>
      <w:spacing w:after="120"/>
    </w:pPr>
  </w:style>
  <w:style w:type="character" w:customStyle="1" w:styleId="BodyTextChar">
    <w:name w:val="Body Text Char"/>
    <w:basedOn w:val="DefaultParagraphFont"/>
    <w:link w:val="BodyText"/>
    <w:rsid w:val="00E20E39"/>
    <w:rPr>
      <w:sz w:val="24"/>
      <w:szCs w:val="24"/>
    </w:rPr>
  </w:style>
  <w:style w:type="paragraph" w:styleId="FootnoteText">
    <w:name w:val="footnote text"/>
    <w:basedOn w:val="Normal"/>
    <w:link w:val="FootnoteTextChar"/>
    <w:rsid w:val="00EB21ED"/>
    <w:rPr>
      <w:sz w:val="20"/>
      <w:szCs w:val="20"/>
    </w:rPr>
  </w:style>
  <w:style w:type="character" w:customStyle="1" w:styleId="FootnoteTextChar">
    <w:name w:val="Footnote Text Char"/>
    <w:basedOn w:val="DefaultParagraphFont"/>
    <w:link w:val="FootnoteText"/>
    <w:rsid w:val="00EB21ED"/>
  </w:style>
  <w:style w:type="character" w:styleId="FootnoteReference">
    <w:name w:val="footnote reference"/>
    <w:basedOn w:val="DefaultParagraphFont"/>
    <w:rsid w:val="00EB21ED"/>
    <w:rPr>
      <w:vertAlign w:val="superscript"/>
    </w:rPr>
  </w:style>
  <w:style w:type="paragraph" w:styleId="Revision">
    <w:name w:val="Revision"/>
    <w:hidden/>
    <w:uiPriority w:val="71"/>
    <w:rsid w:val="00C54DA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List Paragraph1"/>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List Paragraph1 Char"/>
    <w:basedOn w:val="DefaultParagraphFont"/>
    <w:link w:val="ListParagraph"/>
    <w:uiPriority w:val="72"/>
    <w:qFormat/>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paragraph" w:customStyle="1" w:styleId="TableText0">
    <w:name w:val="Table Text"/>
    <w:basedOn w:val="Normal"/>
    <w:link w:val="TableTextChar"/>
    <w:qFormat/>
    <w:rsid w:val="00E01B3E"/>
    <w:pPr>
      <w:widowControl w:val="0"/>
      <w:spacing w:before="40" w:after="40"/>
      <w:jc w:val="both"/>
    </w:pPr>
    <w:rPr>
      <w:rFonts w:ascii="Arial Narrow" w:eastAsiaTheme="minorHAnsi" w:hAnsi="Arial Narrow" w:cstheme="minorBidi"/>
      <w:sz w:val="20"/>
      <w:szCs w:val="22"/>
      <w:lang w:eastAsia="en-US"/>
    </w:rPr>
  </w:style>
  <w:style w:type="paragraph" w:customStyle="1" w:styleId="TableFooter">
    <w:name w:val="Table Footer"/>
    <w:basedOn w:val="Normal"/>
    <w:link w:val="TableFooterChar"/>
    <w:uiPriority w:val="4"/>
    <w:qFormat/>
    <w:rsid w:val="00E01B3E"/>
    <w:pPr>
      <w:widowControl w:val="0"/>
      <w:spacing w:before="40" w:after="240"/>
      <w:contextualSpacing/>
      <w:jc w:val="both"/>
    </w:pPr>
    <w:rPr>
      <w:rFonts w:ascii="Arial Narrow" w:hAnsi="Arial Narrow" w:cs="Arial"/>
      <w:snapToGrid w:val="0"/>
      <w:sz w:val="18"/>
      <w:szCs w:val="20"/>
      <w:lang w:eastAsia="en-US"/>
    </w:rPr>
  </w:style>
  <w:style w:type="character" w:customStyle="1" w:styleId="TableFooterChar">
    <w:name w:val="Table Footer Char"/>
    <w:link w:val="TableFooter"/>
    <w:uiPriority w:val="4"/>
    <w:rsid w:val="00E01B3E"/>
    <w:rPr>
      <w:rFonts w:ascii="Arial Narrow" w:hAnsi="Arial Narrow" w:cs="Arial"/>
      <w:snapToGrid w:val="0"/>
      <w:sz w:val="18"/>
      <w:lang w:eastAsia="en-US"/>
    </w:rPr>
  </w:style>
  <w:style w:type="character" w:customStyle="1" w:styleId="TableTextChar">
    <w:name w:val="Table Text Char"/>
    <w:link w:val="TableText0"/>
    <w:rsid w:val="00E01B3E"/>
    <w:rPr>
      <w:rFonts w:ascii="Arial Narrow" w:eastAsiaTheme="minorHAnsi" w:hAnsi="Arial Narrow" w:cstheme="minorBidi"/>
      <w:szCs w:val="22"/>
      <w:lang w:eastAsia="en-US"/>
    </w:rPr>
  </w:style>
  <w:style w:type="paragraph" w:customStyle="1" w:styleId="ESHeading2">
    <w:name w:val="ES Heading 2"/>
    <w:basedOn w:val="Heading2"/>
    <w:link w:val="ESHeading2Char"/>
    <w:uiPriority w:val="2"/>
    <w:qFormat/>
    <w:rsid w:val="006E6F72"/>
    <w:pPr>
      <w:keepLines/>
      <w:spacing w:before="360" w:after="120"/>
      <w:ind w:left="720" w:hanging="720"/>
    </w:pPr>
    <w:rPr>
      <w:rFonts w:asciiTheme="majorHAnsi" w:eastAsiaTheme="majorEastAsia" w:hAnsiTheme="majorHAnsi" w:cstheme="majorBidi"/>
      <w:snapToGrid w:val="0"/>
      <w:sz w:val="28"/>
      <w:szCs w:val="28"/>
      <w:lang w:eastAsia="en-US"/>
    </w:rPr>
  </w:style>
  <w:style w:type="character" w:customStyle="1" w:styleId="ESHeading2Char">
    <w:name w:val="ES Heading 2 Char"/>
    <w:basedOn w:val="Heading2Char"/>
    <w:link w:val="ESHeading2"/>
    <w:uiPriority w:val="2"/>
    <w:rsid w:val="006E6F72"/>
    <w:rPr>
      <w:rFonts w:asciiTheme="majorHAnsi" w:eastAsiaTheme="majorEastAsia" w:hAnsiTheme="majorHAnsi" w:cstheme="majorBidi"/>
      <w:b/>
      <w:i/>
      <w:snapToGrid w:val="0"/>
      <w:sz w:val="28"/>
      <w:szCs w:val="28"/>
      <w:lang w:eastAsia="en-US"/>
    </w:rPr>
  </w:style>
  <w:style w:type="paragraph" w:styleId="Caption">
    <w:name w:val="caption"/>
    <w:basedOn w:val="Normal"/>
    <w:next w:val="Normal"/>
    <w:unhideWhenUsed/>
    <w:qFormat/>
    <w:rsid w:val="00A34836"/>
    <w:pPr>
      <w:spacing w:after="200"/>
    </w:pPr>
    <w:rPr>
      <w:b/>
      <w:bCs/>
      <w:color w:val="4F81BD" w:themeColor="accent1"/>
      <w:sz w:val="18"/>
      <w:szCs w:val="18"/>
    </w:rPr>
  </w:style>
  <w:style w:type="paragraph" w:styleId="BodyText">
    <w:name w:val="Body Text"/>
    <w:basedOn w:val="Normal"/>
    <w:link w:val="BodyTextChar"/>
    <w:rsid w:val="00E20E39"/>
    <w:pPr>
      <w:spacing w:after="120"/>
    </w:pPr>
  </w:style>
  <w:style w:type="character" w:customStyle="1" w:styleId="BodyTextChar">
    <w:name w:val="Body Text Char"/>
    <w:basedOn w:val="DefaultParagraphFont"/>
    <w:link w:val="BodyText"/>
    <w:rsid w:val="00E20E39"/>
    <w:rPr>
      <w:sz w:val="24"/>
      <w:szCs w:val="24"/>
    </w:rPr>
  </w:style>
  <w:style w:type="paragraph" w:styleId="FootnoteText">
    <w:name w:val="footnote text"/>
    <w:basedOn w:val="Normal"/>
    <w:link w:val="FootnoteTextChar"/>
    <w:rsid w:val="00EB21ED"/>
    <w:rPr>
      <w:sz w:val="20"/>
      <w:szCs w:val="20"/>
    </w:rPr>
  </w:style>
  <w:style w:type="character" w:customStyle="1" w:styleId="FootnoteTextChar">
    <w:name w:val="Footnote Text Char"/>
    <w:basedOn w:val="DefaultParagraphFont"/>
    <w:link w:val="FootnoteText"/>
    <w:rsid w:val="00EB21ED"/>
  </w:style>
  <w:style w:type="character" w:styleId="FootnoteReference">
    <w:name w:val="footnote reference"/>
    <w:basedOn w:val="DefaultParagraphFont"/>
    <w:rsid w:val="00EB21ED"/>
    <w:rPr>
      <w:vertAlign w:val="superscript"/>
    </w:rPr>
  </w:style>
  <w:style w:type="paragraph" w:styleId="Revision">
    <w:name w:val="Revision"/>
    <w:hidden/>
    <w:uiPriority w:val="71"/>
    <w:rsid w:val="00C54D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161556901">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152601050">
      <w:bodyDiv w:val="1"/>
      <w:marLeft w:val="0"/>
      <w:marRight w:val="0"/>
      <w:marTop w:val="0"/>
      <w:marBottom w:val="0"/>
      <w:divBdr>
        <w:top w:val="none" w:sz="0" w:space="0" w:color="auto"/>
        <w:left w:val="none" w:sz="0" w:space="0" w:color="auto"/>
        <w:bottom w:val="none" w:sz="0" w:space="0" w:color="auto"/>
        <w:right w:val="none" w:sz="0" w:space="0" w:color="auto"/>
      </w:divBdr>
    </w:div>
    <w:div w:id="1534001830">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C5F5E-5F83-4397-8CD1-6B96D8EE6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9436</Words>
  <Characters>57573</Characters>
  <Application>Microsoft Office Word</Application>
  <DocSecurity>0</DocSecurity>
  <Lines>479</Lines>
  <Paragraphs>133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2018-06-18T07:29:00Z</dcterms:created>
  <dcterms:modified xsi:type="dcterms:W3CDTF">2018-06-18T07:33:00Z</dcterms:modified>
</cp:coreProperties>
</file>