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86B" w:rsidRPr="001869BF" w:rsidRDefault="0000686B" w:rsidP="00947AFC">
      <w:pPr>
        <w:spacing w:before="4000" w:after="240" w:line="240" w:lineRule="auto"/>
        <w:jc w:val="center"/>
        <w:rPr>
          <w:rFonts w:asciiTheme="minorHAnsi" w:hAnsiTheme="minorHAnsi"/>
          <w:b/>
          <w:sz w:val="52"/>
          <w:szCs w:val="52"/>
        </w:rPr>
      </w:pPr>
      <w:bookmarkStart w:id="0" w:name="_GoBack"/>
      <w:bookmarkEnd w:id="0"/>
      <w:r w:rsidRPr="001869BF">
        <w:rPr>
          <w:rFonts w:asciiTheme="minorHAnsi" w:hAnsiTheme="minorHAnsi"/>
          <w:b/>
          <w:sz w:val="52"/>
          <w:szCs w:val="52"/>
        </w:rPr>
        <w:t>Pharmaceutical Benefits Scheme</w:t>
      </w:r>
    </w:p>
    <w:p w:rsidR="0000686B" w:rsidRPr="001869BF" w:rsidRDefault="0000686B" w:rsidP="00947AFC">
      <w:pPr>
        <w:spacing w:before="480" w:after="240" w:line="240" w:lineRule="auto"/>
        <w:jc w:val="center"/>
        <w:rPr>
          <w:rFonts w:asciiTheme="minorHAnsi" w:hAnsiTheme="minorHAnsi"/>
          <w:b/>
          <w:sz w:val="40"/>
          <w:szCs w:val="40"/>
        </w:rPr>
      </w:pPr>
      <w:r w:rsidRPr="001869BF">
        <w:rPr>
          <w:rFonts w:asciiTheme="minorHAnsi" w:hAnsiTheme="minorHAnsi"/>
          <w:b/>
          <w:sz w:val="40"/>
          <w:szCs w:val="40"/>
        </w:rPr>
        <w:t>Post-market Review</w:t>
      </w:r>
    </w:p>
    <w:p w:rsidR="0000686B" w:rsidRPr="001869BF" w:rsidRDefault="0000686B" w:rsidP="00947AFC">
      <w:pPr>
        <w:spacing w:before="240" w:line="240" w:lineRule="auto"/>
        <w:jc w:val="center"/>
        <w:rPr>
          <w:rFonts w:asciiTheme="minorHAnsi" w:hAnsiTheme="minorHAnsi"/>
          <w:b/>
          <w:color w:val="365F91" w:themeColor="accent1" w:themeShade="BF"/>
          <w:sz w:val="32"/>
          <w:szCs w:val="32"/>
        </w:rPr>
      </w:pPr>
      <w:r w:rsidRPr="007C496D">
        <w:rPr>
          <w:rFonts w:asciiTheme="minorHAnsi" w:hAnsiTheme="minorHAnsi"/>
          <w:b/>
          <w:color w:val="365F91" w:themeColor="accent1" w:themeShade="BF"/>
          <w:sz w:val="32"/>
          <w:szCs w:val="32"/>
        </w:rPr>
        <w:t>Ezetimibe</w:t>
      </w:r>
      <w:r>
        <w:rPr>
          <w:rFonts w:asciiTheme="minorHAnsi" w:hAnsiTheme="minorHAnsi"/>
          <w:b/>
          <w:color w:val="365F91" w:themeColor="accent1" w:themeShade="BF"/>
          <w:sz w:val="32"/>
          <w:szCs w:val="32"/>
        </w:rPr>
        <w:t xml:space="preserve"> Review</w:t>
      </w:r>
    </w:p>
    <w:p w:rsidR="0000686B" w:rsidRPr="004B11B2" w:rsidRDefault="0000686B" w:rsidP="00947AFC">
      <w:pPr>
        <w:spacing w:before="240" w:line="240" w:lineRule="auto"/>
        <w:jc w:val="center"/>
        <w:rPr>
          <w:rFonts w:asciiTheme="majorHAnsi" w:hAnsiTheme="majorHAnsi"/>
        </w:rPr>
      </w:pPr>
      <w:bookmarkStart w:id="1" w:name="_Toc341175223"/>
      <w:bookmarkStart w:id="2" w:name="_Toc341180114"/>
      <w:bookmarkStart w:id="3" w:name="_Toc341718010"/>
      <w:bookmarkStart w:id="4" w:name="_Toc341946998"/>
      <w:bookmarkStart w:id="5" w:name="_Toc341964940"/>
      <w:bookmarkStart w:id="6" w:name="_Toc342478568"/>
      <w:bookmarkStart w:id="7" w:name="_Toc342558104"/>
      <w:bookmarkStart w:id="8" w:name="_Toc351967067"/>
      <w:bookmarkStart w:id="9" w:name="_Toc359831559"/>
      <w:bookmarkStart w:id="10" w:name="_Toc359914389"/>
      <w:bookmarkStart w:id="11" w:name="_Toc360710900"/>
      <w:bookmarkStart w:id="12" w:name="_Toc368383244"/>
      <w:bookmarkStart w:id="13" w:name="_Toc371521186"/>
      <w:r w:rsidRPr="001869BF">
        <w:rPr>
          <w:rFonts w:asciiTheme="minorHAnsi" w:hAnsiTheme="minorHAnsi"/>
          <w:b/>
          <w:i/>
          <w:color w:val="365F91" w:themeColor="accent1" w:themeShade="BF"/>
          <w:sz w:val="28"/>
          <w:szCs w:val="28"/>
        </w:rPr>
        <w:t xml:space="preserve">Report to </w:t>
      </w:r>
      <w:bookmarkEnd w:id="1"/>
      <w:bookmarkEnd w:id="2"/>
      <w:bookmarkEnd w:id="3"/>
      <w:bookmarkEnd w:id="4"/>
      <w:bookmarkEnd w:id="5"/>
      <w:bookmarkEnd w:id="6"/>
      <w:bookmarkEnd w:id="7"/>
      <w:bookmarkEnd w:id="8"/>
      <w:bookmarkEnd w:id="9"/>
      <w:bookmarkEnd w:id="10"/>
      <w:bookmarkEnd w:id="11"/>
      <w:bookmarkEnd w:id="12"/>
      <w:bookmarkEnd w:id="13"/>
      <w:r>
        <w:rPr>
          <w:rFonts w:asciiTheme="minorHAnsi" w:hAnsiTheme="minorHAnsi"/>
          <w:b/>
          <w:i/>
          <w:color w:val="365F91" w:themeColor="accent1" w:themeShade="BF"/>
          <w:sz w:val="28"/>
          <w:szCs w:val="28"/>
        </w:rPr>
        <w:t xml:space="preserve">the </w:t>
      </w:r>
      <w:r w:rsidRPr="001869BF">
        <w:rPr>
          <w:rFonts w:asciiTheme="minorHAnsi" w:hAnsiTheme="minorHAnsi"/>
          <w:b/>
          <w:i/>
          <w:color w:val="365F91" w:themeColor="accent1" w:themeShade="BF"/>
          <w:sz w:val="28"/>
          <w:szCs w:val="28"/>
        </w:rPr>
        <w:t>P</w:t>
      </w:r>
      <w:r>
        <w:rPr>
          <w:rFonts w:asciiTheme="minorHAnsi" w:hAnsiTheme="minorHAnsi"/>
          <w:b/>
          <w:i/>
          <w:color w:val="365F91" w:themeColor="accent1" w:themeShade="BF"/>
          <w:sz w:val="28"/>
          <w:szCs w:val="28"/>
        </w:rPr>
        <w:t xml:space="preserve">harmaceutical </w:t>
      </w:r>
      <w:r w:rsidRPr="001869BF">
        <w:rPr>
          <w:rFonts w:asciiTheme="minorHAnsi" w:hAnsiTheme="minorHAnsi"/>
          <w:b/>
          <w:i/>
          <w:color w:val="365F91" w:themeColor="accent1" w:themeShade="BF"/>
          <w:sz w:val="28"/>
          <w:szCs w:val="28"/>
        </w:rPr>
        <w:t>B</w:t>
      </w:r>
      <w:r>
        <w:rPr>
          <w:rFonts w:asciiTheme="minorHAnsi" w:hAnsiTheme="minorHAnsi"/>
          <w:b/>
          <w:i/>
          <w:color w:val="365F91" w:themeColor="accent1" w:themeShade="BF"/>
          <w:sz w:val="28"/>
          <w:szCs w:val="28"/>
        </w:rPr>
        <w:t xml:space="preserve">enefits </w:t>
      </w:r>
      <w:r w:rsidRPr="001869BF">
        <w:rPr>
          <w:rFonts w:asciiTheme="minorHAnsi" w:hAnsiTheme="minorHAnsi"/>
          <w:b/>
          <w:i/>
          <w:color w:val="365F91" w:themeColor="accent1" w:themeShade="BF"/>
          <w:sz w:val="28"/>
          <w:szCs w:val="28"/>
        </w:rPr>
        <w:t>A</w:t>
      </w:r>
      <w:r>
        <w:rPr>
          <w:rFonts w:asciiTheme="minorHAnsi" w:hAnsiTheme="minorHAnsi"/>
          <w:b/>
          <w:i/>
          <w:color w:val="365F91" w:themeColor="accent1" w:themeShade="BF"/>
          <w:sz w:val="28"/>
          <w:szCs w:val="28"/>
        </w:rPr>
        <w:t xml:space="preserve">dvisory </w:t>
      </w:r>
      <w:r w:rsidRPr="001869BF">
        <w:rPr>
          <w:rFonts w:asciiTheme="minorHAnsi" w:hAnsiTheme="minorHAnsi"/>
          <w:b/>
          <w:i/>
          <w:color w:val="365F91" w:themeColor="accent1" w:themeShade="BF"/>
          <w:sz w:val="28"/>
          <w:szCs w:val="28"/>
        </w:rPr>
        <w:t>C</w:t>
      </w:r>
      <w:r>
        <w:rPr>
          <w:rFonts w:asciiTheme="minorHAnsi" w:hAnsiTheme="minorHAnsi"/>
          <w:b/>
          <w:i/>
          <w:color w:val="365F91" w:themeColor="accent1" w:themeShade="BF"/>
          <w:sz w:val="28"/>
          <w:szCs w:val="28"/>
        </w:rPr>
        <w:t>ommittee</w:t>
      </w:r>
    </w:p>
    <w:p w:rsidR="0000686B" w:rsidRPr="00F53453" w:rsidRDefault="00FF424F" w:rsidP="00947AFC">
      <w:pPr>
        <w:spacing w:before="1000" w:line="240" w:lineRule="auto"/>
        <w:jc w:val="center"/>
        <w:rPr>
          <w:rFonts w:asciiTheme="minorHAnsi" w:hAnsiTheme="minorHAnsi"/>
          <w:b/>
          <w:i/>
          <w:color w:val="365F91" w:themeColor="accent1" w:themeShade="BF"/>
          <w:sz w:val="28"/>
          <w:szCs w:val="28"/>
          <w:highlight w:val="yellow"/>
        </w:rPr>
      </w:pPr>
      <w:r>
        <w:rPr>
          <w:rFonts w:asciiTheme="minorHAnsi" w:hAnsiTheme="minorHAnsi"/>
          <w:b/>
          <w:i/>
          <w:color w:val="365F91" w:themeColor="accent1" w:themeShade="BF"/>
          <w:sz w:val="28"/>
          <w:szCs w:val="28"/>
          <w:highlight w:val="yellow"/>
        </w:rPr>
        <w:t xml:space="preserve">REVISED DRAFT </w:t>
      </w:r>
      <w:r w:rsidR="0000686B" w:rsidRPr="00F53453">
        <w:rPr>
          <w:rFonts w:asciiTheme="minorHAnsi" w:hAnsiTheme="minorHAnsi"/>
          <w:b/>
          <w:i/>
          <w:color w:val="365F91" w:themeColor="accent1" w:themeShade="BF"/>
          <w:sz w:val="28"/>
          <w:szCs w:val="28"/>
          <w:highlight w:val="yellow"/>
        </w:rPr>
        <w:t>REPORT</w:t>
      </w:r>
    </w:p>
    <w:p w:rsidR="0000686B" w:rsidRPr="001869BF" w:rsidRDefault="00F53453" w:rsidP="00947AFC">
      <w:pPr>
        <w:spacing w:before="240" w:line="240" w:lineRule="auto"/>
        <w:jc w:val="center"/>
        <w:rPr>
          <w:rFonts w:asciiTheme="minorHAnsi" w:hAnsiTheme="minorHAnsi"/>
          <w:b/>
          <w:i/>
          <w:color w:val="365F91" w:themeColor="accent1" w:themeShade="BF"/>
          <w:sz w:val="28"/>
          <w:szCs w:val="28"/>
        </w:rPr>
      </w:pPr>
      <w:r w:rsidRPr="00F53453">
        <w:rPr>
          <w:rFonts w:asciiTheme="minorHAnsi" w:hAnsiTheme="minorHAnsi"/>
          <w:b/>
          <w:i/>
          <w:color w:val="365F91" w:themeColor="accent1" w:themeShade="BF"/>
          <w:sz w:val="28"/>
          <w:szCs w:val="28"/>
          <w:highlight w:val="yellow"/>
        </w:rPr>
        <w:t xml:space="preserve">MAY </w:t>
      </w:r>
      <w:r w:rsidR="0000686B" w:rsidRPr="00F53453">
        <w:rPr>
          <w:rFonts w:asciiTheme="minorHAnsi" w:hAnsiTheme="minorHAnsi"/>
          <w:b/>
          <w:i/>
          <w:color w:val="365F91" w:themeColor="accent1" w:themeShade="BF"/>
          <w:sz w:val="28"/>
          <w:szCs w:val="28"/>
          <w:highlight w:val="yellow"/>
        </w:rPr>
        <w:t>201</w:t>
      </w:r>
      <w:r w:rsidR="0082069A">
        <w:rPr>
          <w:rFonts w:asciiTheme="minorHAnsi" w:hAnsiTheme="minorHAnsi"/>
          <w:b/>
          <w:i/>
          <w:color w:val="365F91" w:themeColor="accent1" w:themeShade="BF"/>
          <w:sz w:val="28"/>
          <w:szCs w:val="28"/>
          <w:highlight w:val="yellow"/>
        </w:rPr>
        <w:t>7</w:t>
      </w:r>
    </w:p>
    <w:p w:rsidR="0000686B" w:rsidRPr="004B11B2" w:rsidRDefault="0000686B" w:rsidP="00514129">
      <w:pPr>
        <w:rPr>
          <w:rFonts w:asciiTheme="majorHAnsi" w:hAnsiTheme="majorHAnsi"/>
          <w:b/>
          <w:bCs/>
        </w:rPr>
      </w:pPr>
      <w:r w:rsidRPr="004B11B2">
        <w:rPr>
          <w:rFonts w:asciiTheme="majorHAnsi" w:hAnsiTheme="majorHAnsi"/>
        </w:rPr>
        <w:br w:type="page"/>
      </w:r>
    </w:p>
    <w:p w:rsidR="008A37F9" w:rsidRPr="00E47B35" w:rsidRDefault="0000686B" w:rsidP="00920324">
      <w:pPr>
        <w:pStyle w:val="Heading1"/>
      </w:pPr>
      <w:bookmarkStart w:id="14" w:name="_Toc482176914"/>
      <w:r w:rsidRPr="00E47B35">
        <w:lastRenderedPageBreak/>
        <w:t>Contents</w:t>
      </w:r>
      <w:bookmarkEnd w:id="14"/>
    </w:p>
    <w:sdt>
      <w:sdtPr>
        <w:rPr>
          <w:rFonts w:ascii="Cambria" w:eastAsiaTheme="minorHAnsi" w:hAnsi="Cambria" w:cstheme="minorBidi"/>
          <w:b w:val="0"/>
          <w:bCs w:val="0"/>
          <w:color w:val="auto"/>
          <w:sz w:val="24"/>
          <w:szCs w:val="22"/>
          <w:lang w:val="en-AU" w:eastAsia="en-US"/>
        </w:rPr>
        <w:id w:val="1378356718"/>
        <w:docPartObj>
          <w:docPartGallery w:val="Table of Contents"/>
          <w:docPartUnique/>
        </w:docPartObj>
      </w:sdtPr>
      <w:sdtEndPr>
        <w:rPr>
          <w:noProof/>
          <w:highlight w:val="yellow"/>
        </w:rPr>
      </w:sdtEndPr>
      <w:sdtContent>
        <w:p w:rsidR="008A37F9" w:rsidRPr="007C496D" w:rsidRDefault="008A37F9" w:rsidP="00514129">
          <w:pPr>
            <w:pStyle w:val="TOCHeading"/>
            <w:jc w:val="both"/>
            <w:rPr>
              <w:color w:val="365F91" w:themeColor="accent1" w:themeShade="BF"/>
              <w:sz w:val="16"/>
              <w:szCs w:val="16"/>
            </w:rPr>
          </w:pPr>
        </w:p>
        <w:p w:rsidR="00C47E1F" w:rsidRDefault="008A37F9">
          <w:pPr>
            <w:pStyle w:val="TOC1"/>
            <w:tabs>
              <w:tab w:val="right" w:leader="dot" w:pos="8296"/>
            </w:tabs>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482176914" w:history="1">
            <w:r w:rsidR="00C47E1F" w:rsidRPr="00997F9B">
              <w:rPr>
                <w:rStyle w:val="Hyperlink"/>
                <w:noProof/>
              </w:rPr>
              <w:t>Contents</w:t>
            </w:r>
            <w:r w:rsidR="00C47E1F">
              <w:rPr>
                <w:noProof/>
                <w:webHidden/>
              </w:rPr>
              <w:tab/>
            </w:r>
            <w:r w:rsidR="00C47E1F">
              <w:rPr>
                <w:noProof/>
                <w:webHidden/>
              </w:rPr>
              <w:fldChar w:fldCharType="begin"/>
            </w:r>
            <w:r w:rsidR="00C47E1F">
              <w:rPr>
                <w:noProof/>
                <w:webHidden/>
              </w:rPr>
              <w:instrText xml:space="preserve"> PAGEREF _Toc482176914 \h </w:instrText>
            </w:r>
            <w:r w:rsidR="00C47E1F">
              <w:rPr>
                <w:noProof/>
                <w:webHidden/>
              </w:rPr>
            </w:r>
            <w:r w:rsidR="00C47E1F">
              <w:rPr>
                <w:noProof/>
                <w:webHidden/>
              </w:rPr>
              <w:fldChar w:fldCharType="separate"/>
            </w:r>
            <w:r w:rsidR="00D047E2">
              <w:rPr>
                <w:noProof/>
                <w:webHidden/>
              </w:rPr>
              <w:t>2</w:t>
            </w:r>
            <w:r w:rsidR="00C47E1F">
              <w:rPr>
                <w:noProof/>
                <w:webHidden/>
              </w:rPr>
              <w:fldChar w:fldCharType="end"/>
            </w:r>
          </w:hyperlink>
        </w:p>
        <w:p w:rsidR="00C47E1F" w:rsidRDefault="00DD7869">
          <w:pPr>
            <w:pStyle w:val="TOC1"/>
            <w:tabs>
              <w:tab w:val="right" w:leader="dot" w:pos="8296"/>
            </w:tabs>
            <w:rPr>
              <w:rFonts w:asciiTheme="minorHAnsi" w:eastAsiaTheme="minorEastAsia" w:hAnsiTheme="minorHAnsi"/>
              <w:noProof/>
              <w:sz w:val="22"/>
              <w:lang w:eastAsia="en-AU"/>
            </w:rPr>
          </w:pPr>
          <w:hyperlink w:anchor="_Toc482176915" w:history="1">
            <w:r w:rsidR="00C47E1F" w:rsidRPr="00997F9B">
              <w:rPr>
                <w:rStyle w:val="Hyperlink"/>
                <w:noProof/>
              </w:rPr>
              <w:t>Abbreviations</w:t>
            </w:r>
            <w:r w:rsidR="00C47E1F">
              <w:rPr>
                <w:noProof/>
                <w:webHidden/>
              </w:rPr>
              <w:tab/>
            </w:r>
            <w:r w:rsidR="00C47E1F">
              <w:rPr>
                <w:noProof/>
                <w:webHidden/>
              </w:rPr>
              <w:fldChar w:fldCharType="begin"/>
            </w:r>
            <w:r w:rsidR="00C47E1F">
              <w:rPr>
                <w:noProof/>
                <w:webHidden/>
              </w:rPr>
              <w:instrText xml:space="preserve"> PAGEREF _Toc482176915 \h </w:instrText>
            </w:r>
            <w:r w:rsidR="00C47E1F">
              <w:rPr>
                <w:noProof/>
                <w:webHidden/>
              </w:rPr>
            </w:r>
            <w:r w:rsidR="00C47E1F">
              <w:rPr>
                <w:noProof/>
                <w:webHidden/>
              </w:rPr>
              <w:fldChar w:fldCharType="separate"/>
            </w:r>
            <w:r w:rsidR="00D047E2">
              <w:rPr>
                <w:noProof/>
                <w:webHidden/>
              </w:rPr>
              <w:t>5</w:t>
            </w:r>
            <w:r w:rsidR="00C47E1F">
              <w:rPr>
                <w:noProof/>
                <w:webHidden/>
              </w:rPr>
              <w:fldChar w:fldCharType="end"/>
            </w:r>
          </w:hyperlink>
        </w:p>
        <w:p w:rsidR="00C47E1F" w:rsidRDefault="00DD7869">
          <w:pPr>
            <w:pStyle w:val="TOC1"/>
            <w:tabs>
              <w:tab w:val="right" w:leader="dot" w:pos="8296"/>
            </w:tabs>
            <w:rPr>
              <w:rFonts w:asciiTheme="minorHAnsi" w:eastAsiaTheme="minorEastAsia" w:hAnsiTheme="minorHAnsi"/>
              <w:noProof/>
              <w:sz w:val="22"/>
              <w:lang w:eastAsia="en-AU"/>
            </w:rPr>
          </w:pPr>
          <w:hyperlink w:anchor="_Toc482176916" w:history="1">
            <w:r w:rsidR="00C47E1F" w:rsidRPr="00997F9B">
              <w:rPr>
                <w:rStyle w:val="Hyperlink"/>
                <w:noProof/>
              </w:rPr>
              <w:t>Glossary</w:t>
            </w:r>
            <w:r w:rsidR="00C47E1F">
              <w:rPr>
                <w:noProof/>
                <w:webHidden/>
              </w:rPr>
              <w:tab/>
            </w:r>
            <w:r w:rsidR="00C47E1F">
              <w:rPr>
                <w:noProof/>
                <w:webHidden/>
              </w:rPr>
              <w:fldChar w:fldCharType="begin"/>
            </w:r>
            <w:r w:rsidR="00C47E1F">
              <w:rPr>
                <w:noProof/>
                <w:webHidden/>
              </w:rPr>
              <w:instrText xml:space="preserve"> PAGEREF _Toc482176916 \h </w:instrText>
            </w:r>
            <w:r w:rsidR="00C47E1F">
              <w:rPr>
                <w:noProof/>
                <w:webHidden/>
              </w:rPr>
            </w:r>
            <w:r w:rsidR="00C47E1F">
              <w:rPr>
                <w:noProof/>
                <w:webHidden/>
              </w:rPr>
              <w:fldChar w:fldCharType="separate"/>
            </w:r>
            <w:r w:rsidR="00D047E2">
              <w:rPr>
                <w:noProof/>
                <w:webHidden/>
              </w:rPr>
              <w:t>6</w:t>
            </w:r>
            <w:r w:rsidR="00C47E1F">
              <w:rPr>
                <w:noProof/>
                <w:webHidden/>
              </w:rPr>
              <w:fldChar w:fldCharType="end"/>
            </w:r>
          </w:hyperlink>
        </w:p>
        <w:p w:rsidR="00C47E1F" w:rsidRDefault="00DD7869">
          <w:pPr>
            <w:pStyle w:val="TOC1"/>
            <w:tabs>
              <w:tab w:val="right" w:leader="dot" w:pos="8296"/>
            </w:tabs>
            <w:rPr>
              <w:rFonts w:asciiTheme="minorHAnsi" w:eastAsiaTheme="minorEastAsia" w:hAnsiTheme="minorHAnsi"/>
              <w:noProof/>
              <w:sz w:val="22"/>
              <w:lang w:eastAsia="en-AU"/>
            </w:rPr>
          </w:pPr>
          <w:hyperlink w:anchor="_Toc482176917" w:history="1">
            <w:r w:rsidR="00C47E1F" w:rsidRPr="00997F9B">
              <w:rPr>
                <w:rStyle w:val="Hyperlink"/>
                <w:noProof/>
              </w:rPr>
              <w:t>Consumer Summary</w:t>
            </w:r>
            <w:r w:rsidR="00C47E1F">
              <w:rPr>
                <w:noProof/>
                <w:webHidden/>
              </w:rPr>
              <w:tab/>
            </w:r>
            <w:r w:rsidR="00C47E1F">
              <w:rPr>
                <w:noProof/>
                <w:webHidden/>
              </w:rPr>
              <w:fldChar w:fldCharType="begin"/>
            </w:r>
            <w:r w:rsidR="00C47E1F">
              <w:rPr>
                <w:noProof/>
                <w:webHidden/>
              </w:rPr>
              <w:instrText xml:space="preserve"> PAGEREF _Toc482176917 \h </w:instrText>
            </w:r>
            <w:r w:rsidR="00C47E1F">
              <w:rPr>
                <w:noProof/>
                <w:webHidden/>
              </w:rPr>
            </w:r>
            <w:r w:rsidR="00C47E1F">
              <w:rPr>
                <w:noProof/>
                <w:webHidden/>
              </w:rPr>
              <w:fldChar w:fldCharType="separate"/>
            </w:r>
            <w:r w:rsidR="00D047E2">
              <w:rPr>
                <w:noProof/>
                <w:webHidden/>
              </w:rPr>
              <w:t>8</w:t>
            </w:r>
            <w:r w:rsidR="00C47E1F">
              <w:rPr>
                <w:noProof/>
                <w:webHidden/>
              </w:rPr>
              <w:fldChar w:fldCharType="end"/>
            </w:r>
          </w:hyperlink>
        </w:p>
        <w:p w:rsidR="00C47E1F" w:rsidRDefault="00DD7869">
          <w:pPr>
            <w:pStyle w:val="TOC1"/>
            <w:tabs>
              <w:tab w:val="right" w:leader="dot" w:pos="8296"/>
            </w:tabs>
            <w:rPr>
              <w:rFonts w:asciiTheme="minorHAnsi" w:eastAsiaTheme="minorEastAsia" w:hAnsiTheme="minorHAnsi"/>
              <w:noProof/>
              <w:sz w:val="22"/>
              <w:lang w:eastAsia="en-AU"/>
            </w:rPr>
          </w:pPr>
          <w:hyperlink w:anchor="_Toc482176918" w:history="1">
            <w:r w:rsidR="00C47E1F" w:rsidRPr="00997F9B">
              <w:rPr>
                <w:rStyle w:val="Hyperlink"/>
                <w:noProof/>
              </w:rPr>
              <w:t>Executive Summary</w:t>
            </w:r>
            <w:r w:rsidR="00C47E1F">
              <w:rPr>
                <w:noProof/>
                <w:webHidden/>
              </w:rPr>
              <w:tab/>
            </w:r>
            <w:r w:rsidR="00C47E1F">
              <w:rPr>
                <w:noProof/>
                <w:webHidden/>
              </w:rPr>
              <w:fldChar w:fldCharType="begin"/>
            </w:r>
            <w:r w:rsidR="00C47E1F">
              <w:rPr>
                <w:noProof/>
                <w:webHidden/>
              </w:rPr>
              <w:instrText xml:space="preserve"> PAGEREF _Toc482176918 \h </w:instrText>
            </w:r>
            <w:r w:rsidR="00C47E1F">
              <w:rPr>
                <w:noProof/>
                <w:webHidden/>
              </w:rPr>
            </w:r>
            <w:r w:rsidR="00C47E1F">
              <w:rPr>
                <w:noProof/>
                <w:webHidden/>
              </w:rPr>
              <w:fldChar w:fldCharType="separate"/>
            </w:r>
            <w:r w:rsidR="00D047E2">
              <w:rPr>
                <w:noProof/>
                <w:webHidden/>
              </w:rPr>
              <w:t>8</w:t>
            </w:r>
            <w:r w:rsidR="00C47E1F">
              <w:rPr>
                <w:noProof/>
                <w:webHidden/>
              </w:rPr>
              <w:fldChar w:fldCharType="end"/>
            </w:r>
          </w:hyperlink>
        </w:p>
        <w:p w:rsidR="00C47E1F" w:rsidRDefault="00DD7869">
          <w:pPr>
            <w:pStyle w:val="TOC1"/>
            <w:tabs>
              <w:tab w:val="right" w:leader="dot" w:pos="8296"/>
            </w:tabs>
            <w:rPr>
              <w:rFonts w:asciiTheme="minorHAnsi" w:eastAsiaTheme="minorEastAsia" w:hAnsiTheme="minorHAnsi"/>
              <w:noProof/>
              <w:sz w:val="22"/>
              <w:lang w:eastAsia="en-AU"/>
            </w:rPr>
          </w:pPr>
          <w:hyperlink w:anchor="_Toc482176919" w:history="1">
            <w:r w:rsidR="00C47E1F" w:rsidRPr="00997F9B">
              <w:rPr>
                <w:rStyle w:val="Hyperlink"/>
                <w:noProof/>
              </w:rPr>
              <w:t>Report Structure</w:t>
            </w:r>
            <w:r w:rsidR="00C47E1F">
              <w:rPr>
                <w:noProof/>
                <w:webHidden/>
              </w:rPr>
              <w:tab/>
            </w:r>
            <w:r w:rsidR="00C47E1F">
              <w:rPr>
                <w:noProof/>
                <w:webHidden/>
              </w:rPr>
              <w:fldChar w:fldCharType="begin"/>
            </w:r>
            <w:r w:rsidR="00C47E1F">
              <w:rPr>
                <w:noProof/>
                <w:webHidden/>
              </w:rPr>
              <w:instrText xml:space="preserve"> PAGEREF _Toc482176919 \h </w:instrText>
            </w:r>
            <w:r w:rsidR="00C47E1F">
              <w:rPr>
                <w:noProof/>
                <w:webHidden/>
              </w:rPr>
            </w:r>
            <w:r w:rsidR="00C47E1F">
              <w:rPr>
                <w:noProof/>
                <w:webHidden/>
              </w:rPr>
              <w:fldChar w:fldCharType="separate"/>
            </w:r>
            <w:r w:rsidR="00D047E2">
              <w:rPr>
                <w:noProof/>
                <w:webHidden/>
              </w:rPr>
              <w:t>18</w:t>
            </w:r>
            <w:r w:rsidR="00C47E1F">
              <w:rPr>
                <w:noProof/>
                <w:webHidden/>
              </w:rPr>
              <w:fldChar w:fldCharType="end"/>
            </w:r>
          </w:hyperlink>
        </w:p>
        <w:p w:rsidR="00C47E1F" w:rsidRDefault="00DD7869">
          <w:pPr>
            <w:pStyle w:val="TOC1"/>
            <w:tabs>
              <w:tab w:val="right" w:leader="dot" w:pos="8296"/>
            </w:tabs>
            <w:rPr>
              <w:rFonts w:asciiTheme="minorHAnsi" w:eastAsiaTheme="minorEastAsia" w:hAnsiTheme="minorHAnsi"/>
              <w:noProof/>
              <w:sz w:val="22"/>
              <w:lang w:eastAsia="en-AU"/>
            </w:rPr>
          </w:pPr>
          <w:hyperlink w:anchor="_Toc482176920" w:history="1">
            <w:r w:rsidR="00C47E1F" w:rsidRPr="00997F9B">
              <w:rPr>
                <w:rStyle w:val="Hyperlink"/>
                <w:noProof/>
              </w:rPr>
              <w:t>Background</w:t>
            </w:r>
            <w:r w:rsidR="00C47E1F">
              <w:rPr>
                <w:noProof/>
                <w:webHidden/>
              </w:rPr>
              <w:tab/>
            </w:r>
            <w:r w:rsidR="00C47E1F">
              <w:rPr>
                <w:noProof/>
                <w:webHidden/>
              </w:rPr>
              <w:fldChar w:fldCharType="begin"/>
            </w:r>
            <w:r w:rsidR="00C47E1F">
              <w:rPr>
                <w:noProof/>
                <w:webHidden/>
              </w:rPr>
              <w:instrText xml:space="preserve"> PAGEREF _Toc482176920 \h </w:instrText>
            </w:r>
            <w:r w:rsidR="00C47E1F">
              <w:rPr>
                <w:noProof/>
                <w:webHidden/>
              </w:rPr>
            </w:r>
            <w:r w:rsidR="00C47E1F">
              <w:rPr>
                <w:noProof/>
                <w:webHidden/>
              </w:rPr>
              <w:fldChar w:fldCharType="separate"/>
            </w:r>
            <w:r w:rsidR="00D047E2">
              <w:rPr>
                <w:noProof/>
                <w:webHidden/>
              </w:rPr>
              <w:t>19</w:t>
            </w:r>
            <w:r w:rsidR="00C47E1F">
              <w:rPr>
                <w:noProof/>
                <w:webHidden/>
              </w:rPr>
              <w:fldChar w:fldCharType="end"/>
            </w:r>
          </w:hyperlink>
        </w:p>
        <w:p w:rsidR="00C47E1F" w:rsidRDefault="00DD7869">
          <w:pPr>
            <w:pStyle w:val="TOC2"/>
            <w:tabs>
              <w:tab w:val="left" w:pos="1100"/>
              <w:tab w:val="right" w:leader="dot" w:pos="8296"/>
            </w:tabs>
            <w:rPr>
              <w:rFonts w:asciiTheme="minorHAnsi" w:eastAsiaTheme="minorEastAsia" w:hAnsiTheme="minorHAnsi"/>
              <w:noProof/>
              <w:sz w:val="22"/>
              <w:lang w:eastAsia="en-AU"/>
            </w:rPr>
          </w:pPr>
          <w:hyperlink w:anchor="_Toc482176921" w:history="1">
            <w:r w:rsidR="00C47E1F" w:rsidRPr="00997F9B">
              <w:rPr>
                <w:rStyle w:val="Hyperlink"/>
                <w:noProof/>
              </w:rPr>
              <w:t>B.1.1</w:t>
            </w:r>
            <w:r w:rsidR="00C47E1F">
              <w:rPr>
                <w:rFonts w:asciiTheme="minorHAnsi" w:eastAsiaTheme="minorEastAsia" w:hAnsiTheme="minorHAnsi"/>
                <w:noProof/>
                <w:sz w:val="22"/>
                <w:lang w:eastAsia="en-AU"/>
              </w:rPr>
              <w:tab/>
            </w:r>
            <w:r w:rsidR="00C47E1F" w:rsidRPr="00997F9B">
              <w:rPr>
                <w:rStyle w:val="Hyperlink"/>
                <w:noProof/>
              </w:rPr>
              <w:t>Context for a Post-Market Review</w:t>
            </w:r>
            <w:r w:rsidR="00C47E1F">
              <w:rPr>
                <w:noProof/>
                <w:webHidden/>
              </w:rPr>
              <w:tab/>
            </w:r>
            <w:r w:rsidR="00C47E1F">
              <w:rPr>
                <w:noProof/>
                <w:webHidden/>
              </w:rPr>
              <w:fldChar w:fldCharType="begin"/>
            </w:r>
            <w:r w:rsidR="00C47E1F">
              <w:rPr>
                <w:noProof/>
                <w:webHidden/>
              </w:rPr>
              <w:instrText xml:space="preserve"> PAGEREF _Toc482176921 \h </w:instrText>
            </w:r>
            <w:r w:rsidR="00C47E1F">
              <w:rPr>
                <w:noProof/>
                <w:webHidden/>
              </w:rPr>
            </w:r>
            <w:r w:rsidR="00C47E1F">
              <w:rPr>
                <w:noProof/>
                <w:webHidden/>
              </w:rPr>
              <w:fldChar w:fldCharType="separate"/>
            </w:r>
            <w:r w:rsidR="00D047E2">
              <w:rPr>
                <w:noProof/>
                <w:webHidden/>
              </w:rPr>
              <w:t>19</w:t>
            </w:r>
            <w:r w:rsidR="00C47E1F">
              <w:rPr>
                <w:noProof/>
                <w:webHidden/>
              </w:rPr>
              <w:fldChar w:fldCharType="end"/>
            </w:r>
          </w:hyperlink>
        </w:p>
        <w:p w:rsidR="00C47E1F" w:rsidRDefault="00DD7869">
          <w:pPr>
            <w:pStyle w:val="TOC3"/>
            <w:tabs>
              <w:tab w:val="left" w:pos="1540"/>
              <w:tab w:val="right" w:leader="dot" w:pos="8296"/>
            </w:tabs>
            <w:rPr>
              <w:rFonts w:asciiTheme="minorHAnsi" w:eastAsiaTheme="minorEastAsia" w:hAnsiTheme="minorHAnsi"/>
              <w:noProof/>
              <w:sz w:val="22"/>
              <w:lang w:eastAsia="en-AU"/>
            </w:rPr>
          </w:pPr>
          <w:hyperlink w:anchor="_Toc482176922" w:history="1">
            <w:r w:rsidR="00C47E1F" w:rsidRPr="00997F9B">
              <w:rPr>
                <w:rStyle w:val="Hyperlink"/>
                <w:noProof/>
              </w:rPr>
              <w:t>B.</w:t>
            </w:r>
            <w:r w:rsidR="00C47E1F" w:rsidRPr="00997F9B">
              <w:rPr>
                <w:rStyle w:val="Hyperlink"/>
                <w:iCs/>
                <w:noProof/>
              </w:rPr>
              <w:t>1.1.1</w:t>
            </w:r>
            <w:r w:rsidR="00C47E1F">
              <w:rPr>
                <w:rFonts w:asciiTheme="minorHAnsi" w:eastAsiaTheme="minorEastAsia" w:hAnsiTheme="minorHAnsi"/>
                <w:noProof/>
                <w:sz w:val="22"/>
                <w:lang w:eastAsia="en-AU"/>
              </w:rPr>
              <w:tab/>
            </w:r>
            <w:r w:rsidR="00C47E1F" w:rsidRPr="00997F9B">
              <w:rPr>
                <w:rStyle w:val="Hyperlink"/>
                <w:iCs/>
                <w:noProof/>
              </w:rPr>
              <w:t>The National Medicines Policy (NMP)</w:t>
            </w:r>
            <w:r w:rsidR="00C47E1F">
              <w:rPr>
                <w:noProof/>
                <w:webHidden/>
              </w:rPr>
              <w:tab/>
            </w:r>
            <w:r w:rsidR="00C47E1F">
              <w:rPr>
                <w:noProof/>
                <w:webHidden/>
              </w:rPr>
              <w:fldChar w:fldCharType="begin"/>
            </w:r>
            <w:r w:rsidR="00C47E1F">
              <w:rPr>
                <w:noProof/>
                <w:webHidden/>
              </w:rPr>
              <w:instrText xml:space="preserve"> PAGEREF _Toc482176922 \h </w:instrText>
            </w:r>
            <w:r w:rsidR="00C47E1F">
              <w:rPr>
                <w:noProof/>
                <w:webHidden/>
              </w:rPr>
            </w:r>
            <w:r w:rsidR="00C47E1F">
              <w:rPr>
                <w:noProof/>
                <w:webHidden/>
              </w:rPr>
              <w:fldChar w:fldCharType="separate"/>
            </w:r>
            <w:r w:rsidR="00D047E2">
              <w:rPr>
                <w:noProof/>
                <w:webHidden/>
              </w:rPr>
              <w:t>19</w:t>
            </w:r>
            <w:r w:rsidR="00C47E1F">
              <w:rPr>
                <w:noProof/>
                <w:webHidden/>
              </w:rPr>
              <w:fldChar w:fldCharType="end"/>
            </w:r>
          </w:hyperlink>
        </w:p>
        <w:p w:rsidR="00C47E1F" w:rsidRDefault="00DD7869">
          <w:pPr>
            <w:pStyle w:val="TOC3"/>
            <w:tabs>
              <w:tab w:val="left" w:pos="1540"/>
              <w:tab w:val="right" w:leader="dot" w:pos="8296"/>
            </w:tabs>
            <w:rPr>
              <w:rFonts w:asciiTheme="minorHAnsi" w:eastAsiaTheme="minorEastAsia" w:hAnsiTheme="minorHAnsi"/>
              <w:noProof/>
              <w:sz w:val="22"/>
              <w:lang w:eastAsia="en-AU"/>
            </w:rPr>
          </w:pPr>
          <w:hyperlink w:anchor="_Toc482176923" w:history="1">
            <w:r w:rsidR="00C47E1F" w:rsidRPr="00997F9B">
              <w:rPr>
                <w:rStyle w:val="Hyperlink"/>
                <w:noProof/>
              </w:rPr>
              <w:t>B.1.1.2</w:t>
            </w:r>
            <w:r w:rsidR="00C47E1F">
              <w:rPr>
                <w:rFonts w:asciiTheme="minorHAnsi" w:eastAsiaTheme="minorEastAsia" w:hAnsiTheme="minorHAnsi"/>
                <w:noProof/>
                <w:sz w:val="22"/>
                <w:lang w:eastAsia="en-AU"/>
              </w:rPr>
              <w:tab/>
            </w:r>
            <w:r w:rsidR="00C47E1F" w:rsidRPr="00997F9B">
              <w:rPr>
                <w:rStyle w:val="Hyperlink"/>
                <w:noProof/>
              </w:rPr>
              <w:t>Australian Commission on Safety and Quality in Health Care (ACSQHC)</w:t>
            </w:r>
            <w:r w:rsidR="00C47E1F">
              <w:rPr>
                <w:noProof/>
                <w:webHidden/>
              </w:rPr>
              <w:tab/>
            </w:r>
            <w:r w:rsidR="00C47E1F">
              <w:rPr>
                <w:noProof/>
                <w:webHidden/>
              </w:rPr>
              <w:fldChar w:fldCharType="begin"/>
            </w:r>
            <w:r w:rsidR="00C47E1F">
              <w:rPr>
                <w:noProof/>
                <w:webHidden/>
              </w:rPr>
              <w:instrText xml:space="preserve"> PAGEREF _Toc482176923 \h </w:instrText>
            </w:r>
            <w:r w:rsidR="00C47E1F">
              <w:rPr>
                <w:noProof/>
                <w:webHidden/>
              </w:rPr>
            </w:r>
            <w:r w:rsidR="00C47E1F">
              <w:rPr>
                <w:noProof/>
                <w:webHidden/>
              </w:rPr>
              <w:fldChar w:fldCharType="separate"/>
            </w:r>
            <w:r w:rsidR="00D047E2">
              <w:rPr>
                <w:noProof/>
                <w:webHidden/>
              </w:rPr>
              <w:t>19</w:t>
            </w:r>
            <w:r w:rsidR="00C47E1F">
              <w:rPr>
                <w:noProof/>
                <w:webHidden/>
              </w:rPr>
              <w:fldChar w:fldCharType="end"/>
            </w:r>
          </w:hyperlink>
        </w:p>
        <w:p w:rsidR="00C47E1F" w:rsidRDefault="00DD7869">
          <w:pPr>
            <w:pStyle w:val="TOC3"/>
            <w:tabs>
              <w:tab w:val="left" w:pos="1540"/>
              <w:tab w:val="right" w:leader="dot" w:pos="8296"/>
            </w:tabs>
            <w:rPr>
              <w:rFonts w:asciiTheme="minorHAnsi" w:eastAsiaTheme="minorEastAsia" w:hAnsiTheme="minorHAnsi"/>
              <w:noProof/>
              <w:sz w:val="22"/>
              <w:lang w:eastAsia="en-AU"/>
            </w:rPr>
          </w:pPr>
          <w:hyperlink w:anchor="_Toc482176924" w:history="1">
            <w:r w:rsidR="00C47E1F" w:rsidRPr="00997F9B">
              <w:rPr>
                <w:rStyle w:val="Hyperlink"/>
                <w:noProof/>
              </w:rPr>
              <w:t>B.</w:t>
            </w:r>
            <w:r w:rsidR="00C47E1F" w:rsidRPr="00997F9B">
              <w:rPr>
                <w:rStyle w:val="Hyperlink"/>
                <w:iCs/>
                <w:noProof/>
              </w:rPr>
              <w:t>1.1.3</w:t>
            </w:r>
            <w:r w:rsidR="00C47E1F">
              <w:rPr>
                <w:rFonts w:asciiTheme="minorHAnsi" w:eastAsiaTheme="minorEastAsia" w:hAnsiTheme="minorHAnsi"/>
                <w:noProof/>
                <w:sz w:val="22"/>
                <w:lang w:eastAsia="en-AU"/>
              </w:rPr>
              <w:tab/>
            </w:r>
            <w:r w:rsidR="00C47E1F" w:rsidRPr="00997F9B">
              <w:rPr>
                <w:rStyle w:val="Hyperlink"/>
                <w:iCs/>
                <w:noProof/>
              </w:rPr>
              <w:t>Pharmaceutical Benefits Scheme (PBS)</w:t>
            </w:r>
            <w:r w:rsidR="00C47E1F">
              <w:rPr>
                <w:noProof/>
                <w:webHidden/>
              </w:rPr>
              <w:tab/>
            </w:r>
            <w:r w:rsidR="00C47E1F">
              <w:rPr>
                <w:noProof/>
                <w:webHidden/>
              </w:rPr>
              <w:fldChar w:fldCharType="begin"/>
            </w:r>
            <w:r w:rsidR="00C47E1F">
              <w:rPr>
                <w:noProof/>
                <w:webHidden/>
              </w:rPr>
              <w:instrText xml:space="preserve"> PAGEREF _Toc482176924 \h </w:instrText>
            </w:r>
            <w:r w:rsidR="00C47E1F">
              <w:rPr>
                <w:noProof/>
                <w:webHidden/>
              </w:rPr>
            </w:r>
            <w:r w:rsidR="00C47E1F">
              <w:rPr>
                <w:noProof/>
                <w:webHidden/>
              </w:rPr>
              <w:fldChar w:fldCharType="separate"/>
            </w:r>
            <w:r w:rsidR="00D047E2">
              <w:rPr>
                <w:noProof/>
                <w:webHidden/>
              </w:rPr>
              <w:t>20</w:t>
            </w:r>
            <w:r w:rsidR="00C47E1F">
              <w:rPr>
                <w:noProof/>
                <w:webHidden/>
              </w:rPr>
              <w:fldChar w:fldCharType="end"/>
            </w:r>
          </w:hyperlink>
        </w:p>
        <w:p w:rsidR="00C47E1F" w:rsidRDefault="00DD7869">
          <w:pPr>
            <w:pStyle w:val="TOC3"/>
            <w:tabs>
              <w:tab w:val="left" w:pos="1540"/>
              <w:tab w:val="right" w:leader="dot" w:pos="8296"/>
            </w:tabs>
            <w:rPr>
              <w:rFonts w:asciiTheme="minorHAnsi" w:eastAsiaTheme="minorEastAsia" w:hAnsiTheme="minorHAnsi"/>
              <w:noProof/>
              <w:sz w:val="22"/>
              <w:lang w:eastAsia="en-AU"/>
            </w:rPr>
          </w:pPr>
          <w:hyperlink w:anchor="_Toc482176925" w:history="1">
            <w:r w:rsidR="00C47E1F" w:rsidRPr="00997F9B">
              <w:rPr>
                <w:rStyle w:val="Hyperlink"/>
                <w:noProof/>
              </w:rPr>
              <w:t>B.</w:t>
            </w:r>
            <w:r w:rsidR="00C47E1F" w:rsidRPr="00997F9B">
              <w:rPr>
                <w:rStyle w:val="Hyperlink"/>
                <w:iCs/>
                <w:noProof/>
              </w:rPr>
              <w:t>1.1.4</w:t>
            </w:r>
            <w:r w:rsidR="00C47E1F">
              <w:rPr>
                <w:rFonts w:asciiTheme="minorHAnsi" w:eastAsiaTheme="minorEastAsia" w:hAnsiTheme="minorHAnsi"/>
                <w:noProof/>
                <w:sz w:val="22"/>
                <w:lang w:eastAsia="en-AU"/>
              </w:rPr>
              <w:tab/>
            </w:r>
            <w:r w:rsidR="00C47E1F" w:rsidRPr="00997F9B">
              <w:rPr>
                <w:rStyle w:val="Hyperlink"/>
                <w:iCs/>
                <w:noProof/>
              </w:rPr>
              <w:t>The Pharmaceutical Benefits Advisory Committee</w:t>
            </w:r>
            <w:r w:rsidR="00C47E1F">
              <w:rPr>
                <w:noProof/>
                <w:webHidden/>
              </w:rPr>
              <w:tab/>
            </w:r>
            <w:r w:rsidR="00C47E1F">
              <w:rPr>
                <w:noProof/>
                <w:webHidden/>
              </w:rPr>
              <w:fldChar w:fldCharType="begin"/>
            </w:r>
            <w:r w:rsidR="00C47E1F">
              <w:rPr>
                <w:noProof/>
                <w:webHidden/>
              </w:rPr>
              <w:instrText xml:space="preserve"> PAGEREF _Toc482176925 \h </w:instrText>
            </w:r>
            <w:r w:rsidR="00C47E1F">
              <w:rPr>
                <w:noProof/>
                <w:webHidden/>
              </w:rPr>
            </w:r>
            <w:r w:rsidR="00C47E1F">
              <w:rPr>
                <w:noProof/>
                <w:webHidden/>
              </w:rPr>
              <w:fldChar w:fldCharType="separate"/>
            </w:r>
            <w:r w:rsidR="00D047E2">
              <w:rPr>
                <w:noProof/>
                <w:webHidden/>
              </w:rPr>
              <w:t>20</w:t>
            </w:r>
            <w:r w:rsidR="00C47E1F">
              <w:rPr>
                <w:noProof/>
                <w:webHidden/>
              </w:rPr>
              <w:fldChar w:fldCharType="end"/>
            </w:r>
          </w:hyperlink>
        </w:p>
        <w:p w:rsidR="00C47E1F" w:rsidRDefault="00DD7869">
          <w:pPr>
            <w:pStyle w:val="TOC3"/>
            <w:tabs>
              <w:tab w:val="left" w:pos="1540"/>
              <w:tab w:val="right" w:leader="dot" w:pos="8296"/>
            </w:tabs>
            <w:rPr>
              <w:rFonts w:asciiTheme="minorHAnsi" w:eastAsiaTheme="minorEastAsia" w:hAnsiTheme="minorHAnsi"/>
              <w:noProof/>
              <w:sz w:val="22"/>
              <w:lang w:eastAsia="en-AU"/>
            </w:rPr>
          </w:pPr>
          <w:hyperlink w:anchor="_Toc482176926" w:history="1">
            <w:r w:rsidR="00C47E1F" w:rsidRPr="00997F9B">
              <w:rPr>
                <w:rStyle w:val="Hyperlink"/>
                <w:noProof/>
              </w:rPr>
              <w:t>B.</w:t>
            </w:r>
            <w:r w:rsidR="00C47E1F" w:rsidRPr="00997F9B">
              <w:rPr>
                <w:rStyle w:val="Hyperlink"/>
                <w:iCs/>
                <w:noProof/>
              </w:rPr>
              <w:t>1.1.5</w:t>
            </w:r>
            <w:r w:rsidR="00C47E1F">
              <w:rPr>
                <w:rFonts w:asciiTheme="minorHAnsi" w:eastAsiaTheme="minorEastAsia" w:hAnsiTheme="minorHAnsi"/>
                <w:noProof/>
                <w:sz w:val="22"/>
                <w:lang w:eastAsia="en-AU"/>
              </w:rPr>
              <w:tab/>
            </w:r>
            <w:r w:rsidR="00C47E1F" w:rsidRPr="00997F9B">
              <w:rPr>
                <w:rStyle w:val="Hyperlink"/>
                <w:iCs/>
                <w:noProof/>
              </w:rPr>
              <w:t>Post-market monitoring</w:t>
            </w:r>
            <w:r w:rsidR="00C47E1F">
              <w:rPr>
                <w:noProof/>
                <w:webHidden/>
              </w:rPr>
              <w:tab/>
            </w:r>
            <w:r w:rsidR="00C47E1F">
              <w:rPr>
                <w:noProof/>
                <w:webHidden/>
              </w:rPr>
              <w:fldChar w:fldCharType="begin"/>
            </w:r>
            <w:r w:rsidR="00C47E1F">
              <w:rPr>
                <w:noProof/>
                <w:webHidden/>
              </w:rPr>
              <w:instrText xml:space="preserve"> PAGEREF _Toc482176926 \h </w:instrText>
            </w:r>
            <w:r w:rsidR="00C47E1F">
              <w:rPr>
                <w:noProof/>
                <w:webHidden/>
              </w:rPr>
            </w:r>
            <w:r w:rsidR="00C47E1F">
              <w:rPr>
                <w:noProof/>
                <w:webHidden/>
              </w:rPr>
              <w:fldChar w:fldCharType="separate"/>
            </w:r>
            <w:r w:rsidR="00D047E2">
              <w:rPr>
                <w:noProof/>
                <w:webHidden/>
              </w:rPr>
              <w:t>21</w:t>
            </w:r>
            <w:r w:rsidR="00C47E1F">
              <w:rPr>
                <w:noProof/>
                <w:webHidden/>
              </w:rPr>
              <w:fldChar w:fldCharType="end"/>
            </w:r>
          </w:hyperlink>
        </w:p>
        <w:p w:rsidR="00C47E1F" w:rsidRDefault="00DD7869">
          <w:pPr>
            <w:pStyle w:val="TOC2"/>
            <w:tabs>
              <w:tab w:val="left" w:pos="1100"/>
              <w:tab w:val="right" w:leader="dot" w:pos="8296"/>
            </w:tabs>
            <w:rPr>
              <w:rFonts w:asciiTheme="minorHAnsi" w:eastAsiaTheme="minorEastAsia" w:hAnsiTheme="minorHAnsi"/>
              <w:noProof/>
              <w:sz w:val="22"/>
              <w:lang w:eastAsia="en-AU"/>
            </w:rPr>
          </w:pPr>
          <w:hyperlink w:anchor="_Toc482176927" w:history="1">
            <w:r w:rsidR="00C47E1F" w:rsidRPr="00997F9B">
              <w:rPr>
                <w:rStyle w:val="Hyperlink"/>
                <w:noProof/>
              </w:rPr>
              <w:t>B.</w:t>
            </w:r>
            <w:r w:rsidR="00C47E1F" w:rsidRPr="00997F9B">
              <w:rPr>
                <w:rStyle w:val="Hyperlink"/>
                <w:noProof/>
                <w:highlight w:val="yellow"/>
              </w:rPr>
              <w:t>1.2</w:t>
            </w:r>
            <w:r w:rsidR="00C47E1F">
              <w:rPr>
                <w:rFonts w:asciiTheme="minorHAnsi" w:eastAsiaTheme="minorEastAsia" w:hAnsiTheme="minorHAnsi"/>
                <w:noProof/>
                <w:sz w:val="22"/>
                <w:lang w:eastAsia="en-AU"/>
              </w:rPr>
              <w:tab/>
            </w:r>
            <w:r w:rsidR="00C47E1F" w:rsidRPr="00997F9B">
              <w:rPr>
                <w:rStyle w:val="Hyperlink"/>
                <w:noProof/>
                <w:highlight w:val="yellow"/>
              </w:rPr>
              <w:t xml:space="preserve"> Overview of the Review Process</w:t>
            </w:r>
            <w:r w:rsidR="00C47E1F">
              <w:rPr>
                <w:noProof/>
                <w:webHidden/>
              </w:rPr>
              <w:tab/>
            </w:r>
            <w:r w:rsidR="00C47E1F">
              <w:rPr>
                <w:noProof/>
                <w:webHidden/>
              </w:rPr>
              <w:fldChar w:fldCharType="begin"/>
            </w:r>
            <w:r w:rsidR="00C47E1F">
              <w:rPr>
                <w:noProof/>
                <w:webHidden/>
              </w:rPr>
              <w:instrText xml:space="preserve"> PAGEREF _Toc482176927 \h </w:instrText>
            </w:r>
            <w:r w:rsidR="00C47E1F">
              <w:rPr>
                <w:noProof/>
                <w:webHidden/>
              </w:rPr>
            </w:r>
            <w:r w:rsidR="00C47E1F">
              <w:rPr>
                <w:noProof/>
                <w:webHidden/>
              </w:rPr>
              <w:fldChar w:fldCharType="separate"/>
            </w:r>
            <w:r w:rsidR="00D047E2">
              <w:rPr>
                <w:noProof/>
                <w:webHidden/>
              </w:rPr>
              <w:t>21</w:t>
            </w:r>
            <w:r w:rsidR="00C47E1F">
              <w:rPr>
                <w:noProof/>
                <w:webHidden/>
              </w:rPr>
              <w:fldChar w:fldCharType="end"/>
            </w:r>
          </w:hyperlink>
        </w:p>
        <w:p w:rsidR="00C47E1F" w:rsidRDefault="00DD7869">
          <w:pPr>
            <w:pStyle w:val="TOC3"/>
            <w:tabs>
              <w:tab w:val="left" w:pos="1540"/>
              <w:tab w:val="right" w:leader="dot" w:pos="8296"/>
            </w:tabs>
            <w:rPr>
              <w:rFonts w:asciiTheme="minorHAnsi" w:eastAsiaTheme="minorEastAsia" w:hAnsiTheme="minorHAnsi"/>
              <w:noProof/>
              <w:sz w:val="22"/>
              <w:lang w:eastAsia="en-AU"/>
            </w:rPr>
          </w:pPr>
          <w:hyperlink w:anchor="_Toc482176928" w:history="1">
            <w:r w:rsidR="00C47E1F" w:rsidRPr="00997F9B">
              <w:rPr>
                <w:rStyle w:val="Hyperlink"/>
                <w:noProof/>
              </w:rPr>
              <w:t>B.1.2.1</w:t>
            </w:r>
            <w:r w:rsidR="00C47E1F">
              <w:rPr>
                <w:rFonts w:asciiTheme="minorHAnsi" w:eastAsiaTheme="minorEastAsia" w:hAnsiTheme="minorHAnsi"/>
                <w:noProof/>
                <w:sz w:val="22"/>
                <w:lang w:eastAsia="en-AU"/>
              </w:rPr>
              <w:tab/>
            </w:r>
            <w:r w:rsidR="00C47E1F" w:rsidRPr="00997F9B">
              <w:rPr>
                <w:rStyle w:val="Hyperlink"/>
                <w:noProof/>
              </w:rPr>
              <w:t>Review Reference Group</w:t>
            </w:r>
            <w:r w:rsidR="00C47E1F">
              <w:rPr>
                <w:noProof/>
                <w:webHidden/>
              </w:rPr>
              <w:tab/>
            </w:r>
            <w:r w:rsidR="00C47E1F">
              <w:rPr>
                <w:noProof/>
                <w:webHidden/>
              </w:rPr>
              <w:fldChar w:fldCharType="begin"/>
            </w:r>
            <w:r w:rsidR="00C47E1F">
              <w:rPr>
                <w:noProof/>
                <w:webHidden/>
              </w:rPr>
              <w:instrText xml:space="preserve"> PAGEREF _Toc482176928 \h </w:instrText>
            </w:r>
            <w:r w:rsidR="00C47E1F">
              <w:rPr>
                <w:noProof/>
                <w:webHidden/>
              </w:rPr>
            </w:r>
            <w:r w:rsidR="00C47E1F">
              <w:rPr>
                <w:noProof/>
                <w:webHidden/>
              </w:rPr>
              <w:fldChar w:fldCharType="separate"/>
            </w:r>
            <w:r w:rsidR="00D047E2">
              <w:rPr>
                <w:noProof/>
                <w:webHidden/>
              </w:rPr>
              <w:t>22</w:t>
            </w:r>
            <w:r w:rsidR="00C47E1F">
              <w:rPr>
                <w:noProof/>
                <w:webHidden/>
              </w:rPr>
              <w:fldChar w:fldCharType="end"/>
            </w:r>
          </w:hyperlink>
        </w:p>
        <w:p w:rsidR="00C47E1F" w:rsidRDefault="00DD7869">
          <w:pPr>
            <w:pStyle w:val="TOC3"/>
            <w:tabs>
              <w:tab w:val="left" w:pos="1540"/>
              <w:tab w:val="right" w:leader="dot" w:pos="8296"/>
            </w:tabs>
            <w:rPr>
              <w:rFonts w:asciiTheme="minorHAnsi" w:eastAsiaTheme="minorEastAsia" w:hAnsiTheme="minorHAnsi"/>
              <w:noProof/>
              <w:sz w:val="22"/>
              <w:lang w:eastAsia="en-AU"/>
            </w:rPr>
          </w:pPr>
          <w:hyperlink w:anchor="_Toc482176929" w:history="1">
            <w:r w:rsidR="00C47E1F" w:rsidRPr="00997F9B">
              <w:rPr>
                <w:rStyle w:val="Hyperlink"/>
                <w:noProof/>
              </w:rPr>
              <w:t>B.1.2.2</w:t>
            </w:r>
            <w:r w:rsidR="00C47E1F">
              <w:rPr>
                <w:rFonts w:asciiTheme="minorHAnsi" w:eastAsiaTheme="minorEastAsia" w:hAnsiTheme="minorHAnsi"/>
                <w:noProof/>
                <w:sz w:val="22"/>
                <w:lang w:eastAsia="en-AU"/>
              </w:rPr>
              <w:tab/>
            </w:r>
            <w:r w:rsidR="00C47E1F" w:rsidRPr="00997F9B">
              <w:rPr>
                <w:rStyle w:val="Hyperlink"/>
                <w:noProof/>
              </w:rPr>
              <w:t>Report Sources</w:t>
            </w:r>
            <w:r w:rsidR="00C47E1F">
              <w:rPr>
                <w:noProof/>
                <w:webHidden/>
              </w:rPr>
              <w:tab/>
            </w:r>
            <w:r w:rsidR="00C47E1F">
              <w:rPr>
                <w:noProof/>
                <w:webHidden/>
              </w:rPr>
              <w:fldChar w:fldCharType="begin"/>
            </w:r>
            <w:r w:rsidR="00C47E1F">
              <w:rPr>
                <w:noProof/>
                <w:webHidden/>
              </w:rPr>
              <w:instrText xml:space="preserve"> PAGEREF _Toc482176929 \h </w:instrText>
            </w:r>
            <w:r w:rsidR="00C47E1F">
              <w:rPr>
                <w:noProof/>
                <w:webHidden/>
              </w:rPr>
            </w:r>
            <w:r w:rsidR="00C47E1F">
              <w:rPr>
                <w:noProof/>
                <w:webHidden/>
              </w:rPr>
              <w:fldChar w:fldCharType="separate"/>
            </w:r>
            <w:r w:rsidR="00D047E2">
              <w:rPr>
                <w:noProof/>
                <w:webHidden/>
              </w:rPr>
              <w:t>22</w:t>
            </w:r>
            <w:r w:rsidR="00C47E1F">
              <w:rPr>
                <w:noProof/>
                <w:webHidden/>
              </w:rPr>
              <w:fldChar w:fldCharType="end"/>
            </w:r>
          </w:hyperlink>
        </w:p>
        <w:p w:rsidR="00C47E1F" w:rsidRDefault="00DD7869">
          <w:pPr>
            <w:pStyle w:val="TOC2"/>
            <w:tabs>
              <w:tab w:val="left" w:pos="1100"/>
              <w:tab w:val="right" w:leader="dot" w:pos="8296"/>
            </w:tabs>
            <w:rPr>
              <w:rFonts w:asciiTheme="minorHAnsi" w:eastAsiaTheme="minorEastAsia" w:hAnsiTheme="minorHAnsi"/>
              <w:noProof/>
              <w:sz w:val="22"/>
              <w:lang w:eastAsia="en-AU"/>
            </w:rPr>
          </w:pPr>
          <w:hyperlink w:anchor="_Toc482176930" w:history="1">
            <w:r w:rsidR="00C47E1F" w:rsidRPr="00997F9B">
              <w:rPr>
                <w:rStyle w:val="Hyperlink"/>
                <w:noProof/>
              </w:rPr>
              <w:t>B.1.3</w:t>
            </w:r>
            <w:r w:rsidR="00C47E1F">
              <w:rPr>
                <w:rFonts w:asciiTheme="minorHAnsi" w:eastAsiaTheme="minorEastAsia" w:hAnsiTheme="minorHAnsi"/>
                <w:noProof/>
                <w:sz w:val="22"/>
                <w:lang w:eastAsia="en-AU"/>
              </w:rPr>
              <w:tab/>
            </w:r>
            <w:r w:rsidR="00C47E1F" w:rsidRPr="00997F9B">
              <w:rPr>
                <w:rStyle w:val="Hyperlink"/>
                <w:noProof/>
              </w:rPr>
              <w:t xml:space="preserve"> About the Ezetimibe Post-Market Review</w:t>
            </w:r>
            <w:r w:rsidR="00C47E1F">
              <w:rPr>
                <w:noProof/>
                <w:webHidden/>
              </w:rPr>
              <w:tab/>
            </w:r>
            <w:r w:rsidR="00C47E1F">
              <w:rPr>
                <w:noProof/>
                <w:webHidden/>
              </w:rPr>
              <w:fldChar w:fldCharType="begin"/>
            </w:r>
            <w:r w:rsidR="00C47E1F">
              <w:rPr>
                <w:noProof/>
                <w:webHidden/>
              </w:rPr>
              <w:instrText xml:space="preserve"> PAGEREF _Toc482176930 \h </w:instrText>
            </w:r>
            <w:r w:rsidR="00C47E1F">
              <w:rPr>
                <w:noProof/>
                <w:webHidden/>
              </w:rPr>
            </w:r>
            <w:r w:rsidR="00C47E1F">
              <w:rPr>
                <w:noProof/>
                <w:webHidden/>
              </w:rPr>
              <w:fldChar w:fldCharType="separate"/>
            </w:r>
            <w:r w:rsidR="00D047E2">
              <w:rPr>
                <w:noProof/>
                <w:webHidden/>
              </w:rPr>
              <w:t>22</w:t>
            </w:r>
            <w:r w:rsidR="00C47E1F">
              <w:rPr>
                <w:noProof/>
                <w:webHidden/>
              </w:rPr>
              <w:fldChar w:fldCharType="end"/>
            </w:r>
          </w:hyperlink>
        </w:p>
        <w:p w:rsidR="00C47E1F" w:rsidRDefault="00DD7869">
          <w:pPr>
            <w:pStyle w:val="TOC3"/>
            <w:tabs>
              <w:tab w:val="left" w:pos="1540"/>
              <w:tab w:val="right" w:leader="dot" w:pos="8296"/>
            </w:tabs>
            <w:rPr>
              <w:rFonts w:asciiTheme="minorHAnsi" w:eastAsiaTheme="minorEastAsia" w:hAnsiTheme="minorHAnsi"/>
              <w:noProof/>
              <w:sz w:val="22"/>
              <w:lang w:eastAsia="en-AU"/>
            </w:rPr>
          </w:pPr>
          <w:hyperlink w:anchor="_Toc482176931" w:history="1">
            <w:r w:rsidR="00C47E1F" w:rsidRPr="00997F9B">
              <w:rPr>
                <w:rStyle w:val="Hyperlink"/>
                <w:noProof/>
              </w:rPr>
              <w:t>B.1.3.1</w:t>
            </w:r>
            <w:r w:rsidR="00C47E1F">
              <w:rPr>
                <w:rFonts w:asciiTheme="minorHAnsi" w:eastAsiaTheme="minorEastAsia" w:hAnsiTheme="minorHAnsi"/>
                <w:noProof/>
                <w:sz w:val="22"/>
                <w:lang w:eastAsia="en-AU"/>
              </w:rPr>
              <w:tab/>
            </w:r>
            <w:r w:rsidR="00C47E1F" w:rsidRPr="00997F9B">
              <w:rPr>
                <w:rStyle w:val="Hyperlink"/>
                <w:noProof/>
              </w:rPr>
              <w:t>Why review Ezetimibe?</w:t>
            </w:r>
            <w:r w:rsidR="00C47E1F">
              <w:rPr>
                <w:noProof/>
                <w:webHidden/>
              </w:rPr>
              <w:tab/>
            </w:r>
            <w:r w:rsidR="00C47E1F">
              <w:rPr>
                <w:noProof/>
                <w:webHidden/>
              </w:rPr>
              <w:fldChar w:fldCharType="begin"/>
            </w:r>
            <w:r w:rsidR="00C47E1F">
              <w:rPr>
                <w:noProof/>
                <w:webHidden/>
              </w:rPr>
              <w:instrText xml:space="preserve"> PAGEREF _Toc482176931 \h </w:instrText>
            </w:r>
            <w:r w:rsidR="00C47E1F">
              <w:rPr>
                <w:noProof/>
                <w:webHidden/>
              </w:rPr>
            </w:r>
            <w:r w:rsidR="00C47E1F">
              <w:rPr>
                <w:noProof/>
                <w:webHidden/>
              </w:rPr>
              <w:fldChar w:fldCharType="separate"/>
            </w:r>
            <w:r w:rsidR="00D047E2">
              <w:rPr>
                <w:noProof/>
                <w:webHidden/>
              </w:rPr>
              <w:t>25</w:t>
            </w:r>
            <w:r w:rsidR="00C47E1F">
              <w:rPr>
                <w:noProof/>
                <w:webHidden/>
              </w:rPr>
              <w:fldChar w:fldCharType="end"/>
            </w:r>
          </w:hyperlink>
        </w:p>
        <w:p w:rsidR="00C47E1F" w:rsidRDefault="00DD7869">
          <w:pPr>
            <w:pStyle w:val="TOC3"/>
            <w:tabs>
              <w:tab w:val="left" w:pos="1540"/>
              <w:tab w:val="right" w:leader="dot" w:pos="8296"/>
            </w:tabs>
            <w:rPr>
              <w:rFonts w:asciiTheme="minorHAnsi" w:eastAsiaTheme="minorEastAsia" w:hAnsiTheme="minorHAnsi"/>
              <w:noProof/>
              <w:sz w:val="22"/>
              <w:lang w:eastAsia="en-AU"/>
            </w:rPr>
          </w:pPr>
          <w:hyperlink w:anchor="_Toc482176932" w:history="1">
            <w:r w:rsidR="00C47E1F" w:rsidRPr="00997F9B">
              <w:rPr>
                <w:rStyle w:val="Hyperlink"/>
                <w:noProof/>
              </w:rPr>
              <w:t>B.1.3.2</w:t>
            </w:r>
            <w:r w:rsidR="00C47E1F">
              <w:rPr>
                <w:rFonts w:asciiTheme="minorHAnsi" w:eastAsiaTheme="minorEastAsia" w:hAnsiTheme="minorHAnsi"/>
                <w:noProof/>
                <w:sz w:val="22"/>
                <w:lang w:eastAsia="en-AU"/>
              </w:rPr>
              <w:tab/>
            </w:r>
            <w:r w:rsidR="00C47E1F" w:rsidRPr="00997F9B">
              <w:rPr>
                <w:rStyle w:val="Hyperlink"/>
                <w:noProof/>
              </w:rPr>
              <w:t>PBAC recommendation</w:t>
            </w:r>
            <w:r w:rsidR="00C47E1F">
              <w:rPr>
                <w:noProof/>
                <w:webHidden/>
              </w:rPr>
              <w:tab/>
            </w:r>
            <w:r w:rsidR="00C47E1F">
              <w:rPr>
                <w:noProof/>
                <w:webHidden/>
              </w:rPr>
              <w:fldChar w:fldCharType="begin"/>
            </w:r>
            <w:r w:rsidR="00C47E1F">
              <w:rPr>
                <w:noProof/>
                <w:webHidden/>
              </w:rPr>
              <w:instrText xml:space="preserve"> PAGEREF _Toc482176932 \h </w:instrText>
            </w:r>
            <w:r w:rsidR="00C47E1F">
              <w:rPr>
                <w:noProof/>
                <w:webHidden/>
              </w:rPr>
            </w:r>
            <w:r w:rsidR="00C47E1F">
              <w:rPr>
                <w:noProof/>
                <w:webHidden/>
              </w:rPr>
              <w:fldChar w:fldCharType="separate"/>
            </w:r>
            <w:r w:rsidR="00D047E2">
              <w:rPr>
                <w:noProof/>
                <w:webHidden/>
              </w:rPr>
              <w:t>26</w:t>
            </w:r>
            <w:r w:rsidR="00C47E1F">
              <w:rPr>
                <w:noProof/>
                <w:webHidden/>
              </w:rPr>
              <w:fldChar w:fldCharType="end"/>
            </w:r>
          </w:hyperlink>
        </w:p>
        <w:p w:rsidR="00C47E1F" w:rsidRDefault="00DD7869">
          <w:pPr>
            <w:pStyle w:val="TOC3"/>
            <w:tabs>
              <w:tab w:val="left" w:pos="1540"/>
              <w:tab w:val="right" w:leader="dot" w:pos="8296"/>
            </w:tabs>
            <w:rPr>
              <w:rFonts w:asciiTheme="minorHAnsi" w:eastAsiaTheme="minorEastAsia" w:hAnsiTheme="minorHAnsi"/>
              <w:noProof/>
              <w:sz w:val="22"/>
              <w:lang w:eastAsia="en-AU"/>
            </w:rPr>
          </w:pPr>
          <w:hyperlink w:anchor="_Toc482176933" w:history="1">
            <w:r w:rsidR="00C47E1F" w:rsidRPr="00997F9B">
              <w:rPr>
                <w:rStyle w:val="Hyperlink"/>
                <w:noProof/>
              </w:rPr>
              <w:t>B.1.3.3</w:t>
            </w:r>
            <w:r w:rsidR="00C47E1F">
              <w:rPr>
                <w:rFonts w:asciiTheme="minorHAnsi" w:eastAsiaTheme="minorEastAsia" w:hAnsiTheme="minorHAnsi"/>
                <w:noProof/>
                <w:sz w:val="22"/>
                <w:lang w:eastAsia="en-AU"/>
              </w:rPr>
              <w:tab/>
            </w:r>
            <w:r w:rsidR="00C47E1F" w:rsidRPr="00997F9B">
              <w:rPr>
                <w:rStyle w:val="Hyperlink"/>
                <w:noProof/>
              </w:rPr>
              <w:t>Undertaking the Review</w:t>
            </w:r>
            <w:r w:rsidR="00C47E1F">
              <w:rPr>
                <w:noProof/>
                <w:webHidden/>
              </w:rPr>
              <w:tab/>
            </w:r>
            <w:r w:rsidR="00C47E1F">
              <w:rPr>
                <w:noProof/>
                <w:webHidden/>
              </w:rPr>
              <w:fldChar w:fldCharType="begin"/>
            </w:r>
            <w:r w:rsidR="00C47E1F">
              <w:rPr>
                <w:noProof/>
                <w:webHidden/>
              </w:rPr>
              <w:instrText xml:space="preserve"> PAGEREF _Toc482176933 \h </w:instrText>
            </w:r>
            <w:r w:rsidR="00C47E1F">
              <w:rPr>
                <w:noProof/>
                <w:webHidden/>
              </w:rPr>
            </w:r>
            <w:r w:rsidR="00C47E1F">
              <w:rPr>
                <w:noProof/>
                <w:webHidden/>
              </w:rPr>
              <w:fldChar w:fldCharType="separate"/>
            </w:r>
            <w:r w:rsidR="00D047E2">
              <w:rPr>
                <w:noProof/>
                <w:webHidden/>
              </w:rPr>
              <w:t>27</w:t>
            </w:r>
            <w:r w:rsidR="00C47E1F">
              <w:rPr>
                <w:noProof/>
                <w:webHidden/>
              </w:rPr>
              <w:fldChar w:fldCharType="end"/>
            </w:r>
          </w:hyperlink>
        </w:p>
        <w:p w:rsidR="00C47E1F" w:rsidRDefault="00DD7869">
          <w:pPr>
            <w:pStyle w:val="TOC2"/>
            <w:tabs>
              <w:tab w:val="left" w:pos="1100"/>
              <w:tab w:val="right" w:leader="dot" w:pos="8296"/>
            </w:tabs>
            <w:rPr>
              <w:rFonts w:asciiTheme="minorHAnsi" w:eastAsiaTheme="minorEastAsia" w:hAnsiTheme="minorHAnsi"/>
              <w:noProof/>
              <w:sz w:val="22"/>
              <w:lang w:eastAsia="en-AU"/>
            </w:rPr>
          </w:pPr>
          <w:hyperlink w:anchor="_Toc482176934" w:history="1">
            <w:r w:rsidR="00C47E1F" w:rsidRPr="00997F9B">
              <w:rPr>
                <w:rStyle w:val="Hyperlink"/>
                <w:noProof/>
              </w:rPr>
              <w:t>B.1.4</w:t>
            </w:r>
            <w:r w:rsidR="00C47E1F">
              <w:rPr>
                <w:rFonts w:asciiTheme="minorHAnsi" w:eastAsiaTheme="minorEastAsia" w:hAnsiTheme="minorHAnsi"/>
                <w:noProof/>
                <w:sz w:val="22"/>
                <w:lang w:eastAsia="en-AU"/>
              </w:rPr>
              <w:tab/>
            </w:r>
            <w:r w:rsidR="00C47E1F" w:rsidRPr="00997F9B">
              <w:rPr>
                <w:rStyle w:val="Hyperlink"/>
                <w:noProof/>
              </w:rPr>
              <w:t>Epidemiology-hypercholesterolemia</w:t>
            </w:r>
            <w:r w:rsidR="00C47E1F">
              <w:rPr>
                <w:noProof/>
                <w:webHidden/>
              </w:rPr>
              <w:tab/>
            </w:r>
            <w:r w:rsidR="00C47E1F">
              <w:rPr>
                <w:noProof/>
                <w:webHidden/>
              </w:rPr>
              <w:fldChar w:fldCharType="begin"/>
            </w:r>
            <w:r w:rsidR="00C47E1F">
              <w:rPr>
                <w:noProof/>
                <w:webHidden/>
              </w:rPr>
              <w:instrText xml:space="preserve"> PAGEREF _Toc482176934 \h </w:instrText>
            </w:r>
            <w:r w:rsidR="00C47E1F">
              <w:rPr>
                <w:noProof/>
                <w:webHidden/>
              </w:rPr>
            </w:r>
            <w:r w:rsidR="00C47E1F">
              <w:rPr>
                <w:noProof/>
                <w:webHidden/>
              </w:rPr>
              <w:fldChar w:fldCharType="separate"/>
            </w:r>
            <w:r w:rsidR="00D047E2">
              <w:rPr>
                <w:noProof/>
                <w:webHidden/>
              </w:rPr>
              <w:t>28</w:t>
            </w:r>
            <w:r w:rsidR="00C47E1F">
              <w:rPr>
                <w:noProof/>
                <w:webHidden/>
              </w:rPr>
              <w:fldChar w:fldCharType="end"/>
            </w:r>
          </w:hyperlink>
        </w:p>
        <w:p w:rsidR="00C47E1F" w:rsidRDefault="00DD7869">
          <w:pPr>
            <w:pStyle w:val="TOC3"/>
            <w:tabs>
              <w:tab w:val="left" w:pos="1540"/>
              <w:tab w:val="right" w:leader="dot" w:pos="8296"/>
            </w:tabs>
            <w:rPr>
              <w:rFonts w:asciiTheme="minorHAnsi" w:eastAsiaTheme="minorEastAsia" w:hAnsiTheme="minorHAnsi"/>
              <w:noProof/>
              <w:sz w:val="22"/>
              <w:lang w:eastAsia="en-AU"/>
            </w:rPr>
          </w:pPr>
          <w:hyperlink w:anchor="_Toc482176935" w:history="1">
            <w:r w:rsidR="00C47E1F" w:rsidRPr="00997F9B">
              <w:rPr>
                <w:rStyle w:val="Hyperlink"/>
                <w:noProof/>
              </w:rPr>
              <w:t>B.1.4.1</w:t>
            </w:r>
            <w:r w:rsidR="00C47E1F">
              <w:rPr>
                <w:rFonts w:asciiTheme="minorHAnsi" w:eastAsiaTheme="minorEastAsia" w:hAnsiTheme="minorHAnsi"/>
                <w:noProof/>
                <w:sz w:val="22"/>
                <w:lang w:eastAsia="en-AU"/>
              </w:rPr>
              <w:tab/>
            </w:r>
            <w:r w:rsidR="00C47E1F" w:rsidRPr="00997F9B">
              <w:rPr>
                <w:rStyle w:val="Hyperlink"/>
                <w:noProof/>
              </w:rPr>
              <w:t>What are cardiovascular disease risk factors?</w:t>
            </w:r>
            <w:r w:rsidR="00C47E1F">
              <w:rPr>
                <w:noProof/>
                <w:webHidden/>
              </w:rPr>
              <w:tab/>
            </w:r>
            <w:r w:rsidR="00C47E1F">
              <w:rPr>
                <w:noProof/>
                <w:webHidden/>
              </w:rPr>
              <w:fldChar w:fldCharType="begin"/>
            </w:r>
            <w:r w:rsidR="00C47E1F">
              <w:rPr>
                <w:noProof/>
                <w:webHidden/>
              </w:rPr>
              <w:instrText xml:space="preserve"> PAGEREF _Toc482176935 \h </w:instrText>
            </w:r>
            <w:r w:rsidR="00C47E1F">
              <w:rPr>
                <w:noProof/>
                <w:webHidden/>
              </w:rPr>
            </w:r>
            <w:r w:rsidR="00C47E1F">
              <w:rPr>
                <w:noProof/>
                <w:webHidden/>
              </w:rPr>
              <w:fldChar w:fldCharType="separate"/>
            </w:r>
            <w:r w:rsidR="00D047E2">
              <w:rPr>
                <w:noProof/>
                <w:webHidden/>
              </w:rPr>
              <w:t>29</w:t>
            </w:r>
            <w:r w:rsidR="00C47E1F">
              <w:rPr>
                <w:noProof/>
                <w:webHidden/>
              </w:rPr>
              <w:fldChar w:fldCharType="end"/>
            </w:r>
          </w:hyperlink>
        </w:p>
        <w:p w:rsidR="00C47E1F" w:rsidRDefault="00DD7869">
          <w:pPr>
            <w:pStyle w:val="TOC3"/>
            <w:tabs>
              <w:tab w:val="left" w:pos="1540"/>
              <w:tab w:val="right" w:leader="dot" w:pos="8296"/>
            </w:tabs>
            <w:rPr>
              <w:rFonts w:asciiTheme="minorHAnsi" w:eastAsiaTheme="minorEastAsia" w:hAnsiTheme="minorHAnsi"/>
              <w:noProof/>
              <w:sz w:val="22"/>
              <w:lang w:eastAsia="en-AU"/>
            </w:rPr>
          </w:pPr>
          <w:hyperlink w:anchor="_Toc482176936" w:history="1">
            <w:r w:rsidR="00C47E1F" w:rsidRPr="00997F9B">
              <w:rPr>
                <w:rStyle w:val="Hyperlink"/>
                <w:noProof/>
              </w:rPr>
              <w:t>B.1.4.2</w:t>
            </w:r>
            <w:r w:rsidR="00C47E1F">
              <w:rPr>
                <w:rFonts w:asciiTheme="minorHAnsi" w:eastAsiaTheme="minorEastAsia" w:hAnsiTheme="minorHAnsi"/>
                <w:noProof/>
                <w:sz w:val="22"/>
                <w:lang w:eastAsia="en-AU"/>
              </w:rPr>
              <w:tab/>
            </w:r>
            <w:r w:rsidR="00C47E1F" w:rsidRPr="00997F9B">
              <w:rPr>
                <w:rStyle w:val="Hyperlink"/>
                <w:noProof/>
              </w:rPr>
              <w:t>What is dyslipidaemia?</w:t>
            </w:r>
            <w:r w:rsidR="00C47E1F">
              <w:rPr>
                <w:noProof/>
                <w:webHidden/>
              </w:rPr>
              <w:tab/>
            </w:r>
            <w:r w:rsidR="00C47E1F">
              <w:rPr>
                <w:noProof/>
                <w:webHidden/>
              </w:rPr>
              <w:fldChar w:fldCharType="begin"/>
            </w:r>
            <w:r w:rsidR="00C47E1F">
              <w:rPr>
                <w:noProof/>
                <w:webHidden/>
              </w:rPr>
              <w:instrText xml:space="preserve"> PAGEREF _Toc482176936 \h </w:instrText>
            </w:r>
            <w:r w:rsidR="00C47E1F">
              <w:rPr>
                <w:noProof/>
                <w:webHidden/>
              </w:rPr>
            </w:r>
            <w:r w:rsidR="00C47E1F">
              <w:rPr>
                <w:noProof/>
                <w:webHidden/>
              </w:rPr>
              <w:fldChar w:fldCharType="separate"/>
            </w:r>
            <w:r w:rsidR="00D047E2">
              <w:rPr>
                <w:noProof/>
                <w:webHidden/>
              </w:rPr>
              <w:t>30</w:t>
            </w:r>
            <w:r w:rsidR="00C47E1F">
              <w:rPr>
                <w:noProof/>
                <w:webHidden/>
              </w:rPr>
              <w:fldChar w:fldCharType="end"/>
            </w:r>
          </w:hyperlink>
        </w:p>
        <w:p w:rsidR="00C47E1F" w:rsidRDefault="00DD7869">
          <w:pPr>
            <w:pStyle w:val="TOC3"/>
            <w:tabs>
              <w:tab w:val="left" w:pos="1540"/>
              <w:tab w:val="right" w:leader="dot" w:pos="8296"/>
            </w:tabs>
            <w:rPr>
              <w:rFonts w:asciiTheme="minorHAnsi" w:eastAsiaTheme="minorEastAsia" w:hAnsiTheme="minorHAnsi"/>
              <w:noProof/>
              <w:sz w:val="22"/>
              <w:lang w:eastAsia="en-AU"/>
            </w:rPr>
          </w:pPr>
          <w:hyperlink w:anchor="_Toc482176937" w:history="1">
            <w:r w:rsidR="00C47E1F" w:rsidRPr="00997F9B">
              <w:rPr>
                <w:rStyle w:val="Hyperlink"/>
                <w:noProof/>
              </w:rPr>
              <w:t>B.1.4.3</w:t>
            </w:r>
            <w:r w:rsidR="00C47E1F">
              <w:rPr>
                <w:rFonts w:asciiTheme="minorHAnsi" w:eastAsiaTheme="minorEastAsia" w:hAnsiTheme="minorHAnsi"/>
                <w:noProof/>
                <w:sz w:val="22"/>
                <w:lang w:eastAsia="en-AU"/>
              </w:rPr>
              <w:tab/>
            </w:r>
            <w:r w:rsidR="00C47E1F" w:rsidRPr="00997F9B">
              <w:rPr>
                <w:rStyle w:val="Hyperlink"/>
                <w:noProof/>
              </w:rPr>
              <w:t>What is familial hypercholesterolaemia?</w:t>
            </w:r>
            <w:r w:rsidR="00C47E1F">
              <w:rPr>
                <w:noProof/>
                <w:webHidden/>
              </w:rPr>
              <w:tab/>
            </w:r>
            <w:r w:rsidR="00C47E1F">
              <w:rPr>
                <w:noProof/>
                <w:webHidden/>
              </w:rPr>
              <w:fldChar w:fldCharType="begin"/>
            </w:r>
            <w:r w:rsidR="00C47E1F">
              <w:rPr>
                <w:noProof/>
                <w:webHidden/>
              </w:rPr>
              <w:instrText xml:space="preserve"> PAGEREF _Toc482176937 \h </w:instrText>
            </w:r>
            <w:r w:rsidR="00C47E1F">
              <w:rPr>
                <w:noProof/>
                <w:webHidden/>
              </w:rPr>
            </w:r>
            <w:r w:rsidR="00C47E1F">
              <w:rPr>
                <w:noProof/>
                <w:webHidden/>
              </w:rPr>
              <w:fldChar w:fldCharType="separate"/>
            </w:r>
            <w:r w:rsidR="00D047E2">
              <w:rPr>
                <w:noProof/>
                <w:webHidden/>
              </w:rPr>
              <w:t>30</w:t>
            </w:r>
            <w:r w:rsidR="00C47E1F">
              <w:rPr>
                <w:noProof/>
                <w:webHidden/>
              </w:rPr>
              <w:fldChar w:fldCharType="end"/>
            </w:r>
          </w:hyperlink>
        </w:p>
        <w:p w:rsidR="00C47E1F" w:rsidRDefault="00DD7869">
          <w:pPr>
            <w:pStyle w:val="TOC3"/>
            <w:tabs>
              <w:tab w:val="left" w:pos="1540"/>
              <w:tab w:val="right" w:leader="dot" w:pos="8296"/>
            </w:tabs>
            <w:rPr>
              <w:rFonts w:asciiTheme="minorHAnsi" w:eastAsiaTheme="minorEastAsia" w:hAnsiTheme="minorHAnsi"/>
              <w:noProof/>
              <w:sz w:val="22"/>
              <w:lang w:eastAsia="en-AU"/>
            </w:rPr>
          </w:pPr>
          <w:hyperlink w:anchor="_Toc482176938" w:history="1">
            <w:r w:rsidR="00C47E1F" w:rsidRPr="00997F9B">
              <w:rPr>
                <w:rStyle w:val="Hyperlink"/>
                <w:noProof/>
              </w:rPr>
              <w:t>B.1.4.4</w:t>
            </w:r>
            <w:r w:rsidR="00C47E1F">
              <w:rPr>
                <w:rFonts w:asciiTheme="minorHAnsi" w:eastAsiaTheme="minorEastAsia" w:hAnsiTheme="minorHAnsi"/>
                <w:noProof/>
                <w:sz w:val="22"/>
                <w:lang w:eastAsia="en-AU"/>
              </w:rPr>
              <w:tab/>
            </w:r>
            <w:r w:rsidR="00C47E1F" w:rsidRPr="00997F9B">
              <w:rPr>
                <w:rStyle w:val="Hyperlink"/>
                <w:noProof/>
              </w:rPr>
              <w:t>Use of algorithms to estimate absolute risk of cardiovascular disease?</w:t>
            </w:r>
            <w:r w:rsidR="00C47E1F">
              <w:rPr>
                <w:noProof/>
                <w:webHidden/>
              </w:rPr>
              <w:tab/>
            </w:r>
            <w:r w:rsidR="00C47E1F">
              <w:rPr>
                <w:noProof/>
                <w:webHidden/>
              </w:rPr>
              <w:fldChar w:fldCharType="begin"/>
            </w:r>
            <w:r w:rsidR="00C47E1F">
              <w:rPr>
                <w:noProof/>
                <w:webHidden/>
              </w:rPr>
              <w:instrText xml:space="preserve"> PAGEREF _Toc482176938 \h </w:instrText>
            </w:r>
            <w:r w:rsidR="00C47E1F">
              <w:rPr>
                <w:noProof/>
                <w:webHidden/>
              </w:rPr>
            </w:r>
            <w:r w:rsidR="00C47E1F">
              <w:rPr>
                <w:noProof/>
                <w:webHidden/>
              </w:rPr>
              <w:fldChar w:fldCharType="separate"/>
            </w:r>
            <w:r w:rsidR="00D047E2">
              <w:rPr>
                <w:noProof/>
                <w:webHidden/>
              </w:rPr>
              <w:t>30</w:t>
            </w:r>
            <w:r w:rsidR="00C47E1F">
              <w:rPr>
                <w:noProof/>
                <w:webHidden/>
              </w:rPr>
              <w:fldChar w:fldCharType="end"/>
            </w:r>
          </w:hyperlink>
        </w:p>
        <w:p w:rsidR="00C47E1F" w:rsidRDefault="00DD7869">
          <w:pPr>
            <w:pStyle w:val="TOC3"/>
            <w:tabs>
              <w:tab w:val="left" w:pos="1540"/>
              <w:tab w:val="right" w:leader="dot" w:pos="8296"/>
            </w:tabs>
            <w:rPr>
              <w:rFonts w:asciiTheme="minorHAnsi" w:eastAsiaTheme="minorEastAsia" w:hAnsiTheme="minorHAnsi"/>
              <w:noProof/>
              <w:sz w:val="22"/>
              <w:lang w:eastAsia="en-AU"/>
            </w:rPr>
          </w:pPr>
          <w:hyperlink w:anchor="_Toc482176939" w:history="1">
            <w:r w:rsidR="00C47E1F" w:rsidRPr="00997F9B">
              <w:rPr>
                <w:rStyle w:val="Hyperlink"/>
                <w:noProof/>
              </w:rPr>
              <w:t>B.1.4.5</w:t>
            </w:r>
            <w:r w:rsidR="00C47E1F">
              <w:rPr>
                <w:rFonts w:asciiTheme="minorHAnsi" w:eastAsiaTheme="minorEastAsia" w:hAnsiTheme="minorHAnsi"/>
                <w:noProof/>
                <w:sz w:val="22"/>
                <w:lang w:eastAsia="en-AU"/>
              </w:rPr>
              <w:tab/>
            </w:r>
            <w:r w:rsidR="00C47E1F" w:rsidRPr="00997F9B">
              <w:rPr>
                <w:rStyle w:val="Hyperlink"/>
                <w:noProof/>
              </w:rPr>
              <w:t>Treatment Guidelines</w:t>
            </w:r>
            <w:r w:rsidR="00C47E1F">
              <w:rPr>
                <w:noProof/>
                <w:webHidden/>
              </w:rPr>
              <w:tab/>
            </w:r>
            <w:r w:rsidR="00C47E1F">
              <w:rPr>
                <w:noProof/>
                <w:webHidden/>
              </w:rPr>
              <w:fldChar w:fldCharType="begin"/>
            </w:r>
            <w:r w:rsidR="00C47E1F">
              <w:rPr>
                <w:noProof/>
                <w:webHidden/>
              </w:rPr>
              <w:instrText xml:space="preserve"> PAGEREF _Toc482176939 \h </w:instrText>
            </w:r>
            <w:r w:rsidR="00C47E1F">
              <w:rPr>
                <w:noProof/>
                <w:webHidden/>
              </w:rPr>
            </w:r>
            <w:r w:rsidR="00C47E1F">
              <w:rPr>
                <w:noProof/>
                <w:webHidden/>
              </w:rPr>
              <w:fldChar w:fldCharType="separate"/>
            </w:r>
            <w:r w:rsidR="00D047E2">
              <w:rPr>
                <w:noProof/>
                <w:webHidden/>
              </w:rPr>
              <w:t>30</w:t>
            </w:r>
            <w:r w:rsidR="00C47E1F">
              <w:rPr>
                <w:noProof/>
                <w:webHidden/>
              </w:rPr>
              <w:fldChar w:fldCharType="end"/>
            </w:r>
          </w:hyperlink>
        </w:p>
        <w:p w:rsidR="00C47E1F" w:rsidRDefault="00DD7869">
          <w:pPr>
            <w:pStyle w:val="TOC1"/>
            <w:tabs>
              <w:tab w:val="right" w:leader="dot" w:pos="8296"/>
            </w:tabs>
            <w:rPr>
              <w:rFonts w:asciiTheme="minorHAnsi" w:eastAsiaTheme="minorEastAsia" w:hAnsiTheme="minorHAnsi"/>
              <w:noProof/>
              <w:sz w:val="22"/>
              <w:lang w:eastAsia="en-AU"/>
            </w:rPr>
          </w:pPr>
          <w:hyperlink w:anchor="_Toc482176940" w:history="1">
            <w:r w:rsidR="00C47E1F" w:rsidRPr="00997F9B">
              <w:rPr>
                <w:rStyle w:val="Hyperlink"/>
                <w:noProof/>
              </w:rPr>
              <w:t>Section 1: TOR 1 Utilisation of ezetimibe</w:t>
            </w:r>
            <w:r w:rsidR="00C47E1F">
              <w:rPr>
                <w:noProof/>
                <w:webHidden/>
              </w:rPr>
              <w:tab/>
            </w:r>
            <w:r w:rsidR="00C47E1F">
              <w:rPr>
                <w:noProof/>
                <w:webHidden/>
              </w:rPr>
              <w:fldChar w:fldCharType="begin"/>
            </w:r>
            <w:r w:rsidR="00C47E1F">
              <w:rPr>
                <w:noProof/>
                <w:webHidden/>
              </w:rPr>
              <w:instrText xml:space="preserve"> PAGEREF _Toc482176940 \h </w:instrText>
            </w:r>
            <w:r w:rsidR="00C47E1F">
              <w:rPr>
                <w:noProof/>
                <w:webHidden/>
              </w:rPr>
            </w:r>
            <w:r w:rsidR="00C47E1F">
              <w:rPr>
                <w:noProof/>
                <w:webHidden/>
              </w:rPr>
              <w:fldChar w:fldCharType="separate"/>
            </w:r>
            <w:r w:rsidR="00D047E2">
              <w:rPr>
                <w:noProof/>
                <w:webHidden/>
              </w:rPr>
              <w:t>31</w:t>
            </w:r>
            <w:r w:rsidR="00C47E1F">
              <w:rPr>
                <w:noProof/>
                <w:webHidden/>
              </w:rPr>
              <w:fldChar w:fldCharType="end"/>
            </w:r>
          </w:hyperlink>
        </w:p>
        <w:p w:rsidR="00C47E1F" w:rsidRDefault="00DD7869">
          <w:pPr>
            <w:pStyle w:val="TOC2"/>
            <w:tabs>
              <w:tab w:val="left" w:pos="880"/>
              <w:tab w:val="right" w:leader="dot" w:pos="8296"/>
            </w:tabs>
            <w:rPr>
              <w:rFonts w:asciiTheme="minorHAnsi" w:eastAsiaTheme="minorEastAsia" w:hAnsiTheme="minorHAnsi"/>
              <w:noProof/>
              <w:sz w:val="22"/>
              <w:lang w:eastAsia="en-AU"/>
            </w:rPr>
          </w:pPr>
          <w:hyperlink w:anchor="_Toc482176941" w:history="1">
            <w:r w:rsidR="00C47E1F" w:rsidRPr="00997F9B">
              <w:rPr>
                <w:rStyle w:val="Hyperlink"/>
                <w:noProof/>
              </w:rPr>
              <w:t>1.1</w:t>
            </w:r>
            <w:r w:rsidR="00C47E1F">
              <w:rPr>
                <w:rFonts w:asciiTheme="minorHAnsi" w:eastAsiaTheme="minorEastAsia" w:hAnsiTheme="minorHAnsi"/>
                <w:noProof/>
                <w:sz w:val="22"/>
                <w:lang w:eastAsia="en-AU"/>
              </w:rPr>
              <w:tab/>
            </w:r>
            <w:r w:rsidR="00C47E1F" w:rsidRPr="00997F9B">
              <w:rPr>
                <w:rStyle w:val="Hyperlink"/>
                <w:noProof/>
              </w:rPr>
              <w:t>Key findings for TOR 1</w:t>
            </w:r>
            <w:r w:rsidR="00C47E1F">
              <w:rPr>
                <w:noProof/>
                <w:webHidden/>
              </w:rPr>
              <w:tab/>
            </w:r>
            <w:r w:rsidR="00C47E1F">
              <w:rPr>
                <w:noProof/>
                <w:webHidden/>
              </w:rPr>
              <w:fldChar w:fldCharType="begin"/>
            </w:r>
            <w:r w:rsidR="00C47E1F">
              <w:rPr>
                <w:noProof/>
                <w:webHidden/>
              </w:rPr>
              <w:instrText xml:space="preserve"> PAGEREF _Toc482176941 \h </w:instrText>
            </w:r>
            <w:r w:rsidR="00C47E1F">
              <w:rPr>
                <w:noProof/>
                <w:webHidden/>
              </w:rPr>
            </w:r>
            <w:r w:rsidR="00C47E1F">
              <w:rPr>
                <w:noProof/>
                <w:webHidden/>
              </w:rPr>
              <w:fldChar w:fldCharType="separate"/>
            </w:r>
            <w:r w:rsidR="00D047E2">
              <w:rPr>
                <w:noProof/>
                <w:webHidden/>
              </w:rPr>
              <w:t>31</w:t>
            </w:r>
            <w:r w:rsidR="00C47E1F">
              <w:rPr>
                <w:noProof/>
                <w:webHidden/>
              </w:rPr>
              <w:fldChar w:fldCharType="end"/>
            </w:r>
          </w:hyperlink>
        </w:p>
        <w:p w:rsidR="00C47E1F" w:rsidRDefault="00DD7869">
          <w:pPr>
            <w:pStyle w:val="TOC2"/>
            <w:tabs>
              <w:tab w:val="left" w:pos="880"/>
              <w:tab w:val="right" w:leader="dot" w:pos="8296"/>
            </w:tabs>
            <w:rPr>
              <w:rFonts w:asciiTheme="minorHAnsi" w:eastAsiaTheme="minorEastAsia" w:hAnsiTheme="minorHAnsi"/>
              <w:noProof/>
              <w:sz w:val="22"/>
              <w:lang w:eastAsia="en-AU"/>
            </w:rPr>
          </w:pPr>
          <w:hyperlink w:anchor="_Toc482176942" w:history="1">
            <w:r w:rsidR="00C47E1F" w:rsidRPr="00997F9B">
              <w:rPr>
                <w:rStyle w:val="Hyperlink"/>
                <w:noProof/>
              </w:rPr>
              <w:t>1.2</w:t>
            </w:r>
            <w:r w:rsidR="00C47E1F">
              <w:rPr>
                <w:rFonts w:asciiTheme="minorHAnsi" w:eastAsiaTheme="minorEastAsia" w:hAnsiTheme="minorHAnsi"/>
                <w:noProof/>
                <w:sz w:val="22"/>
                <w:lang w:eastAsia="en-AU"/>
              </w:rPr>
              <w:tab/>
            </w:r>
            <w:r w:rsidR="00C47E1F" w:rsidRPr="00997F9B">
              <w:rPr>
                <w:rStyle w:val="Hyperlink"/>
                <w:noProof/>
              </w:rPr>
              <w:t>Summary of ezetimibe utilisation analysis</w:t>
            </w:r>
            <w:r w:rsidR="00C47E1F">
              <w:rPr>
                <w:noProof/>
                <w:webHidden/>
              </w:rPr>
              <w:tab/>
            </w:r>
            <w:r w:rsidR="00C47E1F">
              <w:rPr>
                <w:noProof/>
                <w:webHidden/>
              </w:rPr>
              <w:fldChar w:fldCharType="begin"/>
            </w:r>
            <w:r w:rsidR="00C47E1F">
              <w:rPr>
                <w:noProof/>
                <w:webHidden/>
              </w:rPr>
              <w:instrText xml:space="preserve"> PAGEREF _Toc482176942 \h </w:instrText>
            </w:r>
            <w:r w:rsidR="00C47E1F">
              <w:rPr>
                <w:noProof/>
                <w:webHidden/>
              </w:rPr>
            </w:r>
            <w:r w:rsidR="00C47E1F">
              <w:rPr>
                <w:noProof/>
                <w:webHidden/>
              </w:rPr>
              <w:fldChar w:fldCharType="separate"/>
            </w:r>
            <w:r w:rsidR="00D047E2">
              <w:rPr>
                <w:noProof/>
                <w:webHidden/>
              </w:rPr>
              <w:t>32</w:t>
            </w:r>
            <w:r w:rsidR="00C47E1F">
              <w:rPr>
                <w:noProof/>
                <w:webHidden/>
              </w:rPr>
              <w:fldChar w:fldCharType="end"/>
            </w:r>
          </w:hyperlink>
        </w:p>
        <w:p w:rsidR="00C47E1F" w:rsidRDefault="00DD7869">
          <w:pPr>
            <w:pStyle w:val="TOC3"/>
            <w:tabs>
              <w:tab w:val="left" w:pos="1320"/>
              <w:tab w:val="right" w:leader="dot" w:pos="8296"/>
            </w:tabs>
            <w:rPr>
              <w:rFonts w:asciiTheme="minorHAnsi" w:eastAsiaTheme="minorEastAsia" w:hAnsiTheme="minorHAnsi"/>
              <w:noProof/>
              <w:sz w:val="22"/>
              <w:lang w:eastAsia="en-AU"/>
            </w:rPr>
          </w:pPr>
          <w:hyperlink w:anchor="_Toc482176943" w:history="1">
            <w:r w:rsidR="00C47E1F" w:rsidRPr="00997F9B">
              <w:rPr>
                <w:rStyle w:val="Hyperlink"/>
                <w:noProof/>
              </w:rPr>
              <w:t>1.2.1</w:t>
            </w:r>
            <w:r w:rsidR="00C47E1F">
              <w:rPr>
                <w:rFonts w:asciiTheme="minorHAnsi" w:eastAsiaTheme="minorEastAsia" w:hAnsiTheme="minorHAnsi"/>
                <w:noProof/>
                <w:sz w:val="22"/>
                <w:lang w:eastAsia="en-AU"/>
              </w:rPr>
              <w:tab/>
            </w:r>
            <w:r w:rsidR="00C47E1F" w:rsidRPr="00997F9B">
              <w:rPr>
                <w:rStyle w:val="Hyperlink"/>
                <w:noProof/>
              </w:rPr>
              <w:t xml:space="preserve"> Methods – </w:t>
            </w:r>
            <w:r w:rsidR="00C47E1F" w:rsidRPr="00997F9B">
              <w:rPr>
                <w:rStyle w:val="Hyperlink"/>
                <w:rFonts w:eastAsia="Calibri" w:cs="Times New Roman"/>
                <w:noProof/>
              </w:rPr>
              <w:t>December 2016 Analysis</w:t>
            </w:r>
            <w:r w:rsidR="00C47E1F">
              <w:rPr>
                <w:noProof/>
                <w:webHidden/>
              </w:rPr>
              <w:tab/>
            </w:r>
            <w:r w:rsidR="00C47E1F">
              <w:rPr>
                <w:noProof/>
                <w:webHidden/>
              </w:rPr>
              <w:fldChar w:fldCharType="begin"/>
            </w:r>
            <w:r w:rsidR="00C47E1F">
              <w:rPr>
                <w:noProof/>
                <w:webHidden/>
              </w:rPr>
              <w:instrText xml:space="preserve"> PAGEREF _Toc482176943 \h </w:instrText>
            </w:r>
            <w:r w:rsidR="00C47E1F">
              <w:rPr>
                <w:noProof/>
                <w:webHidden/>
              </w:rPr>
            </w:r>
            <w:r w:rsidR="00C47E1F">
              <w:rPr>
                <w:noProof/>
                <w:webHidden/>
              </w:rPr>
              <w:fldChar w:fldCharType="separate"/>
            </w:r>
            <w:r w:rsidR="00D047E2">
              <w:rPr>
                <w:noProof/>
                <w:webHidden/>
              </w:rPr>
              <w:t>32</w:t>
            </w:r>
            <w:r w:rsidR="00C47E1F">
              <w:rPr>
                <w:noProof/>
                <w:webHidden/>
              </w:rPr>
              <w:fldChar w:fldCharType="end"/>
            </w:r>
          </w:hyperlink>
        </w:p>
        <w:p w:rsidR="00C47E1F" w:rsidRDefault="00DD7869">
          <w:pPr>
            <w:pStyle w:val="TOC3"/>
            <w:tabs>
              <w:tab w:val="left" w:pos="1320"/>
              <w:tab w:val="right" w:leader="dot" w:pos="8296"/>
            </w:tabs>
            <w:rPr>
              <w:rFonts w:asciiTheme="minorHAnsi" w:eastAsiaTheme="minorEastAsia" w:hAnsiTheme="minorHAnsi"/>
              <w:noProof/>
              <w:sz w:val="22"/>
              <w:lang w:eastAsia="en-AU"/>
            </w:rPr>
          </w:pPr>
          <w:hyperlink w:anchor="_Toc482176944" w:history="1">
            <w:r w:rsidR="00C47E1F" w:rsidRPr="00997F9B">
              <w:rPr>
                <w:rStyle w:val="Hyperlink"/>
                <w:noProof/>
              </w:rPr>
              <w:t>1.2.2</w:t>
            </w:r>
            <w:r w:rsidR="00C47E1F">
              <w:rPr>
                <w:rFonts w:asciiTheme="minorHAnsi" w:eastAsiaTheme="minorEastAsia" w:hAnsiTheme="minorHAnsi"/>
                <w:noProof/>
                <w:sz w:val="22"/>
                <w:lang w:eastAsia="en-AU"/>
              </w:rPr>
              <w:tab/>
            </w:r>
            <w:r w:rsidR="00C47E1F" w:rsidRPr="00997F9B">
              <w:rPr>
                <w:rStyle w:val="Hyperlink"/>
                <w:noProof/>
              </w:rPr>
              <w:t xml:space="preserve">Results - </w:t>
            </w:r>
            <w:r w:rsidR="00C47E1F" w:rsidRPr="00997F9B">
              <w:rPr>
                <w:rStyle w:val="Hyperlink"/>
                <w:rFonts w:eastAsia="Calibri" w:cs="Times New Roman"/>
                <w:noProof/>
              </w:rPr>
              <w:t>December 2016 Analysis</w:t>
            </w:r>
            <w:r w:rsidR="00C47E1F">
              <w:rPr>
                <w:noProof/>
                <w:webHidden/>
              </w:rPr>
              <w:tab/>
            </w:r>
            <w:r w:rsidR="00C47E1F">
              <w:rPr>
                <w:noProof/>
                <w:webHidden/>
              </w:rPr>
              <w:fldChar w:fldCharType="begin"/>
            </w:r>
            <w:r w:rsidR="00C47E1F">
              <w:rPr>
                <w:noProof/>
                <w:webHidden/>
              </w:rPr>
              <w:instrText xml:space="preserve"> PAGEREF _Toc482176944 \h </w:instrText>
            </w:r>
            <w:r w:rsidR="00C47E1F">
              <w:rPr>
                <w:noProof/>
                <w:webHidden/>
              </w:rPr>
            </w:r>
            <w:r w:rsidR="00C47E1F">
              <w:rPr>
                <w:noProof/>
                <w:webHidden/>
              </w:rPr>
              <w:fldChar w:fldCharType="separate"/>
            </w:r>
            <w:r w:rsidR="00D047E2">
              <w:rPr>
                <w:noProof/>
                <w:webHidden/>
              </w:rPr>
              <w:t>33</w:t>
            </w:r>
            <w:r w:rsidR="00C47E1F">
              <w:rPr>
                <w:noProof/>
                <w:webHidden/>
              </w:rPr>
              <w:fldChar w:fldCharType="end"/>
            </w:r>
          </w:hyperlink>
        </w:p>
        <w:p w:rsidR="00C47E1F" w:rsidRDefault="00DD7869">
          <w:pPr>
            <w:pStyle w:val="TOC3"/>
            <w:tabs>
              <w:tab w:val="left" w:pos="1320"/>
              <w:tab w:val="right" w:leader="dot" w:pos="8296"/>
            </w:tabs>
            <w:rPr>
              <w:rFonts w:asciiTheme="minorHAnsi" w:eastAsiaTheme="minorEastAsia" w:hAnsiTheme="minorHAnsi"/>
              <w:noProof/>
              <w:sz w:val="22"/>
              <w:lang w:eastAsia="en-AU"/>
            </w:rPr>
          </w:pPr>
          <w:hyperlink w:anchor="_Toc482176945" w:history="1">
            <w:r w:rsidR="00C47E1F" w:rsidRPr="00997F9B">
              <w:rPr>
                <w:rStyle w:val="Hyperlink"/>
                <w:noProof/>
                <w:highlight w:val="yellow"/>
              </w:rPr>
              <w:t>1.2.3</w:t>
            </w:r>
            <w:r w:rsidR="00C47E1F">
              <w:rPr>
                <w:rFonts w:asciiTheme="minorHAnsi" w:eastAsiaTheme="minorEastAsia" w:hAnsiTheme="minorHAnsi"/>
                <w:noProof/>
                <w:sz w:val="22"/>
                <w:lang w:eastAsia="en-AU"/>
              </w:rPr>
              <w:tab/>
            </w:r>
            <w:r w:rsidR="00C47E1F" w:rsidRPr="00997F9B">
              <w:rPr>
                <w:rStyle w:val="Hyperlink"/>
                <w:noProof/>
                <w:highlight w:val="yellow"/>
              </w:rPr>
              <w:t xml:space="preserve">Background - </w:t>
            </w:r>
            <w:r w:rsidR="00C47E1F" w:rsidRPr="00997F9B">
              <w:rPr>
                <w:rStyle w:val="Hyperlink"/>
                <w:rFonts w:eastAsia="Calibri"/>
                <w:noProof/>
              </w:rPr>
              <w:t xml:space="preserve">March 2017 </w:t>
            </w:r>
            <w:r w:rsidR="00C47E1F" w:rsidRPr="00997F9B">
              <w:rPr>
                <w:rStyle w:val="Hyperlink"/>
                <w:noProof/>
                <w:highlight w:val="yellow"/>
              </w:rPr>
              <w:t>Analysis</w:t>
            </w:r>
            <w:r w:rsidR="00C47E1F">
              <w:rPr>
                <w:noProof/>
                <w:webHidden/>
              </w:rPr>
              <w:tab/>
            </w:r>
            <w:r w:rsidR="00C47E1F">
              <w:rPr>
                <w:noProof/>
                <w:webHidden/>
              </w:rPr>
              <w:fldChar w:fldCharType="begin"/>
            </w:r>
            <w:r w:rsidR="00C47E1F">
              <w:rPr>
                <w:noProof/>
                <w:webHidden/>
              </w:rPr>
              <w:instrText xml:space="preserve"> PAGEREF _Toc482176945 \h </w:instrText>
            </w:r>
            <w:r w:rsidR="00C47E1F">
              <w:rPr>
                <w:noProof/>
                <w:webHidden/>
              </w:rPr>
            </w:r>
            <w:r w:rsidR="00C47E1F">
              <w:rPr>
                <w:noProof/>
                <w:webHidden/>
              </w:rPr>
              <w:fldChar w:fldCharType="separate"/>
            </w:r>
            <w:r w:rsidR="00D047E2">
              <w:rPr>
                <w:noProof/>
                <w:webHidden/>
              </w:rPr>
              <w:t>36</w:t>
            </w:r>
            <w:r w:rsidR="00C47E1F">
              <w:rPr>
                <w:noProof/>
                <w:webHidden/>
              </w:rPr>
              <w:fldChar w:fldCharType="end"/>
            </w:r>
          </w:hyperlink>
        </w:p>
        <w:p w:rsidR="00C47E1F" w:rsidRDefault="00DD7869">
          <w:pPr>
            <w:pStyle w:val="TOC2"/>
            <w:tabs>
              <w:tab w:val="left" w:pos="880"/>
              <w:tab w:val="right" w:leader="dot" w:pos="8296"/>
            </w:tabs>
            <w:rPr>
              <w:rFonts w:asciiTheme="minorHAnsi" w:eastAsiaTheme="minorEastAsia" w:hAnsiTheme="minorHAnsi"/>
              <w:noProof/>
              <w:sz w:val="22"/>
              <w:lang w:eastAsia="en-AU"/>
            </w:rPr>
          </w:pPr>
          <w:hyperlink w:anchor="_Toc482176946" w:history="1">
            <w:r w:rsidR="00C47E1F" w:rsidRPr="00997F9B">
              <w:rPr>
                <w:rStyle w:val="Hyperlink"/>
                <w:noProof/>
              </w:rPr>
              <w:t>1.3</w:t>
            </w:r>
            <w:r w:rsidR="00C47E1F">
              <w:rPr>
                <w:rFonts w:asciiTheme="minorHAnsi" w:eastAsiaTheme="minorEastAsia" w:hAnsiTheme="minorHAnsi"/>
                <w:noProof/>
                <w:sz w:val="22"/>
                <w:lang w:eastAsia="en-AU"/>
              </w:rPr>
              <w:tab/>
            </w:r>
            <w:r w:rsidR="00C47E1F" w:rsidRPr="00997F9B">
              <w:rPr>
                <w:rStyle w:val="Hyperlink"/>
                <w:noProof/>
              </w:rPr>
              <w:t>Key issues raised by stakeholders in submissions to the Review and the forum</w:t>
            </w:r>
            <w:r w:rsidR="00C47E1F">
              <w:rPr>
                <w:noProof/>
                <w:webHidden/>
              </w:rPr>
              <w:tab/>
            </w:r>
            <w:r w:rsidR="00C47E1F">
              <w:rPr>
                <w:noProof/>
                <w:webHidden/>
              </w:rPr>
              <w:fldChar w:fldCharType="begin"/>
            </w:r>
            <w:r w:rsidR="00C47E1F">
              <w:rPr>
                <w:noProof/>
                <w:webHidden/>
              </w:rPr>
              <w:instrText xml:space="preserve"> PAGEREF _Toc482176946 \h </w:instrText>
            </w:r>
            <w:r w:rsidR="00C47E1F">
              <w:rPr>
                <w:noProof/>
                <w:webHidden/>
              </w:rPr>
            </w:r>
            <w:r w:rsidR="00C47E1F">
              <w:rPr>
                <w:noProof/>
                <w:webHidden/>
              </w:rPr>
              <w:fldChar w:fldCharType="separate"/>
            </w:r>
            <w:r w:rsidR="00D047E2">
              <w:rPr>
                <w:noProof/>
                <w:webHidden/>
              </w:rPr>
              <w:t>41</w:t>
            </w:r>
            <w:r w:rsidR="00C47E1F">
              <w:rPr>
                <w:noProof/>
                <w:webHidden/>
              </w:rPr>
              <w:fldChar w:fldCharType="end"/>
            </w:r>
          </w:hyperlink>
        </w:p>
        <w:p w:rsidR="00C47E1F" w:rsidRDefault="00DD7869">
          <w:pPr>
            <w:pStyle w:val="TOC3"/>
            <w:tabs>
              <w:tab w:val="left" w:pos="1320"/>
              <w:tab w:val="right" w:leader="dot" w:pos="8296"/>
            </w:tabs>
            <w:rPr>
              <w:rFonts w:asciiTheme="minorHAnsi" w:eastAsiaTheme="minorEastAsia" w:hAnsiTheme="minorHAnsi"/>
              <w:noProof/>
              <w:sz w:val="22"/>
              <w:lang w:eastAsia="en-AU"/>
            </w:rPr>
          </w:pPr>
          <w:hyperlink w:anchor="_Toc482176947" w:history="1">
            <w:r w:rsidR="00C47E1F" w:rsidRPr="00997F9B">
              <w:rPr>
                <w:rStyle w:val="Hyperlink"/>
                <w:noProof/>
              </w:rPr>
              <w:t>1.3.1</w:t>
            </w:r>
            <w:r w:rsidR="00C47E1F">
              <w:rPr>
                <w:rFonts w:asciiTheme="minorHAnsi" w:eastAsiaTheme="minorEastAsia" w:hAnsiTheme="minorHAnsi"/>
                <w:noProof/>
                <w:sz w:val="22"/>
                <w:lang w:eastAsia="en-AU"/>
              </w:rPr>
              <w:tab/>
            </w:r>
            <w:r w:rsidR="00C47E1F" w:rsidRPr="00997F9B">
              <w:rPr>
                <w:rStyle w:val="Hyperlink"/>
                <w:noProof/>
              </w:rPr>
              <w:t>Stakeholder submissions to the review</w:t>
            </w:r>
            <w:r w:rsidR="00C47E1F">
              <w:rPr>
                <w:noProof/>
                <w:webHidden/>
              </w:rPr>
              <w:tab/>
            </w:r>
            <w:r w:rsidR="00C47E1F">
              <w:rPr>
                <w:noProof/>
                <w:webHidden/>
              </w:rPr>
              <w:fldChar w:fldCharType="begin"/>
            </w:r>
            <w:r w:rsidR="00C47E1F">
              <w:rPr>
                <w:noProof/>
                <w:webHidden/>
              </w:rPr>
              <w:instrText xml:space="preserve"> PAGEREF _Toc482176947 \h </w:instrText>
            </w:r>
            <w:r w:rsidR="00C47E1F">
              <w:rPr>
                <w:noProof/>
                <w:webHidden/>
              </w:rPr>
            </w:r>
            <w:r w:rsidR="00C47E1F">
              <w:rPr>
                <w:noProof/>
                <w:webHidden/>
              </w:rPr>
              <w:fldChar w:fldCharType="separate"/>
            </w:r>
            <w:r w:rsidR="00D047E2">
              <w:rPr>
                <w:noProof/>
                <w:webHidden/>
              </w:rPr>
              <w:t>41</w:t>
            </w:r>
            <w:r w:rsidR="00C47E1F">
              <w:rPr>
                <w:noProof/>
                <w:webHidden/>
              </w:rPr>
              <w:fldChar w:fldCharType="end"/>
            </w:r>
          </w:hyperlink>
        </w:p>
        <w:p w:rsidR="00C47E1F" w:rsidRDefault="00DD7869">
          <w:pPr>
            <w:pStyle w:val="TOC3"/>
            <w:tabs>
              <w:tab w:val="left" w:pos="1320"/>
              <w:tab w:val="right" w:leader="dot" w:pos="8296"/>
            </w:tabs>
            <w:rPr>
              <w:rFonts w:asciiTheme="minorHAnsi" w:eastAsiaTheme="minorEastAsia" w:hAnsiTheme="minorHAnsi"/>
              <w:noProof/>
              <w:sz w:val="22"/>
              <w:lang w:eastAsia="en-AU"/>
            </w:rPr>
          </w:pPr>
          <w:hyperlink w:anchor="_Toc482176948" w:history="1">
            <w:r w:rsidR="00C47E1F" w:rsidRPr="00997F9B">
              <w:rPr>
                <w:rStyle w:val="Hyperlink"/>
                <w:noProof/>
              </w:rPr>
              <w:t>1.3.2</w:t>
            </w:r>
            <w:r w:rsidR="00C47E1F">
              <w:rPr>
                <w:rFonts w:asciiTheme="minorHAnsi" w:eastAsiaTheme="minorEastAsia" w:hAnsiTheme="minorHAnsi"/>
                <w:noProof/>
                <w:sz w:val="22"/>
                <w:lang w:eastAsia="en-AU"/>
              </w:rPr>
              <w:tab/>
            </w:r>
            <w:r w:rsidR="00C47E1F" w:rsidRPr="00997F9B">
              <w:rPr>
                <w:rStyle w:val="Hyperlink"/>
                <w:noProof/>
              </w:rPr>
              <w:t>Outcomes from the stakeholder forum</w:t>
            </w:r>
            <w:r w:rsidR="00C47E1F">
              <w:rPr>
                <w:noProof/>
                <w:webHidden/>
              </w:rPr>
              <w:tab/>
            </w:r>
            <w:r w:rsidR="00C47E1F">
              <w:rPr>
                <w:noProof/>
                <w:webHidden/>
              </w:rPr>
              <w:fldChar w:fldCharType="begin"/>
            </w:r>
            <w:r w:rsidR="00C47E1F">
              <w:rPr>
                <w:noProof/>
                <w:webHidden/>
              </w:rPr>
              <w:instrText xml:space="preserve"> PAGEREF _Toc482176948 \h </w:instrText>
            </w:r>
            <w:r w:rsidR="00C47E1F">
              <w:rPr>
                <w:noProof/>
                <w:webHidden/>
              </w:rPr>
            </w:r>
            <w:r w:rsidR="00C47E1F">
              <w:rPr>
                <w:noProof/>
                <w:webHidden/>
              </w:rPr>
              <w:fldChar w:fldCharType="separate"/>
            </w:r>
            <w:r w:rsidR="00D047E2">
              <w:rPr>
                <w:noProof/>
                <w:webHidden/>
              </w:rPr>
              <w:t>42</w:t>
            </w:r>
            <w:r w:rsidR="00C47E1F">
              <w:rPr>
                <w:noProof/>
                <w:webHidden/>
              </w:rPr>
              <w:fldChar w:fldCharType="end"/>
            </w:r>
          </w:hyperlink>
        </w:p>
        <w:p w:rsidR="00C47E1F" w:rsidRDefault="00DD7869">
          <w:pPr>
            <w:pStyle w:val="TOC3"/>
            <w:tabs>
              <w:tab w:val="right" w:leader="dot" w:pos="8296"/>
            </w:tabs>
            <w:rPr>
              <w:rFonts w:asciiTheme="minorHAnsi" w:eastAsiaTheme="minorEastAsia" w:hAnsiTheme="minorHAnsi"/>
              <w:noProof/>
              <w:sz w:val="22"/>
              <w:lang w:eastAsia="en-AU"/>
            </w:rPr>
          </w:pPr>
          <w:hyperlink w:anchor="_Toc482176949" w:history="1">
            <w:r w:rsidR="00C47E1F" w:rsidRPr="00997F9B">
              <w:rPr>
                <w:rStyle w:val="Hyperlink"/>
                <w:noProof/>
              </w:rPr>
              <w:t>1.3.3 Stakeholder submissions to the draft Report</w:t>
            </w:r>
            <w:r w:rsidR="00C47E1F">
              <w:rPr>
                <w:noProof/>
                <w:webHidden/>
              </w:rPr>
              <w:tab/>
            </w:r>
            <w:r w:rsidR="00C47E1F">
              <w:rPr>
                <w:noProof/>
                <w:webHidden/>
              </w:rPr>
              <w:fldChar w:fldCharType="begin"/>
            </w:r>
            <w:r w:rsidR="00C47E1F">
              <w:rPr>
                <w:noProof/>
                <w:webHidden/>
              </w:rPr>
              <w:instrText xml:space="preserve"> PAGEREF _Toc482176949 \h </w:instrText>
            </w:r>
            <w:r w:rsidR="00C47E1F">
              <w:rPr>
                <w:noProof/>
                <w:webHidden/>
              </w:rPr>
            </w:r>
            <w:r w:rsidR="00C47E1F">
              <w:rPr>
                <w:noProof/>
                <w:webHidden/>
              </w:rPr>
              <w:fldChar w:fldCharType="separate"/>
            </w:r>
            <w:r w:rsidR="00D047E2">
              <w:rPr>
                <w:noProof/>
                <w:webHidden/>
              </w:rPr>
              <w:t>43</w:t>
            </w:r>
            <w:r w:rsidR="00C47E1F">
              <w:rPr>
                <w:noProof/>
                <w:webHidden/>
              </w:rPr>
              <w:fldChar w:fldCharType="end"/>
            </w:r>
          </w:hyperlink>
        </w:p>
        <w:p w:rsidR="00C47E1F" w:rsidRDefault="00DD7869">
          <w:pPr>
            <w:pStyle w:val="TOC2"/>
            <w:tabs>
              <w:tab w:val="left" w:pos="880"/>
              <w:tab w:val="right" w:leader="dot" w:pos="8296"/>
            </w:tabs>
            <w:rPr>
              <w:rFonts w:asciiTheme="minorHAnsi" w:eastAsiaTheme="minorEastAsia" w:hAnsiTheme="minorHAnsi"/>
              <w:noProof/>
              <w:sz w:val="22"/>
              <w:lang w:eastAsia="en-AU"/>
            </w:rPr>
          </w:pPr>
          <w:hyperlink w:anchor="_Toc482176950" w:history="1">
            <w:r w:rsidR="00C47E1F" w:rsidRPr="00997F9B">
              <w:rPr>
                <w:rStyle w:val="Hyperlink"/>
                <w:noProof/>
              </w:rPr>
              <w:t>1.4</w:t>
            </w:r>
            <w:r w:rsidR="00C47E1F">
              <w:rPr>
                <w:rFonts w:asciiTheme="minorHAnsi" w:eastAsiaTheme="minorEastAsia" w:hAnsiTheme="minorHAnsi"/>
                <w:noProof/>
                <w:sz w:val="22"/>
                <w:lang w:eastAsia="en-AU"/>
              </w:rPr>
              <w:tab/>
            </w:r>
            <w:r w:rsidR="00C47E1F" w:rsidRPr="00997F9B">
              <w:rPr>
                <w:rStyle w:val="Hyperlink"/>
                <w:noProof/>
              </w:rPr>
              <w:t>Reference Group Consideration</w:t>
            </w:r>
            <w:r w:rsidR="00C47E1F">
              <w:rPr>
                <w:noProof/>
                <w:webHidden/>
              </w:rPr>
              <w:tab/>
            </w:r>
            <w:r w:rsidR="00C47E1F">
              <w:rPr>
                <w:noProof/>
                <w:webHidden/>
              </w:rPr>
              <w:fldChar w:fldCharType="begin"/>
            </w:r>
            <w:r w:rsidR="00C47E1F">
              <w:rPr>
                <w:noProof/>
                <w:webHidden/>
              </w:rPr>
              <w:instrText xml:space="preserve"> PAGEREF _Toc482176950 \h </w:instrText>
            </w:r>
            <w:r w:rsidR="00C47E1F">
              <w:rPr>
                <w:noProof/>
                <w:webHidden/>
              </w:rPr>
            </w:r>
            <w:r w:rsidR="00C47E1F">
              <w:rPr>
                <w:noProof/>
                <w:webHidden/>
              </w:rPr>
              <w:fldChar w:fldCharType="separate"/>
            </w:r>
            <w:r w:rsidR="00D047E2">
              <w:rPr>
                <w:noProof/>
                <w:webHidden/>
              </w:rPr>
              <w:t>43</w:t>
            </w:r>
            <w:r w:rsidR="00C47E1F">
              <w:rPr>
                <w:noProof/>
                <w:webHidden/>
              </w:rPr>
              <w:fldChar w:fldCharType="end"/>
            </w:r>
          </w:hyperlink>
        </w:p>
        <w:p w:rsidR="00C47E1F" w:rsidRDefault="00DD7869">
          <w:pPr>
            <w:pStyle w:val="TOC3"/>
            <w:tabs>
              <w:tab w:val="left" w:pos="1320"/>
              <w:tab w:val="right" w:leader="dot" w:pos="8296"/>
            </w:tabs>
            <w:rPr>
              <w:rFonts w:asciiTheme="minorHAnsi" w:eastAsiaTheme="minorEastAsia" w:hAnsiTheme="minorHAnsi"/>
              <w:noProof/>
              <w:sz w:val="22"/>
              <w:lang w:eastAsia="en-AU"/>
            </w:rPr>
          </w:pPr>
          <w:hyperlink w:anchor="_Toc482176951" w:history="1">
            <w:r w:rsidR="00C47E1F" w:rsidRPr="00997F9B">
              <w:rPr>
                <w:rStyle w:val="Hyperlink"/>
                <w:noProof/>
              </w:rPr>
              <w:t>1.4.1</w:t>
            </w:r>
            <w:r w:rsidR="00C47E1F">
              <w:rPr>
                <w:rFonts w:asciiTheme="minorHAnsi" w:eastAsiaTheme="minorEastAsia" w:hAnsiTheme="minorHAnsi"/>
                <w:noProof/>
                <w:sz w:val="22"/>
                <w:lang w:eastAsia="en-AU"/>
              </w:rPr>
              <w:tab/>
            </w:r>
            <w:r w:rsidR="00C47E1F" w:rsidRPr="00997F9B">
              <w:rPr>
                <w:rStyle w:val="Hyperlink"/>
                <w:noProof/>
              </w:rPr>
              <w:t>Compliance with PBS restrictions</w:t>
            </w:r>
            <w:r w:rsidR="00C47E1F">
              <w:rPr>
                <w:noProof/>
                <w:webHidden/>
              </w:rPr>
              <w:tab/>
            </w:r>
            <w:r w:rsidR="00C47E1F">
              <w:rPr>
                <w:noProof/>
                <w:webHidden/>
              </w:rPr>
              <w:fldChar w:fldCharType="begin"/>
            </w:r>
            <w:r w:rsidR="00C47E1F">
              <w:rPr>
                <w:noProof/>
                <w:webHidden/>
              </w:rPr>
              <w:instrText xml:space="preserve"> PAGEREF _Toc482176951 \h </w:instrText>
            </w:r>
            <w:r w:rsidR="00C47E1F">
              <w:rPr>
                <w:noProof/>
                <w:webHidden/>
              </w:rPr>
            </w:r>
            <w:r w:rsidR="00C47E1F">
              <w:rPr>
                <w:noProof/>
                <w:webHidden/>
              </w:rPr>
              <w:fldChar w:fldCharType="separate"/>
            </w:r>
            <w:r w:rsidR="00D047E2">
              <w:rPr>
                <w:noProof/>
                <w:webHidden/>
              </w:rPr>
              <w:t>43</w:t>
            </w:r>
            <w:r w:rsidR="00C47E1F">
              <w:rPr>
                <w:noProof/>
                <w:webHidden/>
              </w:rPr>
              <w:fldChar w:fldCharType="end"/>
            </w:r>
          </w:hyperlink>
        </w:p>
        <w:p w:rsidR="00C47E1F" w:rsidRDefault="00DD7869">
          <w:pPr>
            <w:pStyle w:val="TOC3"/>
            <w:tabs>
              <w:tab w:val="left" w:pos="1320"/>
              <w:tab w:val="right" w:leader="dot" w:pos="8296"/>
            </w:tabs>
            <w:rPr>
              <w:rFonts w:asciiTheme="minorHAnsi" w:eastAsiaTheme="minorEastAsia" w:hAnsiTheme="minorHAnsi"/>
              <w:noProof/>
              <w:sz w:val="22"/>
              <w:lang w:eastAsia="en-AU"/>
            </w:rPr>
          </w:pPr>
          <w:hyperlink w:anchor="_Toc482176952" w:history="1">
            <w:r w:rsidR="00C47E1F" w:rsidRPr="00997F9B">
              <w:rPr>
                <w:rStyle w:val="Hyperlink"/>
                <w:noProof/>
              </w:rPr>
              <w:t>1.4.2</w:t>
            </w:r>
            <w:r w:rsidR="00C47E1F">
              <w:rPr>
                <w:rFonts w:asciiTheme="minorHAnsi" w:eastAsiaTheme="minorEastAsia" w:hAnsiTheme="minorHAnsi"/>
                <w:noProof/>
                <w:sz w:val="22"/>
                <w:lang w:eastAsia="en-AU"/>
              </w:rPr>
              <w:tab/>
            </w:r>
            <w:r w:rsidR="00C47E1F" w:rsidRPr="00997F9B">
              <w:rPr>
                <w:rStyle w:val="Hyperlink"/>
                <w:noProof/>
              </w:rPr>
              <w:t>Adherence and persistence to LLT pre and post initiation of ezetimibe therapy</w:t>
            </w:r>
            <w:r w:rsidR="00C47E1F">
              <w:rPr>
                <w:noProof/>
                <w:webHidden/>
              </w:rPr>
              <w:tab/>
            </w:r>
            <w:r w:rsidR="00C47E1F">
              <w:rPr>
                <w:noProof/>
                <w:webHidden/>
              </w:rPr>
              <w:fldChar w:fldCharType="begin"/>
            </w:r>
            <w:r w:rsidR="00C47E1F">
              <w:rPr>
                <w:noProof/>
                <w:webHidden/>
              </w:rPr>
              <w:instrText xml:space="preserve"> PAGEREF _Toc482176952 \h </w:instrText>
            </w:r>
            <w:r w:rsidR="00C47E1F">
              <w:rPr>
                <w:noProof/>
                <w:webHidden/>
              </w:rPr>
            </w:r>
            <w:r w:rsidR="00C47E1F">
              <w:rPr>
                <w:noProof/>
                <w:webHidden/>
              </w:rPr>
              <w:fldChar w:fldCharType="separate"/>
            </w:r>
            <w:r w:rsidR="00D047E2">
              <w:rPr>
                <w:noProof/>
                <w:webHidden/>
              </w:rPr>
              <w:t>44</w:t>
            </w:r>
            <w:r w:rsidR="00C47E1F">
              <w:rPr>
                <w:noProof/>
                <w:webHidden/>
              </w:rPr>
              <w:fldChar w:fldCharType="end"/>
            </w:r>
          </w:hyperlink>
        </w:p>
        <w:p w:rsidR="00C47E1F" w:rsidRDefault="00DD7869">
          <w:pPr>
            <w:pStyle w:val="TOC1"/>
            <w:tabs>
              <w:tab w:val="right" w:leader="dot" w:pos="8296"/>
            </w:tabs>
            <w:rPr>
              <w:rFonts w:asciiTheme="minorHAnsi" w:eastAsiaTheme="minorEastAsia" w:hAnsiTheme="minorHAnsi"/>
              <w:noProof/>
              <w:sz w:val="22"/>
              <w:lang w:eastAsia="en-AU"/>
            </w:rPr>
          </w:pPr>
          <w:hyperlink w:anchor="_Toc482176953" w:history="1">
            <w:r w:rsidR="00C47E1F" w:rsidRPr="00997F9B">
              <w:rPr>
                <w:rStyle w:val="Hyperlink"/>
                <w:noProof/>
              </w:rPr>
              <w:t>Section 2: TOR 2 Clinical Guidelines for the use of ezetimibe</w:t>
            </w:r>
            <w:r w:rsidR="00C47E1F">
              <w:rPr>
                <w:noProof/>
                <w:webHidden/>
              </w:rPr>
              <w:tab/>
            </w:r>
            <w:r w:rsidR="00C47E1F">
              <w:rPr>
                <w:noProof/>
                <w:webHidden/>
              </w:rPr>
              <w:fldChar w:fldCharType="begin"/>
            </w:r>
            <w:r w:rsidR="00C47E1F">
              <w:rPr>
                <w:noProof/>
                <w:webHidden/>
              </w:rPr>
              <w:instrText xml:space="preserve"> PAGEREF _Toc482176953 \h </w:instrText>
            </w:r>
            <w:r w:rsidR="00C47E1F">
              <w:rPr>
                <w:noProof/>
                <w:webHidden/>
              </w:rPr>
            </w:r>
            <w:r w:rsidR="00C47E1F">
              <w:rPr>
                <w:noProof/>
                <w:webHidden/>
              </w:rPr>
              <w:fldChar w:fldCharType="separate"/>
            </w:r>
            <w:r w:rsidR="00D047E2">
              <w:rPr>
                <w:noProof/>
                <w:webHidden/>
              </w:rPr>
              <w:t>46</w:t>
            </w:r>
            <w:r w:rsidR="00C47E1F">
              <w:rPr>
                <w:noProof/>
                <w:webHidden/>
              </w:rPr>
              <w:fldChar w:fldCharType="end"/>
            </w:r>
          </w:hyperlink>
        </w:p>
        <w:p w:rsidR="00C47E1F" w:rsidRDefault="00DD7869">
          <w:pPr>
            <w:pStyle w:val="TOC2"/>
            <w:tabs>
              <w:tab w:val="left" w:pos="880"/>
              <w:tab w:val="right" w:leader="dot" w:pos="8296"/>
            </w:tabs>
            <w:rPr>
              <w:rFonts w:asciiTheme="minorHAnsi" w:eastAsiaTheme="minorEastAsia" w:hAnsiTheme="minorHAnsi"/>
              <w:noProof/>
              <w:sz w:val="22"/>
              <w:lang w:eastAsia="en-AU"/>
            </w:rPr>
          </w:pPr>
          <w:hyperlink w:anchor="_Toc482176954" w:history="1">
            <w:r w:rsidR="00C47E1F" w:rsidRPr="00997F9B">
              <w:rPr>
                <w:rStyle w:val="Hyperlink"/>
                <w:noProof/>
              </w:rPr>
              <w:t>2.1</w:t>
            </w:r>
            <w:r w:rsidR="00C47E1F">
              <w:rPr>
                <w:rFonts w:asciiTheme="minorHAnsi" w:eastAsiaTheme="minorEastAsia" w:hAnsiTheme="minorHAnsi"/>
                <w:noProof/>
                <w:sz w:val="22"/>
                <w:lang w:eastAsia="en-AU"/>
              </w:rPr>
              <w:tab/>
            </w:r>
            <w:r w:rsidR="00C47E1F" w:rsidRPr="00997F9B">
              <w:rPr>
                <w:rStyle w:val="Hyperlink"/>
                <w:noProof/>
              </w:rPr>
              <w:t>Key findings for Term of Reference 2</w:t>
            </w:r>
            <w:r w:rsidR="00C47E1F">
              <w:rPr>
                <w:noProof/>
                <w:webHidden/>
              </w:rPr>
              <w:tab/>
            </w:r>
            <w:r w:rsidR="00C47E1F">
              <w:rPr>
                <w:noProof/>
                <w:webHidden/>
              </w:rPr>
              <w:fldChar w:fldCharType="begin"/>
            </w:r>
            <w:r w:rsidR="00C47E1F">
              <w:rPr>
                <w:noProof/>
                <w:webHidden/>
              </w:rPr>
              <w:instrText xml:space="preserve"> PAGEREF _Toc482176954 \h </w:instrText>
            </w:r>
            <w:r w:rsidR="00C47E1F">
              <w:rPr>
                <w:noProof/>
                <w:webHidden/>
              </w:rPr>
            </w:r>
            <w:r w:rsidR="00C47E1F">
              <w:rPr>
                <w:noProof/>
                <w:webHidden/>
              </w:rPr>
              <w:fldChar w:fldCharType="separate"/>
            </w:r>
            <w:r w:rsidR="00D047E2">
              <w:rPr>
                <w:noProof/>
                <w:webHidden/>
              </w:rPr>
              <w:t>46</w:t>
            </w:r>
            <w:r w:rsidR="00C47E1F">
              <w:rPr>
                <w:noProof/>
                <w:webHidden/>
              </w:rPr>
              <w:fldChar w:fldCharType="end"/>
            </w:r>
          </w:hyperlink>
        </w:p>
        <w:p w:rsidR="00C47E1F" w:rsidRDefault="00DD7869">
          <w:pPr>
            <w:pStyle w:val="TOC2"/>
            <w:tabs>
              <w:tab w:val="left" w:pos="880"/>
              <w:tab w:val="right" w:leader="dot" w:pos="8296"/>
            </w:tabs>
            <w:rPr>
              <w:rFonts w:asciiTheme="minorHAnsi" w:eastAsiaTheme="minorEastAsia" w:hAnsiTheme="minorHAnsi"/>
              <w:noProof/>
              <w:sz w:val="22"/>
              <w:lang w:eastAsia="en-AU"/>
            </w:rPr>
          </w:pPr>
          <w:hyperlink w:anchor="_Toc482176955" w:history="1">
            <w:r w:rsidR="00C47E1F" w:rsidRPr="00997F9B">
              <w:rPr>
                <w:rStyle w:val="Hyperlink"/>
                <w:noProof/>
              </w:rPr>
              <w:t>2.2</w:t>
            </w:r>
            <w:r w:rsidR="00C47E1F">
              <w:rPr>
                <w:rFonts w:asciiTheme="minorHAnsi" w:eastAsiaTheme="minorEastAsia" w:hAnsiTheme="minorHAnsi"/>
                <w:noProof/>
                <w:sz w:val="22"/>
                <w:lang w:eastAsia="en-AU"/>
              </w:rPr>
              <w:tab/>
            </w:r>
            <w:r w:rsidR="00C47E1F" w:rsidRPr="00997F9B">
              <w:rPr>
                <w:rStyle w:val="Hyperlink"/>
                <w:noProof/>
              </w:rPr>
              <w:t>Published evidence</w:t>
            </w:r>
            <w:r w:rsidR="00C47E1F">
              <w:rPr>
                <w:noProof/>
                <w:webHidden/>
              </w:rPr>
              <w:tab/>
            </w:r>
            <w:r w:rsidR="00C47E1F">
              <w:rPr>
                <w:noProof/>
                <w:webHidden/>
              </w:rPr>
              <w:fldChar w:fldCharType="begin"/>
            </w:r>
            <w:r w:rsidR="00C47E1F">
              <w:rPr>
                <w:noProof/>
                <w:webHidden/>
              </w:rPr>
              <w:instrText xml:space="preserve"> PAGEREF _Toc482176955 \h </w:instrText>
            </w:r>
            <w:r w:rsidR="00C47E1F">
              <w:rPr>
                <w:noProof/>
                <w:webHidden/>
              </w:rPr>
            </w:r>
            <w:r w:rsidR="00C47E1F">
              <w:rPr>
                <w:noProof/>
                <w:webHidden/>
              </w:rPr>
              <w:fldChar w:fldCharType="separate"/>
            </w:r>
            <w:r w:rsidR="00D047E2">
              <w:rPr>
                <w:noProof/>
                <w:webHidden/>
              </w:rPr>
              <w:t>47</w:t>
            </w:r>
            <w:r w:rsidR="00C47E1F">
              <w:rPr>
                <w:noProof/>
                <w:webHidden/>
              </w:rPr>
              <w:fldChar w:fldCharType="end"/>
            </w:r>
          </w:hyperlink>
        </w:p>
        <w:p w:rsidR="00C47E1F" w:rsidRDefault="00DD7869">
          <w:pPr>
            <w:pStyle w:val="TOC3"/>
            <w:tabs>
              <w:tab w:val="left" w:pos="1320"/>
              <w:tab w:val="right" w:leader="dot" w:pos="8296"/>
            </w:tabs>
            <w:rPr>
              <w:rFonts w:asciiTheme="minorHAnsi" w:eastAsiaTheme="minorEastAsia" w:hAnsiTheme="minorHAnsi"/>
              <w:noProof/>
              <w:sz w:val="22"/>
              <w:lang w:eastAsia="en-AU"/>
            </w:rPr>
          </w:pPr>
          <w:hyperlink w:anchor="_Toc482176956" w:history="1">
            <w:r w:rsidR="00C47E1F" w:rsidRPr="00997F9B">
              <w:rPr>
                <w:rStyle w:val="Hyperlink"/>
                <w:noProof/>
              </w:rPr>
              <w:t>2.2.1</w:t>
            </w:r>
            <w:r w:rsidR="00C47E1F">
              <w:rPr>
                <w:rFonts w:asciiTheme="minorHAnsi" w:eastAsiaTheme="minorEastAsia" w:hAnsiTheme="minorHAnsi"/>
                <w:noProof/>
                <w:sz w:val="22"/>
                <w:lang w:eastAsia="en-AU"/>
              </w:rPr>
              <w:tab/>
            </w:r>
            <w:r w:rsidR="00C47E1F" w:rsidRPr="00997F9B">
              <w:rPr>
                <w:rStyle w:val="Hyperlink"/>
                <w:noProof/>
              </w:rPr>
              <w:t>Approach to the review</w:t>
            </w:r>
            <w:r w:rsidR="00C47E1F">
              <w:rPr>
                <w:noProof/>
                <w:webHidden/>
              </w:rPr>
              <w:tab/>
            </w:r>
            <w:r w:rsidR="00C47E1F">
              <w:rPr>
                <w:noProof/>
                <w:webHidden/>
              </w:rPr>
              <w:fldChar w:fldCharType="begin"/>
            </w:r>
            <w:r w:rsidR="00C47E1F">
              <w:rPr>
                <w:noProof/>
                <w:webHidden/>
              </w:rPr>
              <w:instrText xml:space="preserve"> PAGEREF _Toc482176956 \h </w:instrText>
            </w:r>
            <w:r w:rsidR="00C47E1F">
              <w:rPr>
                <w:noProof/>
                <w:webHidden/>
              </w:rPr>
            </w:r>
            <w:r w:rsidR="00C47E1F">
              <w:rPr>
                <w:noProof/>
                <w:webHidden/>
              </w:rPr>
              <w:fldChar w:fldCharType="separate"/>
            </w:r>
            <w:r w:rsidR="00D047E2">
              <w:rPr>
                <w:noProof/>
                <w:webHidden/>
              </w:rPr>
              <w:t>47</w:t>
            </w:r>
            <w:r w:rsidR="00C47E1F">
              <w:rPr>
                <w:noProof/>
                <w:webHidden/>
              </w:rPr>
              <w:fldChar w:fldCharType="end"/>
            </w:r>
          </w:hyperlink>
        </w:p>
        <w:p w:rsidR="00C47E1F" w:rsidRDefault="00DD7869">
          <w:pPr>
            <w:pStyle w:val="TOC3"/>
            <w:tabs>
              <w:tab w:val="left" w:pos="1320"/>
              <w:tab w:val="right" w:leader="dot" w:pos="8296"/>
            </w:tabs>
            <w:rPr>
              <w:rFonts w:asciiTheme="minorHAnsi" w:eastAsiaTheme="minorEastAsia" w:hAnsiTheme="minorHAnsi"/>
              <w:noProof/>
              <w:sz w:val="22"/>
              <w:lang w:eastAsia="en-AU"/>
            </w:rPr>
          </w:pPr>
          <w:hyperlink w:anchor="_Toc482176957" w:history="1">
            <w:r w:rsidR="00C47E1F" w:rsidRPr="00997F9B">
              <w:rPr>
                <w:rStyle w:val="Hyperlink"/>
                <w:noProof/>
              </w:rPr>
              <w:t>2.2.2</w:t>
            </w:r>
            <w:r w:rsidR="00C47E1F">
              <w:rPr>
                <w:rFonts w:asciiTheme="minorHAnsi" w:eastAsiaTheme="minorEastAsia" w:hAnsiTheme="minorHAnsi"/>
                <w:noProof/>
                <w:sz w:val="22"/>
                <w:lang w:eastAsia="en-AU"/>
              </w:rPr>
              <w:tab/>
            </w:r>
            <w:r w:rsidR="00C47E1F" w:rsidRPr="00997F9B">
              <w:rPr>
                <w:rStyle w:val="Hyperlink"/>
                <w:noProof/>
              </w:rPr>
              <w:t>Comparison of Australian and international treatment guidelines</w:t>
            </w:r>
            <w:r w:rsidR="00C47E1F">
              <w:rPr>
                <w:noProof/>
                <w:webHidden/>
              </w:rPr>
              <w:tab/>
            </w:r>
            <w:r w:rsidR="00C47E1F">
              <w:rPr>
                <w:noProof/>
                <w:webHidden/>
              </w:rPr>
              <w:fldChar w:fldCharType="begin"/>
            </w:r>
            <w:r w:rsidR="00C47E1F">
              <w:rPr>
                <w:noProof/>
                <w:webHidden/>
              </w:rPr>
              <w:instrText xml:space="preserve"> PAGEREF _Toc482176957 \h </w:instrText>
            </w:r>
            <w:r w:rsidR="00C47E1F">
              <w:rPr>
                <w:noProof/>
                <w:webHidden/>
              </w:rPr>
            </w:r>
            <w:r w:rsidR="00C47E1F">
              <w:rPr>
                <w:noProof/>
                <w:webHidden/>
              </w:rPr>
              <w:fldChar w:fldCharType="separate"/>
            </w:r>
            <w:r w:rsidR="00D047E2">
              <w:rPr>
                <w:noProof/>
                <w:webHidden/>
              </w:rPr>
              <w:t>47</w:t>
            </w:r>
            <w:r w:rsidR="00C47E1F">
              <w:rPr>
                <w:noProof/>
                <w:webHidden/>
              </w:rPr>
              <w:fldChar w:fldCharType="end"/>
            </w:r>
          </w:hyperlink>
        </w:p>
        <w:p w:rsidR="00C47E1F" w:rsidRDefault="00DD7869">
          <w:pPr>
            <w:pStyle w:val="TOC3"/>
            <w:tabs>
              <w:tab w:val="left" w:pos="1320"/>
              <w:tab w:val="right" w:leader="dot" w:pos="8296"/>
            </w:tabs>
            <w:rPr>
              <w:rFonts w:asciiTheme="minorHAnsi" w:eastAsiaTheme="minorEastAsia" w:hAnsiTheme="minorHAnsi"/>
              <w:noProof/>
              <w:sz w:val="22"/>
              <w:lang w:eastAsia="en-AU"/>
            </w:rPr>
          </w:pPr>
          <w:hyperlink w:anchor="_Toc482176958" w:history="1">
            <w:r w:rsidR="00C47E1F" w:rsidRPr="00997F9B">
              <w:rPr>
                <w:rStyle w:val="Hyperlink"/>
                <w:noProof/>
              </w:rPr>
              <w:t>2.2.3</w:t>
            </w:r>
            <w:r w:rsidR="00C47E1F">
              <w:rPr>
                <w:rFonts w:asciiTheme="minorHAnsi" w:eastAsiaTheme="minorEastAsia" w:hAnsiTheme="minorHAnsi"/>
                <w:noProof/>
                <w:sz w:val="22"/>
                <w:lang w:eastAsia="en-AU"/>
              </w:rPr>
              <w:tab/>
            </w:r>
            <w:r w:rsidR="00C47E1F" w:rsidRPr="00997F9B">
              <w:rPr>
                <w:rStyle w:val="Hyperlink"/>
                <w:noProof/>
              </w:rPr>
              <w:t>Approaches to therapeutic treatment in the guidelines</w:t>
            </w:r>
            <w:r w:rsidR="00C47E1F">
              <w:rPr>
                <w:noProof/>
                <w:webHidden/>
              </w:rPr>
              <w:tab/>
            </w:r>
            <w:r w:rsidR="00C47E1F">
              <w:rPr>
                <w:noProof/>
                <w:webHidden/>
              </w:rPr>
              <w:fldChar w:fldCharType="begin"/>
            </w:r>
            <w:r w:rsidR="00C47E1F">
              <w:rPr>
                <w:noProof/>
                <w:webHidden/>
              </w:rPr>
              <w:instrText xml:space="preserve"> PAGEREF _Toc482176958 \h </w:instrText>
            </w:r>
            <w:r w:rsidR="00C47E1F">
              <w:rPr>
                <w:noProof/>
                <w:webHidden/>
              </w:rPr>
            </w:r>
            <w:r w:rsidR="00C47E1F">
              <w:rPr>
                <w:noProof/>
                <w:webHidden/>
              </w:rPr>
              <w:fldChar w:fldCharType="separate"/>
            </w:r>
            <w:r w:rsidR="00D047E2">
              <w:rPr>
                <w:noProof/>
                <w:webHidden/>
              </w:rPr>
              <w:t>48</w:t>
            </w:r>
            <w:r w:rsidR="00C47E1F">
              <w:rPr>
                <w:noProof/>
                <w:webHidden/>
              </w:rPr>
              <w:fldChar w:fldCharType="end"/>
            </w:r>
          </w:hyperlink>
        </w:p>
        <w:p w:rsidR="00C47E1F" w:rsidRDefault="00DD7869">
          <w:pPr>
            <w:pStyle w:val="TOC3"/>
            <w:tabs>
              <w:tab w:val="right" w:leader="dot" w:pos="8296"/>
            </w:tabs>
            <w:rPr>
              <w:rFonts w:asciiTheme="minorHAnsi" w:eastAsiaTheme="minorEastAsia" w:hAnsiTheme="minorHAnsi"/>
              <w:noProof/>
              <w:sz w:val="22"/>
              <w:lang w:eastAsia="en-AU"/>
            </w:rPr>
          </w:pPr>
          <w:hyperlink w:anchor="_Toc482176959" w:history="1">
            <w:r w:rsidR="00C47E1F" w:rsidRPr="00997F9B">
              <w:rPr>
                <w:rStyle w:val="Hyperlink"/>
                <w:noProof/>
                <w:highlight w:val="yellow"/>
              </w:rPr>
              <w:t>2.2.4 Recently published literature</w:t>
            </w:r>
            <w:r w:rsidR="00C47E1F">
              <w:rPr>
                <w:noProof/>
                <w:webHidden/>
              </w:rPr>
              <w:tab/>
            </w:r>
            <w:r w:rsidR="00C47E1F">
              <w:rPr>
                <w:noProof/>
                <w:webHidden/>
              </w:rPr>
              <w:fldChar w:fldCharType="begin"/>
            </w:r>
            <w:r w:rsidR="00C47E1F">
              <w:rPr>
                <w:noProof/>
                <w:webHidden/>
              </w:rPr>
              <w:instrText xml:space="preserve"> PAGEREF _Toc482176959 \h </w:instrText>
            </w:r>
            <w:r w:rsidR="00C47E1F">
              <w:rPr>
                <w:noProof/>
                <w:webHidden/>
              </w:rPr>
            </w:r>
            <w:r w:rsidR="00C47E1F">
              <w:rPr>
                <w:noProof/>
                <w:webHidden/>
              </w:rPr>
              <w:fldChar w:fldCharType="separate"/>
            </w:r>
            <w:r w:rsidR="00D047E2">
              <w:rPr>
                <w:noProof/>
                <w:webHidden/>
              </w:rPr>
              <w:t>48</w:t>
            </w:r>
            <w:r w:rsidR="00C47E1F">
              <w:rPr>
                <w:noProof/>
                <w:webHidden/>
              </w:rPr>
              <w:fldChar w:fldCharType="end"/>
            </w:r>
          </w:hyperlink>
        </w:p>
        <w:p w:rsidR="00C47E1F" w:rsidRDefault="00DD7869">
          <w:pPr>
            <w:pStyle w:val="TOC3"/>
            <w:tabs>
              <w:tab w:val="left" w:pos="1320"/>
              <w:tab w:val="right" w:leader="dot" w:pos="8296"/>
            </w:tabs>
            <w:rPr>
              <w:rFonts w:asciiTheme="minorHAnsi" w:eastAsiaTheme="minorEastAsia" w:hAnsiTheme="minorHAnsi"/>
              <w:noProof/>
              <w:sz w:val="22"/>
              <w:lang w:eastAsia="en-AU"/>
            </w:rPr>
          </w:pPr>
          <w:hyperlink w:anchor="_Toc482176960" w:history="1">
            <w:r w:rsidR="00C47E1F" w:rsidRPr="00997F9B">
              <w:rPr>
                <w:rStyle w:val="Hyperlink"/>
                <w:noProof/>
              </w:rPr>
              <w:t>2.2.5</w:t>
            </w:r>
            <w:r w:rsidR="00C47E1F">
              <w:rPr>
                <w:rFonts w:asciiTheme="minorHAnsi" w:eastAsiaTheme="minorEastAsia" w:hAnsiTheme="minorHAnsi"/>
                <w:noProof/>
                <w:sz w:val="22"/>
                <w:lang w:eastAsia="en-AU"/>
              </w:rPr>
              <w:tab/>
            </w:r>
            <w:r w:rsidR="00C47E1F" w:rsidRPr="00997F9B">
              <w:rPr>
                <w:rStyle w:val="Hyperlink"/>
                <w:noProof/>
              </w:rPr>
              <w:t>Australian Guidelines compared to the PBS General Statement on Lipid Lowering Drugs (GSLLD)</w:t>
            </w:r>
            <w:r w:rsidR="00C47E1F">
              <w:rPr>
                <w:noProof/>
                <w:webHidden/>
              </w:rPr>
              <w:tab/>
            </w:r>
            <w:r w:rsidR="00C47E1F">
              <w:rPr>
                <w:noProof/>
                <w:webHidden/>
              </w:rPr>
              <w:fldChar w:fldCharType="begin"/>
            </w:r>
            <w:r w:rsidR="00C47E1F">
              <w:rPr>
                <w:noProof/>
                <w:webHidden/>
              </w:rPr>
              <w:instrText xml:space="preserve"> PAGEREF _Toc482176960 \h </w:instrText>
            </w:r>
            <w:r w:rsidR="00C47E1F">
              <w:rPr>
                <w:noProof/>
                <w:webHidden/>
              </w:rPr>
            </w:r>
            <w:r w:rsidR="00C47E1F">
              <w:rPr>
                <w:noProof/>
                <w:webHidden/>
              </w:rPr>
              <w:fldChar w:fldCharType="separate"/>
            </w:r>
            <w:r w:rsidR="00D047E2">
              <w:rPr>
                <w:noProof/>
                <w:webHidden/>
              </w:rPr>
              <w:t>49</w:t>
            </w:r>
            <w:r w:rsidR="00C47E1F">
              <w:rPr>
                <w:noProof/>
                <w:webHidden/>
              </w:rPr>
              <w:fldChar w:fldCharType="end"/>
            </w:r>
          </w:hyperlink>
        </w:p>
        <w:p w:rsidR="00C47E1F" w:rsidRDefault="00DD7869">
          <w:pPr>
            <w:pStyle w:val="TOC2"/>
            <w:tabs>
              <w:tab w:val="right" w:leader="dot" w:pos="8296"/>
            </w:tabs>
            <w:rPr>
              <w:rFonts w:asciiTheme="minorHAnsi" w:eastAsiaTheme="minorEastAsia" w:hAnsiTheme="minorHAnsi"/>
              <w:noProof/>
              <w:sz w:val="22"/>
              <w:lang w:eastAsia="en-AU"/>
            </w:rPr>
          </w:pPr>
          <w:hyperlink w:anchor="_Toc482176961" w:history="1">
            <w:r w:rsidR="00C47E1F" w:rsidRPr="00997F9B">
              <w:rPr>
                <w:rStyle w:val="Hyperlink"/>
                <w:noProof/>
              </w:rPr>
              <w:t>2.3 Key issues raised in stakeholder submissions to the Review and the stakeholder forum</w:t>
            </w:r>
            <w:r w:rsidR="00C47E1F">
              <w:rPr>
                <w:noProof/>
                <w:webHidden/>
              </w:rPr>
              <w:tab/>
            </w:r>
            <w:r w:rsidR="00C47E1F">
              <w:rPr>
                <w:noProof/>
                <w:webHidden/>
              </w:rPr>
              <w:fldChar w:fldCharType="begin"/>
            </w:r>
            <w:r w:rsidR="00C47E1F">
              <w:rPr>
                <w:noProof/>
                <w:webHidden/>
              </w:rPr>
              <w:instrText xml:space="preserve"> PAGEREF _Toc482176961 \h </w:instrText>
            </w:r>
            <w:r w:rsidR="00C47E1F">
              <w:rPr>
                <w:noProof/>
                <w:webHidden/>
              </w:rPr>
            </w:r>
            <w:r w:rsidR="00C47E1F">
              <w:rPr>
                <w:noProof/>
                <w:webHidden/>
              </w:rPr>
              <w:fldChar w:fldCharType="separate"/>
            </w:r>
            <w:r w:rsidR="00D047E2">
              <w:rPr>
                <w:noProof/>
                <w:webHidden/>
              </w:rPr>
              <w:t>51</w:t>
            </w:r>
            <w:r w:rsidR="00C47E1F">
              <w:rPr>
                <w:noProof/>
                <w:webHidden/>
              </w:rPr>
              <w:fldChar w:fldCharType="end"/>
            </w:r>
          </w:hyperlink>
        </w:p>
        <w:p w:rsidR="00C47E1F" w:rsidRDefault="00DD7869">
          <w:pPr>
            <w:pStyle w:val="TOC3"/>
            <w:tabs>
              <w:tab w:val="right" w:leader="dot" w:pos="8296"/>
            </w:tabs>
            <w:rPr>
              <w:rFonts w:asciiTheme="minorHAnsi" w:eastAsiaTheme="minorEastAsia" w:hAnsiTheme="minorHAnsi"/>
              <w:noProof/>
              <w:sz w:val="22"/>
              <w:lang w:eastAsia="en-AU"/>
            </w:rPr>
          </w:pPr>
          <w:hyperlink w:anchor="_Toc482176962" w:history="1">
            <w:r w:rsidR="00C47E1F" w:rsidRPr="00997F9B">
              <w:rPr>
                <w:rStyle w:val="Hyperlink"/>
                <w:noProof/>
              </w:rPr>
              <w:t>2.3.1 Submissions to the Review Terms of Reference</w:t>
            </w:r>
            <w:r w:rsidR="00C47E1F">
              <w:rPr>
                <w:noProof/>
                <w:webHidden/>
              </w:rPr>
              <w:tab/>
            </w:r>
            <w:r w:rsidR="00C47E1F">
              <w:rPr>
                <w:noProof/>
                <w:webHidden/>
              </w:rPr>
              <w:fldChar w:fldCharType="begin"/>
            </w:r>
            <w:r w:rsidR="00C47E1F">
              <w:rPr>
                <w:noProof/>
                <w:webHidden/>
              </w:rPr>
              <w:instrText xml:space="preserve"> PAGEREF _Toc482176962 \h </w:instrText>
            </w:r>
            <w:r w:rsidR="00C47E1F">
              <w:rPr>
                <w:noProof/>
                <w:webHidden/>
              </w:rPr>
            </w:r>
            <w:r w:rsidR="00C47E1F">
              <w:rPr>
                <w:noProof/>
                <w:webHidden/>
              </w:rPr>
              <w:fldChar w:fldCharType="separate"/>
            </w:r>
            <w:r w:rsidR="00D047E2">
              <w:rPr>
                <w:noProof/>
                <w:webHidden/>
              </w:rPr>
              <w:t>51</w:t>
            </w:r>
            <w:r w:rsidR="00C47E1F">
              <w:rPr>
                <w:noProof/>
                <w:webHidden/>
              </w:rPr>
              <w:fldChar w:fldCharType="end"/>
            </w:r>
          </w:hyperlink>
        </w:p>
        <w:p w:rsidR="00C47E1F" w:rsidRDefault="00DD7869">
          <w:pPr>
            <w:pStyle w:val="TOC3"/>
            <w:tabs>
              <w:tab w:val="right" w:leader="dot" w:pos="8296"/>
            </w:tabs>
            <w:rPr>
              <w:rFonts w:asciiTheme="minorHAnsi" w:eastAsiaTheme="minorEastAsia" w:hAnsiTheme="minorHAnsi"/>
              <w:noProof/>
              <w:sz w:val="22"/>
              <w:lang w:eastAsia="en-AU"/>
            </w:rPr>
          </w:pPr>
          <w:hyperlink w:anchor="_Toc482176963" w:history="1">
            <w:r w:rsidR="00C47E1F" w:rsidRPr="00997F9B">
              <w:rPr>
                <w:rStyle w:val="Hyperlink"/>
                <w:noProof/>
              </w:rPr>
              <w:t>2.3.2 Outcomes from the stakeholder forum</w:t>
            </w:r>
            <w:r w:rsidR="00C47E1F">
              <w:rPr>
                <w:noProof/>
                <w:webHidden/>
              </w:rPr>
              <w:tab/>
            </w:r>
            <w:r w:rsidR="00C47E1F">
              <w:rPr>
                <w:noProof/>
                <w:webHidden/>
              </w:rPr>
              <w:fldChar w:fldCharType="begin"/>
            </w:r>
            <w:r w:rsidR="00C47E1F">
              <w:rPr>
                <w:noProof/>
                <w:webHidden/>
              </w:rPr>
              <w:instrText xml:space="preserve"> PAGEREF _Toc482176963 \h </w:instrText>
            </w:r>
            <w:r w:rsidR="00C47E1F">
              <w:rPr>
                <w:noProof/>
                <w:webHidden/>
              </w:rPr>
            </w:r>
            <w:r w:rsidR="00C47E1F">
              <w:rPr>
                <w:noProof/>
                <w:webHidden/>
              </w:rPr>
              <w:fldChar w:fldCharType="separate"/>
            </w:r>
            <w:r w:rsidR="00D047E2">
              <w:rPr>
                <w:noProof/>
                <w:webHidden/>
              </w:rPr>
              <w:t>51</w:t>
            </w:r>
            <w:r w:rsidR="00C47E1F">
              <w:rPr>
                <w:noProof/>
                <w:webHidden/>
              </w:rPr>
              <w:fldChar w:fldCharType="end"/>
            </w:r>
          </w:hyperlink>
        </w:p>
        <w:p w:rsidR="00C47E1F" w:rsidRDefault="00DD7869">
          <w:pPr>
            <w:pStyle w:val="TOC3"/>
            <w:tabs>
              <w:tab w:val="right" w:leader="dot" w:pos="8296"/>
            </w:tabs>
            <w:rPr>
              <w:rFonts w:asciiTheme="minorHAnsi" w:eastAsiaTheme="minorEastAsia" w:hAnsiTheme="minorHAnsi"/>
              <w:noProof/>
              <w:sz w:val="22"/>
              <w:lang w:eastAsia="en-AU"/>
            </w:rPr>
          </w:pPr>
          <w:hyperlink w:anchor="_Toc482176964" w:history="1">
            <w:r w:rsidR="00C47E1F" w:rsidRPr="00997F9B">
              <w:rPr>
                <w:rStyle w:val="Hyperlink"/>
                <w:noProof/>
                <w:highlight w:val="yellow"/>
              </w:rPr>
              <w:t>2.3.3 Stakeholder submissions to the draft Report</w:t>
            </w:r>
            <w:r w:rsidR="00C47E1F">
              <w:rPr>
                <w:noProof/>
                <w:webHidden/>
              </w:rPr>
              <w:tab/>
            </w:r>
            <w:r w:rsidR="00C47E1F">
              <w:rPr>
                <w:noProof/>
                <w:webHidden/>
              </w:rPr>
              <w:fldChar w:fldCharType="begin"/>
            </w:r>
            <w:r w:rsidR="00C47E1F">
              <w:rPr>
                <w:noProof/>
                <w:webHidden/>
              </w:rPr>
              <w:instrText xml:space="preserve"> PAGEREF _Toc482176964 \h </w:instrText>
            </w:r>
            <w:r w:rsidR="00C47E1F">
              <w:rPr>
                <w:noProof/>
                <w:webHidden/>
              </w:rPr>
            </w:r>
            <w:r w:rsidR="00C47E1F">
              <w:rPr>
                <w:noProof/>
                <w:webHidden/>
              </w:rPr>
              <w:fldChar w:fldCharType="separate"/>
            </w:r>
            <w:r w:rsidR="00D047E2">
              <w:rPr>
                <w:noProof/>
                <w:webHidden/>
              </w:rPr>
              <w:t>52</w:t>
            </w:r>
            <w:r w:rsidR="00C47E1F">
              <w:rPr>
                <w:noProof/>
                <w:webHidden/>
              </w:rPr>
              <w:fldChar w:fldCharType="end"/>
            </w:r>
          </w:hyperlink>
        </w:p>
        <w:p w:rsidR="00C47E1F" w:rsidRDefault="00DD7869">
          <w:pPr>
            <w:pStyle w:val="TOC2"/>
            <w:tabs>
              <w:tab w:val="left" w:pos="880"/>
              <w:tab w:val="right" w:leader="dot" w:pos="8296"/>
            </w:tabs>
            <w:rPr>
              <w:rFonts w:asciiTheme="minorHAnsi" w:eastAsiaTheme="minorEastAsia" w:hAnsiTheme="minorHAnsi"/>
              <w:noProof/>
              <w:sz w:val="22"/>
              <w:lang w:eastAsia="en-AU"/>
            </w:rPr>
          </w:pPr>
          <w:hyperlink w:anchor="_Toc482176965" w:history="1">
            <w:r w:rsidR="00C47E1F" w:rsidRPr="00997F9B">
              <w:rPr>
                <w:rStyle w:val="Hyperlink"/>
                <w:noProof/>
              </w:rPr>
              <w:t>2.4</w:t>
            </w:r>
            <w:r w:rsidR="00C47E1F">
              <w:rPr>
                <w:rFonts w:asciiTheme="minorHAnsi" w:eastAsiaTheme="minorEastAsia" w:hAnsiTheme="minorHAnsi"/>
                <w:noProof/>
                <w:sz w:val="22"/>
                <w:lang w:eastAsia="en-AU"/>
              </w:rPr>
              <w:tab/>
            </w:r>
            <w:r w:rsidR="00C47E1F" w:rsidRPr="00997F9B">
              <w:rPr>
                <w:rStyle w:val="Hyperlink"/>
                <w:noProof/>
              </w:rPr>
              <w:t>Reference Group Consideration</w:t>
            </w:r>
            <w:r w:rsidR="00C47E1F">
              <w:rPr>
                <w:noProof/>
                <w:webHidden/>
              </w:rPr>
              <w:tab/>
            </w:r>
            <w:r w:rsidR="00C47E1F">
              <w:rPr>
                <w:noProof/>
                <w:webHidden/>
              </w:rPr>
              <w:fldChar w:fldCharType="begin"/>
            </w:r>
            <w:r w:rsidR="00C47E1F">
              <w:rPr>
                <w:noProof/>
                <w:webHidden/>
              </w:rPr>
              <w:instrText xml:space="preserve"> PAGEREF _Toc482176965 \h </w:instrText>
            </w:r>
            <w:r w:rsidR="00C47E1F">
              <w:rPr>
                <w:noProof/>
                <w:webHidden/>
              </w:rPr>
            </w:r>
            <w:r w:rsidR="00C47E1F">
              <w:rPr>
                <w:noProof/>
                <w:webHidden/>
              </w:rPr>
              <w:fldChar w:fldCharType="separate"/>
            </w:r>
            <w:r w:rsidR="00D047E2">
              <w:rPr>
                <w:noProof/>
                <w:webHidden/>
              </w:rPr>
              <w:t>52</w:t>
            </w:r>
            <w:r w:rsidR="00C47E1F">
              <w:rPr>
                <w:noProof/>
                <w:webHidden/>
              </w:rPr>
              <w:fldChar w:fldCharType="end"/>
            </w:r>
          </w:hyperlink>
        </w:p>
        <w:p w:rsidR="00C47E1F" w:rsidRDefault="00DD7869">
          <w:pPr>
            <w:pStyle w:val="TOC1"/>
            <w:tabs>
              <w:tab w:val="right" w:leader="dot" w:pos="8296"/>
            </w:tabs>
            <w:rPr>
              <w:rFonts w:asciiTheme="minorHAnsi" w:eastAsiaTheme="minorEastAsia" w:hAnsiTheme="minorHAnsi"/>
              <w:noProof/>
              <w:sz w:val="22"/>
              <w:lang w:eastAsia="en-AU"/>
            </w:rPr>
          </w:pPr>
          <w:hyperlink w:anchor="_Toc482176966" w:history="1">
            <w:r w:rsidR="00C47E1F" w:rsidRPr="00997F9B">
              <w:rPr>
                <w:rStyle w:val="Hyperlink"/>
                <w:noProof/>
              </w:rPr>
              <w:t>Section 3: TOR 3 Clinical and cost-effectiveness of ezetimibe</w:t>
            </w:r>
            <w:r w:rsidR="00C47E1F">
              <w:rPr>
                <w:noProof/>
                <w:webHidden/>
              </w:rPr>
              <w:tab/>
            </w:r>
            <w:r w:rsidR="00C47E1F">
              <w:rPr>
                <w:noProof/>
                <w:webHidden/>
              </w:rPr>
              <w:fldChar w:fldCharType="begin"/>
            </w:r>
            <w:r w:rsidR="00C47E1F">
              <w:rPr>
                <w:noProof/>
                <w:webHidden/>
              </w:rPr>
              <w:instrText xml:space="preserve"> PAGEREF _Toc482176966 \h </w:instrText>
            </w:r>
            <w:r w:rsidR="00C47E1F">
              <w:rPr>
                <w:noProof/>
                <w:webHidden/>
              </w:rPr>
            </w:r>
            <w:r w:rsidR="00C47E1F">
              <w:rPr>
                <w:noProof/>
                <w:webHidden/>
              </w:rPr>
              <w:fldChar w:fldCharType="separate"/>
            </w:r>
            <w:r w:rsidR="00D047E2">
              <w:rPr>
                <w:noProof/>
                <w:webHidden/>
              </w:rPr>
              <w:t>64</w:t>
            </w:r>
            <w:r w:rsidR="00C47E1F">
              <w:rPr>
                <w:noProof/>
                <w:webHidden/>
              </w:rPr>
              <w:fldChar w:fldCharType="end"/>
            </w:r>
          </w:hyperlink>
        </w:p>
        <w:p w:rsidR="00C47E1F" w:rsidRDefault="00DD7869">
          <w:pPr>
            <w:pStyle w:val="TOC2"/>
            <w:tabs>
              <w:tab w:val="left" w:pos="880"/>
              <w:tab w:val="right" w:leader="dot" w:pos="8296"/>
            </w:tabs>
            <w:rPr>
              <w:rFonts w:asciiTheme="minorHAnsi" w:eastAsiaTheme="minorEastAsia" w:hAnsiTheme="minorHAnsi"/>
              <w:noProof/>
              <w:sz w:val="22"/>
              <w:lang w:eastAsia="en-AU"/>
            </w:rPr>
          </w:pPr>
          <w:hyperlink w:anchor="_Toc482176967" w:history="1">
            <w:r w:rsidR="00C47E1F" w:rsidRPr="00997F9B">
              <w:rPr>
                <w:rStyle w:val="Hyperlink"/>
                <w:noProof/>
              </w:rPr>
              <w:t>3.1</w:t>
            </w:r>
            <w:r w:rsidR="00C47E1F">
              <w:rPr>
                <w:rFonts w:asciiTheme="minorHAnsi" w:eastAsiaTheme="minorEastAsia" w:hAnsiTheme="minorHAnsi"/>
                <w:noProof/>
                <w:sz w:val="22"/>
                <w:lang w:eastAsia="en-AU"/>
              </w:rPr>
              <w:tab/>
            </w:r>
            <w:r w:rsidR="00C47E1F" w:rsidRPr="00997F9B">
              <w:rPr>
                <w:rStyle w:val="Hyperlink"/>
                <w:noProof/>
              </w:rPr>
              <w:t>Key findings for Term of Reference 3</w:t>
            </w:r>
            <w:r w:rsidR="00C47E1F">
              <w:rPr>
                <w:noProof/>
                <w:webHidden/>
              </w:rPr>
              <w:tab/>
            </w:r>
            <w:r w:rsidR="00C47E1F">
              <w:rPr>
                <w:noProof/>
                <w:webHidden/>
              </w:rPr>
              <w:fldChar w:fldCharType="begin"/>
            </w:r>
            <w:r w:rsidR="00C47E1F">
              <w:rPr>
                <w:noProof/>
                <w:webHidden/>
              </w:rPr>
              <w:instrText xml:space="preserve"> PAGEREF _Toc482176967 \h </w:instrText>
            </w:r>
            <w:r w:rsidR="00C47E1F">
              <w:rPr>
                <w:noProof/>
                <w:webHidden/>
              </w:rPr>
            </w:r>
            <w:r w:rsidR="00C47E1F">
              <w:rPr>
                <w:noProof/>
                <w:webHidden/>
              </w:rPr>
              <w:fldChar w:fldCharType="separate"/>
            </w:r>
            <w:r w:rsidR="00D047E2">
              <w:rPr>
                <w:noProof/>
                <w:webHidden/>
              </w:rPr>
              <w:t>64</w:t>
            </w:r>
            <w:r w:rsidR="00C47E1F">
              <w:rPr>
                <w:noProof/>
                <w:webHidden/>
              </w:rPr>
              <w:fldChar w:fldCharType="end"/>
            </w:r>
          </w:hyperlink>
        </w:p>
        <w:p w:rsidR="00C47E1F" w:rsidRDefault="00DD7869">
          <w:pPr>
            <w:pStyle w:val="TOC3"/>
            <w:tabs>
              <w:tab w:val="left" w:pos="1320"/>
              <w:tab w:val="right" w:leader="dot" w:pos="8296"/>
            </w:tabs>
            <w:rPr>
              <w:rFonts w:asciiTheme="minorHAnsi" w:eastAsiaTheme="minorEastAsia" w:hAnsiTheme="minorHAnsi"/>
              <w:noProof/>
              <w:sz w:val="22"/>
              <w:lang w:eastAsia="en-AU"/>
            </w:rPr>
          </w:pPr>
          <w:hyperlink w:anchor="_Toc482176968" w:history="1">
            <w:r w:rsidR="00C47E1F" w:rsidRPr="00997F9B">
              <w:rPr>
                <w:rStyle w:val="Hyperlink"/>
                <w:noProof/>
                <w:highlight w:val="yellow"/>
              </w:rPr>
              <w:t>3.1.1</w:t>
            </w:r>
            <w:r w:rsidR="00C47E1F">
              <w:rPr>
                <w:rFonts w:asciiTheme="minorHAnsi" w:eastAsiaTheme="minorEastAsia" w:hAnsiTheme="minorHAnsi"/>
                <w:noProof/>
                <w:sz w:val="22"/>
                <w:lang w:eastAsia="en-AU"/>
              </w:rPr>
              <w:tab/>
            </w:r>
            <w:r w:rsidR="00C47E1F" w:rsidRPr="00997F9B">
              <w:rPr>
                <w:rStyle w:val="Hyperlink"/>
                <w:noProof/>
                <w:highlight w:val="yellow"/>
              </w:rPr>
              <w:t>Evidence review on the clinical effectiveness of ezetimibe</w:t>
            </w:r>
            <w:r w:rsidR="00C47E1F">
              <w:rPr>
                <w:noProof/>
                <w:webHidden/>
              </w:rPr>
              <w:tab/>
            </w:r>
            <w:r w:rsidR="00C47E1F">
              <w:rPr>
                <w:noProof/>
                <w:webHidden/>
              </w:rPr>
              <w:fldChar w:fldCharType="begin"/>
            </w:r>
            <w:r w:rsidR="00C47E1F">
              <w:rPr>
                <w:noProof/>
                <w:webHidden/>
              </w:rPr>
              <w:instrText xml:space="preserve"> PAGEREF _Toc482176968 \h </w:instrText>
            </w:r>
            <w:r w:rsidR="00C47E1F">
              <w:rPr>
                <w:noProof/>
                <w:webHidden/>
              </w:rPr>
            </w:r>
            <w:r w:rsidR="00C47E1F">
              <w:rPr>
                <w:noProof/>
                <w:webHidden/>
              </w:rPr>
              <w:fldChar w:fldCharType="separate"/>
            </w:r>
            <w:r w:rsidR="00D047E2">
              <w:rPr>
                <w:noProof/>
                <w:webHidden/>
              </w:rPr>
              <w:t>64</w:t>
            </w:r>
            <w:r w:rsidR="00C47E1F">
              <w:rPr>
                <w:noProof/>
                <w:webHidden/>
              </w:rPr>
              <w:fldChar w:fldCharType="end"/>
            </w:r>
          </w:hyperlink>
        </w:p>
        <w:p w:rsidR="00C47E1F" w:rsidRDefault="00DD7869">
          <w:pPr>
            <w:pStyle w:val="TOC3"/>
            <w:tabs>
              <w:tab w:val="left" w:pos="1320"/>
              <w:tab w:val="right" w:leader="dot" w:pos="8296"/>
            </w:tabs>
            <w:rPr>
              <w:rFonts w:asciiTheme="minorHAnsi" w:eastAsiaTheme="minorEastAsia" w:hAnsiTheme="minorHAnsi"/>
              <w:noProof/>
              <w:sz w:val="22"/>
              <w:lang w:eastAsia="en-AU"/>
            </w:rPr>
          </w:pPr>
          <w:hyperlink w:anchor="_Toc482176969" w:history="1">
            <w:r w:rsidR="00C47E1F" w:rsidRPr="00997F9B">
              <w:rPr>
                <w:rStyle w:val="Hyperlink"/>
                <w:noProof/>
                <w:highlight w:val="yellow"/>
              </w:rPr>
              <w:t>3.1.2</w:t>
            </w:r>
            <w:r w:rsidR="00C47E1F">
              <w:rPr>
                <w:rFonts w:asciiTheme="minorHAnsi" w:eastAsiaTheme="minorEastAsia" w:hAnsiTheme="minorHAnsi"/>
                <w:noProof/>
                <w:sz w:val="22"/>
                <w:lang w:eastAsia="en-AU"/>
              </w:rPr>
              <w:tab/>
            </w:r>
            <w:r w:rsidR="00C47E1F" w:rsidRPr="00997F9B">
              <w:rPr>
                <w:rStyle w:val="Hyperlink"/>
                <w:noProof/>
                <w:highlight w:val="yellow"/>
              </w:rPr>
              <w:t>Review of the economic modelling of ezetimibe</w:t>
            </w:r>
            <w:r w:rsidR="00C47E1F">
              <w:rPr>
                <w:noProof/>
                <w:webHidden/>
              </w:rPr>
              <w:tab/>
            </w:r>
            <w:r w:rsidR="00C47E1F">
              <w:rPr>
                <w:noProof/>
                <w:webHidden/>
              </w:rPr>
              <w:fldChar w:fldCharType="begin"/>
            </w:r>
            <w:r w:rsidR="00C47E1F">
              <w:rPr>
                <w:noProof/>
                <w:webHidden/>
              </w:rPr>
              <w:instrText xml:space="preserve"> PAGEREF _Toc482176969 \h </w:instrText>
            </w:r>
            <w:r w:rsidR="00C47E1F">
              <w:rPr>
                <w:noProof/>
                <w:webHidden/>
              </w:rPr>
            </w:r>
            <w:r w:rsidR="00C47E1F">
              <w:rPr>
                <w:noProof/>
                <w:webHidden/>
              </w:rPr>
              <w:fldChar w:fldCharType="separate"/>
            </w:r>
            <w:r w:rsidR="00D047E2">
              <w:rPr>
                <w:noProof/>
                <w:webHidden/>
              </w:rPr>
              <w:t>65</w:t>
            </w:r>
            <w:r w:rsidR="00C47E1F">
              <w:rPr>
                <w:noProof/>
                <w:webHidden/>
              </w:rPr>
              <w:fldChar w:fldCharType="end"/>
            </w:r>
          </w:hyperlink>
        </w:p>
        <w:p w:rsidR="00C47E1F" w:rsidRDefault="00DD7869">
          <w:pPr>
            <w:pStyle w:val="TOC2"/>
            <w:tabs>
              <w:tab w:val="left" w:pos="880"/>
              <w:tab w:val="right" w:leader="dot" w:pos="8296"/>
            </w:tabs>
            <w:rPr>
              <w:rFonts w:asciiTheme="minorHAnsi" w:eastAsiaTheme="minorEastAsia" w:hAnsiTheme="minorHAnsi"/>
              <w:noProof/>
              <w:sz w:val="22"/>
              <w:lang w:eastAsia="en-AU"/>
            </w:rPr>
          </w:pPr>
          <w:hyperlink w:anchor="_Toc482176970" w:history="1">
            <w:r w:rsidR="00C47E1F" w:rsidRPr="00997F9B">
              <w:rPr>
                <w:rStyle w:val="Hyperlink"/>
                <w:noProof/>
              </w:rPr>
              <w:t>3.2</w:t>
            </w:r>
            <w:r w:rsidR="00C47E1F">
              <w:rPr>
                <w:rFonts w:asciiTheme="minorHAnsi" w:eastAsiaTheme="minorEastAsia" w:hAnsiTheme="minorHAnsi"/>
                <w:noProof/>
                <w:sz w:val="22"/>
                <w:lang w:eastAsia="en-AU"/>
              </w:rPr>
              <w:tab/>
            </w:r>
            <w:r w:rsidR="00C47E1F" w:rsidRPr="00997F9B">
              <w:rPr>
                <w:rStyle w:val="Hyperlink"/>
                <w:noProof/>
              </w:rPr>
              <w:t>Evidence review on the clinical effectiveness of ezetimibe</w:t>
            </w:r>
            <w:r w:rsidR="00C47E1F">
              <w:rPr>
                <w:noProof/>
                <w:webHidden/>
              </w:rPr>
              <w:tab/>
            </w:r>
            <w:r w:rsidR="00C47E1F">
              <w:rPr>
                <w:noProof/>
                <w:webHidden/>
              </w:rPr>
              <w:fldChar w:fldCharType="begin"/>
            </w:r>
            <w:r w:rsidR="00C47E1F">
              <w:rPr>
                <w:noProof/>
                <w:webHidden/>
              </w:rPr>
              <w:instrText xml:space="preserve"> PAGEREF _Toc482176970 \h </w:instrText>
            </w:r>
            <w:r w:rsidR="00C47E1F">
              <w:rPr>
                <w:noProof/>
                <w:webHidden/>
              </w:rPr>
            </w:r>
            <w:r w:rsidR="00C47E1F">
              <w:rPr>
                <w:noProof/>
                <w:webHidden/>
              </w:rPr>
              <w:fldChar w:fldCharType="separate"/>
            </w:r>
            <w:r w:rsidR="00D047E2">
              <w:rPr>
                <w:noProof/>
                <w:webHidden/>
              </w:rPr>
              <w:t>66</w:t>
            </w:r>
            <w:r w:rsidR="00C47E1F">
              <w:rPr>
                <w:noProof/>
                <w:webHidden/>
              </w:rPr>
              <w:fldChar w:fldCharType="end"/>
            </w:r>
          </w:hyperlink>
        </w:p>
        <w:p w:rsidR="00C47E1F" w:rsidRDefault="00DD7869">
          <w:pPr>
            <w:pStyle w:val="TOC3"/>
            <w:tabs>
              <w:tab w:val="left" w:pos="1320"/>
              <w:tab w:val="right" w:leader="dot" w:pos="8296"/>
            </w:tabs>
            <w:rPr>
              <w:rFonts w:asciiTheme="minorHAnsi" w:eastAsiaTheme="minorEastAsia" w:hAnsiTheme="minorHAnsi"/>
              <w:noProof/>
              <w:sz w:val="22"/>
              <w:lang w:eastAsia="en-AU"/>
            </w:rPr>
          </w:pPr>
          <w:hyperlink w:anchor="_Toc482176971" w:history="1">
            <w:r w:rsidR="00C47E1F" w:rsidRPr="00997F9B">
              <w:rPr>
                <w:rStyle w:val="Hyperlink"/>
                <w:noProof/>
              </w:rPr>
              <w:t>3.2.1</w:t>
            </w:r>
            <w:r w:rsidR="00C47E1F">
              <w:rPr>
                <w:rFonts w:asciiTheme="minorHAnsi" w:eastAsiaTheme="minorEastAsia" w:hAnsiTheme="minorHAnsi"/>
                <w:noProof/>
                <w:sz w:val="22"/>
                <w:lang w:eastAsia="en-AU"/>
              </w:rPr>
              <w:tab/>
            </w:r>
            <w:r w:rsidR="00C47E1F" w:rsidRPr="00997F9B">
              <w:rPr>
                <w:rStyle w:val="Hyperlink"/>
                <w:noProof/>
              </w:rPr>
              <w:t>Summary of the PBAC consideration and listing history</w:t>
            </w:r>
            <w:r w:rsidR="00C47E1F">
              <w:rPr>
                <w:noProof/>
                <w:webHidden/>
              </w:rPr>
              <w:tab/>
            </w:r>
            <w:r w:rsidR="00C47E1F">
              <w:rPr>
                <w:noProof/>
                <w:webHidden/>
              </w:rPr>
              <w:fldChar w:fldCharType="begin"/>
            </w:r>
            <w:r w:rsidR="00C47E1F">
              <w:rPr>
                <w:noProof/>
                <w:webHidden/>
              </w:rPr>
              <w:instrText xml:space="preserve"> PAGEREF _Toc482176971 \h </w:instrText>
            </w:r>
            <w:r w:rsidR="00C47E1F">
              <w:rPr>
                <w:noProof/>
                <w:webHidden/>
              </w:rPr>
            </w:r>
            <w:r w:rsidR="00C47E1F">
              <w:rPr>
                <w:noProof/>
                <w:webHidden/>
              </w:rPr>
              <w:fldChar w:fldCharType="separate"/>
            </w:r>
            <w:r w:rsidR="00D047E2">
              <w:rPr>
                <w:noProof/>
                <w:webHidden/>
              </w:rPr>
              <w:t>66</w:t>
            </w:r>
            <w:r w:rsidR="00C47E1F">
              <w:rPr>
                <w:noProof/>
                <w:webHidden/>
              </w:rPr>
              <w:fldChar w:fldCharType="end"/>
            </w:r>
          </w:hyperlink>
        </w:p>
        <w:p w:rsidR="00C47E1F" w:rsidRDefault="00DD7869">
          <w:pPr>
            <w:pStyle w:val="TOC3"/>
            <w:tabs>
              <w:tab w:val="left" w:pos="1320"/>
              <w:tab w:val="right" w:leader="dot" w:pos="8296"/>
            </w:tabs>
            <w:rPr>
              <w:rFonts w:asciiTheme="minorHAnsi" w:eastAsiaTheme="minorEastAsia" w:hAnsiTheme="minorHAnsi"/>
              <w:noProof/>
              <w:sz w:val="22"/>
              <w:lang w:eastAsia="en-AU"/>
            </w:rPr>
          </w:pPr>
          <w:hyperlink w:anchor="_Toc482176972" w:history="1">
            <w:r w:rsidR="00C47E1F" w:rsidRPr="00997F9B">
              <w:rPr>
                <w:rStyle w:val="Hyperlink"/>
                <w:noProof/>
              </w:rPr>
              <w:t>3.2.2</w:t>
            </w:r>
            <w:r w:rsidR="00C47E1F">
              <w:rPr>
                <w:rFonts w:asciiTheme="minorHAnsi" w:eastAsiaTheme="minorEastAsia" w:hAnsiTheme="minorHAnsi"/>
                <w:noProof/>
                <w:sz w:val="22"/>
                <w:lang w:eastAsia="en-AU"/>
              </w:rPr>
              <w:tab/>
            </w:r>
            <w:r w:rsidR="00C47E1F" w:rsidRPr="00997F9B">
              <w:rPr>
                <w:rStyle w:val="Hyperlink"/>
                <w:noProof/>
              </w:rPr>
              <w:t>Systematic literature review</w:t>
            </w:r>
            <w:r w:rsidR="00C47E1F">
              <w:rPr>
                <w:noProof/>
                <w:webHidden/>
              </w:rPr>
              <w:tab/>
            </w:r>
            <w:r w:rsidR="00C47E1F">
              <w:rPr>
                <w:noProof/>
                <w:webHidden/>
              </w:rPr>
              <w:fldChar w:fldCharType="begin"/>
            </w:r>
            <w:r w:rsidR="00C47E1F">
              <w:rPr>
                <w:noProof/>
                <w:webHidden/>
              </w:rPr>
              <w:instrText xml:space="preserve"> PAGEREF _Toc482176972 \h </w:instrText>
            </w:r>
            <w:r w:rsidR="00C47E1F">
              <w:rPr>
                <w:noProof/>
                <w:webHidden/>
              </w:rPr>
            </w:r>
            <w:r w:rsidR="00C47E1F">
              <w:rPr>
                <w:noProof/>
                <w:webHidden/>
              </w:rPr>
              <w:fldChar w:fldCharType="separate"/>
            </w:r>
            <w:r w:rsidR="00D047E2">
              <w:rPr>
                <w:noProof/>
                <w:webHidden/>
              </w:rPr>
              <w:t>66</w:t>
            </w:r>
            <w:r w:rsidR="00C47E1F">
              <w:rPr>
                <w:noProof/>
                <w:webHidden/>
              </w:rPr>
              <w:fldChar w:fldCharType="end"/>
            </w:r>
          </w:hyperlink>
        </w:p>
        <w:p w:rsidR="00C47E1F" w:rsidRDefault="00DD7869">
          <w:pPr>
            <w:pStyle w:val="TOC3"/>
            <w:tabs>
              <w:tab w:val="left" w:pos="1320"/>
              <w:tab w:val="right" w:leader="dot" w:pos="8296"/>
            </w:tabs>
            <w:rPr>
              <w:rFonts w:asciiTheme="minorHAnsi" w:eastAsiaTheme="minorEastAsia" w:hAnsiTheme="minorHAnsi"/>
              <w:noProof/>
              <w:sz w:val="22"/>
              <w:lang w:eastAsia="en-AU"/>
            </w:rPr>
          </w:pPr>
          <w:hyperlink w:anchor="_Toc482176973" w:history="1">
            <w:r w:rsidR="00C47E1F" w:rsidRPr="00997F9B">
              <w:rPr>
                <w:rStyle w:val="Hyperlink"/>
                <w:noProof/>
              </w:rPr>
              <w:t>3.2.3</w:t>
            </w:r>
            <w:r w:rsidR="00C47E1F">
              <w:rPr>
                <w:rFonts w:asciiTheme="minorHAnsi" w:eastAsiaTheme="minorEastAsia" w:hAnsiTheme="minorHAnsi"/>
                <w:noProof/>
                <w:sz w:val="22"/>
                <w:lang w:eastAsia="en-AU"/>
              </w:rPr>
              <w:tab/>
            </w:r>
            <w:r w:rsidR="00C47E1F" w:rsidRPr="00997F9B">
              <w:rPr>
                <w:rStyle w:val="Hyperlink"/>
                <w:noProof/>
              </w:rPr>
              <w:t>Recently published literature</w:t>
            </w:r>
            <w:r w:rsidR="00C47E1F">
              <w:rPr>
                <w:noProof/>
                <w:webHidden/>
              </w:rPr>
              <w:tab/>
            </w:r>
            <w:r w:rsidR="00C47E1F">
              <w:rPr>
                <w:noProof/>
                <w:webHidden/>
              </w:rPr>
              <w:fldChar w:fldCharType="begin"/>
            </w:r>
            <w:r w:rsidR="00C47E1F">
              <w:rPr>
                <w:noProof/>
                <w:webHidden/>
              </w:rPr>
              <w:instrText xml:space="preserve"> PAGEREF _Toc482176973 \h </w:instrText>
            </w:r>
            <w:r w:rsidR="00C47E1F">
              <w:rPr>
                <w:noProof/>
                <w:webHidden/>
              </w:rPr>
            </w:r>
            <w:r w:rsidR="00C47E1F">
              <w:rPr>
                <w:noProof/>
                <w:webHidden/>
              </w:rPr>
              <w:fldChar w:fldCharType="separate"/>
            </w:r>
            <w:r w:rsidR="00D047E2">
              <w:rPr>
                <w:noProof/>
                <w:webHidden/>
              </w:rPr>
              <w:t>66</w:t>
            </w:r>
            <w:r w:rsidR="00C47E1F">
              <w:rPr>
                <w:noProof/>
                <w:webHidden/>
              </w:rPr>
              <w:fldChar w:fldCharType="end"/>
            </w:r>
          </w:hyperlink>
        </w:p>
        <w:p w:rsidR="00C47E1F" w:rsidRDefault="00DD7869">
          <w:pPr>
            <w:pStyle w:val="TOC3"/>
            <w:tabs>
              <w:tab w:val="left" w:pos="1320"/>
              <w:tab w:val="right" w:leader="dot" w:pos="8296"/>
            </w:tabs>
            <w:rPr>
              <w:rFonts w:asciiTheme="minorHAnsi" w:eastAsiaTheme="minorEastAsia" w:hAnsiTheme="minorHAnsi"/>
              <w:noProof/>
              <w:sz w:val="22"/>
              <w:lang w:eastAsia="en-AU"/>
            </w:rPr>
          </w:pPr>
          <w:hyperlink w:anchor="_Toc482176974" w:history="1">
            <w:r w:rsidR="00C47E1F" w:rsidRPr="00997F9B">
              <w:rPr>
                <w:rStyle w:val="Hyperlink"/>
                <w:noProof/>
              </w:rPr>
              <w:t>3.2.4</w:t>
            </w:r>
            <w:r w:rsidR="00C47E1F">
              <w:rPr>
                <w:rFonts w:asciiTheme="minorHAnsi" w:eastAsiaTheme="minorEastAsia" w:hAnsiTheme="minorHAnsi"/>
                <w:noProof/>
                <w:sz w:val="22"/>
                <w:lang w:eastAsia="en-AU"/>
              </w:rPr>
              <w:tab/>
            </w:r>
            <w:r w:rsidR="00C47E1F" w:rsidRPr="00997F9B">
              <w:rPr>
                <w:rStyle w:val="Hyperlink"/>
                <w:noProof/>
              </w:rPr>
              <w:t>Clinical efficacy and safety of ezetimibe as monotherapy and in combination with a statin</w:t>
            </w:r>
            <w:r w:rsidR="00C47E1F">
              <w:rPr>
                <w:noProof/>
                <w:webHidden/>
              </w:rPr>
              <w:tab/>
            </w:r>
            <w:r w:rsidR="00C47E1F">
              <w:rPr>
                <w:noProof/>
                <w:webHidden/>
              </w:rPr>
              <w:fldChar w:fldCharType="begin"/>
            </w:r>
            <w:r w:rsidR="00C47E1F">
              <w:rPr>
                <w:noProof/>
                <w:webHidden/>
              </w:rPr>
              <w:instrText xml:space="preserve"> PAGEREF _Toc482176974 \h </w:instrText>
            </w:r>
            <w:r w:rsidR="00C47E1F">
              <w:rPr>
                <w:noProof/>
                <w:webHidden/>
              </w:rPr>
            </w:r>
            <w:r w:rsidR="00C47E1F">
              <w:rPr>
                <w:noProof/>
                <w:webHidden/>
              </w:rPr>
              <w:fldChar w:fldCharType="separate"/>
            </w:r>
            <w:r w:rsidR="00D047E2">
              <w:rPr>
                <w:noProof/>
                <w:webHidden/>
              </w:rPr>
              <w:t>67</w:t>
            </w:r>
            <w:r w:rsidR="00C47E1F">
              <w:rPr>
                <w:noProof/>
                <w:webHidden/>
              </w:rPr>
              <w:fldChar w:fldCharType="end"/>
            </w:r>
          </w:hyperlink>
        </w:p>
        <w:p w:rsidR="00C47E1F" w:rsidRDefault="00DD7869">
          <w:pPr>
            <w:pStyle w:val="TOC3"/>
            <w:tabs>
              <w:tab w:val="left" w:pos="1320"/>
              <w:tab w:val="right" w:leader="dot" w:pos="8296"/>
            </w:tabs>
            <w:rPr>
              <w:rFonts w:asciiTheme="minorHAnsi" w:eastAsiaTheme="minorEastAsia" w:hAnsiTheme="minorHAnsi"/>
              <w:noProof/>
              <w:sz w:val="22"/>
              <w:lang w:eastAsia="en-AU"/>
            </w:rPr>
          </w:pPr>
          <w:hyperlink w:anchor="_Toc482176975" w:history="1">
            <w:r w:rsidR="00C47E1F" w:rsidRPr="00997F9B">
              <w:rPr>
                <w:rStyle w:val="Hyperlink"/>
                <w:noProof/>
              </w:rPr>
              <w:t>3.2.5</w:t>
            </w:r>
            <w:r w:rsidR="00C47E1F">
              <w:rPr>
                <w:rFonts w:asciiTheme="minorHAnsi" w:eastAsiaTheme="minorEastAsia" w:hAnsiTheme="minorHAnsi"/>
                <w:noProof/>
                <w:sz w:val="22"/>
                <w:lang w:eastAsia="en-AU"/>
              </w:rPr>
              <w:tab/>
            </w:r>
            <w:r w:rsidR="00C47E1F" w:rsidRPr="00997F9B">
              <w:rPr>
                <w:rStyle w:val="Hyperlink"/>
                <w:noProof/>
              </w:rPr>
              <w:t>Applicability issues</w:t>
            </w:r>
            <w:r w:rsidR="00C47E1F">
              <w:rPr>
                <w:noProof/>
                <w:webHidden/>
              </w:rPr>
              <w:tab/>
            </w:r>
            <w:r w:rsidR="00C47E1F">
              <w:rPr>
                <w:noProof/>
                <w:webHidden/>
              </w:rPr>
              <w:fldChar w:fldCharType="begin"/>
            </w:r>
            <w:r w:rsidR="00C47E1F">
              <w:rPr>
                <w:noProof/>
                <w:webHidden/>
              </w:rPr>
              <w:instrText xml:space="preserve"> PAGEREF _Toc482176975 \h </w:instrText>
            </w:r>
            <w:r w:rsidR="00C47E1F">
              <w:rPr>
                <w:noProof/>
                <w:webHidden/>
              </w:rPr>
            </w:r>
            <w:r w:rsidR="00C47E1F">
              <w:rPr>
                <w:noProof/>
                <w:webHidden/>
              </w:rPr>
              <w:fldChar w:fldCharType="separate"/>
            </w:r>
            <w:r w:rsidR="00D047E2">
              <w:rPr>
                <w:noProof/>
                <w:webHidden/>
              </w:rPr>
              <w:t>68</w:t>
            </w:r>
            <w:r w:rsidR="00C47E1F">
              <w:rPr>
                <w:noProof/>
                <w:webHidden/>
              </w:rPr>
              <w:fldChar w:fldCharType="end"/>
            </w:r>
          </w:hyperlink>
        </w:p>
        <w:p w:rsidR="00C47E1F" w:rsidRDefault="00DD7869">
          <w:pPr>
            <w:pStyle w:val="TOC2"/>
            <w:tabs>
              <w:tab w:val="left" w:pos="880"/>
              <w:tab w:val="right" w:leader="dot" w:pos="8296"/>
            </w:tabs>
            <w:rPr>
              <w:rFonts w:asciiTheme="minorHAnsi" w:eastAsiaTheme="minorEastAsia" w:hAnsiTheme="minorHAnsi"/>
              <w:noProof/>
              <w:sz w:val="22"/>
              <w:lang w:eastAsia="en-AU"/>
            </w:rPr>
          </w:pPr>
          <w:hyperlink w:anchor="_Toc482176976" w:history="1">
            <w:r w:rsidR="00C47E1F" w:rsidRPr="00997F9B">
              <w:rPr>
                <w:rStyle w:val="Hyperlink"/>
                <w:noProof/>
              </w:rPr>
              <w:t>3.3</w:t>
            </w:r>
            <w:r w:rsidR="00C47E1F">
              <w:rPr>
                <w:rFonts w:asciiTheme="minorHAnsi" w:eastAsiaTheme="minorEastAsia" w:hAnsiTheme="minorHAnsi"/>
                <w:noProof/>
                <w:sz w:val="22"/>
                <w:lang w:eastAsia="en-AU"/>
              </w:rPr>
              <w:tab/>
            </w:r>
            <w:r w:rsidR="00C47E1F" w:rsidRPr="00997F9B">
              <w:rPr>
                <w:rStyle w:val="Hyperlink"/>
                <w:noProof/>
              </w:rPr>
              <w:t>Economic evaluation of ezetimibe</w:t>
            </w:r>
            <w:r w:rsidR="00C47E1F">
              <w:rPr>
                <w:noProof/>
                <w:webHidden/>
              </w:rPr>
              <w:tab/>
            </w:r>
            <w:r w:rsidR="00C47E1F">
              <w:rPr>
                <w:noProof/>
                <w:webHidden/>
              </w:rPr>
              <w:fldChar w:fldCharType="begin"/>
            </w:r>
            <w:r w:rsidR="00C47E1F">
              <w:rPr>
                <w:noProof/>
                <w:webHidden/>
              </w:rPr>
              <w:instrText xml:space="preserve"> PAGEREF _Toc482176976 \h </w:instrText>
            </w:r>
            <w:r w:rsidR="00C47E1F">
              <w:rPr>
                <w:noProof/>
                <w:webHidden/>
              </w:rPr>
            </w:r>
            <w:r w:rsidR="00C47E1F">
              <w:rPr>
                <w:noProof/>
                <w:webHidden/>
              </w:rPr>
              <w:fldChar w:fldCharType="separate"/>
            </w:r>
            <w:r w:rsidR="00D047E2">
              <w:rPr>
                <w:noProof/>
                <w:webHidden/>
              </w:rPr>
              <w:t>72</w:t>
            </w:r>
            <w:r w:rsidR="00C47E1F">
              <w:rPr>
                <w:noProof/>
                <w:webHidden/>
              </w:rPr>
              <w:fldChar w:fldCharType="end"/>
            </w:r>
          </w:hyperlink>
        </w:p>
        <w:p w:rsidR="00C47E1F" w:rsidRDefault="00DD7869">
          <w:pPr>
            <w:pStyle w:val="TOC2"/>
            <w:tabs>
              <w:tab w:val="left" w:pos="880"/>
              <w:tab w:val="right" w:leader="dot" w:pos="8296"/>
            </w:tabs>
            <w:rPr>
              <w:rFonts w:asciiTheme="minorHAnsi" w:eastAsiaTheme="minorEastAsia" w:hAnsiTheme="minorHAnsi"/>
              <w:noProof/>
              <w:sz w:val="22"/>
              <w:lang w:eastAsia="en-AU"/>
            </w:rPr>
          </w:pPr>
          <w:hyperlink w:anchor="_Toc482176977" w:history="1">
            <w:r w:rsidR="00C47E1F" w:rsidRPr="00997F9B">
              <w:rPr>
                <w:rStyle w:val="Hyperlink"/>
                <w:noProof/>
              </w:rPr>
              <w:t>3.4</w:t>
            </w:r>
            <w:r w:rsidR="00C47E1F">
              <w:rPr>
                <w:rFonts w:asciiTheme="minorHAnsi" w:eastAsiaTheme="minorEastAsia" w:hAnsiTheme="minorHAnsi"/>
                <w:noProof/>
                <w:sz w:val="22"/>
                <w:lang w:eastAsia="en-AU"/>
              </w:rPr>
              <w:tab/>
            </w:r>
            <w:r w:rsidR="00C47E1F" w:rsidRPr="00997F9B">
              <w:rPr>
                <w:rStyle w:val="Hyperlink"/>
                <w:noProof/>
              </w:rPr>
              <w:t>Key issues raised in stakeholder submissions to the Review and the stakeholder forum</w:t>
            </w:r>
            <w:r w:rsidR="00C47E1F">
              <w:rPr>
                <w:noProof/>
                <w:webHidden/>
              </w:rPr>
              <w:tab/>
            </w:r>
            <w:r w:rsidR="00C47E1F">
              <w:rPr>
                <w:noProof/>
                <w:webHidden/>
              </w:rPr>
              <w:fldChar w:fldCharType="begin"/>
            </w:r>
            <w:r w:rsidR="00C47E1F">
              <w:rPr>
                <w:noProof/>
                <w:webHidden/>
              </w:rPr>
              <w:instrText xml:space="preserve"> PAGEREF _Toc482176977 \h </w:instrText>
            </w:r>
            <w:r w:rsidR="00C47E1F">
              <w:rPr>
                <w:noProof/>
                <w:webHidden/>
              </w:rPr>
            </w:r>
            <w:r w:rsidR="00C47E1F">
              <w:rPr>
                <w:noProof/>
                <w:webHidden/>
              </w:rPr>
              <w:fldChar w:fldCharType="separate"/>
            </w:r>
            <w:r w:rsidR="00D047E2">
              <w:rPr>
                <w:noProof/>
                <w:webHidden/>
              </w:rPr>
              <w:t>74</w:t>
            </w:r>
            <w:r w:rsidR="00C47E1F">
              <w:rPr>
                <w:noProof/>
                <w:webHidden/>
              </w:rPr>
              <w:fldChar w:fldCharType="end"/>
            </w:r>
          </w:hyperlink>
        </w:p>
        <w:p w:rsidR="00C47E1F" w:rsidRDefault="00DD7869">
          <w:pPr>
            <w:pStyle w:val="TOC3"/>
            <w:tabs>
              <w:tab w:val="right" w:leader="dot" w:pos="8296"/>
            </w:tabs>
            <w:rPr>
              <w:rFonts w:asciiTheme="minorHAnsi" w:eastAsiaTheme="minorEastAsia" w:hAnsiTheme="minorHAnsi"/>
              <w:noProof/>
              <w:sz w:val="22"/>
              <w:lang w:eastAsia="en-AU"/>
            </w:rPr>
          </w:pPr>
          <w:hyperlink w:anchor="_Toc482176978" w:history="1">
            <w:r w:rsidR="00C47E1F" w:rsidRPr="00997F9B">
              <w:rPr>
                <w:rStyle w:val="Hyperlink"/>
                <w:noProof/>
              </w:rPr>
              <w:t>3.4.1 Submissions to the stakeholder forum</w:t>
            </w:r>
            <w:r w:rsidR="00C47E1F">
              <w:rPr>
                <w:noProof/>
                <w:webHidden/>
              </w:rPr>
              <w:tab/>
            </w:r>
            <w:r w:rsidR="00C47E1F">
              <w:rPr>
                <w:noProof/>
                <w:webHidden/>
              </w:rPr>
              <w:fldChar w:fldCharType="begin"/>
            </w:r>
            <w:r w:rsidR="00C47E1F">
              <w:rPr>
                <w:noProof/>
                <w:webHidden/>
              </w:rPr>
              <w:instrText xml:space="preserve"> PAGEREF _Toc482176978 \h </w:instrText>
            </w:r>
            <w:r w:rsidR="00C47E1F">
              <w:rPr>
                <w:noProof/>
                <w:webHidden/>
              </w:rPr>
            </w:r>
            <w:r w:rsidR="00C47E1F">
              <w:rPr>
                <w:noProof/>
                <w:webHidden/>
              </w:rPr>
              <w:fldChar w:fldCharType="separate"/>
            </w:r>
            <w:r w:rsidR="00D047E2">
              <w:rPr>
                <w:noProof/>
                <w:webHidden/>
              </w:rPr>
              <w:t>74</w:t>
            </w:r>
            <w:r w:rsidR="00C47E1F">
              <w:rPr>
                <w:noProof/>
                <w:webHidden/>
              </w:rPr>
              <w:fldChar w:fldCharType="end"/>
            </w:r>
          </w:hyperlink>
        </w:p>
        <w:p w:rsidR="00C47E1F" w:rsidRDefault="00DD7869">
          <w:pPr>
            <w:pStyle w:val="TOC3"/>
            <w:tabs>
              <w:tab w:val="left" w:pos="1320"/>
              <w:tab w:val="right" w:leader="dot" w:pos="8296"/>
            </w:tabs>
            <w:rPr>
              <w:rFonts w:asciiTheme="minorHAnsi" w:eastAsiaTheme="minorEastAsia" w:hAnsiTheme="minorHAnsi"/>
              <w:noProof/>
              <w:sz w:val="22"/>
              <w:lang w:eastAsia="en-AU"/>
            </w:rPr>
          </w:pPr>
          <w:hyperlink w:anchor="_Toc482176979" w:history="1">
            <w:r w:rsidR="00C47E1F" w:rsidRPr="00997F9B">
              <w:rPr>
                <w:rStyle w:val="Hyperlink"/>
                <w:noProof/>
              </w:rPr>
              <w:t>3.4.2</w:t>
            </w:r>
            <w:r w:rsidR="00C47E1F">
              <w:rPr>
                <w:rFonts w:asciiTheme="minorHAnsi" w:eastAsiaTheme="minorEastAsia" w:hAnsiTheme="minorHAnsi"/>
                <w:noProof/>
                <w:sz w:val="22"/>
                <w:lang w:eastAsia="en-AU"/>
              </w:rPr>
              <w:tab/>
            </w:r>
            <w:r w:rsidR="00C47E1F" w:rsidRPr="00997F9B">
              <w:rPr>
                <w:rStyle w:val="Hyperlink"/>
                <w:noProof/>
              </w:rPr>
              <w:t>Outcomes from the stakeholder forum</w:t>
            </w:r>
            <w:r w:rsidR="00C47E1F">
              <w:rPr>
                <w:noProof/>
                <w:webHidden/>
              </w:rPr>
              <w:tab/>
            </w:r>
            <w:r w:rsidR="00C47E1F">
              <w:rPr>
                <w:noProof/>
                <w:webHidden/>
              </w:rPr>
              <w:fldChar w:fldCharType="begin"/>
            </w:r>
            <w:r w:rsidR="00C47E1F">
              <w:rPr>
                <w:noProof/>
                <w:webHidden/>
              </w:rPr>
              <w:instrText xml:space="preserve"> PAGEREF _Toc482176979 \h </w:instrText>
            </w:r>
            <w:r w:rsidR="00C47E1F">
              <w:rPr>
                <w:noProof/>
                <w:webHidden/>
              </w:rPr>
            </w:r>
            <w:r w:rsidR="00C47E1F">
              <w:rPr>
                <w:noProof/>
                <w:webHidden/>
              </w:rPr>
              <w:fldChar w:fldCharType="separate"/>
            </w:r>
            <w:r w:rsidR="00D047E2">
              <w:rPr>
                <w:noProof/>
                <w:webHidden/>
              </w:rPr>
              <w:t>74</w:t>
            </w:r>
            <w:r w:rsidR="00C47E1F">
              <w:rPr>
                <w:noProof/>
                <w:webHidden/>
              </w:rPr>
              <w:fldChar w:fldCharType="end"/>
            </w:r>
          </w:hyperlink>
        </w:p>
        <w:p w:rsidR="00C47E1F" w:rsidRDefault="00DD7869">
          <w:pPr>
            <w:pStyle w:val="TOC3"/>
            <w:tabs>
              <w:tab w:val="right" w:leader="dot" w:pos="8296"/>
            </w:tabs>
            <w:rPr>
              <w:rFonts w:asciiTheme="minorHAnsi" w:eastAsiaTheme="minorEastAsia" w:hAnsiTheme="minorHAnsi"/>
              <w:noProof/>
              <w:sz w:val="22"/>
              <w:lang w:eastAsia="en-AU"/>
            </w:rPr>
          </w:pPr>
          <w:hyperlink w:anchor="_Toc482176980" w:history="1">
            <w:r w:rsidR="00C47E1F" w:rsidRPr="00997F9B">
              <w:rPr>
                <w:rStyle w:val="Hyperlink"/>
                <w:noProof/>
                <w:highlight w:val="yellow"/>
              </w:rPr>
              <w:t>3.4.3 Stakeholder submissions to the draft Report</w:t>
            </w:r>
            <w:r w:rsidR="00C47E1F">
              <w:rPr>
                <w:noProof/>
                <w:webHidden/>
              </w:rPr>
              <w:tab/>
            </w:r>
            <w:r w:rsidR="00C47E1F">
              <w:rPr>
                <w:noProof/>
                <w:webHidden/>
              </w:rPr>
              <w:fldChar w:fldCharType="begin"/>
            </w:r>
            <w:r w:rsidR="00C47E1F">
              <w:rPr>
                <w:noProof/>
                <w:webHidden/>
              </w:rPr>
              <w:instrText xml:space="preserve"> PAGEREF _Toc482176980 \h </w:instrText>
            </w:r>
            <w:r w:rsidR="00C47E1F">
              <w:rPr>
                <w:noProof/>
                <w:webHidden/>
              </w:rPr>
            </w:r>
            <w:r w:rsidR="00C47E1F">
              <w:rPr>
                <w:noProof/>
                <w:webHidden/>
              </w:rPr>
              <w:fldChar w:fldCharType="separate"/>
            </w:r>
            <w:r w:rsidR="00D047E2">
              <w:rPr>
                <w:noProof/>
                <w:webHidden/>
              </w:rPr>
              <w:t>75</w:t>
            </w:r>
            <w:r w:rsidR="00C47E1F">
              <w:rPr>
                <w:noProof/>
                <w:webHidden/>
              </w:rPr>
              <w:fldChar w:fldCharType="end"/>
            </w:r>
          </w:hyperlink>
        </w:p>
        <w:p w:rsidR="00C47E1F" w:rsidRDefault="00DD7869">
          <w:pPr>
            <w:pStyle w:val="TOC1"/>
            <w:tabs>
              <w:tab w:val="right" w:leader="dot" w:pos="8296"/>
            </w:tabs>
            <w:rPr>
              <w:rFonts w:asciiTheme="minorHAnsi" w:eastAsiaTheme="minorEastAsia" w:hAnsiTheme="minorHAnsi"/>
              <w:noProof/>
              <w:sz w:val="22"/>
              <w:lang w:eastAsia="en-AU"/>
            </w:rPr>
          </w:pPr>
          <w:hyperlink w:anchor="_Toc482176981" w:history="1">
            <w:r w:rsidR="00C47E1F" w:rsidRPr="00997F9B">
              <w:rPr>
                <w:rStyle w:val="Hyperlink"/>
                <w:noProof/>
              </w:rPr>
              <w:t>Appendix A – History of PBS listings</w:t>
            </w:r>
            <w:r w:rsidR="00C47E1F">
              <w:rPr>
                <w:noProof/>
                <w:webHidden/>
              </w:rPr>
              <w:tab/>
            </w:r>
            <w:r w:rsidR="00C47E1F">
              <w:rPr>
                <w:noProof/>
                <w:webHidden/>
              </w:rPr>
              <w:fldChar w:fldCharType="begin"/>
            </w:r>
            <w:r w:rsidR="00C47E1F">
              <w:rPr>
                <w:noProof/>
                <w:webHidden/>
              </w:rPr>
              <w:instrText xml:space="preserve"> PAGEREF _Toc482176981 \h </w:instrText>
            </w:r>
            <w:r w:rsidR="00C47E1F">
              <w:rPr>
                <w:noProof/>
                <w:webHidden/>
              </w:rPr>
            </w:r>
            <w:r w:rsidR="00C47E1F">
              <w:rPr>
                <w:noProof/>
                <w:webHidden/>
              </w:rPr>
              <w:fldChar w:fldCharType="separate"/>
            </w:r>
            <w:r w:rsidR="00D047E2">
              <w:rPr>
                <w:noProof/>
                <w:webHidden/>
              </w:rPr>
              <w:t>77</w:t>
            </w:r>
            <w:r w:rsidR="00C47E1F">
              <w:rPr>
                <w:noProof/>
                <w:webHidden/>
              </w:rPr>
              <w:fldChar w:fldCharType="end"/>
            </w:r>
          </w:hyperlink>
        </w:p>
        <w:p w:rsidR="00C47E1F" w:rsidRDefault="00DD7869">
          <w:pPr>
            <w:pStyle w:val="TOC1"/>
            <w:tabs>
              <w:tab w:val="right" w:leader="dot" w:pos="8296"/>
            </w:tabs>
            <w:rPr>
              <w:rFonts w:asciiTheme="minorHAnsi" w:eastAsiaTheme="minorEastAsia" w:hAnsiTheme="minorHAnsi"/>
              <w:noProof/>
              <w:sz w:val="22"/>
              <w:lang w:eastAsia="en-AU"/>
            </w:rPr>
          </w:pPr>
          <w:hyperlink w:anchor="_Toc482176982" w:history="1">
            <w:r w:rsidR="00C47E1F" w:rsidRPr="00997F9B">
              <w:rPr>
                <w:rStyle w:val="Hyperlink"/>
                <w:noProof/>
              </w:rPr>
              <w:t>Appendix B – PBS Ezetimibe restrictions</w:t>
            </w:r>
            <w:r w:rsidR="00C47E1F">
              <w:rPr>
                <w:noProof/>
                <w:webHidden/>
              </w:rPr>
              <w:tab/>
            </w:r>
            <w:r w:rsidR="00C47E1F">
              <w:rPr>
                <w:noProof/>
                <w:webHidden/>
              </w:rPr>
              <w:fldChar w:fldCharType="begin"/>
            </w:r>
            <w:r w:rsidR="00C47E1F">
              <w:rPr>
                <w:noProof/>
                <w:webHidden/>
              </w:rPr>
              <w:instrText xml:space="preserve"> PAGEREF _Toc482176982 \h </w:instrText>
            </w:r>
            <w:r w:rsidR="00C47E1F">
              <w:rPr>
                <w:noProof/>
                <w:webHidden/>
              </w:rPr>
            </w:r>
            <w:r w:rsidR="00C47E1F">
              <w:rPr>
                <w:noProof/>
                <w:webHidden/>
              </w:rPr>
              <w:fldChar w:fldCharType="separate"/>
            </w:r>
            <w:r w:rsidR="00D047E2">
              <w:rPr>
                <w:noProof/>
                <w:webHidden/>
              </w:rPr>
              <w:t>77</w:t>
            </w:r>
            <w:r w:rsidR="00C47E1F">
              <w:rPr>
                <w:noProof/>
                <w:webHidden/>
              </w:rPr>
              <w:fldChar w:fldCharType="end"/>
            </w:r>
          </w:hyperlink>
        </w:p>
        <w:p w:rsidR="00C47E1F" w:rsidRDefault="00DD7869">
          <w:pPr>
            <w:pStyle w:val="TOC1"/>
            <w:tabs>
              <w:tab w:val="right" w:leader="dot" w:pos="8296"/>
            </w:tabs>
            <w:rPr>
              <w:rFonts w:asciiTheme="minorHAnsi" w:eastAsiaTheme="minorEastAsia" w:hAnsiTheme="minorHAnsi"/>
              <w:noProof/>
              <w:sz w:val="22"/>
              <w:lang w:eastAsia="en-AU"/>
            </w:rPr>
          </w:pPr>
          <w:hyperlink w:anchor="_Toc482176983" w:history="1">
            <w:r w:rsidR="00C47E1F" w:rsidRPr="00997F9B">
              <w:rPr>
                <w:rStyle w:val="Hyperlink"/>
                <w:noProof/>
              </w:rPr>
              <w:t>Appendix C – Key dates</w:t>
            </w:r>
            <w:r w:rsidR="00C47E1F">
              <w:rPr>
                <w:noProof/>
                <w:webHidden/>
              </w:rPr>
              <w:tab/>
            </w:r>
            <w:r w:rsidR="00C47E1F">
              <w:rPr>
                <w:noProof/>
                <w:webHidden/>
              </w:rPr>
              <w:fldChar w:fldCharType="begin"/>
            </w:r>
            <w:r w:rsidR="00C47E1F">
              <w:rPr>
                <w:noProof/>
                <w:webHidden/>
              </w:rPr>
              <w:instrText xml:space="preserve"> PAGEREF _Toc482176983 \h </w:instrText>
            </w:r>
            <w:r w:rsidR="00C47E1F">
              <w:rPr>
                <w:noProof/>
                <w:webHidden/>
              </w:rPr>
            </w:r>
            <w:r w:rsidR="00C47E1F">
              <w:rPr>
                <w:noProof/>
                <w:webHidden/>
              </w:rPr>
              <w:fldChar w:fldCharType="separate"/>
            </w:r>
            <w:r w:rsidR="00D047E2">
              <w:rPr>
                <w:noProof/>
                <w:webHidden/>
              </w:rPr>
              <w:t>77</w:t>
            </w:r>
            <w:r w:rsidR="00C47E1F">
              <w:rPr>
                <w:noProof/>
                <w:webHidden/>
              </w:rPr>
              <w:fldChar w:fldCharType="end"/>
            </w:r>
          </w:hyperlink>
        </w:p>
        <w:p w:rsidR="00C47E1F" w:rsidRDefault="00DD7869">
          <w:pPr>
            <w:pStyle w:val="TOC1"/>
            <w:tabs>
              <w:tab w:val="right" w:leader="dot" w:pos="8296"/>
            </w:tabs>
            <w:rPr>
              <w:rFonts w:asciiTheme="minorHAnsi" w:eastAsiaTheme="minorEastAsia" w:hAnsiTheme="minorHAnsi"/>
              <w:noProof/>
              <w:sz w:val="22"/>
              <w:lang w:eastAsia="en-AU"/>
            </w:rPr>
          </w:pPr>
          <w:hyperlink w:anchor="_Toc482176984" w:history="1">
            <w:r w:rsidR="00C47E1F" w:rsidRPr="00997F9B">
              <w:rPr>
                <w:rStyle w:val="Hyperlink"/>
                <w:noProof/>
              </w:rPr>
              <w:t>Appendix D – Reference Group membership</w:t>
            </w:r>
            <w:r w:rsidR="00C47E1F">
              <w:rPr>
                <w:noProof/>
                <w:webHidden/>
              </w:rPr>
              <w:tab/>
            </w:r>
            <w:r w:rsidR="00C47E1F">
              <w:rPr>
                <w:noProof/>
                <w:webHidden/>
              </w:rPr>
              <w:fldChar w:fldCharType="begin"/>
            </w:r>
            <w:r w:rsidR="00C47E1F">
              <w:rPr>
                <w:noProof/>
                <w:webHidden/>
              </w:rPr>
              <w:instrText xml:space="preserve"> PAGEREF _Toc482176984 \h </w:instrText>
            </w:r>
            <w:r w:rsidR="00C47E1F">
              <w:rPr>
                <w:noProof/>
                <w:webHidden/>
              </w:rPr>
            </w:r>
            <w:r w:rsidR="00C47E1F">
              <w:rPr>
                <w:noProof/>
                <w:webHidden/>
              </w:rPr>
              <w:fldChar w:fldCharType="separate"/>
            </w:r>
            <w:r w:rsidR="00D047E2">
              <w:rPr>
                <w:noProof/>
                <w:webHidden/>
              </w:rPr>
              <w:t>77</w:t>
            </w:r>
            <w:r w:rsidR="00C47E1F">
              <w:rPr>
                <w:noProof/>
                <w:webHidden/>
              </w:rPr>
              <w:fldChar w:fldCharType="end"/>
            </w:r>
          </w:hyperlink>
        </w:p>
        <w:p w:rsidR="00C47E1F" w:rsidRDefault="00DD7869">
          <w:pPr>
            <w:pStyle w:val="TOC1"/>
            <w:tabs>
              <w:tab w:val="right" w:leader="dot" w:pos="8296"/>
            </w:tabs>
            <w:rPr>
              <w:rFonts w:asciiTheme="minorHAnsi" w:eastAsiaTheme="minorEastAsia" w:hAnsiTheme="minorHAnsi"/>
              <w:noProof/>
              <w:sz w:val="22"/>
              <w:lang w:eastAsia="en-AU"/>
            </w:rPr>
          </w:pPr>
          <w:hyperlink w:anchor="_Toc482176985" w:history="1">
            <w:r w:rsidR="00C47E1F" w:rsidRPr="00C47E1F">
              <w:rPr>
                <w:rStyle w:val="Hyperlink"/>
                <w:noProof/>
                <w:highlight w:val="yellow"/>
              </w:rPr>
              <w:t>Appendix E – Analysis of Utilisation data</w:t>
            </w:r>
            <w:r w:rsidR="00C47E1F">
              <w:rPr>
                <w:noProof/>
                <w:webHidden/>
              </w:rPr>
              <w:tab/>
            </w:r>
            <w:r w:rsidR="00C47E1F">
              <w:rPr>
                <w:noProof/>
                <w:webHidden/>
              </w:rPr>
              <w:fldChar w:fldCharType="begin"/>
            </w:r>
            <w:r w:rsidR="00C47E1F">
              <w:rPr>
                <w:noProof/>
                <w:webHidden/>
              </w:rPr>
              <w:instrText xml:space="preserve"> PAGEREF _Toc482176985 \h </w:instrText>
            </w:r>
            <w:r w:rsidR="00C47E1F">
              <w:rPr>
                <w:noProof/>
                <w:webHidden/>
              </w:rPr>
            </w:r>
            <w:r w:rsidR="00C47E1F">
              <w:rPr>
                <w:noProof/>
                <w:webHidden/>
              </w:rPr>
              <w:fldChar w:fldCharType="separate"/>
            </w:r>
            <w:r w:rsidR="00D047E2">
              <w:rPr>
                <w:noProof/>
                <w:webHidden/>
              </w:rPr>
              <w:t>77</w:t>
            </w:r>
            <w:r w:rsidR="00C47E1F">
              <w:rPr>
                <w:noProof/>
                <w:webHidden/>
              </w:rPr>
              <w:fldChar w:fldCharType="end"/>
            </w:r>
          </w:hyperlink>
        </w:p>
        <w:p w:rsidR="00C47E1F" w:rsidRDefault="00DD7869">
          <w:pPr>
            <w:pStyle w:val="TOC1"/>
            <w:tabs>
              <w:tab w:val="right" w:leader="dot" w:pos="8296"/>
            </w:tabs>
            <w:rPr>
              <w:rFonts w:asciiTheme="minorHAnsi" w:eastAsiaTheme="minorEastAsia" w:hAnsiTheme="minorHAnsi"/>
              <w:noProof/>
              <w:sz w:val="22"/>
              <w:lang w:eastAsia="en-AU"/>
            </w:rPr>
          </w:pPr>
          <w:hyperlink w:anchor="_Toc482176986" w:history="1">
            <w:r w:rsidR="00C47E1F" w:rsidRPr="00997F9B">
              <w:rPr>
                <w:rStyle w:val="Hyperlink"/>
                <w:noProof/>
              </w:rPr>
              <w:t>Appendix F – Stakeholder Forum Outcome statement</w:t>
            </w:r>
            <w:r w:rsidR="00C47E1F">
              <w:rPr>
                <w:noProof/>
                <w:webHidden/>
              </w:rPr>
              <w:tab/>
            </w:r>
            <w:r w:rsidR="00C47E1F">
              <w:rPr>
                <w:noProof/>
                <w:webHidden/>
              </w:rPr>
              <w:fldChar w:fldCharType="begin"/>
            </w:r>
            <w:r w:rsidR="00C47E1F">
              <w:rPr>
                <w:noProof/>
                <w:webHidden/>
              </w:rPr>
              <w:instrText xml:space="preserve"> PAGEREF _Toc482176986 \h </w:instrText>
            </w:r>
            <w:r w:rsidR="00C47E1F">
              <w:rPr>
                <w:noProof/>
                <w:webHidden/>
              </w:rPr>
            </w:r>
            <w:r w:rsidR="00C47E1F">
              <w:rPr>
                <w:noProof/>
                <w:webHidden/>
              </w:rPr>
              <w:fldChar w:fldCharType="separate"/>
            </w:r>
            <w:r w:rsidR="00D047E2">
              <w:rPr>
                <w:noProof/>
                <w:webHidden/>
              </w:rPr>
              <w:t>77</w:t>
            </w:r>
            <w:r w:rsidR="00C47E1F">
              <w:rPr>
                <w:noProof/>
                <w:webHidden/>
              </w:rPr>
              <w:fldChar w:fldCharType="end"/>
            </w:r>
          </w:hyperlink>
        </w:p>
        <w:p w:rsidR="00C47E1F" w:rsidRDefault="00DD7869">
          <w:pPr>
            <w:pStyle w:val="TOC1"/>
            <w:tabs>
              <w:tab w:val="right" w:leader="dot" w:pos="8296"/>
            </w:tabs>
            <w:rPr>
              <w:rFonts w:asciiTheme="minorHAnsi" w:eastAsiaTheme="minorEastAsia" w:hAnsiTheme="minorHAnsi"/>
              <w:noProof/>
              <w:sz w:val="22"/>
              <w:lang w:eastAsia="en-AU"/>
            </w:rPr>
          </w:pPr>
          <w:hyperlink w:anchor="_Toc482176987" w:history="1">
            <w:r w:rsidR="00C47E1F" w:rsidRPr="00997F9B">
              <w:rPr>
                <w:rStyle w:val="Hyperlink"/>
                <w:noProof/>
              </w:rPr>
              <w:t>Appendix G – Review of Clinical Guidelines</w:t>
            </w:r>
            <w:r w:rsidR="00C47E1F">
              <w:rPr>
                <w:noProof/>
                <w:webHidden/>
              </w:rPr>
              <w:tab/>
            </w:r>
            <w:r w:rsidR="00C47E1F">
              <w:rPr>
                <w:noProof/>
                <w:webHidden/>
              </w:rPr>
              <w:fldChar w:fldCharType="begin"/>
            </w:r>
            <w:r w:rsidR="00C47E1F">
              <w:rPr>
                <w:noProof/>
                <w:webHidden/>
              </w:rPr>
              <w:instrText xml:space="preserve"> PAGEREF _Toc482176987 \h </w:instrText>
            </w:r>
            <w:r w:rsidR="00C47E1F">
              <w:rPr>
                <w:noProof/>
                <w:webHidden/>
              </w:rPr>
            </w:r>
            <w:r w:rsidR="00C47E1F">
              <w:rPr>
                <w:noProof/>
                <w:webHidden/>
              </w:rPr>
              <w:fldChar w:fldCharType="separate"/>
            </w:r>
            <w:r w:rsidR="00D047E2">
              <w:rPr>
                <w:noProof/>
                <w:webHidden/>
              </w:rPr>
              <w:t>77</w:t>
            </w:r>
            <w:r w:rsidR="00C47E1F">
              <w:rPr>
                <w:noProof/>
                <w:webHidden/>
              </w:rPr>
              <w:fldChar w:fldCharType="end"/>
            </w:r>
          </w:hyperlink>
        </w:p>
        <w:p w:rsidR="00C47E1F" w:rsidRDefault="00DD7869">
          <w:pPr>
            <w:pStyle w:val="TOC1"/>
            <w:tabs>
              <w:tab w:val="right" w:leader="dot" w:pos="8296"/>
            </w:tabs>
            <w:rPr>
              <w:rFonts w:asciiTheme="minorHAnsi" w:eastAsiaTheme="minorEastAsia" w:hAnsiTheme="minorHAnsi"/>
              <w:noProof/>
              <w:sz w:val="22"/>
              <w:lang w:eastAsia="en-AU"/>
            </w:rPr>
          </w:pPr>
          <w:hyperlink w:anchor="_Toc482176988" w:history="1">
            <w:r w:rsidR="00C47E1F" w:rsidRPr="00997F9B">
              <w:rPr>
                <w:rStyle w:val="Hyperlink"/>
                <w:noProof/>
              </w:rPr>
              <w:t>Appendix H – Public consultation</w:t>
            </w:r>
            <w:r w:rsidR="00C47E1F">
              <w:rPr>
                <w:noProof/>
                <w:webHidden/>
              </w:rPr>
              <w:tab/>
            </w:r>
            <w:r w:rsidR="00C47E1F">
              <w:rPr>
                <w:noProof/>
                <w:webHidden/>
              </w:rPr>
              <w:fldChar w:fldCharType="begin"/>
            </w:r>
            <w:r w:rsidR="00C47E1F">
              <w:rPr>
                <w:noProof/>
                <w:webHidden/>
              </w:rPr>
              <w:instrText xml:space="preserve"> PAGEREF _Toc482176988 \h </w:instrText>
            </w:r>
            <w:r w:rsidR="00C47E1F">
              <w:rPr>
                <w:noProof/>
                <w:webHidden/>
              </w:rPr>
            </w:r>
            <w:r w:rsidR="00C47E1F">
              <w:rPr>
                <w:noProof/>
                <w:webHidden/>
              </w:rPr>
              <w:fldChar w:fldCharType="separate"/>
            </w:r>
            <w:r w:rsidR="00D047E2">
              <w:rPr>
                <w:noProof/>
                <w:webHidden/>
              </w:rPr>
              <w:t>77</w:t>
            </w:r>
            <w:r w:rsidR="00C47E1F">
              <w:rPr>
                <w:noProof/>
                <w:webHidden/>
              </w:rPr>
              <w:fldChar w:fldCharType="end"/>
            </w:r>
          </w:hyperlink>
        </w:p>
        <w:p w:rsidR="00C47E1F" w:rsidRDefault="00DD7869">
          <w:pPr>
            <w:pStyle w:val="TOC1"/>
            <w:tabs>
              <w:tab w:val="right" w:leader="dot" w:pos="8296"/>
            </w:tabs>
            <w:rPr>
              <w:rFonts w:asciiTheme="minorHAnsi" w:eastAsiaTheme="minorEastAsia" w:hAnsiTheme="minorHAnsi"/>
              <w:noProof/>
              <w:sz w:val="22"/>
              <w:lang w:eastAsia="en-AU"/>
            </w:rPr>
          </w:pPr>
          <w:hyperlink w:anchor="_Toc482176989" w:history="1">
            <w:r w:rsidR="00C47E1F" w:rsidRPr="00997F9B">
              <w:rPr>
                <w:rStyle w:val="Hyperlink"/>
                <w:noProof/>
              </w:rPr>
              <w:t>Appendix I – Systematic literature review</w:t>
            </w:r>
            <w:r w:rsidR="00C47E1F">
              <w:rPr>
                <w:noProof/>
                <w:webHidden/>
              </w:rPr>
              <w:tab/>
            </w:r>
            <w:r w:rsidR="00C47E1F">
              <w:rPr>
                <w:noProof/>
                <w:webHidden/>
              </w:rPr>
              <w:fldChar w:fldCharType="begin"/>
            </w:r>
            <w:r w:rsidR="00C47E1F">
              <w:rPr>
                <w:noProof/>
                <w:webHidden/>
              </w:rPr>
              <w:instrText xml:space="preserve"> PAGEREF _Toc482176989 \h </w:instrText>
            </w:r>
            <w:r w:rsidR="00C47E1F">
              <w:rPr>
                <w:noProof/>
                <w:webHidden/>
              </w:rPr>
            </w:r>
            <w:r w:rsidR="00C47E1F">
              <w:rPr>
                <w:noProof/>
                <w:webHidden/>
              </w:rPr>
              <w:fldChar w:fldCharType="separate"/>
            </w:r>
            <w:r w:rsidR="00D047E2">
              <w:rPr>
                <w:noProof/>
                <w:webHidden/>
              </w:rPr>
              <w:t>77</w:t>
            </w:r>
            <w:r w:rsidR="00C47E1F">
              <w:rPr>
                <w:noProof/>
                <w:webHidden/>
              </w:rPr>
              <w:fldChar w:fldCharType="end"/>
            </w:r>
          </w:hyperlink>
        </w:p>
        <w:p w:rsidR="00C47E1F" w:rsidRDefault="00DD7869">
          <w:pPr>
            <w:pStyle w:val="TOC1"/>
            <w:tabs>
              <w:tab w:val="right" w:leader="dot" w:pos="8296"/>
            </w:tabs>
            <w:rPr>
              <w:rFonts w:asciiTheme="minorHAnsi" w:eastAsiaTheme="minorEastAsia" w:hAnsiTheme="minorHAnsi"/>
              <w:noProof/>
              <w:sz w:val="22"/>
              <w:lang w:eastAsia="en-AU"/>
            </w:rPr>
          </w:pPr>
          <w:hyperlink w:anchor="_Toc482176990" w:history="1">
            <w:r w:rsidR="00C47E1F" w:rsidRPr="00C47E1F">
              <w:rPr>
                <w:rStyle w:val="Hyperlink"/>
                <w:noProof/>
                <w:highlight w:val="yellow"/>
              </w:rPr>
              <w:t>Appendix J – Modelled Economic Evaluations</w:t>
            </w:r>
            <w:r w:rsidR="00C47E1F">
              <w:rPr>
                <w:noProof/>
                <w:webHidden/>
              </w:rPr>
              <w:tab/>
            </w:r>
            <w:r w:rsidR="00C47E1F">
              <w:rPr>
                <w:noProof/>
                <w:webHidden/>
              </w:rPr>
              <w:fldChar w:fldCharType="begin"/>
            </w:r>
            <w:r w:rsidR="00C47E1F">
              <w:rPr>
                <w:noProof/>
                <w:webHidden/>
              </w:rPr>
              <w:instrText xml:space="preserve"> PAGEREF _Toc482176990 \h </w:instrText>
            </w:r>
            <w:r w:rsidR="00C47E1F">
              <w:rPr>
                <w:noProof/>
                <w:webHidden/>
              </w:rPr>
            </w:r>
            <w:r w:rsidR="00C47E1F">
              <w:rPr>
                <w:noProof/>
                <w:webHidden/>
              </w:rPr>
              <w:fldChar w:fldCharType="separate"/>
            </w:r>
            <w:r w:rsidR="00D047E2">
              <w:rPr>
                <w:noProof/>
                <w:webHidden/>
              </w:rPr>
              <w:t>77</w:t>
            </w:r>
            <w:r w:rsidR="00C47E1F">
              <w:rPr>
                <w:noProof/>
                <w:webHidden/>
              </w:rPr>
              <w:fldChar w:fldCharType="end"/>
            </w:r>
          </w:hyperlink>
        </w:p>
        <w:p w:rsidR="00C47E1F" w:rsidRDefault="00DD7869">
          <w:pPr>
            <w:pStyle w:val="TOC1"/>
            <w:tabs>
              <w:tab w:val="right" w:leader="dot" w:pos="8296"/>
            </w:tabs>
            <w:rPr>
              <w:rFonts w:asciiTheme="minorHAnsi" w:eastAsiaTheme="minorEastAsia" w:hAnsiTheme="minorHAnsi"/>
              <w:noProof/>
              <w:sz w:val="22"/>
              <w:lang w:eastAsia="en-AU"/>
            </w:rPr>
          </w:pPr>
          <w:hyperlink w:anchor="_Toc482176991" w:history="1">
            <w:r w:rsidR="00C47E1F" w:rsidRPr="00997F9B">
              <w:rPr>
                <w:rStyle w:val="Hyperlink"/>
                <w:noProof/>
              </w:rPr>
              <w:t>References</w:t>
            </w:r>
            <w:r w:rsidR="00C47E1F">
              <w:rPr>
                <w:noProof/>
                <w:webHidden/>
              </w:rPr>
              <w:tab/>
            </w:r>
            <w:r w:rsidR="00C47E1F">
              <w:rPr>
                <w:noProof/>
                <w:webHidden/>
              </w:rPr>
              <w:fldChar w:fldCharType="begin"/>
            </w:r>
            <w:r w:rsidR="00C47E1F">
              <w:rPr>
                <w:noProof/>
                <w:webHidden/>
              </w:rPr>
              <w:instrText xml:space="preserve"> PAGEREF _Toc482176991 \h </w:instrText>
            </w:r>
            <w:r w:rsidR="00C47E1F">
              <w:rPr>
                <w:noProof/>
                <w:webHidden/>
              </w:rPr>
            </w:r>
            <w:r w:rsidR="00C47E1F">
              <w:rPr>
                <w:noProof/>
                <w:webHidden/>
              </w:rPr>
              <w:fldChar w:fldCharType="separate"/>
            </w:r>
            <w:r w:rsidR="00D047E2">
              <w:rPr>
                <w:noProof/>
                <w:webHidden/>
              </w:rPr>
              <w:t>78</w:t>
            </w:r>
            <w:r w:rsidR="00C47E1F">
              <w:rPr>
                <w:noProof/>
                <w:webHidden/>
              </w:rPr>
              <w:fldChar w:fldCharType="end"/>
            </w:r>
          </w:hyperlink>
        </w:p>
        <w:p w:rsidR="008A37F9" w:rsidRDefault="008A37F9" w:rsidP="00514129">
          <w:r>
            <w:rPr>
              <w:b/>
              <w:bCs/>
              <w:noProof/>
            </w:rPr>
            <w:fldChar w:fldCharType="end"/>
          </w:r>
        </w:p>
      </w:sdtContent>
    </w:sdt>
    <w:p w:rsidR="0000686B" w:rsidRPr="004B11B2" w:rsidRDefault="0000686B" w:rsidP="00514129">
      <w:pPr>
        <w:rPr>
          <w:rFonts w:asciiTheme="majorHAnsi" w:eastAsiaTheme="majorEastAsia" w:hAnsiTheme="majorHAnsi" w:cstheme="majorBidi"/>
          <w:b/>
          <w:bCs/>
          <w:color w:val="365F91" w:themeColor="accent1" w:themeShade="BF"/>
          <w:sz w:val="28"/>
          <w:szCs w:val="28"/>
        </w:rPr>
      </w:pPr>
      <w:r w:rsidRPr="004B11B2">
        <w:rPr>
          <w:rFonts w:asciiTheme="majorHAnsi" w:hAnsiTheme="majorHAnsi"/>
        </w:rPr>
        <w:br w:type="page"/>
      </w:r>
    </w:p>
    <w:p w:rsidR="0000686B" w:rsidRPr="008370B4" w:rsidRDefault="0000686B" w:rsidP="00514129">
      <w:pPr>
        <w:pStyle w:val="Heading1"/>
      </w:pPr>
      <w:bookmarkStart w:id="15" w:name="_Toc482176915"/>
      <w:r w:rsidRPr="00920324">
        <w:lastRenderedPageBreak/>
        <w:t>Abbreviations</w:t>
      </w:r>
      <w:bookmarkEnd w:id="15"/>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4"/>
        <w:gridCol w:w="6460"/>
      </w:tblGrid>
      <w:tr w:rsidR="0000686B" w:rsidRPr="004B11B2" w:rsidTr="005879E3">
        <w:trPr>
          <w:trHeight w:val="411"/>
        </w:trPr>
        <w:tc>
          <w:tcPr>
            <w:tcW w:w="1980" w:type="dxa"/>
            <w:shd w:val="clear" w:color="auto" w:fill="BFBFBF" w:themeFill="background1" w:themeFillShade="BF"/>
            <w:vAlign w:val="bottom"/>
          </w:tcPr>
          <w:p w:rsidR="0000686B" w:rsidRPr="00777386" w:rsidRDefault="0000686B" w:rsidP="00514129">
            <w:pPr>
              <w:spacing w:before="60" w:after="60" w:line="240" w:lineRule="auto"/>
              <w:rPr>
                <w:rFonts w:asciiTheme="minorHAnsi" w:hAnsiTheme="minorHAnsi" w:cs="Arial"/>
                <w:b/>
                <w:sz w:val="20"/>
                <w:szCs w:val="20"/>
              </w:rPr>
            </w:pPr>
            <w:r>
              <w:rPr>
                <w:rFonts w:asciiTheme="minorHAnsi" w:hAnsiTheme="minorHAnsi" w:cs="Arial"/>
                <w:b/>
                <w:sz w:val="20"/>
                <w:szCs w:val="20"/>
              </w:rPr>
              <w:t>Abbreviation</w:t>
            </w:r>
          </w:p>
        </w:tc>
        <w:tc>
          <w:tcPr>
            <w:tcW w:w="6660" w:type="dxa"/>
            <w:shd w:val="clear" w:color="auto" w:fill="BFBFBF" w:themeFill="background1" w:themeFillShade="BF"/>
            <w:vAlign w:val="bottom"/>
          </w:tcPr>
          <w:p w:rsidR="0000686B" w:rsidRPr="00777386" w:rsidRDefault="0000686B" w:rsidP="00514129">
            <w:pPr>
              <w:spacing w:before="60" w:after="60" w:line="240" w:lineRule="auto"/>
              <w:rPr>
                <w:rFonts w:asciiTheme="minorHAnsi" w:hAnsiTheme="minorHAnsi" w:cs="Arial"/>
                <w:b/>
                <w:sz w:val="20"/>
                <w:szCs w:val="20"/>
              </w:rPr>
            </w:pPr>
            <w:r>
              <w:rPr>
                <w:rFonts w:asciiTheme="minorHAnsi" w:hAnsiTheme="minorHAnsi" w:cs="Arial"/>
                <w:b/>
                <w:sz w:val="20"/>
                <w:szCs w:val="20"/>
              </w:rPr>
              <w:t xml:space="preserve">Full Name / Wording </w:t>
            </w:r>
          </w:p>
        </w:tc>
      </w:tr>
      <w:tr w:rsidR="0000686B" w:rsidRPr="004B11B2" w:rsidTr="005879E3">
        <w:trPr>
          <w:trHeight w:val="170"/>
        </w:trPr>
        <w:tc>
          <w:tcPr>
            <w:tcW w:w="1980" w:type="dxa"/>
            <w:shd w:val="clear" w:color="auto" w:fill="auto"/>
            <w:vAlign w:val="bottom"/>
          </w:tcPr>
          <w:p w:rsidR="0000686B" w:rsidRPr="008370B4" w:rsidRDefault="0000686B" w:rsidP="00514129">
            <w:pPr>
              <w:spacing w:before="60" w:after="60" w:line="240" w:lineRule="auto"/>
              <w:rPr>
                <w:rFonts w:asciiTheme="minorHAnsi" w:hAnsiTheme="minorHAnsi" w:cs="Arial"/>
                <w:sz w:val="20"/>
                <w:szCs w:val="20"/>
              </w:rPr>
            </w:pPr>
            <w:r>
              <w:rPr>
                <w:rFonts w:asciiTheme="minorHAnsi" w:hAnsiTheme="minorHAnsi" w:cs="Arial"/>
                <w:sz w:val="20"/>
                <w:szCs w:val="20"/>
              </w:rPr>
              <w:t>ACC</w:t>
            </w:r>
          </w:p>
        </w:tc>
        <w:tc>
          <w:tcPr>
            <w:tcW w:w="6660" w:type="dxa"/>
            <w:shd w:val="clear" w:color="auto" w:fill="auto"/>
            <w:vAlign w:val="bottom"/>
          </w:tcPr>
          <w:p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American College of Cardiology</w:t>
            </w:r>
          </w:p>
        </w:tc>
      </w:tr>
      <w:tr w:rsidR="0000686B" w:rsidRPr="004B11B2" w:rsidTr="005879E3">
        <w:trPr>
          <w:trHeight w:val="170"/>
        </w:trPr>
        <w:tc>
          <w:tcPr>
            <w:tcW w:w="1980" w:type="dxa"/>
            <w:shd w:val="clear" w:color="auto" w:fill="auto"/>
            <w:vAlign w:val="bottom"/>
          </w:tcPr>
          <w:p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AHA</w:t>
            </w:r>
          </w:p>
        </w:tc>
        <w:tc>
          <w:tcPr>
            <w:tcW w:w="6660" w:type="dxa"/>
            <w:shd w:val="clear" w:color="auto" w:fill="auto"/>
            <w:vAlign w:val="bottom"/>
          </w:tcPr>
          <w:p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American Heart Association</w:t>
            </w:r>
          </w:p>
        </w:tc>
      </w:tr>
      <w:tr w:rsidR="0000686B" w:rsidRPr="004B11B2" w:rsidTr="005879E3">
        <w:trPr>
          <w:trHeight w:val="170"/>
        </w:trPr>
        <w:tc>
          <w:tcPr>
            <w:tcW w:w="1980" w:type="dxa"/>
            <w:shd w:val="clear" w:color="auto" w:fill="auto"/>
            <w:vAlign w:val="bottom"/>
          </w:tcPr>
          <w:p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ATC</w:t>
            </w:r>
          </w:p>
        </w:tc>
        <w:tc>
          <w:tcPr>
            <w:tcW w:w="6660" w:type="dxa"/>
            <w:shd w:val="clear" w:color="auto" w:fill="auto"/>
            <w:vAlign w:val="bottom"/>
          </w:tcPr>
          <w:p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Anatomical Therapeutic Chemical classification</w:t>
            </w:r>
          </w:p>
        </w:tc>
      </w:tr>
      <w:tr w:rsidR="0000686B" w:rsidRPr="004B11B2" w:rsidTr="005879E3">
        <w:trPr>
          <w:trHeight w:val="170"/>
        </w:trPr>
        <w:tc>
          <w:tcPr>
            <w:tcW w:w="1980" w:type="dxa"/>
            <w:shd w:val="clear" w:color="auto" w:fill="auto"/>
            <w:vAlign w:val="bottom"/>
          </w:tcPr>
          <w:p w:rsidR="0000686B"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BP</w:t>
            </w:r>
          </w:p>
        </w:tc>
        <w:tc>
          <w:tcPr>
            <w:tcW w:w="6660" w:type="dxa"/>
            <w:shd w:val="clear" w:color="auto" w:fill="auto"/>
            <w:vAlign w:val="bottom"/>
          </w:tcPr>
          <w:p w:rsidR="0000686B"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Blood Pressure</w:t>
            </w:r>
          </w:p>
        </w:tc>
      </w:tr>
      <w:tr w:rsidR="0000686B" w:rsidRPr="004B11B2" w:rsidTr="005879E3">
        <w:trPr>
          <w:trHeight w:val="170"/>
        </w:trPr>
        <w:tc>
          <w:tcPr>
            <w:tcW w:w="1980" w:type="dxa"/>
            <w:shd w:val="clear" w:color="auto" w:fill="auto"/>
            <w:vAlign w:val="bottom"/>
          </w:tcPr>
          <w:p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CVD</w:t>
            </w:r>
          </w:p>
        </w:tc>
        <w:tc>
          <w:tcPr>
            <w:tcW w:w="6660" w:type="dxa"/>
            <w:shd w:val="clear" w:color="auto" w:fill="auto"/>
            <w:vAlign w:val="bottom"/>
          </w:tcPr>
          <w:p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Cardiovascular disease</w:t>
            </w:r>
          </w:p>
        </w:tc>
      </w:tr>
      <w:tr w:rsidR="0000686B" w:rsidRPr="004B11B2" w:rsidTr="005879E3">
        <w:trPr>
          <w:trHeight w:val="170"/>
        </w:trPr>
        <w:tc>
          <w:tcPr>
            <w:tcW w:w="1980" w:type="dxa"/>
            <w:shd w:val="clear" w:color="auto" w:fill="auto"/>
            <w:vAlign w:val="bottom"/>
          </w:tcPr>
          <w:p w:rsidR="0000686B"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CPHR</w:t>
            </w:r>
          </w:p>
        </w:tc>
        <w:tc>
          <w:tcPr>
            <w:tcW w:w="6660" w:type="dxa"/>
            <w:shd w:val="clear" w:color="auto" w:fill="auto"/>
            <w:vAlign w:val="bottom"/>
          </w:tcPr>
          <w:p w:rsidR="0000686B"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Centre for Population Health Research Deakin University</w:t>
            </w:r>
          </w:p>
        </w:tc>
      </w:tr>
      <w:tr w:rsidR="0000686B" w:rsidRPr="004B11B2" w:rsidTr="005879E3">
        <w:trPr>
          <w:trHeight w:val="170"/>
        </w:trPr>
        <w:tc>
          <w:tcPr>
            <w:tcW w:w="1980" w:type="dxa"/>
            <w:shd w:val="clear" w:color="auto" w:fill="auto"/>
            <w:vAlign w:val="bottom"/>
          </w:tcPr>
          <w:p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DUSC</w:t>
            </w:r>
          </w:p>
        </w:tc>
        <w:tc>
          <w:tcPr>
            <w:tcW w:w="6660" w:type="dxa"/>
            <w:shd w:val="clear" w:color="auto" w:fill="auto"/>
            <w:vAlign w:val="bottom"/>
          </w:tcPr>
          <w:p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Drug Utilisation Subcommittee</w:t>
            </w:r>
          </w:p>
        </w:tc>
      </w:tr>
      <w:tr w:rsidR="0000686B" w:rsidRPr="004B11B2" w:rsidTr="005879E3">
        <w:trPr>
          <w:trHeight w:val="170"/>
        </w:trPr>
        <w:tc>
          <w:tcPr>
            <w:tcW w:w="1980" w:type="dxa"/>
            <w:shd w:val="clear" w:color="auto" w:fill="auto"/>
            <w:vAlign w:val="bottom"/>
          </w:tcPr>
          <w:p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EAS</w:t>
            </w:r>
          </w:p>
        </w:tc>
        <w:tc>
          <w:tcPr>
            <w:tcW w:w="6660" w:type="dxa"/>
            <w:shd w:val="clear" w:color="auto" w:fill="auto"/>
            <w:vAlign w:val="bottom"/>
          </w:tcPr>
          <w:p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European Artherosclerosis Society</w:t>
            </w:r>
          </w:p>
        </w:tc>
      </w:tr>
      <w:tr w:rsidR="0000686B" w:rsidRPr="004B11B2" w:rsidTr="005879E3">
        <w:trPr>
          <w:trHeight w:val="170"/>
        </w:trPr>
        <w:tc>
          <w:tcPr>
            <w:tcW w:w="1980" w:type="dxa"/>
            <w:shd w:val="clear" w:color="auto" w:fill="auto"/>
            <w:vAlign w:val="bottom"/>
          </w:tcPr>
          <w:p w:rsidR="0000686B"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eGFR</w:t>
            </w:r>
          </w:p>
        </w:tc>
        <w:tc>
          <w:tcPr>
            <w:tcW w:w="6660" w:type="dxa"/>
            <w:shd w:val="clear" w:color="auto" w:fill="auto"/>
            <w:vAlign w:val="bottom"/>
          </w:tcPr>
          <w:p w:rsidR="0000686B" w:rsidRDefault="0000686B" w:rsidP="00514129">
            <w:pPr>
              <w:spacing w:before="60" w:after="60" w:line="240" w:lineRule="auto"/>
              <w:rPr>
                <w:rFonts w:asciiTheme="minorHAnsi" w:hAnsiTheme="minorHAnsi" w:cs="Arial"/>
                <w:b/>
                <w:i/>
                <w:color w:val="000000"/>
                <w:sz w:val="20"/>
                <w:szCs w:val="20"/>
                <w:u w:val="single"/>
              </w:rPr>
            </w:pPr>
            <w:r w:rsidRPr="003F2ED0">
              <w:rPr>
                <w:rFonts w:asciiTheme="minorHAnsi" w:hAnsiTheme="minorHAnsi" w:cs="Arial"/>
                <w:sz w:val="20"/>
                <w:szCs w:val="20"/>
              </w:rPr>
              <w:t>estimated glomerular filtration rate</w:t>
            </w:r>
          </w:p>
        </w:tc>
      </w:tr>
      <w:tr w:rsidR="0000686B" w:rsidRPr="004B11B2" w:rsidTr="005879E3">
        <w:trPr>
          <w:trHeight w:val="170"/>
        </w:trPr>
        <w:tc>
          <w:tcPr>
            <w:tcW w:w="1980" w:type="dxa"/>
            <w:shd w:val="clear" w:color="auto" w:fill="auto"/>
            <w:vAlign w:val="bottom"/>
          </w:tcPr>
          <w:p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ESC</w:t>
            </w:r>
          </w:p>
        </w:tc>
        <w:tc>
          <w:tcPr>
            <w:tcW w:w="6660" w:type="dxa"/>
            <w:shd w:val="clear" w:color="auto" w:fill="auto"/>
            <w:vAlign w:val="bottom"/>
          </w:tcPr>
          <w:p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Economics Subcommittee</w:t>
            </w:r>
          </w:p>
        </w:tc>
      </w:tr>
      <w:tr w:rsidR="0000686B" w:rsidRPr="004B11B2" w:rsidTr="005879E3">
        <w:trPr>
          <w:trHeight w:val="170"/>
        </w:trPr>
        <w:tc>
          <w:tcPr>
            <w:tcW w:w="1980" w:type="dxa"/>
            <w:shd w:val="clear" w:color="auto" w:fill="auto"/>
            <w:vAlign w:val="bottom"/>
          </w:tcPr>
          <w:p w:rsidR="0000686B"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eTG</w:t>
            </w:r>
          </w:p>
        </w:tc>
        <w:tc>
          <w:tcPr>
            <w:tcW w:w="6660" w:type="dxa"/>
            <w:shd w:val="clear" w:color="auto" w:fill="auto"/>
            <w:vAlign w:val="bottom"/>
          </w:tcPr>
          <w:p w:rsidR="0000686B"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Electronic Therapeutic Guidelines</w:t>
            </w:r>
          </w:p>
        </w:tc>
      </w:tr>
      <w:tr w:rsidR="0000686B" w:rsidRPr="004B11B2" w:rsidTr="005879E3">
        <w:trPr>
          <w:trHeight w:val="170"/>
        </w:trPr>
        <w:tc>
          <w:tcPr>
            <w:tcW w:w="1980" w:type="dxa"/>
            <w:shd w:val="clear" w:color="auto" w:fill="auto"/>
            <w:vAlign w:val="bottom"/>
          </w:tcPr>
          <w:p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FDC</w:t>
            </w:r>
          </w:p>
        </w:tc>
        <w:tc>
          <w:tcPr>
            <w:tcW w:w="6660" w:type="dxa"/>
            <w:shd w:val="clear" w:color="auto" w:fill="auto"/>
            <w:vAlign w:val="bottom"/>
          </w:tcPr>
          <w:p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Fixed dose combination</w:t>
            </w:r>
          </w:p>
        </w:tc>
      </w:tr>
      <w:tr w:rsidR="0000686B" w:rsidRPr="004B11B2" w:rsidTr="005879E3">
        <w:trPr>
          <w:trHeight w:val="170"/>
        </w:trPr>
        <w:tc>
          <w:tcPr>
            <w:tcW w:w="1980" w:type="dxa"/>
            <w:shd w:val="clear" w:color="auto" w:fill="auto"/>
            <w:vAlign w:val="bottom"/>
          </w:tcPr>
          <w:p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FRE</w:t>
            </w:r>
          </w:p>
        </w:tc>
        <w:tc>
          <w:tcPr>
            <w:tcW w:w="6660" w:type="dxa"/>
            <w:shd w:val="clear" w:color="auto" w:fill="auto"/>
            <w:vAlign w:val="bottom"/>
          </w:tcPr>
          <w:p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Framingham Risk Equations</w:t>
            </w:r>
          </w:p>
        </w:tc>
      </w:tr>
      <w:tr w:rsidR="0000686B" w:rsidRPr="004B11B2" w:rsidTr="005879E3">
        <w:trPr>
          <w:trHeight w:val="170"/>
        </w:trPr>
        <w:tc>
          <w:tcPr>
            <w:tcW w:w="1980" w:type="dxa"/>
            <w:shd w:val="clear" w:color="auto" w:fill="auto"/>
            <w:vAlign w:val="bottom"/>
          </w:tcPr>
          <w:p w:rsidR="0000686B"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GSLLD</w:t>
            </w:r>
          </w:p>
        </w:tc>
        <w:tc>
          <w:tcPr>
            <w:tcW w:w="6660" w:type="dxa"/>
            <w:shd w:val="clear" w:color="auto" w:fill="auto"/>
            <w:vAlign w:val="bottom"/>
          </w:tcPr>
          <w:p w:rsidR="0000686B"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General Statement for Lipid Lowering Drugs</w:t>
            </w:r>
          </w:p>
        </w:tc>
      </w:tr>
      <w:tr w:rsidR="0000686B" w:rsidRPr="004B11B2" w:rsidTr="005879E3">
        <w:trPr>
          <w:trHeight w:val="170"/>
        </w:trPr>
        <w:tc>
          <w:tcPr>
            <w:tcW w:w="1980" w:type="dxa"/>
            <w:shd w:val="clear" w:color="auto" w:fill="auto"/>
            <w:vAlign w:val="bottom"/>
          </w:tcPr>
          <w:p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HDL-C</w:t>
            </w:r>
          </w:p>
        </w:tc>
        <w:tc>
          <w:tcPr>
            <w:tcW w:w="6660" w:type="dxa"/>
            <w:shd w:val="clear" w:color="auto" w:fill="auto"/>
            <w:vAlign w:val="bottom"/>
          </w:tcPr>
          <w:p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High density lipoprotein</w:t>
            </w:r>
          </w:p>
        </w:tc>
      </w:tr>
      <w:tr w:rsidR="0000686B" w:rsidRPr="004B11B2" w:rsidTr="005879E3">
        <w:trPr>
          <w:trHeight w:val="170"/>
        </w:trPr>
        <w:tc>
          <w:tcPr>
            <w:tcW w:w="1980" w:type="dxa"/>
            <w:shd w:val="clear" w:color="auto" w:fill="auto"/>
            <w:vAlign w:val="bottom"/>
          </w:tcPr>
          <w:p w:rsidR="0000686B"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ICER</w:t>
            </w:r>
          </w:p>
        </w:tc>
        <w:tc>
          <w:tcPr>
            <w:tcW w:w="6660" w:type="dxa"/>
            <w:shd w:val="clear" w:color="auto" w:fill="auto"/>
            <w:vAlign w:val="bottom"/>
          </w:tcPr>
          <w:p w:rsidR="0000686B" w:rsidRDefault="0000686B" w:rsidP="00216B38">
            <w:pPr>
              <w:spacing w:before="60" w:after="60" w:line="240" w:lineRule="auto"/>
              <w:rPr>
                <w:rFonts w:asciiTheme="minorHAnsi" w:hAnsiTheme="minorHAnsi" w:cs="Arial"/>
                <w:b/>
                <w:i/>
                <w:color w:val="000000"/>
                <w:sz w:val="20"/>
                <w:szCs w:val="20"/>
                <w:u w:val="single"/>
              </w:rPr>
            </w:pPr>
            <w:r w:rsidRPr="00B33FD7">
              <w:rPr>
                <w:rFonts w:asciiTheme="minorHAnsi" w:hAnsiTheme="minorHAnsi" w:cs="Arial"/>
                <w:sz w:val="20"/>
                <w:szCs w:val="20"/>
              </w:rPr>
              <w:t>Incremental Cost</w:t>
            </w:r>
            <w:r w:rsidR="00216B38">
              <w:rPr>
                <w:rFonts w:asciiTheme="minorHAnsi" w:hAnsiTheme="minorHAnsi" w:cs="Arial"/>
                <w:sz w:val="20"/>
                <w:szCs w:val="20"/>
              </w:rPr>
              <w:t>-</w:t>
            </w:r>
            <w:r w:rsidRPr="00B33FD7">
              <w:rPr>
                <w:rFonts w:asciiTheme="minorHAnsi" w:hAnsiTheme="minorHAnsi" w:cs="Arial"/>
                <w:sz w:val="20"/>
                <w:szCs w:val="20"/>
              </w:rPr>
              <w:t xml:space="preserve">Effectiveness Ratio </w:t>
            </w:r>
          </w:p>
        </w:tc>
      </w:tr>
      <w:tr w:rsidR="0000686B" w:rsidRPr="004B11B2" w:rsidTr="005879E3">
        <w:trPr>
          <w:trHeight w:val="170"/>
        </w:trPr>
        <w:tc>
          <w:tcPr>
            <w:tcW w:w="1980" w:type="dxa"/>
            <w:shd w:val="clear" w:color="auto" w:fill="auto"/>
            <w:vAlign w:val="bottom"/>
          </w:tcPr>
          <w:p w:rsidR="0000686B"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mg</w:t>
            </w:r>
          </w:p>
        </w:tc>
        <w:tc>
          <w:tcPr>
            <w:tcW w:w="6660" w:type="dxa"/>
            <w:shd w:val="clear" w:color="auto" w:fill="auto"/>
            <w:vAlign w:val="bottom"/>
          </w:tcPr>
          <w:p w:rsidR="0000686B"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milligrams</w:t>
            </w:r>
          </w:p>
        </w:tc>
      </w:tr>
      <w:tr w:rsidR="0000686B" w:rsidRPr="004B11B2" w:rsidTr="005879E3">
        <w:trPr>
          <w:trHeight w:val="170"/>
        </w:trPr>
        <w:tc>
          <w:tcPr>
            <w:tcW w:w="1980" w:type="dxa"/>
            <w:shd w:val="clear" w:color="auto" w:fill="auto"/>
            <w:vAlign w:val="bottom"/>
          </w:tcPr>
          <w:p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LDL-C</w:t>
            </w:r>
          </w:p>
        </w:tc>
        <w:tc>
          <w:tcPr>
            <w:tcW w:w="6660" w:type="dxa"/>
            <w:shd w:val="clear" w:color="auto" w:fill="auto"/>
            <w:vAlign w:val="bottom"/>
          </w:tcPr>
          <w:p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Low density lipoprotein</w:t>
            </w:r>
          </w:p>
        </w:tc>
      </w:tr>
      <w:tr w:rsidR="0000686B" w:rsidRPr="004B11B2" w:rsidTr="005879E3">
        <w:trPr>
          <w:trHeight w:val="170"/>
        </w:trPr>
        <w:tc>
          <w:tcPr>
            <w:tcW w:w="1980" w:type="dxa"/>
            <w:shd w:val="clear" w:color="auto" w:fill="auto"/>
            <w:vAlign w:val="bottom"/>
          </w:tcPr>
          <w:p w:rsidR="0000686B"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mmHg</w:t>
            </w:r>
          </w:p>
        </w:tc>
        <w:tc>
          <w:tcPr>
            <w:tcW w:w="6660" w:type="dxa"/>
            <w:shd w:val="clear" w:color="auto" w:fill="auto"/>
            <w:vAlign w:val="bottom"/>
          </w:tcPr>
          <w:p w:rsidR="0000686B" w:rsidRDefault="0000686B" w:rsidP="00514129">
            <w:pPr>
              <w:spacing w:before="60" w:after="60" w:line="240" w:lineRule="auto"/>
              <w:rPr>
                <w:rFonts w:asciiTheme="minorHAnsi" w:hAnsiTheme="minorHAnsi" w:cs="Arial"/>
                <w:b/>
                <w:i/>
                <w:color w:val="000000"/>
                <w:sz w:val="20"/>
                <w:szCs w:val="20"/>
                <w:u w:val="single"/>
              </w:rPr>
            </w:pPr>
            <w:r w:rsidRPr="00821C8C">
              <w:rPr>
                <w:rFonts w:asciiTheme="minorHAnsi" w:hAnsiTheme="minorHAnsi"/>
                <w:sz w:val="20"/>
                <w:szCs w:val="20"/>
              </w:rPr>
              <w:t>Millimet</w:t>
            </w:r>
            <w:r>
              <w:rPr>
                <w:rFonts w:asciiTheme="minorHAnsi" w:hAnsiTheme="minorHAnsi"/>
                <w:sz w:val="20"/>
                <w:szCs w:val="20"/>
              </w:rPr>
              <w:t xml:space="preserve">re </w:t>
            </w:r>
            <w:r w:rsidRPr="00821C8C">
              <w:rPr>
                <w:rFonts w:asciiTheme="minorHAnsi" w:hAnsiTheme="minorHAnsi"/>
                <w:sz w:val="20"/>
                <w:szCs w:val="20"/>
              </w:rPr>
              <w:t>of mercury</w:t>
            </w:r>
          </w:p>
        </w:tc>
      </w:tr>
      <w:tr w:rsidR="0000686B" w:rsidRPr="004B11B2" w:rsidTr="005879E3">
        <w:trPr>
          <w:trHeight w:val="170"/>
        </w:trPr>
        <w:tc>
          <w:tcPr>
            <w:tcW w:w="1980" w:type="dxa"/>
            <w:shd w:val="clear" w:color="auto" w:fill="auto"/>
            <w:vAlign w:val="bottom"/>
          </w:tcPr>
          <w:p w:rsidR="0000686B"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mmol/L</w:t>
            </w:r>
          </w:p>
        </w:tc>
        <w:tc>
          <w:tcPr>
            <w:tcW w:w="6660" w:type="dxa"/>
            <w:shd w:val="clear" w:color="auto" w:fill="auto"/>
            <w:vAlign w:val="bottom"/>
          </w:tcPr>
          <w:p w:rsidR="0000686B" w:rsidRDefault="0000686B" w:rsidP="00514129">
            <w:pPr>
              <w:spacing w:before="60" w:after="60" w:line="240" w:lineRule="auto"/>
              <w:rPr>
                <w:rFonts w:asciiTheme="minorHAnsi" w:hAnsiTheme="minorHAnsi" w:cs="Arial"/>
                <w:b/>
                <w:i/>
                <w:color w:val="000000"/>
                <w:sz w:val="20"/>
                <w:szCs w:val="20"/>
                <w:u w:val="single"/>
              </w:rPr>
            </w:pPr>
            <w:r w:rsidRPr="00821C8C">
              <w:rPr>
                <w:rFonts w:asciiTheme="minorHAnsi" w:hAnsiTheme="minorHAnsi" w:cs="Arial"/>
                <w:sz w:val="20"/>
                <w:szCs w:val="20"/>
              </w:rPr>
              <w:t>millimoles per litre</w:t>
            </w:r>
            <w:r w:rsidRPr="00821C8C">
              <w:rPr>
                <w:rFonts w:ascii="Arial" w:hAnsi="Arial" w:cs="Arial"/>
                <w:color w:val="545454"/>
              </w:rPr>
              <w:t xml:space="preserve"> </w:t>
            </w:r>
          </w:p>
        </w:tc>
      </w:tr>
      <w:tr w:rsidR="0000686B" w:rsidRPr="004B11B2" w:rsidTr="005879E3">
        <w:trPr>
          <w:trHeight w:val="170"/>
        </w:trPr>
        <w:tc>
          <w:tcPr>
            <w:tcW w:w="1980" w:type="dxa"/>
            <w:shd w:val="clear" w:color="auto" w:fill="auto"/>
            <w:vAlign w:val="bottom"/>
          </w:tcPr>
          <w:p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NHF</w:t>
            </w:r>
          </w:p>
        </w:tc>
        <w:tc>
          <w:tcPr>
            <w:tcW w:w="6660" w:type="dxa"/>
            <w:shd w:val="clear" w:color="auto" w:fill="auto"/>
            <w:vAlign w:val="bottom"/>
          </w:tcPr>
          <w:p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National Heart Foundation</w:t>
            </w:r>
          </w:p>
        </w:tc>
      </w:tr>
      <w:tr w:rsidR="0000686B" w:rsidRPr="004B11B2" w:rsidTr="005879E3">
        <w:trPr>
          <w:trHeight w:val="170"/>
        </w:trPr>
        <w:tc>
          <w:tcPr>
            <w:tcW w:w="1980" w:type="dxa"/>
            <w:shd w:val="clear" w:color="auto" w:fill="auto"/>
            <w:vAlign w:val="bottom"/>
          </w:tcPr>
          <w:p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NICE</w:t>
            </w:r>
          </w:p>
        </w:tc>
        <w:tc>
          <w:tcPr>
            <w:tcW w:w="6660" w:type="dxa"/>
            <w:shd w:val="clear" w:color="auto" w:fill="auto"/>
            <w:vAlign w:val="bottom"/>
          </w:tcPr>
          <w:p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 xml:space="preserve">National Institute of Health and Clinical Excellence </w:t>
            </w:r>
          </w:p>
        </w:tc>
      </w:tr>
      <w:tr w:rsidR="0000686B" w:rsidRPr="004B11B2" w:rsidTr="005879E3">
        <w:trPr>
          <w:trHeight w:val="170"/>
        </w:trPr>
        <w:tc>
          <w:tcPr>
            <w:tcW w:w="1980" w:type="dxa"/>
            <w:shd w:val="clear" w:color="auto" w:fill="auto"/>
            <w:vAlign w:val="bottom"/>
          </w:tcPr>
          <w:p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NVDPA</w:t>
            </w:r>
          </w:p>
        </w:tc>
        <w:tc>
          <w:tcPr>
            <w:tcW w:w="6660" w:type="dxa"/>
            <w:shd w:val="clear" w:color="auto" w:fill="auto"/>
            <w:vAlign w:val="bottom"/>
          </w:tcPr>
          <w:p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National Vascular Disease Prevention Alliance</w:t>
            </w:r>
          </w:p>
        </w:tc>
      </w:tr>
      <w:tr w:rsidR="0000686B" w:rsidRPr="004B11B2" w:rsidTr="005879E3">
        <w:trPr>
          <w:trHeight w:val="170"/>
        </w:trPr>
        <w:tc>
          <w:tcPr>
            <w:tcW w:w="1980" w:type="dxa"/>
            <w:shd w:val="clear" w:color="auto" w:fill="auto"/>
            <w:vAlign w:val="bottom"/>
          </w:tcPr>
          <w:p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PBAC</w:t>
            </w:r>
          </w:p>
        </w:tc>
        <w:tc>
          <w:tcPr>
            <w:tcW w:w="6660" w:type="dxa"/>
            <w:shd w:val="clear" w:color="auto" w:fill="auto"/>
            <w:vAlign w:val="bottom"/>
          </w:tcPr>
          <w:p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Pharmaceutical Benefits Advisory Committee</w:t>
            </w:r>
          </w:p>
        </w:tc>
      </w:tr>
      <w:tr w:rsidR="0000686B" w:rsidRPr="004B11B2" w:rsidTr="005879E3">
        <w:trPr>
          <w:trHeight w:val="170"/>
        </w:trPr>
        <w:tc>
          <w:tcPr>
            <w:tcW w:w="1980" w:type="dxa"/>
            <w:shd w:val="clear" w:color="auto" w:fill="auto"/>
            <w:vAlign w:val="bottom"/>
          </w:tcPr>
          <w:p w:rsidR="0000686B"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PBS</w:t>
            </w:r>
          </w:p>
        </w:tc>
        <w:tc>
          <w:tcPr>
            <w:tcW w:w="6660" w:type="dxa"/>
            <w:shd w:val="clear" w:color="auto" w:fill="auto"/>
            <w:vAlign w:val="bottom"/>
          </w:tcPr>
          <w:p w:rsidR="0000686B"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Pharmaceutical Benefits Scheme</w:t>
            </w:r>
          </w:p>
        </w:tc>
      </w:tr>
      <w:tr w:rsidR="0000686B" w:rsidRPr="004B11B2" w:rsidTr="005879E3">
        <w:trPr>
          <w:trHeight w:val="170"/>
        </w:trPr>
        <w:tc>
          <w:tcPr>
            <w:tcW w:w="1980" w:type="dxa"/>
            <w:shd w:val="clear" w:color="auto" w:fill="auto"/>
            <w:vAlign w:val="bottom"/>
          </w:tcPr>
          <w:p w:rsidR="0000686B"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QALY</w:t>
            </w:r>
          </w:p>
        </w:tc>
        <w:tc>
          <w:tcPr>
            <w:tcW w:w="6660" w:type="dxa"/>
            <w:shd w:val="clear" w:color="auto" w:fill="auto"/>
            <w:vAlign w:val="bottom"/>
          </w:tcPr>
          <w:p w:rsidR="0000686B"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Quality Adjusted Life Year</w:t>
            </w:r>
          </w:p>
        </w:tc>
      </w:tr>
      <w:tr w:rsidR="0000686B" w:rsidRPr="004B11B2" w:rsidTr="005879E3">
        <w:trPr>
          <w:trHeight w:val="170"/>
        </w:trPr>
        <w:tc>
          <w:tcPr>
            <w:tcW w:w="1980" w:type="dxa"/>
            <w:shd w:val="clear" w:color="auto" w:fill="auto"/>
            <w:vAlign w:val="bottom"/>
          </w:tcPr>
          <w:p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RCT</w:t>
            </w:r>
          </w:p>
        </w:tc>
        <w:tc>
          <w:tcPr>
            <w:tcW w:w="6660" w:type="dxa"/>
            <w:shd w:val="clear" w:color="auto" w:fill="auto"/>
            <w:vAlign w:val="bottom"/>
          </w:tcPr>
          <w:p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Randomised controlled trial</w:t>
            </w:r>
          </w:p>
        </w:tc>
      </w:tr>
      <w:tr w:rsidR="0000686B" w:rsidRPr="004B11B2" w:rsidTr="005879E3">
        <w:trPr>
          <w:trHeight w:val="170"/>
        </w:trPr>
        <w:tc>
          <w:tcPr>
            <w:tcW w:w="1980" w:type="dxa"/>
            <w:shd w:val="clear" w:color="auto" w:fill="auto"/>
            <w:vAlign w:val="bottom"/>
          </w:tcPr>
          <w:p w:rsidR="0000686B"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RPBS</w:t>
            </w:r>
          </w:p>
        </w:tc>
        <w:tc>
          <w:tcPr>
            <w:tcW w:w="6660" w:type="dxa"/>
            <w:shd w:val="clear" w:color="auto" w:fill="auto"/>
            <w:vAlign w:val="bottom"/>
          </w:tcPr>
          <w:p w:rsidR="0000686B"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Repatriation Pharmaceutical Benefits Scheme</w:t>
            </w:r>
          </w:p>
        </w:tc>
      </w:tr>
      <w:tr w:rsidR="0000686B" w:rsidRPr="004B11B2" w:rsidTr="005879E3">
        <w:trPr>
          <w:trHeight w:val="170"/>
        </w:trPr>
        <w:tc>
          <w:tcPr>
            <w:tcW w:w="1980" w:type="dxa"/>
            <w:shd w:val="clear" w:color="auto" w:fill="auto"/>
            <w:vAlign w:val="bottom"/>
          </w:tcPr>
          <w:p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SD</w:t>
            </w:r>
          </w:p>
        </w:tc>
        <w:tc>
          <w:tcPr>
            <w:tcW w:w="6660" w:type="dxa"/>
            <w:shd w:val="clear" w:color="auto" w:fill="auto"/>
            <w:vAlign w:val="bottom"/>
          </w:tcPr>
          <w:p w:rsidR="0000686B"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Standard deviation</w:t>
            </w:r>
          </w:p>
        </w:tc>
      </w:tr>
      <w:tr w:rsidR="0000686B" w:rsidRPr="004B11B2" w:rsidTr="005879E3">
        <w:trPr>
          <w:trHeight w:val="170"/>
        </w:trPr>
        <w:tc>
          <w:tcPr>
            <w:tcW w:w="1980" w:type="dxa"/>
            <w:shd w:val="clear" w:color="auto" w:fill="auto"/>
            <w:vAlign w:val="bottom"/>
          </w:tcPr>
          <w:p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TC</w:t>
            </w:r>
          </w:p>
        </w:tc>
        <w:tc>
          <w:tcPr>
            <w:tcW w:w="6660" w:type="dxa"/>
            <w:shd w:val="clear" w:color="auto" w:fill="auto"/>
            <w:vAlign w:val="bottom"/>
          </w:tcPr>
          <w:p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Total cholesterol</w:t>
            </w:r>
          </w:p>
        </w:tc>
      </w:tr>
      <w:tr w:rsidR="0000686B" w:rsidRPr="004B11B2" w:rsidTr="005879E3">
        <w:trPr>
          <w:trHeight w:val="170"/>
        </w:trPr>
        <w:tc>
          <w:tcPr>
            <w:tcW w:w="1980" w:type="dxa"/>
            <w:shd w:val="clear" w:color="auto" w:fill="auto"/>
            <w:vAlign w:val="bottom"/>
          </w:tcPr>
          <w:p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TG</w:t>
            </w:r>
          </w:p>
        </w:tc>
        <w:tc>
          <w:tcPr>
            <w:tcW w:w="6660" w:type="dxa"/>
            <w:shd w:val="clear" w:color="auto" w:fill="auto"/>
            <w:vAlign w:val="bottom"/>
          </w:tcPr>
          <w:p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Total triglycerides</w:t>
            </w:r>
          </w:p>
        </w:tc>
      </w:tr>
      <w:tr w:rsidR="0000686B" w:rsidRPr="004B11B2" w:rsidTr="005879E3">
        <w:trPr>
          <w:trHeight w:val="170"/>
        </w:trPr>
        <w:tc>
          <w:tcPr>
            <w:tcW w:w="1980" w:type="dxa"/>
            <w:shd w:val="clear" w:color="auto" w:fill="auto"/>
            <w:vAlign w:val="bottom"/>
          </w:tcPr>
          <w:p w:rsidR="0000686B" w:rsidRPr="008370B4"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US FDA</w:t>
            </w:r>
          </w:p>
        </w:tc>
        <w:tc>
          <w:tcPr>
            <w:tcW w:w="6660" w:type="dxa"/>
            <w:shd w:val="clear" w:color="auto" w:fill="auto"/>
            <w:vAlign w:val="bottom"/>
          </w:tcPr>
          <w:p w:rsidR="0000686B" w:rsidRDefault="0000686B" w:rsidP="00514129">
            <w:pPr>
              <w:spacing w:before="60" w:after="60" w:line="240" w:lineRule="auto"/>
              <w:rPr>
                <w:rFonts w:asciiTheme="minorHAnsi" w:hAnsiTheme="minorHAnsi" w:cs="Arial"/>
                <w:b/>
                <w:i/>
                <w:color w:val="000000"/>
                <w:sz w:val="20"/>
                <w:szCs w:val="20"/>
                <w:u w:val="single"/>
              </w:rPr>
            </w:pPr>
            <w:r>
              <w:rPr>
                <w:rFonts w:asciiTheme="minorHAnsi" w:hAnsiTheme="minorHAnsi" w:cs="Arial"/>
                <w:sz w:val="20"/>
                <w:szCs w:val="20"/>
              </w:rPr>
              <w:t>United States Food and Drug Administration</w:t>
            </w:r>
          </w:p>
        </w:tc>
      </w:tr>
    </w:tbl>
    <w:p w:rsidR="0000686B" w:rsidRDefault="0000686B" w:rsidP="00514129">
      <w:pPr>
        <w:pStyle w:val="Heading1"/>
      </w:pPr>
      <w:bookmarkStart w:id="16" w:name="_Toc482176916"/>
      <w:r w:rsidRPr="00920324">
        <w:lastRenderedPageBreak/>
        <w:t>Glossary</w:t>
      </w:r>
      <w:bookmarkEnd w:id="16"/>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09"/>
        <w:gridCol w:w="6305"/>
      </w:tblGrid>
      <w:tr w:rsidR="0000686B" w:rsidRPr="00E64374" w:rsidTr="005879E3">
        <w:trPr>
          <w:trHeight w:val="411"/>
          <w:tblHeader/>
        </w:trPr>
        <w:tc>
          <w:tcPr>
            <w:tcW w:w="2109" w:type="dxa"/>
            <w:shd w:val="clear" w:color="auto" w:fill="BFBFBF" w:themeFill="background1" w:themeFillShade="BF"/>
            <w:vAlign w:val="bottom"/>
          </w:tcPr>
          <w:p w:rsidR="0000686B" w:rsidRPr="00E64374" w:rsidRDefault="0000686B" w:rsidP="00514129">
            <w:pPr>
              <w:spacing w:before="60" w:after="60" w:line="240" w:lineRule="auto"/>
              <w:rPr>
                <w:rFonts w:asciiTheme="minorHAnsi" w:hAnsiTheme="minorHAnsi" w:cs="Arial"/>
                <w:b/>
                <w:sz w:val="20"/>
                <w:szCs w:val="20"/>
              </w:rPr>
            </w:pPr>
            <w:r w:rsidRPr="00E64374">
              <w:rPr>
                <w:rFonts w:asciiTheme="minorHAnsi" w:hAnsiTheme="minorHAnsi" w:cs="Arial"/>
                <w:b/>
                <w:sz w:val="20"/>
                <w:szCs w:val="20"/>
              </w:rPr>
              <w:t>Term</w:t>
            </w:r>
          </w:p>
        </w:tc>
        <w:tc>
          <w:tcPr>
            <w:tcW w:w="6660" w:type="dxa"/>
            <w:shd w:val="clear" w:color="auto" w:fill="BFBFBF" w:themeFill="background1" w:themeFillShade="BF"/>
            <w:vAlign w:val="bottom"/>
          </w:tcPr>
          <w:p w:rsidR="0000686B" w:rsidRPr="00E64374" w:rsidRDefault="0000686B" w:rsidP="00514129">
            <w:pPr>
              <w:spacing w:before="60" w:after="60" w:line="240" w:lineRule="auto"/>
              <w:rPr>
                <w:rFonts w:asciiTheme="minorHAnsi" w:hAnsiTheme="minorHAnsi" w:cs="Arial"/>
                <w:b/>
                <w:sz w:val="20"/>
                <w:szCs w:val="20"/>
              </w:rPr>
            </w:pPr>
            <w:r w:rsidRPr="00E64374">
              <w:rPr>
                <w:rFonts w:asciiTheme="minorHAnsi" w:hAnsiTheme="minorHAnsi" w:cs="Arial"/>
                <w:b/>
                <w:sz w:val="20"/>
                <w:szCs w:val="20"/>
              </w:rPr>
              <w:t>Explanation</w:t>
            </w:r>
          </w:p>
        </w:tc>
      </w:tr>
      <w:tr w:rsidR="0000686B" w:rsidRPr="00E64374" w:rsidTr="008A37F9">
        <w:trPr>
          <w:trHeight w:val="170"/>
        </w:trPr>
        <w:tc>
          <w:tcPr>
            <w:tcW w:w="2109" w:type="dxa"/>
            <w:shd w:val="clear" w:color="auto" w:fill="auto"/>
          </w:tcPr>
          <w:p w:rsidR="0000686B" w:rsidRPr="00E64374" w:rsidRDefault="0000686B" w:rsidP="00514129">
            <w:pPr>
              <w:autoSpaceDE w:val="0"/>
              <w:autoSpaceDN w:val="0"/>
              <w:adjustRightInd w:val="0"/>
              <w:spacing w:before="60" w:after="60" w:line="240" w:lineRule="auto"/>
              <w:rPr>
                <w:rFonts w:asciiTheme="minorHAnsi" w:hAnsiTheme="minorHAnsi" w:cs="Arial"/>
                <w:sz w:val="20"/>
                <w:szCs w:val="20"/>
              </w:rPr>
            </w:pPr>
            <w:r w:rsidRPr="00E64374">
              <w:rPr>
                <w:rFonts w:asciiTheme="minorHAnsi" w:hAnsiTheme="minorHAnsi" w:cs="Arial"/>
                <w:sz w:val="20"/>
                <w:szCs w:val="20"/>
              </w:rPr>
              <w:t>Absolute risk</w:t>
            </w:r>
          </w:p>
        </w:tc>
        <w:tc>
          <w:tcPr>
            <w:tcW w:w="6660" w:type="dxa"/>
            <w:shd w:val="clear" w:color="auto" w:fill="auto"/>
            <w:vAlign w:val="bottom"/>
          </w:tcPr>
          <w:p w:rsidR="0000686B" w:rsidRPr="008A37F9"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8A37F9">
              <w:rPr>
                <w:rFonts w:asciiTheme="minorHAnsi" w:hAnsiTheme="minorHAnsi" w:cs="Arial"/>
                <w:sz w:val="20"/>
                <w:szCs w:val="20"/>
              </w:rPr>
              <w:t xml:space="preserve">The absolute risk of a disease is the risk of developing the disease over a certain time period. In Australia for the calculation of absolute risk in cardiovascular disease, this time period is usually five years. </w:t>
            </w:r>
          </w:p>
        </w:tc>
      </w:tr>
      <w:tr w:rsidR="0000686B" w:rsidRPr="00E64374" w:rsidTr="008A37F9">
        <w:trPr>
          <w:trHeight w:val="170"/>
        </w:trPr>
        <w:tc>
          <w:tcPr>
            <w:tcW w:w="2109" w:type="dxa"/>
            <w:shd w:val="clear" w:color="auto" w:fill="auto"/>
          </w:tcPr>
          <w:p w:rsidR="0000686B" w:rsidRPr="00E64374"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1F1001">
              <w:rPr>
                <w:rFonts w:asciiTheme="minorHAnsi" w:hAnsiTheme="minorHAnsi" w:cs="Arial"/>
                <w:sz w:val="20"/>
                <w:szCs w:val="20"/>
              </w:rPr>
              <w:t>Adherence</w:t>
            </w:r>
          </w:p>
        </w:tc>
        <w:tc>
          <w:tcPr>
            <w:tcW w:w="6660" w:type="dxa"/>
            <w:shd w:val="clear" w:color="auto" w:fill="auto"/>
            <w:vAlign w:val="bottom"/>
          </w:tcPr>
          <w:p w:rsidR="0000686B" w:rsidRPr="008A37F9"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8A37F9">
              <w:rPr>
                <w:rFonts w:ascii="Calibri" w:eastAsia="Times New Roman" w:hAnsi="Calibri"/>
                <w:color w:val="000000"/>
                <w:sz w:val="20"/>
                <w:szCs w:val="20"/>
              </w:rPr>
              <w:t>In this report, an estimate of usage that may inform days of coverage provided by lipid lowering therapy.</w:t>
            </w:r>
          </w:p>
        </w:tc>
      </w:tr>
      <w:tr w:rsidR="0000686B" w:rsidRPr="00E64374" w:rsidTr="008A37F9">
        <w:trPr>
          <w:trHeight w:val="170"/>
        </w:trPr>
        <w:tc>
          <w:tcPr>
            <w:tcW w:w="2109" w:type="dxa"/>
            <w:shd w:val="clear" w:color="auto" w:fill="auto"/>
          </w:tcPr>
          <w:p w:rsidR="0000686B" w:rsidRPr="00E64374"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Algorithm</w:t>
            </w:r>
          </w:p>
        </w:tc>
        <w:tc>
          <w:tcPr>
            <w:tcW w:w="6660" w:type="dxa"/>
            <w:shd w:val="clear" w:color="auto" w:fill="auto"/>
            <w:vAlign w:val="bottom"/>
          </w:tcPr>
          <w:p w:rsidR="0000686B" w:rsidRPr="008A37F9" w:rsidRDefault="0000686B" w:rsidP="00514129">
            <w:pPr>
              <w:spacing w:before="60" w:after="60" w:line="240" w:lineRule="auto"/>
              <w:rPr>
                <w:rFonts w:asciiTheme="minorHAnsi" w:hAnsiTheme="minorHAnsi" w:cs="Arial"/>
                <w:b/>
                <w:i/>
                <w:color w:val="000000"/>
                <w:sz w:val="20"/>
                <w:szCs w:val="20"/>
                <w:u w:val="single"/>
              </w:rPr>
            </w:pPr>
            <w:r w:rsidRPr="008A37F9">
              <w:rPr>
                <w:rFonts w:asciiTheme="minorHAnsi" w:hAnsiTheme="minorHAnsi"/>
                <w:sz w:val="20"/>
                <w:szCs w:val="20"/>
              </w:rPr>
              <w:t>A process or set of rules to be followed in calculations or other problem-solving operations.</w:t>
            </w:r>
          </w:p>
        </w:tc>
      </w:tr>
      <w:tr w:rsidR="0000686B" w:rsidRPr="00E64374" w:rsidTr="008A37F9">
        <w:trPr>
          <w:trHeight w:val="170"/>
        </w:trPr>
        <w:tc>
          <w:tcPr>
            <w:tcW w:w="2109" w:type="dxa"/>
            <w:shd w:val="clear" w:color="auto" w:fill="auto"/>
          </w:tcPr>
          <w:p w:rsidR="0000686B" w:rsidRPr="00E64374"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ATC C10</w:t>
            </w:r>
          </w:p>
        </w:tc>
        <w:tc>
          <w:tcPr>
            <w:tcW w:w="6660" w:type="dxa"/>
            <w:shd w:val="clear" w:color="auto" w:fill="auto"/>
            <w:vAlign w:val="bottom"/>
          </w:tcPr>
          <w:p w:rsidR="0000686B" w:rsidRPr="008A37F9"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8A37F9">
              <w:rPr>
                <w:rFonts w:asciiTheme="minorHAnsi" w:hAnsiTheme="minorHAnsi"/>
                <w:sz w:val="20"/>
                <w:szCs w:val="20"/>
              </w:rPr>
              <w:t xml:space="preserve">The Anatomical Therapeutic Chemical (ATC) Classification System is used for the </w:t>
            </w:r>
            <w:hyperlink r:id="rId9" w:tooltip="Drug class" w:history="1">
              <w:r w:rsidRPr="008A37F9">
                <w:rPr>
                  <w:rFonts w:asciiTheme="minorHAnsi" w:hAnsiTheme="minorHAnsi"/>
                  <w:sz w:val="20"/>
                  <w:szCs w:val="20"/>
                </w:rPr>
                <w:t>classification</w:t>
              </w:r>
            </w:hyperlink>
            <w:r w:rsidRPr="008A37F9">
              <w:rPr>
                <w:rFonts w:asciiTheme="minorHAnsi" w:hAnsiTheme="minorHAnsi"/>
                <w:sz w:val="20"/>
                <w:szCs w:val="20"/>
              </w:rPr>
              <w:t xml:space="preserve"> of </w:t>
            </w:r>
            <w:hyperlink r:id="rId10" w:tooltip="Medication" w:history="1">
              <w:r w:rsidRPr="008A37F9">
                <w:rPr>
                  <w:rFonts w:asciiTheme="minorHAnsi" w:hAnsiTheme="minorHAnsi"/>
                  <w:sz w:val="20"/>
                  <w:szCs w:val="20"/>
                </w:rPr>
                <w:t>active ingredients</w:t>
              </w:r>
            </w:hyperlink>
            <w:r w:rsidRPr="008A37F9">
              <w:rPr>
                <w:rFonts w:asciiTheme="minorHAnsi" w:hAnsiTheme="minorHAnsi"/>
                <w:sz w:val="20"/>
                <w:szCs w:val="20"/>
              </w:rPr>
              <w:t xml:space="preserve"> of </w:t>
            </w:r>
            <w:hyperlink r:id="rId11" w:tooltip="Drug" w:history="1">
              <w:r w:rsidRPr="008A37F9">
                <w:rPr>
                  <w:rFonts w:asciiTheme="minorHAnsi" w:hAnsiTheme="minorHAnsi"/>
                  <w:sz w:val="20"/>
                  <w:szCs w:val="20"/>
                </w:rPr>
                <w:t>drugs</w:t>
              </w:r>
            </w:hyperlink>
            <w:r w:rsidRPr="008A37F9">
              <w:rPr>
                <w:rFonts w:asciiTheme="minorHAnsi" w:hAnsiTheme="minorHAnsi"/>
                <w:sz w:val="20"/>
                <w:szCs w:val="20"/>
              </w:rPr>
              <w:t xml:space="preserve"> according to the </w:t>
            </w:r>
            <w:hyperlink r:id="rId12" w:tooltip="Organ (anatomy)" w:history="1">
              <w:r w:rsidRPr="008A37F9">
                <w:rPr>
                  <w:rFonts w:asciiTheme="minorHAnsi" w:hAnsiTheme="minorHAnsi"/>
                  <w:sz w:val="20"/>
                  <w:szCs w:val="20"/>
                </w:rPr>
                <w:t>organ</w:t>
              </w:r>
            </w:hyperlink>
            <w:r w:rsidRPr="008A37F9">
              <w:rPr>
                <w:rFonts w:asciiTheme="minorHAnsi" w:hAnsiTheme="minorHAnsi"/>
                <w:sz w:val="20"/>
                <w:szCs w:val="20"/>
              </w:rPr>
              <w:t xml:space="preserve"> or </w:t>
            </w:r>
            <w:hyperlink r:id="rId13" w:tooltip="System" w:history="1">
              <w:r w:rsidRPr="008A37F9">
                <w:rPr>
                  <w:rFonts w:asciiTheme="minorHAnsi" w:hAnsiTheme="minorHAnsi"/>
                  <w:sz w:val="20"/>
                  <w:szCs w:val="20"/>
                </w:rPr>
                <w:t>system</w:t>
              </w:r>
            </w:hyperlink>
            <w:r w:rsidRPr="008A37F9">
              <w:rPr>
                <w:rFonts w:asciiTheme="minorHAnsi" w:hAnsiTheme="minorHAnsi"/>
                <w:sz w:val="20"/>
                <w:szCs w:val="20"/>
              </w:rPr>
              <w:t xml:space="preserve"> on which they act and their </w:t>
            </w:r>
            <w:hyperlink r:id="rId14" w:tooltip="Therapeutic" w:history="1">
              <w:r w:rsidRPr="008A37F9">
                <w:rPr>
                  <w:rFonts w:asciiTheme="minorHAnsi" w:hAnsiTheme="minorHAnsi"/>
                  <w:sz w:val="20"/>
                  <w:szCs w:val="20"/>
                </w:rPr>
                <w:t>therapeutic</w:t>
              </w:r>
            </w:hyperlink>
            <w:r w:rsidRPr="008A37F9">
              <w:rPr>
                <w:rFonts w:asciiTheme="minorHAnsi" w:hAnsiTheme="minorHAnsi"/>
                <w:sz w:val="20"/>
                <w:szCs w:val="20"/>
              </w:rPr>
              <w:t xml:space="preserve">, </w:t>
            </w:r>
            <w:hyperlink r:id="rId15" w:tooltip="Pharmacological" w:history="1">
              <w:r w:rsidRPr="008A37F9">
                <w:rPr>
                  <w:rFonts w:asciiTheme="minorHAnsi" w:hAnsiTheme="minorHAnsi"/>
                  <w:sz w:val="20"/>
                  <w:szCs w:val="20"/>
                </w:rPr>
                <w:t>pharmacological</w:t>
              </w:r>
            </w:hyperlink>
            <w:r w:rsidRPr="008A37F9">
              <w:rPr>
                <w:rFonts w:asciiTheme="minorHAnsi" w:hAnsiTheme="minorHAnsi"/>
                <w:sz w:val="20"/>
                <w:szCs w:val="20"/>
              </w:rPr>
              <w:t xml:space="preserve"> and chemical properties. Code ‘C10 Lipid modifying agents’ is a therapeutic subgroup of the Anatomical Therapeutic Chemical Classification System.</w:t>
            </w:r>
          </w:p>
        </w:tc>
      </w:tr>
      <w:tr w:rsidR="0000686B" w:rsidRPr="00E64374" w:rsidTr="008A37F9">
        <w:trPr>
          <w:trHeight w:val="170"/>
        </w:trPr>
        <w:tc>
          <w:tcPr>
            <w:tcW w:w="2109" w:type="dxa"/>
            <w:shd w:val="clear" w:color="auto" w:fill="auto"/>
          </w:tcPr>
          <w:p w:rsidR="0000686B" w:rsidRPr="00E64374"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Cholesterol</w:t>
            </w:r>
          </w:p>
        </w:tc>
        <w:tc>
          <w:tcPr>
            <w:tcW w:w="6660" w:type="dxa"/>
            <w:shd w:val="clear" w:color="auto" w:fill="auto"/>
            <w:vAlign w:val="bottom"/>
          </w:tcPr>
          <w:p w:rsidR="0000686B" w:rsidRPr="008A37F9"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8A37F9">
              <w:rPr>
                <w:rFonts w:asciiTheme="minorHAnsi" w:hAnsiTheme="minorHAnsi"/>
                <w:sz w:val="20"/>
                <w:szCs w:val="20"/>
              </w:rPr>
              <w:t>A fatty substance that is carried around your body with your blood. Your body produces most cholesterol naturally, with the balance obtained from the diet. Foods vary in their cholesterol content. High concentrations of specific types of cholesterol (e.g. LDL-cholesterol) are associated with cardiovascular disease (CVD).</w:t>
            </w:r>
            <w:r w:rsidRPr="008A37F9">
              <w:rPr>
                <w:rFonts w:asciiTheme="minorHAnsi" w:hAnsiTheme="minorHAnsi"/>
                <w:color w:val="615B57"/>
                <w:sz w:val="20"/>
                <w:szCs w:val="20"/>
              </w:rPr>
              <w:t> </w:t>
            </w:r>
          </w:p>
        </w:tc>
      </w:tr>
      <w:tr w:rsidR="0000686B" w:rsidRPr="00E64374" w:rsidTr="008A37F9">
        <w:trPr>
          <w:trHeight w:val="170"/>
        </w:trPr>
        <w:tc>
          <w:tcPr>
            <w:tcW w:w="2109" w:type="dxa"/>
            <w:shd w:val="clear" w:color="auto" w:fill="auto"/>
          </w:tcPr>
          <w:p w:rsidR="0000686B" w:rsidRPr="00E64374" w:rsidRDefault="0000686B" w:rsidP="00514129">
            <w:pPr>
              <w:autoSpaceDE w:val="0"/>
              <w:autoSpaceDN w:val="0"/>
              <w:adjustRightInd w:val="0"/>
              <w:spacing w:before="60" w:after="60" w:line="240" w:lineRule="auto"/>
              <w:rPr>
                <w:rFonts w:asciiTheme="minorHAnsi" w:hAnsiTheme="minorHAnsi"/>
                <w:b/>
                <w:i/>
                <w:color w:val="000000"/>
                <w:sz w:val="20"/>
                <w:szCs w:val="20"/>
                <w:u w:val="single"/>
              </w:rPr>
            </w:pPr>
            <w:r w:rsidRPr="00E64374">
              <w:rPr>
                <w:rFonts w:asciiTheme="minorHAnsi" w:hAnsiTheme="minorHAnsi"/>
                <w:sz w:val="20"/>
                <w:szCs w:val="20"/>
              </w:rPr>
              <w:t>Co-morbidities</w:t>
            </w:r>
          </w:p>
        </w:tc>
        <w:tc>
          <w:tcPr>
            <w:tcW w:w="6660" w:type="dxa"/>
            <w:shd w:val="clear" w:color="auto" w:fill="auto"/>
            <w:vAlign w:val="bottom"/>
          </w:tcPr>
          <w:p w:rsidR="0000686B" w:rsidRPr="008A37F9" w:rsidRDefault="0000686B" w:rsidP="00514129">
            <w:pPr>
              <w:autoSpaceDE w:val="0"/>
              <w:autoSpaceDN w:val="0"/>
              <w:adjustRightInd w:val="0"/>
              <w:spacing w:before="60" w:after="60" w:line="240" w:lineRule="auto"/>
              <w:rPr>
                <w:rFonts w:asciiTheme="minorHAnsi" w:hAnsiTheme="minorHAnsi"/>
                <w:b/>
                <w:i/>
                <w:color w:val="000000"/>
                <w:sz w:val="20"/>
                <w:szCs w:val="20"/>
                <w:u w:val="single"/>
              </w:rPr>
            </w:pPr>
            <w:r w:rsidRPr="008A37F9">
              <w:rPr>
                <w:rFonts w:asciiTheme="minorHAnsi" w:hAnsiTheme="minorHAnsi"/>
                <w:sz w:val="20"/>
                <w:szCs w:val="20"/>
              </w:rPr>
              <w:t>The presence of one or more additional diseases or disorders co-occurring with (that is, concomitant or concurrent with) a primary disease or disorder.</w:t>
            </w:r>
          </w:p>
        </w:tc>
      </w:tr>
      <w:tr w:rsidR="0000686B" w:rsidRPr="00E64374" w:rsidTr="008A37F9">
        <w:trPr>
          <w:trHeight w:val="170"/>
        </w:trPr>
        <w:tc>
          <w:tcPr>
            <w:tcW w:w="2109" w:type="dxa"/>
            <w:shd w:val="clear" w:color="auto" w:fill="auto"/>
          </w:tcPr>
          <w:p w:rsidR="0000686B" w:rsidRPr="00E64374" w:rsidRDefault="0000686B" w:rsidP="00514129">
            <w:pPr>
              <w:autoSpaceDE w:val="0"/>
              <w:autoSpaceDN w:val="0"/>
              <w:adjustRightInd w:val="0"/>
              <w:spacing w:before="60" w:after="60" w:line="240" w:lineRule="auto"/>
              <w:rPr>
                <w:rFonts w:asciiTheme="minorHAnsi" w:hAnsiTheme="minorHAnsi"/>
                <w:b/>
                <w:i/>
                <w:color w:val="000000"/>
                <w:sz w:val="20"/>
                <w:szCs w:val="20"/>
                <w:u w:val="single"/>
              </w:rPr>
            </w:pPr>
            <w:r w:rsidRPr="001F1001">
              <w:rPr>
                <w:rFonts w:asciiTheme="minorHAnsi" w:hAnsiTheme="minorHAnsi"/>
                <w:sz w:val="20"/>
                <w:szCs w:val="20"/>
              </w:rPr>
              <w:t>Compliance</w:t>
            </w:r>
          </w:p>
        </w:tc>
        <w:tc>
          <w:tcPr>
            <w:tcW w:w="6660" w:type="dxa"/>
            <w:shd w:val="clear" w:color="auto" w:fill="auto"/>
            <w:vAlign w:val="bottom"/>
          </w:tcPr>
          <w:p w:rsidR="0000686B" w:rsidRPr="008A37F9" w:rsidRDefault="0000686B" w:rsidP="00514129">
            <w:pPr>
              <w:rPr>
                <w:rFonts w:asciiTheme="minorHAnsi" w:hAnsiTheme="minorHAnsi"/>
                <w:b/>
                <w:i/>
                <w:color w:val="000000"/>
                <w:sz w:val="20"/>
                <w:szCs w:val="20"/>
                <w:u w:val="single"/>
              </w:rPr>
            </w:pPr>
            <w:r w:rsidRPr="008A37F9">
              <w:rPr>
                <w:rFonts w:ascii="Calibri" w:eastAsia="Times New Roman" w:hAnsi="Calibri"/>
                <w:color w:val="000000"/>
                <w:sz w:val="20"/>
                <w:szCs w:val="20"/>
              </w:rPr>
              <w:t>In this report, prescribing in accordance with the requirements of Pharmaceutical Benefits Scheme restrictions.</w:t>
            </w:r>
          </w:p>
        </w:tc>
      </w:tr>
      <w:tr w:rsidR="0000686B" w:rsidRPr="00E64374" w:rsidTr="008A37F9">
        <w:trPr>
          <w:trHeight w:val="170"/>
        </w:trPr>
        <w:tc>
          <w:tcPr>
            <w:tcW w:w="2109" w:type="dxa"/>
            <w:shd w:val="clear" w:color="auto" w:fill="auto"/>
          </w:tcPr>
          <w:p w:rsidR="0000686B" w:rsidRPr="00E64374" w:rsidRDefault="0000686B" w:rsidP="00514129">
            <w:pPr>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Co pack</w:t>
            </w:r>
          </w:p>
        </w:tc>
        <w:tc>
          <w:tcPr>
            <w:tcW w:w="6660" w:type="dxa"/>
            <w:shd w:val="clear" w:color="auto" w:fill="auto"/>
            <w:vAlign w:val="bottom"/>
          </w:tcPr>
          <w:p w:rsidR="0000686B" w:rsidRPr="008A37F9"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8A37F9">
              <w:rPr>
                <w:rFonts w:asciiTheme="minorHAnsi" w:hAnsiTheme="minorHAnsi" w:cs="Arial"/>
                <w:sz w:val="20"/>
                <w:szCs w:val="20"/>
              </w:rPr>
              <w:t>Pre-packaged combinations of medicines that are convenient to use.</w:t>
            </w:r>
          </w:p>
        </w:tc>
      </w:tr>
      <w:tr w:rsidR="0000686B" w:rsidRPr="00E64374" w:rsidTr="008A37F9">
        <w:trPr>
          <w:trHeight w:val="170"/>
        </w:trPr>
        <w:tc>
          <w:tcPr>
            <w:tcW w:w="2109" w:type="dxa"/>
            <w:shd w:val="clear" w:color="auto" w:fill="auto"/>
          </w:tcPr>
          <w:p w:rsidR="0000686B" w:rsidRPr="00E64374" w:rsidRDefault="0000686B" w:rsidP="00514129">
            <w:pPr>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Concomitant</w:t>
            </w:r>
          </w:p>
        </w:tc>
        <w:tc>
          <w:tcPr>
            <w:tcW w:w="6660" w:type="dxa"/>
            <w:shd w:val="clear" w:color="auto" w:fill="auto"/>
            <w:vAlign w:val="bottom"/>
          </w:tcPr>
          <w:p w:rsidR="0000686B" w:rsidRPr="008A37F9" w:rsidRDefault="0000686B" w:rsidP="00514129">
            <w:pPr>
              <w:spacing w:before="60" w:after="60" w:line="240" w:lineRule="auto"/>
              <w:rPr>
                <w:rFonts w:asciiTheme="minorHAnsi" w:hAnsiTheme="minorHAnsi" w:cs="Arial"/>
                <w:b/>
                <w:i/>
                <w:color w:val="000000"/>
                <w:sz w:val="20"/>
                <w:szCs w:val="20"/>
                <w:u w:val="single"/>
              </w:rPr>
            </w:pPr>
            <w:r w:rsidRPr="008A37F9">
              <w:rPr>
                <w:rFonts w:asciiTheme="minorHAnsi" w:hAnsiTheme="minorHAnsi"/>
                <w:sz w:val="20"/>
                <w:szCs w:val="20"/>
              </w:rPr>
              <w:t>Two or more medicines used or given at or almost at the same time (one after the other, on the same day, etc.).</w:t>
            </w:r>
          </w:p>
        </w:tc>
      </w:tr>
      <w:tr w:rsidR="0000686B" w:rsidRPr="00E64374" w:rsidTr="008A37F9">
        <w:trPr>
          <w:trHeight w:val="170"/>
        </w:trPr>
        <w:tc>
          <w:tcPr>
            <w:tcW w:w="2109" w:type="dxa"/>
            <w:shd w:val="clear" w:color="auto" w:fill="auto"/>
          </w:tcPr>
          <w:p w:rsidR="0000686B" w:rsidRPr="00E64374" w:rsidRDefault="0000686B" w:rsidP="00514129">
            <w:pPr>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Contraindicated</w:t>
            </w:r>
          </w:p>
        </w:tc>
        <w:tc>
          <w:tcPr>
            <w:tcW w:w="6660" w:type="dxa"/>
            <w:shd w:val="clear" w:color="auto" w:fill="auto"/>
            <w:vAlign w:val="bottom"/>
          </w:tcPr>
          <w:p w:rsidR="0000686B" w:rsidRPr="008A37F9" w:rsidRDefault="0000686B" w:rsidP="00514129">
            <w:pPr>
              <w:spacing w:before="60" w:after="60" w:line="240" w:lineRule="auto"/>
              <w:rPr>
                <w:rFonts w:asciiTheme="minorHAnsi" w:hAnsiTheme="minorHAnsi" w:cs="Arial"/>
                <w:b/>
                <w:i/>
                <w:color w:val="000000"/>
                <w:sz w:val="20"/>
                <w:szCs w:val="20"/>
                <w:u w:val="single"/>
              </w:rPr>
            </w:pPr>
            <w:r w:rsidRPr="008A37F9">
              <w:rPr>
                <w:rFonts w:asciiTheme="minorHAnsi" w:hAnsiTheme="minorHAnsi"/>
                <w:sz w:val="20"/>
                <w:szCs w:val="20"/>
              </w:rPr>
              <w:t>A symptom or condition that is a medical reason for not doing or using something (such as a treatment, procedure, or activity).</w:t>
            </w:r>
          </w:p>
        </w:tc>
      </w:tr>
      <w:tr w:rsidR="0000686B" w:rsidRPr="00E64374" w:rsidTr="008A37F9">
        <w:trPr>
          <w:trHeight w:val="170"/>
        </w:trPr>
        <w:tc>
          <w:tcPr>
            <w:tcW w:w="2109" w:type="dxa"/>
            <w:shd w:val="clear" w:color="auto" w:fill="auto"/>
          </w:tcPr>
          <w:p w:rsidR="0000686B" w:rsidRPr="00E64374" w:rsidRDefault="0000686B" w:rsidP="00514129">
            <w:pPr>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Dyslipidaemia</w:t>
            </w:r>
          </w:p>
        </w:tc>
        <w:tc>
          <w:tcPr>
            <w:tcW w:w="6660" w:type="dxa"/>
            <w:shd w:val="clear" w:color="auto" w:fill="auto"/>
            <w:vAlign w:val="bottom"/>
          </w:tcPr>
          <w:p w:rsidR="0000686B" w:rsidRPr="008A37F9" w:rsidRDefault="0000686B" w:rsidP="00514129">
            <w:pPr>
              <w:spacing w:before="60" w:after="60" w:line="240" w:lineRule="auto"/>
              <w:rPr>
                <w:rFonts w:asciiTheme="minorHAnsi" w:hAnsiTheme="minorHAnsi" w:cs="Arial"/>
                <w:b/>
                <w:i/>
                <w:color w:val="000000"/>
                <w:sz w:val="20"/>
                <w:szCs w:val="20"/>
                <w:u w:val="single"/>
              </w:rPr>
            </w:pPr>
            <w:r w:rsidRPr="008A37F9">
              <w:rPr>
                <w:rFonts w:asciiTheme="minorHAnsi" w:hAnsiTheme="minorHAnsi" w:cs="Arial"/>
                <w:sz w:val="20"/>
                <w:szCs w:val="20"/>
              </w:rPr>
              <w:t>An abnormal amount of lipids (e.g. triglycerides, cholesterol and/or fat phospholipids) in the blood.</w:t>
            </w:r>
          </w:p>
        </w:tc>
      </w:tr>
      <w:tr w:rsidR="0000686B" w:rsidRPr="00E64374" w:rsidTr="008A37F9">
        <w:trPr>
          <w:trHeight w:val="170"/>
        </w:trPr>
        <w:tc>
          <w:tcPr>
            <w:tcW w:w="2109" w:type="dxa"/>
            <w:shd w:val="clear" w:color="auto" w:fill="auto"/>
          </w:tcPr>
          <w:p w:rsidR="0000686B" w:rsidRPr="00E64374"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Epidemiology</w:t>
            </w:r>
          </w:p>
        </w:tc>
        <w:tc>
          <w:tcPr>
            <w:tcW w:w="6660" w:type="dxa"/>
            <w:shd w:val="clear" w:color="auto" w:fill="auto"/>
            <w:vAlign w:val="bottom"/>
          </w:tcPr>
          <w:p w:rsidR="0000686B" w:rsidRPr="008A37F9"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8A37F9">
              <w:rPr>
                <w:rFonts w:asciiTheme="minorHAnsi" w:hAnsiTheme="minorHAnsi" w:cs="Arial"/>
                <w:sz w:val="20"/>
                <w:szCs w:val="20"/>
              </w:rPr>
              <w:t>The study and analysis of the patterns, causes, and effects of health and disease conditions in defined populations.</w:t>
            </w:r>
          </w:p>
        </w:tc>
      </w:tr>
      <w:tr w:rsidR="0000686B" w:rsidRPr="00E64374" w:rsidTr="008A37F9">
        <w:trPr>
          <w:trHeight w:val="170"/>
        </w:trPr>
        <w:tc>
          <w:tcPr>
            <w:tcW w:w="2109" w:type="dxa"/>
            <w:shd w:val="clear" w:color="auto" w:fill="auto"/>
          </w:tcPr>
          <w:p w:rsidR="0000686B" w:rsidRPr="00E64374"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Hepatic</w:t>
            </w:r>
          </w:p>
        </w:tc>
        <w:tc>
          <w:tcPr>
            <w:tcW w:w="6660" w:type="dxa"/>
            <w:shd w:val="clear" w:color="auto" w:fill="auto"/>
            <w:vAlign w:val="bottom"/>
          </w:tcPr>
          <w:p w:rsidR="0000686B" w:rsidRPr="008A37F9"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8A37F9">
              <w:rPr>
                <w:rFonts w:asciiTheme="minorHAnsi" w:hAnsiTheme="minorHAnsi" w:cs="Arial"/>
                <w:sz w:val="20"/>
                <w:szCs w:val="20"/>
              </w:rPr>
              <w:t>Relating to the liver.</w:t>
            </w:r>
          </w:p>
        </w:tc>
      </w:tr>
      <w:tr w:rsidR="0000686B" w:rsidRPr="00E64374" w:rsidTr="008A37F9">
        <w:trPr>
          <w:trHeight w:val="170"/>
        </w:trPr>
        <w:tc>
          <w:tcPr>
            <w:tcW w:w="2109" w:type="dxa"/>
            <w:shd w:val="clear" w:color="auto" w:fill="auto"/>
          </w:tcPr>
          <w:p w:rsidR="0000686B" w:rsidRPr="00E64374"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HMG CoA reductase inhibitors</w:t>
            </w:r>
          </w:p>
        </w:tc>
        <w:tc>
          <w:tcPr>
            <w:tcW w:w="6660" w:type="dxa"/>
            <w:shd w:val="clear" w:color="auto" w:fill="auto"/>
            <w:vAlign w:val="bottom"/>
          </w:tcPr>
          <w:p w:rsidR="0000686B" w:rsidRPr="008A37F9" w:rsidRDefault="0000686B" w:rsidP="00514129">
            <w:pPr>
              <w:spacing w:before="60" w:after="60" w:line="240" w:lineRule="auto"/>
              <w:rPr>
                <w:rFonts w:asciiTheme="minorHAnsi" w:hAnsiTheme="minorHAnsi" w:cs="Arial"/>
                <w:b/>
                <w:i/>
                <w:color w:val="000000"/>
                <w:sz w:val="20"/>
                <w:szCs w:val="20"/>
                <w:u w:val="single"/>
              </w:rPr>
            </w:pPr>
            <w:r w:rsidRPr="008A37F9">
              <w:rPr>
                <w:rFonts w:asciiTheme="minorHAnsi" w:hAnsiTheme="minorHAnsi"/>
                <w:sz w:val="20"/>
                <w:szCs w:val="20"/>
              </w:rPr>
              <w:t xml:space="preserve">A class of lipid-lowering medications. They are commonly referred to as statins. They inhibit the enzyme HMG-CoA reductase which plays a central role in the body’s production of cholesterol. </w:t>
            </w:r>
          </w:p>
        </w:tc>
      </w:tr>
      <w:tr w:rsidR="0000686B" w:rsidRPr="00E64374" w:rsidTr="008A37F9">
        <w:trPr>
          <w:trHeight w:val="170"/>
        </w:trPr>
        <w:tc>
          <w:tcPr>
            <w:tcW w:w="2109" w:type="dxa"/>
            <w:shd w:val="clear" w:color="auto" w:fill="auto"/>
          </w:tcPr>
          <w:p w:rsidR="0000686B" w:rsidRPr="00E64374"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Hypercholesterolaemia</w:t>
            </w:r>
          </w:p>
        </w:tc>
        <w:tc>
          <w:tcPr>
            <w:tcW w:w="6660" w:type="dxa"/>
            <w:shd w:val="clear" w:color="auto" w:fill="auto"/>
            <w:vAlign w:val="bottom"/>
          </w:tcPr>
          <w:p w:rsidR="0000686B" w:rsidRPr="008A37F9" w:rsidRDefault="0000686B" w:rsidP="00514129">
            <w:pPr>
              <w:spacing w:before="60" w:after="60" w:line="240" w:lineRule="auto"/>
              <w:rPr>
                <w:rFonts w:asciiTheme="minorHAnsi" w:hAnsiTheme="minorHAnsi"/>
                <w:b/>
                <w:i/>
                <w:color w:val="000000"/>
                <w:sz w:val="20"/>
                <w:szCs w:val="20"/>
                <w:u w:val="single"/>
              </w:rPr>
            </w:pPr>
            <w:r w:rsidRPr="008A37F9">
              <w:rPr>
                <w:rFonts w:asciiTheme="minorHAnsi" w:hAnsiTheme="minorHAnsi" w:cs="Arial"/>
                <w:sz w:val="20"/>
                <w:szCs w:val="20"/>
              </w:rPr>
              <w:t>An excess of cholesterol in the bloodstream.</w:t>
            </w:r>
          </w:p>
        </w:tc>
      </w:tr>
      <w:tr w:rsidR="0000686B" w:rsidRPr="00E64374" w:rsidTr="008A37F9">
        <w:trPr>
          <w:trHeight w:val="170"/>
        </w:trPr>
        <w:tc>
          <w:tcPr>
            <w:tcW w:w="2109" w:type="dxa"/>
            <w:shd w:val="clear" w:color="auto" w:fill="auto"/>
          </w:tcPr>
          <w:p w:rsidR="0000686B" w:rsidRPr="00E64374"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Intolerance</w:t>
            </w:r>
          </w:p>
        </w:tc>
        <w:tc>
          <w:tcPr>
            <w:tcW w:w="6660" w:type="dxa"/>
            <w:shd w:val="clear" w:color="auto" w:fill="auto"/>
            <w:vAlign w:val="bottom"/>
          </w:tcPr>
          <w:p w:rsidR="0000686B" w:rsidRPr="008A37F9" w:rsidRDefault="0000686B" w:rsidP="00514129">
            <w:pPr>
              <w:spacing w:before="60" w:after="60" w:line="240" w:lineRule="auto"/>
              <w:rPr>
                <w:rFonts w:asciiTheme="minorHAnsi" w:hAnsiTheme="minorHAnsi"/>
                <w:b/>
                <w:i/>
                <w:color w:val="000000"/>
                <w:sz w:val="20"/>
                <w:szCs w:val="20"/>
                <w:u w:val="single"/>
              </w:rPr>
            </w:pPr>
            <w:r w:rsidRPr="008A37F9">
              <w:rPr>
                <w:rFonts w:asciiTheme="minorHAnsi" w:hAnsiTheme="minorHAnsi" w:cs="Arial"/>
                <w:sz w:val="20"/>
                <w:szCs w:val="20"/>
              </w:rPr>
              <w:t>An inability to eat a food or take a drug without adverse effects.</w:t>
            </w:r>
          </w:p>
        </w:tc>
      </w:tr>
      <w:tr w:rsidR="0000686B" w:rsidRPr="00E64374" w:rsidTr="008A37F9">
        <w:trPr>
          <w:trHeight w:val="170"/>
        </w:trPr>
        <w:tc>
          <w:tcPr>
            <w:tcW w:w="2109" w:type="dxa"/>
            <w:shd w:val="clear" w:color="auto" w:fill="auto"/>
          </w:tcPr>
          <w:p w:rsidR="0000686B" w:rsidRPr="00E64374"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Lipid</w:t>
            </w:r>
          </w:p>
        </w:tc>
        <w:tc>
          <w:tcPr>
            <w:tcW w:w="6660" w:type="dxa"/>
            <w:shd w:val="clear" w:color="auto" w:fill="auto"/>
            <w:vAlign w:val="bottom"/>
          </w:tcPr>
          <w:p w:rsidR="0000686B" w:rsidRPr="008A37F9"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8A37F9">
              <w:rPr>
                <w:rFonts w:asciiTheme="minorHAnsi" w:hAnsiTheme="minorHAnsi" w:cs="Arial"/>
                <w:sz w:val="20"/>
                <w:szCs w:val="20"/>
              </w:rPr>
              <w:t>Fat-like substances found in your blood and body tissues e.g. triglycerides, cholesterol.</w:t>
            </w:r>
          </w:p>
        </w:tc>
      </w:tr>
      <w:tr w:rsidR="0000686B" w:rsidRPr="00E64374" w:rsidTr="008A37F9">
        <w:trPr>
          <w:trHeight w:val="170"/>
        </w:trPr>
        <w:tc>
          <w:tcPr>
            <w:tcW w:w="2109" w:type="dxa"/>
            <w:shd w:val="clear" w:color="auto" w:fill="auto"/>
          </w:tcPr>
          <w:p w:rsidR="0000686B" w:rsidRPr="00E64374"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Longitudinal study</w:t>
            </w:r>
          </w:p>
        </w:tc>
        <w:tc>
          <w:tcPr>
            <w:tcW w:w="6660" w:type="dxa"/>
            <w:shd w:val="clear" w:color="auto" w:fill="auto"/>
            <w:vAlign w:val="bottom"/>
          </w:tcPr>
          <w:p w:rsidR="0000686B" w:rsidRPr="008A37F9"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8A37F9">
              <w:rPr>
                <w:rFonts w:asciiTheme="minorHAnsi" w:hAnsiTheme="minorHAnsi" w:cs="Arial"/>
                <w:sz w:val="20"/>
                <w:szCs w:val="20"/>
              </w:rPr>
              <w:t>A research study that involves repeated observations of the same variables (e.g., cholesterol concentration, adverse events) over long periods of time, often many decades.</w:t>
            </w:r>
          </w:p>
        </w:tc>
      </w:tr>
      <w:tr w:rsidR="0000686B" w:rsidRPr="00E64374" w:rsidTr="008A37F9">
        <w:trPr>
          <w:trHeight w:val="170"/>
        </w:trPr>
        <w:tc>
          <w:tcPr>
            <w:tcW w:w="2109" w:type="dxa"/>
            <w:shd w:val="clear" w:color="auto" w:fill="auto"/>
          </w:tcPr>
          <w:p w:rsidR="0000686B" w:rsidRPr="00E64374"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lastRenderedPageBreak/>
              <w:t>Microalbuminuria</w:t>
            </w:r>
          </w:p>
        </w:tc>
        <w:tc>
          <w:tcPr>
            <w:tcW w:w="6660" w:type="dxa"/>
            <w:shd w:val="clear" w:color="auto" w:fill="auto"/>
            <w:vAlign w:val="bottom"/>
          </w:tcPr>
          <w:p w:rsidR="0000686B" w:rsidRPr="008A37F9"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8A37F9">
              <w:rPr>
                <w:rFonts w:asciiTheme="minorHAnsi" w:hAnsiTheme="minorHAnsi" w:cs="Arial"/>
                <w:sz w:val="20"/>
                <w:szCs w:val="20"/>
              </w:rPr>
              <w:t>Presence of tiny amounts of albumin (protein) in the urine which may occur in any condition affecting the kidney filters (glomeruli).</w:t>
            </w:r>
          </w:p>
        </w:tc>
      </w:tr>
      <w:tr w:rsidR="0000686B" w:rsidRPr="00E64374" w:rsidTr="008A37F9">
        <w:trPr>
          <w:trHeight w:val="170"/>
        </w:trPr>
        <w:tc>
          <w:tcPr>
            <w:tcW w:w="2109" w:type="dxa"/>
            <w:shd w:val="clear" w:color="auto" w:fill="auto"/>
          </w:tcPr>
          <w:p w:rsidR="0000686B" w:rsidRPr="00E64374" w:rsidRDefault="0000686B" w:rsidP="00514129">
            <w:pPr>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PBS Statutory pricing</w:t>
            </w:r>
          </w:p>
        </w:tc>
        <w:tc>
          <w:tcPr>
            <w:tcW w:w="6660" w:type="dxa"/>
            <w:shd w:val="clear" w:color="auto" w:fill="auto"/>
            <w:vAlign w:val="bottom"/>
          </w:tcPr>
          <w:p w:rsidR="0000686B" w:rsidRPr="008A37F9" w:rsidRDefault="0000686B" w:rsidP="00514129">
            <w:pPr>
              <w:spacing w:before="60" w:after="60" w:line="240" w:lineRule="auto"/>
              <w:rPr>
                <w:rFonts w:asciiTheme="minorHAnsi" w:hAnsiTheme="minorHAnsi" w:cs="Arial"/>
                <w:b/>
                <w:i/>
                <w:color w:val="000000"/>
                <w:sz w:val="20"/>
                <w:szCs w:val="20"/>
                <w:u w:val="single"/>
              </w:rPr>
            </w:pPr>
            <w:r w:rsidRPr="008A37F9">
              <w:rPr>
                <w:rFonts w:asciiTheme="minorHAnsi" w:hAnsiTheme="minorHAnsi" w:cs="Arial"/>
                <w:sz w:val="20"/>
                <w:szCs w:val="20"/>
              </w:rPr>
              <w:t xml:space="preserve">Statutory price reductions, including price disclosure, are provided for in the </w:t>
            </w:r>
            <w:r w:rsidRPr="008A37F9">
              <w:rPr>
                <w:rFonts w:asciiTheme="minorHAnsi" w:hAnsiTheme="minorHAnsi" w:cs="Arial"/>
                <w:i/>
                <w:sz w:val="20"/>
                <w:szCs w:val="20"/>
              </w:rPr>
              <w:t>National Health Act 1953</w:t>
            </w:r>
            <w:r w:rsidRPr="008A37F9">
              <w:rPr>
                <w:rFonts w:asciiTheme="minorHAnsi" w:hAnsiTheme="minorHAnsi" w:cs="Arial"/>
                <w:sz w:val="20"/>
                <w:szCs w:val="20"/>
              </w:rPr>
              <w:t xml:space="preserve"> (the Act) and the National Health (Pharmaceutical Benefits) Regulations 1960. Statutory price reductions were first introduced through 2007 amendments to the Act.</w:t>
            </w:r>
          </w:p>
        </w:tc>
      </w:tr>
      <w:tr w:rsidR="0000686B" w:rsidRPr="00E64374" w:rsidTr="008A37F9">
        <w:trPr>
          <w:trHeight w:val="170"/>
        </w:trPr>
        <w:tc>
          <w:tcPr>
            <w:tcW w:w="2109" w:type="dxa"/>
            <w:shd w:val="clear" w:color="auto" w:fill="auto"/>
          </w:tcPr>
          <w:p w:rsidR="0000686B" w:rsidRPr="00E64374" w:rsidRDefault="0000686B" w:rsidP="00514129">
            <w:pPr>
              <w:spacing w:before="60" w:after="60" w:line="240" w:lineRule="auto"/>
              <w:rPr>
                <w:rFonts w:asciiTheme="minorHAnsi" w:hAnsiTheme="minorHAnsi" w:cs="Arial"/>
                <w:b/>
                <w:i/>
                <w:color w:val="000000"/>
                <w:sz w:val="20"/>
                <w:szCs w:val="20"/>
                <w:u w:val="single"/>
              </w:rPr>
            </w:pPr>
            <w:r w:rsidRPr="001F1001">
              <w:rPr>
                <w:rFonts w:asciiTheme="minorHAnsi" w:hAnsiTheme="minorHAnsi" w:cs="Arial"/>
                <w:sz w:val="20"/>
                <w:szCs w:val="20"/>
              </w:rPr>
              <w:t>Persistence</w:t>
            </w:r>
          </w:p>
        </w:tc>
        <w:tc>
          <w:tcPr>
            <w:tcW w:w="6660" w:type="dxa"/>
            <w:shd w:val="clear" w:color="auto" w:fill="auto"/>
            <w:vAlign w:val="bottom"/>
          </w:tcPr>
          <w:p w:rsidR="0000686B" w:rsidRPr="008A37F9" w:rsidRDefault="0000686B" w:rsidP="00514129">
            <w:pPr>
              <w:rPr>
                <w:rFonts w:asciiTheme="minorHAnsi" w:hAnsiTheme="minorHAnsi"/>
                <w:b/>
                <w:i/>
                <w:color w:val="000000"/>
                <w:sz w:val="20"/>
                <w:szCs w:val="20"/>
                <w:u w:val="single"/>
              </w:rPr>
            </w:pPr>
            <w:r w:rsidRPr="008A37F9">
              <w:rPr>
                <w:rFonts w:ascii="Calibri" w:eastAsia="Times New Roman" w:hAnsi="Calibri"/>
                <w:color w:val="000000"/>
                <w:sz w:val="20"/>
                <w:szCs w:val="20"/>
              </w:rPr>
              <w:t>In this report, an estimate of usage that may inform duration of treatment. </w:t>
            </w:r>
          </w:p>
        </w:tc>
      </w:tr>
      <w:tr w:rsidR="0000686B" w:rsidRPr="00E64374" w:rsidTr="008A37F9">
        <w:trPr>
          <w:trHeight w:val="170"/>
        </w:trPr>
        <w:tc>
          <w:tcPr>
            <w:tcW w:w="2109" w:type="dxa"/>
            <w:shd w:val="clear" w:color="auto" w:fill="auto"/>
          </w:tcPr>
          <w:p w:rsidR="0000686B" w:rsidRPr="00E64374" w:rsidRDefault="0000686B" w:rsidP="00514129">
            <w:pPr>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Pharmacotherapy</w:t>
            </w:r>
          </w:p>
        </w:tc>
        <w:tc>
          <w:tcPr>
            <w:tcW w:w="6660" w:type="dxa"/>
            <w:shd w:val="clear" w:color="auto" w:fill="auto"/>
            <w:vAlign w:val="bottom"/>
          </w:tcPr>
          <w:p w:rsidR="0000686B" w:rsidRPr="008A37F9" w:rsidRDefault="0000686B" w:rsidP="00514129">
            <w:pPr>
              <w:spacing w:before="60" w:after="60" w:line="240" w:lineRule="auto"/>
              <w:rPr>
                <w:rFonts w:asciiTheme="minorHAnsi" w:hAnsiTheme="minorHAnsi" w:cs="Arial"/>
                <w:b/>
                <w:i/>
                <w:color w:val="000000"/>
                <w:sz w:val="20"/>
                <w:szCs w:val="20"/>
                <w:u w:val="single"/>
              </w:rPr>
            </w:pPr>
            <w:r w:rsidRPr="008A37F9">
              <w:rPr>
                <w:rFonts w:asciiTheme="minorHAnsi" w:hAnsiTheme="minorHAnsi"/>
                <w:sz w:val="20"/>
                <w:szCs w:val="20"/>
              </w:rPr>
              <w:t>Therapy using pharmaceutical medicines, as distinguished from therapy using surgery (surgical therapy), radiation (radiation therapy), movement (physical therapy) etc.</w:t>
            </w:r>
          </w:p>
        </w:tc>
      </w:tr>
      <w:tr w:rsidR="0000686B" w:rsidRPr="00E64374" w:rsidTr="008A37F9">
        <w:trPr>
          <w:trHeight w:val="170"/>
        </w:trPr>
        <w:tc>
          <w:tcPr>
            <w:tcW w:w="2109" w:type="dxa"/>
            <w:shd w:val="clear" w:color="auto" w:fill="auto"/>
          </w:tcPr>
          <w:p w:rsidR="0000686B" w:rsidRPr="00E64374" w:rsidRDefault="0000686B" w:rsidP="00514129">
            <w:pPr>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Phase III clinical trial</w:t>
            </w:r>
          </w:p>
        </w:tc>
        <w:tc>
          <w:tcPr>
            <w:tcW w:w="6660" w:type="dxa"/>
            <w:shd w:val="clear" w:color="auto" w:fill="auto"/>
            <w:vAlign w:val="bottom"/>
          </w:tcPr>
          <w:p w:rsidR="0000686B" w:rsidRPr="008A37F9" w:rsidRDefault="0000686B" w:rsidP="00C17B2A">
            <w:pPr>
              <w:spacing w:before="60" w:after="60" w:line="240" w:lineRule="auto"/>
              <w:rPr>
                <w:rFonts w:asciiTheme="minorHAnsi" w:hAnsiTheme="minorHAnsi" w:cs="Arial"/>
                <w:b/>
                <w:i/>
                <w:color w:val="000000"/>
                <w:sz w:val="20"/>
                <w:szCs w:val="20"/>
                <w:u w:val="single"/>
              </w:rPr>
            </w:pPr>
            <w:r w:rsidRPr="008A37F9">
              <w:rPr>
                <w:rFonts w:asciiTheme="minorHAnsi" w:hAnsiTheme="minorHAnsi" w:cs="Arial"/>
                <w:sz w:val="20"/>
                <w:szCs w:val="20"/>
              </w:rPr>
              <w:t xml:space="preserve">The medicine or treatment is given to large groups of people to confirm its effectiveness, monitor </w:t>
            </w:r>
            <w:r w:rsidR="00C17B2A" w:rsidRPr="0021180D">
              <w:rPr>
                <w:rFonts w:asciiTheme="minorHAnsi" w:hAnsiTheme="minorHAnsi" w:cs="Arial"/>
                <w:sz w:val="20"/>
                <w:szCs w:val="20"/>
              </w:rPr>
              <w:t>adverse</w:t>
            </w:r>
            <w:r w:rsidR="00C17B2A">
              <w:rPr>
                <w:rFonts w:asciiTheme="minorHAnsi" w:hAnsiTheme="minorHAnsi" w:cs="Arial"/>
                <w:sz w:val="20"/>
                <w:szCs w:val="20"/>
              </w:rPr>
              <w:t xml:space="preserve"> </w:t>
            </w:r>
            <w:r w:rsidRPr="008A37F9">
              <w:rPr>
                <w:rFonts w:asciiTheme="minorHAnsi" w:hAnsiTheme="minorHAnsi" w:cs="Arial"/>
                <w:sz w:val="20"/>
                <w:szCs w:val="20"/>
              </w:rPr>
              <w:t>effects, compare it to commonly used treatments, and collect information that will allow the medicine or treatment to be used safely.</w:t>
            </w:r>
          </w:p>
        </w:tc>
      </w:tr>
      <w:tr w:rsidR="0000686B" w:rsidRPr="00E64374" w:rsidTr="008A37F9">
        <w:trPr>
          <w:trHeight w:val="170"/>
        </w:trPr>
        <w:tc>
          <w:tcPr>
            <w:tcW w:w="2109" w:type="dxa"/>
            <w:shd w:val="clear" w:color="auto" w:fill="auto"/>
          </w:tcPr>
          <w:p w:rsidR="0000686B" w:rsidRPr="00E64374" w:rsidRDefault="0000686B" w:rsidP="00514129">
            <w:pPr>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Phase IV clinical trial</w:t>
            </w:r>
          </w:p>
        </w:tc>
        <w:tc>
          <w:tcPr>
            <w:tcW w:w="6660" w:type="dxa"/>
            <w:shd w:val="clear" w:color="auto" w:fill="auto"/>
            <w:vAlign w:val="bottom"/>
          </w:tcPr>
          <w:p w:rsidR="0000686B" w:rsidRPr="008A37F9" w:rsidRDefault="0000686B" w:rsidP="00C17B2A">
            <w:pPr>
              <w:spacing w:before="60" w:after="60" w:line="240" w:lineRule="auto"/>
              <w:rPr>
                <w:rFonts w:asciiTheme="minorHAnsi" w:hAnsiTheme="minorHAnsi" w:cs="Arial"/>
                <w:b/>
                <w:i/>
                <w:color w:val="000000"/>
                <w:sz w:val="20"/>
                <w:szCs w:val="20"/>
                <w:u w:val="single"/>
              </w:rPr>
            </w:pPr>
            <w:r w:rsidRPr="008A37F9">
              <w:rPr>
                <w:rFonts w:asciiTheme="minorHAnsi" w:hAnsiTheme="minorHAnsi" w:cs="Arial"/>
                <w:sz w:val="20"/>
                <w:szCs w:val="20"/>
              </w:rPr>
              <w:t xml:space="preserve">Studies are done after the medicine or treatment has been marketed to gather information on the medicine’s effect in various populations and any </w:t>
            </w:r>
            <w:r w:rsidR="00C17B2A" w:rsidRPr="0021180D">
              <w:rPr>
                <w:rFonts w:asciiTheme="minorHAnsi" w:hAnsiTheme="minorHAnsi" w:cs="Arial"/>
                <w:sz w:val="20"/>
                <w:szCs w:val="20"/>
              </w:rPr>
              <w:t>adverse</w:t>
            </w:r>
            <w:r w:rsidR="00C17B2A">
              <w:rPr>
                <w:rFonts w:asciiTheme="minorHAnsi" w:hAnsiTheme="minorHAnsi" w:cs="Arial"/>
                <w:sz w:val="20"/>
                <w:szCs w:val="20"/>
              </w:rPr>
              <w:t xml:space="preserve"> </w:t>
            </w:r>
            <w:r w:rsidRPr="008A37F9">
              <w:rPr>
                <w:rFonts w:asciiTheme="minorHAnsi" w:hAnsiTheme="minorHAnsi" w:cs="Arial"/>
                <w:sz w:val="20"/>
                <w:szCs w:val="20"/>
              </w:rPr>
              <w:t>effects associated with long-term use.</w:t>
            </w:r>
          </w:p>
        </w:tc>
      </w:tr>
      <w:tr w:rsidR="0000686B" w:rsidRPr="00E64374" w:rsidTr="008A37F9">
        <w:trPr>
          <w:trHeight w:val="170"/>
        </w:trPr>
        <w:tc>
          <w:tcPr>
            <w:tcW w:w="2109" w:type="dxa"/>
            <w:shd w:val="clear" w:color="auto" w:fill="auto"/>
          </w:tcPr>
          <w:p w:rsidR="0000686B" w:rsidRPr="00E64374" w:rsidRDefault="0000686B" w:rsidP="00514129">
            <w:pPr>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Prevalent</w:t>
            </w:r>
          </w:p>
        </w:tc>
        <w:tc>
          <w:tcPr>
            <w:tcW w:w="6660" w:type="dxa"/>
            <w:shd w:val="clear" w:color="auto" w:fill="auto"/>
            <w:vAlign w:val="bottom"/>
          </w:tcPr>
          <w:p w:rsidR="0000686B" w:rsidRPr="008A37F9" w:rsidRDefault="0000686B" w:rsidP="00514129">
            <w:pPr>
              <w:spacing w:before="60" w:after="60" w:line="240" w:lineRule="auto"/>
              <w:rPr>
                <w:rFonts w:asciiTheme="minorHAnsi" w:hAnsiTheme="minorHAnsi" w:cs="Arial"/>
                <w:b/>
                <w:i/>
                <w:color w:val="000000"/>
                <w:sz w:val="20"/>
                <w:szCs w:val="20"/>
                <w:u w:val="single"/>
              </w:rPr>
            </w:pPr>
            <w:r w:rsidRPr="008A37F9">
              <w:rPr>
                <w:rFonts w:asciiTheme="minorHAnsi" w:hAnsiTheme="minorHAnsi"/>
                <w:sz w:val="20"/>
                <w:szCs w:val="20"/>
              </w:rPr>
              <w:t>Individuals whose disease developed or was diagnosed before they were identified for the study.</w:t>
            </w:r>
          </w:p>
        </w:tc>
      </w:tr>
      <w:tr w:rsidR="0000686B" w:rsidRPr="00E64374" w:rsidTr="008A37F9">
        <w:trPr>
          <w:trHeight w:val="170"/>
        </w:trPr>
        <w:tc>
          <w:tcPr>
            <w:tcW w:w="2109" w:type="dxa"/>
            <w:shd w:val="clear" w:color="auto" w:fill="auto"/>
          </w:tcPr>
          <w:p w:rsidR="0000686B" w:rsidRPr="00E64374" w:rsidRDefault="0000686B" w:rsidP="00514129">
            <w:pPr>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Proteinuria</w:t>
            </w:r>
          </w:p>
        </w:tc>
        <w:tc>
          <w:tcPr>
            <w:tcW w:w="6660" w:type="dxa"/>
            <w:shd w:val="clear" w:color="auto" w:fill="auto"/>
            <w:vAlign w:val="bottom"/>
          </w:tcPr>
          <w:p w:rsidR="0000686B" w:rsidRPr="008A37F9" w:rsidRDefault="0000686B" w:rsidP="00514129">
            <w:pPr>
              <w:spacing w:before="60" w:after="60" w:line="240" w:lineRule="auto"/>
              <w:rPr>
                <w:rFonts w:asciiTheme="minorHAnsi" w:hAnsiTheme="minorHAnsi"/>
                <w:b/>
                <w:i/>
                <w:color w:val="000000"/>
                <w:sz w:val="20"/>
                <w:szCs w:val="20"/>
                <w:u w:val="single"/>
              </w:rPr>
            </w:pPr>
            <w:r w:rsidRPr="008A37F9">
              <w:rPr>
                <w:rFonts w:asciiTheme="minorHAnsi" w:hAnsiTheme="minorHAnsi"/>
                <w:sz w:val="20"/>
                <w:szCs w:val="20"/>
              </w:rPr>
              <w:t>Presence of excess proteins in the urine.</w:t>
            </w:r>
          </w:p>
        </w:tc>
      </w:tr>
      <w:tr w:rsidR="0000686B" w:rsidRPr="00E64374" w:rsidTr="008A37F9">
        <w:trPr>
          <w:trHeight w:val="170"/>
        </w:trPr>
        <w:tc>
          <w:tcPr>
            <w:tcW w:w="2109" w:type="dxa"/>
            <w:shd w:val="clear" w:color="auto" w:fill="auto"/>
          </w:tcPr>
          <w:p w:rsidR="0000686B" w:rsidRPr="00E64374" w:rsidRDefault="0000686B" w:rsidP="00514129">
            <w:pPr>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Randomised controlled trial</w:t>
            </w:r>
          </w:p>
        </w:tc>
        <w:tc>
          <w:tcPr>
            <w:tcW w:w="6660" w:type="dxa"/>
            <w:shd w:val="clear" w:color="auto" w:fill="auto"/>
            <w:vAlign w:val="bottom"/>
          </w:tcPr>
          <w:p w:rsidR="0000686B" w:rsidRPr="008A37F9" w:rsidRDefault="0000686B" w:rsidP="00514129">
            <w:pPr>
              <w:spacing w:before="60" w:after="60" w:line="240" w:lineRule="auto"/>
              <w:rPr>
                <w:rFonts w:asciiTheme="minorHAnsi" w:hAnsiTheme="minorHAnsi" w:cs="Arial"/>
                <w:b/>
                <w:i/>
                <w:color w:val="000000"/>
                <w:sz w:val="20"/>
                <w:szCs w:val="20"/>
                <w:u w:val="single"/>
              </w:rPr>
            </w:pPr>
            <w:r w:rsidRPr="008A37F9">
              <w:rPr>
                <w:rFonts w:asciiTheme="minorHAnsi" w:hAnsiTheme="minorHAnsi"/>
                <w:sz w:val="20"/>
                <w:szCs w:val="20"/>
              </w:rPr>
              <w:t>A study in which people are allocated at random (by chance alone) to receive one of two or more clinical interventions. One of these interventions is the standard of comparison or control. The control may be a standard practice, a placebo ("sugar pill"), or no intervention at all.</w:t>
            </w:r>
          </w:p>
        </w:tc>
      </w:tr>
      <w:tr w:rsidR="0000686B" w:rsidRPr="00E64374" w:rsidTr="008A37F9">
        <w:trPr>
          <w:trHeight w:val="170"/>
        </w:trPr>
        <w:tc>
          <w:tcPr>
            <w:tcW w:w="2109" w:type="dxa"/>
            <w:shd w:val="clear" w:color="auto" w:fill="auto"/>
          </w:tcPr>
          <w:p w:rsidR="0000686B" w:rsidRPr="00E64374"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Relative risk</w:t>
            </w:r>
          </w:p>
        </w:tc>
        <w:tc>
          <w:tcPr>
            <w:tcW w:w="6660" w:type="dxa"/>
            <w:shd w:val="clear" w:color="auto" w:fill="auto"/>
            <w:vAlign w:val="bottom"/>
          </w:tcPr>
          <w:p w:rsidR="0000686B" w:rsidRPr="008A37F9"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8A37F9">
              <w:rPr>
                <w:rFonts w:asciiTheme="minorHAnsi" w:hAnsiTheme="minorHAnsi" w:cs="Arial"/>
                <w:sz w:val="20"/>
                <w:szCs w:val="20"/>
              </w:rPr>
              <w:t>Relative risk is used to compare the risk in two different groups of people.</w:t>
            </w:r>
          </w:p>
        </w:tc>
      </w:tr>
      <w:tr w:rsidR="0000686B" w:rsidRPr="00E64374" w:rsidTr="008A37F9">
        <w:trPr>
          <w:trHeight w:val="170"/>
        </w:trPr>
        <w:tc>
          <w:tcPr>
            <w:tcW w:w="2109" w:type="dxa"/>
            <w:shd w:val="clear" w:color="auto" w:fill="auto"/>
          </w:tcPr>
          <w:p w:rsidR="0000686B" w:rsidRPr="00E64374"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Risk calculator</w:t>
            </w:r>
          </w:p>
        </w:tc>
        <w:tc>
          <w:tcPr>
            <w:tcW w:w="6660" w:type="dxa"/>
            <w:shd w:val="clear" w:color="auto" w:fill="auto"/>
            <w:vAlign w:val="bottom"/>
          </w:tcPr>
          <w:p w:rsidR="0000686B" w:rsidRPr="008A37F9"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8A37F9">
              <w:rPr>
                <w:rFonts w:asciiTheme="minorHAnsi" w:hAnsiTheme="minorHAnsi" w:cs="Arial"/>
                <w:sz w:val="20"/>
                <w:szCs w:val="20"/>
              </w:rPr>
              <w:t>The Australian Absolute risk calculator combines several risk factors to calculate a risk score (expressed as a percentage), which is a person’s chance of having a CVD event such as a heart attack or stroke in the next five years.</w:t>
            </w:r>
          </w:p>
        </w:tc>
      </w:tr>
      <w:tr w:rsidR="0000686B" w:rsidRPr="00E64374" w:rsidTr="008A37F9">
        <w:trPr>
          <w:trHeight w:val="170"/>
        </w:trPr>
        <w:tc>
          <w:tcPr>
            <w:tcW w:w="2109" w:type="dxa"/>
            <w:shd w:val="clear" w:color="auto" w:fill="auto"/>
          </w:tcPr>
          <w:p w:rsidR="0000686B" w:rsidRPr="00E64374"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Serum</w:t>
            </w:r>
          </w:p>
        </w:tc>
        <w:tc>
          <w:tcPr>
            <w:tcW w:w="6660" w:type="dxa"/>
            <w:shd w:val="clear" w:color="auto" w:fill="auto"/>
            <w:vAlign w:val="bottom"/>
          </w:tcPr>
          <w:p w:rsidR="0000686B" w:rsidRPr="008A37F9"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8A37F9">
              <w:rPr>
                <w:rFonts w:asciiTheme="minorHAnsi" w:hAnsiTheme="minorHAnsi" w:cs="Arial"/>
                <w:sz w:val="20"/>
                <w:szCs w:val="20"/>
              </w:rPr>
              <w:t>In blood, the serum is the component that is neither a blood cell (serum does not contain white or red blood cells) nor a clotting factor; it is the blood plasma not including the fibrinogens.</w:t>
            </w:r>
          </w:p>
        </w:tc>
      </w:tr>
      <w:tr w:rsidR="0000686B" w:rsidRPr="00E64374" w:rsidTr="008A37F9">
        <w:trPr>
          <w:trHeight w:val="170"/>
        </w:trPr>
        <w:tc>
          <w:tcPr>
            <w:tcW w:w="2109" w:type="dxa"/>
            <w:shd w:val="clear" w:color="auto" w:fill="auto"/>
          </w:tcPr>
          <w:p w:rsidR="0000686B" w:rsidRPr="00E64374" w:rsidRDefault="0000686B" w:rsidP="00514129">
            <w:pPr>
              <w:autoSpaceDE w:val="0"/>
              <w:autoSpaceDN w:val="0"/>
              <w:adjustRightInd w:val="0"/>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Sitosterolaemia</w:t>
            </w:r>
          </w:p>
        </w:tc>
        <w:tc>
          <w:tcPr>
            <w:tcW w:w="6660" w:type="dxa"/>
            <w:shd w:val="clear" w:color="auto" w:fill="auto"/>
            <w:vAlign w:val="bottom"/>
          </w:tcPr>
          <w:p w:rsidR="0000686B" w:rsidRPr="008A37F9" w:rsidRDefault="0000686B" w:rsidP="00514129">
            <w:pPr>
              <w:spacing w:before="60" w:after="60" w:line="240" w:lineRule="auto"/>
              <w:rPr>
                <w:rFonts w:asciiTheme="minorHAnsi" w:hAnsiTheme="minorHAnsi" w:cs="Arial"/>
                <w:b/>
                <w:i/>
                <w:color w:val="000000"/>
                <w:sz w:val="20"/>
                <w:szCs w:val="20"/>
                <w:u w:val="single"/>
              </w:rPr>
            </w:pPr>
            <w:r w:rsidRPr="008A37F9">
              <w:rPr>
                <w:rFonts w:asciiTheme="minorHAnsi" w:hAnsiTheme="minorHAnsi"/>
                <w:sz w:val="20"/>
                <w:szCs w:val="20"/>
              </w:rPr>
              <w:t>A condition in which fatty substances (lipids) from vegetable oils, nuts, and other plant-based foods accumulate in the blood and tissues. These lipids are called plant sterols (or phytosterols).</w:t>
            </w:r>
          </w:p>
        </w:tc>
      </w:tr>
      <w:tr w:rsidR="0000686B" w:rsidRPr="00E64374" w:rsidTr="008A37F9">
        <w:trPr>
          <w:trHeight w:val="170"/>
        </w:trPr>
        <w:tc>
          <w:tcPr>
            <w:tcW w:w="2109" w:type="dxa"/>
            <w:shd w:val="clear" w:color="auto" w:fill="auto"/>
          </w:tcPr>
          <w:p w:rsidR="0000686B" w:rsidRPr="00E64374" w:rsidRDefault="0000686B" w:rsidP="00514129">
            <w:pPr>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Streamlined authority code</w:t>
            </w:r>
          </w:p>
        </w:tc>
        <w:tc>
          <w:tcPr>
            <w:tcW w:w="6660" w:type="dxa"/>
            <w:shd w:val="clear" w:color="auto" w:fill="auto"/>
            <w:vAlign w:val="bottom"/>
          </w:tcPr>
          <w:p w:rsidR="0000686B" w:rsidRPr="008A37F9" w:rsidRDefault="0000686B" w:rsidP="00514129">
            <w:pPr>
              <w:spacing w:before="60" w:after="60" w:line="240" w:lineRule="auto"/>
              <w:rPr>
                <w:rFonts w:asciiTheme="minorHAnsi" w:hAnsiTheme="minorHAnsi" w:cs="Arial"/>
                <w:b/>
                <w:i/>
                <w:color w:val="000000"/>
                <w:sz w:val="20"/>
                <w:szCs w:val="20"/>
                <w:u w:val="single"/>
              </w:rPr>
            </w:pPr>
            <w:r w:rsidRPr="008A37F9">
              <w:rPr>
                <w:rFonts w:asciiTheme="minorHAnsi" w:hAnsiTheme="minorHAnsi" w:cs="Arial"/>
                <w:sz w:val="20"/>
                <w:szCs w:val="20"/>
              </w:rPr>
              <w:t>To prescribe a streamlined authority Pharmaceutical Benefits Scheme item, a prescriber is required to include a 'streamlined authority code' on the authority prescription.</w:t>
            </w:r>
          </w:p>
        </w:tc>
      </w:tr>
      <w:tr w:rsidR="0000686B" w:rsidRPr="00E64374" w:rsidTr="008A37F9">
        <w:trPr>
          <w:trHeight w:val="170"/>
        </w:trPr>
        <w:tc>
          <w:tcPr>
            <w:tcW w:w="2109" w:type="dxa"/>
            <w:shd w:val="clear" w:color="auto" w:fill="auto"/>
          </w:tcPr>
          <w:p w:rsidR="0000686B" w:rsidRPr="00E64374" w:rsidRDefault="0000686B" w:rsidP="00514129">
            <w:pPr>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Titration</w:t>
            </w:r>
          </w:p>
        </w:tc>
        <w:tc>
          <w:tcPr>
            <w:tcW w:w="6660" w:type="dxa"/>
            <w:shd w:val="clear" w:color="auto" w:fill="auto"/>
            <w:vAlign w:val="bottom"/>
          </w:tcPr>
          <w:p w:rsidR="0000686B" w:rsidRPr="008A37F9" w:rsidRDefault="0000686B" w:rsidP="00514129">
            <w:pPr>
              <w:spacing w:before="60" w:after="60" w:line="240" w:lineRule="auto"/>
              <w:rPr>
                <w:rFonts w:asciiTheme="minorHAnsi" w:hAnsiTheme="minorHAnsi" w:cs="Arial"/>
                <w:b/>
                <w:i/>
                <w:color w:val="000000"/>
                <w:sz w:val="20"/>
                <w:szCs w:val="20"/>
                <w:u w:val="single"/>
              </w:rPr>
            </w:pPr>
            <w:r w:rsidRPr="008A37F9">
              <w:rPr>
                <w:rFonts w:asciiTheme="minorHAnsi" w:hAnsiTheme="minorHAnsi"/>
                <w:sz w:val="20"/>
                <w:szCs w:val="20"/>
              </w:rPr>
              <w:t xml:space="preserve">The process of gradually adjusting the dose of a medication. There may be up-titration (usually to achieve a target or specific dose) or down-titration (when a high dose is no longer needed or adverse effects have occurred) </w:t>
            </w:r>
          </w:p>
        </w:tc>
      </w:tr>
      <w:tr w:rsidR="0000686B" w:rsidRPr="00E64374" w:rsidTr="008A37F9">
        <w:trPr>
          <w:trHeight w:val="170"/>
        </w:trPr>
        <w:tc>
          <w:tcPr>
            <w:tcW w:w="2109" w:type="dxa"/>
            <w:shd w:val="clear" w:color="auto" w:fill="auto"/>
          </w:tcPr>
          <w:p w:rsidR="0000686B" w:rsidRPr="00E64374" w:rsidRDefault="0000686B" w:rsidP="00514129">
            <w:pPr>
              <w:spacing w:before="60" w:after="60" w:line="240" w:lineRule="auto"/>
              <w:rPr>
                <w:rFonts w:asciiTheme="minorHAnsi" w:hAnsiTheme="minorHAnsi" w:cs="Arial"/>
                <w:b/>
                <w:i/>
                <w:color w:val="000000"/>
                <w:sz w:val="20"/>
                <w:szCs w:val="20"/>
                <w:u w:val="single"/>
              </w:rPr>
            </w:pPr>
            <w:r w:rsidRPr="00E64374">
              <w:rPr>
                <w:rFonts w:asciiTheme="minorHAnsi" w:hAnsiTheme="minorHAnsi" w:cs="Arial"/>
                <w:sz w:val="20"/>
                <w:szCs w:val="20"/>
              </w:rPr>
              <w:t>Triglycerides</w:t>
            </w:r>
          </w:p>
        </w:tc>
        <w:tc>
          <w:tcPr>
            <w:tcW w:w="6660" w:type="dxa"/>
            <w:shd w:val="clear" w:color="auto" w:fill="auto"/>
            <w:vAlign w:val="bottom"/>
          </w:tcPr>
          <w:p w:rsidR="0000686B" w:rsidRPr="008A37F9" w:rsidRDefault="0000686B" w:rsidP="00514129">
            <w:pPr>
              <w:spacing w:before="60" w:after="60" w:line="240" w:lineRule="auto"/>
              <w:rPr>
                <w:rFonts w:asciiTheme="minorHAnsi" w:hAnsiTheme="minorHAnsi"/>
                <w:b/>
                <w:i/>
                <w:color w:val="000000"/>
                <w:sz w:val="20"/>
                <w:szCs w:val="20"/>
                <w:u w:val="single"/>
              </w:rPr>
            </w:pPr>
            <w:r w:rsidRPr="008A37F9">
              <w:rPr>
                <w:rFonts w:asciiTheme="minorHAnsi" w:hAnsiTheme="minorHAnsi" w:cs="Arial"/>
                <w:sz w:val="20"/>
                <w:szCs w:val="20"/>
              </w:rPr>
              <w:t xml:space="preserve">One of a number of fatty substances carried in the blood. A high concentration is associated with heart disease.  </w:t>
            </w:r>
          </w:p>
        </w:tc>
      </w:tr>
    </w:tbl>
    <w:p w:rsidR="0000686B" w:rsidRDefault="0000686B" w:rsidP="00514129">
      <w:pPr>
        <w:rPr>
          <w:rFonts w:asciiTheme="minorHAnsi" w:eastAsiaTheme="majorEastAsia" w:hAnsiTheme="minorHAnsi" w:cstheme="majorBidi"/>
          <w:b/>
          <w:bCs/>
          <w:color w:val="4F81BD" w:themeColor="accent1"/>
          <w:sz w:val="40"/>
          <w:szCs w:val="40"/>
        </w:rPr>
      </w:pPr>
      <w:r>
        <w:rPr>
          <w:rFonts w:asciiTheme="minorHAnsi" w:hAnsiTheme="minorHAnsi"/>
          <w:sz w:val="40"/>
          <w:szCs w:val="40"/>
        </w:rPr>
        <w:br w:type="page"/>
      </w:r>
    </w:p>
    <w:p w:rsidR="0000686B" w:rsidRPr="00920324" w:rsidRDefault="0000686B" w:rsidP="00514129">
      <w:pPr>
        <w:pStyle w:val="Heading1"/>
      </w:pPr>
      <w:bookmarkStart w:id="17" w:name="_Toc482176917"/>
      <w:r w:rsidRPr="00920324">
        <w:lastRenderedPageBreak/>
        <w:t>Consumer Summary</w:t>
      </w:r>
      <w:bookmarkEnd w:id="17"/>
    </w:p>
    <w:p w:rsidR="0000686B" w:rsidRPr="008370B4" w:rsidRDefault="0000686B" w:rsidP="00514129">
      <w:pPr>
        <w:pStyle w:val="ListParagraph"/>
        <w:numPr>
          <w:ilvl w:val="0"/>
          <w:numId w:val="5"/>
        </w:numPr>
        <w:spacing w:line="240" w:lineRule="auto"/>
        <w:ind w:left="714" w:hanging="357"/>
        <w:rPr>
          <w:rFonts w:asciiTheme="minorHAnsi" w:hAnsiTheme="minorHAnsi"/>
        </w:rPr>
      </w:pPr>
      <w:r>
        <w:rPr>
          <w:rFonts w:asciiTheme="minorHAnsi" w:hAnsiTheme="minorHAnsi"/>
        </w:rPr>
        <w:t xml:space="preserve">to be finalised </w:t>
      </w:r>
      <w:r w:rsidR="00FE03BC">
        <w:rPr>
          <w:rFonts w:asciiTheme="minorHAnsi" w:hAnsiTheme="minorHAnsi"/>
        </w:rPr>
        <w:t>prior to publication</w:t>
      </w:r>
    </w:p>
    <w:p w:rsidR="0000686B" w:rsidRPr="0083256E" w:rsidRDefault="0000686B" w:rsidP="00514129">
      <w:pPr>
        <w:pStyle w:val="Heading1"/>
      </w:pPr>
      <w:bookmarkStart w:id="18" w:name="_Toc482176918"/>
      <w:r w:rsidRPr="0083256E">
        <w:t xml:space="preserve">Executive </w:t>
      </w:r>
      <w:r w:rsidRPr="00920324">
        <w:t>Summary</w:t>
      </w:r>
      <w:bookmarkEnd w:id="18"/>
    </w:p>
    <w:p w:rsidR="00FE03BC" w:rsidRPr="00FE03BC" w:rsidRDefault="00FE03BC" w:rsidP="00920324">
      <w:pPr>
        <w:autoSpaceDE w:val="0"/>
        <w:autoSpaceDN w:val="0"/>
        <w:adjustRightInd w:val="0"/>
        <w:spacing w:line="240" w:lineRule="auto"/>
        <w:rPr>
          <w:rFonts w:asciiTheme="minorHAnsi" w:hAnsiTheme="minorHAnsi"/>
          <w:i/>
          <w:szCs w:val="24"/>
        </w:rPr>
      </w:pPr>
      <w:r w:rsidRPr="00C1047B">
        <w:rPr>
          <w:rFonts w:asciiTheme="minorHAnsi" w:hAnsiTheme="minorHAnsi"/>
          <w:i/>
          <w:szCs w:val="24"/>
          <w:highlight w:val="yellow"/>
        </w:rPr>
        <w:t xml:space="preserve">The Executive Summary </w:t>
      </w:r>
      <w:r w:rsidR="00D52431" w:rsidRPr="00C1047B">
        <w:rPr>
          <w:rFonts w:asciiTheme="minorHAnsi" w:hAnsiTheme="minorHAnsi"/>
          <w:i/>
          <w:szCs w:val="24"/>
          <w:highlight w:val="yellow"/>
        </w:rPr>
        <w:t>was</w:t>
      </w:r>
      <w:r w:rsidRPr="00C1047B">
        <w:rPr>
          <w:rFonts w:asciiTheme="minorHAnsi" w:hAnsiTheme="minorHAnsi"/>
          <w:i/>
          <w:szCs w:val="24"/>
          <w:highlight w:val="yellow"/>
        </w:rPr>
        <w:t xml:space="preserve"> extensively rewritten following the final Reference Group meeting and receipt of the additional analyses. Changes in the body of the report are highlighted in yellow.</w:t>
      </w:r>
    </w:p>
    <w:p w:rsidR="0000686B" w:rsidRPr="00231577" w:rsidRDefault="0000686B">
      <w:pPr>
        <w:autoSpaceDE w:val="0"/>
        <w:autoSpaceDN w:val="0"/>
        <w:adjustRightInd w:val="0"/>
        <w:spacing w:line="240" w:lineRule="auto"/>
        <w:rPr>
          <w:rFonts w:asciiTheme="minorHAnsi" w:hAnsiTheme="minorHAnsi"/>
          <w:b/>
          <w:i/>
          <w:szCs w:val="24"/>
        </w:rPr>
      </w:pPr>
      <w:r w:rsidRPr="00231577">
        <w:rPr>
          <w:rFonts w:asciiTheme="minorHAnsi" w:hAnsiTheme="minorHAnsi"/>
          <w:szCs w:val="24"/>
        </w:rPr>
        <w:t xml:space="preserve">Large numbers of Australians have high </w:t>
      </w:r>
      <w:r w:rsidRPr="0021180D">
        <w:rPr>
          <w:rFonts w:asciiTheme="minorHAnsi" w:hAnsiTheme="minorHAnsi"/>
          <w:szCs w:val="24"/>
        </w:rPr>
        <w:t xml:space="preserve">cholesterol </w:t>
      </w:r>
      <w:r w:rsidR="0076247E" w:rsidRPr="0021180D">
        <w:rPr>
          <w:rFonts w:asciiTheme="minorHAnsi" w:eastAsia="Times New Roman" w:hAnsiTheme="minorHAnsi" w:cs="Arial"/>
          <w:color w:val="222222"/>
          <w:szCs w:val="24"/>
          <w:lang w:eastAsia="en-AU"/>
        </w:rPr>
        <w:t>concentrations</w:t>
      </w:r>
      <w:r w:rsidR="0076247E" w:rsidRPr="00231577">
        <w:rPr>
          <w:rFonts w:asciiTheme="minorHAnsi" w:hAnsiTheme="minorHAnsi"/>
          <w:szCs w:val="24"/>
        </w:rPr>
        <w:t xml:space="preserve"> </w:t>
      </w:r>
      <w:r w:rsidRPr="00231577">
        <w:rPr>
          <w:rFonts w:asciiTheme="minorHAnsi" w:hAnsiTheme="minorHAnsi"/>
          <w:szCs w:val="24"/>
        </w:rPr>
        <w:t xml:space="preserve">that contribute to </w:t>
      </w:r>
      <w:r>
        <w:rPr>
          <w:rFonts w:asciiTheme="minorHAnsi" w:hAnsiTheme="minorHAnsi"/>
          <w:szCs w:val="24"/>
        </w:rPr>
        <w:t xml:space="preserve">a </w:t>
      </w:r>
      <w:r w:rsidRPr="00231577">
        <w:rPr>
          <w:rFonts w:asciiTheme="minorHAnsi" w:hAnsiTheme="minorHAnsi"/>
          <w:szCs w:val="24"/>
        </w:rPr>
        <w:t xml:space="preserve">greater risk of coronary and vascular disease and premature death. High cholesterol is one major risk factor for coronary heart disease, stroke and peripheral vascular disease. </w:t>
      </w:r>
      <w:r w:rsidRPr="00231577">
        <w:rPr>
          <w:rFonts w:asciiTheme="minorHAnsi" w:eastAsia="Times New Roman" w:hAnsiTheme="minorHAnsi" w:cs="Arial"/>
          <w:color w:val="222222"/>
          <w:szCs w:val="24"/>
          <w:lang w:eastAsia="en-AU"/>
        </w:rPr>
        <w:t xml:space="preserve">Ezetimibe is a medicine used to lower high cholesterol with the goal of reducing the </w:t>
      </w:r>
      <w:r>
        <w:rPr>
          <w:rFonts w:asciiTheme="minorHAnsi" w:eastAsia="Times New Roman" w:hAnsiTheme="minorHAnsi" w:cs="Arial"/>
          <w:color w:val="222222"/>
          <w:szCs w:val="24"/>
          <w:lang w:eastAsia="en-AU"/>
        </w:rPr>
        <w:t>occurrence</w:t>
      </w:r>
      <w:r w:rsidRPr="00231577">
        <w:rPr>
          <w:rFonts w:asciiTheme="minorHAnsi" w:eastAsia="Times New Roman" w:hAnsiTheme="minorHAnsi" w:cs="Arial"/>
          <w:color w:val="222222"/>
          <w:szCs w:val="24"/>
          <w:lang w:eastAsia="en-AU"/>
        </w:rPr>
        <w:t xml:space="preserve"> of cardiovascular events such as heart attacks and stroke.  Ezetimibe is listed on the Pharmaceutical Benefits Scheme (PBS) for the treatment of high cholesterol in certain patient populations. </w:t>
      </w:r>
    </w:p>
    <w:p w:rsidR="0000686B" w:rsidRPr="00231577" w:rsidRDefault="0000686B">
      <w:pPr>
        <w:spacing w:line="240" w:lineRule="auto"/>
        <w:rPr>
          <w:rFonts w:asciiTheme="minorHAnsi" w:eastAsia="Times New Roman" w:hAnsiTheme="minorHAnsi" w:cs="Arial"/>
          <w:color w:val="222222"/>
          <w:szCs w:val="24"/>
          <w:lang w:eastAsia="en-AU"/>
        </w:rPr>
      </w:pPr>
      <w:r w:rsidRPr="00231577">
        <w:rPr>
          <w:rFonts w:asciiTheme="minorHAnsi" w:eastAsia="Times New Roman" w:hAnsiTheme="minorHAnsi" w:cs="Arial"/>
          <w:color w:val="222222"/>
          <w:szCs w:val="24"/>
          <w:lang w:eastAsia="en-AU"/>
        </w:rPr>
        <w:t xml:space="preserve">The Post-market Review of Ezetimibe has been conducted as part of the Australian Government’s post-market monitoring program. The program aims to ensure the continued safe, cost-effective and quality use of medicines listed on the PBS. The purpose of this Review was to consider the </w:t>
      </w:r>
      <w:r w:rsidRPr="00D600E9">
        <w:rPr>
          <w:rFonts w:asciiTheme="minorHAnsi" w:eastAsia="Times New Roman" w:hAnsiTheme="minorHAnsi" w:cs="Arial"/>
          <w:color w:val="222222"/>
          <w:szCs w:val="24"/>
          <w:lang w:eastAsia="en-AU"/>
        </w:rPr>
        <w:t>comparative clinical effectiveness, ‘value for money’ an</w:t>
      </w:r>
      <w:r w:rsidR="005879E3" w:rsidRPr="00D600E9">
        <w:rPr>
          <w:rFonts w:asciiTheme="minorHAnsi" w:eastAsia="Times New Roman" w:hAnsiTheme="minorHAnsi" w:cs="Arial"/>
          <w:color w:val="222222"/>
          <w:szCs w:val="24"/>
          <w:lang w:eastAsia="en-AU"/>
        </w:rPr>
        <w:t>d</w:t>
      </w:r>
      <w:r w:rsidRPr="00D600E9">
        <w:rPr>
          <w:rFonts w:asciiTheme="minorHAnsi" w:eastAsia="Times New Roman" w:hAnsiTheme="minorHAnsi" w:cs="Arial"/>
          <w:color w:val="222222"/>
          <w:szCs w:val="24"/>
          <w:lang w:eastAsia="en-AU"/>
        </w:rPr>
        <w:t xml:space="preserve"> financial cost of PBS listed ezetimibe, in the context of the latest available evidence and best clinical practice.</w:t>
      </w:r>
    </w:p>
    <w:p w:rsidR="0000686B" w:rsidRPr="00231577" w:rsidRDefault="0000686B">
      <w:pPr>
        <w:spacing w:line="240" w:lineRule="auto"/>
        <w:rPr>
          <w:rFonts w:asciiTheme="minorHAnsi" w:eastAsia="Times New Roman" w:hAnsiTheme="minorHAnsi" w:cs="Arial"/>
          <w:color w:val="222222"/>
          <w:szCs w:val="24"/>
          <w:lang w:eastAsia="en-AU"/>
        </w:rPr>
      </w:pPr>
      <w:r w:rsidRPr="00231577">
        <w:rPr>
          <w:rFonts w:asciiTheme="minorHAnsi" w:eastAsia="Times New Roman" w:hAnsiTheme="minorHAnsi" w:cs="Arial"/>
          <w:color w:val="222222"/>
          <w:szCs w:val="24"/>
          <w:lang w:eastAsia="en-AU"/>
        </w:rPr>
        <w:t xml:space="preserve">In 2003, the Pharmaceutical Benefits Advisory Committee (PBAC) first recommended the PBS listing of ezetimibe based on a comparison of data on lipid </w:t>
      </w:r>
      <w:r w:rsidR="004B1768">
        <w:rPr>
          <w:rFonts w:asciiTheme="minorHAnsi" w:eastAsia="Times New Roman" w:hAnsiTheme="minorHAnsi" w:cs="Arial"/>
          <w:color w:val="222222"/>
          <w:szCs w:val="24"/>
          <w:lang w:eastAsia="en-AU"/>
        </w:rPr>
        <w:t>concentrations</w:t>
      </w:r>
      <w:r w:rsidRPr="00231577">
        <w:rPr>
          <w:rFonts w:asciiTheme="minorHAnsi" w:eastAsia="Times New Roman" w:hAnsiTheme="minorHAnsi" w:cs="Arial"/>
          <w:color w:val="222222"/>
          <w:szCs w:val="24"/>
          <w:lang w:eastAsia="en-AU"/>
        </w:rPr>
        <w:t xml:space="preserve"> available at the time. There were no long</w:t>
      </w:r>
      <w:r w:rsidR="00F7627D">
        <w:rPr>
          <w:rFonts w:asciiTheme="minorHAnsi" w:eastAsia="Times New Roman" w:hAnsiTheme="minorHAnsi" w:cs="Arial"/>
          <w:color w:val="222222"/>
          <w:szCs w:val="24"/>
          <w:lang w:eastAsia="en-AU"/>
        </w:rPr>
        <w:t>-</w:t>
      </w:r>
      <w:r w:rsidRPr="00231577">
        <w:rPr>
          <w:rFonts w:asciiTheme="minorHAnsi" w:eastAsia="Times New Roman" w:hAnsiTheme="minorHAnsi" w:cs="Arial"/>
          <w:color w:val="222222"/>
          <w:szCs w:val="24"/>
          <w:lang w:eastAsia="en-AU"/>
        </w:rPr>
        <w:t xml:space="preserve">term studies available to assess whether reduction of lipid </w:t>
      </w:r>
      <w:r w:rsidR="004B1768">
        <w:rPr>
          <w:rFonts w:asciiTheme="minorHAnsi" w:eastAsia="Times New Roman" w:hAnsiTheme="minorHAnsi" w:cs="Arial"/>
          <w:color w:val="222222"/>
          <w:szCs w:val="24"/>
          <w:lang w:eastAsia="en-AU"/>
        </w:rPr>
        <w:t>concentrations</w:t>
      </w:r>
      <w:r w:rsidRPr="00231577">
        <w:rPr>
          <w:rFonts w:asciiTheme="minorHAnsi" w:eastAsia="Times New Roman" w:hAnsiTheme="minorHAnsi" w:cs="Arial"/>
          <w:color w:val="222222"/>
          <w:szCs w:val="24"/>
          <w:lang w:eastAsia="en-AU"/>
        </w:rPr>
        <w:t xml:space="preserve"> with ezetimibe resulted in fewer cardiovascular events. In contrast, for the HMG-CoA reductase inhibitors, or statins, there was a great body of evidence to show that </w:t>
      </w:r>
      <w:r w:rsidR="006053FB">
        <w:rPr>
          <w:rFonts w:asciiTheme="minorHAnsi" w:eastAsia="Times New Roman" w:hAnsiTheme="minorHAnsi" w:cs="Arial"/>
          <w:color w:val="222222"/>
          <w:szCs w:val="24"/>
          <w:lang w:eastAsia="en-AU"/>
        </w:rPr>
        <w:t>they</w:t>
      </w:r>
      <w:r w:rsidRPr="00231577">
        <w:rPr>
          <w:rFonts w:asciiTheme="minorHAnsi" w:eastAsia="Times New Roman" w:hAnsiTheme="minorHAnsi" w:cs="Arial"/>
          <w:color w:val="222222"/>
          <w:szCs w:val="24"/>
          <w:lang w:eastAsia="en-AU"/>
        </w:rPr>
        <w:t xml:space="preserve"> reduc</w:t>
      </w:r>
      <w:r w:rsidR="006053FB">
        <w:rPr>
          <w:rFonts w:asciiTheme="minorHAnsi" w:eastAsia="Times New Roman" w:hAnsiTheme="minorHAnsi" w:cs="Arial"/>
          <w:color w:val="222222"/>
          <w:szCs w:val="24"/>
          <w:lang w:eastAsia="en-AU"/>
        </w:rPr>
        <w:t>ed</w:t>
      </w:r>
      <w:r w:rsidRPr="00231577">
        <w:rPr>
          <w:rFonts w:asciiTheme="minorHAnsi" w:eastAsia="Times New Roman" w:hAnsiTheme="minorHAnsi" w:cs="Arial"/>
          <w:color w:val="222222"/>
          <w:szCs w:val="24"/>
          <w:lang w:eastAsia="en-AU"/>
        </w:rPr>
        <w:t xml:space="preserve"> </w:t>
      </w:r>
      <w:r w:rsidR="006053FB">
        <w:rPr>
          <w:rFonts w:asciiTheme="minorHAnsi" w:eastAsia="Times New Roman" w:hAnsiTheme="minorHAnsi" w:cs="Arial"/>
          <w:color w:val="222222"/>
          <w:szCs w:val="24"/>
          <w:lang w:eastAsia="en-AU"/>
        </w:rPr>
        <w:t>l</w:t>
      </w:r>
      <w:r>
        <w:rPr>
          <w:rFonts w:asciiTheme="minorHAnsi" w:eastAsia="Times New Roman" w:hAnsiTheme="minorHAnsi" w:cs="Arial"/>
          <w:color w:val="222222"/>
          <w:szCs w:val="24"/>
          <w:lang w:eastAsia="en-AU"/>
        </w:rPr>
        <w:t xml:space="preserve">ow </w:t>
      </w:r>
      <w:r w:rsidR="006053FB">
        <w:rPr>
          <w:rFonts w:asciiTheme="minorHAnsi" w:eastAsia="Times New Roman" w:hAnsiTheme="minorHAnsi" w:cs="Arial"/>
          <w:color w:val="222222"/>
          <w:szCs w:val="24"/>
          <w:lang w:eastAsia="en-AU"/>
        </w:rPr>
        <w:t>d</w:t>
      </w:r>
      <w:r>
        <w:rPr>
          <w:rFonts w:asciiTheme="minorHAnsi" w:eastAsia="Times New Roman" w:hAnsiTheme="minorHAnsi" w:cs="Arial"/>
          <w:color w:val="222222"/>
          <w:szCs w:val="24"/>
          <w:lang w:eastAsia="en-AU"/>
        </w:rPr>
        <w:t xml:space="preserve">ensity </w:t>
      </w:r>
      <w:r w:rsidR="006053FB">
        <w:rPr>
          <w:rFonts w:asciiTheme="minorHAnsi" w:eastAsia="Times New Roman" w:hAnsiTheme="minorHAnsi" w:cs="Arial"/>
          <w:color w:val="222222"/>
          <w:szCs w:val="24"/>
          <w:lang w:eastAsia="en-AU"/>
        </w:rPr>
        <w:t>l</w:t>
      </w:r>
      <w:r>
        <w:rPr>
          <w:rFonts w:asciiTheme="minorHAnsi" w:eastAsia="Times New Roman" w:hAnsiTheme="minorHAnsi" w:cs="Arial"/>
          <w:color w:val="222222"/>
          <w:szCs w:val="24"/>
          <w:lang w:eastAsia="en-AU"/>
        </w:rPr>
        <w:t xml:space="preserve">ipoprotein </w:t>
      </w:r>
      <w:r w:rsidR="006053FB">
        <w:rPr>
          <w:rFonts w:asciiTheme="minorHAnsi" w:eastAsia="Times New Roman" w:hAnsiTheme="minorHAnsi" w:cs="Arial"/>
          <w:color w:val="222222"/>
          <w:szCs w:val="24"/>
          <w:lang w:eastAsia="en-AU"/>
        </w:rPr>
        <w:t>c</w:t>
      </w:r>
      <w:r>
        <w:rPr>
          <w:rFonts w:asciiTheme="minorHAnsi" w:eastAsia="Times New Roman" w:hAnsiTheme="minorHAnsi" w:cs="Arial"/>
          <w:color w:val="222222"/>
          <w:szCs w:val="24"/>
          <w:lang w:eastAsia="en-AU"/>
        </w:rPr>
        <w:t>holesterol (</w:t>
      </w:r>
      <w:r w:rsidRPr="00231577">
        <w:rPr>
          <w:rFonts w:asciiTheme="minorHAnsi" w:eastAsia="Times New Roman" w:hAnsiTheme="minorHAnsi" w:cs="Arial"/>
          <w:color w:val="222222"/>
          <w:szCs w:val="24"/>
          <w:lang w:eastAsia="en-AU"/>
        </w:rPr>
        <w:t>LDL-C</w:t>
      </w:r>
      <w:r>
        <w:rPr>
          <w:rFonts w:asciiTheme="minorHAnsi" w:eastAsia="Times New Roman" w:hAnsiTheme="minorHAnsi" w:cs="Arial"/>
          <w:color w:val="222222"/>
          <w:szCs w:val="24"/>
          <w:lang w:eastAsia="en-AU"/>
        </w:rPr>
        <w:t>)</w:t>
      </w:r>
      <w:r w:rsidR="006053FB">
        <w:rPr>
          <w:rFonts w:asciiTheme="minorHAnsi" w:eastAsia="Times New Roman" w:hAnsiTheme="minorHAnsi" w:cs="Arial"/>
          <w:color w:val="222222"/>
          <w:szCs w:val="24"/>
          <w:lang w:eastAsia="en-AU"/>
        </w:rPr>
        <w:t xml:space="preserve"> serum</w:t>
      </w:r>
      <w:r w:rsidRPr="00231577">
        <w:rPr>
          <w:rFonts w:asciiTheme="minorHAnsi" w:eastAsia="Times New Roman" w:hAnsiTheme="minorHAnsi" w:cs="Arial"/>
          <w:color w:val="222222"/>
          <w:szCs w:val="24"/>
          <w:lang w:eastAsia="en-AU"/>
        </w:rPr>
        <w:t xml:space="preserve"> concentrations</w:t>
      </w:r>
      <w:r w:rsidR="006053FB">
        <w:rPr>
          <w:rFonts w:asciiTheme="minorHAnsi" w:eastAsia="Times New Roman" w:hAnsiTheme="minorHAnsi" w:cs="Arial"/>
          <w:color w:val="222222"/>
          <w:szCs w:val="24"/>
          <w:lang w:eastAsia="en-AU"/>
        </w:rPr>
        <w:t xml:space="preserve"> which</w:t>
      </w:r>
      <w:r w:rsidRPr="001F1001">
        <w:rPr>
          <w:rFonts w:asciiTheme="minorHAnsi" w:eastAsia="Times New Roman" w:hAnsiTheme="minorHAnsi" w:cs="Arial"/>
          <w:color w:val="222222"/>
          <w:szCs w:val="24"/>
          <w:lang w:eastAsia="en-AU"/>
        </w:rPr>
        <w:t xml:space="preserve"> translated to a lower risk of cardiovascular events </w:t>
      </w:r>
      <w:r w:rsidR="006053FB">
        <w:rPr>
          <w:rFonts w:asciiTheme="minorHAnsi" w:eastAsia="Times New Roman" w:hAnsiTheme="minorHAnsi" w:cs="Arial"/>
          <w:color w:val="222222"/>
          <w:szCs w:val="24"/>
          <w:lang w:eastAsia="en-AU"/>
        </w:rPr>
        <w:t>and</w:t>
      </w:r>
      <w:r w:rsidRPr="001F1001">
        <w:rPr>
          <w:rFonts w:asciiTheme="minorHAnsi" w:eastAsia="Times New Roman" w:hAnsiTheme="minorHAnsi" w:cs="Arial"/>
          <w:color w:val="222222"/>
          <w:szCs w:val="24"/>
          <w:lang w:eastAsia="en-AU"/>
        </w:rPr>
        <w:t xml:space="preserve"> mortality.</w:t>
      </w:r>
    </w:p>
    <w:p w:rsidR="0000686B" w:rsidRPr="00231577" w:rsidRDefault="0000686B">
      <w:pPr>
        <w:spacing w:line="240" w:lineRule="auto"/>
        <w:rPr>
          <w:rFonts w:asciiTheme="minorHAnsi" w:eastAsia="Times New Roman" w:hAnsiTheme="minorHAnsi" w:cs="Arial"/>
          <w:color w:val="222222"/>
          <w:szCs w:val="24"/>
          <w:lang w:eastAsia="en-AU"/>
        </w:rPr>
      </w:pPr>
      <w:r w:rsidRPr="00231577">
        <w:rPr>
          <w:rFonts w:asciiTheme="minorHAnsi" w:eastAsia="Times New Roman" w:hAnsiTheme="minorHAnsi" w:cs="Arial"/>
          <w:color w:val="222222"/>
          <w:szCs w:val="24"/>
          <w:lang w:eastAsia="en-AU"/>
        </w:rPr>
        <w:t>By November 2013, there were a number of ezetimibe with statin combination products listed on the PBS. The PBAC expressed concern that the listing of</w:t>
      </w:r>
      <w:r w:rsidR="00DC6A3B">
        <w:rPr>
          <w:rFonts w:asciiTheme="minorHAnsi" w:eastAsia="Times New Roman" w:hAnsiTheme="minorHAnsi" w:cs="Arial"/>
          <w:color w:val="222222"/>
          <w:szCs w:val="24"/>
          <w:lang w:eastAsia="en-AU"/>
        </w:rPr>
        <w:t xml:space="preserve"> combination</w:t>
      </w:r>
      <w:r w:rsidRPr="00231577">
        <w:rPr>
          <w:rFonts w:asciiTheme="minorHAnsi" w:eastAsia="Times New Roman" w:hAnsiTheme="minorHAnsi" w:cs="Arial"/>
          <w:color w:val="222222"/>
          <w:szCs w:val="24"/>
          <w:lang w:eastAsia="en-AU"/>
        </w:rPr>
        <w:t xml:space="preserve"> ezetimibe </w:t>
      </w:r>
      <w:r w:rsidR="00DC6A3B">
        <w:rPr>
          <w:rFonts w:asciiTheme="minorHAnsi" w:eastAsia="Times New Roman" w:hAnsiTheme="minorHAnsi" w:cs="Arial"/>
          <w:color w:val="222222"/>
          <w:szCs w:val="24"/>
          <w:lang w:eastAsia="en-AU"/>
        </w:rPr>
        <w:t>and</w:t>
      </w:r>
      <w:r w:rsidRPr="00231577">
        <w:rPr>
          <w:rFonts w:asciiTheme="minorHAnsi" w:eastAsia="Times New Roman" w:hAnsiTheme="minorHAnsi" w:cs="Arial"/>
          <w:color w:val="222222"/>
          <w:szCs w:val="24"/>
          <w:lang w:eastAsia="en-AU"/>
        </w:rPr>
        <w:t xml:space="preserve"> statin products (co-packs and fixed dose combinations) on the PBS may direct use away from optimal dos</w:t>
      </w:r>
      <w:r w:rsidR="00DC6A3B">
        <w:rPr>
          <w:rFonts w:asciiTheme="minorHAnsi" w:eastAsia="Times New Roman" w:hAnsiTheme="minorHAnsi" w:cs="Arial"/>
          <w:color w:val="222222"/>
          <w:szCs w:val="24"/>
          <w:lang w:eastAsia="en-AU"/>
        </w:rPr>
        <w:t>e</w:t>
      </w:r>
      <w:r w:rsidRPr="00231577">
        <w:rPr>
          <w:rFonts w:asciiTheme="minorHAnsi" w:eastAsia="Times New Roman" w:hAnsiTheme="minorHAnsi" w:cs="Arial"/>
          <w:color w:val="222222"/>
          <w:szCs w:val="24"/>
          <w:lang w:eastAsia="en-AU"/>
        </w:rPr>
        <w:t xml:space="preserve"> titration of statins. The PBAC also noted </w:t>
      </w:r>
      <w:r w:rsidR="00DC6A3B">
        <w:rPr>
          <w:rFonts w:asciiTheme="minorHAnsi" w:eastAsia="Times New Roman" w:hAnsiTheme="minorHAnsi" w:cs="Arial"/>
          <w:color w:val="222222"/>
          <w:szCs w:val="24"/>
          <w:lang w:eastAsia="en-AU"/>
        </w:rPr>
        <w:t xml:space="preserve">at the time </w:t>
      </w:r>
      <w:r w:rsidR="0055761C">
        <w:rPr>
          <w:rFonts w:asciiTheme="minorHAnsi" w:eastAsia="Times New Roman" w:hAnsiTheme="minorHAnsi" w:cs="Arial"/>
          <w:color w:val="222222"/>
          <w:szCs w:val="24"/>
          <w:lang w:eastAsia="en-AU"/>
        </w:rPr>
        <w:t xml:space="preserve">that </w:t>
      </w:r>
      <w:r w:rsidRPr="00231577">
        <w:rPr>
          <w:rFonts w:asciiTheme="minorHAnsi" w:eastAsia="Times New Roman" w:hAnsiTheme="minorHAnsi" w:cs="Arial"/>
          <w:color w:val="222222"/>
          <w:szCs w:val="24"/>
          <w:lang w:eastAsia="en-AU"/>
        </w:rPr>
        <w:t xml:space="preserve">there </w:t>
      </w:r>
      <w:r w:rsidR="00DC6A3B">
        <w:rPr>
          <w:rFonts w:asciiTheme="minorHAnsi" w:eastAsia="Times New Roman" w:hAnsiTheme="minorHAnsi" w:cs="Arial"/>
          <w:color w:val="222222"/>
          <w:szCs w:val="24"/>
          <w:lang w:eastAsia="en-AU"/>
        </w:rPr>
        <w:t>were</w:t>
      </w:r>
      <w:r w:rsidRPr="00231577">
        <w:rPr>
          <w:rFonts w:asciiTheme="minorHAnsi" w:eastAsia="Times New Roman" w:hAnsiTheme="minorHAnsi" w:cs="Arial"/>
          <w:color w:val="222222"/>
          <w:szCs w:val="24"/>
          <w:lang w:eastAsia="en-AU"/>
        </w:rPr>
        <w:t xml:space="preserve"> no</w:t>
      </w:r>
      <w:r w:rsidR="00DC6A3B">
        <w:rPr>
          <w:rFonts w:asciiTheme="minorHAnsi" w:eastAsia="Times New Roman" w:hAnsiTheme="minorHAnsi" w:cs="Arial"/>
          <w:color w:val="222222"/>
          <w:szCs w:val="24"/>
          <w:lang w:eastAsia="en-AU"/>
        </w:rPr>
        <w:t xml:space="preserve"> studies reporting</w:t>
      </w:r>
      <w:r w:rsidRPr="00231577">
        <w:rPr>
          <w:rFonts w:asciiTheme="minorHAnsi" w:eastAsia="Times New Roman" w:hAnsiTheme="minorHAnsi" w:cs="Arial"/>
          <w:color w:val="222222"/>
          <w:szCs w:val="24"/>
          <w:lang w:eastAsia="en-AU"/>
        </w:rPr>
        <w:t xml:space="preserve"> long</w:t>
      </w:r>
      <w:r w:rsidR="00F7627D">
        <w:rPr>
          <w:rFonts w:asciiTheme="minorHAnsi" w:eastAsia="Times New Roman" w:hAnsiTheme="minorHAnsi" w:cs="Arial"/>
          <w:color w:val="222222"/>
          <w:szCs w:val="24"/>
          <w:lang w:eastAsia="en-AU"/>
        </w:rPr>
        <w:t>-</w:t>
      </w:r>
      <w:r w:rsidRPr="00231577">
        <w:rPr>
          <w:rFonts w:asciiTheme="minorHAnsi" w:eastAsia="Times New Roman" w:hAnsiTheme="minorHAnsi" w:cs="Arial"/>
          <w:color w:val="222222"/>
          <w:szCs w:val="24"/>
          <w:lang w:eastAsia="en-AU"/>
        </w:rPr>
        <w:t xml:space="preserve">term patient relevant outcome data for ezetimibe, and that PBS expenditure on the medicine was high. The PBAC recommended a Post-market Review of Ezetimibe in August 2015 and the Minister for Health agreed to the Review in September 2015. </w:t>
      </w:r>
    </w:p>
    <w:p w:rsidR="0000686B" w:rsidRDefault="0000686B">
      <w:pPr>
        <w:spacing w:line="240" w:lineRule="auto"/>
        <w:rPr>
          <w:rFonts w:asciiTheme="minorHAnsi" w:eastAsia="Times New Roman" w:hAnsiTheme="minorHAnsi" w:cs="Arial"/>
          <w:color w:val="222222"/>
          <w:szCs w:val="24"/>
          <w:lang w:eastAsia="en-AU"/>
        </w:rPr>
      </w:pPr>
      <w:r w:rsidRPr="00231577">
        <w:rPr>
          <w:rFonts w:asciiTheme="minorHAnsi" w:eastAsia="Times New Roman" w:hAnsiTheme="minorHAnsi" w:cs="Arial"/>
          <w:color w:val="222222"/>
          <w:szCs w:val="24"/>
          <w:lang w:eastAsia="en-AU"/>
        </w:rPr>
        <w:t>The</w:t>
      </w:r>
      <w:r w:rsidR="00A83336">
        <w:rPr>
          <w:rFonts w:asciiTheme="minorHAnsi" w:eastAsia="Times New Roman" w:hAnsiTheme="minorHAnsi" w:cs="Arial"/>
          <w:color w:val="222222"/>
          <w:szCs w:val="24"/>
          <w:lang w:eastAsia="en-AU"/>
        </w:rPr>
        <w:t xml:space="preserve"> PMR of e</w:t>
      </w:r>
      <w:r>
        <w:rPr>
          <w:rFonts w:asciiTheme="minorHAnsi" w:eastAsia="Times New Roman" w:hAnsiTheme="minorHAnsi" w:cs="Arial"/>
          <w:color w:val="222222"/>
          <w:szCs w:val="24"/>
          <w:lang w:eastAsia="en-AU"/>
        </w:rPr>
        <w:t xml:space="preserve">zetimibe </w:t>
      </w:r>
      <w:r w:rsidRPr="00231577">
        <w:rPr>
          <w:rFonts w:asciiTheme="minorHAnsi" w:eastAsia="Times New Roman" w:hAnsiTheme="minorHAnsi" w:cs="Arial"/>
          <w:color w:val="222222"/>
          <w:szCs w:val="24"/>
          <w:lang w:eastAsia="en-AU"/>
        </w:rPr>
        <w:t xml:space="preserve">addressed </w:t>
      </w:r>
      <w:r w:rsidR="00DC6A3B">
        <w:rPr>
          <w:rFonts w:asciiTheme="minorHAnsi" w:eastAsia="Times New Roman" w:hAnsiTheme="minorHAnsi" w:cs="Arial"/>
          <w:color w:val="222222"/>
          <w:szCs w:val="24"/>
          <w:lang w:eastAsia="en-AU"/>
        </w:rPr>
        <w:t>the following three terms of reference</w:t>
      </w:r>
      <w:r w:rsidRPr="00231577">
        <w:rPr>
          <w:rFonts w:asciiTheme="minorHAnsi" w:eastAsia="Times New Roman" w:hAnsiTheme="minorHAnsi" w:cs="Arial"/>
          <w:color w:val="222222"/>
          <w:szCs w:val="24"/>
          <w:lang w:eastAsia="en-AU"/>
        </w:rPr>
        <w:t>:</w:t>
      </w:r>
    </w:p>
    <w:p w:rsidR="00DC6A3B" w:rsidRPr="00DC6A3B" w:rsidRDefault="00DC6A3B" w:rsidP="00514129">
      <w:pPr>
        <w:numPr>
          <w:ilvl w:val="0"/>
          <w:numId w:val="34"/>
        </w:numPr>
        <w:shd w:val="clear" w:color="auto" w:fill="FFFFFF"/>
        <w:tabs>
          <w:tab w:val="clear" w:pos="720"/>
          <w:tab w:val="num" w:pos="1080"/>
        </w:tabs>
        <w:spacing w:after="90" w:line="300" w:lineRule="atLeast"/>
        <w:ind w:left="360"/>
        <w:rPr>
          <w:rFonts w:asciiTheme="minorHAnsi" w:eastAsia="Times New Roman" w:hAnsiTheme="minorHAnsi" w:cs="Arial"/>
          <w:color w:val="222222"/>
          <w:szCs w:val="24"/>
          <w:lang w:eastAsia="en-AU"/>
        </w:rPr>
      </w:pPr>
      <w:r w:rsidRPr="00DC6A3B">
        <w:rPr>
          <w:rFonts w:asciiTheme="minorHAnsi" w:eastAsia="Times New Roman" w:hAnsiTheme="minorHAnsi" w:cs="Arial"/>
          <w:color w:val="222222"/>
          <w:szCs w:val="24"/>
          <w:lang w:eastAsia="en-AU"/>
        </w:rPr>
        <w:t xml:space="preserve">Review current utilisation of Pharmaceutical Benefits Scheme (PBS) - listed ezetimibe and </w:t>
      </w:r>
      <w:r w:rsidR="00A83336">
        <w:rPr>
          <w:rFonts w:asciiTheme="minorHAnsi" w:eastAsia="Times New Roman" w:hAnsiTheme="minorHAnsi" w:cs="Arial"/>
          <w:color w:val="222222"/>
          <w:szCs w:val="24"/>
          <w:lang w:eastAsia="en-AU"/>
        </w:rPr>
        <w:t>e</w:t>
      </w:r>
      <w:r w:rsidRPr="00DC6A3B">
        <w:rPr>
          <w:rFonts w:asciiTheme="minorHAnsi" w:eastAsia="Times New Roman" w:hAnsiTheme="minorHAnsi" w:cs="Arial"/>
          <w:color w:val="222222"/>
          <w:szCs w:val="24"/>
          <w:lang w:eastAsia="en-AU"/>
        </w:rPr>
        <w:t>zetimibe combination products.  Any review will consider additional data sources that may inform the current utilisation of ezetimibe.</w:t>
      </w:r>
    </w:p>
    <w:p w:rsidR="00DC6A3B" w:rsidRPr="00DC6A3B" w:rsidRDefault="00DC6A3B" w:rsidP="00514129">
      <w:pPr>
        <w:numPr>
          <w:ilvl w:val="0"/>
          <w:numId w:val="34"/>
        </w:numPr>
        <w:shd w:val="clear" w:color="auto" w:fill="FFFFFF"/>
        <w:spacing w:after="90" w:line="300" w:lineRule="atLeast"/>
        <w:ind w:left="360"/>
        <w:rPr>
          <w:rFonts w:asciiTheme="minorHAnsi" w:eastAsia="Times New Roman" w:hAnsiTheme="minorHAnsi" w:cs="Arial"/>
          <w:color w:val="222222"/>
          <w:szCs w:val="24"/>
          <w:lang w:eastAsia="en-AU"/>
        </w:rPr>
      </w:pPr>
      <w:r w:rsidRPr="00DC6A3B">
        <w:rPr>
          <w:rFonts w:asciiTheme="minorHAnsi" w:eastAsia="Times New Roman" w:hAnsiTheme="minorHAnsi" w:cs="Arial"/>
          <w:color w:val="222222"/>
          <w:szCs w:val="24"/>
          <w:lang w:eastAsia="en-AU"/>
        </w:rPr>
        <w:lastRenderedPageBreak/>
        <w:t>Review recent clinical guidelines for the treatment of hypercholesterolaemia and compare this to how ezetimibe is currently used on the PBS.</w:t>
      </w:r>
    </w:p>
    <w:p w:rsidR="00DC6A3B" w:rsidRPr="00DC6A3B" w:rsidRDefault="00DC6A3B" w:rsidP="00514129">
      <w:pPr>
        <w:numPr>
          <w:ilvl w:val="0"/>
          <w:numId w:val="34"/>
        </w:numPr>
        <w:shd w:val="clear" w:color="auto" w:fill="FFFFFF"/>
        <w:spacing w:after="90" w:line="300" w:lineRule="atLeast"/>
        <w:ind w:left="360"/>
        <w:rPr>
          <w:rFonts w:asciiTheme="minorHAnsi" w:eastAsia="Times New Roman" w:hAnsiTheme="minorHAnsi" w:cs="Arial"/>
          <w:color w:val="222222"/>
          <w:szCs w:val="24"/>
          <w:lang w:eastAsia="en-AU"/>
        </w:rPr>
      </w:pPr>
      <w:r w:rsidRPr="00DC6A3B">
        <w:rPr>
          <w:rFonts w:asciiTheme="minorHAnsi" w:eastAsia="Times New Roman" w:hAnsiTheme="minorHAnsi" w:cs="Arial"/>
          <w:color w:val="222222"/>
          <w:szCs w:val="24"/>
          <w:lang w:eastAsia="en-AU"/>
        </w:rPr>
        <w:t>Collate and evaluate any recent clinical studies of ezetimibe that report on long</w:t>
      </w:r>
      <w:r w:rsidR="00F7627D">
        <w:rPr>
          <w:rFonts w:asciiTheme="minorHAnsi" w:eastAsia="Times New Roman" w:hAnsiTheme="minorHAnsi" w:cs="Arial"/>
          <w:color w:val="222222"/>
          <w:szCs w:val="24"/>
          <w:lang w:eastAsia="en-AU"/>
        </w:rPr>
        <w:t>-</w:t>
      </w:r>
      <w:r w:rsidRPr="00DC6A3B">
        <w:rPr>
          <w:rFonts w:asciiTheme="minorHAnsi" w:eastAsia="Times New Roman" w:hAnsiTheme="minorHAnsi" w:cs="Arial"/>
          <w:color w:val="222222"/>
          <w:szCs w:val="24"/>
          <w:lang w:eastAsia="en-AU"/>
        </w:rPr>
        <w:t>term patient relevant outcomes, and use this data to review the cost-effectiveness of ezetimibe.</w:t>
      </w:r>
    </w:p>
    <w:p w:rsidR="0000686B" w:rsidRDefault="0000686B" w:rsidP="00514129">
      <w:pPr>
        <w:pStyle w:val="ListParagraph"/>
        <w:spacing w:line="240" w:lineRule="auto"/>
        <w:ind w:left="360"/>
        <w:contextualSpacing w:val="0"/>
        <w:rPr>
          <w:rFonts w:asciiTheme="minorHAnsi" w:eastAsia="Times New Roman" w:hAnsiTheme="minorHAnsi" w:cs="Arial"/>
          <w:color w:val="222222"/>
          <w:szCs w:val="24"/>
          <w:lang w:eastAsia="en-AU"/>
        </w:rPr>
      </w:pPr>
      <w:r w:rsidRPr="00231577">
        <w:rPr>
          <w:rFonts w:asciiTheme="minorHAnsi" w:eastAsia="Times New Roman" w:hAnsiTheme="minorHAnsi" w:cs="Arial"/>
          <w:color w:val="222222"/>
          <w:szCs w:val="24"/>
          <w:lang w:eastAsia="en-AU"/>
        </w:rPr>
        <w:t xml:space="preserve">An independent </w:t>
      </w:r>
      <w:r>
        <w:rPr>
          <w:rFonts w:asciiTheme="minorHAnsi" w:eastAsia="Times New Roman" w:hAnsiTheme="minorHAnsi" w:cs="Arial"/>
          <w:color w:val="222222"/>
          <w:szCs w:val="24"/>
          <w:lang w:eastAsia="en-AU"/>
        </w:rPr>
        <w:t xml:space="preserve">expert </w:t>
      </w:r>
      <w:r w:rsidRPr="00231577">
        <w:rPr>
          <w:rFonts w:asciiTheme="minorHAnsi" w:eastAsia="Times New Roman" w:hAnsiTheme="minorHAnsi" w:cs="Arial"/>
          <w:color w:val="222222"/>
          <w:szCs w:val="24"/>
          <w:lang w:eastAsia="en-AU"/>
        </w:rPr>
        <w:t xml:space="preserve">Reference Group guided and provided advice </w:t>
      </w:r>
      <w:r>
        <w:rPr>
          <w:rFonts w:asciiTheme="minorHAnsi" w:eastAsia="Times New Roman" w:hAnsiTheme="minorHAnsi" w:cs="Arial"/>
          <w:color w:val="222222"/>
          <w:szCs w:val="24"/>
          <w:lang w:eastAsia="en-AU"/>
        </w:rPr>
        <w:t xml:space="preserve">to </w:t>
      </w:r>
      <w:r w:rsidRPr="00231577">
        <w:rPr>
          <w:rFonts w:asciiTheme="minorHAnsi" w:eastAsia="Times New Roman" w:hAnsiTheme="minorHAnsi" w:cs="Arial"/>
          <w:color w:val="222222"/>
          <w:szCs w:val="24"/>
          <w:lang w:eastAsia="en-AU"/>
        </w:rPr>
        <w:t>the Review</w:t>
      </w:r>
      <w:r w:rsidR="00DC6A3B">
        <w:rPr>
          <w:rFonts w:asciiTheme="minorHAnsi" w:eastAsia="Times New Roman" w:hAnsiTheme="minorHAnsi" w:cs="Arial"/>
          <w:color w:val="222222"/>
          <w:szCs w:val="24"/>
          <w:lang w:eastAsia="en-AU"/>
        </w:rPr>
        <w:t>. T</w:t>
      </w:r>
      <w:r w:rsidRPr="00231577">
        <w:rPr>
          <w:rFonts w:asciiTheme="minorHAnsi" w:eastAsia="Times New Roman" w:hAnsiTheme="minorHAnsi" w:cs="Arial"/>
          <w:color w:val="222222"/>
          <w:szCs w:val="24"/>
          <w:lang w:eastAsia="en-AU"/>
        </w:rPr>
        <w:t>here were a number of opportunities for stakeholder consultation</w:t>
      </w:r>
      <w:r w:rsidR="00DC6A3B">
        <w:rPr>
          <w:rFonts w:asciiTheme="minorHAnsi" w:eastAsia="Times New Roman" w:hAnsiTheme="minorHAnsi" w:cs="Arial"/>
          <w:color w:val="222222"/>
          <w:szCs w:val="24"/>
          <w:lang w:eastAsia="en-AU"/>
        </w:rPr>
        <w:t xml:space="preserve"> and input</w:t>
      </w:r>
      <w:r w:rsidRPr="00231577">
        <w:rPr>
          <w:rFonts w:asciiTheme="minorHAnsi" w:eastAsia="Times New Roman" w:hAnsiTheme="minorHAnsi" w:cs="Arial"/>
          <w:color w:val="222222"/>
          <w:szCs w:val="24"/>
          <w:lang w:eastAsia="en-AU"/>
        </w:rPr>
        <w:t xml:space="preserve"> throughout the review period.</w:t>
      </w:r>
    </w:p>
    <w:p w:rsidR="00B90C8C" w:rsidRDefault="00B90C8C" w:rsidP="00514129">
      <w:pPr>
        <w:pStyle w:val="ListParagraph"/>
        <w:spacing w:line="240" w:lineRule="auto"/>
        <w:ind w:left="0"/>
        <w:contextualSpacing w:val="0"/>
        <w:rPr>
          <w:rFonts w:asciiTheme="minorHAnsi" w:eastAsia="Times New Roman" w:hAnsiTheme="minorHAnsi" w:cs="Arial"/>
          <w:color w:val="222222"/>
          <w:szCs w:val="24"/>
          <w:lang w:eastAsia="en-AU"/>
        </w:rPr>
      </w:pPr>
      <w:r w:rsidRPr="001F4238">
        <w:rPr>
          <w:rFonts w:asciiTheme="minorHAnsi" w:eastAsiaTheme="minorEastAsia" w:hAnsiTheme="minorHAnsi"/>
          <w:b/>
          <w:i/>
          <w:sz w:val="28"/>
          <w:szCs w:val="28"/>
          <w:lang w:eastAsia="en-AU"/>
        </w:rPr>
        <w:t>Term of Reference 1: Review current utilisation of Pharmaceutical Benefits Scheme (PBS) - listed ezetimibe and ezetimibe combination products. Any review will consider additional data sources that may inform the current utilisation of ezetimibe.</w:t>
      </w:r>
    </w:p>
    <w:p w:rsidR="00177CC3" w:rsidRDefault="00D52431">
      <w:pPr>
        <w:spacing w:line="240" w:lineRule="auto"/>
        <w:rPr>
          <w:rFonts w:asciiTheme="minorHAnsi" w:eastAsia="Calibri" w:hAnsiTheme="minorHAnsi"/>
          <w:szCs w:val="24"/>
        </w:rPr>
      </w:pPr>
      <w:r>
        <w:rPr>
          <w:rFonts w:asciiTheme="minorHAnsi" w:eastAsia="Calibri" w:hAnsiTheme="minorHAnsi"/>
          <w:szCs w:val="24"/>
        </w:rPr>
        <w:t>A</w:t>
      </w:r>
      <w:r w:rsidR="004A5D64">
        <w:rPr>
          <w:rFonts w:asciiTheme="minorHAnsi" w:eastAsia="Calibri" w:hAnsiTheme="minorHAnsi"/>
          <w:szCs w:val="24"/>
        </w:rPr>
        <w:t>n</w:t>
      </w:r>
      <w:r w:rsidR="00177CC3">
        <w:rPr>
          <w:rFonts w:asciiTheme="minorHAnsi" w:eastAsia="Calibri" w:hAnsiTheme="minorHAnsi"/>
          <w:szCs w:val="24"/>
        </w:rPr>
        <w:t xml:space="preserve"> utilisation analysis of unit record level PBS data (including under co-payment prescriptions) was </w:t>
      </w:r>
      <w:r w:rsidR="00821A23">
        <w:rPr>
          <w:rFonts w:asciiTheme="minorHAnsi" w:eastAsia="Calibri" w:hAnsiTheme="minorHAnsi"/>
          <w:szCs w:val="24"/>
        </w:rPr>
        <w:t>undertaken to</w:t>
      </w:r>
      <w:r w:rsidR="00177CC3">
        <w:rPr>
          <w:rFonts w:asciiTheme="minorHAnsi" w:eastAsia="Calibri" w:hAnsiTheme="minorHAnsi"/>
          <w:szCs w:val="24"/>
        </w:rPr>
        <w:t xml:space="preserve"> answer the following research question in 2016 (</w:t>
      </w:r>
      <w:r w:rsidR="00A24486" w:rsidRPr="0021180D">
        <w:rPr>
          <w:rFonts w:asciiTheme="minorHAnsi" w:eastAsia="Calibri" w:hAnsiTheme="minorHAnsi"/>
          <w:szCs w:val="24"/>
        </w:rPr>
        <w:t xml:space="preserve">December 2016 </w:t>
      </w:r>
      <w:r w:rsidR="00177CC3" w:rsidRPr="0021180D">
        <w:rPr>
          <w:rFonts w:asciiTheme="minorHAnsi" w:eastAsia="Calibri" w:hAnsiTheme="minorHAnsi"/>
          <w:szCs w:val="24"/>
        </w:rPr>
        <w:t xml:space="preserve">Analysis – </w:t>
      </w:r>
      <w:r w:rsidR="00177CC3" w:rsidRPr="0021180D">
        <w:rPr>
          <w:rFonts w:asciiTheme="minorHAnsi" w:eastAsia="Calibri" w:hAnsiTheme="minorHAnsi"/>
          <w:b/>
          <w:szCs w:val="24"/>
        </w:rPr>
        <w:t xml:space="preserve">Appendix </w:t>
      </w:r>
      <w:r w:rsidR="00FF424F" w:rsidRPr="0021180D">
        <w:rPr>
          <w:rFonts w:asciiTheme="minorHAnsi" w:eastAsia="Calibri" w:hAnsiTheme="minorHAnsi"/>
          <w:b/>
          <w:szCs w:val="24"/>
        </w:rPr>
        <w:t>E</w:t>
      </w:r>
      <w:r w:rsidR="00177CC3" w:rsidRPr="0021180D">
        <w:rPr>
          <w:rFonts w:asciiTheme="minorHAnsi" w:eastAsia="Calibri" w:hAnsiTheme="minorHAnsi"/>
          <w:szCs w:val="24"/>
        </w:rPr>
        <w:t>):</w:t>
      </w:r>
    </w:p>
    <w:p w:rsidR="00177CC3" w:rsidRDefault="00177CC3">
      <w:pPr>
        <w:rPr>
          <w:rFonts w:ascii="Calibri" w:eastAsia="Calibri" w:hAnsi="Calibri" w:cs="Times New Roman"/>
        </w:rPr>
      </w:pPr>
      <w:r w:rsidRPr="002D7D23">
        <w:rPr>
          <w:rFonts w:ascii="Calibri" w:eastAsia="Calibri" w:hAnsi="Calibri" w:cs="Times New Roman"/>
        </w:rPr>
        <w:t xml:space="preserve">“Is ezetimibe being prescribed on the PBS in accordance with the </w:t>
      </w:r>
      <w:r>
        <w:rPr>
          <w:rFonts w:ascii="Calibri" w:eastAsia="Calibri" w:hAnsi="Calibri" w:cs="Times New Roman"/>
        </w:rPr>
        <w:t>PBS restrictions</w:t>
      </w:r>
      <w:r w:rsidRPr="002D7D23">
        <w:rPr>
          <w:rFonts w:ascii="Calibri" w:eastAsia="Calibri" w:hAnsi="Calibri" w:cs="Times New Roman"/>
        </w:rPr>
        <w:t xml:space="preserve"> for ezetimibe, which require titration of statins to maximally tolerated doses before initiation of treatment with ezetimibe?”</w:t>
      </w:r>
    </w:p>
    <w:p w:rsidR="0000686B" w:rsidRDefault="0000686B">
      <w:pPr>
        <w:spacing w:line="240" w:lineRule="auto"/>
        <w:rPr>
          <w:rFonts w:asciiTheme="minorHAnsi" w:eastAsia="Calibri" w:hAnsiTheme="minorHAnsi"/>
          <w:szCs w:val="24"/>
        </w:rPr>
      </w:pPr>
      <w:r w:rsidRPr="00231577">
        <w:rPr>
          <w:rFonts w:asciiTheme="minorHAnsi" w:eastAsia="Times New Roman" w:hAnsiTheme="minorHAnsi" w:cs="Arial"/>
          <w:color w:val="222222"/>
          <w:szCs w:val="24"/>
          <w:lang w:eastAsia="en-AU"/>
        </w:rPr>
        <w:t xml:space="preserve">Certain restrictions or conditions may apply to PBS listed medicines to ensure the medicine is subsidised in situations where treatment is </w:t>
      </w:r>
      <w:r w:rsidRPr="00D95FCA">
        <w:rPr>
          <w:rFonts w:asciiTheme="minorHAnsi" w:eastAsia="Times New Roman" w:hAnsiTheme="minorHAnsi" w:cs="Arial"/>
          <w:color w:val="222222"/>
          <w:szCs w:val="24"/>
          <w:lang w:eastAsia="en-AU"/>
        </w:rPr>
        <w:t xml:space="preserve">proven to be clinically </w:t>
      </w:r>
      <w:r w:rsidR="00177CC3">
        <w:rPr>
          <w:rFonts w:asciiTheme="minorHAnsi" w:eastAsia="Times New Roman" w:hAnsiTheme="minorHAnsi" w:cs="Arial"/>
          <w:color w:val="222222"/>
          <w:szCs w:val="24"/>
          <w:lang w:eastAsia="en-AU"/>
        </w:rPr>
        <w:t>effective</w:t>
      </w:r>
      <w:r w:rsidRPr="00D95FCA">
        <w:rPr>
          <w:rFonts w:asciiTheme="minorHAnsi" w:eastAsia="Times New Roman" w:hAnsiTheme="minorHAnsi" w:cs="Arial"/>
          <w:color w:val="222222"/>
          <w:szCs w:val="24"/>
          <w:lang w:eastAsia="en-AU"/>
        </w:rPr>
        <w:t xml:space="preserve"> and cost</w:t>
      </w:r>
      <w:r w:rsidR="00177CC3">
        <w:rPr>
          <w:rFonts w:asciiTheme="minorHAnsi" w:eastAsia="Times New Roman" w:hAnsiTheme="minorHAnsi" w:cs="Arial"/>
          <w:color w:val="222222"/>
          <w:szCs w:val="24"/>
          <w:lang w:eastAsia="en-AU"/>
        </w:rPr>
        <w:t>-</w:t>
      </w:r>
      <w:r w:rsidRPr="00D95FCA">
        <w:rPr>
          <w:rFonts w:asciiTheme="minorHAnsi" w:eastAsia="Times New Roman" w:hAnsiTheme="minorHAnsi" w:cs="Arial"/>
          <w:color w:val="222222"/>
          <w:szCs w:val="24"/>
          <w:lang w:eastAsia="en-AU"/>
        </w:rPr>
        <w:t>effective. For most patients, t</w:t>
      </w:r>
      <w:r w:rsidRPr="00D95FCA">
        <w:rPr>
          <w:rFonts w:asciiTheme="minorHAnsi" w:eastAsia="Calibri" w:hAnsiTheme="minorHAnsi"/>
          <w:szCs w:val="24"/>
        </w:rPr>
        <w:t>he PBS restrictions for</w:t>
      </w:r>
      <w:r w:rsidRPr="00231577">
        <w:rPr>
          <w:rFonts w:asciiTheme="minorHAnsi" w:eastAsia="Calibri" w:hAnsiTheme="minorHAnsi"/>
          <w:szCs w:val="24"/>
        </w:rPr>
        <w:t xml:space="preserve"> ezetimibe require </w:t>
      </w:r>
      <w:r w:rsidRPr="00231577">
        <w:rPr>
          <w:rFonts w:asciiTheme="minorHAnsi" w:eastAsia="Calibri" w:hAnsiTheme="minorHAnsi" w:cs="Times New Roman"/>
          <w:szCs w:val="24"/>
        </w:rPr>
        <w:t>titration of statins</w:t>
      </w:r>
      <w:r w:rsidRPr="00231577">
        <w:rPr>
          <w:rFonts w:asciiTheme="minorHAnsi" w:eastAsia="Calibri" w:hAnsiTheme="minorHAnsi"/>
          <w:szCs w:val="24"/>
        </w:rPr>
        <w:t xml:space="preserve"> </w:t>
      </w:r>
      <w:r w:rsidRPr="00231577">
        <w:rPr>
          <w:rFonts w:asciiTheme="minorHAnsi" w:eastAsia="Calibri" w:hAnsiTheme="minorHAnsi" w:cs="Times New Roman"/>
          <w:szCs w:val="24"/>
        </w:rPr>
        <w:t xml:space="preserve">to maximally tolerated doses </w:t>
      </w:r>
      <w:r w:rsidRPr="00231577">
        <w:rPr>
          <w:rFonts w:asciiTheme="minorHAnsi" w:eastAsia="Calibri" w:hAnsiTheme="minorHAnsi"/>
          <w:szCs w:val="24"/>
        </w:rPr>
        <w:t>before starting treatment with ezetimibe. This is to ensure patients receive the maximum benefit possible from the statin medicine prior to adding</w:t>
      </w:r>
      <w:r w:rsidR="000B19CC">
        <w:rPr>
          <w:rFonts w:asciiTheme="minorHAnsi" w:eastAsia="Calibri" w:hAnsiTheme="minorHAnsi"/>
          <w:szCs w:val="24"/>
        </w:rPr>
        <w:t xml:space="preserve"> or switching to</w:t>
      </w:r>
      <w:r w:rsidRPr="00231577">
        <w:rPr>
          <w:rFonts w:asciiTheme="minorHAnsi" w:eastAsia="Calibri" w:hAnsiTheme="minorHAnsi"/>
          <w:szCs w:val="24"/>
        </w:rPr>
        <w:t xml:space="preserve"> ezetimibe</w:t>
      </w:r>
      <w:r w:rsidR="000B19CC">
        <w:rPr>
          <w:rFonts w:asciiTheme="minorHAnsi" w:eastAsia="Calibri" w:hAnsiTheme="minorHAnsi"/>
          <w:szCs w:val="24"/>
        </w:rPr>
        <w:t xml:space="preserve"> therapy.</w:t>
      </w:r>
      <w:r w:rsidRPr="00231577">
        <w:rPr>
          <w:rFonts w:asciiTheme="minorHAnsi" w:eastAsia="Calibri" w:hAnsiTheme="minorHAnsi"/>
          <w:szCs w:val="24"/>
        </w:rPr>
        <w:t xml:space="preserve"> </w:t>
      </w:r>
    </w:p>
    <w:p w:rsidR="009F448D" w:rsidRDefault="00A24486">
      <w:pPr>
        <w:spacing w:line="240" w:lineRule="auto"/>
        <w:rPr>
          <w:rFonts w:asciiTheme="minorHAnsi" w:eastAsia="Calibri" w:hAnsiTheme="minorHAnsi"/>
          <w:szCs w:val="24"/>
        </w:rPr>
      </w:pPr>
      <w:r>
        <w:rPr>
          <w:rFonts w:asciiTheme="minorHAnsi" w:hAnsiTheme="minorHAnsi"/>
          <w:szCs w:val="24"/>
        </w:rPr>
        <w:t xml:space="preserve">The December 2016 </w:t>
      </w:r>
      <w:r w:rsidR="009F448D" w:rsidRPr="00F45531">
        <w:rPr>
          <w:rFonts w:asciiTheme="minorHAnsi" w:hAnsiTheme="minorHAnsi"/>
          <w:szCs w:val="24"/>
        </w:rPr>
        <w:t>Analysis identified all</w:t>
      </w:r>
      <w:r w:rsidR="009F448D" w:rsidRPr="00F45531">
        <w:rPr>
          <w:rFonts w:asciiTheme="minorHAnsi" w:eastAsia="Calibri" w:hAnsiTheme="minorHAnsi"/>
          <w:szCs w:val="24"/>
        </w:rPr>
        <w:t xml:space="preserve"> patients </w:t>
      </w:r>
      <w:r w:rsidR="009F448D" w:rsidRPr="00F45531">
        <w:rPr>
          <w:rFonts w:asciiTheme="minorHAnsi" w:hAnsiTheme="minorHAnsi"/>
          <w:szCs w:val="24"/>
        </w:rPr>
        <w:t xml:space="preserve">who commenced ezetimibe between April 2014 and March 2015. </w:t>
      </w:r>
      <w:r w:rsidR="00821A23" w:rsidRPr="00F45531">
        <w:rPr>
          <w:rFonts w:asciiTheme="minorHAnsi" w:hAnsiTheme="minorHAnsi"/>
          <w:szCs w:val="24"/>
        </w:rPr>
        <w:t>A total of 45,645 patients initiated ezetimibe during this period, of whom 6</w:t>
      </w:r>
      <w:r w:rsidR="00C05E80">
        <w:rPr>
          <w:rFonts w:asciiTheme="minorHAnsi" w:hAnsiTheme="minorHAnsi"/>
          <w:szCs w:val="24"/>
        </w:rPr>
        <w:t>,</w:t>
      </w:r>
      <w:r w:rsidR="00821A23" w:rsidRPr="00F45531">
        <w:rPr>
          <w:rFonts w:asciiTheme="minorHAnsi" w:hAnsiTheme="minorHAnsi"/>
          <w:szCs w:val="24"/>
        </w:rPr>
        <w:t>938</w:t>
      </w:r>
      <w:r w:rsidR="0082069A">
        <w:rPr>
          <w:rFonts w:asciiTheme="minorHAnsi" w:hAnsiTheme="minorHAnsi"/>
          <w:szCs w:val="24"/>
        </w:rPr>
        <w:t xml:space="preserve"> </w:t>
      </w:r>
      <w:r w:rsidR="0082069A" w:rsidRPr="00F45531">
        <w:rPr>
          <w:rFonts w:asciiTheme="minorHAnsi" w:hAnsiTheme="minorHAnsi"/>
          <w:szCs w:val="24"/>
        </w:rPr>
        <w:t xml:space="preserve">(Cohort 1) </w:t>
      </w:r>
      <w:r w:rsidR="00821A23" w:rsidRPr="00F45531">
        <w:rPr>
          <w:rFonts w:asciiTheme="minorHAnsi" w:hAnsiTheme="minorHAnsi"/>
          <w:szCs w:val="24"/>
        </w:rPr>
        <w:t xml:space="preserve">had no prior </w:t>
      </w:r>
      <w:r w:rsidR="0082069A">
        <w:rPr>
          <w:rFonts w:asciiTheme="minorHAnsi" w:hAnsiTheme="minorHAnsi"/>
          <w:szCs w:val="24"/>
        </w:rPr>
        <w:t>lipid lowering therapy (</w:t>
      </w:r>
      <w:r w:rsidR="00821A23" w:rsidRPr="00F45531">
        <w:rPr>
          <w:rFonts w:asciiTheme="minorHAnsi" w:hAnsiTheme="minorHAnsi"/>
          <w:szCs w:val="24"/>
        </w:rPr>
        <w:t>LLT</w:t>
      </w:r>
      <w:r w:rsidR="0082069A">
        <w:rPr>
          <w:rFonts w:asciiTheme="minorHAnsi" w:hAnsiTheme="minorHAnsi"/>
          <w:szCs w:val="24"/>
        </w:rPr>
        <w:t>)</w:t>
      </w:r>
      <w:r w:rsidR="004A5D64">
        <w:rPr>
          <w:rFonts w:asciiTheme="minorHAnsi" w:hAnsiTheme="minorHAnsi"/>
          <w:szCs w:val="24"/>
        </w:rPr>
        <w:t xml:space="preserve"> within the previous 24 months,</w:t>
      </w:r>
      <w:r w:rsidR="00821A23" w:rsidRPr="00F45531">
        <w:rPr>
          <w:rFonts w:asciiTheme="minorHAnsi" w:hAnsiTheme="minorHAnsi"/>
          <w:szCs w:val="24"/>
        </w:rPr>
        <w:t xml:space="preserve"> and 38,707</w:t>
      </w:r>
      <w:r w:rsidR="0082069A">
        <w:rPr>
          <w:rFonts w:asciiTheme="minorHAnsi" w:hAnsiTheme="minorHAnsi"/>
          <w:szCs w:val="24"/>
        </w:rPr>
        <w:t xml:space="preserve"> </w:t>
      </w:r>
      <w:r w:rsidR="00C05E80">
        <w:rPr>
          <w:rFonts w:asciiTheme="minorHAnsi" w:hAnsiTheme="minorHAnsi"/>
          <w:szCs w:val="24"/>
        </w:rPr>
        <w:t>(Cohort </w:t>
      </w:r>
      <w:r w:rsidR="0082069A" w:rsidRPr="00F45531">
        <w:rPr>
          <w:rFonts w:asciiTheme="minorHAnsi" w:hAnsiTheme="minorHAnsi"/>
          <w:szCs w:val="24"/>
        </w:rPr>
        <w:t>2)</w:t>
      </w:r>
      <w:r w:rsidR="00821A23" w:rsidRPr="00F45531">
        <w:rPr>
          <w:rFonts w:asciiTheme="minorHAnsi" w:hAnsiTheme="minorHAnsi"/>
          <w:szCs w:val="24"/>
        </w:rPr>
        <w:t xml:space="preserve"> had at least one dispensing of a lipid low</w:t>
      </w:r>
      <w:r w:rsidR="00C05E80">
        <w:rPr>
          <w:rFonts w:asciiTheme="minorHAnsi" w:hAnsiTheme="minorHAnsi"/>
          <w:szCs w:val="24"/>
        </w:rPr>
        <w:t>ering medicines in the prior 24 </w:t>
      </w:r>
      <w:r w:rsidR="00821A23" w:rsidRPr="00F45531">
        <w:rPr>
          <w:rFonts w:asciiTheme="minorHAnsi" w:hAnsiTheme="minorHAnsi"/>
          <w:szCs w:val="24"/>
        </w:rPr>
        <w:t>months</w:t>
      </w:r>
      <w:r w:rsidR="0082069A">
        <w:rPr>
          <w:rFonts w:asciiTheme="minorHAnsi" w:hAnsiTheme="minorHAnsi"/>
          <w:szCs w:val="24"/>
        </w:rPr>
        <w:t>.</w:t>
      </w:r>
      <w:r w:rsidR="00821A23">
        <w:rPr>
          <w:rFonts w:asciiTheme="minorHAnsi" w:hAnsiTheme="minorHAnsi"/>
          <w:szCs w:val="24"/>
        </w:rPr>
        <w:t xml:space="preserve"> </w:t>
      </w:r>
    </w:p>
    <w:p w:rsidR="0000686B" w:rsidRDefault="0000686B">
      <w:pPr>
        <w:spacing w:line="240" w:lineRule="auto"/>
        <w:rPr>
          <w:rFonts w:asciiTheme="minorHAnsi" w:hAnsiTheme="minorHAnsi"/>
          <w:szCs w:val="24"/>
        </w:rPr>
      </w:pPr>
      <w:r w:rsidRPr="00D95FCA">
        <w:rPr>
          <w:rFonts w:asciiTheme="minorHAnsi" w:eastAsia="Calibri" w:hAnsiTheme="minorHAnsi"/>
          <w:szCs w:val="24"/>
        </w:rPr>
        <w:t>T</w:t>
      </w:r>
      <w:r w:rsidR="00762B05">
        <w:rPr>
          <w:rFonts w:asciiTheme="minorHAnsi" w:eastAsia="Calibri" w:hAnsiTheme="minorHAnsi" w:cs="Times New Roman"/>
          <w:szCs w:val="24"/>
        </w:rPr>
        <w:t xml:space="preserve">hese data suggest the majority of prescribers broadly comply </w:t>
      </w:r>
      <w:r w:rsidRPr="00D95FCA">
        <w:rPr>
          <w:rFonts w:asciiTheme="minorHAnsi" w:eastAsia="Calibri" w:hAnsiTheme="minorHAnsi" w:cs="Times New Roman"/>
          <w:szCs w:val="24"/>
        </w:rPr>
        <w:t xml:space="preserve">with the PBS restriction for ezetimibe. A high proportion </w:t>
      </w:r>
      <w:r w:rsidR="004A5D64">
        <w:rPr>
          <w:rFonts w:asciiTheme="minorHAnsi" w:eastAsia="Calibri" w:hAnsiTheme="minorHAnsi" w:cs="Times New Roman"/>
          <w:szCs w:val="24"/>
        </w:rPr>
        <w:t xml:space="preserve">(82.7%) </w:t>
      </w:r>
      <w:r w:rsidRPr="00D95FCA">
        <w:rPr>
          <w:rFonts w:asciiTheme="minorHAnsi" w:eastAsia="Calibri" w:hAnsiTheme="minorHAnsi" w:cs="Times New Roman"/>
          <w:szCs w:val="24"/>
        </w:rPr>
        <w:t>of</w:t>
      </w:r>
      <w:r w:rsidR="000B19CC">
        <w:rPr>
          <w:rFonts w:asciiTheme="minorHAnsi" w:eastAsia="Calibri" w:hAnsiTheme="minorHAnsi" w:cs="Times New Roman"/>
          <w:szCs w:val="24"/>
        </w:rPr>
        <w:t xml:space="preserve"> all</w:t>
      </w:r>
      <w:r w:rsidRPr="00D95FCA">
        <w:rPr>
          <w:rFonts w:asciiTheme="minorHAnsi" w:eastAsia="Calibri" w:hAnsiTheme="minorHAnsi" w:cs="Times New Roman"/>
          <w:szCs w:val="24"/>
        </w:rPr>
        <w:t xml:space="preserve"> patients starting ezetimibe had at least one dispensing record for </w:t>
      </w:r>
      <w:r w:rsidR="000B19CC">
        <w:rPr>
          <w:rFonts w:asciiTheme="minorHAnsi" w:eastAsia="Calibri" w:hAnsiTheme="minorHAnsi" w:cs="Times New Roman"/>
          <w:szCs w:val="24"/>
        </w:rPr>
        <w:t xml:space="preserve">a statin </w:t>
      </w:r>
      <w:r w:rsidRPr="00D95FCA">
        <w:rPr>
          <w:rFonts w:asciiTheme="minorHAnsi" w:eastAsia="Calibri" w:hAnsiTheme="minorHAnsi" w:cs="Times New Roman"/>
          <w:szCs w:val="24"/>
        </w:rPr>
        <w:t>in the previous two years</w:t>
      </w:r>
      <w:r w:rsidR="00185C5A">
        <w:rPr>
          <w:rFonts w:asciiTheme="minorHAnsi" w:eastAsia="Calibri" w:hAnsiTheme="minorHAnsi" w:cs="Times New Roman"/>
          <w:szCs w:val="24"/>
        </w:rPr>
        <w:t>.</w:t>
      </w:r>
      <w:r w:rsidRPr="00D95FCA">
        <w:rPr>
          <w:rFonts w:asciiTheme="minorHAnsi" w:eastAsia="Calibri" w:hAnsiTheme="minorHAnsi" w:cs="Times New Roman"/>
          <w:szCs w:val="24"/>
        </w:rPr>
        <w:t xml:space="preserve"> </w:t>
      </w:r>
      <w:r w:rsidR="000B19CC">
        <w:rPr>
          <w:rFonts w:asciiTheme="minorHAnsi" w:eastAsia="Calibri" w:hAnsiTheme="minorHAnsi" w:cs="Times New Roman"/>
          <w:szCs w:val="24"/>
        </w:rPr>
        <w:t>A small percentage</w:t>
      </w:r>
      <w:r w:rsidR="00C015E6">
        <w:rPr>
          <w:rFonts w:asciiTheme="minorHAnsi" w:eastAsia="Calibri" w:hAnsiTheme="minorHAnsi" w:cs="Times New Roman"/>
          <w:szCs w:val="24"/>
        </w:rPr>
        <w:t xml:space="preserve"> (</w:t>
      </w:r>
      <w:r w:rsidR="00A6498F">
        <w:rPr>
          <w:rFonts w:asciiTheme="minorHAnsi" w:eastAsia="Calibri" w:hAnsiTheme="minorHAnsi" w:cs="Times New Roman"/>
          <w:szCs w:val="24"/>
        </w:rPr>
        <w:t>2.3</w:t>
      </w:r>
      <w:r w:rsidR="00C015E6">
        <w:rPr>
          <w:rFonts w:asciiTheme="minorHAnsi" w:eastAsia="Calibri" w:hAnsiTheme="minorHAnsi" w:cs="Times New Roman"/>
          <w:szCs w:val="24"/>
        </w:rPr>
        <w:t>%)</w:t>
      </w:r>
      <w:r w:rsidR="000B19CC">
        <w:rPr>
          <w:rFonts w:asciiTheme="minorHAnsi" w:eastAsia="Calibri" w:hAnsiTheme="minorHAnsi" w:cs="Times New Roman"/>
          <w:szCs w:val="24"/>
        </w:rPr>
        <w:t xml:space="preserve"> had prior exposure to non- statin LLT before commencing ezetimibe, and t</w:t>
      </w:r>
      <w:r w:rsidRPr="00D95FCA">
        <w:rPr>
          <w:rFonts w:asciiTheme="minorHAnsi" w:eastAsia="Calibri" w:hAnsiTheme="minorHAnsi" w:cs="Times New Roman"/>
          <w:szCs w:val="24"/>
        </w:rPr>
        <w:t>he remaining 15</w:t>
      </w:r>
      <w:r w:rsidR="00187016">
        <w:rPr>
          <w:rFonts w:asciiTheme="minorHAnsi" w:eastAsia="Calibri" w:hAnsiTheme="minorHAnsi" w:cs="Times New Roman"/>
          <w:szCs w:val="24"/>
        </w:rPr>
        <w:t>.2</w:t>
      </w:r>
      <w:r w:rsidRPr="00D95FCA">
        <w:rPr>
          <w:rFonts w:asciiTheme="minorHAnsi" w:eastAsia="Calibri" w:hAnsiTheme="minorHAnsi" w:cs="Times New Roman"/>
          <w:szCs w:val="24"/>
        </w:rPr>
        <w:t>% of patients had no prior exposure to statins or other LLT in the 24 months prior to the</w:t>
      </w:r>
      <w:r w:rsidR="00C015E6">
        <w:rPr>
          <w:rFonts w:asciiTheme="minorHAnsi" w:eastAsia="Calibri" w:hAnsiTheme="minorHAnsi" w:cs="Times New Roman"/>
          <w:szCs w:val="24"/>
        </w:rPr>
        <w:t xml:space="preserve">ir </w:t>
      </w:r>
      <w:r w:rsidRPr="00D95FCA">
        <w:rPr>
          <w:rFonts w:asciiTheme="minorHAnsi" w:eastAsia="Calibri" w:hAnsiTheme="minorHAnsi" w:cs="Times New Roman"/>
          <w:szCs w:val="24"/>
        </w:rPr>
        <w:t xml:space="preserve">first </w:t>
      </w:r>
      <w:r w:rsidR="00C015E6">
        <w:rPr>
          <w:rFonts w:asciiTheme="minorHAnsi" w:eastAsia="Calibri" w:hAnsiTheme="minorHAnsi" w:cs="Times New Roman"/>
          <w:szCs w:val="24"/>
        </w:rPr>
        <w:t>dispensing</w:t>
      </w:r>
      <w:r w:rsidRPr="00D95FCA">
        <w:rPr>
          <w:rFonts w:asciiTheme="minorHAnsi" w:eastAsia="Calibri" w:hAnsiTheme="minorHAnsi" w:cs="Times New Roman"/>
          <w:szCs w:val="24"/>
        </w:rPr>
        <w:t xml:space="preserve"> of ezetimibe. A</w:t>
      </w:r>
      <w:r w:rsidRPr="00D95FCA">
        <w:rPr>
          <w:rFonts w:asciiTheme="minorHAnsi" w:hAnsiTheme="minorHAnsi"/>
          <w:szCs w:val="24"/>
        </w:rPr>
        <w:t xml:space="preserve"> longer look back period may detect further dispensing </w:t>
      </w:r>
      <w:r w:rsidR="004A5D64">
        <w:rPr>
          <w:rFonts w:asciiTheme="minorHAnsi" w:hAnsiTheme="minorHAnsi"/>
          <w:szCs w:val="24"/>
        </w:rPr>
        <w:t xml:space="preserve">of any </w:t>
      </w:r>
      <w:r w:rsidRPr="00D95FCA">
        <w:rPr>
          <w:rFonts w:asciiTheme="minorHAnsi" w:hAnsiTheme="minorHAnsi"/>
          <w:szCs w:val="24"/>
        </w:rPr>
        <w:t>LLT medicines</w:t>
      </w:r>
      <w:r>
        <w:rPr>
          <w:rFonts w:asciiTheme="minorHAnsi" w:hAnsiTheme="minorHAnsi"/>
          <w:szCs w:val="24"/>
        </w:rPr>
        <w:t>, but would be less relevant for the current review</w:t>
      </w:r>
      <w:r w:rsidRPr="00D95FCA">
        <w:rPr>
          <w:rFonts w:asciiTheme="minorHAnsi" w:hAnsiTheme="minorHAnsi"/>
          <w:szCs w:val="24"/>
        </w:rPr>
        <w:t>.</w:t>
      </w:r>
    </w:p>
    <w:p w:rsidR="00756992" w:rsidRDefault="0000686B">
      <w:pPr>
        <w:spacing w:line="240" w:lineRule="auto"/>
        <w:rPr>
          <w:rFonts w:asciiTheme="minorHAnsi" w:hAnsiTheme="minorHAnsi"/>
          <w:szCs w:val="24"/>
        </w:rPr>
      </w:pPr>
      <w:r w:rsidRPr="00D95FCA">
        <w:rPr>
          <w:rFonts w:asciiTheme="minorHAnsi" w:hAnsiTheme="minorHAnsi"/>
          <w:szCs w:val="24"/>
        </w:rPr>
        <w:t>There may be legitimate clinical circumstances that account for the absence of prior statin use</w:t>
      </w:r>
      <w:r w:rsidR="00012D86">
        <w:rPr>
          <w:rFonts w:asciiTheme="minorHAnsi" w:hAnsiTheme="minorHAnsi"/>
          <w:szCs w:val="24"/>
        </w:rPr>
        <w:t xml:space="preserve"> in new users of ezetimibe.</w:t>
      </w:r>
      <w:r w:rsidRPr="00D95FCA">
        <w:rPr>
          <w:rFonts w:asciiTheme="minorHAnsi" w:hAnsiTheme="minorHAnsi"/>
          <w:szCs w:val="24"/>
        </w:rPr>
        <w:t xml:space="preserve"> For example</w:t>
      </w:r>
      <w:r w:rsidR="00F45531">
        <w:rPr>
          <w:rFonts w:asciiTheme="minorHAnsi" w:hAnsiTheme="minorHAnsi"/>
          <w:szCs w:val="24"/>
        </w:rPr>
        <w:t>,</w:t>
      </w:r>
      <w:r w:rsidRPr="00D95FCA">
        <w:rPr>
          <w:rFonts w:asciiTheme="minorHAnsi" w:hAnsiTheme="minorHAnsi"/>
          <w:szCs w:val="24"/>
        </w:rPr>
        <w:t xml:space="preserve"> where</w:t>
      </w:r>
      <w:r w:rsidR="00012D86">
        <w:rPr>
          <w:rFonts w:asciiTheme="minorHAnsi" w:hAnsiTheme="minorHAnsi"/>
          <w:szCs w:val="24"/>
        </w:rPr>
        <w:t xml:space="preserve"> a patient had experienced a major adverse event from taking statins more than 2 years ago and subsequently avoided all </w:t>
      </w:r>
      <w:r w:rsidR="004A5D64">
        <w:rPr>
          <w:rFonts w:asciiTheme="minorHAnsi" w:hAnsiTheme="minorHAnsi"/>
          <w:szCs w:val="24"/>
        </w:rPr>
        <w:t xml:space="preserve">LLT </w:t>
      </w:r>
      <w:r w:rsidR="00012D86">
        <w:rPr>
          <w:rFonts w:asciiTheme="minorHAnsi" w:hAnsiTheme="minorHAnsi"/>
          <w:szCs w:val="24"/>
        </w:rPr>
        <w:t xml:space="preserve">for this period.  </w:t>
      </w:r>
    </w:p>
    <w:p w:rsidR="00ED188F" w:rsidRPr="00A83336" w:rsidRDefault="0000686B">
      <w:pPr>
        <w:spacing w:line="240" w:lineRule="auto"/>
        <w:rPr>
          <w:rFonts w:asciiTheme="minorHAnsi" w:eastAsia="Calibri" w:hAnsiTheme="minorHAnsi" w:cs="Times New Roman"/>
          <w:szCs w:val="24"/>
        </w:rPr>
      </w:pPr>
      <w:r w:rsidRPr="00F45531">
        <w:rPr>
          <w:rFonts w:asciiTheme="minorHAnsi" w:eastAsia="Calibri" w:hAnsiTheme="minorHAnsi" w:cs="Times New Roman"/>
          <w:szCs w:val="24"/>
        </w:rPr>
        <w:lastRenderedPageBreak/>
        <w:t xml:space="preserve">From </w:t>
      </w:r>
      <w:r w:rsidR="004A5D64">
        <w:rPr>
          <w:rFonts w:asciiTheme="minorHAnsi" w:eastAsia="Calibri" w:hAnsiTheme="minorHAnsi" w:cs="Times New Roman"/>
          <w:szCs w:val="24"/>
        </w:rPr>
        <w:t xml:space="preserve">the </w:t>
      </w:r>
      <w:r w:rsidR="00A24486">
        <w:rPr>
          <w:rFonts w:asciiTheme="minorHAnsi" w:eastAsia="Calibri" w:hAnsiTheme="minorHAnsi" w:cs="Times New Roman"/>
          <w:szCs w:val="24"/>
        </w:rPr>
        <w:t xml:space="preserve">December 2016 </w:t>
      </w:r>
      <w:r w:rsidR="00A24486" w:rsidRPr="00F45531">
        <w:rPr>
          <w:rFonts w:asciiTheme="minorHAnsi" w:eastAsia="Calibri" w:hAnsiTheme="minorHAnsi" w:cs="Times New Roman"/>
          <w:szCs w:val="24"/>
        </w:rPr>
        <w:t>Analysis</w:t>
      </w:r>
      <w:r w:rsidRPr="00F45531">
        <w:rPr>
          <w:rFonts w:asciiTheme="minorHAnsi" w:eastAsia="Calibri" w:hAnsiTheme="minorHAnsi" w:cs="Times New Roman"/>
          <w:szCs w:val="24"/>
        </w:rPr>
        <w:t xml:space="preserve">, there </w:t>
      </w:r>
      <w:r w:rsidR="00012D86">
        <w:rPr>
          <w:rFonts w:asciiTheme="minorHAnsi" w:eastAsia="Calibri" w:hAnsiTheme="minorHAnsi" w:cs="Times New Roman"/>
          <w:szCs w:val="24"/>
        </w:rPr>
        <w:t>was</w:t>
      </w:r>
      <w:r w:rsidRPr="00F45531">
        <w:rPr>
          <w:rFonts w:asciiTheme="minorHAnsi" w:eastAsia="Calibri" w:hAnsiTheme="minorHAnsi" w:cs="Times New Roman"/>
          <w:szCs w:val="24"/>
        </w:rPr>
        <w:t xml:space="preserve"> evidence to su</w:t>
      </w:r>
      <w:r w:rsidR="005C37C5">
        <w:rPr>
          <w:rFonts w:asciiTheme="minorHAnsi" w:eastAsia="Calibri" w:hAnsiTheme="minorHAnsi" w:cs="Times New Roman"/>
          <w:szCs w:val="24"/>
        </w:rPr>
        <w:t>ggest</w:t>
      </w:r>
      <w:r w:rsidRPr="00F45531">
        <w:rPr>
          <w:rFonts w:asciiTheme="minorHAnsi" w:eastAsia="Calibri" w:hAnsiTheme="minorHAnsi" w:cs="Times New Roman"/>
          <w:szCs w:val="24"/>
        </w:rPr>
        <w:t xml:space="preserve"> that </w:t>
      </w:r>
      <w:r w:rsidR="00394829" w:rsidRPr="00F45531">
        <w:rPr>
          <w:rFonts w:asciiTheme="minorHAnsi" w:eastAsia="Calibri" w:hAnsiTheme="minorHAnsi" w:cs="Times New Roman"/>
          <w:szCs w:val="24"/>
        </w:rPr>
        <w:t xml:space="preserve">approximately </w:t>
      </w:r>
      <w:r w:rsidRPr="00F45531">
        <w:rPr>
          <w:rFonts w:asciiTheme="minorHAnsi" w:eastAsia="Calibri" w:hAnsiTheme="minorHAnsi" w:cs="Times New Roman"/>
          <w:szCs w:val="24"/>
        </w:rPr>
        <w:t>30% of patients with a</w:t>
      </w:r>
      <w:r w:rsidRPr="00D95FCA">
        <w:rPr>
          <w:rFonts w:asciiTheme="minorHAnsi" w:eastAsia="Calibri" w:hAnsiTheme="minorHAnsi" w:cs="Times New Roman"/>
          <w:szCs w:val="24"/>
        </w:rPr>
        <w:t xml:space="preserve"> prior history of statin use ha</w:t>
      </w:r>
      <w:r w:rsidR="00AE37D1">
        <w:rPr>
          <w:rFonts w:asciiTheme="minorHAnsi" w:eastAsia="Calibri" w:hAnsiTheme="minorHAnsi" w:cs="Times New Roman"/>
          <w:szCs w:val="24"/>
        </w:rPr>
        <w:t>d</w:t>
      </w:r>
      <w:r w:rsidRPr="00D95FCA">
        <w:rPr>
          <w:rFonts w:asciiTheme="minorHAnsi" w:eastAsia="Calibri" w:hAnsiTheme="minorHAnsi" w:cs="Times New Roman"/>
          <w:szCs w:val="24"/>
        </w:rPr>
        <w:t xml:space="preserve"> </w:t>
      </w:r>
      <w:r w:rsidR="00394829">
        <w:rPr>
          <w:rFonts w:asciiTheme="minorHAnsi" w:eastAsia="Calibri" w:hAnsiTheme="minorHAnsi" w:cs="Times New Roman"/>
          <w:szCs w:val="24"/>
        </w:rPr>
        <w:t>titrated their statin dose</w:t>
      </w:r>
      <w:r w:rsidRPr="00D95FCA">
        <w:rPr>
          <w:rFonts w:asciiTheme="minorHAnsi" w:eastAsia="Calibri" w:hAnsiTheme="minorHAnsi" w:cs="Times New Roman"/>
          <w:szCs w:val="24"/>
        </w:rPr>
        <w:t xml:space="preserve">, either up or down. This may reflect titration to </w:t>
      </w:r>
      <w:r w:rsidR="00AE37D1">
        <w:rPr>
          <w:rFonts w:asciiTheme="minorHAnsi" w:eastAsia="Calibri" w:hAnsiTheme="minorHAnsi" w:cs="Times New Roman"/>
          <w:szCs w:val="24"/>
        </w:rPr>
        <w:t xml:space="preserve">further lower </w:t>
      </w:r>
      <w:r w:rsidR="00394829">
        <w:rPr>
          <w:rFonts w:asciiTheme="minorHAnsi" w:eastAsia="Calibri" w:hAnsiTheme="minorHAnsi" w:cs="Times New Roman"/>
          <w:szCs w:val="24"/>
        </w:rPr>
        <w:t xml:space="preserve">their </w:t>
      </w:r>
      <w:r w:rsidR="00AE37D1">
        <w:rPr>
          <w:rFonts w:asciiTheme="minorHAnsi" w:eastAsia="Calibri" w:hAnsiTheme="minorHAnsi" w:cs="Times New Roman"/>
          <w:szCs w:val="24"/>
        </w:rPr>
        <w:t>LDL</w:t>
      </w:r>
      <w:r w:rsidR="009F448D">
        <w:rPr>
          <w:rFonts w:asciiTheme="minorHAnsi" w:eastAsia="Calibri" w:hAnsiTheme="minorHAnsi" w:cs="Times New Roman"/>
          <w:szCs w:val="24"/>
        </w:rPr>
        <w:t xml:space="preserve">-C </w:t>
      </w:r>
      <w:r w:rsidR="004B1768">
        <w:rPr>
          <w:rFonts w:asciiTheme="minorHAnsi" w:eastAsia="Times New Roman" w:hAnsiTheme="minorHAnsi" w:cs="Arial"/>
          <w:color w:val="222222"/>
          <w:szCs w:val="24"/>
          <w:lang w:eastAsia="en-AU"/>
        </w:rPr>
        <w:t>concentrations</w:t>
      </w:r>
      <w:r w:rsidR="004B1768">
        <w:rPr>
          <w:rFonts w:asciiTheme="minorHAnsi" w:eastAsia="Calibri" w:hAnsiTheme="minorHAnsi" w:cs="Times New Roman"/>
          <w:szCs w:val="24"/>
        </w:rPr>
        <w:t xml:space="preserve"> </w:t>
      </w:r>
      <w:r w:rsidRPr="00D95FCA">
        <w:rPr>
          <w:rFonts w:asciiTheme="minorHAnsi" w:eastAsia="Calibri" w:hAnsiTheme="minorHAnsi" w:cs="Times New Roman"/>
          <w:szCs w:val="24"/>
        </w:rPr>
        <w:t xml:space="preserve">or be in response to </w:t>
      </w:r>
      <w:r w:rsidR="004A5D64">
        <w:rPr>
          <w:rFonts w:asciiTheme="minorHAnsi" w:eastAsia="Calibri" w:hAnsiTheme="minorHAnsi" w:cs="Times New Roman"/>
          <w:szCs w:val="24"/>
        </w:rPr>
        <w:t xml:space="preserve">adverse </w:t>
      </w:r>
      <w:r w:rsidRPr="00D95FCA">
        <w:rPr>
          <w:rFonts w:asciiTheme="minorHAnsi" w:eastAsia="Calibri" w:hAnsiTheme="minorHAnsi" w:cs="Times New Roman"/>
          <w:szCs w:val="24"/>
        </w:rPr>
        <w:t>effects. For patients who remain</w:t>
      </w:r>
      <w:r w:rsidR="004A5D64">
        <w:rPr>
          <w:rFonts w:asciiTheme="minorHAnsi" w:eastAsia="Calibri" w:hAnsiTheme="minorHAnsi" w:cs="Times New Roman"/>
          <w:szCs w:val="24"/>
        </w:rPr>
        <w:t>ed</w:t>
      </w:r>
      <w:r w:rsidRPr="00D95FCA">
        <w:rPr>
          <w:rFonts w:asciiTheme="minorHAnsi" w:eastAsia="Calibri" w:hAnsiTheme="minorHAnsi" w:cs="Times New Roman"/>
          <w:szCs w:val="24"/>
        </w:rPr>
        <w:t xml:space="preserve"> on the same dose of statin, the PBS data are insufficiently detailed to demonstrate that they were not already on the maximum tolerated dose of statin. </w:t>
      </w:r>
      <w:r w:rsidRPr="00D95FCA">
        <w:rPr>
          <w:rFonts w:asciiTheme="minorHAnsi" w:hAnsiTheme="minorHAnsi"/>
          <w:szCs w:val="24"/>
        </w:rPr>
        <w:t>There may be</w:t>
      </w:r>
      <w:r w:rsidR="00ED188F">
        <w:rPr>
          <w:rFonts w:asciiTheme="minorHAnsi" w:hAnsiTheme="minorHAnsi"/>
          <w:szCs w:val="24"/>
        </w:rPr>
        <w:t xml:space="preserve"> both</w:t>
      </w:r>
      <w:r w:rsidRPr="00D95FCA">
        <w:rPr>
          <w:rFonts w:asciiTheme="minorHAnsi" w:hAnsiTheme="minorHAnsi"/>
          <w:szCs w:val="24"/>
        </w:rPr>
        <w:t xml:space="preserve"> legitimate</w:t>
      </w:r>
      <w:r w:rsidR="00ED188F">
        <w:rPr>
          <w:rFonts w:asciiTheme="minorHAnsi" w:hAnsiTheme="minorHAnsi"/>
          <w:szCs w:val="24"/>
        </w:rPr>
        <w:t xml:space="preserve"> and non-legitimate</w:t>
      </w:r>
      <w:r w:rsidRPr="00D95FCA">
        <w:rPr>
          <w:rFonts w:asciiTheme="minorHAnsi" w:hAnsiTheme="minorHAnsi"/>
          <w:szCs w:val="24"/>
        </w:rPr>
        <w:t xml:space="preserve"> clinical circumstances that account for the absence of statin titration in PBS data. For example, patients may have already been optimally titrated to statins prior to the study period.</w:t>
      </w:r>
      <w:r w:rsidR="00ED188F">
        <w:rPr>
          <w:rFonts w:asciiTheme="minorHAnsi" w:hAnsiTheme="minorHAnsi"/>
          <w:szCs w:val="24"/>
        </w:rPr>
        <w:t xml:space="preserve"> Alternatively</w:t>
      </w:r>
      <w:r w:rsidR="004A5D64">
        <w:rPr>
          <w:rFonts w:asciiTheme="minorHAnsi" w:hAnsiTheme="minorHAnsi"/>
          <w:szCs w:val="24"/>
        </w:rPr>
        <w:t>,</w:t>
      </w:r>
      <w:r w:rsidR="00ED188F">
        <w:rPr>
          <w:rFonts w:asciiTheme="minorHAnsi" w:hAnsiTheme="minorHAnsi"/>
          <w:szCs w:val="24"/>
        </w:rPr>
        <w:t xml:space="preserve"> as some </w:t>
      </w:r>
      <w:r w:rsidR="00ED188F" w:rsidRPr="00A83336">
        <w:rPr>
          <w:rFonts w:asciiTheme="minorHAnsi" w:hAnsiTheme="minorHAnsi"/>
          <w:szCs w:val="24"/>
        </w:rPr>
        <w:t xml:space="preserve">stakeholder submissions also suggested, prescribers </w:t>
      </w:r>
      <w:r w:rsidR="00762B05">
        <w:rPr>
          <w:rFonts w:asciiTheme="minorHAnsi" w:hAnsiTheme="minorHAnsi"/>
          <w:szCs w:val="24"/>
        </w:rPr>
        <w:t xml:space="preserve">add </w:t>
      </w:r>
      <w:r w:rsidR="00ED188F" w:rsidRPr="00A83336">
        <w:rPr>
          <w:rFonts w:asciiTheme="minorHAnsi" w:hAnsiTheme="minorHAnsi"/>
          <w:szCs w:val="24"/>
        </w:rPr>
        <w:t>ezetimibe</w:t>
      </w:r>
      <w:r w:rsidR="00762B05">
        <w:rPr>
          <w:rFonts w:asciiTheme="minorHAnsi" w:hAnsiTheme="minorHAnsi"/>
          <w:szCs w:val="24"/>
        </w:rPr>
        <w:t xml:space="preserve"> to statin therapy</w:t>
      </w:r>
      <w:r w:rsidR="00ED188F" w:rsidRPr="00A83336">
        <w:rPr>
          <w:rFonts w:asciiTheme="minorHAnsi" w:hAnsiTheme="minorHAnsi"/>
          <w:szCs w:val="24"/>
        </w:rPr>
        <w:t xml:space="preserve"> to avoid perceived </w:t>
      </w:r>
      <w:r w:rsidR="004A5D64">
        <w:rPr>
          <w:rFonts w:asciiTheme="minorHAnsi" w:hAnsiTheme="minorHAnsi"/>
          <w:szCs w:val="24"/>
        </w:rPr>
        <w:t xml:space="preserve">adverse </w:t>
      </w:r>
      <w:r w:rsidR="00ED188F" w:rsidRPr="00A83336">
        <w:rPr>
          <w:rFonts w:asciiTheme="minorHAnsi" w:hAnsiTheme="minorHAnsi"/>
          <w:szCs w:val="24"/>
        </w:rPr>
        <w:t xml:space="preserve">effects of </w:t>
      </w:r>
      <w:r w:rsidR="00DA63B6">
        <w:rPr>
          <w:rFonts w:asciiTheme="minorHAnsi" w:hAnsiTheme="minorHAnsi"/>
          <w:szCs w:val="24"/>
        </w:rPr>
        <w:t xml:space="preserve">higher dose </w:t>
      </w:r>
      <w:r w:rsidR="00ED188F" w:rsidRPr="00A83336">
        <w:rPr>
          <w:rFonts w:asciiTheme="minorHAnsi" w:hAnsiTheme="minorHAnsi"/>
          <w:szCs w:val="24"/>
        </w:rPr>
        <w:t>statins.</w:t>
      </w:r>
    </w:p>
    <w:p w:rsidR="0000686B" w:rsidRPr="008B5CE2" w:rsidRDefault="005C37C5">
      <w:pPr>
        <w:spacing w:line="240" w:lineRule="auto"/>
        <w:rPr>
          <w:rFonts w:asciiTheme="minorHAnsi" w:eastAsia="Calibri" w:hAnsiTheme="minorHAnsi" w:cs="Times New Roman"/>
          <w:szCs w:val="24"/>
        </w:rPr>
      </w:pPr>
      <w:r w:rsidRPr="00A83336">
        <w:rPr>
          <w:rFonts w:asciiTheme="minorHAnsi" w:hAnsiTheme="minorHAnsi"/>
          <w:szCs w:val="24"/>
        </w:rPr>
        <w:t xml:space="preserve">Despite these caveats, </w:t>
      </w:r>
      <w:r w:rsidR="00A24486">
        <w:rPr>
          <w:rFonts w:asciiTheme="minorHAnsi" w:hAnsiTheme="minorHAnsi"/>
          <w:szCs w:val="24"/>
        </w:rPr>
        <w:t xml:space="preserve">the </w:t>
      </w:r>
      <w:r w:rsidR="00A24486">
        <w:rPr>
          <w:rFonts w:asciiTheme="minorHAnsi" w:eastAsia="Calibri" w:hAnsiTheme="minorHAnsi" w:cs="Times New Roman"/>
          <w:szCs w:val="24"/>
        </w:rPr>
        <w:t xml:space="preserve">December 2016 </w:t>
      </w:r>
      <w:r w:rsidR="00A24486" w:rsidRPr="00F45531">
        <w:rPr>
          <w:rFonts w:asciiTheme="minorHAnsi" w:eastAsia="Calibri" w:hAnsiTheme="minorHAnsi" w:cs="Times New Roman"/>
          <w:szCs w:val="24"/>
        </w:rPr>
        <w:t>Analysis</w:t>
      </w:r>
      <w:r w:rsidR="00A24486" w:rsidRPr="00A83336">
        <w:rPr>
          <w:rFonts w:asciiTheme="minorHAnsi" w:hAnsiTheme="minorHAnsi"/>
          <w:szCs w:val="24"/>
        </w:rPr>
        <w:t xml:space="preserve"> </w:t>
      </w:r>
      <w:r w:rsidR="006D66FF">
        <w:rPr>
          <w:rFonts w:asciiTheme="minorHAnsi" w:hAnsiTheme="minorHAnsi"/>
          <w:szCs w:val="24"/>
        </w:rPr>
        <w:t>reported</w:t>
      </w:r>
      <w:r w:rsidRPr="00A83336">
        <w:rPr>
          <w:rFonts w:asciiTheme="minorHAnsi" w:hAnsiTheme="minorHAnsi"/>
          <w:szCs w:val="24"/>
        </w:rPr>
        <w:t xml:space="preserve"> that</w:t>
      </w:r>
      <w:r w:rsidR="00C1047B" w:rsidRPr="00A83336">
        <w:rPr>
          <w:rFonts w:asciiTheme="minorHAnsi" w:hAnsiTheme="minorHAnsi"/>
          <w:szCs w:val="24"/>
        </w:rPr>
        <w:t xml:space="preserve"> 15.9% of ezetimibe use</w:t>
      </w:r>
      <w:r w:rsidR="00ED188F" w:rsidRPr="00A83336">
        <w:rPr>
          <w:rFonts w:asciiTheme="minorHAnsi" w:hAnsiTheme="minorHAnsi"/>
          <w:szCs w:val="24"/>
        </w:rPr>
        <w:t xml:space="preserve"> was unlikely</w:t>
      </w:r>
      <w:r w:rsidR="00C1047B" w:rsidRPr="00A83336">
        <w:rPr>
          <w:rFonts w:asciiTheme="minorHAnsi" w:hAnsiTheme="minorHAnsi"/>
          <w:szCs w:val="24"/>
        </w:rPr>
        <w:t xml:space="preserve"> to be</w:t>
      </w:r>
      <w:r w:rsidR="00ED188F" w:rsidRPr="00A83336">
        <w:rPr>
          <w:rFonts w:asciiTheme="minorHAnsi" w:hAnsiTheme="minorHAnsi"/>
          <w:szCs w:val="24"/>
        </w:rPr>
        <w:t xml:space="preserve"> prescribed</w:t>
      </w:r>
      <w:r w:rsidR="00C1047B" w:rsidRPr="00A83336">
        <w:rPr>
          <w:rFonts w:asciiTheme="minorHAnsi" w:hAnsiTheme="minorHAnsi"/>
          <w:szCs w:val="24"/>
        </w:rPr>
        <w:t xml:space="preserve"> in accordance with the PBS restriction</w:t>
      </w:r>
      <w:r w:rsidR="006D66FF">
        <w:rPr>
          <w:rFonts w:asciiTheme="minorHAnsi" w:hAnsiTheme="minorHAnsi"/>
          <w:szCs w:val="24"/>
        </w:rPr>
        <w:t xml:space="preserve">. Another finding from </w:t>
      </w:r>
      <w:r w:rsidR="00A24486">
        <w:rPr>
          <w:rFonts w:asciiTheme="minorHAnsi" w:hAnsiTheme="minorHAnsi"/>
          <w:szCs w:val="24"/>
        </w:rPr>
        <w:t xml:space="preserve">the </w:t>
      </w:r>
      <w:r w:rsidR="00A24486">
        <w:rPr>
          <w:rFonts w:asciiTheme="minorHAnsi" w:eastAsia="Calibri" w:hAnsiTheme="minorHAnsi" w:cs="Times New Roman"/>
          <w:szCs w:val="24"/>
        </w:rPr>
        <w:t xml:space="preserve">December 2016 </w:t>
      </w:r>
      <w:r w:rsidR="00A24486" w:rsidRPr="00F45531">
        <w:rPr>
          <w:rFonts w:asciiTheme="minorHAnsi" w:eastAsia="Calibri" w:hAnsiTheme="minorHAnsi" w:cs="Times New Roman"/>
          <w:szCs w:val="24"/>
        </w:rPr>
        <w:t>Analysis</w:t>
      </w:r>
      <w:r w:rsidR="00A24486">
        <w:rPr>
          <w:rFonts w:asciiTheme="minorHAnsi" w:hAnsiTheme="minorHAnsi"/>
          <w:szCs w:val="24"/>
        </w:rPr>
        <w:t xml:space="preserve"> </w:t>
      </w:r>
      <w:r w:rsidR="006D66FF">
        <w:rPr>
          <w:rFonts w:asciiTheme="minorHAnsi" w:hAnsiTheme="minorHAnsi"/>
          <w:szCs w:val="24"/>
        </w:rPr>
        <w:t xml:space="preserve">was </w:t>
      </w:r>
      <w:r w:rsidR="00DA63B6">
        <w:rPr>
          <w:rFonts w:asciiTheme="minorHAnsi" w:hAnsiTheme="minorHAnsi"/>
          <w:szCs w:val="24"/>
        </w:rPr>
        <w:t xml:space="preserve">that </w:t>
      </w:r>
      <w:r w:rsidR="00DA63B6" w:rsidRPr="00A83336">
        <w:rPr>
          <w:rFonts w:asciiTheme="minorHAnsi" w:eastAsia="Calibri" w:hAnsiTheme="minorHAnsi" w:cs="Times New Roman"/>
        </w:rPr>
        <w:t>a</w:t>
      </w:r>
      <w:r w:rsidR="00AE37D1" w:rsidRPr="00A83336">
        <w:rPr>
          <w:rFonts w:asciiTheme="minorHAnsi" w:eastAsia="Calibri" w:hAnsiTheme="minorHAnsi" w:cs="Times New Roman"/>
          <w:szCs w:val="24"/>
        </w:rPr>
        <w:t xml:space="preserve"> significant proportion</w:t>
      </w:r>
      <w:r w:rsidR="00AE37D1" w:rsidRPr="00D95FCA">
        <w:rPr>
          <w:rFonts w:asciiTheme="minorHAnsi" w:eastAsia="Calibri" w:hAnsiTheme="minorHAnsi" w:cs="Times New Roman"/>
          <w:szCs w:val="24"/>
        </w:rPr>
        <w:t xml:space="preserve"> of ezetimibe initiators </w:t>
      </w:r>
      <w:r w:rsidR="00DA63B6">
        <w:rPr>
          <w:rFonts w:asciiTheme="minorHAnsi" w:eastAsia="Calibri" w:hAnsiTheme="minorHAnsi" w:cs="Times New Roman"/>
          <w:szCs w:val="24"/>
        </w:rPr>
        <w:t xml:space="preserve">did </w:t>
      </w:r>
      <w:r w:rsidR="009F448D">
        <w:rPr>
          <w:rFonts w:asciiTheme="minorHAnsi" w:eastAsia="Calibri" w:hAnsiTheme="minorHAnsi" w:cs="Times New Roman"/>
          <w:szCs w:val="24"/>
        </w:rPr>
        <w:t xml:space="preserve">not </w:t>
      </w:r>
      <w:r w:rsidR="00AE37D1" w:rsidRPr="00D95FCA">
        <w:rPr>
          <w:rFonts w:asciiTheme="minorHAnsi" w:eastAsia="Calibri" w:hAnsiTheme="minorHAnsi" w:cs="Times New Roman"/>
          <w:szCs w:val="24"/>
        </w:rPr>
        <w:t>continue receiv</w:t>
      </w:r>
      <w:r w:rsidR="009F448D">
        <w:rPr>
          <w:rFonts w:asciiTheme="minorHAnsi" w:eastAsia="Calibri" w:hAnsiTheme="minorHAnsi" w:cs="Times New Roman"/>
          <w:szCs w:val="24"/>
        </w:rPr>
        <w:t>ing</w:t>
      </w:r>
      <w:r w:rsidR="00AE37D1" w:rsidRPr="00D95FCA">
        <w:rPr>
          <w:rFonts w:asciiTheme="minorHAnsi" w:eastAsia="Calibri" w:hAnsiTheme="minorHAnsi" w:cs="Times New Roman"/>
          <w:szCs w:val="24"/>
        </w:rPr>
        <w:t xml:space="preserve"> </w:t>
      </w:r>
      <w:r w:rsidR="006D66FF">
        <w:rPr>
          <w:rFonts w:asciiTheme="minorHAnsi" w:eastAsia="Calibri" w:hAnsiTheme="minorHAnsi" w:cs="Times New Roman"/>
          <w:szCs w:val="24"/>
        </w:rPr>
        <w:t xml:space="preserve">prescriptions for </w:t>
      </w:r>
      <w:r w:rsidR="00AE37D1" w:rsidRPr="00D95FCA">
        <w:rPr>
          <w:rFonts w:asciiTheme="minorHAnsi" w:eastAsia="Calibri" w:hAnsiTheme="minorHAnsi" w:cs="Times New Roman"/>
          <w:szCs w:val="24"/>
        </w:rPr>
        <w:t>LLT in the 6-12 months post initiation of ezetimibe</w:t>
      </w:r>
      <w:r w:rsidR="006D66FF">
        <w:rPr>
          <w:rFonts w:asciiTheme="minorHAnsi" w:eastAsia="Calibri" w:hAnsiTheme="minorHAnsi" w:cs="Times New Roman"/>
          <w:szCs w:val="24"/>
        </w:rPr>
        <w:t xml:space="preserve">. Discontinuation of all LLT </w:t>
      </w:r>
      <w:r w:rsidR="00AE37D1" w:rsidRPr="00D95FCA">
        <w:rPr>
          <w:rFonts w:asciiTheme="minorHAnsi" w:eastAsia="Calibri" w:hAnsiTheme="minorHAnsi" w:cs="Times New Roman"/>
          <w:szCs w:val="24"/>
        </w:rPr>
        <w:t xml:space="preserve">was higher for individuals with no previous </w:t>
      </w:r>
      <w:r w:rsidR="00AE37D1" w:rsidRPr="00FE03BC">
        <w:rPr>
          <w:rFonts w:asciiTheme="minorHAnsi" w:eastAsia="Calibri" w:hAnsiTheme="minorHAnsi" w:cs="Times New Roman"/>
          <w:szCs w:val="24"/>
        </w:rPr>
        <w:t xml:space="preserve">LLT (44%) than </w:t>
      </w:r>
      <w:r w:rsidR="004A5D64">
        <w:rPr>
          <w:rFonts w:asciiTheme="minorHAnsi" w:eastAsia="Calibri" w:hAnsiTheme="minorHAnsi" w:cs="Times New Roman"/>
          <w:szCs w:val="24"/>
        </w:rPr>
        <w:t xml:space="preserve">those </w:t>
      </w:r>
      <w:r w:rsidR="00AE37D1" w:rsidRPr="00FE03BC">
        <w:rPr>
          <w:rFonts w:asciiTheme="minorHAnsi" w:eastAsia="Calibri" w:hAnsiTheme="minorHAnsi" w:cs="Times New Roman"/>
          <w:szCs w:val="24"/>
        </w:rPr>
        <w:t>with previous LLT (11.6%).</w:t>
      </w:r>
      <w:r w:rsidR="00AE37D1">
        <w:rPr>
          <w:rFonts w:asciiTheme="minorHAnsi" w:eastAsia="Calibri" w:hAnsiTheme="minorHAnsi" w:cs="Times New Roman"/>
          <w:szCs w:val="24"/>
        </w:rPr>
        <w:t xml:space="preserve"> </w:t>
      </w:r>
      <w:r w:rsidR="0000686B" w:rsidRPr="00D95FCA">
        <w:rPr>
          <w:rFonts w:asciiTheme="minorHAnsi" w:eastAsia="Calibri" w:hAnsiTheme="minorHAnsi" w:cs="Times New Roman"/>
          <w:szCs w:val="24"/>
        </w:rPr>
        <w:t xml:space="preserve"> </w:t>
      </w:r>
      <w:r w:rsidR="00153C67">
        <w:rPr>
          <w:rFonts w:asciiTheme="minorHAnsi" w:eastAsia="Calibri" w:hAnsiTheme="minorHAnsi" w:cs="Times New Roman"/>
          <w:szCs w:val="24"/>
        </w:rPr>
        <w:t>T</w:t>
      </w:r>
      <w:r w:rsidR="0000686B" w:rsidRPr="00D95FCA">
        <w:rPr>
          <w:rFonts w:asciiTheme="minorHAnsi" w:eastAsia="Calibri" w:hAnsiTheme="minorHAnsi" w:cs="Times New Roman"/>
          <w:szCs w:val="24"/>
        </w:rPr>
        <w:t xml:space="preserve">he difference in </w:t>
      </w:r>
      <w:r w:rsidR="00AE37D1">
        <w:rPr>
          <w:rFonts w:asciiTheme="minorHAnsi" w:eastAsia="Calibri" w:hAnsiTheme="minorHAnsi" w:cs="Times New Roman"/>
          <w:szCs w:val="24"/>
        </w:rPr>
        <w:t>persistence</w:t>
      </w:r>
      <w:r w:rsidR="0000686B" w:rsidRPr="00D95FCA">
        <w:rPr>
          <w:rFonts w:asciiTheme="minorHAnsi" w:eastAsia="Calibri" w:hAnsiTheme="minorHAnsi" w:cs="Times New Roman"/>
          <w:szCs w:val="24"/>
        </w:rPr>
        <w:t xml:space="preserve"> to LLT between the two groups may be due to the underlying patient characteristics of each group. </w:t>
      </w:r>
      <w:r w:rsidR="0000686B" w:rsidRPr="008B5CE2">
        <w:rPr>
          <w:rFonts w:asciiTheme="minorHAnsi" w:eastAsia="Calibri" w:hAnsiTheme="minorHAnsi" w:cs="Times New Roman"/>
        </w:rPr>
        <w:t xml:space="preserve">Patients with a prior statin history </w:t>
      </w:r>
      <w:r w:rsidR="004A5D64">
        <w:rPr>
          <w:rFonts w:asciiTheme="minorHAnsi" w:eastAsia="Calibri" w:hAnsiTheme="minorHAnsi" w:cs="Times New Roman"/>
        </w:rPr>
        <w:t xml:space="preserve">may be </w:t>
      </w:r>
      <w:r w:rsidR="0000686B" w:rsidRPr="008B5CE2">
        <w:rPr>
          <w:rFonts w:asciiTheme="minorHAnsi" w:eastAsia="Calibri" w:hAnsiTheme="minorHAnsi" w:cs="Times New Roman"/>
        </w:rPr>
        <w:t>accustomed to taking medication</w:t>
      </w:r>
      <w:r w:rsidR="004A5D64">
        <w:rPr>
          <w:rFonts w:asciiTheme="minorHAnsi" w:eastAsia="Calibri" w:hAnsiTheme="minorHAnsi" w:cs="Times New Roman"/>
        </w:rPr>
        <w:t xml:space="preserve">, unlike </w:t>
      </w:r>
      <w:r w:rsidR="0000686B" w:rsidRPr="008B5CE2">
        <w:rPr>
          <w:rFonts w:asciiTheme="minorHAnsi" w:eastAsia="Calibri" w:hAnsiTheme="minorHAnsi" w:cs="Times New Roman"/>
        </w:rPr>
        <w:t xml:space="preserve">those without </w:t>
      </w:r>
      <w:r w:rsidR="004A5D64">
        <w:rPr>
          <w:rFonts w:asciiTheme="minorHAnsi" w:eastAsia="Calibri" w:hAnsiTheme="minorHAnsi" w:cs="Times New Roman"/>
        </w:rPr>
        <w:t>a prior statin history.</w:t>
      </w:r>
      <w:r w:rsidR="00AE37D1" w:rsidRPr="008B5CE2">
        <w:rPr>
          <w:rFonts w:asciiTheme="minorHAnsi" w:eastAsia="Calibri" w:hAnsiTheme="minorHAnsi" w:cs="Times New Roman"/>
        </w:rPr>
        <w:t xml:space="preserve"> </w:t>
      </w:r>
      <w:r w:rsidR="0000686B" w:rsidRPr="008B5CE2">
        <w:rPr>
          <w:rFonts w:asciiTheme="minorHAnsi" w:eastAsia="Calibri" w:hAnsiTheme="minorHAnsi" w:cs="Times New Roman"/>
        </w:rPr>
        <w:t>While</w:t>
      </w:r>
      <w:r w:rsidR="00A24486">
        <w:rPr>
          <w:rFonts w:asciiTheme="minorHAnsi" w:eastAsia="Calibri" w:hAnsiTheme="minorHAnsi" w:cs="Times New Roman"/>
        </w:rPr>
        <w:t xml:space="preserve"> the </w:t>
      </w:r>
      <w:r w:rsidR="00A24486">
        <w:rPr>
          <w:rFonts w:asciiTheme="minorHAnsi" w:eastAsia="Calibri" w:hAnsiTheme="minorHAnsi" w:cs="Times New Roman"/>
          <w:szCs w:val="24"/>
        </w:rPr>
        <w:t xml:space="preserve">December 2016 </w:t>
      </w:r>
      <w:r w:rsidR="00A24486" w:rsidRPr="00F45531">
        <w:rPr>
          <w:rFonts w:asciiTheme="minorHAnsi" w:eastAsia="Calibri" w:hAnsiTheme="minorHAnsi" w:cs="Times New Roman"/>
          <w:szCs w:val="24"/>
        </w:rPr>
        <w:t>Analysis</w:t>
      </w:r>
      <w:r w:rsidR="0000686B" w:rsidRPr="008B5CE2">
        <w:rPr>
          <w:rFonts w:asciiTheme="minorHAnsi" w:eastAsia="Calibri" w:hAnsiTheme="minorHAnsi" w:cs="Times New Roman"/>
          <w:szCs w:val="24"/>
        </w:rPr>
        <w:t xml:space="preserve"> suggests poor </w:t>
      </w:r>
      <w:r w:rsidR="009F448D" w:rsidRPr="008B5CE2">
        <w:rPr>
          <w:rFonts w:asciiTheme="minorHAnsi" w:eastAsia="Calibri" w:hAnsiTheme="minorHAnsi" w:cs="Times New Roman"/>
          <w:szCs w:val="24"/>
        </w:rPr>
        <w:t>persistence to</w:t>
      </w:r>
      <w:r w:rsidR="0000686B" w:rsidRPr="008B5CE2">
        <w:rPr>
          <w:rFonts w:asciiTheme="minorHAnsi" w:eastAsia="Calibri" w:hAnsiTheme="minorHAnsi" w:cs="Times New Roman"/>
          <w:szCs w:val="24"/>
        </w:rPr>
        <w:t xml:space="preserve"> therapy, the Reference Group acknowledged the </w:t>
      </w:r>
      <w:r w:rsidR="0082069A">
        <w:rPr>
          <w:rFonts w:asciiTheme="minorHAnsi" w:eastAsia="Calibri" w:hAnsiTheme="minorHAnsi" w:cs="Times New Roman"/>
          <w:szCs w:val="24"/>
        </w:rPr>
        <w:t>Drug Utilisation Sub-Committee (</w:t>
      </w:r>
      <w:r w:rsidR="0000686B" w:rsidRPr="008B5CE2">
        <w:rPr>
          <w:rFonts w:asciiTheme="minorHAnsi" w:eastAsia="Calibri" w:hAnsiTheme="minorHAnsi" w:cs="Times New Roman"/>
          <w:szCs w:val="24"/>
        </w:rPr>
        <w:t>DUSC</w:t>
      </w:r>
      <w:r w:rsidR="0082069A">
        <w:rPr>
          <w:rFonts w:asciiTheme="minorHAnsi" w:eastAsia="Calibri" w:hAnsiTheme="minorHAnsi" w:cs="Times New Roman"/>
          <w:szCs w:val="24"/>
        </w:rPr>
        <w:t>)</w:t>
      </w:r>
      <w:r w:rsidR="0000686B" w:rsidRPr="008B5CE2">
        <w:rPr>
          <w:rFonts w:asciiTheme="minorHAnsi" w:eastAsia="Calibri" w:hAnsiTheme="minorHAnsi" w:cs="Times New Roman"/>
          <w:szCs w:val="24"/>
        </w:rPr>
        <w:t xml:space="preserve"> advice that these studies were not designed specifically to </w:t>
      </w:r>
      <w:r w:rsidR="00394829" w:rsidRPr="008B5CE2">
        <w:rPr>
          <w:rFonts w:asciiTheme="minorHAnsi" w:eastAsia="Calibri" w:hAnsiTheme="minorHAnsi" w:cs="Times New Roman"/>
          <w:szCs w:val="24"/>
        </w:rPr>
        <w:t>measure</w:t>
      </w:r>
      <w:r w:rsidR="0000686B" w:rsidRPr="008B5CE2">
        <w:rPr>
          <w:rFonts w:asciiTheme="minorHAnsi" w:eastAsia="Calibri" w:hAnsiTheme="minorHAnsi" w:cs="Times New Roman"/>
          <w:szCs w:val="24"/>
        </w:rPr>
        <w:t xml:space="preserve"> adherence or persistence. However, the DUSC agreed that new users of medicines are likely to be at higher risk of non-adherence</w:t>
      </w:r>
      <w:r w:rsidR="00AE37D1" w:rsidRPr="008B5CE2">
        <w:rPr>
          <w:rFonts w:asciiTheme="minorHAnsi" w:eastAsia="Calibri" w:hAnsiTheme="minorHAnsi" w:cs="Times New Roman"/>
          <w:szCs w:val="24"/>
        </w:rPr>
        <w:t xml:space="preserve"> </w:t>
      </w:r>
      <w:r w:rsidR="004A5D64">
        <w:rPr>
          <w:rFonts w:asciiTheme="minorHAnsi" w:eastAsia="Calibri" w:hAnsiTheme="minorHAnsi" w:cs="Times New Roman"/>
          <w:szCs w:val="24"/>
        </w:rPr>
        <w:t>and</w:t>
      </w:r>
      <w:r w:rsidR="00AE37D1" w:rsidRPr="008B5CE2">
        <w:rPr>
          <w:rFonts w:asciiTheme="minorHAnsi" w:eastAsia="Calibri" w:hAnsiTheme="minorHAnsi" w:cs="Times New Roman"/>
          <w:szCs w:val="24"/>
        </w:rPr>
        <w:t xml:space="preserve"> non-persistence</w:t>
      </w:r>
      <w:r w:rsidR="0000686B" w:rsidRPr="008B5CE2">
        <w:rPr>
          <w:rFonts w:asciiTheme="minorHAnsi" w:eastAsia="Calibri" w:hAnsiTheme="minorHAnsi" w:cs="Times New Roman"/>
          <w:szCs w:val="24"/>
        </w:rPr>
        <w:t>.</w:t>
      </w:r>
    </w:p>
    <w:p w:rsidR="0000686B" w:rsidRDefault="0000686B">
      <w:pPr>
        <w:spacing w:line="240" w:lineRule="auto"/>
        <w:rPr>
          <w:rFonts w:asciiTheme="minorHAnsi" w:eastAsia="Calibri" w:hAnsiTheme="minorHAnsi" w:cs="Times New Roman"/>
          <w:szCs w:val="24"/>
        </w:rPr>
      </w:pPr>
      <w:r w:rsidRPr="008B5CE2">
        <w:rPr>
          <w:rFonts w:asciiTheme="minorHAnsi" w:eastAsia="Calibri" w:hAnsiTheme="minorHAnsi" w:cs="Times New Roman"/>
          <w:szCs w:val="24"/>
        </w:rPr>
        <w:t xml:space="preserve">The Reference Group also noted from recent literature that patients who take less than 80% of their </w:t>
      </w:r>
      <w:r w:rsidR="004A5D64">
        <w:rPr>
          <w:rFonts w:asciiTheme="minorHAnsi" w:eastAsia="Calibri" w:hAnsiTheme="minorHAnsi" w:cs="Times New Roman"/>
          <w:szCs w:val="24"/>
        </w:rPr>
        <w:t xml:space="preserve">prescribed </w:t>
      </w:r>
      <w:r w:rsidRPr="008B5CE2">
        <w:rPr>
          <w:rFonts w:asciiTheme="minorHAnsi" w:eastAsia="Calibri" w:hAnsiTheme="minorHAnsi" w:cs="Times New Roman"/>
          <w:szCs w:val="24"/>
        </w:rPr>
        <w:t xml:space="preserve">statin </w:t>
      </w:r>
      <w:r w:rsidR="004A5D64">
        <w:rPr>
          <w:rFonts w:asciiTheme="minorHAnsi" w:eastAsia="Calibri" w:hAnsiTheme="minorHAnsi" w:cs="Times New Roman"/>
          <w:szCs w:val="24"/>
        </w:rPr>
        <w:t>regimen</w:t>
      </w:r>
      <w:r w:rsidRPr="008B5CE2">
        <w:rPr>
          <w:rFonts w:asciiTheme="minorHAnsi" w:eastAsia="Calibri" w:hAnsiTheme="minorHAnsi" w:cs="Times New Roman"/>
          <w:szCs w:val="24"/>
        </w:rPr>
        <w:t xml:space="preserve"> have a 45% relative increase in total mortality compared with more adherent patients, an increase greater than that observed with poor adherence to </w:t>
      </w:r>
      <w:r w:rsidR="00A11DDF">
        <w:rPr>
          <w:rFonts w:asciiTheme="minorHAnsi" w:eastAsia="Calibri" w:hAnsiTheme="minorHAnsi" w:cs="Times New Roman"/>
          <w:szCs w:val="24"/>
        </w:rPr>
        <w:t xml:space="preserve">many </w:t>
      </w:r>
      <w:r w:rsidRPr="008B5CE2">
        <w:rPr>
          <w:rFonts w:asciiTheme="minorHAnsi" w:eastAsia="Calibri" w:hAnsiTheme="minorHAnsi" w:cs="Times New Roman"/>
          <w:szCs w:val="24"/>
        </w:rPr>
        <w:t>other cardiac drugs.</w:t>
      </w:r>
      <w:r w:rsidR="00847F3C">
        <w:rPr>
          <w:rFonts w:asciiTheme="minorHAnsi" w:eastAsia="Calibri" w:hAnsiTheme="minorHAnsi" w:cs="Times New Roman"/>
          <w:szCs w:val="24"/>
        </w:rPr>
        <w:t xml:space="preserve"> </w:t>
      </w:r>
      <w:r w:rsidR="004A06F1">
        <w:rPr>
          <w:rStyle w:val="EndnoteReference"/>
          <w:rFonts w:asciiTheme="minorHAnsi" w:eastAsia="Calibri" w:hAnsiTheme="minorHAnsi" w:cs="Times New Roman"/>
          <w:szCs w:val="24"/>
        </w:rPr>
        <w:endnoteReference w:id="1"/>
      </w:r>
      <w:r w:rsidR="004A06F1" w:rsidRPr="00231577">
        <w:rPr>
          <w:rFonts w:asciiTheme="minorHAnsi" w:eastAsia="Calibri" w:hAnsiTheme="minorHAnsi" w:cs="Times New Roman"/>
          <w:szCs w:val="24"/>
        </w:rPr>
        <w:t>T</w:t>
      </w:r>
      <w:r w:rsidRPr="00231577">
        <w:rPr>
          <w:rFonts w:asciiTheme="minorHAnsi" w:eastAsia="Calibri" w:hAnsiTheme="minorHAnsi" w:cs="Times New Roman"/>
          <w:szCs w:val="24"/>
        </w:rPr>
        <w:t>his underlines</w:t>
      </w:r>
      <w:r w:rsidR="00DA63B6">
        <w:rPr>
          <w:rFonts w:asciiTheme="minorHAnsi" w:eastAsia="Calibri" w:hAnsiTheme="minorHAnsi" w:cs="Times New Roman"/>
          <w:szCs w:val="24"/>
        </w:rPr>
        <w:t xml:space="preserve"> the importance of patient education when</w:t>
      </w:r>
      <w:r w:rsidRPr="00231577">
        <w:rPr>
          <w:rFonts w:asciiTheme="minorHAnsi" w:eastAsia="Calibri" w:hAnsiTheme="minorHAnsi" w:cs="Times New Roman"/>
          <w:szCs w:val="24"/>
        </w:rPr>
        <w:t xml:space="preserve"> initiating or recommencing LLT</w:t>
      </w:r>
      <w:r w:rsidR="00DA63B6">
        <w:rPr>
          <w:rFonts w:asciiTheme="minorHAnsi" w:eastAsia="Calibri" w:hAnsiTheme="minorHAnsi" w:cs="Times New Roman"/>
          <w:szCs w:val="24"/>
        </w:rPr>
        <w:t xml:space="preserve">, </w:t>
      </w:r>
      <w:r w:rsidR="00A11DDF">
        <w:rPr>
          <w:rFonts w:asciiTheme="minorHAnsi" w:eastAsia="Calibri" w:hAnsiTheme="minorHAnsi" w:cs="Times New Roman"/>
          <w:szCs w:val="24"/>
        </w:rPr>
        <w:t xml:space="preserve">in order </w:t>
      </w:r>
      <w:r w:rsidR="00DA63B6">
        <w:rPr>
          <w:rFonts w:asciiTheme="minorHAnsi" w:eastAsia="Calibri" w:hAnsiTheme="minorHAnsi" w:cs="Times New Roman"/>
          <w:szCs w:val="24"/>
        </w:rPr>
        <w:t xml:space="preserve">to </w:t>
      </w:r>
      <w:r w:rsidR="00A11DDF">
        <w:rPr>
          <w:rFonts w:asciiTheme="minorHAnsi" w:eastAsia="Calibri" w:hAnsiTheme="minorHAnsi" w:cs="Times New Roman"/>
          <w:szCs w:val="24"/>
        </w:rPr>
        <w:t xml:space="preserve">ensure taking </w:t>
      </w:r>
      <w:r w:rsidRPr="00231577">
        <w:rPr>
          <w:rFonts w:asciiTheme="minorHAnsi" w:eastAsia="Calibri" w:hAnsiTheme="minorHAnsi" w:cs="Times New Roman"/>
          <w:szCs w:val="24"/>
        </w:rPr>
        <w:t xml:space="preserve">LLT </w:t>
      </w:r>
      <w:r w:rsidR="00DA63B6">
        <w:rPr>
          <w:rFonts w:asciiTheme="minorHAnsi" w:eastAsia="Calibri" w:hAnsiTheme="minorHAnsi" w:cs="Times New Roman"/>
          <w:szCs w:val="24"/>
        </w:rPr>
        <w:t>over the long</w:t>
      </w:r>
      <w:r w:rsidR="00F7627D">
        <w:rPr>
          <w:rFonts w:asciiTheme="minorHAnsi" w:eastAsia="Calibri" w:hAnsiTheme="minorHAnsi" w:cs="Times New Roman"/>
          <w:szCs w:val="24"/>
        </w:rPr>
        <w:t>-</w:t>
      </w:r>
      <w:r w:rsidRPr="00231577">
        <w:rPr>
          <w:rFonts w:asciiTheme="minorHAnsi" w:eastAsia="Calibri" w:hAnsiTheme="minorHAnsi" w:cs="Times New Roman"/>
          <w:szCs w:val="24"/>
        </w:rPr>
        <w:t>term to achieve a</w:t>
      </w:r>
      <w:r w:rsidR="00DA63B6">
        <w:rPr>
          <w:rFonts w:asciiTheme="minorHAnsi" w:eastAsia="Calibri" w:hAnsiTheme="minorHAnsi" w:cs="Times New Roman"/>
          <w:szCs w:val="24"/>
        </w:rPr>
        <w:t xml:space="preserve"> </w:t>
      </w:r>
      <w:r w:rsidR="008A37F9">
        <w:rPr>
          <w:rFonts w:asciiTheme="minorHAnsi" w:eastAsia="Calibri" w:hAnsiTheme="minorHAnsi" w:cs="Times New Roman"/>
          <w:szCs w:val="24"/>
        </w:rPr>
        <w:t xml:space="preserve">sustained </w:t>
      </w:r>
      <w:r w:rsidR="008A37F9" w:rsidRPr="00231577">
        <w:rPr>
          <w:rFonts w:asciiTheme="minorHAnsi" w:eastAsia="Calibri" w:hAnsiTheme="minorHAnsi" w:cs="Times New Roman"/>
          <w:szCs w:val="24"/>
        </w:rPr>
        <w:t>reduction</w:t>
      </w:r>
      <w:r w:rsidRPr="00231577">
        <w:rPr>
          <w:rFonts w:asciiTheme="minorHAnsi" w:eastAsia="Calibri" w:hAnsiTheme="minorHAnsi" w:cs="Times New Roman"/>
          <w:szCs w:val="24"/>
        </w:rPr>
        <w:t xml:space="preserve"> in cardiovascular risk. </w:t>
      </w:r>
    </w:p>
    <w:p w:rsidR="008B6065" w:rsidRDefault="00177CC3">
      <w:pPr>
        <w:spacing w:line="240" w:lineRule="auto"/>
        <w:rPr>
          <w:rFonts w:asciiTheme="minorHAnsi" w:eastAsia="Calibri" w:hAnsiTheme="minorHAnsi" w:cs="Times New Roman"/>
          <w:szCs w:val="24"/>
        </w:rPr>
      </w:pPr>
      <w:r w:rsidRPr="008B5CE2">
        <w:rPr>
          <w:rFonts w:asciiTheme="minorHAnsi" w:eastAsia="Calibri" w:hAnsiTheme="minorHAnsi" w:cs="Times New Roman"/>
          <w:szCs w:val="24"/>
        </w:rPr>
        <w:t xml:space="preserve">The DUSC reviewed </w:t>
      </w:r>
      <w:r w:rsidR="00A24486">
        <w:rPr>
          <w:rFonts w:asciiTheme="minorHAnsi" w:eastAsia="Calibri" w:hAnsiTheme="minorHAnsi" w:cs="Times New Roman"/>
          <w:szCs w:val="24"/>
        </w:rPr>
        <w:t xml:space="preserve">the December 2016 </w:t>
      </w:r>
      <w:r w:rsidR="00A24486" w:rsidRPr="00F45531">
        <w:rPr>
          <w:rFonts w:asciiTheme="minorHAnsi" w:eastAsia="Calibri" w:hAnsiTheme="minorHAnsi" w:cs="Times New Roman"/>
          <w:szCs w:val="24"/>
        </w:rPr>
        <w:t>Analysis</w:t>
      </w:r>
      <w:r w:rsidR="00A24486" w:rsidRPr="008B5CE2">
        <w:rPr>
          <w:rFonts w:asciiTheme="minorHAnsi" w:eastAsia="Calibri" w:hAnsiTheme="minorHAnsi" w:cs="Times New Roman"/>
          <w:szCs w:val="24"/>
        </w:rPr>
        <w:t xml:space="preserve"> </w:t>
      </w:r>
      <w:r w:rsidRPr="008B5CE2">
        <w:rPr>
          <w:rFonts w:asciiTheme="minorHAnsi" w:eastAsia="Calibri" w:hAnsiTheme="minorHAnsi" w:cs="Times New Roman"/>
          <w:szCs w:val="24"/>
        </w:rPr>
        <w:t>in February 2017 and was concerned with the approach taken to answer</w:t>
      </w:r>
      <w:r w:rsidR="00A12D8B">
        <w:rPr>
          <w:rFonts w:asciiTheme="minorHAnsi" w:eastAsia="Calibri" w:hAnsiTheme="minorHAnsi" w:cs="Times New Roman"/>
          <w:szCs w:val="24"/>
        </w:rPr>
        <w:t xml:space="preserve"> </w:t>
      </w:r>
      <w:r w:rsidRPr="008B5CE2">
        <w:rPr>
          <w:rFonts w:asciiTheme="minorHAnsi" w:eastAsia="Calibri" w:hAnsiTheme="minorHAnsi" w:cs="Times New Roman"/>
          <w:szCs w:val="24"/>
        </w:rPr>
        <w:t xml:space="preserve">the utilisation research question </w:t>
      </w:r>
      <w:r w:rsidR="00394829" w:rsidRPr="008B5CE2">
        <w:rPr>
          <w:rFonts w:asciiTheme="minorHAnsi" w:eastAsia="Calibri" w:hAnsiTheme="minorHAnsi" w:cs="Times New Roman"/>
          <w:szCs w:val="24"/>
        </w:rPr>
        <w:t>for Term of Reference 1</w:t>
      </w:r>
      <w:r w:rsidRPr="008B5CE2">
        <w:rPr>
          <w:rFonts w:asciiTheme="minorHAnsi" w:eastAsia="Calibri" w:hAnsiTheme="minorHAnsi" w:cs="Times New Roman"/>
          <w:szCs w:val="24"/>
        </w:rPr>
        <w:t>.</w:t>
      </w:r>
      <w:r w:rsidR="00A12D8B">
        <w:rPr>
          <w:rFonts w:asciiTheme="minorHAnsi" w:eastAsia="Calibri" w:hAnsiTheme="minorHAnsi" w:cs="Times New Roman"/>
          <w:szCs w:val="24"/>
        </w:rPr>
        <w:t xml:space="preserve"> The</w:t>
      </w:r>
      <w:r w:rsidRPr="008B5CE2">
        <w:rPr>
          <w:rFonts w:asciiTheme="minorHAnsi" w:eastAsia="Calibri" w:hAnsiTheme="minorHAnsi" w:cs="Times New Roman"/>
          <w:szCs w:val="24"/>
        </w:rPr>
        <w:t xml:space="preserve"> </w:t>
      </w:r>
      <w:r w:rsidR="00394829" w:rsidRPr="008B5CE2">
        <w:rPr>
          <w:rFonts w:asciiTheme="minorHAnsi" w:eastAsia="Calibri" w:hAnsiTheme="minorHAnsi" w:cs="Times New Roman"/>
          <w:szCs w:val="24"/>
        </w:rPr>
        <w:t>DUSC</w:t>
      </w:r>
      <w:r w:rsidR="00A12D8B">
        <w:rPr>
          <w:rFonts w:asciiTheme="minorHAnsi" w:eastAsia="Calibri" w:hAnsiTheme="minorHAnsi" w:cs="Times New Roman"/>
          <w:szCs w:val="24"/>
        </w:rPr>
        <w:t xml:space="preserve"> noted that </w:t>
      </w:r>
      <w:r w:rsidR="00A24486">
        <w:rPr>
          <w:rFonts w:asciiTheme="minorHAnsi" w:eastAsia="Calibri" w:hAnsiTheme="minorHAnsi" w:cs="Times New Roman"/>
          <w:szCs w:val="24"/>
        </w:rPr>
        <w:t xml:space="preserve">the December 2016 </w:t>
      </w:r>
      <w:r w:rsidR="00A24486" w:rsidRPr="00F45531">
        <w:rPr>
          <w:rFonts w:asciiTheme="minorHAnsi" w:eastAsia="Calibri" w:hAnsiTheme="minorHAnsi" w:cs="Times New Roman"/>
          <w:szCs w:val="24"/>
        </w:rPr>
        <w:t>Analysis</w:t>
      </w:r>
      <w:r w:rsidR="00A24486" w:rsidRPr="008B5CE2">
        <w:rPr>
          <w:rFonts w:asciiTheme="minorHAnsi" w:eastAsia="Calibri" w:hAnsiTheme="minorHAnsi" w:cs="Times New Roman"/>
          <w:szCs w:val="24"/>
        </w:rPr>
        <w:t xml:space="preserve"> </w:t>
      </w:r>
      <w:r w:rsidR="00A12D8B">
        <w:rPr>
          <w:rFonts w:asciiTheme="minorHAnsi" w:eastAsia="Calibri" w:hAnsiTheme="minorHAnsi" w:cs="Times New Roman"/>
          <w:szCs w:val="24"/>
        </w:rPr>
        <w:t>had not linked all</w:t>
      </w:r>
      <w:r w:rsidR="00C015E6" w:rsidRPr="008B5CE2">
        <w:rPr>
          <w:rFonts w:asciiTheme="minorHAnsi" w:eastAsia="Calibri" w:hAnsiTheme="minorHAnsi" w:cs="Times New Roman"/>
          <w:szCs w:val="24"/>
        </w:rPr>
        <w:t xml:space="preserve"> </w:t>
      </w:r>
      <w:r w:rsidR="00394829" w:rsidRPr="008B5CE2">
        <w:rPr>
          <w:rFonts w:asciiTheme="minorHAnsi" w:eastAsia="Calibri" w:hAnsiTheme="minorHAnsi" w:cs="Times New Roman"/>
          <w:szCs w:val="24"/>
        </w:rPr>
        <w:t xml:space="preserve">LLT </w:t>
      </w:r>
      <w:r w:rsidR="00C015E6" w:rsidRPr="008B5CE2">
        <w:rPr>
          <w:rFonts w:asciiTheme="minorHAnsi" w:eastAsia="Calibri" w:hAnsiTheme="minorHAnsi" w:cs="Times New Roman"/>
          <w:szCs w:val="24"/>
        </w:rPr>
        <w:t>utilisation pre and pos</w:t>
      </w:r>
      <w:r w:rsidR="00A12D8B">
        <w:rPr>
          <w:rFonts w:asciiTheme="minorHAnsi" w:eastAsia="Calibri" w:hAnsiTheme="minorHAnsi" w:cs="Times New Roman"/>
          <w:szCs w:val="24"/>
        </w:rPr>
        <w:t>t</w:t>
      </w:r>
      <w:r w:rsidR="00C015E6" w:rsidRPr="008B5CE2">
        <w:rPr>
          <w:rFonts w:asciiTheme="minorHAnsi" w:eastAsia="Calibri" w:hAnsiTheme="minorHAnsi" w:cs="Times New Roman"/>
          <w:szCs w:val="24"/>
        </w:rPr>
        <w:t xml:space="preserve"> ezetimibe initiation at the individual patient level and that this was likely to have underestimated the number of patients who were not using ezetimibe in accordance with the </w:t>
      </w:r>
      <w:r w:rsidR="00D11D83">
        <w:rPr>
          <w:rFonts w:asciiTheme="minorHAnsi" w:eastAsia="Calibri" w:hAnsiTheme="minorHAnsi" w:cs="Times New Roman"/>
          <w:szCs w:val="24"/>
        </w:rPr>
        <w:t xml:space="preserve">PBS </w:t>
      </w:r>
      <w:r w:rsidR="00C015E6" w:rsidRPr="008B5CE2">
        <w:rPr>
          <w:rFonts w:asciiTheme="minorHAnsi" w:eastAsia="Calibri" w:hAnsiTheme="minorHAnsi" w:cs="Times New Roman"/>
          <w:szCs w:val="24"/>
        </w:rPr>
        <w:t>restriction.</w:t>
      </w:r>
      <w:r w:rsidR="00394829" w:rsidRPr="008B5CE2">
        <w:rPr>
          <w:rFonts w:asciiTheme="minorHAnsi" w:eastAsia="Calibri" w:hAnsiTheme="minorHAnsi" w:cs="Times New Roman"/>
          <w:szCs w:val="24"/>
        </w:rPr>
        <w:t xml:space="preserve"> </w:t>
      </w:r>
      <w:r w:rsidR="00A12D8B">
        <w:rPr>
          <w:rFonts w:asciiTheme="minorHAnsi" w:eastAsia="Calibri" w:hAnsiTheme="minorHAnsi" w:cs="Times New Roman"/>
          <w:szCs w:val="24"/>
        </w:rPr>
        <w:t xml:space="preserve">DUSC </w:t>
      </w:r>
      <w:r w:rsidR="00D11D83">
        <w:rPr>
          <w:rFonts w:asciiTheme="minorHAnsi" w:eastAsia="Calibri" w:hAnsiTheme="minorHAnsi" w:cs="Times New Roman"/>
          <w:szCs w:val="24"/>
        </w:rPr>
        <w:t>noted that for some patients</w:t>
      </w:r>
      <w:r w:rsidR="00A11DDF">
        <w:rPr>
          <w:rFonts w:asciiTheme="minorHAnsi" w:eastAsia="Calibri" w:hAnsiTheme="minorHAnsi" w:cs="Times New Roman"/>
          <w:szCs w:val="24"/>
        </w:rPr>
        <w:t>,</w:t>
      </w:r>
      <w:r w:rsidR="00D11D83">
        <w:rPr>
          <w:rFonts w:asciiTheme="minorHAnsi" w:eastAsia="Calibri" w:hAnsiTheme="minorHAnsi" w:cs="Times New Roman"/>
          <w:szCs w:val="24"/>
        </w:rPr>
        <w:t xml:space="preserve"> there was strong evidence which supported compliance (denoted in green) or </w:t>
      </w:r>
      <w:r w:rsidR="00A11DDF">
        <w:rPr>
          <w:rFonts w:asciiTheme="minorHAnsi" w:eastAsia="Calibri" w:hAnsiTheme="minorHAnsi" w:cs="Times New Roman"/>
          <w:szCs w:val="24"/>
        </w:rPr>
        <w:t>non-compliance</w:t>
      </w:r>
      <w:r w:rsidR="00D11D83">
        <w:rPr>
          <w:rFonts w:asciiTheme="minorHAnsi" w:eastAsia="Calibri" w:hAnsiTheme="minorHAnsi" w:cs="Times New Roman"/>
          <w:szCs w:val="24"/>
        </w:rPr>
        <w:t xml:space="preserve"> (denoted in red) with PBS restrictions</w:t>
      </w:r>
      <w:r w:rsidR="00A11DDF">
        <w:rPr>
          <w:rFonts w:asciiTheme="minorHAnsi" w:eastAsia="Calibri" w:hAnsiTheme="minorHAnsi" w:cs="Times New Roman"/>
          <w:szCs w:val="24"/>
        </w:rPr>
        <w:t>. DUSC</w:t>
      </w:r>
      <w:r w:rsidR="00D11D83">
        <w:rPr>
          <w:rFonts w:asciiTheme="minorHAnsi" w:eastAsia="Calibri" w:hAnsiTheme="minorHAnsi" w:cs="Times New Roman"/>
          <w:szCs w:val="24"/>
        </w:rPr>
        <w:t xml:space="preserve"> also noted there was uncertainty for some patients as to whether their ezetimibe use was in accordance with the PBS restriction due to insufficient information being </w:t>
      </w:r>
      <w:r w:rsidR="00B87EE6">
        <w:rPr>
          <w:rFonts w:asciiTheme="minorHAnsi" w:eastAsia="Calibri" w:hAnsiTheme="minorHAnsi" w:cs="Times New Roman"/>
          <w:szCs w:val="24"/>
        </w:rPr>
        <w:t>available in PBS data</w:t>
      </w:r>
      <w:r w:rsidR="00D11D83">
        <w:rPr>
          <w:rFonts w:asciiTheme="minorHAnsi" w:eastAsia="Calibri" w:hAnsiTheme="minorHAnsi" w:cs="Times New Roman"/>
          <w:szCs w:val="24"/>
        </w:rPr>
        <w:t xml:space="preserve">. These initiators were placed </w:t>
      </w:r>
      <w:r w:rsidR="00A12D8B">
        <w:rPr>
          <w:rFonts w:asciiTheme="minorHAnsi" w:eastAsia="Calibri" w:hAnsiTheme="minorHAnsi" w:cs="Times New Roman"/>
          <w:szCs w:val="24"/>
        </w:rPr>
        <w:t>in a separate ‘uncertain’ category</w:t>
      </w:r>
      <w:r w:rsidR="00DA63B6">
        <w:rPr>
          <w:rFonts w:asciiTheme="minorHAnsi" w:eastAsia="Calibri" w:hAnsiTheme="minorHAnsi" w:cs="Times New Roman"/>
          <w:szCs w:val="24"/>
        </w:rPr>
        <w:t xml:space="preserve"> designated </w:t>
      </w:r>
      <w:r w:rsidR="00A11DDF">
        <w:rPr>
          <w:rFonts w:asciiTheme="minorHAnsi" w:eastAsia="Calibri" w:hAnsiTheme="minorHAnsi" w:cs="Times New Roman"/>
          <w:szCs w:val="24"/>
        </w:rPr>
        <w:t>‘</w:t>
      </w:r>
      <w:r w:rsidR="00DA63B6">
        <w:rPr>
          <w:rFonts w:asciiTheme="minorHAnsi" w:eastAsia="Calibri" w:hAnsiTheme="minorHAnsi" w:cs="Times New Roman"/>
          <w:szCs w:val="24"/>
        </w:rPr>
        <w:t>orange</w:t>
      </w:r>
      <w:r w:rsidR="00A11DDF">
        <w:rPr>
          <w:rFonts w:asciiTheme="minorHAnsi" w:eastAsia="Calibri" w:hAnsiTheme="minorHAnsi" w:cs="Times New Roman"/>
          <w:szCs w:val="24"/>
        </w:rPr>
        <w:t>’</w:t>
      </w:r>
      <w:r w:rsidR="00DA63B6">
        <w:rPr>
          <w:rFonts w:asciiTheme="minorHAnsi" w:eastAsia="Calibri" w:hAnsiTheme="minorHAnsi" w:cs="Times New Roman"/>
          <w:szCs w:val="24"/>
        </w:rPr>
        <w:t xml:space="preserve"> </w:t>
      </w:r>
      <w:r w:rsidR="00EC0EDC">
        <w:rPr>
          <w:rFonts w:asciiTheme="minorHAnsi" w:eastAsia="Calibri" w:hAnsiTheme="minorHAnsi" w:cs="Times New Roman"/>
          <w:szCs w:val="24"/>
        </w:rPr>
        <w:t xml:space="preserve">as described </w:t>
      </w:r>
      <w:r w:rsidR="00DA63B6">
        <w:rPr>
          <w:rFonts w:asciiTheme="minorHAnsi" w:eastAsia="Calibri" w:hAnsiTheme="minorHAnsi" w:cs="Times New Roman"/>
          <w:szCs w:val="24"/>
        </w:rPr>
        <w:t xml:space="preserve">below. </w:t>
      </w:r>
    </w:p>
    <w:p w:rsidR="00C015E6" w:rsidRPr="008B5CE2" w:rsidRDefault="00A12D8B">
      <w:pPr>
        <w:spacing w:after="0" w:line="259" w:lineRule="auto"/>
        <w:rPr>
          <w:rFonts w:asciiTheme="minorHAnsi" w:eastAsia="Calibri" w:hAnsiTheme="minorHAnsi"/>
          <w:szCs w:val="24"/>
        </w:rPr>
      </w:pPr>
      <w:r>
        <w:rPr>
          <w:rFonts w:asciiTheme="minorHAnsi" w:eastAsia="Calibri" w:hAnsiTheme="minorHAnsi"/>
          <w:szCs w:val="24"/>
        </w:rPr>
        <w:lastRenderedPageBreak/>
        <w:t xml:space="preserve">In </w:t>
      </w:r>
      <w:r w:rsidR="00DA63B6">
        <w:rPr>
          <w:rFonts w:asciiTheme="minorHAnsi" w:eastAsia="Calibri" w:hAnsiTheme="minorHAnsi"/>
          <w:szCs w:val="24"/>
        </w:rPr>
        <w:t xml:space="preserve">summary </w:t>
      </w:r>
      <w:r w:rsidR="00C015E6" w:rsidRPr="008B5CE2">
        <w:rPr>
          <w:rFonts w:asciiTheme="minorHAnsi" w:eastAsia="Calibri" w:hAnsiTheme="minorHAnsi"/>
          <w:szCs w:val="24"/>
        </w:rPr>
        <w:t>DUSC</w:t>
      </w:r>
      <w:r>
        <w:rPr>
          <w:rFonts w:asciiTheme="minorHAnsi" w:eastAsia="Calibri" w:hAnsiTheme="minorHAnsi"/>
          <w:szCs w:val="24"/>
        </w:rPr>
        <w:t xml:space="preserve"> proposed </w:t>
      </w:r>
      <w:r w:rsidR="00C015E6" w:rsidRPr="008B5CE2">
        <w:rPr>
          <w:rFonts w:asciiTheme="minorHAnsi" w:eastAsia="Calibri" w:hAnsiTheme="minorHAnsi"/>
          <w:szCs w:val="24"/>
        </w:rPr>
        <w:t xml:space="preserve">that </w:t>
      </w:r>
      <w:r w:rsidR="008B6065">
        <w:rPr>
          <w:rFonts w:asciiTheme="minorHAnsi" w:eastAsia="Calibri" w:hAnsiTheme="minorHAnsi"/>
          <w:szCs w:val="24"/>
        </w:rPr>
        <w:t xml:space="preserve">new users of </w:t>
      </w:r>
      <w:r w:rsidR="00C015E6" w:rsidRPr="008B5CE2">
        <w:rPr>
          <w:rFonts w:asciiTheme="minorHAnsi" w:eastAsia="Calibri" w:hAnsiTheme="minorHAnsi"/>
          <w:szCs w:val="24"/>
        </w:rPr>
        <w:t>ezetimibe could be categorised into</w:t>
      </w:r>
      <w:r>
        <w:rPr>
          <w:rFonts w:asciiTheme="minorHAnsi" w:eastAsia="Calibri" w:hAnsiTheme="minorHAnsi"/>
          <w:szCs w:val="24"/>
        </w:rPr>
        <w:t xml:space="preserve"> the following </w:t>
      </w:r>
      <w:r w:rsidR="00C015E6" w:rsidRPr="008B5CE2">
        <w:rPr>
          <w:rFonts w:asciiTheme="minorHAnsi" w:eastAsia="Calibri" w:hAnsiTheme="minorHAnsi"/>
          <w:szCs w:val="24"/>
        </w:rPr>
        <w:t>three groups (</w:t>
      </w:r>
      <w:r w:rsidR="001751C4">
        <w:rPr>
          <w:rFonts w:asciiTheme="minorHAnsi" w:eastAsia="Calibri" w:hAnsiTheme="minorHAnsi"/>
          <w:szCs w:val="24"/>
        </w:rPr>
        <w:t xml:space="preserve">March 2017 </w:t>
      </w:r>
      <w:r w:rsidR="00C015E6" w:rsidRPr="008B5CE2">
        <w:rPr>
          <w:rFonts w:asciiTheme="minorHAnsi" w:eastAsia="Calibri" w:hAnsiTheme="minorHAnsi"/>
          <w:szCs w:val="24"/>
        </w:rPr>
        <w:t xml:space="preserve">Analysis </w:t>
      </w:r>
      <w:r w:rsidR="009F448D" w:rsidRPr="008B5CE2">
        <w:rPr>
          <w:rFonts w:asciiTheme="minorHAnsi" w:eastAsia="Calibri" w:hAnsiTheme="minorHAnsi"/>
          <w:szCs w:val="24"/>
        </w:rPr>
        <w:t xml:space="preserve">- Appendix </w:t>
      </w:r>
      <w:r w:rsidR="00DA63B6">
        <w:rPr>
          <w:rFonts w:asciiTheme="minorHAnsi" w:eastAsia="Calibri" w:hAnsiTheme="minorHAnsi"/>
          <w:szCs w:val="24"/>
        </w:rPr>
        <w:t>E</w:t>
      </w:r>
      <w:r w:rsidR="00C015E6" w:rsidRPr="008B5CE2">
        <w:rPr>
          <w:rFonts w:asciiTheme="minorHAnsi" w:eastAsia="Calibri" w:hAnsiTheme="minorHAnsi"/>
          <w:szCs w:val="24"/>
        </w:rPr>
        <w:t>):</w:t>
      </w:r>
    </w:p>
    <w:p w:rsidR="00C015E6" w:rsidRPr="008B5CE2" w:rsidRDefault="00C015E6">
      <w:pPr>
        <w:tabs>
          <w:tab w:val="left" w:pos="284"/>
        </w:tabs>
        <w:spacing w:after="0" w:line="240" w:lineRule="auto"/>
        <w:rPr>
          <w:rFonts w:ascii="Calibri" w:eastAsia="Times New Roman" w:hAnsi="Calibri" w:cs="Times New Roman"/>
          <w:szCs w:val="24"/>
          <w:lang w:eastAsia="zh-CN"/>
        </w:rPr>
      </w:pPr>
      <w:r w:rsidRPr="008B5CE2">
        <w:rPr>
          <w:rFonts w:ascii="Calibri" w:eastAsia="Times New Roman" w:hAnsi="Calibri" w:cs="Times New Roman"/>
          <w:sz w:val="22"/>
          <w:lang w:eastAsia="zh-CN"/>
        </w:rPr>
        <w:t>•</w:t>
      </w:r>
      <w:r w:rsidRPr="008B5CE2">
        <w:rPr>
          <w:rFonts w:ascii="Calibri" w:eastAsia="Times New Roman" w:hAnsi="Calibri" w:cs="Times New Roman"/>
          <w:sz w:val="22"/>
          <w:lang w:eastAsia="zh-CN"/>
        </w:rPr>
        <w:tab/>
      </w:r>
      <w:r w:rsidRPr="008B5CE2">
        <w:rPr>
          <w:rFonts w:ascii="Calibri" w:eastAsia="Times New Roman" w:hAnsi="Calibri" w:cs="Times New Roman"/>
          <w:szCs w:val="24"/>
          <w:lang w:eastAsia="zh-CN"/>
        </w:rPr>
        <w:t>those initiating ezetimibe in accordance with the PBS restriction (</w:t>
      </w:r>
      <w:r w:rsidRPr="008B5CE2">
        <w:rPr>
          <w:rFonts w:ascii="Calibri" w:eastAsia="Times New Roman" w:hAnsi="Calibri" w:cs="Times New Roman"/>
          <w:color w:val="00B050"/>
          <w:szCs w:val="24"/>
          <w:lang w:eastAsia="zh-CN"/>
        </w:rPr>
        <w:t>green</w:t>
      </w:r>
      <w:r w:rsidRPr="008B5CE2">
        <w:rPr>
          <w:rFonts w:ascii="Calibri" w:eastAsia="Times New Roman" w:hAnsi="Calibri" w:cs="Times New Roman"/>
          <w:szCs w:val="24"/>
          <w:lang w:eastAsia="zh-CN"/>
        </w:rPr>
        <w:t xml:space="preserve">); </w:t>
      </w:r>
    </w:p>
    <w:p w:rsidR="00C015E6" w:rsidRPr="008B5CE2" w:rsidRDefault="00C015E6">
      <w:pPr>
        <w:tabs>
          <w:tab w:val="left" w:pos="284"/>
        </w:tabs>
        <w:spacing w:after="0" w:line="240" w:lineRule="auto"/>
        <w:ind w:left="284" w:hanging="284"/>
        <w:rPr>
          <w:rFonts w:ascii="Calibri" w:eastAsia="Times New Roman" w:hAnsi="Calibri" w:cs="Times New Roman"/>
          <w:szCs w:val="24"/>
          <w:lang w:eastAsia="zh-CN"/>
        </w:rPr>
      </w:pPr>
      <w:r w:rsidRPr="008B5CE2">
        <w:rPr>
          <w:rFonts w:ascii="Calibri" w:eastAsia="Times New Roman" w:hAnsi="Calibri" w:cs="Times New Roman"/>
          <w:szCs w:val="24"/>
          <w:lang w:eastAsia="zh-CN"/>
        </w:rPr>
        <w:t>•</w:t>
      </w:r>
      <w:r w:rsidRPr="008B5CE2">
        <w:rPr>
          <w:rFonts w:ascii="Calibri" w:eastAsia="Times New Roman" w:hAnsi="Calibri" w:cs="Times New Roman"/>
          <w:szCs w:val="24"/>
          <w:lang w:eastAsia="zh-CN"/>
        </w:rPr>
        <w:tab/>
        <w:t>those initiating ezetimibe in a manner that is not consistent with the PBS restriction (</w:t>
      </w:r>
      <w:r w:rsidRPr="008B5CE2">
        <w:rPr>
          <w:rFonts w:ascii="Calibri" w:eastAsia="Times New Roman" w:hAnsi="Calibri" w:cs="Times New Roman"/>
          <w:color w:val="C00000"/>
          <w:szCs w:val="24"/>
          <w:lang w:eastAsia="zh-CN"/>
        </w:rPr>
        <w:t>red</w:t>
      </w:r>
      <w:r w:rsidRPr="008B5CE2">
        <w:rPr>
          <w:rFonts w:ascii="Calibri" w:eastAsia="Times New Roman" w:hAnsi="Calibri" w:cs="Times New Roman"/>
          <w:szCs w:val="24"/>
          <w:lang w:eastAsia="zh-CN"/>
        </w:rPr>
        <w:t xml:space="preserve">); </w:t>
      </w:r>
    </w:p>
    <w:p w:rsidR="00C015E6" w:rsidRPr="008B5CE2" w:rsidRDefault="00C015E6">
      <w:pPr>
        <w:tabs>
          <w:tab w:val="left" w:pos="284"/>
        </w:tabs>
        <w:spacing w:after="240" w:line="259" w:lineRule="auto"/>
        <w:rPr>
          <w:rFonts w:ascii="Calibri" w:eastAsia="Times New Roman" w:hAnsi="Calibri" w:cs="Times New Roman"/>
          <w:szCs w:val="24"/>
          <w:lang w:eastAsia="zh-CN"/>
        </w:rPr>
      </w:pPr>
      <w:r w:rsidRPr="008B5CE2">
        <w:rPr>
          <w:rFonts w:ascii="Calibri" w:eastAsia="Times New Roman" w:hAnsi="Calibri" w:cs="Times New Roman"/>
          <w:szCs w:val="24"/>
          <w:lang w:eastAsia="zh-CN"/>
        </w:rPr>
        <w:t>•</w:t>
      </w:r>
      <w:r w:rsidRPr="008B5CE2">
        <w:rPr>
          <w:rFonts w:ascii="Calibri" w:eastAsia="Times New Roman" w:hAnsi="Calibri" w:cs="Times New Roman"/>
          <w:szCs w:val="24"/>
          <w:lang w:eastAsia="zh-CN"/>
        </w:rPr>
        <w:tab/>
        <w:t>the remainder for whom compliance with the PBS restriction is unknown (</w:t>
      </w:r>
      <w:r w:rsidRPr="008B5CE2">
        <w:rPr>
          <w:rFonts w:ascii="Calibri" w:eastAsia="Times New Roman" w:hAnsi="Calibri" w:cs="Times New Roman"/>
          <w:color w:val="FF6600"/>
          <w:szCs w:val="24"/>
          <w:lang w:eastAsia="zh-CN"/>
        </w:rPr>
        <w:t>orange</w:t>
      </w:r>
      <w:r w:rsidRPr="008B5CE2">
        <w:rPr>
          <w:rFonts w:ascii="Calibri" w:eastAsia="Times New Roman" w:hAnsi="Calibri" w:cs="Times New Roman"/>
          <w:szCs w:val="24"/>
          <w:lang w:eastAsia="zh-CN"/>
        </w:rPr>
        <w:t xml:space="preserve">).  </w:t>
      </w:r>
    </w:p>
    <w:p w:rsidR="00C015E6" w:rsidRPr="008B5CE2" w:rsidRDefault="001751C4">
      <w:pPr>
        <w:spacing w:line="240" w:lineRule="auto"/>
        <w:rPr>
          <w:rFonts w:asciiTheme="minorHAnsi" w:hAnsiTheme="minorHAnsi"/>
          <w:szCs w:val="24"/>
        </w:rPr>
      </w:pPr>
      <w:r>
        <w:rPr>
          <w:rFonts w:asciiTheme="minorHAnsi" w:eastAsia="Calibri" w:hAnsiTheme="minorHAnsi"/>
          <w:szCs w:val="24"/>
        </w:rPr>
        <w:t xml:space="preserve">The March 2017 </w:t>
      </w:r>
      <w:r w:rsidR="00C015E6" w:rsidRPr="008B5CE2">
        <w:rPr>
          <w:rFonts w:asciiTheme="minorHAnsi" w:eastAsia="Calibri" w:hAnsiTheme="minorHAnsi"/>
          <w:szCs w:val="24"/>
        </w:rPr>
        <w:t xml:space="preserve">Analysis was conducted </w:t>
      </w:r>
      <w:r w:rsidR="00226DBF">
        <w:rPr>
          <w:rFonts w:asciiTheme="minorHAnsi" w:eastAsia="Calibri" w:hAnsiTheme="minorHAnsi"/>
          <w:szCs w:val="24"/>
        </w:rPr>
        <w:t xml:space="preserve">using </w:t>
      </w:r>
      <w:r w:rsidR="00C015E6" w:rsidRPr="008B5CE2">
        <w:rPr>
          <w:rFonts w:asciiTheme="minorHAnsi" w:eastAsia="Calibri" w:hAnsiTheme="minorHAnsi"/>
          <w:szCs w:val="24"/>
        </w:rPr>
        <w:t xml:space="preserve">the same dataset and the same </w:t>
      </w:r>
      <w:r w:rsidR="00394829" w:rsidRPr="008B5CE2">
        <w:rPr>
          <w:rFonts w:asciiTheme="minorHAnsi" w:eastAsia="Calibri" w:hAnsiTheme="minorHAnsi"/>
          <w:szCs w:val="24"/>
        </w:rPr>
        <w:t>C</w:t>
      </w:r>
      <w:r w:rsidR="00C015E6" w:rsidRPr="008B5CE2">
        <w:rPr>
          <w:rFonts w:asciiTheme="minorHAnsi" w:eastAsia="Calibri" w:hAnsiTheme="minorHAnsi"/>
          <w:szCs w:val="24"/>
        </w:rPr>
        <w:t>ohorts</w:t>
      </w:r>
      <w:r w:rsidR="009F448D" w:rsidRPr="008B5CE2">
        <w:rPr>
          <w:rFonts w:asciiTheme="minorHAnsi" w:eastAsia="Calibri" w:hAnsiTheme="minorHAnsi"/>
          <w:szCs w:val="24"/>
        </w:rPr>
        <w:t xml:space="preserve"> (</w:t>
      </w:r>
      <w:r w:rsidR="00C015E6" w:rsidRPr="008B5CE2">
        <w:rPr>
          <w:rFonts w:asciiTheme="minorHAnsi" w:eastAsia="Calibri" w:hAnsiTheme="minorHAnsi"/>
          <w:szCs w:val="24"/>
        </w:rPr>
        <w:t>1 and 2</w:t>
      </w:r>
      <w:r w:rsidR="009F448D" w:rsidRPr="008B5CE2">
        <w:rPr>
          <w:rFonts w:asciiTheme="minorHAnsi" w:eastAsia="Calibri" w:hAnsiTheme="minorHAnsi"/>
          <w:szCs w:val="24"/>
        </w:rPr>
        <w:t>)</w:t>
      </w:r>
      <w:r w:rsidR="00C015E6" w:rsidRPr="008B5CE2">
        <w:rPr>
          <w:rFonts w:asciiTheme="minorHAnsi" w:eastAsia="Calibri" w:hAnsiTheme="minorHAnsi"/>
          <w:szCs w:val="24"/>
        </w:rPr>
        <w:t xml:space="preserve"> as identified in </w:t>
      </w:r>
      <w:r w:rsidR="00A24486">
        <w:rPr>
          <w:rFonts w:asciiTheme="minorHAnsi" w:eastAsia="Calibri" w:hAnsiTheme="minorHAnsi"/>
          <w:szCs w:val="24"/>
        </w:rPr>
        <w:t xml:space="preserve">the </w:t>
      </w:r>
      <w:r w:rsidR="00A24486">
        <w:rPr>
          <w:rFonts w:asciiTheme="minorHAnsi" w:eastAsia="Calibri" w:hAnsiTheme="minorHAnsi" w:cs="Times New Roman"/>
          <w:szCs w:val="24"/>
        </w:rPr>
        <w:t xml:space="preserve">December 2016 </w:t>
      </w:r>
      <w:r w:rsidR="00A24486" w:rsidRPr="00F45531">
        <w:rPr>
          <w:rFonts w:asciiTheme="minorHAnsi" w:eastAsia="Calibri" w:hAnsiTheme="minorHAnsi" w:cs="Times New Roman"/>
          <w:szCs w:val="24"/>
        </w:rPr>
        <w:t>Analysis</w:t>
      </w:r>
      <w:r w:rsidR="00A24486">
        <w:rPr>
          <w:rFonts w:asciiTheme="minorHAnsi" w:eastAsia="Calibri" w:hAnsiTheme="minorHAnsi" w:cs="Times New Roman"/>
          <w:szCs w:val="24"/>
        </w:rPr>
        <w:t>.</w:t>
      </w:r>
      <w:r w:rsidR="009F448D" w:rsidRPr="008B5CE2">
        <w:rPr>
          <w:rFonts w:asciiTheme="minorHAnsi" w:eastAsia="Calibri" w:hAnsiTheme="minorHAnsi"/>
          <w:szCs w:val="24"/>
        </w:rPr>
        <w:t xml:space="preserve"> </w:t>
      </w:r>
    </w:p>
    <w:p w:rsidR="00C015E6" w:rsidRPr="008B5CE2" w:rsidRDefault="001751C4">
      <w:pPr>
        <w:spacing w:line="240" w:lineRule="auto"/>
        <w:rPr>
          <w:rFonts w:asciiTheme="minorHAnsi" w:eastAsia="Calibri" w:hAnsiTheme="minorHAnsi" w:cs="Times New Roman"/>
          <w:szCs w:val="24"/>
        </w:rPr>
      </w:pPr>
      <w:r>
        <w:rPr>
          <w:rFonts w:asciiTheme="minorHAnsi" w:eastAsia="Calibri" w:hAnsiTheme="minorHAnsi" w:cs="Times New Roman"/>
          <w:szCs w:val="24"/>
        </w:rPr>
        <w:t xml:space="preserve">The </w:t>
      </w:r>
      <w:r>
        <w:rPr>
          <w:rFonts w:asciiTheme="minorHAnsi" w:eastAsia="Calibri" w:hAnsiTheme="minorHAnsi"/>
          <w:szCs w:val="24"/>
        </w:rPr>
        <w:t>March 2017 Anal</w:t>
      </w:r>
      <w:r w:rsidR="00C015E6" w:rsidRPr="008B5CE2">
        <w:rPr>
          <w:rFonts w:asciiTheme="minorHAnsi" w:eastAsia="Calibri" w:hAnsiTheme="minorHAnsi" w:cs="Times New Roman"/>
          <w:szCs w:val="24"/>
        </w:rPr>
        <w:t>ysis found</w:t>
      </w:r>
      <w:r w:rsidR="009F448D" w:rsidRPr="008B5CE2">
        <w:rPr>
          <w:rFonts w:asciiTheme="minorHAnsi" w:eastAsia="Calibri" w:hAnsiTheme="minorHAnsi" w:cs="Times New Roman"/>
          <w:szCs w:val="24"/>
        </w:rPr>
        <w:t xml:space="preserve"> that </w:t>
      </w:r>
      <w:r w:rsidR="00C015E6" w:rsidRPr="008B5CE2">
        <w:rPr>
          <w:rFonts w:asciiTheme="minorHAnsi" w:eastAsia="Calibri" w:hAnsiTheme="minorHAnsi" w:cs="Times New Roman"/>
          <w:szCs w:val="24"/>
        </w:rPr>
        <w:t>46.9 % of patients were in the ‘green’ group</w:t>
      </w:r>
      <w:r w:rsidR="009F448D" w:rsidRPr="008B5CE2">
        <w:rPr>
          <w:rFonts w:asciiTheme="minorHAnsi" w:eastAsia="Calibri" w:hAnsiTheme="minorHAnsi" w:cs="Times New Roman"/>
          <w:szCs w:val="24"/>
        </w:rPr>
        <w:t xml:space="preserve"> described above</w:t>
      </w:r>
      <w:r w:rsidR="00C015E6" w:rsidRPr="008B5CE2">
        <w:rPr>
          <w:rFonts w:asciiTheme="minorHAnsi" w:eastAsia="Calibri" w:hAnsiTheme="minorHAnsi" w:cs="Times New Roman"/>
          <w:szCs w:val="24"/>
        </w:rPr>
        <w:t>, 18.4% of patients were in the ‘red’ group and 34.8% of patients were in the ‘orange’ group.</w:t>
      </w:r>
    </w:p>
    <w:p w:rsidR="00C015E6" w:rsidRPr="00AD1BBB" w:rsidRDefault="00C015E6">
      <w:pPr>
        <w:spacing w:line="240" w:lineRule="auto"/>
        <w:rPr>
          <w:rFonts w:asciiTheme="minorHAnsi" w:hAnsiTheme="minorHAnsi" w:cs="Arial"/>
          <w:szCs w:val="24"/>
        </w:rPr>
      </w:pPr>
      <w:r w:rsidRPr="00AD1BBB">
        <w:rPr>
          <w:rFonts w:asciiTheme="minorHAnsi" w:hAnsiTheme="minorHAnsi" w:cs="Arial"/>
          <w:szCs w:val="24"/>
        </w:rPr>
        <w:t xml:space="preserve">Taking the results of the </w:t>
      </w:r>
      <w:r w:rsidR="001751C4">
        <w:rPr>
          <w:rFonts w:asciiTheme="minorHAnsi" w:eastAsia="Calibri" w:hAnsiTheme="minorHAnsi"/>
          <w:szCs w:val="24"/>
        </w:rPr>
        <w:t xml:space="preserve">March 2017 </w:t>
      </w:r>
      <w:r w:rsidR="00236878">
        <w:rPr>
          <w:rFonts w:asciiTheme="minorHAnsi" w:hAnsiTheme="minorHAnsi" w:cs="Arial"/>
          <w:szCs w:val="24"/>
        </w:rPr>
        <w:t>A</w:t>
      </w:r>
      <w:r w:rsidRPr="00AD1BBB">
        <w:rPr>
          <w:rFonts w:asciiTheme="minorHAnsi" w:hAnsiTheme="minorHAnsi" w:cs="Arial"/>
          <w:szCs w:val="24"/>
        </w:rPr>
        <w:t xml:space="preserve">nalysis into account, the Reference Group considered the estimate of ezetimibe use outside the PBS restriction would fall </w:t>
      </w:r>
      <w:r w:rsidR="009F448D" w:rsidRPr="00AD1BBB">
        <w:rPr>
          <w:rFonts w:asciiTheme="minorHAnsi" w:hAnsiTheme="minorHAnsi" w:cs="Arial"/>
          <w:szCs w:val="24"/>
        </w:rPr>
        <w:t xml:space="preserve">somewhere </w:t>
      </w:r>
      <w:r w:rsidRPr="00AD1BBB">
        <w:rPr>
          <w:rFonts w:asciiTheme="minorHAnsi" w:hAnsiTheme="minorHAnsi" w:cs="Arial"/>
          <w:szCs w:val="24"/>
        </w:rPr>
        <w:t>in the range of 18.4% - 53.</w:t>
      </w:r>
      <w:r w:rsidR="008B5CE2" w:rsidRPr="00AD1BBB">
        <w:rPr>
          <w:rFonts w:asciiTheme="minorHAnsi" w:hAnsiTheme="minorHAnsi" w:cs="Arial"/>
          <w:szCs w:val="24"/>
        </w:rPr>
        <w:t>2</w:t>
      </w:r>
      <w:r w:rsidRPr="00AD1BBB">
        <w:rPr>
          <w:rFonts w:asciiTheme="minorHAnsi" w:hAnsiTheme="minorHAnsi" w:cs="Arial"/>
          <w:szCs w:val="24"/>
        </w:rPr>
        <w:t>%</w:t>
      </w:r>
      <w:r w:rsidR="008B6065">
        <w:rPr>
          <w:rFonts w:asciiTheme="minorHAnsi" w:hAnsiTheme="minorHAnsi" w:cs="Arial"/>
          <w:szCs w:val="24"/>
        </w:rPr>
        <w:t xml:space="preserve"> i.e. the proportion</w:t>
      </w:r>
      <w:r w:rsidR="00226DBF">
        <w:rPr>
          <w:rFonts w:asciiTheme="minorHAnsi" w:hAnsiTheme="minorHAnsi" w:cs="Arial"/>
          <w:szCs w:val="24"/>
        </w:rPr>
        <w:t>s</w:t>
      </w:r>
      <w:r w:rsidR="008B6065">
        <w:rPr>
          <w:rFonts w:asciiTheme="minorHAnsi" w:hAnsiTheme="minorHAnsi" w:cs="Arial"/>
          <w:szCs w:val="24"/>
        </w:rPr>
        <w:t xml:space="preserve"> of use categorised as red and orange. </w:t>
      </w:r>
      <w:r w:rsidR="00B05EBA" w:rsidRPr="00AD1BBB">
        <w:rPr>
          <w:rFonts w:asciiTheme="minorHAnsi" w:hAnsiTheme="minorHAnsi"/>
          <w:szCs w:val="24"/>
        </w:rPr>
        <w:t xml:space="preserve">The Reference Group acknowledges that this </w:t>
      </w:r>
      <w:r w:rsidR="008B6065">
        <w:rPr>
          <w:rFonts w:asciiTheme="minorHAnsi" w:hAnsiTheme="minorHAnsi"/>
          <w:szCs w:val="24"/>
        </w:rPr>
        <w:t>is the</w:t>
      </w:r>
      <w:r w:rsidR="00B05EBA" w:rsidRPr="00AD1BBB">
        <w:rPr>
          <w:rFonts w:asciiTheme="minorHAnsi" w:hAnsiTheme="minorHAnsi"/>
          <w:szCs w:val="24"/>
        </w:rPr>
        <w:t xml:space="preserve"> best estimate due to the limitations of </w:t>
      </w:r>
      <w:r w:rsidR="008B6065">
        <w:rPr>
          <w:rFonts w:asciiTheme="minorHAnsi" w:hAnsiTheme="minorHAnsi"/>
          <w:szCs w:val="24"/>
        </w:rPr>
        <w:t>PBS</w:t>
      </w:r>
      <w:r w:rsidR="00B05EBA" w:rsidRPr="00AD1BBB">
        <w:rPr>
          <w:rFonts w:asciiTheme="minorHAnsi" w:hAnsiTheme="minorHAnsi"/>
          <w:szCs w:val="24"/>
        </w:rPr>
        <w:t xml:space="preserve"> data</w:t>
      </w:r>
      <w:r w:rsidR="008B6065">
        <w:rPr>
          <w:rFonts w:asciiTheme="minorHAnsi" w:hAnsiTheme="minorHAnsi"/>
          <w:szCs w:val="24"/>
        </w:rPr>
        <w:t xml:space="preserve">. Ezetimibe </w:t>
      </w:r>
      <w:r w:rsidR="00B05EBA" w:rsidRPr="00AD1BBB">
        <w:rPr>
          <w:rFonts w:asciiTheme="minorHAnsi" w:hAnsiTheme="minorHAnsi"/>
          <w:szCs w:val="24"/>
        </w:rPr>
        <w:t xml:space="preserve">use that does not appear to comply with the PBS restriction may </w:t>
      </w:r>
      <w:r w:rsidR="008B6065">
        <w:rPr>
          <w:rFonts w:asciiTheme="minorHAnsi" w:hAnsiTheme="minorHAnsi"/>
          <w:szCs w:val="24"/>
        </w:rPr>
        <w:t xml:space="preserve">in some cases </w:t>
      </w:r>
      <w:r w:rsidR="00B05EBA" w:rsidRPr="00AD1BBB">
        <w:rPr>
          <w:rFonts w:asciiTheme="minorHAnsi" w:hAnsiTheme="minorHAnsi"/>
          <w:szCs w:val="24"/>
        </w:rPr>
        <w:t xml:space="preserve">be clinically appropriate, however </w:t>
      </w:r>
      <w:r w:rsidR="008B6065">
        <w:rPr>
          <w:rFonts w:asciiTheme="minorHAnsi" w:hAnsiTheme="minorHAnsi"/>
          <w:szCs w:val="24"/>
        </w:rPr>
        <w:t>is unlikely to be cost</w:t>
      </w:r>
      <w:r w:rsidR="00216B38">
        <w:rPr>
          <w:rFonts w:asciiTheme="minorHAnsi" w:hAnsiTheme="minorHAnsi"/>
          <w:szCs w:val="24"/>
        </w:rPr>
        <w:t>-</w:t>
      </w:r>
      <w:r w:rsidR="008B6065">
        <w:rPr>
          <w:rFonts w:asciiTheme="minorHAnsi" w:hAnsiTheme="minorHAnsi"/>
          <w:szCs w:val="24"/>
        </w:rPr>
        <w:t>effective.</w:t>
      </w:r>
      <w:r w:rsidR="00B05EBA" w:rsidRPr="00AD1BBB">
        <w:rPr>
          <w:rFonts w:asciiTheme="minorHAnsi" w:hAnsiTheme="minorHAnsi"/>
          <w:szCs w:val="24"/>
        </w:rPr>
        <w:t xml:space="preserve"> </w:t>
      </w:r>
    </w:p>
    <w:p w:rsidR="00C015E6" w:rsidRDefault="00C015E6">
      <w:pPr>
        <w:spacing w:after="0" w:line="240" w:lineRule="auto"/>
        <w:rPr>
          <w:rFonts w:asciiTheme="minorHAnsi" w:eastAsia="Calibri" w:hAnsiTheme="minorHAnsi" w:cs="Times New Roman"/>
          <w:szCs w:val="24"/>
        </w:rPr>
      </w:pPr>
      <w:r w:rsidRPr="00AD1BBB">
        <w:rPr>
          <w:rFonts w:asciiTheme="minorHAnsi" w:hAnsiTheme="minorHAnsi" w:cs="Arial"/>
          <w:szCs w:val="24"/>
        </w:rPr>
        <w:t>Th</w:t>
      </w:r>
      <w:r w:rsidR="00394829" w:rsidRPr="00AD1BBB">
        <w:rPr>
          <w:rFonts w:asciiTheme="minorHAnsi" w:hAnsiTheme="minorHAnsi" w:cs="Arial"/>
          <w:szCs w:val="24"/>
        </w:rPr>
        <w:t xml:space="preserve">e </w:t>
      </w:r>
      <w:r w:rsidR="00205FE2">
        <w:rPr>
          <w:rFonts w:asciiTheme="minorHAnsi" w:hAnsiTheme="minorHAnsi" w:cs="Arial"/>
          <w:szCs w:val="24"/>
        </w:rPr>
        <w:t>R</w:t>
      </w:r>
      <w:r w:rsidR="00394829" w:rsidRPr="00AD1BBB">
        <w:rPr>
          <w:rFonts w:asciiTheme="minorHAnsi" w:hAnsiTheme="minorHAnsi" w:cs="Arial"/>
          <w:szCs w:val="24"/>
        </w:rPr>
        <w:t xml:space="preserve">eference </w:t>
      </w:r>
      <w:r w:rsidR="00205FE2">
        <w:rPr>
          <w:rFonts w:asciiTheme="minorHAnsi" w:hAnsiTheme="minorHAnsi" w:cs="Arial"/>
          <w:szCs w:val="24"/>
        </w:rPr>
        <w:t>G</w:t>
      </w:r>
      <w:r w:rsidR="00394829" w:rsidRPr="00AD1BBB">
        <w:rPr>
          <w:rFonts w:asciiTheme="minorHAnsi" w:hAnsiTheme="minorHAnsi" w:cs="Arial"/>
          <w:szCs w:val="24"/>
        </w:rPr>
        <w:t xml:space="preserve">roup </w:t>
      </w:r>
      <w:r w:rsidRPr="00AD1BBB">
        <w:rPr>
          <w:rFonts w:asciiTheme="minorHAnsi" w:hAnsiTheme="minorHAnsi" w:cs="Arial"/>
          <w:szCs w:val="24"/>
        </w:rPr>
        <w:t>also suggest</w:t>
      </w:r>
      <w:r w:rsidR="00394829" w:rsidRPr="00AD1BBB">
        <w:rPr>
          <w:rFonts w:asciiTheme="minorHAnsi" w:hAnsiTheme="minorHAnsi" w:cs="Arial"/>
          <w:szCs w:val="24"/>
        </w:rPr>
        <w:t>ed</w:t>
      </w:r>
      <w:r w:rsidRPr="00AD1BBB">
        <w:rPr>
          <w:rFonts w:asciiTheme="minorHAnsi" w:hAnsiTheme="minorHAnsi" w:cs="Arial"/>
          <w:szCs w:val="24"/>
        </w:rPr>
        <w:t xml:space="preserve"> that for the 18.4</w:t>
      </w:r>
      <w:r w:rsidR="00C53A52">
        <w:rPr>
          <w:rFonts w:asciiTheme="minorHAnsi" w:hAnsiTheme="minorHAnsi" w:cs="Arial"/>
          <w:szCs w:val="24"/>
        </w:rPr>
        <w:t>%</w:t>
      </w:r>
      <w:r w:rsidRPr="00AD1BBB">
        <w:rPr>
          <w:rFonts w:asciiTheme="minorHAnsi" w:hAnsiTheme="minorHAnsi" w:cs="Arial"/>
          <w:szCs w:val="24"/>
        </w:rPr>
        <w:t xml:space="preserve"> – 53.</w:t>
      </w:r>
      <w:r w:rsidR="00424CB2">
        <w:rPr>
          <w:rFonts w:asciiTheme="minorHAnsi" w:hAnsiTheme="minorHAnsi" w:cs="Arial"/>
          <w:szCs w:val="24"/>
        </w:rPr>
        <w:t>2</w:t>
      </w:r>
      <w:r w:rsidRPr="00AD1BBB">
        <w:rPr>
          <w:rFonts w:asciiTheme="minorHAnsi" w:hAnsiTheme="minorHAnsi" w:cs="Arial"/>
          <w:szCs w:val="24"/>
        </w:rPr>
        <w:t xml:space="preserve"> % of patients who use ezetimibe outside the PBS restriction, placebo is not the appropriate comparator for a cost</w:t>
      </w:r>
      <w:r w:rsidR="00216B38">
        <w:rPr>
          <w:rFonts w:asciiTheme="minorHAnsi" w:hAnsiTheme="minorHAnsi" w:cs="Arial"/>
          <w:szCs w:val="24"/>
        </w:rPr>
        <w:t>-</w:t>
      </w:r>
      <w:r w:rsidRPr="00AD1BBB">
        <w:rPr>
          <w:rFonts w:asciiTheme="minorHAnsi" w:hAnsiTheme="minorHAnsi" w:cs="Arial"/>
          <w:szCs w:val="24"/>
        </w:rPr>
        <w:t xml:space="preserve">effective analysis. The comparator for this group of patients </w:t>
      </w:r>
      <w:r w:rsidR="00AD1BBB" w:rsidRPr="00AD1BBB">
        <w:rPr>
          <w:rFonts w:asciiTheme="minorHAnsi" w:hAnsiTheme="minorHAnsi" w:cs="Arial"/>
          <w:szCs w:val="24"/>
        </w:rPr>
        <w:t xml:space="preserve">should be </w:t>
      </w:r>
      <w:r w:rsidR="00394829" w:rsidRPr="00AD1BBB">
        <w:rPr>
          <w:rFonts w:asciiTheme="minorHAnsi" w:hAnsiTheme="minorHAnsi" w:cs="Arial"/>
          <w:szCs w:val="24"/>
        </w:rPr>
        <w:t xml:space="preserve">a higher </w:t>
      </w:r>
      <w:r w:rsidRPr="00AD1BBB">
        <w:rPr>
          <w:rFonts w:asciiTheme="minorHAnsi" w:hAnsiTheme="minorHAnsi" w:cs="Arial"/>
          <w:szCs w:val="24"/>
        </w:rPr>
        <w:t>dose of statin</w:t>
      </w:r>
      <w:r w:rsidR="00231714">
        <w:rPr>
          <w:rFonts w:asciiTheme="minorHAnsi" w:hAnsiTheme="minorHAnsi" w:cs="Arial"/>
          <w:szCs w:val="24"/>
        </w:rPr>
        <w:t xml:space="preserve"> or switching to a higher potency statin</w:t>
      </w:r>
      <w:r w:rsidR="001F4238">
        <w:rPr>
          <w:rFonts w:asciiTheme="minorHAnsi" w:hAnsiTheme="minorHAnsi" w:cs="Arial"/>
          <w:szCs w:val="24"/>
        </w:rPr>
        <w:t>.</w:t>
      </w:r>
    </w:p>
    <w:p w:rsidR="0000686B" w:rsidRPr="00736E4A" w:rsidRDefault="0000686B">
      <w:pPr>
        <w:spacing w:before="240" w:line="240" w:lineRule="auto"/>
        <w:rPr>
          <w:rFonts w:asciiTheme="minorHAnsi" w:eastAsia="Calibri" w:hAnsiTheme="minorHAnsi" w:cs="Times New Roman"/>
          <w:b/>
          <w:i/>
          <w:szCs w:val="24"/>
        </w:rPr>
      </w:pPr>
      <w:r w:rsidRPr="00736E4A">
        <w:rPr>
          <w:rFonts w:asciiTheme="minorHAnsi" w:eastAsia="Calibri" w:hAnsiTheme="minorHAnsi" w:cs="Times New Roman"/>
          <w:b/>
          <w:i/>
          <w:szCs w:val="24"/>
        </w:rPr>
        <w:t xml:space="preserve">Review Advice to the PBAC </w:t>
      </w:r>
    </w:p>
    <w:p w:rsidR="008E57F6" w:rsidRDefault="008E57F6">
      <w:pPr>
        <w:pStyle w:val="ListParagraph"/>
        <w:numPr>
          <w:ilvl w:val="0"/>
          <w:numId w:val="37"/>
        </w:numPr>
        <w:spacing w:after="120" w:line="240" w:lineRule="auto"/>
        <w:ind w:left="360"/>
        <w:contextualSpacing w:val="0"/>
        <w:rPr>
          <w:rFonts w:asciiTheme="minorHAnsi" w:hAnsiTheme="minorHAnsi" w:cs="Arial"/>
          <w:szCs w:val="24"/>
        </w:rPr>
      </w:pPr>
      <w:r w:rsidRPr="00205FE2">
        <w:rPr>
          <w:rFonts w:asciiTheme="minorHAnsi" w:eastAsia="Calibri" w:hAnsiTheme="minorHAnsi" w:cs="Times New Roman"/>
          <w:szCs w:val="24"/>
        </w:rPr>
        <w:t>The</w:t>
      </w:r>
      <w:r>
        <w:rPr>
          <w:rFonts w:asciiTheme="minorHAnsi" w:eastAsia="Calibri" w:hAnsiTheme="minorHAnsi" w:cs="Times New Roman"/>
          <w:szCs w:val="24"/>
        </w:rPr>
        <w:t xml:space="preserve">re is a </w:t>
      </w:r>
      <w:r w:rsidRPr="00205FE2">
        <w:rPr>
          <w:rFonts w:asciiTheme="minorHAnsi" w:eastAsia="Calibri" w:hAnsiTheme="minorHAnsi" w:cs="Times New Roman"/>
          <w:szCs w:val="24"/>
        </w:rPr>
        <w:t>need for greater education of prescribers on the importance of adherence to the PBS restrictions to promote optimal and cost</w:t>
      </w:r>
      <w:r w:rsidR="00216B38">
        <w:rPr>
          <w:rFonts w:asciiTheme="minorHAnsi" w:eastAsia="Calibri" w:hAnsiTheme="minorHAnsi" w:cs="Times New Roman"/>
          <w:szCs w:val="24"/>
        </w:rPr>
        <w:t>-</w:t>
      </w:r>
      <w:r w:rsidRPr="00205FE2">
        <w:rPr>
          <w:rFonts w:asciiTheme="minorHAnsi" w:eastAsia="Calibri" w:hAnsiTheme="minorHAnsi" w:cs="Times New Roman"/>
          <w:szCs w:val="24"/>
        </w:rPr>
        <w:t xml:space="preserve">effective use of subsidised LLT. </w:t>
      </w:r>
      <w:r w:rsidRPr="00AD1BBB">
        <w:rPr>
          <w:rFonts w:asciiTheme="minorHAnsi" w:hAnsiTheme="minorHAnsi" w:cs="Arial"/>
          <w:szCs w:val="24"/>
        </w:rPr>
        <w:t xml:space="preserve">Results of </w:t>
      </w:r>
      <w:r w:rsidR="001751C4">
        <w:rPr>
          <w:rFonts w:asciiTheme="minorHAnsi" w:hAnsiTheme="minorHAnsi" w:cs="Arial"/>
          <w:szCs w:val="24"/>
        </w:rPr>
        <w:t xml:space="preserve">the March 2017 </w:t>
      </w:r>
      <w:r w:rsidRPr="00AD1BBB">
        <w:rPr>
          <w:rFonts w:asciiTheme="minorHAnsi" w:hAnsiTheme="minorHAnsi" w:cs="Arial"/>
          <w:szCs w:val="24"/>
        </w:rPr>
        <w:t>Analysis indicate the estimate of ezetimibe use that is not consistent with the PBS restriction, would fall somewhere in the range of 18.4% - 53.</w:t>
      </w:r>
      <w:r>
        <w:rPr>
          <w:rFonts w:asciiTheme="minorHAnsi" w:hAnsiTheme="minorHAnsi" w:cs="Arial"/>
          <w:szCs w:val="24"/>
        </w:rPr>
        <w:t>2</w:t>
      </w:r>
      <w:r w:rsidRPr="00AD1BBB">
        <w:rPr>
          <w:rFonts w:asciiTheme="minorHAnsi" w:hAnsiTheme="minorHAnsi" w:cs="Arial"/>
          <w:szCs w:val="24"/>
        </w:rPr>
        <w:t xml:space="preserve">%. </w:t>
      </w:r>
    </w:p>
    <w:p w:rsidR="008E57F6" w:rsidRPr="008E57F6" w:rsidRDefault="008E57F6">
      <w:pPr>
        <w:pStyle w:val="ListParagraph"/>
        <w:numPr>
          <w:ilvl w:val="0"/>
          <w:numId w:val="39"/>
        </w:numPr>
        <w:spacing w:after="120" w:line="240" w:lineRule="auto"/>
        <w:ind w:left="774" w:hanging="425"/>
        <w:contextualSpacing w:val="0"/>
        <w:rPr>
          <w:rFonts w:asciiTheme="minorHAnsi" w:hAnsiTheme="minorHAnsi" w:cs="Arial"/>
          <w:szCs w:val="24"/>
        </w:rPr>
      </w:pPr>
      <w:r w:rsidRPr="00AD1BBB">
        <w:rPr>
          <w:rFonts w:asciiTheme="minorHAnsi" w:hAnsiTheme="minorHAnsi" w:cs="Arial"/>
          <w:szCs w:val="24"/>
        </w:rPr>
        <w:t>The PBAC may wish to recommend a price reduction for ezetimibe, for a proportion of use within the range of 18</w:t>
      </w:r>
      <w:r>
        <w:rPr>
          <w:rFonts w:asciiTheme="minorHAnsi" w:hAnsiTheme="minorHAnsi" w:cs="Arial"/>
          <w:szCs w:val="24"/>
        </w:rPr>
        <w:t xml:space="preserve">.4% </w:t>
      </w:r>
      <w:r w:rsidRPr="00AD1BBB">
        <w:rPr>
          <w:rFonts w:asciiTheme="minorHAnsi" w:hAnsiTheme="minorHAnsi" w:cs="Arial"/>
          <w:szCs w:val="24"/>
        </w:rPr>
        <w:t>-</w:t>
      </w:r>
      <w:r>
        <w:rPr>
          <w:rFonts w:asciiTheme="minorHAnsi" w:hAnsiTheme="minorHAnsi" w:cs="Arial"/>
          <w:szCs w:val="24"/>
        </w:rPr>
        <w:t xml:space="preserve"> </w:t>
      </w:r>
      <w:r w:rsidRPr="00AD1BBB">
        <w:rPr>
          <w:rFonts w:asciiTheme="minorHAnsi" w:hAnsiTheme="minorHAnsi" w:cs="Arial"/>
          <w:szCs w:val="24"/>
        </w:rPr>
        <w:t>5</w:t>
      </w:r>
      <w:r>
        <w:rPr>
          <w:rFonts w:asciiTheme="minorHAnsi" w:hAnsiTheme="minorHAnsi" w:cs="Arial"/>
          <w:szCs w:val="24"/>
        </w:rPr>
        <w:t>3.2</w:t>
      </w:r>
      <w:r w:rsidRPr="00AD1BBB">
        <w:rPr>
          <w:rFonts w:asciiTheme="minorHAnsi" w:hAnsiTheme="minorHAnsi" w:cs="Arial"/>
          <w:szCs w:val="24"/>
        </w:rPr>
        <w:t xml:space="preserve">% where the appropriate comparator </w:t>
      </w:r>
      <w:r>
        <w:rPr>
          <w:rFonts w:asciiTheme="minorHAnsi" w:hAnsiTheme="minorHAnsi" w:cs="Arial"/>
          <w:szCs w:val="24"/>
        </w:rPr>
        <w:t>should be</w:t>
      </w:r>
      <w:r w:rsidRPr="00AD1BBB">
        <w:rPr>
          <w:rFonts w:asciiTheme="minorHAnsi" w:hAnsiTheme="minorHAnsi" w:cs="Arial"/>
          <w:szCs w:val="24"/>
        </w:rPr>
        <w:t xml:space="preserve"> higher dose statin</w:t>
      </w:r>
      <w:r>
        <w:rPr>
          <w:rFonts w:asciiTheme="minorHAnsi" w:hAnsiTheme="minorHAnsi" w:cs="Arial"/>
          <w:szCs w:val="24"/>
        </w:rPr>
        <w:t xml:space="preserve"> or switching to a higher potency statin</w:t>
      </w:r>
      <w:r w:rsidRPr="00AD1BBB">
        <w:rPr>
          <w:rFonts w:asciiTheme="minorHAnsi" w:hAnsiTheme="minorHAnsi" w:cs="Arial"/>
          <w:szCs w:val="24"/>
        </w:rPr>
        <w:t>.</w:t>
      </w:r>
    </w:p>
    <w:p w:rsidR="008E57F6" w:rsidRDefault="00A24486">
      <w:pPr>
        <w:pStyle w:val="ListParagraph"/>
        <w:numPr>
          <w:ilvl w:val="0"/>
          <w:numId w:val="37"/>
        </w:numPr>
        <w:spacing w:line="240" w:lineRule="auto"/>
        <w:ind w:left="360"/>
        <w:contextualSpacing w:val="0"/>
        <w:rPr>
          <w:rFonts w:asciiTheme="minorHAnsi" w:eastAsia="Calibri" w:hAnsiTheme="minorHAnsi" w:cs="Times New Roman"/>
          <w:szCs w:val="24"/>
        </w:rPr>
      </w:pPr>
      <w:r>
        <w:rPr>
          <w:rFonts w:asciiTheme="minorHAnsi" w:eastAsia="Calibri" w:hAnsiTheme="minorHAnsi" w:cs="Times New Roman"/>
          <w:szCs w:val="24"/>
        </w:rPr>
        <w:t xml:space="preserve">The December 2016 </w:t>
      </w:r>
      <w:r w:rsidRPr="00F45531">
        <w:rPr>
          <w:rFonts w:asciiTheme="minorHAnsi" w:eastAsia="Calibri" w:hAnsiTheme="minorHAnsi" w:cs="Times New Roman"/>
          <w:szCs w:val="24"/>
        </w:rPr>
        <w:t>Analysis</w:t>
      </w:r>
      <w:r w:rsidRPr="008E57F6">
        <w:rPr>
          <w:rFonts w:asciiTheme="minorHAnsi" w:eastAsia="Calibri" w:hAnsiTheme="minorHAnsi" w:cs="Times New Roman"/>
          <w:szCs w:val="24"/>
        </w:rPr>
        <w:t xml:space="preserve"> </w:t>
      </w:r>
      <w:r w:rsidR="008E57F6" w:rsidRPr="008E57F6">
        <w:rPr>
          <w:rFonts w:asciiTheme="minorHAnsi" w:eastAsia="Calibri" w:hAnsiTheme="minorHAnsi" w:cs="Times New Roman"/>
          <w:szCs w:val="24"/>
        </w:rPr>
        <w:t>of PBS data suggests</w:t>
      </w:r>
      <w:r w:rsidR="00136A5C" w:rsidRPr="008E57F6">
        <w:rPr>
          <w:rFonts w:asciiTheme="minorHAnsi" w:eastAsia="Calibri" w:hAnsiTheme="minorHAnsi" w:cs="Times New Roman"/>
          <w:szCs w:val="24"/>
        </w:rPr>
        <w:t xml:space="preserve"> </w:t>
      </w:r>
      <w:r w:rsidR="0000686B" w:rsidRPr="008E57F6">
        <w:rPr>
          <w:rFonts w:asciiTheme="minorHAnsi" w:eastAsia="Calibri" w:hAnsiTheme="minorHAnsi" w:cs="Times New Roman"/>
          <w:szCs w:val="24"/>
        </w:rPr>
        <w:t>that</w:t>
      </w:r>
      <w:r w:rsidR="00A058EC" w:rsidRPr="008E57F6">
        <w:rPr>
          <w:rFonts w:asciiTheme="minorHAnsi" w:eastAsia="Calibri" w:hAnsiTheme="minorHAnsi" w:cs="Times New Roman"/>
          <w:szCs w:val="24"/>
        </w:rPr>
        <w:t xml:space="preserve"> poor persistence</w:t>
      </w:r>
      <w:r w:rsidR="0000686B" w:rsidRPr="008E57F6">
        <w:rPr>
          <w:rFonts w:asciiTheme="minorHAnsi" w:eastAsia="Calibri" w:hAnsiTheme="minorHAnsi" w:cs="Times New Roman"/>
          <w:szCs w:val="24"/>
        </w:rPr>
        <w:t xml:space="preserve"> is an issue when patients are comm</w:t>
      </w:r>
      <w:r w:rsidR="008B6065" w:rsidRPr="008E57F6">
        <w:rPr>
          <w:rFonts w:asciiTheme="minorHAnsi" w:eastAsia="Calibri" w:hAnsiTheme="minorHAnsi" w:cs="Times New Roman"/>
          <w:szCs w:val="24"/>
        </w:rPr>
        <w:t>encing LLT or recommencing LLT.</w:t>
      </w:r>
      <w:r w:rsidR="00136A5C" w:rsidRPr="008E57F6">
        <w:rPr>
          <w:rFonts w:asciiTheme="minorHAnsi" w:eastAsia="Calibri" w:hAnsiTheme="minorHAnsi" w:cs="Times New Roman"/>
          <w:szCs w:val="24"/>
        </w:rPr>
        <w:t xml:space="preserve"> The literature also suggests p</w:t>
      </w:r>
      <w:r w:rsidR="00A058EC" w:rsidRPr="008E57F6">
        <w:rPr>
          <w:rFonts w:asciiTheme="minorHAnsi" w:eastAsia="Calibri" w:hAnsiTheme="minorHAnsi" w:cs="Times New Roman"/>
          <w:szCs w:val="24"/>
        </w:rPr>
        <w:t xml:space="preserve">oor adherence and persistence is a concern </w:t>
      </w:r>
      <w:r w:rsidR="00136A5C" w:rsidRPr="008E57F6">
        <w:rPr>
          <w:rFonts w:asciiTheme="minorHAnsi" w:eastAsia="Calibri" w:hAnsiTheme="minorHAnsi" w:cs="Times New Roman"/>
          <w:szCs w:val="24"/>
        </w:rPr>
        <w:t>as</w:t>
      </w:r>
      <w:r w:rsidR="0000686B" w:rsidRPr="008E57F6">
        <w:rPr>
          <w:rFonts w:asciiTheme="minorHAnsi" w:eastAsia="Calibri" w:hAnsiTheme="minorHAnsi" w:cs="Times New Roman"/>
          <w:szCs w:val="24"/>
        </w:rPr>
        <w:t xml:space="preserve"> patients </w:t>
      </w:r>
      <w:r w:rsidR="00136A5C" w:rsidRPr="008E57F6">
        <w:rPr>
          <w:rFonts w:asciiTheme="minorHAnsi" w:eastAsia="Calibri" w:hAnsiTheme="minorHAnsi" w:cs="Times New Roman"/>
          <w:szCs w:val="24"/>
        </w:rPr>
        <w:t xml:space="preserve">who are </w:t>
      </w:r>
      <w:r w:rsidR="0000686B" w:rsidRPr="008E57F6">
        <w:rPr>
          <w:rFonts w:asciiTheme="minorHAnsi" w:eastAsia="Calibri" w:hAnsiTheme="minorHAnsi" w:cs="Times New Roman"/>
          <w:szCs w:val="24"/>
        </w:rPr>
        <w:t>less adherent to statin therapy have a</w:t>
      </w:r>
      <w:r w:rsidR="00A058EC" w:rsidRPr="008E57F6">
        <w:rPr>
          <w:rFonts w:asciiTheme="minorHAnsi" w:eastAsia="Calibri" w:hAnsiTheme="minorHAnsi" w:cs="Times New Roman"/>
          <w:szCs w:val="24"/>
        </w:rPr>
        <w:t xml:space="preserve"> </w:t>
      </w:r>
      <w:r w:rsidR="00B05EBA" w:rsidRPr="008E57F6">
        <w:rPr>
          <w:rFonts w:asciiTheme="minorHAnsi" w:eastAsia="Calibri" w:hAnsiTheme="minorHAnsi" w:cs="Times New Roman"/>
          <w:szCs w:val="24"/>
        </w:rPr>
        <w:t>significantly</w:t>
      </w:r>
      <w:r w:rsidR="0000686B" w:rsidRPr="008E57F6">
        <w:rPr>
          <w:rFonts w:asciiTheme="minorHAnsi" w:eastAsia="Calibri" w:hAnsiTheme="minorHAnsi" w:cs="Times New Roman"/>
          <w:szCs w:val="24"/>
        </w:rPr>
        <w:t xml:space="preserve"> increase</w:t>
      </w:r>
      <w:r w:rsidR="00B05EBA" w:rsidRPr="008E57F6">
        <w:rPr>
          <w:rFonts w:asciiTheme="minorHAnsi" w:eastAsia="Calibri" w:hAnsiTheme="minorHAnsi" w:cs="Times New Roman"/>
          <w:szCs w:val="24"/>
        </w:rPr>
        <w:t>d risk of death</w:t>
      </w:r>
      <w:r w:rsidR="0000686B" w:rsidRPr="008E57F6">
        <w:rPr>
          <w:rFonts w:asciiTheme="minorHAnsi" w:eastAsia="Calibri" w:hAnsiTheme="minorHAnsi" w:cs="Times New Roman"/>
          <w:szCs w:val="24"/>
        </w:rPr>
        <w:t xml:space="preserve"> compared </w:t>
      </w:r>
      <w:r w:rsidR="00130DC0">
        <w:rPr>
          <w:rFonts w:asciiTheme="minorHAnsi" w:eastAsia="Calibri" w:hAnsiTheme="minorHAnsi" w:cs="Times New Roman"/>
          <w:szCs w:val="24"/>
        </w:rPr>
        <w:t>to</w:t>
      </w:r>
      <w:r w:rsidR="00B05EBA" w:rsidRPr="008E57F6">
        <w:rPr>
          <w:rFonts w:asciiTheme="minorHAnsi" w:eastAsia="Calibri" w:hAnsiTheme="minorHAnsi" w:cs="Times New Roman"/>
          <w:szCs w:val="24"/>
        </w:rPr>
        <w:t xml:space="preserve"> those who are</w:t>
      </w:r>
      <w:r w:rsidR="0000686B" w:rsidRPr="008E57F6">
        <w:rPr>
          <w:rFonts w:asciiTheme="minorHAnsi" w:eastAsia="Calibri" w:hAnsiTheme="minorHAnsi" w:cs="Times New Roman"/>
          <w:szCs w:val="24"/>
        </w:rPr>
        <w:t xml:space="preserve"> more adherent </w:t>
      </w:r>
      <w:r w:rsidR="00B05EBA" w:rsidRPr="008E57F6">
        <w:rPr>
          <w:rFonts w:asciiTheme="minorHAnsi" w:eastAsia="Calibri" w:hAnsiTheme="minorHAnsi" w:cs="Times New Roman"/>
          <w:szCs w:val="24"/>
        </w:rPr>
        <w:t>to statins</w:t>
      </w:r>
      <w:r w:rsidR="0000686B" w:rsidRPr="008E57F6">
        <w:rPr>
          <w:rFonts w:asciiTheme="minorHAnsi" w:eastAsia="Calibri" w:hAnsiTheme="minorHAnsi" w:cs="Times New Roman"/>
          <w:szCs w:val="24"/>
        </w:rPr>
        <w:t>. The Reference Group considered this is a Quality Use of Medicines issue which could potentially be addressed through</w:t>
      </w:r>
      <w:r w:rsidR="002054EB" w:rsidRPr="008E57F6">
        <w:rPr>
          <w:rFonts w:asciiTheme="minorHAnsi" w:eastAsia="Calibri" w:hAnsiTheme="minorHAnsi" w:cs="Times New Roman"/>
          <w:szCs w:val="24"/>
        </w:rPr>
        <w:t xml:space="preserve"> both prescriber and patient</w:t>
      </w:r>
      <w:r w:rsidR="0000686B" w:rsidRPr="008E57F6">
        <w:rPr>
          <w:rFonts w:asciiTheme="minorHAnsi" w:eastAsia="Calibri" w:hAnsiTheme="minorHAnsi" w:cs="Times New Roman"/>
          <w:szCs w:val="24"/>
        </w:rPr>
        <w:t xml:space="preserve"> education. </w:t>
      </w:r>
    </w:p>
    <w:p w:rsidR="0000686B" w:rsidRPr="008E57F6" w:rsidRDefault="0000686B">
      <w:pPr>
        <w:spacing w:line="240" w:lineRule="auto"/>
        <w:ind w:left="360"/>
        <w:rPr>
          <w:rFonts w:asciiTheme="minorHAnsi" w:eastAsia="Calibri" w:hAnsiTheme="minorHAnsi" w:cs="Times New Roman"/>
          <w:szCs w:val="24"/>
        </w:rPr>
      </w:pPr>
      <w:r w:rsidRPr="008E57F6">
        <w:rPr>
          <w:rFonts w:asciiTheme="minorHAnsi" w:eastAsia="Calibri" w:hAnsiTheme="minorHAnsi" w:cs="Times New Roman"/>
          <w:szCs w:val="24"/>
        </w:rPr>
        <w:lastRenderedPageBreak/>
        <w:t xml:space="preserve">The PBAC may wish to request that </w:t>
      </w:r>
      <w:r w:rsidR="002054EB" w:rsidRPr="008E57F6">
        <w:rPr>
          <w:rFonts w:asciiTheme="minorHAnsi" w:eastAsia="Calibri" w:hAnsiTheme="minorHAnsi" w:cs="Times New Roman"/>
          <w:szCs w:val="24"/>
        </w:rPr>
        <w:t>future</w:t>
      </w:r>
      <w:r w:rsidRPr="008E57F6">
        <w:rPr>
          <w:rFonts w:asciiTheme="minorHAnsi" w:eastAsia="Calibri" w:hAnsiTheme="minorHAnsi" w:cs="Times New Roman"/>
          <w:szCs w:val="24"/>
        </w:rPr>
        <w:t xml:space="preserve"> education </w:t>
      </w:r>
      <w:r w:rsidR="002054EB" w:rsidRPr="008E57F6">
        <w:rPr>
          <w:rFonts w:asciiTheme="minorHAnsi" w:eastAsia="Calibri" w:hAnsiTheme="minorHAnsi" w:cs="Times New Roman"/>
          <w:szCs w:val="24"/>
        </w:rPr>
        <w:t>programs</w:t>
      </w:r>
      <w:r w:rsidRPr="008E57F6">
        <w:rPr>
          <w:rFonts w:asciiTheme="minorHAnsi" w:eastAsia="Calibri" w:hAnsiTheme="minorHAnsi" w:cs="Times New Roman"/>
          <w:szCs w:val="24"/>
        </w:rPr>
        <w:t xml:space="preserve"> reinforce and promote: </w:t>
      </w:r>
    </w:p>
    <w:p w:rsidR="0000686B" w:rsidRPr="008E57F6" w:rsidRDefault="0000686B">
      <w:pPr>
        <w:pStyle w:val="ListParagraph"/>
        <w:numPr>
          <w:ilvl w:val="0"/>
          <w:numId w:val="38"/>
        </w:numPr>
        <w:spacing w:after="120" w:line="240" w:lineRule="auto"/>
        <w:rPr>
          <w:rFonts w:asciiTheme="minorHAnsi" w:hAnsiTheme="minorHAnsi"/>
        </w:rPr>
      </w:pPr>
      <w:r w:rsidRPr="008E57F6">
        <w:rPr>
          <w:rFonts w:asciiTheme="minorHAnsi" w:eastAsia="Calibri" w:hAnsiTheme="minorHAnsi" w:cs="Times New Roman"/>
        </w:rPr>
        <w:t>the importance of adherence and persistence with LLT to reduce cardiovascular risk</w:t>
      </w:r>
      <w:r w:rsidR="00A058EC" w:rsidRPr="008E57F6">
        <w:rPr>
          <w:rFonts w:asciiTheme="minorHAnsi" w:eastAsia="Calibri" w:hAnsiTheme="minorHAnsi" w:cs="Times New Roman"/>
        </w:rPr>
        <w:t xml:space="preserve">, particularly in new users of chronic medicines; and  </w:t>
      </w:r>
      <w:r w:rsidRPr="008E57F6">
        <w:rPr>
          <w:rFonts w:asciiTheme="minorHAnsi" w:eastAsia="Calibri" w:hAnsiTheme="minorHAnsi" w:cs="Times New Roman"/>
        </w:rPr>
        <w:t xml:space="preserve"> </w:t>
      </w:r>
    </w:p>
    <w:p w:rsidR="00205FE2" w:rsidRPr="008E57F6" w:rsidRDefault="0000686B">
      <w:pPr>
        <w:pStyle w:val="ListParagraph"/>
        <w:numPr>
          <w:ilvl w:val="0"/>
          <w:numId w:val="38"/>
        </w:numPr>
        <w:spacing w:after="120" w:line="240" w:lineRule="auto"/>
        <w:rPr>
          <w:rFonts w:asciiTheme="minorHAnsi" w:eastAsia="Calibri" w:hAnsiTheme="minorHAnsi" w:cs="Times New Roman"/>
        </w:rPr>
      </w:pPr>
      <w:r w:rsidRPr="008E57F6">
        <w:rPr>
          <w:rFonts w:asciiTheme="minorHAnsi" w:eastAsia="Calibri" w:hAnsiTheme="minorHAnsi" w:cs="Times New Roman"/>
        </w:rPr>
        <w:t xml:space="preserve">use of statins first </w:t>
      </w:r>
      <w:r w:rsidR="00D11D83">
        <w:rPr>
          <w:rFonts w:asciiTheme="minorHAnsi" w:eastAsia="Calibri" w:hAnsiTheme="minorHAnsi" w:cs="Times New Roman"/>
        </w:rPr>
        <w:t xml:space="preserve">line </w:t>
      </w:r>
      <w:r w:rsidRPr="008E57F6">
        <w:rPr>
          <w:rFonts w:asciiTheme="minorHAnsi" w:eastAsia="Calibri" w:hAnsiTheme="minorHAnsi" w:cs="Times New Roman"/>
        </w:rPr>
        <w:t>at the maximum tolerated dose for optimal LDL-C reduction and management of cardiovascular risk</w:t>
      </w:r>
      <w:r w:rsidR="00205FE2" w:rsidRPr="008E57F6">
        <w:rPr>
          <w:rFonts w:asciiTheme="minorHAnsi" w:eastAsia="Calibri" w:hAnsiTheme="minorHAnsi" w:cs="Times New Roman"/>
        </w:rPr>
        <w:t xml:space="preserve">. </w:t>
      </w:r>
    </w:p>
    <w:p w:rsidR="00205FE2" w:rsidRDefault="00736E4A">
      <w:pPr>
        <w:rPr>
          <w:rFonts w:asciiTheme="minorHAnsi" w:hAnsiTheme="minorHAnsi"/>
          <w:strike/>
          <w:szCs w:val="24"/>
          <w:highlight w:val="yellow"/>
        </w:rPr>
      </w:pPr>
      <w:r w:rsidRPr="001F4238">
        <w:rPr>
          <w:rFonts w:asciiTheme="minorHAnsi" w:eastAsiaTheme="minorEastAsia" w:hAnsiTheme="minorHAnsi"/>
          <w:b/>
          <w:i/>
          <w:sz w:val="28"/>
          <w:szCs w:val="28"/>
          <w:lang w:eastAsia="en-AU"/>
        </w:rPr>
        <w:t>Term of Reference 2:</w:t>
      </w:r>
      <w:r>
        <w:rPr>
          <w:rFonts w:asciiTheme="minorHAnsi" w:eastAsiaTheme="minorEastAsia" w:hAnsiTheme="minorHAnsi"/>
          <w:b/>
          <w:i/>
          <w:sz w:val="28"/>
          <w:szCs w:val="28"/>
          <w:lang w:eastAsia="en-AU"/>
        </w:rPr>
        <w:t xml:space="preserve"> </w:t>
      </w:r>
      <w:r w:rsidRPr="001F4238">
        <w:rPr>
          <w:rFonts w:asciiTheme="minorHAnsi" w:eastAsiaTheme="minorEastAsia" w:hAnsiTheme="minorHAnsi"/>
          <w:b/>
          <w:i/>
          <w:sz w:val="28"/>
          <w:szCs w:val="28"/>
          <w:lang w:eastAsia="en-AU"/>
        </w:rPr>
        <w:t>Review recent clinical guidelines for the treatment of</w:t>
      </w:r>
      <w:r>
        <w:rPr>
          <w:rFonts w:asciiTheme="minorHAnsi" w:eastAsiaTheme="minorEastAsia" w:hAnsiTheme="minorHAnsi"/>
          <w:b/>
          <w:i/>
          <w:sz w:val="28"/>
          <w:szCs w:val="28"/>
          <w:lang w:eastAsia="en-AU"/>
        </w:rPr>
        <w:t xml:space="preserve"> </w:t>
      </w:r>
      <w:r w:rsidRPr="001F4238">
        <w:rPr>
          <w:rFonts w:asciiTheme="minorHAnsi" w:eastAsiaTheme="minorEastAsia" w:hAnsiTheme="minorHAnsi"/>
          <w:b/>
          <w:i/>
          <w:sz w:val="28"/>
          <w:szCs w:val="28"/>
          <w:lang w:eastAsia="en-AU"/>
        </w:rPr>
        <w:t>hypercholesterolaemia and compare this to how ezetimibe is currently used on the PBS.</w:t>
      </w:r>
    </w:p>
    <w:p w:rsidR="0000686B" w:rsidRPr="003440BA" w:rsidRDefault="00C53A52">
      <w:pPr>
        <w:spacing w:line="240" w:lineRule="auto"/>
        <w:rPr>
          <w:rFonts w:asciiTheme="minorHAnsi" w:hAnsiTheme="minorHAnsi"/>
        </w:rPr>
      </w:pPr>
      <w:r>
        <w:rPr>
          <w:rFonts w:asciiTheme="minorHAnsi" w:hAnsiTheme="minorHAnsi"/>
        </w:rPr>
        <w:t>T</w:t>
      </w:r>
      <w:r w:rsidR="0000686B" w:rsidRPr="003440BA">
        <w:rPr>
          <w:rFonts w:asciiTheme="minorHAnsi" w:hAnsiTheme="minorHAnsi"/>
        </w:rPr>
        <w:t xml:space="preserve">he most recent Australian and </w:t>
      </w:r>
      <w:r w:rsidR="0000686B">
        <w:rPr>
          <w:rFonts w:asciiTheme="minorHAnsi" w:hAnsiTheme="minorHAnsi"/>
        </w:rPr>
        <w:t>i</w:t>
      </w:r>
      <w:r w:rsidR="0000686B" w:rsidRPr="003440BA">
        <w:rPr>
          <w:rFonts w:asciiTheme="minorHAnsi" w:hAnsiTheme="minorHAnsi"/>
        </w:rPr>
        <w:t xml:space="preserve">nternational Clinical Treatment Guidelines for management of metabolic lipid disorders to prevent cardiovascular outcomes </w:t>
      </w:r>
      <w:r>
        <w:rPr>
          <w:rFonts w:asciiTheme="minorHAnsi" w:hAnsiTheme="minorHAnsi"/>
        </w:rPr>
        <w:t>were reviewed</w:t>
      </w:r>
      <w:r w:rsidR="0000686B" w:rsidRPr="003440BA">
        <w:rPr>
          <w:rFonts w:asciiTheme="minorHAnsi" w:hAnsiTheme="minorHAnsi"/>
        </w:rPr>
        <w:t xml:space="preserve">. All current guidelines for primary prevention </w:t>
      </w:r>
      <w:r w:rsidR="007E703C">
        <w:rPr>
          <w:rFonts w:asciiTheme="minorHAnsi" w:hAnsiTheme="minorHAnsi"/>
        </w:rPr>
        <w:t xml:space="preserve">of cardiovascular disease (CVD) </w:t>
      </w:r>
      <w:r w:rsidR="0000686B" w:rsidRPr="003440BA">
        <w:rPr>
          <w:rFonts w:asciiTheme="minorHAnsi" w:hAnsiTheme="minorHAnsi"/>
        </w:rPr>
        <w:t xml:space="preserve">recommend treatment based on an individual patient’s risk of having a </w:t>
      </w:r>
      <w:r w:rsidR="00130DC0">
        <w:rPr>
          <w:rFonts w:asciiTheme="minorHAnsi" w:hAnsiTheme="minorHAnsi"/>
        </w:rPr>
        <w:t xml:space="preserve">future </w:t>
      </w:r>
      <w:r w:rsidR="0000686B" w:rsidRPr="003440BA">
        <w:rPr>
          <w:rFonts w:asciiTheme="minorHAnsi" w:hAnsiTheme="minorHAnsi"/>
        </w:rPr>
        <w:t>cardiovascular event</w:t>
      </w:r>
      <w:r>
        <w:rPr>
          <w:rFonts w:asciiTheme="minorHAnsi" w:hAnsiTheme="minorHAnsi"/>
        </w:rPr>
        <w:t xml:space="preserve">. For </w:t>
      </w:r>
      <w:r w:rsidR="0000686B" w:rsidRPr="003440BA">
        <w:rPr>
          <w:rFonts w:asciiTheme="minorHAnsi" w:hAnsiTheme="minorHAnsi"/>
        </w:rPr>
        <w:t>secondary prevention of CVD</w:t>
      </w:r>
      <w:r w:rsidR="00572D82">
        <w:rPr>
          <w:rFonts w:asciiTheme="minorHAnsi" w:hAnsiTheme="minorHAnsi"/>
        </w:rPr>
        <w:t xml:space="preserve"> (i.e. patients with pre-existing CVD)</w:t>
      </w:r>
      <w:r>
        <w:rPr>
          <w:rFonts w:asciiTheme="minorHAnsi" w:hAnsiTheme="minorHAnsi"/>
        </w:rPr>
        <w:t>,</w:t>
      </w:r>
      <w:r w:rsidR="0000686B" w:rsidRPr="003440BA">
        <w:rPr>
          <w:rFonts w:asciiTheme="minorHAnsi" w:hAnsiTheme="minorHAnsi"/>
        </w:rPr>
        <w:t xml:space="preserve"> a high </w:t>
      </w:r>
      <w:r w:rsidR="007E703C">
        <w:rPr>
          <w:rFonts w:asciiTheme="minorHAnsi" w:hAnsiTheme="minorHAnsi"/>
        </w:rPr>
        <w:t xml:space="preserve">risk </w:t>
      </w:r>
      <w:r w:rsidR="0000686B" w:rsidRPr="003440BA">
        <w:rPr>
          <w:rFonts w:asciiTheme="minorHAnsi" w:hAnsiTheme="minorHAnsi"/>
        </w:rPr>
        <w:t xml:space="preserve">status is applied categorically rather than assessed using a risk calculator. The variation between Australian and international guidelines reflects differences in absolute risk thresholds in each country and </w:t>
      </w:r>
      <w:r w:rsidR="007E703C">
        <w:rPr>
          <w:rFonts w:asciiTheme="minorHAnsi" w:hAnsiTheme="minorHAnsi"/>
        </w:rPr>
        <w:t xml:space="preserve">the </w:t>
      </w:r>
      <w:r w:rsidR="0000686B" w:rsidRPr="003440BA">
        <w:rPr>
          <w:rFonts w:asciiTheme="minorHAnsi" w:hAnsiTheme="minorHAnsi"/>
        </w:rPr>
        <w:t>approach to pharmacotherapy.</w:t>
      </w:r>
    </w:p>
    <w:p w:rsidR="0000686B" w:rsidRPr="00FE03BC" w:rsidRDefault="0000686B">
      <w:pPr>
        <w:spacing w:line="240" w:lineRule="auto"/>
        <w:rPr>
          <w:rFonts w:asciiTheme="minorHAnsi" w:hAnsiTheme="minorHAnsi"/>
        </w:rPr>
      </w:pPr>
      <w:r w:rsidRPr="003440BA">
        <w:rPr>
          <w:rFonts w:asciiTheme="minorHAnsi" w:hAnsiTheme="minorHAnsi"/>
        </w:rPr>
        <w:t>All guidelines recommend the use of statins as first lin</w:t>
      </w:r>
      <w:r>
        <w:rPr>
          <w:rFonts w:asciiTheme="minorHAnsi" w:hAnsiTheme="minorHAnsi"/>
        </w:rPr>
        <w:t>e pharmacotherapy to lower LDL-C</w:t>
      </w:r>
      <w:r w:rsidRPr="003440BA">
        <w:rPr>
          <w:rFonts w:asciiTheme="minorHAnsi" w:hAnsiTheme="minorHAnsi"/>
        </w:rPr>
        <w:t xml:space="preserve"> concentrations. This is due to the quality and quantity of clinical evidence available that lowering LDL-C through the use of statins translates to a reduction in risk of cardiovascular events. The guidelines place ezetimibe after statins due to the limited </w:t>
      </w:r>
      <w:r w:rsidR="008E57F6">
        <w:rPr>
          <w:rFonts w:asciiTheme="minorHAnsi" w:hAnsiTheme="minorHAnsi"/>
        </w:rPr>
        <w:t xml:space="preserve">patient outcome </w:t>
      </w:r>
      <w:r w:rsidRPr="003440BA">
        <w:rPr>
          <w:rFonts w:asciiTheme="minorHAnsi" w:hAnsiTheme="minorHAnsi"/>
        </w:rPr>
        <w:t>data available. There is only one trial</w:t>
      </w:r>
      <w:r w:rsidR="00E94280">
        <w:rPr>
          <w:rFonts w:asciiTheme="minorHAnsi" w:hAnsiTheme="minorHAnsi"/>
        </w:rPr>
        <w:t>,</w:t>
      </w:r>
      <w:r w:rsidRPr="003440BA">
        <w:rPr>
          <w:rFonts w:asciiTheme="minorHAnsi" w:hAnsiTheme="minorHAnsi"/>
        </w:rPr>
        <w:t xml:space="preserve"> (IMPROVE-IT)</w:t>
      </w:r>
      <w:r w:rsidR="001955A7">
        <w:rPr>
          <w:rStyle w:val="EndnoteReference"/>
          <w:rFonts w:asciiTheme="minorHAnsi" w:hAnsiTheme="minorHAnsi"/>
        </w:rPr>
        <w:endnoteReference w:id="2"/>
      </w:r>
      <w:r w:rsidR="001955A7" w:rsidRPr="003440BA">
        <w:rPr>
          <w:rFonts w:asciiTheme="minorHAnsi" w:hAnsiTheme="minorHAnsi"/>
        </w:rPr>
        <w:t xml:space="preserve"> </w:t>
      </w:r>
      <w:r w:rsidR="00E94280">
        <w:rPr>
          <w:rFonts w:asciiTheme="minorHAnsi" w:hAnsiTheme="minorHAnsi"/>
        </w:rPr>
        <w:t xml:space="preserve">, </w:t>
      </w:r>
      <w:r w:rsidRPr="003440BA">
        <w:rPr>
          <w:rFonts w:asciiTheme="minorHAnsi" w:hAnsiTheme="minorHAnsi"/>
        </w:rPr>
        <w:t xml:space="preserve">showing that a reduction in LDL-C through the use of </w:t>
      </w:r>
      <w:r w:rsidRPr="00FE03BC">
        <w:rPr>
          <w:rFonts w:asciiTheme="minorHAnsi" w:hAnsiTheme="minorHAnsi"/>
        </w:rPr>
        <w:t xml:space="preserve">ezetimibe </w:t>
      </w:r>
      <w:r w:rsidR="00C53A52" w:rsidRPr="00A83336">
        <w:rPr>
          <w:rFonts w:asciiTheme="minorHAnsi" w:hAnsiTheme="minorHAnsi"/>
        </w:rPr>
        <w:t>combined with a statin</w:t>
      </w:r>
      <w:r w:rsidR="00C53A52">
        <w:rPr>
          <w:rFonts w:asciiTheme="minorHAnsi" w:hAnsiTheme="minorHAnsi"/>
        </w:rPr>
        <w:t xml:space="preserve"> </w:t>
      </w:r>
      <w:r w:rsidRPr="00FE03BC">
        <w:rPr>
          <w:rFonts w:asciiTheme="minorHAnsi" w:hAnsiTheme="minorHAnsi"/>
        </w:rPr>
        <w:t xml:space="preserve">translates to a reduced risk of cardiovascular events. </w:t>
      </w:r>
      <w:r w:rsidR="00D11D83">
        <w:rPr>
          <w:rFonts w:asciiTheme="minorHAnsi" w:hAnsiTheme="minorHAnsi"/>
        </w:rPr>
        <w:t>However, t</w:t>
      </w:r>
      <w:r w:rsidRPr="00FE03BC">
        <w:rPr>
          <w:rFonts w:asciiTheme="minorHAnsi" w:hAnsiTheme="minorHAnsi"/>
        </w:rPr>
        <w:t xml:space="preserve">here was no significant overall effect on mortality </w:t>
      </w:r>
      <w:r w:rsidR="00D11D83">
        <w:rPr>
          <w:rFonts w:asciiTheme="minorHAnsi" w:hAnsiTheme="minorHAnsi"/>
        </w:rPr>
        <w:t>in this trial.</w:t>
      </w:r>
      <w:r w:rsidRPr="00FE03BC">
        <w:rPr>
          <w:rFonts w:asciiTheme="minorHAnsi" w:hAnsiTheme="minorHAnsi"/>
        </w:rPr>
        <w:t xml:space="preserve"> </w:t>
      </w:r>
    </w:p>
    <w:p w:rsidR="0000686B" w:rsidRDefault="00C53A52">
      <w:pPr>
        <w:spacing w:after="0" w:line="240" w:lineRule="auto"/>
        <w:rPr>
          <w:rFonts w:asciiTheme="minorHAnsi" w:hAnsiTheme="minorHAnsi"/>
          <w:szCs w:val="24"/>
        </w:rPr>
      </w:pPr>
      <w:r w:rsidRPr="00A83336">
        <w:rPr>
          <w:rFonts w:asciiTheme="minorHAnsi" w:hAnsiTheme="minorHAnsi"/>
        </w:rPr>
        <w:t>R</w:t>
      </w:r>
      <w:r w:rsidR="00236878" w:rsidRPr="00A83336">
        <w:rPr>
          <w:rFonts w:asciiTheme="minorHAnsi" w:hAnsiTheme="minorHAnsi"/>
        </w:rPr>
        <w:t xml:space="preserve">ecent literature </w:t>
      </w:r>
      <w:r w:rsidR="000A555E" w:rsidRPr="00A83336">
        <w:rPr>
          <w:rFonts w:asciiTheme="minorHAnsi" w:hAnsiTheme="minorHAnsi"/>
        </w:rPr>
        <w:t xml:space="preserve">suggests </w:t>
      </w:r>
      <w:r w:rsidR="00236878" w:rsidRPr="00A83336">
        <w:rPr>
          <w:rFonts w:asciiTheme="minorHAnsi" w:hAnsiTheme="minorHAnsi"/>
        </w:rPr>
        <w:t xml:space="preserve">that </w:t>
      </w:r>
      <w:r w:rsidR="00FE6799" w:rsidRPr="00A83336">
        <w:rPr>
          <w:rFonts w:asciiTheme="minorHAnsi" w:hAnsiTheme="minorHAnsi"/>
        </w:rPr>
        <w:t xml:space="preserve">significant </w:t>
      </w:r>
      <w:r w:rsidR="00236878" w:rsidRPr="00A83336">
        <w:rPr>
          <w:rFonts w:asciiTheme="minorHAnsi" w:hAnsiTheme="minorHAnsi"/>
        </w:rPr>
        <w:t xml:space="preserve">benefit from ezetimibe is restricted to those with high risk </w:t>
      </w:r>
      <w:r w:rsidR="00FE6799" w:rsidRPr="00A83336">
        <w:rPr>
          <w:rFonts w:asciiTheme="minorHAnsi" w:hAnsiTheme="minorHAnsi"/>
        </w:rPr>
        <w:t xml:space="preserve">of cardiovascular events </w:t>
      </w:r>
      <w:r w:rsidR="00236878" w:rsidRPr="00A83336">
        <w:rPr>
          <w:rFonts w:asciiTheme="minorHAnsi" w:hAnsiTheme="minorHAnsi"/>
        </w:rPr>
        <w:t>in</w:t>
      </w:r>
      <w:r w:rsidR="00FE6799" w:rsidRPr="00A83336">
        <w:rPr>
          <w:rFonts w:asciiTheme="minorHAnsi" w:hAnsiTheme="minorHAnsi"/>
        </w:rPr>
        <w:t xml:space="preserve"> </w:t>
      </w:r>
      <w:r w:rsidR="00236878" w:rsidRPr="00A83336">
        <w:rPr>
          <w:rFonts w:asciiTheme="minorHAnsi" w:hAnsiTheme="minorHAnsi"/>
        </w:rPr>
        <w:t>a secondary prevention population</w:t>
      </w:r>
      <w:r w:rsidR="001955A7">
        <w:rPr>
          <w:rStyle w:val="EndnoteReference"/>
          <w:rFonts w:asciiTheme="minorHAnsi" w:hAnsiTheme="minorHAnsi"/>
        </w:rPr>
        <w:endnoteReference w:id="3"/>
      </w:r>
      <w:r w:rsidR="001955A7">
        <w:rPr>
          <w:rStyle w:val="EndnoteReference"/>
          <w:rFonts w:asciiTheme="minorHAnsi" w:hAnsiTheme="minorHAnsi"/>
        </w:rPr>
        <w:endnoteReference w:id="4"/>
      </w:r>
      <w:r w:rsidR="001955A7">
        <w:rPr>
          <w:rFonts w:asciiTheme="minorHAnsi" w:hAnsiTheme="minorHAnsi"/>
        </w:rPr>
        <w:t>.</w:t>
      </w:r>
      <w:r w:rsidR="00A2217A" w:rsidRPr="00A83336">
        <w:rPr>
          <w:rFonts w:asciiTheme="minorHAnsi" w:hAnsiTheme="minorHAnsi"/>
        </w:rPr>
        <w:t>During the seven years of IMPROVE-IT, p</w:t>
      </w:r>
      <w:r w:rsidR="00A2217A" w:rsidRPr="00A83336">
        <w:rPr>
          <w:rFonts w:asciiTheme="minorHAnsi" w:hAnsiTheme="minorHAnsi"/>
          <w:szCs w:val="24"/>
        </w:rPr>
        <w:t xml:space="preserve">atients with prior CABG received significantly greater benefit from treatment with ezetimibe in addition to simvastatin compared to those without prior CABG (Absolute Risk Reduction of 8.8% versus 1.3%). </w:t>
      </w:r>
      <w:r w:rsidR="000A555E" w:rsidRPr="00A83336">
        <w:rPr>
          <w:rFonts w:asciiTheme="minorHAnsi" w:hAnsiTheme="minorHAnsi"/>
        </w:rPr>
        <w:t>T</w:t>
      </w:r>
      <w:r w:rsidR="0000686B" w:rsidRPr="00A83336">
        <w:rPr>
          <w:rFonts w:asciiTheme="minorHAnsi" w:hAnsiTheme="minorHAnsi"/>
        </w:rPr>
        <w:t>he Bohula et al</w:t>
      </w:r>
      <w:r w:rsidR="00D8141C" w:rsidRPr="00A83336">
        <w:rPr>
          <w:szCs w:val="24"/>
          <w:vertAlign w:val="superscript"/>
        </w:rPr>
        <w:endnoteReference w:id="5"/>
      </w:r>
      <w:r w:rsidR="00D8141C" w:rsidRPr="00A83336">
        <w:rPr>
          <w:rFonts w:asciiTheme="minorHAnsi" w:hAnsiTheme="minorHAnsi"/>
          <w:szCs w:val="24"/>
          <w:vertAlign w:val="superscript"/>
        </w:rPr>
        <w:t xml:space="preserve"> </w:t>
      </w:r>
      <w:r w:rsidR="0000686B" w:rsidRPr="00A83336">
        <w:rPr>
          <w:rFonts w:asciiTheme="minorHAnsi" w:hAnsiTheme="minorHAnsi"/>
        </w:rPr>
        <w:t xml:space="preserve"> analysis of the IMPROVE-IT trial</w:t>
      </w:r>
      <w:r w:rsidR="0000686B" w:rsidRPr="00A83336">
        <w:rPr>
          <w:rFonts w:asciiTheme="minorHAnsi" w:hAnsiTheme="minorHAnsi"/>
          <w:szCs w:val="24"/>
        </w:rPr>
        <w:t xml:space="preserve"> </w:t>
      </w:r>
      <w:r w:rsidR="0000686B" w:rsidRPr="00A83336">
        <w:rPr>
          <w:rFonts w:asciiTheme="minorHAnsi" w:hAnsiTheme="minorHAnsi"/>
        </w:rPr>
        <w:t>found those who showed</w:t>
      </w:r>
      <w:r w:rsidR="000E0C66" w:rsidRPr="00A83336">
        <w:rPr>
          <w:rFonts w:asciiTheme="minorHAnsi" w:hAnsiTheme="minorHAnsi"/>
        </w:rPr>
        <w:t xml:space="preserve"> a</w:t>
      </w:r>
      <w:r w:rsidR="0000686B" w:rsidRPr="00A83336">
        <w:rPr>
          <w:rFonts w:asciiTheme="minorHAnsi" w:hAnsiTheme="minorHAnsi"/>
        </w:rPr>
        <w:t xml:space="preserve"> significant benefit from ezetimibe</w:t>
      </w:r>
      <w:r w:rsidR="000E0C66" w:rsidRPr="00A83336">
        <w:rPr>
          <w:rFonts w:asciiTheme="minorHAnsi" w:hAnsiTheme="minorHAnsi"/>
        </w:rPr>
        <w:t xml:space="preserve"> plus </w:t>
      </w:r>
      <w:r w:rsidR="0000686B" w:rsidRPr="00A83336">
        <w:rPr>
          <w:rFonts w:asciiTheme="minorHAnsi" w:hAnsiTheme="minorHAnsi"/>
        </w:rPr>
        <w:t>statin therapy</w:t>
      </w:r>
      <w:r w:rsidR="000E0C66" w:rsidRPr="00A83336">
        <w:rPr>
          <w:rFonts w:asciiTheme="minorHAnsi" w:hAnsiTheme="minorHAnsi"/>
        </w:rPr>
        <w:t xml:space="preserve"> over statin monotherapy </w:t>
      </w:r>
      <w:r w:rsidR="000A555E" w:rsidRPr="00A83336">
        <w:rPr>
          <w:rFonts w:asciiTheme="minorHAnsi" w:hAnsiTheme="minorHAnsi"/>
        </w:rPr>
        <w:t xml:space="preserve">had </w:t>
      </w:r>
      <w:r w:rsidR="0000686B" w:rsidRPr="00A83336">
        <w:rPr>
          <w:rFonts w:asciiTheme="minorHAnsi" w:hAnsiTheme="minorHAnsi"/>
        </w:rPr>
        <w:t xml:space="preserve">three or more additional risk factors. </w:t>
      </w:r>
      <w:r w:rsidR="00DF57CD" w:rsidRPr="00A83336">
        <w:rPr>
          <w:rFonts w:asciiTheme="minorHAnsi" w:hAnsiTheme="minorHAnsi"/>
        </w:rPr>
        <w:t xml:space="preserve">Low risk patients (nil to one risk factor) showed no benefit from the addition of ezetimibe. </w:t>
      </w:r>
      <w:r w:rsidR="0000686B" w:rsidRPr="00A83336">
        <w:rPr>
          <w:rFonts w:asciiTheme="minorHAnsi" w:hAnsiTheme="minorHAnsi"/>
        </w:rPr>
        <w:t>This underlines the importance of restricting PBS subsidised use of ezetimibe to the high risk population.</w:t>
      </w:r>
      <w:r w:rsidR="00A2217A" w:rsidRPr="00A83336">
        <w:rPr>
          <w:rFonts w:asciiTheme="minorHAnsi" w:hAnsiTheme="minorHAnsi"/>
          <w:szCs w:val="24"/>
        </w:rPr>
        <w:t xml:space="preserve"> </w:t>
      </w:r>
    </w:p>
    <w:p w:rsidR="00A83336" w:rsidRPr="00A83336" w:rsidRDefault="00A83336">
      <w:pPr>
        <w:spacing w:after="0" w:line="240" w:lineRule="auto"/>
        <w:rPr>
          <w:rFonts w:ascii="Times New Roman" w:hAnsi="Times New Roman"/>
          <w:bCs/>
        </w:rPr>
      </w:pPr>
    </w:p>
    <w:p w:rsidR="00136A5C" w:rsidRDefault="00C53A52">
      <w:pPr>
        <w:spacing w:line="240" w:lineRule="auto"/>
        <w:rPr>
          <w:rFonts w:asciiTheme="minorHAnsi" w:hAnsiTheme="minorHAnsi"/>
        </w:rPr>
      </w:pPr>
      <w:r>
        <w:rPr>
          <w:rFonts w:asciiTheme="minorHAnsi" w:hAnsiTheme="minorHAnsi"/>
        </w:rPr>
        <w:t>S</w:t>
      </w:r>
      <w:hyperlink r:id="rId16" w:history="1">
        <w:r w:rsidR="0000686B" w:rsidRPr="00B56527">
          <w:rPr>
            <w:rFonts w:asciiTheme="minorHAnsi" w:hAnsiTheme="minorHAnsi"/>
          </w:rPr>
          <w:t>ection 101</w:t>
        </w:r>
      </w:hyperlink>
      <w:r w:rsidR="0000686B" w:rsidRPr="00B56527">
        <w:rPr>
          <w:rFonts w:asciiTheme="minorHAnsi" w:hAnsiTheme="minorHAnsi"/>
        </w:rPr>
        <w:t xml:space="preserve"> of the </w:t>
      </w:r>
      <w:r w:rsidR="0000686B" w:rsidRPr="00B56527">
        <w:rPr>
          <w:rFonts w:asciiTheme="minorHAnsi" w:hAnsiTheme="minorHAnsi"/>
          <w:i/>
        </w:rPr>
        <w:t>National Health Act 1953</w:t>
      </w:r>
      <w:r w:rsidR="0000686B" w:rsidRPr="00B56527">
        <w:rPr>
          <w:rFonts w:asciiTheme="minorHAnsi" w:hAnsiTheme="minorHAnsi"/>
        </w:rPr>
        <w:t xml:space="preserve"> </w:t>
      </w:r>
      <w:r w:rsidR="0000686B" w:rsidRPr="00B56527">
        <w:rPr>
          <w:rFonts w:asciiTheme="minorHAnsi" w:hAnsiTheme="minorHAnsi"/>
          <w:i/>
        </w:rPr>
        <w:t>(C/Wealth)</w:t>
      </w:r>
      <w:r>
        <w:rPr>
          <w:rFonts w:asciiTheme="minorHAnsi" w:hAnsiTheme="minorHAnsi"/>
          <w:i/>
        </w:rPr>
        <w:t xml:space="preserve"> </w:t>
      </w:r>
      <w:r w:rsidRPr="00C53A52">
        <w:rPr>
          <w:rFonts w:asciiTheme="minorHAnsi" w:hAnsiTheme="minorHAnsi"/>
        </w:rPr>
        <w:t>requires</w:t>
      </w:r>
      <w:r w:rsidR="0000686B" w:rsidRPr="00B56527">
        <w:rPr>
          <w:rFonts w:asciiTheme="minorHAnsi" w:hAnsiTheme="minorHAnsi"/>
        </w:rPr>
        <w:t xml:space="preserve"> the PBAC </w:t>
      </w:r>
      <w:r w:rsidR="00AD3B30">
        <w:rPr>
          <w:rFonts w:asciiTheme="minorHAnsi" w:hAnsiTheme="minorHAnsi"/>
        </w:rPr>
        <w:t xml:space="preserve">to consider </w:t>
      </w:r>
      <w:r w:rsidR="0000686B" w:rsidRPr="00B56527">
        <w:rPr>
          <w:rFonts w:asciiTheme="minorHAnsi" w:hAnsiTheme="minorHAnsi"/>
        </w:rPr>
        <w:t xml:space="preserve">both the cost and clinical effectiveness of </w:t>
      </w:r>
      <w:r w:rsidR="00AD3B30">
        <w:rPr>
          <w:rFonts w:asciiTheme="minorHAnsi" w:hAnsiTheme="minorHAnsi"/>
        </w:rPr>
        <w:t xml:space="preserve">a </w:t>
      </w:r>
      <w:r w:rsidR="0000686B" w:rsidRPr="00B56527">
        <w:rPr>
          <w:rFonts w:asciiTheme="minorHAnsi" w:hAnsiTheme="minorHAnsi"/>
        </w:rPr>
        <w:t>medicine when compared with other treatments for the same condition. PBS restrictions reflect the outcomes of the PBAC’s cost</w:t>
      </w:r>
      <w:r w:rsidR="00216B38">
        <w:rPr>
          <w:rFonts w:asciiTheme="minorHAnsi" w:hAnsiTheme="minorHAnsi"/>
        </w:rPr>
        <w:t>-</w:t>
      </w:r>
      <w:r w:rsidR="0000686B" w:rsidRPr="00B56527">
        <w:rPr>
          <w:rFonts w:asciiTheme="minorHAnsi" w:hAnsiTheme="minorHAnsi"/>
        </w:rPr>
        <w:t xml:space="preserve">effectiveness deliberations whereas clinical guidelines do not explicitly consider cost-effectiveness. Consequently, PBS restrictions </w:t>
      </w:r>
      <w:r w:rsidR="007E703C">
        <w:rPr>
          <w:rFonts w:asciiTheme="minorHAnsi" w:hAnsiTheme="minorHAnsi"/>
        </w:rPr>
        <w:t xml:space="preserve">and </w:t>
      </w:r>
      <w:r w:rsidR="0000686B" w:rsidRPr="00B56527">
        <w:rPr>
          <w:rFonts w:asciiTheme="minorHAnsi" w:hAnsiTheme="minorHAnsi"/>
        </w:rPr>
        <w:t>clinical guidelines</w:t>
      </w:r>
      <w:r w:rsidR="007E703C">
        <w:rPr>
          <w:rFonts w:asciiTheme="minorHAnsi" w:hAnsiTheme="minorHAnsi"/>
        </w:rPr>
        <w:t xml:space="preserve"> </w:t>
      </w:r>
      <w:r w:rsidR="007E703C" w:rsidRPr="00B56527">
        <w:rPr>
          <w:rFonts w:asciiTheme="minorHAnsi" w:hAnsiTheme="minorHAnsi"/>
        </w:rPr>
        <w:t>do not always align</w:t>
      </w:r>
      <w:r w:rsidR="007E703C">
        <w:rPr>
          <w:rFonts w:asciiTheme="minorHAnsi" w:hAnsiTheme="minorHAnsi"/>
        </w:rPr>
        <w:t xml:space="preserve">. </w:t>
      </w:r>
    </w:p>
    <w:p w:rsidR="00151BC5" w:rsidRDefault="0000686B">
      <w:pPr>
        <w:spacing w:line="240" w:lineRule="auto"/>
        <w:rPr>
          <w:rFonts w:asciiTheme="minorHAnsi" w:hAnsiTheme="minorHAnsi"/>
          <w:szCs w:val="24"/>
        </w:rPr>
      </w:pPr>
      <w:r w:rsidRPr="003440BA">
        <w:rPr>
          <w:rFonts w:asciiTheme="minorHAnsi" w:hAnsiTheme="minorHAnsi"/>
        </w:rPr>
        <w:lastRenderedPageBreak/>
        <w:t>The General Statement for Lipid Lowering Drugs</w:t>
      </w:r>
      <w:r w:rsidR="00106006">
        <w:rPr>
          <w:rStyle w:val="EndnoteReference"/>
          <w:rFonts w:asciiTheme="minorHAnsi" w:hAnsiTheme="minorHAnsi"/>
        </w:rPr>
        <w:endnoteReference w:id="6"/>
      </w:r>
      <w:r w:rsidR="00106006" w:rsidRPr="003440BA">
        <w:rPr>
          <w:rFonts w:asciiTheme="minorHAnsi" w:hAnsiTheme="minorHAnsi"/>
        </w:rPr>
        <w:t xml:space="preserve"> </w:t>
      </w:r>
      <w:r w:rsidRPr="003440BA">
        <w:rPr>
          <w:rFonts w:asciiTheme="minorHAnsi" w:hAnsiTheme="minorHAnsi"/>
        </w:rPr>
        <w:t>(GSLLD) forms part of the restriction</w:t>
      </w:r>
      <w:r w:rsidR="007E703C">
        <w:rPr>
          <w:rFonts w:asciiTheme="minorHAnsi" w:hAnsiTheme="minorHAnsi"/>
        </w:rPr>
        <w:t>s</w:t>
      </w:r>
      <w:r w:rsidRPr="003440BA">
        <w:rPr>
          <w:rFonts w:asciiTheme="minorHAnsi" w:hAnsiTheme="minorHAnsi"/>
        </w:rPr>
        <w:t xml:space="preserve"> for PBS subsidised statins</w:t>
      </w:r>
      <w:r w:rsidR="00AD3B30">
        <w:rPr>
          <w:rFonts w:asciiTheme="minorHAnsi" w:hAnsiTheme="minorHAnsi"/>
        </w:rPr>
        <w:t>, fenofibrate and gemfibrozil.</w:t>
      </w:r>
      <w:r w:rsidRPr="003440BA">
        <w:rPr>
          <w:rFonts w:asciiTheme="minorHAnsi" w:hAnsiTheme="minorHAnsi"/>
        </w:rPr>
        <w:t xml:space="preserve"> A comparison of the GSLLD and Australian treatment guidelines (National Vascular Disease Prevention Alliance (NVDPA-2012) found both guidelines to be broadly consistent in terms of the risk factors that are considered prior to recommending commencement of LLT. The Reference Group considered that the</w:t>
      </w:r>
      <w:r w:rsidR="00AD3B30">
        <w:rPr>
          <w:rFonts w:asciiTheme="minorHAnsi" w:hAnsiTheme="minorHAnsi"/>
        </w:rPr>
        <w:t xml:space="preserve">re is general </w:t>
      </w:r>
      <w:r w:rsidR="00130DC0">
        <w:rPr>
          <w:rFonts w:asciiTheme="minorHAnsi" w:hAnsiTheme="minorHAnsi"/>
        </w:rPr>
        <w:t xml:space="preserve">prescribing </w:t>
      </w:r>
      <w:r w:rsidR="00AD3B30">
        <w:rPr>
          <w:rFonts w:asciiTheme="minorHAnsi" w:hAnsiTheme="minorHAnsi"/>
        </w:rPr>
        <w:t xml:space="preserve">compliance with the </w:t>
      </w:r>
      <w:r w:rsidRPr="003440BA">
        <w:rPr>
          <w:rFonts w:asciiTheme="minorHAnsi" w:hAnsiTheme="minorHAnsi"/>
        </w:rPr>
        <w:t>GSLLD</w:t>
      </w:r>
      <w:r w:rsidR="007E703C">
        <w:rPr>
          <w:rFonts w:asciiTheme="minorHAnsi" w:hAnsiTheme="minorHAnsi"/>
        </w:rPr>
        <w:t>. H</w:t>
      </w:r>
      <w:r w:rsidR="00AD3B30">
        <w:rPr>
          <w:rFonts w:asciiTheme="minorHAnsi" w:hAnsiTheme="minorHAnsi"/>
        </w:rPr>
        <w:t>owever</w:t>
      </w:r>
      <w:r w:rsidR="00E94280">
        <w:rPr>
          <w:rFonts w:asciiTheme="minorHAnsi" w:hAnsiTheme="minorHAnsi"/>
        </w:rPr>
        <w:t>,</w:t>
      </w:r>
      <w:r w:rsidR="00AD3B30">
        <w:rPr>
          <w:rFonts w:asciiTheme="minorHAnsi" w:hAnsiTheme="minorHAnsi"/>
        </w:rPr>
        <w:t xml:space="preserve"> </w:t>
      </w:r>
      <w:r w:rsidR="00130DC0">
        <w:rPr>
          <w:rFonts w:asciiTheme="minorHAnsi" w:hAnsiTheme="minorHAnsi"/>
        </w:rPr>
        <w:t xml:space="preserve">the GSLLD </w:t>
      </w:r>
      <w:r w:rsidR="00AD3B30">
        <w:rPr>
          <w:rFonts w:asciiTheme="minorHAnsi" w:hAnsiTheme="minorHAnsi"/>
        </w:rPr>
        <w:t xml:space="preserve">no longer reflects </w:t>
      </w:r>
      <w:r w:rsidRPr="003440BA">
        <w:rPr>
          <w:rFonts w:asciiTheme="minorHAnsi" w:hAnsiTheme="minorHAnsi"/>
        </w:rPr>
        <w:t xml:space="preserve">contemporary use of LLT and could be removed. </w:t>
      </w:r>
      <w:r w:rsidRPr="003440BA">
        <w:rPr>
          <w:rFonts w:asciiTheme="minorHAnsi" w:hAnsiTheme="minorHAnsi"/>
          <w:szCs w:val="24"/>
        </w:rPr>
        <w:t xml:space="preserve">For example, for primary prevention, most clinicians would commence patients on a LLT at total cholesterol concentrations lower than 9mmol/L, which is currently </w:t>
      </w:r>
      <w:r w:rsidRPr="000A555E">
        <w:rPr>
          <w:rFonts w:asciiTheme="minorHAnsi" w:hAnsiTheme="minorHAnsi"/>
          <w:szCs w:val="24"/>
        </w:rPr>
        <w:t xml:space="preserve">the threshold in the GSLLD for patients not otherwise included in </w:t>
      </w:r>
      <w:r w:rsidR="000E0C66">
        <w:rPr>
          <w:rFonts w:asciiTheme="minorHAnsi" w:hAnsiTheme="minorHAnsi"/>
          <w:szCs w:val="24"/>
        </w:rPr>
        <w:t>specific clinical</w:t>
      </w:r>
      <w:r w:rsidRPr="000A555E">
        <w:rPr>
          <w:rFonts w:asciiTheme="minorHAnsi" w:hAnsiTheme="minorHAnsi"/>
          <w:szCs w:val="24"/>
        </w:rPr>
        <w:t xml:space="preserve"> categories</w:t>
      </w:r>
      <w:r w:rsidR="00151BC5">
        <w:rPr>
          <w:rFonts w:asciiTheme="minorHAnsi" w:hAnsiTheme="minorHAnsi"/>
          <w:szCs w:val="24"/>
        </w:rPr>
        <w:t>.</w:t>
      </w:r>
    </w:p>
    <w:p w:rsidR="00E85CBE" w:rsidRPr="00A83336" w:rsidRDefault="00A83336">
      <w:pPr>
        <w:spacing w:line="240" w:lineRule="auto"/>
        <w:rPr>
          <w:rFonts w:asciiTheme="minorHAnsi" w:hAnsiTheme="minorHAnsi"/>
        </w:rPr>
      </w:pPr>
      <w:r>
        <w:rPr>
          <w:rFonts w:asciiTheme="minorHAnsi" w:hAnsiTheme="minorHAnsi"/>
          <w:szCs w:val="24"/>
        </w:rPr>
        <w:t>I</w:t>
      </w:r>
      <w:r w:rsidR="00136A5C">
        <w:rPr>
          <w:rFonts w:asciiTheme="minorHAnsi" w:hAnsiTheme="minorHAnsi"/>
          <w:szCs w:val="24"/>
        </w:rPr>
        <w:t>n</w:t>
      </w:r>
      <w:r>
        <w:rPr>
          <w:rFonts w:asciiTheme="minorHAnsi" w:hAnsiTheme="minorHAnsi"/>
          <w:szCs w:val="24"/>
        </w:rPr>
        <w:t xml:space="preserve"> considering the report in February 2017, t</w:t>
      </w:r>
      <w:r w:rsidR="00E85CBE" w:rsidRPr="00A83336">
        <w:rPr>
          <w:rFonts w:asciiTheme="minorHAnsi" w:hAnsiTheme="minorHAnsi"/>
          <w:szCs w:val="24"/>
        </w:rPr>
        <w:t xml:space="preserve">he </w:t>
      </w:r>
      <w:r w:rsidR="00151BC5" w:rsidRPr="00A83336">
        <w:rPr>
          <w:rFonts w:asciiTheme="minorHAnsi" w:hAnsiTheme="minorHAnsi"/>
          <w:szCs w:val="24"/>
        </w:rPr>
        <w:t xml:space="preserve">DUSC </w:t>
      </w:r>
      <w:r w:rsidR="00454D74" w:rsidRPr="00A83336">
        <w:rPr>
          <w:rFonts w:asciiTheme="minorHAnsi" w:hAnsiTheme="minorHAnsi"/>
          <w:szCs w:val="24"/>
        </w:rPr>
        <w:t xml:space="preserve">advised </w:t>
      </w:r>
      <w:r w:rsidR="00E85CBE" w:rsidRPr="00A83336">
        <w:rPr>
          <w:rFonts w:asciiTheme="minorHAnsi" w:hAnsiTheme="minorHAnsi"/>
          <w:szCs w:val="24"/>
        </w:rPr>
        <w:t>that the statin market is mature</w:t>
      </w:r>
      <w:r w:rsidR="00454D74" w:rsidRPr="00A83336">
        <w:rPr>
          <w:rFonts w:asciiTheme="minorHAnsi" w:hAnsiTheme="minorHAnsi"/>
          <w:szCs w:val="24"/>
        </w:rPr>
        <w:t xml:space="preserve"> but</w:t>
      </w:r>
      <w:r w:rsidR="00E85CBE" w:rsidRPr="00A83336">
        <w:rPr>
          <w:rFonts w:asciiTheme="minorHAnsi" w:hAnsiTheme="minorHAnsi"/>
          <w:szCs w:val="24"/>
        </w:rPr>
        <w:t xml:space="preserve"> the ezetimibe market </w:t>
      </w:r>
      <w:r w:rsidR="00136A5C">
        <w:rPr>
          <w:rFonts w:asciiTheme="minorHAnsi" w:hAnsiTheme="minorHAnsi"/>
          <w:szCs w:val="24"/>
        </w:rPr>
        <w:t>had</w:t>
      </w:r>
      <w:r w:rsidR="00454D74" w:rsidRPr="00A83336">
        <w:rPr>
          <w:rFonts w:asciiTheme="minorHAnsi" w:hAnsiTheme="minorHAnsi"/>
          <w:szCs w:val="24"/>
        </w:rPr>
        <w:t xml:space="preserve"> not yet stabilised</w:t>
      </w:r>
      <w:r w:rsidR="00E85CBE" w:rsidRPr="00A83336">
        <w:rPr>
          <w:rFonts w:asciiTheme="minorHAnsi" w:hAnsiTheme="minorHAnsi"/>
          <w:szCs w:val="24"/>
        </w:rPr>
        <w:t xml:space="preserve">. Ezetimibe use is predominantly ‘add on’ to statins and it is uncertain </w:t>
      </w:r>
      <w:r>
        <w:rPr>
          <w:rFonts w:asciiTheme="minorHAnsi" w:hAnsiTheme="minorHAnsi"/>
          <w:szCs w:val="24"/>
        </w:rPr>
        <w:t>whether or not</w:t>
      </w:r>
      <w:r w:rsidR="00E85CBE" w:rsidRPr="00A83336">
        <w:rPr>
          <w:rFonts w:asciiTheme="minorHAnsi" w:hAnsiTheme="minorHAnsi"/>
          <w:szCs w:val="24"/>
        </w:rPr>
        <w:t xml:space="preserve"> statins </w:t>
      </w:r>
      <w:r w:rsidR="00151BC5" w:rsidRPr="00A83336">
        <w:rPr>
          <w:rFonts w:asciiTheme="minorHAnsi" w:hAnsiTheme="minorHAnsi"/>
          <w:szCs w:val="24"/>
        </w:rPr>
        <w:t xml:space="preserve">have been trialled at </w:t>
      </w:r>
      <w:r w:rsidR="00E85CBE" w:rsidRPr="00A83336">
        <w:rPr>
          <w:rFonts w:asciiTheme="minorHAnsi" w:hAnsiTheme="minorHAnsi"/>
          <w:szCs w:val="24"/>
        </w:rPr>
        <w:t xml:space="preserve">maximum tolerated doses </w:t>
      </w:r>
      <w:r w:rsidR="00151BC5" w:rsidRPr="00A83336">
        <w:rPr>
          <w:rFonts w:asciiTheme="minorHAnsi" w:hAnsiTheme="minorHAnsi"/>
          <w:szCs w:val="24"/>
        </w:rPr>
        <w:t>before</w:t>
      </w:r>
      <w:r w:rsidR="00E85CBE" w:rsidRPr="00A83336">
        <w:rPr>
          <w:rFonts w:asciiTheme="minorHAnsi" w:hAnsiTheme="minorHAnsi"/>
          <w:szCs w:val="24"/>
        </w:rPr>
        <w:t xml:space="preserve"> ezetimibe is </w:t>
      </w:r>
      <w:r w:rsidR="00151BC5" w:rsidRPr="00A83336">
        <w:rPr>
          <w:rFonts w:asciiTheme="minorHAnsi" w:hAnsiTheme="minorHAnsi"/>
          <w:szCs w:val="24"/>
        </w:rPr>
        <w:t>prescribed</w:t>
      </w:r>
      <w:r w:rsidR="002B08BB">
        <w:rPr>
          <w:rFonts w:asciiTheme="minorHAnsi" w:hAnsiTheme="minorHAnsi"/>
          <w:szCs w:val="24"/>
        </w:rPr>
        <w:t xml:space="preserve"> in </w:t>
      </w:r>
      <w:r w:rsidR="00D11D83">
        <w:rPr>
          <w:rFonts w:asciiTheme="minorHAnsi" w:hAnsiTheme="minorHAnsi"/>
          <w:szCs w:val="24"/>
        </w:rPr>
        <w:t xml:space="preserve">up to </w:t>
      </w:r>
      <w:r w:rsidR="002B08BB">
        <w:rPr>
          <w:rFonts w:asciiTheme="minorHAnsi" w:hAnsiTheme="minorHAnsi"/>
          <w:szCs w:val="24"/>
        </w:rPr>
        <w:t>half the PBS population</w:t>
      </w:r>
      <w:r w:rsidR="00130DC0">
        <w:rPr>
          <w:rFonts w:asciiTheme="minorHAnsi" w:hAnsiTheme="minorHAnsi"/>
          <w:szCs w:val="24"/>
        </w:rPr>
        <w:t xml:space="preserve"> prescribed ezetimibe.</w:t>
      </w:r>
      <w:r w:rsidR="00454D74" w:rsidRPr="00A83336">
        <w:rPr>
          <w:rFonts w:asciiTheme="minorHAnsi" w:hAnsiTheme="minorHAnsi"/>
          <w:szCs w:val="24"/>
        </w:rPr>
        <w:t xml:space="preserve"> Th</w:t>
      </w:r>
      <w:r w:rsidR="0011209E" w:rsidRPr="00A83336">
        <w:rPr>
          <w:rFonts w:asciiTheme="minorHAnsi" w:hAnsiTheme="minorHAnsi"/>
          <w:szCs w:val="24"/>
        </w:rPr>
        <w:t>e</w:t>
      </w:r>
      <w:r w:rsidR="005A433B" w:rsidRPr="00A83336">
        <w:rPr>
          <w:rFonts w:asciiTheme="minorHAnsi" w:hAnsiTheme="minorHAnsi"/>
          <w:szCs w:val="24"/>
        </w:rPr>
        <w:t xml:space="preserve"> Reference Group </w:t>
      </w:r>
      <w:r w:rsidR="003E4BC0" w:rsidRPr="00A83336">
        <w:rPr>
          <w:rFonts w:asciiTheme="minorHAnsi" w:hAnsiTheme="minorHAnsi"/>
          <w:szCs w:val="24"/>
        </w:rPr>
        <w:t xml:space="preserve">therefore </w:t>
      </w:r>
      <w:r w:rsidR="0011209E" w:rsidRPr="00A83336">
        <w:rPr>
          <w:rFonts w:asciiTheme="minorHAnsi" w:hAnsiTheme="minorHAnsi"/>
          <w:szCs w:val="24"/>
        </w:rPr>
        <w:t xml:space="preserve">considered </w:t>
      </w:r>
      <w:r w:rsidR="00454D74" w:rsidRPr="00A83336">
        <w:rPr>
          <w:rFonts w:asciiTheme="minorHAnsi" w:hAnsiTheme="minorHAnsi"/>
          <w:szCs w:val="24"/>
        </w:rPr>
        <w:t>PBS subsidised statins</w:t>
      </w:r>
      <w:r w:rsidR="0011209E" w:rsidRPr="00A83336">
        <w:rPr>
          <w:rFonts w:asciiTheme="minorHAnsi" w:hAnsiTheme="minorHAnsi"/>
          <w:szCs w:val="24"/>
        </w:rPr>
        <w:t xml:space="preserve"> could become unrestricted and ezetimibe should remain Authority Required (Streamlined)</w:t>
      </w:r>
      <w:r w:rsidR="00454D74" w:rsidRPr="00A83336">
        <w:rPr>
          <w:rFonts w:asciiTheme="minorHAnsi" w:hAnsiTheme="minorHAnsi"/>
          <w:szCs w:val="24"/>
        </w:rPr>
        <w:t>.</w:t>
      </w:r>
    </w:p>
    <w:p w:rsidR="0000686B" w:rsidRPr="00736E4A" w:rsidRDefault="0000686B">
      <w:pPr>
        <w:spacing w:before="240" w:line="240" w:lineRule="auto"/>
        <w:rPr>
          <w:rFonts w:asciiTheme="minorHAnsi" w:eastAsia="Calibri" w:hAnsiTheme="minorHAnsi" w:cs="Times New Roman"/>
          <w:b/>
          <w:i/>
          <w:szCs w:val="24"/>
        </w:rPr>
      </w:pPr>
      <w:r w:rsidRPr="00736E4A">
        <w:rPr>
          <w:rFonts w:asciiTheme="minorHAnsi" w:eastAsia="Calibri" w:hAnsiTheme="minorHAnsi" w:cs="Times New Roman"/>
          <w:b/>
          <w:i/>
          <w:szCs w:val="24"/>
        </w:rPr>
        <w:t xml:space="preserve">Review Advice to the PBAC </w:t>
      </w:r>
    </w:p>
    <w:p w:rsidR="0082069A" w:rsidRPr="000E0C66" w:rsidRDefault="0000686B">
      <w:pPr>
        <w:pStyle w:val="ListParagraph"/>
        <w:numPr>
          <w:ilvl w:val="0"/>
          <w:numId w:val="35"/>
        </w:numPr>
        <w:spacing w:after="120" w:line="240" w:lineRule="auto"/>
        <w:ind w:left="567" w:hanging="567"/>
        <w:rPr>
          <w:rFonts w:asciiTheme="minorHAnsi" w:hAnsiTheme="minorHAnsi"/>
        </w:rPr>
      </w:pPr>
      <w:r w:rsidRPr="000E0C66">
        <w:rPr>
          <w:rFonts w:asciiTheme="minorHAnsi" w:hAnsiTheme="minorHAnsi"/>
        </w:rPr>
        <w:t>The use of LLT is now an established approach to reduce cardiovascular risk. The PBAC may wish to consider remov</w:t>
      </w:r>
      <w:r w:rsidR="00231714" w:rsidRPr="000E0C66">
        <w:rPr>
          <w:rFonts w:asciiTheme="minorHAnsi" w:hAnsiTheme="minorHAnsi"/>
        </w:rPr>
        <w:t xml:space="preserve">al of the </w:t>
      </w:r>
      <w:r w:rsidRPr="000E0C66">
        <w:rPr>
          <w:rFonts w:asciiTheme="minorHAnsi" w:hAnsiTheme="minorHAnsi"/>
        </w:rPr>
        <w:t>G</w:t>
      </w:r>
      <w:r w:rsidR="00C027A2" w:rsidRPr="000E0C66">
        <w:rPr>
          <w:rFonts w:asciiTheme="minorHAnsi" w:hAnsiTheme="minorHAnsi"/>
        </w:rPr>
        <w:t xml:space="preserve">SLLD </w:t>
      </w:r>
      <w:r w:rsidRPr="000E0C66">
        <w:rPr>
          <w:rFonts w:asciiTheme="minorHAnsi" w:hAnsiTheme="minorHAnsi"/>
        </w:rPr>
        <w:t>from the PBS restriction for statins, fenofibrate and gemfibrozil</w:t>
      </w:r>
      <w:r w:rsidR="002C1379" w:rsidRPr="000E0C66">
        <w:rPr>
          <w:rFonts w:asciiTheme="minorHAnsi" w:hAnsiTheme="minorHAnsi"/>
        </w:rPr>
        <w:t>.</w:t>
      </w:r>
      <w:r w:rsidRPr="000E0C66">
        <w:rPr>
          <w:rFonts w:asciiTheme="minorHAnsi" w:hAnsiTheme="minorHAnsi"/>
        </w:rPr>
        <w:t xml:space="preserve"> </w:t>
      </w:r>
      <w:r w:rsidR="00C027A2" w:rsidRPr="000E0C66">
        <w:rPr>
          <w:rFonts w:asciiTheme="minorHAnsi" w:hAnsiTheme="minorHAnsi"/>
        </w:rPr>
        <w:t xml:space="preserve">Removal of the GSSLD will require revision of </w:t>
      </w:r>
      <w:r w:rsidR="002C1379" w:rsidRPr="000E0C66">
        <w:rPr>
          <w:rFonts w:asciiTheme="minorHAnsi" w:hAnsiTheme="minorHAnsi"/>
        </w:rPr>
        <w:t xml:space="preserve">the </w:t>
      </w:r>
      <w:r w:rsidRPr="000E0C66">
        <w:rPr>
          <w:rFonts w:asciiTheme="minorHAnsi" w:hAnsiTheme="minorHAnsi"/>
        </w:rPr>
        <w:t xml:space="preserve">ezetimibe </w:t>
      </w:r>
      <w:r w:rsidR="00C027A2" w:rsidRPr="000E0C66">
        <w:rPr>
          <w:rFonts w:asciiTheme="minorHAnsi" w:hAnsiTheme="minorHAnsi"/>
        </w:rPr>
        <w:t xml:space="preserve">PBS </w:t>
      </w:r>
      <w:r w:rsidRPr="000E0C66">
        <w:rPr>
          <w:rFonts w:asciiTheme="minorHAnsi" w:hAnsiTheme="minorHAnsi"/>
        </w:rPr>
        <w:t>restriction</w:t>
      </w:r>
      <w:r w:rsidR="00C027A2" w:rsidRPr="000E0C66">
        <w:rPr>
          <w:rFonts w:asciiTheme="minorHAnsi" w:hAnsiTheme="minorHAnsi"/>
        </w:rPr>
        <w:t xml:space="preserve"> wording</w:t>
      </w:r>
      <w:r w:rsidR="002C1379" w:rsidRPr="000E0C66">
        <w:rPr>
          <w:rFonts w:asciiTheme="minorHAnsi" w:hAnsiTheme="minorHAnsi"/>
        </w:rPr>
        <w:t>.</w:t>
      </w:r>
    </w:p>
    <w:p w:rsidR="0082069A" w:rsidRPr="000E0C66" w:rsidRDefault="0000686B">
      <w:pPr>
        <w:pStyle w:val="ListParagraph"/>
        <w:numPr>
          <w:ilvl w:val="0"/>
          <w:numId w:val="35"/>
        </w:numPr>
        <w:spacing w:after="120" w:line="240" w:lineRule="auto"/>
        <w:ind w:left="567" w:hanging="567"/>
        <w:rPr>
          <w:rFonts w:asciiTheme="minorHAnsi" w:hAnsiTheme="minorHAnsi"/>
          <w:szCs w:val="24"/>
        </w:rPr>
      </w:pPr>
      <w:r w:rsidRPr="000E0C66">
        <w:rPr>
          <w:rFonts w:asciiTheme="minorHAnsi" w:hAnsiTheme="minorHAnsi"/>
          <w:szCs w:val="24"/>
        </w:rPr>
        <w:t xml:space="preserve">The current PBS restrictions for statins </w:t>
      </w:r>
      <w:r w:rsidR="00E7248D" w:rsidRPr="000E0C66">
        <w:rPr>
          <w:rFonts w:asciiTheme="minorHAnsi" w:hAnsiTheme="minorHAnsi"/>
          <w:szCs w:val="24"/>
        </w:rPr>
        <w:t>are 15 years old.</w:t>
      </w:r>
      <w:r w:rsidRPr="000E0C66">
        <w:rPr>
          <w:rFonts w:asciiTheme="minorHAnsi" w:hAnsiTheme="minorHAnsi"/>
          <w:szCs w:val="24"/>
        </w:rPr>
        <w:t xml:space="preserve"> Together with the reduction in statin price achieved through </w:t>
      </w:r>
      <w:r w:rsidR="00930FAB">
        <w:rPr>
          <w:rFonts w:asciiTheme="minorHAnsi" w:hAnsiTheme="minorHAnsi"/>
          <w:szCs w:val="24"/>
        </w:rPr>
        <w:t>PBS S</w:t>
      </w:r>
      <w:r w:rsidRPr="000E0C66">
        <w:rPr>
          <w:rFonts w:asciiTheme="minorHAnsi" w:hAnsiTheme="minorHAnsi"/>
          <w:szCs w:val="24"/>
        </w:rPr>
        <w:t xml:space="preserve">tatutory </w:t>
      </w:r>
      <w:r w:rsidR="00930FAB">
        <w:rPr>
          <w:rFonts w:asciiTheme="minorHAnsi" w:hAnsiTheme="minorHAnsi"/>
          <w:szCs w:val="24"/>
        </w:rPr>
        <w:t>P</w:t>
      </w:r>
      <w:r w:rsidRPr="000E0C66">
        <w:rPr>
          <w:rFonts w:asciiTheme="minorHAnsi" w:hAnsiTheme="minorHAnsi"/>
          <w:szCs w:val="24"/>
        </w:rPr>
        <w:t>ricing policy, the Reference Group recommends the PBAC consider derestriction of statins from Restricted Benefit to unrestricted benefit.</w:t>
      </w:r>
    </w:p>
    <w:p w:rsidR="0082069A" w:rsidRPr="000E0C66" w:rsidRDefault="0000686B">
      <w:pPr>
        <w:pStyle w:val="ListParagraph"/>
        <w:numPr>
          <w:ilvl w:val="0"/>
          <w:numId w:val="35"/>
        </w:numPr>
        <w:spacing w:after="120" w:line="240" w:lineRule="auto"/>
        <w:ind w:left="567" w:hanging="567"/>
        <w:rPr>
          <w:rFonts w:asciiTheme="minorHAnsi" w:hAnsiTheme="minorHAnsi"/>
        </w:rPr>
      </w:pPr>
      <w:r w:rsidRPr="000E0C66">
        <w:rPr>
          <w:rFonts w:asciiTheme="minorHAnsi" w:hAnsiTheme="minorHAnsi"/>
          <w:szCs w:val="24"/>
        </w:rPr>
        <w:t xml:space="preserve">The Reference Group recommends the PBAC consider the place of ezetimibe </w:t>
      </w:r>
      <w:r w:rsidR="002C1379" w:rsidRPr="000E0C66">
        <w:rPr>
          <w:rFonts w:asciiTheme="minorHAnsi" w:hAnsiTheme="minorHAnsi"/>
          <w:szCs w:val="24"/>
        </w:rPr>
        <w:t xml:space="preserve">remain </w:t>
      </w:r>
      <w:r w:rsidRPr="000E0C66">
        <w:rPr>
          <w:rFonts w:asciiTheme="minorHAnsi" w:hAnsiTheme="minorHAnsi"/>
          <w:szCs w:val="24"/>
        </w:rPr>
        <w:t>confined to second line, compatible with clinical guidelines, via</w:t>
      </w:r>
      <w:r w:rsidR="005F46CF" w:rsidRPr="000E0C66">
        <w:rPr>
          <w:rFonts w:asciiTheme="minorHAnsi" w:hAnsiTheme="minorHAnsi"/>
          <w:szCs w:val="24"/>
        </w:rPr>
        <w:t xml:space="preserve"> </w:t>
      </w:r>
      <w:r w:rsidRPr="000E0C66">
        <w:rPr>
          <w:rFonts w:asciiTheme="minorHAnsi" w:hAnsiTheme="minorHAnsi"/>
          <w:szCs w:val="24"/>
        </w:rPr>
        <w:t>an Authority Required ‘Streamlined’ listing</w:t>
      </w:r>
      <w:r w:rsidR="002C1379" w:rsidRPr="000E0C66">
        <w:rPr>
          <w:rFonts w:asciiTheme="minorHAnsi" w:hAnsiTheme="minorHAnsi"/>
          <w:szCs w:val="24"/>
        </w:rPr>
        <w:t xml:space="preserve">. </w:t>
      </w:r>
    </w:p>
    <w:p w:rsidR="0082069A" w:rsidRPr="00736E4A" w:rsidRDefault="002C1379">
      <w:pPr>
        <w:pStyle w:val="ListParagraph"/>
        <w:numPr>
          <w:ilvl w:val="0"/>
          <w:numId w:val="35"/>
        </w:numPr>
        <w:spacing w:after="120" w:line="240" w:lineRule="auto"/>
        <w:ind w:left="567" w:hanging="567"/>
        <w:rPr>
          <w:rFonts w:asciiTheme="minorHAnsi" w:hAnsiTheme="minorHAnsi"/>
        </w:rPr>
      </w:pPr>
      <w:r w:rsidRPr="000E0C66">
        <w:rPr>
          <w:rFonts w:asciiTheme="minorHAnsi" w:hAnsiTheme="minorHAnsi"/>
          <w:szCs w:val="24"/>
        </w:rPr>
        <w:t xml:space="preserve">The PBAC may wish to consider </w:t>
      </w:r>
      <w:r w:rsidR="00930FAB">
        <w:rPr>
          <w:rFonts w:asciiTheme="minorHAnsi" w:hAnsiTheme="minorHAnsi"/>
          <w:szCs w:val="24"/>
        </w:rPr>
        <w:t xml:space="preserve">revising </w:t>
      </w:r>
      <w:r w:rsidRPr="000E0C66">
        <w:rPr>
          <w:rFonts w:asciiTheme="minorHAnsi" w:hAnsiTheme="minorHAnsi"/>
          <w:szCs w:val="24"/>
        </w:rPr>
        <w:t xml:space="preserve">the restriction for ezetimibe </w:t>
      </w:r>
      <w:r w:rsidR="00930FAB">
        <w:rPr>
          <w:rFonts w:asciiTheme="minorHAnsi" w:hAnsiTheme="minorHAnsi"/>
          <w:szCs w:val="24"/>
        </w:rPr>
        <w:t xml:space="preserve">as displayed below </w:t>
      </w:r>
      <w:r w:rsidRPr="000E0C66">
        <w:rPr>
          <w:rFonts w:asciiTheme="minorHAnsi" w:hAnsiTheme="minorHAnsi"/>
          <w:szCs w:val="24"/>
        </w:rPr>
        <w:t>(</w:t>
      </w:r>
      <w:r w:rsidR="00930FAB">
        <w:rPr>
          <w:rFonts w:asciiTheme="minorHAnsi" w:hAnsiTheme="minorHAnsi"/>
          <w:szCs w:val="24"/>
        </w:rPr>
        <w:t xml:space="preserve">refer Box 1 for an </w:t>
      </w:r>
      <w:r w:rsidRPr="000E0C66">
        <w:rPr>
          <w:rFonts w:asciiTheme="minorHAnsi" w:hAnsiTheme="minorHAnsi"/>
          <w:szCs w:val="24"/>
        </w:rPr>
        <w:t>abbreviated</w:t>
      </w:r>
      <w:r w:rsidR="00930FAB">
        <w:rPr>
          <w:rFonts w:asciiTheme="minorHAnsi" w:hAnsiTheme="minorHAnsi"/>
          <w:szCs w:val="24"/>
        </w:rPr>
        <w:t xml:space="preserve"> version</w:t>
      </w:r>
      <w:r w:rsidRPr="000E0C66">
        <w:rPr>
          <w:rFonts w:asciiTheme="minorHAnsi" w:hAnsiTheme="minorHAnsi"/>
          <w:szCs w:val="24"/>
        </w:rPr>
        <w:t xml:space="preserve">, further details </w:t>
      </w:r>
      <w:r w:rsidR="00930FAB">
        <w:rPr>
          <w:rFonts w:asciiTheme="minorHAnsi" w:hAnsiTheme="minorHAnsi"/>
          <w:szCs w:val="24"/>
        </w:rPr>
        <w:t xml:space="preserve">found in </w:t>
      </w:r>
      <w:r w:rsidRPr="000E0C66">
        <w:rPr>
          <w:rFonts w:asciiTheme="minorHAnsi" w:hAnsiTheme="minorHAnsi"/>
          <w:szCs w:val="24"/>
        </w:rPr>
        <w:t>section 2.4).</w:t>
      </w:r>
      <w:r w:rsidR="00E136C0" w:rsidRPr="000E0C66">
        <w:rPr>
          <w:rFonts w:asciiTheme="minorHAnsi" w:hAnsiTheme="minorHAnsi"/>
          <w:szCs w:val="24"/>
        </w:rPr>
        <w:t xml:space="preserve"> Im</w:t>
      </w:r>
      <w:r w:rsidR="00E136C0" w:rsidRPr="000E0C66">
        <w:rPr>
          <w:rFonts w:asciiTheme="minorHAnsi" w:hAnsiTheme="minorHAnsi"/>
        </w:rPr>
        <w:t xml:space="preserve">plementation will require </w:t>
      </w:r>
      <w:r w:rsidR="00E7248D" w:rsidRPr="000E0C66">
        <w:rPr>
          <w:rFonts w:asciiTheme="minorHAnsi" w:hAnsiTheme="minorHAnsi"/>
        </w:rPr>
        <w:t xml:space="preserve">prescriber </w:t>
      </w:r>
      <w:r w:rsidR="00E136C0" w:rsidRPr="000E0C66">
        <w:rPr>
          <w:rFonts w:asciiTheme="minorHAnsi" w:hAnsiTheme="minorHAnsi"/>
        </w:rPr>
        <w:t xml:space="preserve">education to promote the importance of absolute risk reduction in the approach to cardiovascular disease management. </w:t>
      </w:r>
      <w:r w:rsidR="00D600E9" w:rsidRPr="000E0C66">
        <w:rPr>
          <w:rFonts w:asciiTheme="minorHAnsi" w:hAnsiTheme="minorHAnsi"/>
        </w:rPr>
        <w:t>In the future, t</w:t>
      </w:r>
      <w:r w:rsidR="00FD3BF9" w:rsidRPr="000E0C66">
        <w:rPr>
          <w:rFonts w:asciiTheme="minorHAnsi" w:hAnsiTheme="minorHAnsi"/>
        </w:rPr>
        <w:t xml:space="preserve">he PBAC may wish to </w:t>
      </w:r>
      <w:r w:rsidR="00E7248D" w:rsidRPr="000E0C66">
        <w:rPr>
          <w:rFonts w:asciiTheme="minorHAnsi" w:hAnsiTheme="minorHAnsi"/>
        </w:rPr>
        <w:t xml:space="preserve">apply </w:t>
      </w:r>
      <w:r w:rsidR="00FD3BF9" w:rsidRPr="000E0C66">
        <w:rPr>
          <w:rFonts w:asciiTheme="minorHAnsi" w:hAnsiTheme="minorHAnsi"/>
        </w:rPr>
        <w:t xml:space="preserve">a contemporary absolute risk threshold approach to the ezetimibe restriction for both the high and low cardiovascular risk populations </w:t>
      </w:r>
    </w:p>
    <w:p w:rsidR="00E136C0" w:rsidRPr="00736E4A" w:rsidRDefault="00E136C0" w:rsidP="00514129">
      <w:pPr>
        <w:spacing w:after="0" w:line="240" w:lineRule="auto"/>
        <w:rPr>
          <w:rFonts w:asciiTheme="minorHAnsi" w:hAnsiTheme="minorHAnsi"/>
          <w:b/>
          <w:szCs w:val="24"/>
          <w:highlight w:val="yellow"/>
        </w:rPr>
      </w:pPr>
      <w:r w:rsidRPr="00736E4A">
        <w:rPr>
          <w:rFonts w:asciiTheme="minorHAnsi" w:hAnsiTheme="minorHAnsi"/>
          <w:b/>
          <w:szCs w:val="24"/>
          <w:highlight w:val="yellow"/>
        </w:rPr>
        <w:br w:type="page"/>
      </w:r>
    </w:p>
    <w:p w:rsidR="00930FAB" w:rsidRDefault="00930FAB" w:rsidP="00514129">
      <w:pPr>
        <w:pStyle w:val="ListParagraph"/>
        <w:spacing w:after="120" w:line="240" w:lineRule="auto"/>
        <w:ind w:left="0" w:right="-341"/>
        <w:contextualSpacing w:val="0"/>
        <w:rPr>
          <w:rFonts w:asciiTheme="minorHAnsi" w:hAnsiTheme="minorHAnsi"/>
          <w:b/>
          <w:sz w:val="20"/>
          <w:szCs w:val="20"/>
        </w:rPr>
      </w:pPr>
      <w:r>
        <w:rPr>
          <w:rFonts w:asciiTheme="minorHAnsi" w:hAnsiTheme="minorHAnsi"/>
          <w:b/>
          <w:sz w:val="20"/>
          <w:szCs w:val="20"/>
        </w:rPr>
        <w:lastRenderedPageBreak/>
        <w:t xml:space="preserve">Box 1: Revised </w:t>
      </w:r>
      <w:r w:rsidR="00C17B2A">
        <w:rPr>
          <w:rFonts w:asciiTheme="minorHAnsi" w:hAnsiTheme="minorHAnsi"/>
          <w:b/>
          <w:sz w:val="20"/>
          <w:szCs w:val="20"/>
        </w:rPr>
        <w:t>ezetimibe PBS restriction for PBAC consideration</w:t>
      </w:r>
    </w:p>
    <w:p w:rsidR="0000686B" w:rsidRPr="00930FAB" w:rsidRDefault="00930FAB" w:rsidP="00514129">
      <w:pPr>
        <w:pStyle w:val="ListParagraph"/>
        <w:spacing w:after="120" w:line="240" w:lineRule="auto"/>
        <w:ind w:left="0" w:right="-341"/>
        <w:contextualSpacing w:val="0"/>
        <w:rPr>
          <w:rFonts w:asciiTheme="minorHAnsi" w:hAnsiTheme="minorHAnsi"/>
          <w:b/>
          <w:sz w:val="20"/>
          <w:szCs w:val="20"/>
        </w:rPr>
      </w:pPr>
      <w:r w:rsidRPr="00930FAB">
        <w:rPr>
          <w:rFonts w:asciiTheme="minorHAnsi" w:hAnsiTheme="minorHAnsi"/>
          <w:b/>
          <w:noProof/>
          <w:sz w:val="20"/>
          <w:szCs w:val="20"/>
          <w:lang w:eastAsia="en-AU"/>
        </w:rPr>
        <mc:AlternateContent>
          <mc:Choice Requires="wps">
            <w:drawing>
              <wp:anchor distT="0" distB="0" distL="114300" distR="114300" simplePos="0" relativeHeight="251660288" behindDoc="0" locked="0" layoutInCell="1" allowOverlap="1" wp14:anchorId="2F7E9B2B" wp14:editId="27139BA9">
                <wp:simplePos x="0" y="0"/>
                <wp:positionH relativeFrom="column">
                  <wp:posOffset>-52070</wp:posOffset>
                </wp:positionH>
                <wp:positionV relativeFrom="paragraph">
                  <wp:posOffset>0</wp:posOffset>
                </wp:positionV>
                <wp:extent cx="5740400" cy="8710295"/>
                <wp:effectExtent l="0" t="0" r="12700" b="1460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0" cy="87102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1pt;margin-top:0;width:452pt;height:68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" filled="f" strokecolor="#243f60 [1604]" strokeweight="2pt">
                <v:path arrowok="t"/>
              </v:rect>
            </w:pict>
          </mc:Fallback>
        </mc:AlternateContent>
      </w:r>
      <w:r w:rsidR="0000686B" w:rsidRPr="00930FAB">
        <w:rPr>
          <w:rFonts w:asciiTheme="minorHAnsi" w:hAnsiTheme="minorHAnsi"/>
          <w:b/>
          <w:sz w:val="20"/>
          <w:szCs w:val="20"/>
        </w:rPr>
        <w:t>Authority Required (Streamlined)</w:t>
      </w:r>
    </w:p>
    <w:p w:rsidR="0000686B" w:rsidRPr="00930FAB" w:rsidRDefault="0000686B" w:rsidP="00514129">
      <w:pPr>
        <w:spacing w:before="100" w:beforeAutospacing="1" w:after="100" w:afterAutospacing="1" w:line="240" w:lineRule="auto"/>
        <w:ind w:left="426" w:right="-341"/>
        <w:rPr>
          <w:rFonts w:asciiTheme="minorHAnsi" w:hAnsiTheme="minorHAnsi"/>
          <w:b/>
          <w:sz w:val="20"/>
          <w:szCs w:val="20"/>
        </w:rPr>
      </w:pPr>
      <w:r w:rsidRPr="00930FAB">
        <w:rPr>
          <w:rFonts w:asciiTheme="minorHAnsi" w:hAnsiTheme="minorHAnsi"/>
          <w:b/>
          <w:sz w:val="20"/>
          <w:szCs w:val="20"/>
        </w:rPr>
        <w:t>Hypercholesterolaemia</w:t>
      </w:r>
    </w:p>
    <w:p w:rsidR="0000686B" w:rsidRPr="00930FAB" w:rsidRDefault="0000686B" w:rsidP="00514129">
      <w:pPr>
        <w:pStyle w:val="ListParagraph"/>
        <w:numPr>
          <w:ilvl w:val="0"/>
          <w:numId w:val="31"/>
        </w:numPr>
        <w:spacing w:before="100" w:beforeAutospacing="1" w:after="240" w:line="240" w:lineRule="auto"/>
        <w:ind w:left="425" w:right="-340" w:hanging="357"/>
        <w:rPr>
          <w:rFonts w:asciiTheme="minorHAnsi" w:hAnsiTheme="minorHAnsi"/>
          <w:b/>
          <w:sz w:val="20"/>
          <w:szCs w:val="20"/>
        </w:rPr>
      </w:pPr>
      <w:r w:rsidRPr="00930FAB">
        <w:rPr>
          <w:rFonts w:asciiTheme="minorHAnsi" w:hAnsiTheme="minorHAnsi"/>
          <w:b/>
          <w:sz w:val="20"/>
          <w:szCs w:val="20"/>
        </w:rPr>
        <w:t>Clinical Criteria</w:t>
      </w:r>
    </w:p>
    <w:p w:rsidR="0000686B" w:rsidRPr="00930FAB" w:rsidRDefault="0000686B" w:rsidP="00514129">
      <w:pPr>
        <w:pStyle w:val="ListParagraph"/>
        <w:numPr>
          <w:ilvl w:val="0"/>
          <w:numId w:val="29"/>
        </w:numPr>
        <w:spacing w:before="100" w:beforeAutospacing="1" w:after="120" w:line="240" w:lineRule="auto"/>
        <w:ind w:left="425" w:right="-341" w:hanging="357"/>
        <w:rPr>
          <w:rFonts w:asciiTheme="minorHAnsi" w:hAnsiTheme="minorHAnsi"/>
          <w:sz w:val="20"/>
          <w:szCs w:val="20"/>
        </w:rPr>
      </w:pPr>
      <w:r w:rsidRPr="00930FAB">
        <w:rPr>
          <w:rFonts w:asciiTheme="minorHAnsi" w:hAnsiTheme="minorHAnsi"/>
          <w:sz w:val="20"/>
          <w:szCs w:val="20"/>
        </w:rPr>
        <w:t>The treatment must be co-administered with an HMG CoA reductase inhibitor (statin)</w:t>
      </w:r>
      <w:r w:rsidR="001F4238" w:rsidRPr="00930FAB">
        <w:rPr>
          <w:rFonts w:asciiTheme="minorHAnsi" w:hAnsiTheme="minorHAnsi"/>
          <w:sz w:val="20"/>
          <w:szCs w:val="20"/>
        </w:rPr>
        <w:t>.</w:t>
      </w:r>
    </w:p>
    <w:p w:rsidR="0000686B" w:rsidRPr="00930FAB" w:rsidRDefault="0000686B" w:rsidP="00514129">
      <w:pPr>
        <w:spacing w:before="120" w:after="0" w:line="240" w:lineRule="auto"/>
        <w:ind w:left="425" w:right="-340"/>
        <w:rPr>
          <w:rFonts w:asciiTheme="minorHAnsi" w:hAnsiTheme="minorHAnsi"/>
          <w:b/>
          <w:sz w:val="20"/>
          <w:szCs w:val="20"/>
        </w:rPr>
      </w:pPr>
      <w:r w:rsidRPr="00930FAB">
        <w:rPr>
          <w:rFonts w:asciiTheme="minorHAnsi" w:hAnsiTheme="minorHAnsi"/>
          <w:b/>
          <w:sz w:val="20"/>
          <w:szCs w:val="20"/>
        </w:rPr>
        <w:t>AND</w:t>
      </w:r>
    </w:p>
    <w:p w:rsidR="001F4238" w:rsidRPr="00930FAB" w:rsidRDefault="0000686B" w:rsidP="00514129">
      <w:pPr>
        <w:pStyle w:val="ListParagraph"/>
        <w:numPr>
          <w:ilvl w:val="0"/>
          <w:numId w:val="29"/>
        </w:numPr>
        <w:spacing w:before="240" w:after="120" w:line="240" w:lineRule="auto"/>
        <w:ind w:left="425" w:right="-340" w:hanging="357"/>
        <w:rPr>
          <w:rFonts w:asciiTheme="minorHAnsi" w:hAnsiTheme="minorHAnsi"/>
          <w:sz w:val="20"/>
          <w:szCs w:val="20"/>
        </w:rPr>
      </w:pPr>
      <w:r w:rsidRPr="00930FAB">
        <w:rPr>
          <w:rFonts w:asciiTheme="minorHAnsi" w:hAnsiTheme="minorHAnsi"/>
          <w:sz w:val="20"/>
          <w:szCs w:val="20"/>
        </w:rPr>
        <w:t xml:space="preserve">Patient must have cholesterol </w:t>
      </w:r>
      <w:r w:rsidR="004B1768" w:rsidRPr="0021180D">
        <w:rPr>
          <w:rFonts w:asciiTheme="minorHAnsi" w:eastAsia="Times New Roman" w:hAnsiTheme="minorHAnsi" w:cs="Arial"/>
          <w:color w:val="222222"/>
          <w:sz w:val="20"/>
          <w:szCs w:val="20"/>
          <w:lang w:eastAsia="en-AU"/>
        </w:rPr>
        <w:t>concentrations</w:t>
      </w:r>
      <w:r w:rsidR="004B1768" w:rsidRPr="00930FAB">
        <w:rPr>
          <w:rFonts w:asciiTheme="minorHAnsi" w:hAnsiTheme="minorHAnsi"/>
          <w:sz w:val="20"/>
          <w:szCs w:val="20"/>
        </w:rPr>
        <w:t xml:space="preserve"> </w:t>
      </w:r>
      <w:r w:rsidRPr="00930FAB">
        <w:rPr>
          <w:rFonts w:asciiTheme="minorHAnsi" w:hAnsiTheme="minorHAnsi"/>
          <w:sz w:val="20"/>
          <w:szCs w:val="20"/>
        </w:rPr>
        <w:t xml:space="preserve">that are inadequately controlled with an HMG CoA reductase inhibitor (statin). Inadequate control is a cholesterol </w:t>
      </w:r>
      <w:r w:rsidR="004B1768" w:rsidRPr="0021180D">
        <w:rPr>
          <w:rFonts w:asciiTheme="minorHAnsi" w:eastAsia="Times New Roman" w:hAnsiTheme="minorHAnsi" w:cs="Arial"/>
          <w:color w:val="222222"/>
          <w:sz w:val="20"/>
          <w:szCs w:val="20"/>
          <w:lang w:eastAsia="en-AU"/>
        </w:rPr>
        <w:t>concentration</w:t>
      </w:r>
      <w:r w:rsidR="004B1768" w:rsidRPr="00930FAB">
        <w:rPr>
          <w:rFonts w:asciiTheme="minorHAnsi" w:hAnsiTheme="minorHAnsi"/>
          <w:sz w:val="20"/>
          <w:szCs w:val="20"/>
        </w:rPr>
        <w:t xml:space="preserve"> </w:t>
      </w:r>
      <w:r w:rsidRPr="00930FAB">
        <w:rPr>
          <w:rFonts w:asciiTheme="minorHAnsi" w:hAnsiTheme="minorHAnsi"/>
          <w:sz w:val="20"/>
          <w:szCs w:val="20"/>
        </w:rPr>
        <w:t>in excess of 4</w:t>
      </w:r>
      <w:r w:rsidR="00F1079D" w:rsidRPr="00930FAB">
        <w:rPr>
          <w:rFonts w:asciiTheme="minorHAnsi" w:hAnsiTheme="minorHAnsi"/>
          <w:sz w:val="20"/>
          <w:szCs w:val="20"/>
        </w:rPr>
        <w:t>mmol/L</w:t>
      </w:r>
      <w:r w:rsidRPr="00930FAB">
        <w:rPr>
          <w:rFonts w:asciiTheme="minorHAnsi" w:hAnsiTheme="minorHAnsi"/>
          <w:sz w:val="20"/>
          <w:szCs w:val="20"/>
        </w:rPr>
        <w:t xml:space="preserve"> after at least 3 months of treatment at a maximum tolerated dose of a statin. The dose and duration of statin treatment and the cholesterol </w:t>
      </w:r>
      <w:r w:rsidR="004B1768" w:rsidRPr="0021180D">
        <w:rPr>
          <w:rFonts w:asciiTheme="minorHAnsi" w:eastAsia="Times New Roman" w:hAnsiTheme="minorHAnsi" w:cs="Arial"/>
          <w:color w:val="222222"/>
          <w:sz w:val="20"/>
          <w:szCs w:val="20"/>
          <w:lang w:eastAsia="en-AU"/>
        </w:rPr>
        <w:t>concentration</w:t>
      </w:r>
      <w:r w:rsidR="0076247E" w:rsidRPr="0021180D">
        <w:rPr>
          <w:rFonts w:asciiTheme="minorHAnsi" w:eastAsia="Times New Roman" w:hAnsiTheme="minorHAnsi" w:cs="Arial"/>
          <w:color w:val="222222"/>
          <w:sz w:val="20"/>
          <w:szCs w:val="20"/>
          <w:lang w:eastAsia="en-AU"/>
        </w:rPr>
        <w:t xml:space="preserve"> </w:t>
      </w:r>
      <w:r w:rsidRPr="00930FAB">
        <w:rPr>
          <w:rFonts w:asciiTheme="minorHAnsi" w:hAnsiTheme="minorHAnsi"/>
          <w:sz w:val="20"/>
          <w:szCs w:val="20"/>
        </w:rPr>
        <w:t>which shows inadequate control must be documented in the patient’s medical records when ezetimibe is initiated.</w:t>
      </w:r>
    </w:p>
    <w:p w:rsidR="0000686B" w:rsidRPr="00930FAB" w:rsidRDefault="0000686B" w:rsidP="00514129">
      <w:pPr>
        <w:spacing w:before="120" w:after="0" w:line="240" w:lineRule="auto"/>
        <w:ind w:left="425" w:right="-340"/>
        <w:rPr>
          <w:rFonts w:asciiTheme="minorHAnsi" w:hAnsiTheme="minorHAnsi"/>
          <w:b/>
          <w:sz w:val="20"/>
          <w:szCs w:val="20"/>
        </w:rPr>
      </w:pPr>
      <w:r w:rsidRPr="00930FAB">
        <w:rPr>
          <w:rFonts w:asciiTheme="minorHAnsi" w:hAnsiTheme="minorHAnsi"/>
          <w:b/>
          <w:sz w:val="20"/>
          <w:szCs w:val="20"/>
        </w:rPr>
        <w:t>AND</w:t>
      </w:r>
    </w:p>
    <w:p w:rsidR="0000686B" w:rsidRPr="00930FAB" w:rsidRDefault="0000686B" w:rsidP="00514129">
      <w:pPr>
        <w:pStyle w:val="ListParagraph"/>
        <w:numPr>
          <w:ilvl w:val="0"/>
          <w:numId w:val="29"/>
        </w:numPr>
        <w:spacing w:before="240" w:after="120" w:line="240" w:lineRule="auto"/>
        <w:ind w:left="425" w:right="-340" w:hanging="357"/>
        <w:rPr>
          <w:rFonts w:ascii="Times New Roman" w:eastAsia="Times New Roman" w:hAnsi="Times New Roman" w:cs="Times New Roman"/>
          <w:sz w:val="20"/>
          <w:szCs w:val="20"/>
          <w:lang w:eastAsia="en-AU"/>
        </w:rPr>
      </w:pPr>
      <w:r w:rsidRPr="00930FAB">
        <w:rPr>
          <w:rFonts w:asciiTheme="minorHAnsi" w:hAnsiTheme="minorHAnsi"/>
          <w:sz w:val="20"/>
          <w:szCs w:val="20"/>
        </w:rPr>
        <w:t xml:space="preserve">Patient falls into </w:t>
      </w:r>
      <w:r w:rsidR="00B61B31" w:rsidRPr="00930FAB">
        <w:rPr>
          <w:rFonts w:asciiTheme="minorHAnsi" w:hAnsiTheme="minorHAnsi"/>
          <w:sz w:val="20"/>
          <w:szCs w:val="20"/>
        </w:rPr>
        <w:t>at least one of the</w:t>
      </w:r>
      <w:r w:rsidRPr="00930FAB">
        <w:rPr>
          <w:rFonts w:asciiTheme="minorHAnsi" w:hAnsiTheme="minorHAnsi"/>
          <w:sz w:val="20"/>
          <w:szCs w:val="20"/>
        </w:rPr>
        <w:t xml:space="preserve"> very high risk categor</w:t>
      </w:r>
      <w:r w:rsidR="00B61B31" w:rsidRPr="00930FAB">
        <w:rPr>
          <w:rFonts w:asciiTheme="minorHAnsi" w:hAnsiTheme="minorHAnsi"/>
          <w:sz w:val="20"/>
          <w:szCs w:val="20"/>
        </w:rPr>
        <w:t>ies</w:t>
      </w:r>
      <w:r w:rsidRPr="00930FAB">
        <w:rPr>
          <w:rFonts w:asciiTheme="minorHAnsi" w:hAnsiTheme="minorHAnsi"/>
          <w:sz w:val="20"/>
          <w:szCs w:val="20"/>
        </w:rPr>
        <w:t xml:space="preserve"> described as</w:t>
      </w:r>
      <w:r w:rsidR="00B61B31" w:rsidRPr="00930FAB">
        <w:rPr>
          <w:rFonts w:asciiTheme="minorHAnsi" w:hAnsiTheme="minorHAnsi"/>
          <w:sz w:val="20"/>
          <w:szCs w:val="20"/>
        </w:rPr>
        <w:t>:</w:t>
      </w:r>
      <w:r w:rsidRPr="00930FAB">
        <w:rPr>
          <w:rFonts w:asciiTheme="minorHAnsi" w:hAnsiTheme="minorHAnsi"/>
          <w:sz w:val="20"/>
          <w:szCs w:val="20"/>
        </w:rPr>
        <w:t xml:space="preserve"> </w:t>
      </w:r>
    </w:p>
    <w:p w:rsidR="0000686B" w:rsidRPr="00930FAB" w:rsidRDefault="0000686B" w:rsidP="00514129">
      <w:pPr>
        <w:numPr>
          <w:ilvl w:val="0"/>
          <w:numId w:val="28"/>
        </w:numPr>
        <w:tabs>
          <w:tab w:val="clear" w:pos="2160"/>
          <w:tab w:val="num" w:pos="0"/>
          <w:tab w:val="num" w:pos="851"/>
        </w:tabs>
        <w:spacing w:after="100" w:afterAutospacing="1" w:line="240" w:lineRule="auto"/>
        <w:ind w:left="425" w:right="-340" w:firstLine="0"/>
        <w:rPr>
          <w:rFonts w:asciiTheme="minorHAnsi" w:hAnsiTheme="minorHAnsi"/>
          <w:sz w:val="20"/>
          <w:szCs w:val="20"/>
        </w:rPr>
      </w:pPr>
      <w:r w:rsidRPr="00930FAB">
        <w:rPr>
          <w:rFonts w:asciiTheme="minorHAnsi" w:hAnsiTheme="minorHAnsi"/>
          <w:sz w:val="20"/>
          <w:szCs w:val="20"/>
        </w:rPr>
        <w:t>coronary heart disease which has become symptomatic</w:t>
      </w:r>
    </w:p>
    <w:p w:rsidR="0000686B" w:rsidRPr="00930FAB" w:rsidRDefault="0000686B" w:rsidP="00514129">
      <w:pPr>
        <w:numPr>
          <w:ilvl w:val="0"/>
          <w:numId w:val="28"/>
        </w:numPr>
        <w:tabs>
          <w:tab w:val="clear" w:pos="2160"/>
          <w:tab w:val="num" w:pos="0"/>
          <w:tab w:val="num" w:pos="851"/>
        </w:tabs>
        <w:spacing w:before="100" w:beforeAutospacing="1" w:after="100" w:afterAutospacing="1" w:line="240" w:lineRule="auto"/>
        <w:ind w:left="426" w:right="-341" w:firstLine="0"/>
        <w:rPr>
          <w:rFonts w:asciiTheme="minorHAnsi" w:hAnsiTheme="minorHAnsi"/>
          <w:sz w:val="20"/>
          <w:szCs w:val="20"/>
        </w:rPr>
      </w:pPr>
      <w:r w:rsidRPr="00930FAB">
        <w:rPr>
          <w:rFonts w:asciiTheme="minorHAnsi" w:hAnsiTheme="minorHAnsi"/>
          <w:sz w:val="20"/>
          <w:szCs w:val="20"/>
        </w:rPr>
        <w:t>cerebrovascular disease which has become symptomatic</w:t>
      </w:r>
    </w:p>
    <w:p w:rsidR="0000686B" w:rsidRPr="00930FAB" w:rsidRDefault="0000686B" w:rsidP="00514129">
      <w:pPr>
        <w:numPr>
          <w:ilvl w:val="0"/>
          <w:numId w:val="28"/>
        </w:numPr>
        <w:tabs>
          <w:tab w:val="clear" w:pos="2160"/>
          <w:tab w:val="num" w:pos="0"/>
          <w:tab w:val="num" w:pos="851"/>
        </w:tabs>
        <w:spacing w:before="100" w:beforeAutospacing="1" w:after="100" w:afterAutospacing="1" w:line="240" w:lineRule="auto"/>
        <w:ind w:left="426" w:right="-341" w:firstLine="0"/>
        <w:rPr>
          <w:rFonts w:asciiTheme="minorHAnsi" w:hAnsiTheme="minorHAnsi"/>
          <w:sz w:val="20"/>
          <w:szCs w:val="20"/>
        </w:rPr>
      </w:pPr>
      <w:r w:rsidRPr="00930FAB">
        <w:rPr>
          <w:rFonts w:asciiTheme="minorHAnsi" w:hAnsiTheme="minorHAnsi"/>
          <w:sz w:val="20"/>
          <w:szCs w:val="20"/>
        </w:rPr>
        <w:t>peripheral vascular disease which has become symptomatic</w:t>
      </w:r>
    </w:p>
    <w:p w:rsidR="0000686B" w:rsidRPr="00930FAB" w:rsidRDefault="0000686B" w:rsidP="00514129">
      <w:pPr>
        <w:numPr>
          <w:ilvl w:val="0"/>
          <w:numId w:val="28"/>
        </w:numPr>
        <w:tabs>
          <w:tab w:val="clear" w:pos="2160"/>
          <w:tab w:val="num" w:pos="0"/>
          <w:tab w:val="num" w:pos="851"/>
        </w:tabs>
        <w:spacing w:before="100" w:beforeAutospacing="1" w:after="100" w:afterAutospacing="1" w:line="240" w:lineRule="auto"/>
        <w:ind w:left="851" w:right="-341" w:hanging="425"/>
        <w:rPr>
          <w:rFonts w:asciiTheme="minorHAnsi" w:hAnsiTheme="minorHAnsi"/>
          <w:sz w:val="20"/>
          <w:szCs w:val="20"/>
        </w:rPr>
      </w:pPr>
      <w:r w:rsidRPr="00930FAB">
        <w:rPr>
          <w:rFonts w:asciiTheme="minorHAnsi" w:hAnsiTheme="minorHAnsi"/>
          <w:sz w:val="20"/>
          <w:szCs w:val="20"/>
        </w:rPr>
        <w:t xml:space="preserve">diabetes mellitus with microalbuminuria (defined as urinary albumin excretion rate of &gt;20mcg/min or urinary albumin to creatinine ratio of &gt; 2.5 for males, &gt; 3.5 for females) </w:t>
      </w:r>
    </w:p>
    <w:p w:rsidR="0000686B" w:rsidRPr="00930FAB" w:rsidRDefault="0000686B" w:rsidP="00514129">
      <w:pPr>
        <w:numPr>
          <w:ilvl w:val="0"/>
          <w:numId w:val="28"/>
        </w:numPr>
        <w:tabs>
          <w:tab w:val="clear" w:pos="2160"/>
          <w:tab w:val="num" w:pos="0"/>
          <w:tab w:val="num" w:pos="851"/>
        </w:tabs>
        <w:spacing w:before="100" w:beforeAutospacing="1" w:after="100" w:afterAutospacing="1" w:line="240" w:lineRule="auto"/>
        <w:ind w:left="851" w:right="-341" w:hanging="425"/>
        <w:rPr>
          <w:rFonts w:asciiTheme="minorHAnsi" w:hAnsiTheme="minorHAnsi"/>
          <w:sz w:val="20"/>
          <w:szCs w:val="20"/>
        </w:rPr>
      </w:pPr>
      <w:r w:rsidRPr="00930FAB">
        <w:rPr>
          <w:rFonts w:asciiTheme="minorHAnsi" w:hAnsiTheme="minorHAnsi"/>
          <w:sz w:val="20"/>
          <w:szCs w:val="20"/>
        </w:rPr>
        <w:t>diabetes mellitus in Aboriginal or Torres Strait Islander patients</w:t>
      </w:r>
    </w:p>
    <w:p w:rsidR="0000686B" w:rsidRPr="00930FAB" w:rsidRDefault="0000686B" w:rsidP="00514129">
      <w:pPr>
        <w:numPr>
          <w:ilvl w:val="0"/>
          <w:numId w:val="28"/>
        </w:numPr>
        <w:tabs>
          <w:tab w:val="clear" w:pos="2160"/>
          <w:tab w:val="num" w:pos="0"/>
          <w:tab w:val="num" w:pos="851"/>
        </w:tabs>
        <w:spacing w:before="100" w:beforeAutospacing="1" w:after="100" w:afterAutospacing="1" w:line="240" w:lineRule="auto"/>
        <w:ind w:left="851" w:right="-341" w:hanging="425"/>
        <w:rPr>
          <w:rFonts w:asciiTheme="minorHAnsi" w:hAnsiTheme="minorHAnsi"/>
          <w:sz w:val="20"/>
          <w:szCs w:val="20"/>
        </w:rPr>
      </w:pPr>
      <w:r w:rsidRPr="00930FAB">
        <w:rPr>
          <w:rFonts w:asciiTheme="minorHAnsi" w:hAnsiTheme="minorHAnsi"/>
          <w:sz w:val="20"/>
          <w:szCs w:val="20"/>
        </w:rPr>
        <w:t>diabetes mellitus in patients aged 60 years or more</w:t>
      </w:r>
    </w:p>
    <w:p w:rsidR="0000686B" w:rsidRPr="00930FAB" w:rsidRDefault="0000686B" w:rsidP="00514129">
      <w:pPr>
        <w:numPr>
          <w:ilvl w:val="0"/>
          <w:numId w:val="28"/>
        </w:numPr>
        <w:tabs>
          <w:tab w:val="clear" w:pos="2160"/>
          <w:tab w:val="num" w:pos="0"/>
          <w:tab w:val="num" w:pos="851"/>
        </w:tabs>
        <w:spacing w:before="100" w:beforeAutospacing="1" w:after="100" w:afterAutospacing="1" w:line="240" w:lineRule="auto"/>
        <w:ind w:left="851" w:right="-341" w:hanging="425"/>
        <w:rPr>
          <w:rFonts w:asciiTheme="minorHAnsi" w:hAnsiTheme="minorHAnsi"/>
          <w:sz w:val="20"/>
          <w:szCs w:val="20"/>
        </w:rPr>
      </w:pPr>
      <w:r w:rsidRPr="00930FAB">
        <w:rPr>
          <w:rFonts w:asciiTheme="minorHAnsi" w:hAnsiTheme="minorHAnsi"/>
          <w:sz w:val="20"/>
          <w:szCs w:val="20"/>
        </w:rPr>
        <w:t xml:space="preserve">family history of coronary heart disease which has become symptomatic before the age of 55 years in two or more first degree relatives </w:t>
      </w:r>
    </w:p>
    <w:p w:rsidR="0000686B" w:rsidRPr="00930FAB" w:rsidRDefault="0000686B" w:rsidP="00514129">
      <w:pPr>
        <w:numPr>
          <w:ilvl w:val="0"/>
          <w:numId w:val="28"/>
        </w:numPr>
        <w:tabs>
          <w:tab w:val="clear" w:pos="2160"/>
          <w:tab w:val="num" w:pos="0"/>
          <w:tab w:val="num" w:pos="851"/>
        </w:tabs>
        <w:spacing w:before="100" w:beforeAutospacing="1" w:after="100" w:afterAutospacing="1" w:line="240" w:lineRule="auto"/>
        <w:ind w:left="851" w:right="-341" w:hanging="425"/>
        <w:rPr>
          <w:rFonts w:asciiTheme="minorHAnsi" w:hAnsiTheme="minorHAnsi"/>
          <w:sz w:val="20"/>
          <w:szCs w:val="20"/>
        </w:rPr>
      </w:pPr>
      <w:r w:rsidRPr="00930FAB">
        <w:rPr>
          <w:rFonts w:asciiTheme="minorHAnsi" w:hAnsiTheme="minorHAnsi"/>
          <w:sz w:val="20"/>
          <w:szCs w:val="20"/>
        </w:rPr>
        <w:t xml:space="preserve">family history of coronary heart disease which has become symptomatic before the age of 45 years in one or more first degree relatives </w:t>
      </w:r>
    </w:p>
    <w:p w:rsidR="0000686B" w:rsidRPr="00930FAB" w:rsidRDefault="0000686B" w:rsidP="00514129">
      <w:pPr>
        <w:numPr>
          <w:ilvl w:val="0"/>
          <w:numId w:val="28"/>
        </w:numPr>
        <w:tabs>
          <w:tab w:val="clear" w:pos="2160"/>
          <w:tab w:val="num" w:pos="0"/>
          <w:tab w:val="num" w:pos="851"/>
        </w:tabs>
        <w:spacing w:before="100" w:beforeAutospacing="1" w:after="100" w:afterAutospacing="1" w:line="240" w:lineRule="auto"/>
        <w:ind w:left="851" w:right="-341" w:hanging="425"/>
        <w:rPr>
          <w:rFonts w:asciiTheme="minorHAnsi" w:hAnsiTheme="minorHAnsi"/>
          <w:sz w:val="20"/>
          <w:szCs w:val="20"/>
        </w:rPr>
      </w:pPr>
      <w:r w:rsidRPr="00930FAB">
        <w:rPr>
          <w:rFonts w:asciiTheme="minorHAnsi" w:hAnsiTheme="minorHAnsi"/>
          <w:sz w:val="20"/>
          <w:szCs w:val="20"/>
        </w:rPr>
        <w:t>Heterozygous/Homozygous familial hypercholesterolaemia.</w:t>
      </w:r>
    </w:p>
    <w:p w:rsidR="0000686B" w:rsidRPr="00930FAB" w:rsidRDefault="0000686B" w:rsidP="00514129">
      <w:pPr>
        <w:spacing w:before="120" w:after="0" w:line="240" w:lineRule="auto"/>
        <w:ind w:left="425" w:right="-340"/>
        <w:rPr>
          <w:rFonts w:asciiTheme="minorHAnsi" w:hAnsiTheme="minorHAnsi"/>
          <w:b/>
          <w:sz w:val="20"/>
          <w:szCs w:val="20"/>
        </w:rPr>
      </w:pPr>
      <w:r w:rsidRPr="00930FAB">
        <w:rPr>
          <w:rFonts w:asciiTheme="minorHAnsi" w:hAnsiTheme="minorHAnsi"/>
          <w:b/>
          <w:sz w:val="20"/>
          <w:szCs w:val="20"/>
        </w:rPr>
        <w:t>OR</w:t>
      </w:r>
    </w:p>
    <w:p w:rsidR="00736E4A" w:rsidRPr="00930FAB" w:rsidRDefault="0000686B" w:rsidP="00514129">
      <w:pPr>
        <w:pStyle w:val="ListParagraph"/>
        <w:numPr>
          <w:ilvl w:val="0"/>
          <w:numId w:val="29"/>
        </w:numPr>
        <w:spacing w:before="240" w:after="240" w:line="240" w:lineRule="auto"/>
        <w:ind w:left="425" w:right="-340" w:hanging="357"/>
        <w:rPr>
          <w:rFonts w:asciiTheme="minorHAnsi" w:hAnsiTheme="minorHAnsi"/>
          <w:sz w:val="20"/>
          <w:szCs w:val="20"/>
        </w:rPr>
      </w:pPr>
      <w:r w:rsidRPr="00930FAB">
        <w:rPr>
          <w:rFonts w:asciiTheme="minorHAnsi" w:hAnsiTheme="minorHAnsi"/>
          <w:sz w:val="20"/>
          <w:szCs w:val="20"/>
        </w:rPr>
        <w:t xml:space="preserve">Where a patient’s level of absolute risk of a cardiovascular event is greater than 15% over 5 years as calculated by the Australian Absolute </w:t>
      </w:r>
      <w:r w:rsidR="00B25C1F" w:rsidRPr="00930FAB">
        <w:rPr>
          <w:rFonts w:asciiTheme="minorHAnsi" w:hAnsiTheme="minorHAnsi"/>
          <w:sz w:val="20"/>
          <w:szCs w:val="20"/>
        </w:rPr>
        <w:t>C</w:t>
      </w:r>
      <w:r w:rsidRPr="00930FAB">
        <w:rPr>
          <w:rFonts w:asciiTheme="minorHAnsi" w:hAnsiTheme="minorHAnsi"/>
          <w:sz w:val="20"/>
          <w:szCs w:val="20"/>
        </w:rPr>
        <w:t xml:space="preserve">ardiovascular </w:t>
      </w:r>
      <w:r w:rsidR="00B25C1F" w:rsidRPr="00930FAB">
        <w:rPr>
          <w:rFonts w:asciiTheme="minorHAnsi" w:hAnsiTheme="minorHAnsi"/>
          <w:sz w:val="20"/>
          <w:szCs w:val="20"/>
        </w:rPr>
        <w:t>D</w:t>
      </w:r>
      <w:r w:rsidRPr="00930FAB">
        <w:rPr>
          <w:rFonts w:asciiTheme="minorHAnsi" w:hAnsiTheme="minorHAnsi"/>
          <w:sz w:val="20"/>
          <w:szCs w:val="20"/>
        </w:rPr>
        <w:t xml:space="preserve">isease </w:t>
      </w:r>
      <w:r w:rsidR="00B25C1F" w:rsidRPr="00930FAB">
        <w:rPr>
          <w:rFonts w:asciiTheme="minorHAnsi" w:hAnsiTheme="minorHAnsi"/>
          <w:sz w:val="20"/>
          <w:szCs w:val="20"/>
        </w:rPr>
        <w:t>R</w:t>
      </w:r>
      <w:r w:rsidRPr="00930FAB">
        <w:rPr>
          <w:rFonts w:asciiTheme="minorHAnsi" w:hAnsiTheme="minorHAnsi"/>
          <w:sz w:val="20"/>
          <w:szCs w:val="20"/>
        </w:rPr>
        <w:t xml:space="preserve">isk </w:t>
      </w:r>
      <w:r w:rsidR="00B25C1F" w:rsidRPr="00930FAB">
        <w:rPr>
          <w:rFonts w:asciiTheme="minorHAnsi" w:hAnsiTheme="minorHAnsi"/>
          <w:sz w:val="20"/>
          <w:szCs w:val="20"/>
        </w:rPr>
        <w:t>C</w:t>
      </w:r>
      <w:r w:rsidRPr="00930FAB">
        <w:rPr>
          <w:rFonts w:asciiTheme="minorHAnsi" w:hAnsiTheme="minorHAnsi"/>
          <w:sz w:val="20"/>
          <w:szCs w:val="20"/>
        </w:rPr>
        <w:t>alculator (National Vascular Disease Prevention Alliance)</w:t>
      </w:r>
      <w:r w:rsidR="00736E4A" w:rsidRPr="00930FAB">
        <w:rPr>
          <w:rFonts w:asciiTheme="minorHAnsi" w:hAnsiTheme="minorHAnsi"/>
          <w:sz w:val="20"/>
          <w:szCs w:val="20"/>
        </w:rPr>
        <w:t>.</w:t>
      </w:r>
    </w:p>
    <w:p w:rsidR="00BF3D12" w:rsidRPr="00930FAB" w:rsidRDefault="00BF3D12" w:rsidP="00514129">
      <w:pPr>
        <w:pStyle w:val="ListParagraph"/>
        <w:spacing w:before="240" w:after="120" w:line="240" w:lineRule="auto"/>
        <w:ind w:left="425" w:right="-340"/>
        <w:rPr>
          <w:rFonts w:asciiTheme="minorHAnsi" w:hAnsiTheme="minorHAnsi"/>
          <w:sz w:val="20"/>
          <w:szCs w:val="20"/>
        </w:rPr>
      </w:pPr>
    </w:p>
    <w:p w:rsidR="0000686B" w:rsidRPr="00930FAB" w:rsidRDefault="0000686B" w:rsidP="00514129">
      <w:pPr>
        <w:pStyle w:val="ListParagraph"/>
        <w:numPr>
          <w:ilvl w:val="0"/>
          <w:numId w:val="31"/>
        </w:numPr>
        <w:spacing w:before="360" w:after="100" w:afterAutospacing="1" w:line="240" w:lineRule="auto"/>
        <w:ind w:left="425" w:right="-340" w:hanging="357"/>
        <w:rPr>
          <w:rFonts w:asciiTheme="minorHAnsi" w:hAnsiTheme="minorHAnsi"/>
          <w:b/>
          <w:sz w:val="20"/>
          <w:szCs w:val="20"/>
        </w:rPr>
      </w:pPr>
      <w:r w:rsidRPr="00930FAB">
        <w:rPr>
          <w:rFonts w:asciiTheme="minorHAnsi" w:hAnsiTheme="minorHAnsi"/>
          <w:b/>
          <w:sz w:val="20"/>
          <w:szCs w:val="20"/>
        </w:rPr>
        <w:t>Clinical Criteria</w:t>
      </w:r>
    </w:p>
    <w:p w:rsidR="0000686B" w:rsidRPr="00930FAB" w:rsidRDefault="0000686B" w:rsidP="00514129">
      <w:pPr>
        <w:pStyle w:val="ListParagraph"/>
        <w:numPr>
          <w:ilvl w:val="0"/>
          <w:numId w:val="29"/>
        </w:numPr>
        <w:spacing w:after="120" w:line="240" w:lineRule="auto"/>
        <w:ind w:left="425" w:right="-340" w:hanging="425"/>
        <w:contextualSpacing w:val="0"/>
        <w:rPr>
          <w:rFonts w:asciiTheme="minorHAnsi" w:hAnsiTheme="minorHAnsi"/>
          <w:sz w:val="20"/>
          <w:szCs w:val="20"/>
        </w:rPr>
      </w:pPr>
      <w:r w:rsidRPr="00930FAB">
        <w:rPr>
          <w:rFonts w:asciiTheme="minorHAnsi" w:hAnsiTheme="minorHAnsi"/>
          <w:sz w:val="20"/>
          <w:szCs w:val="20"/>
        </w:rPr>
        <w:t>Homozygous sitosterolaemia.</w:t>
      </w:r>
    </w:p>
    <w:p w:rsidR="0000686B" w:rsidRPr="00930FAB" w:rsidRDefault="0000686B" w:rsidP="00514129">
      <w:pPr>
        <w:pStyle w:val="ListParagraph"/>
        <w:numPr>
          <w:ilvl w:val="0"/>
          <w:numId w:val="31"/>
        </w:numPr>
        <w:spacing w:before="100" w:beforeAutospacing="1" w:after="100" w:afterAutospacing="1" w:line="240" w:lineRule="auto"/>
        <w:ind w:left="426" w:right="-341"/>
        <w:rPr>
          <w:rFonts w:asciiTheme="minorHAnsi" w:hAnsiTheme="minorHAnsi"/>
          <w:b/>
          <w:sz w:val="20"/>
          <w:szCs w:val="20"/>
        </w:rPr>
      </w:pPr>
      <w:r w:rsidRPr="00930FAB">
        <w:rPr>
          <w:rFonts w:asciiTheme="minorHAnsi" w:hAnsiTheme="minorHAnsi"/>
          <w:b/>
          <w:sz w:val="20"/>
          <w:szCs w:val="20"/>
        </w:rPr>
        <w:t>Clinical Criteria</w:t>
      </w:r>
    </w:p>
    <w:p w:rsidR="0000686B" w:rsidRPr="00930FAB" w:rsidRDefault="0000686B" w:rsidP="00514129">
      <w:pPr>
        <w:pStyle w:val="ListParagraph"/>
        <w:numPr>
          <w:ilvl w:val="0"/>
          <w:numId w:val="29"/>
        </w:numPr>
        <w:spacing w:after="120" w:line="240" w:lineRule="auto"/>
        <w:ind w:left="425" w:right="-340" w:hanging="425"/>
        <w:contextualSpacing w:val="0"/>
        <w:rPr>
          <w:rFonts w:asciiTheme="minorHAnsi" w:hAnsiTheme="minorHAnsi"/>
          <w:sz w:val="20"/>
          <w:szCs w:val="20"/>
        </w:rPr>
      </w:pPr>
      <w:r w:rsidRPr="00930FAB">
        <w:rPr>
          <w:rFonts w:asciiTheme="minorHAnsi" w:hAnsiTheme="minorHAnsi"/>
          <w:sz w:val="20"/>
          <w:szCs w:val="20"/>
        </w:rPr>
        <w:t xml:space="preserve">Patient must be one in whom treatment with an HMG CoA reductase inhibitor (statin) is contraindicated. </w:t>
      </w:r>
    </w:p>
    <w:p w:rsidR="0000686B" w:rsidRPr="00930FAB" w:rsidRDefault="0000686B" w:rsidP="00514129">
      <w:pPr>
        <w:pStyle w:val="ListParagraph"/>
        <w:numPr>
          <w:ilvl w:val="0"/>
          <w:numId w:val="31"/>
        </w:numPr>
        <w:spacing w:before="100" w:beforeAutospacing="1" w:after="100" w:afterAutospacing="1" w:line="240" w:lineRule="auto"/>
        <w:ind w:left="426" w:right="-341"/>
        <w:rPr>
          <w:rFonts w:asciiTheme="minorHAnsi" w:hAnsiTheme="minorHAnsi"/>
          <w:b/>
          <w:sz w:val="20"/>
          <w:szCs w:val="20"/>
        </w:rPr>
      </w:pPr>
      <w:r w:rsidRPr="00930FAB">
        <w:rPr>
          <w:rFonts w:asciiTheme="minorHAnsi" w:hAnsiTheme="minorHAnsi"/>
          <w:b/>
          <w:sz w:val="20"/>
          <w:szCs w:val="20"/>
        </w:rPr>
        <w:t>Clinical Criteria</w:t>
      </w:r>
    </w:p>
    <w:p w:rsidR="0000686B" w:rsidRPr="00930FAB" w:rsidRDefault="0000686B" w:rsidP="00514129">
      <w:pPr>
        <w:pStyle w:val="ListParagraph"/>
        <w:numPr>
          <w:ilvl w:val="0"/>
          <w:numId w:val="29"/>
        </w:numPr>
        <w:spacing w:after="120" w:line="240" w:lineRule="auto"/>
        <w:ind w:left="426" w:right="-341" w:hanging="426"/>
        <w:contextualSpacing w:val="0"/>
        <w:rPr>
          <w:rFonts w:asciiTheme="minorHAnsi" w:hAnsiTheme="minorHAnsi"/>
          <w:sz w:val="20"/>
          <w:szCs w:val="20"/>
        </w:rPr>
      </w:pPr>
      <w:r w:rsidRPr="00930FAB">
        <w:rPr>
          <w:rFonts w:asciiTheme="minorHAnsi" w:hAnsiTheme="minorHAnsi"/>
          <w:sz w:val="20"/>
          <w:szCs w:val="20"/>
        </w:rPr>
        <w:t>Patient must have developed a clinically important product-related adverse event during treatment with an HMG CoA reductase inhibitor (statin) necessitating a reduction in the statin dose. The type and severity of the adverse event must be documented in the patient’s medical records OR</w:t>
      </w:r>
    </w:p>
    <w:p w:rsidR="0000686B" w:rsidRPr="00930FAB" w:rsidRDefault="0000686B" w:rsidP="00514129">
      <w:pPr>
        <w:pStyle w:val="ListParagraph"/>
        <w:numPr>
          <w:ilvl w:val="0"/>
          <w:numId w:val="29"/>
        </w:numPr>
        <w:spacing w:after="120" w:line="240" w:lineRule="auto"/>
        <w:ind w:left="426" w:right="-341" w:hanging="426"/>
        <w:contextualSpacing w:val="0"/>
        <w:rPr>
          <w:rFonts w:asciiTheme="minorHAnsi" w:hAnsiTheme="minorHAnsi"/>
          <w:sz w:val="20"/>
          <w:szCs w:val="20"/>
        </w:rPr>
      </w:pPr>
      <w:r w:rsidRPr="00930FAB">
        <w:rPr>
          <w:rFonts w:asciiTheme="minorHAnsi" w:hAnsiTheme="minorHAnsi"/>
          <w:sz w:val="20"/>
          <w:szCs w:val="20"/>
        </w:rPr>
        <w:t>Patient must have developed a clinically important product-related adverse event during treatment with an HMG CoA reductase inhibitor (statin) necessitating a withdrawal of the statin treatment. The type and severity of the adverse event must be documented in the patient’s medical records</w:t>
      </w:r>
    </w:p>
    <w:p w:rsidR="00930FAB" w:rsidRDefault="00930FAB">
      <w:pPr>
        <w:spacing w:after="0" w:line="240" w:lineRule="auto"/>
        <w:jc w:val="left"/>
        <w:rPr>
          <w:rFonts w:asciiTheme="minorHAnsi" w:eastAsiaTheme="minorEastAsia" w:hAnsiTheme="minorHAnsi"/>
          <w:b/>
          <w:i/>
          <w:sz w:val="28"/>
          <w:szCs w:val="28"/>
          <w:lang w:eastAsia="en-AU"/>
        </w:rPr>
      </w:pPr>
      <w:r>
        <w:rPr>
          <w:rFonts w:asciiTheme="minorHAnsi" w:eastAsiaTheme="minorEastAsia" w:hAnsiTheme="minorHAnsi"/>
          <w:b/>
          <w:i/>
          <w:sz w:val="28"/>
          <w:szCs w:val="28"/>
          <w:lang w:eastAsia="en-AU"/>
        </w:rPr>
        <w:br w:type="page"/>
      </w:r>
    </w:p>
    <w:p w:rsidR="00930FAB" w:rsidRPr="00930FAB" w:rsidRDefault="00930FAB" w:rsidP="00930FAB">
      <w:pPr>
        <w:spacing w:line="240" w:lineRule="auto"/>
        <w:rPr>
          <w:rFonts w:asciiTheme="minorHAnsi" w:eastAsiaTheme="minorEastAsia" w:hAnsiTheme="minorHAnsi"/>
          <w:b/>
          <w:i/>
          <w:sz w:val="28"/>
          <w:szCs w:val="28"/>
          <w:lang w:eastAsia="en-AU"/>
        </w:rPr>
      </w:pPr>
      <w:r w:rsidRPr="001F4238">
        <w:rPr>
          <w:rFonts w:asciiTheme="minorHAnsi" w:eastAsiaTheme="minorEastAsia" w:hAnsiTheme="minorHAnsi"/>
          <w:b/>
          <w:i/>
          <w:sz w:val="28"/>
          <w:szCs w:val="28"/>
          <w:lang w:eastAsia="en-AU"/>
        </w:rPr>
        <w:lastRenderedPageBreak/>
        <w:t>Term of Reference 3: Collate and evaluate any recent clinical studies of ezetimibe that report on long</w:t>
      </w:r>
      <w:r>
        <w:rPr>
          <w:rFonts w:asciiTheme="minorHAnsi" w:eastAsiaTheme="minorEastAsia" w:hAnsiTheme="minorHAnsi"/>
          <w:b/>
          <w:i/>
          <w:sz w:val="28"/>
          <w:szCs w:val="28"/>
          <w:lang w:eastAsia="en-AU"/>
        </w:rPr>
        <w:t>-</w:t>
      </w:r>
      <w:r w:rsidRPr="001F4238">
        <w:rPr>
          <w:rFonts w:asciiTheme="minorHAnsi" w:eastAsiaTheme="minorEastAsia" w:hAnsiTheme="minorHAnsi"/>
          <w:b/>
          <w:i/>
          <w:sz w:val="28"/>
          <w:szCs w:val="28"/>
          <w:lang w:eastAsia="en-AU"/>
        </w:rPr>
        <w:t>term patient relevant outcomes, and use this data to review the cost-effectiveness of ezetimibe</w:t>
      </w:r>
      <w:r w:rsidRPr="00930FAB">
        <w:rPr>
          <w:rFonts w:asciiTheme="minorHAnsi" w:eastAsiaTheme="minorEastAsia" w:hAnsiTheme="minorHAnsi"/>
          <w:b/>
          <w:i/>
          <w:sz w:val="28"/>
          <w:szCs w:val="28"/>
          <w:lang w:eastAsia="en-AU"/>
        </w:rPr>
        <w:t xml:space="preserve"> </w:t>
      </w:r>
    </w:p>
    <w:p w:rsidR="00321FDE" w:rsidRDefault="0000686B">
      <w:pPr>
        <w:spacing w:line="240" w:lineRule="auto"/>
        <w:rPr>
          <w:rFonts w:ascii="Calibri" w:eastAsia="Calibri" w:hAnsi="Calibri"/>
        </w:rPr>
      </w:pPr>
      <w:r>
        <w:rPr>
          <w:rFonts w:ascii="Calibri" w:eastAsia="Calibri" w:hAnsi="Calibri"/>
        </w:rPr>
        <w:t>An extensive Literature Review sought to identify recent clinical studies of ezetimibe reporting on long</w:t>
      </w:r>
      <w:r w:rsidR="00F7627D">
        <w:rPr>
          <w:rFonts w:ascii="Calibri" w:eastAsia="Calibri" w:hAnsi="Calibri"/>
        </w:rPr>
        <w:t>-</w:t>
      </w:r>
      <w:r>
        <w:rPr>
          <w:rFonts w:ascii="Calibri" w:eastAsia="Calibri" w:hAnsi="Calibri"/>
        </w:rPr>
        <w:t>term patient relevant outcomes.</w:t>
      </w:r>
      <w:r w:rsidR="00D81596" w:rsidRPr="00805FCC">
        <w:rPr>
          <w:rFonts w:asciiTheme="minorHAnsi" w:hAnsiTheme="minorHAnsi"/>
        </w:rPr>
        <w:t xml:space="preserve"> </w:t>
      </w:r>
      <w:r>
        <w:rPr>
          <w:rFonts w:asciiTheme="minorHAnsi" w:hAnsiTheme="minorHAnsi"/>
        </w:rPr>
        <w:t>Only one study</w:t>
      </w:r>
      <w:r w:rsidR="00572D82" w:rsidRPr="00572D82">
        <w:rPr>
          <w:rFonts w:asciiTheme="minorHAnsi" w:hAnsiTheme="minorHAnsi"/>
          <w:color w:val="FF0000"/>
        </w:rPr>
        <w:t xml:space="preserve"> </w:t>
      </w:r>
      <w:r>
        <w:rPr>
          <w:rFonts w:asciiTheme="minorHAnsi" w:hAnsiTheme="minorHAnsi"/>
        </w:rPr>
        <w:t xml:space="preserve">met the </w:t>
      </w:r>
      <w:r w:rsidR="00572D82">
        <w:rPr>
          <w:rFonts w:asciiTheme="minorHAnsi" w:hAnsiTheme="minorHAnsi"/>
        </w:rPr>
        <w:t xml:space="preserve">review </w:t>
      </w:r>
      <w:r>
        <w:rPr>
          <w:rFonts w:asciiTheme="minorHAnsi" w:hAnsiTheme="minorHAnsi"/>
        </w:rPr>
        <w:t xml:space="preserve">selection criteria to assess whether the addition of ezetimibe to a statin is associated with superior long-term patient outcomes. </w:t>
      </w:r>
      <w:r w:rsidR="00321FDE" w:rsidRPr="0021180D">
        <w:rPr>
          <w:rFonts w:ascii="Calibri" w:eastAsia="Calibri" w:hAnsi="Calibri"/>
        </w:rPr>
        <w:t>IMPROVE-IT</w:t>
      </w:r>
      <w:r w:rsidR="004A06F1" w:rsidRPr="0021180D">
        <w:rPr>
          <w:rStyle w:val="EndnoteReference"/>
          <w:rFonts w:ascii="Calibri" w:eastAsia="Calibri" w:hAnsi="Calibri"/>
        </w:rPr>
        <w:endnoteReference w:id="7"/>
      </w:r>
      <w:r w:rsidR="004A06F1">
        <w:rPr>
          <w:rFonts w:ascii="Calibri" w:eastAsia="Calibri" w:hAnsi="Calibri"/>
        </w:rPr>
        <w:t xml:space="preserve"> </w:t>
      </w:r>
      <w:r w:rsidR="00321FDE">
        <w:rPr>
          <w:rFonts w:ascii="Calibri" w:eastAsia="Calibri" w:hAnsi="Calibri"/>
        </w:rPr>
        <w:t xml:space="preserve">was </w:t>
      </w:r>
      <w:r w:rsidR="00321FDE">
        <w:rPr>
          <w:rFonts w:asciiTheme="minorHAnsi" w:hAnsiTheme="minorHAnsi"/>
        </w:rPr>
        <w:t xml:space="preserve">a secondary prevention study </w:t>
      </w:r>
      <w:r w:rsidR="00321FDE">
        <w:rPr>
          <w:rFonts w:ascii="Calibri" w:eastAsia="Calibri" w:hAnsi="Calibri"/>
        </w:rPr>
        <w:t>that assessed long</w:t>
      </w:r>
      <w:r w:rsidR="00F7627D">
        <w:rPr>
          <w:rFonts w:ascii="Calibri" w:eastAsia="Calibri" w:hAnsi="Calibri"/>
        </w:rPr>
        <w:t>-</w:t>
      </w:r>
      <w:r w:rsidR="00321FDE">
        <w:rPr>
          <w:rFonts w:ascii="Calibri" w:eastAsia="Calibri" w:hAnsi="Calibri"/>
        </w:rPr>
        <w:t>term patient outcomes associated with the addition of ezetimibe to simvastatin.</w:t>
      </w:r>
      <w:r w:rsidR="00D81596" w:rsidRPr="007902F5">
        <w:rPr>
          <w:rFonts w:asciiTheme="minorHAnsi" w:hAnsiTheme="minorHAnsi"/>
        </w:rPr>
        <w:t xml:space="preserve"> </w:t>
      </w:r>
      <w:r w:rsidR="00D81596">
        <w:rPr>
          <w:rFonts w:asciiTheme="minorHAnsi" w:hAnsiTheme="minorHAnsi"/>
        </w:rPr>
        <w:t>I</w:t>
      </w:r>
      <w:r w:rsidR="00D81596" w:rsidRPr="00805FCC">
        <w:rPr>
          <w:rFonts w:asciiTheme="minorHAnsi" w:hAnsiTheme="minorHAnsi"/>
        </w:rPr>
        <w:t xml:space="preserve">n the absence of better evidence on the long-term outcomes of the use of ezetimibe in the population with hypercholesterolaemia, the outcomes of </w:t>
      </w:r>
      <w:r w:rsidR="00D81596">
        <w:rPr>
          <w:rFonts w:asciiTheme="minorHAnsi" w:hAnsiTheme="minorHAnsi"/>
        </w:rPr>
        <w:t xml:space="preserve">the </w:t>
      </w:r>
      <w:r w:rsidR="00D81596" w:rsidRPr="00805FCC">
        <w:rPr>
          <w:rFonts w:asciiTheme="minorHAnsi" w:hAnsiTheme="minorHAnsi"/>
        </w:rPr>
        <w:t>IMPROVE-IT trial were considered alongside other evidence included in the analysis of clinical effectiveness.</w:t>
      </w:r>
    </w:p>
    <w:p w:rsidR="0000686B" w:rsidRPr="00321FDE" w:rsidRDefault="0000686B">
      <w:pPr>
        <w:pStyle w:val="CommentText"/>
        <w:rPr>
          <w:rFonts w:asciiTheme="minorHAnsi" w:hAnsiTheme="minorHAnsi"/>
          <w:sz w:val="24"/>
          <w:szCs w:val="22"/>
        </w:rPr>
      </w:pPr>
      <w:r w:rsidRPr="004241B6">
        <w:rPr>
          <w:rFonts w:asciiTheme="minorHAnsi" w:hAnsiTheme="minorHAnsi"/>
          <w:sz w:val="24"/>
          <w:szCs w:val="22"/>
        </w:rPr>
        <w:t>The Reference Group expressed confidence that</w:t>
      </w:r>
      <w:r w:rsidR="00321FDE">
        <w:rPr>
          <w:rFonts w:asciiTheme="minorHAnsi" w:hAnsiTheme="minorHAnsi"/>
          <w:sz w:val="24"/>
          <w:szCs w:val="22"/>
        </w:rPr>
        <w:t xml:space="preserve"> for patients receiving ezetimibe,</w:t>
      </w:r>
      <w:r w:rsidRPr="004241B6">
        <w:rPr>
          <w:rFonts w:asciiTheme="minorHAnsi" w:hAnsiTheme="minorHAnsi"/>
          <w:sz w:val="24"/>
          <w:szCs w:val="22"/>
        </w:rPr>
        <w:t xml:space="preserve"> the clinical outcomes of IMPROVE-IT confirm the acceptability of the absolute reduction in LDL-C as a valid surrogate for the reduction of the relative risk of major vascular events</w:t>
      </w:r>
      <w:r w:rsidR="00321FDE">
        <w:rPr>
          <w:rFonts w:asciiTheme="minorHAnsi" w:hAnsiTheme="minorHAnsi"/>
          <w:sz w:val="24"/>
          <w:szCs w:val="22"/>
        </w:rPr>
        <w:t>.</w:t>
      </w:r>
      <w:r w:rsidRPr="004241B6">
        <w:rPr>
          <w:rFonts w:asciiTheme="minorHAnsi" w:hAnsiTheme="minorHAnsi"/>
          <w:sz w:val="24"/>
          <w:szCs w:val="22"/>
        </w:rPr>
        <w:t xml:space="preserve"> The reduction in cardiovascular event rate was as predicted by the known relationship between absolute reduction in LDL-C and the relative risk reduction.</w:t>
      </w:r>
      <w:r>
        <w:rPr>
          <w:rFonts w:asciiTheme="minorHAnsi" w:hAnsiTheme="minorHAnsi"/>
        </w:rPr>
        <w:t xml:space="preserve"> </w:t>
      </w:r>
      <w:r w:rsidRPr="00A83336">
        <w:rPr>
          <w:rFonts w:asciiTheme="minorHAnsi" w:hAnsiTheme="minorHAnsi"/>
          <w:sz w:val="24"/>
          <w:szCs w:val="22"/>
        </w:rPr>
        <w:t>IMPROVE-IT demonstrated a risk reduction in a primary composite endpoint (cardiovascular death, major coronary event or non-fatal stroke)</w:t>
      </w:r>
      <w:r w:rsidR="00572D82" w:rsidRPr="00A83336">
        <w:rPr>
          <w:rFonts w:asciiTheme="minorHAnsi" w:hAnsiTheme="minorHAnsi"/>
          <w:sz w:val="24"/>
          <w:szCs w:val="22"/>
        </w:rPr>
        <w:t xml:space="preserve"> </w:t>
      </w:r>
      <w:r w:rsidR="00321FDE" w:rsidRPr="00A83336">
        <w:rPr>
          <w:rFonts w:asciiTheme="minorHAnsi" w:hAnsiTheme="minorHAnsi"/>
          <w:sz w:val="24"/>
          <w:szCs w:val="22"/>
        </w:rPr>
        <w:t>however</w:t>
      </w:r>
      <w:r w:rsidR="00E94280">
        <w:rPr>
          <w:rFonts w:asciiTheme="minorHAnsi" w:hAnsiTheme="minorHAnsi"/>
          <w:sz w:val="24"/>
          <w:szCs w:val="22"/>
        </w:rPr>
        <w:t>,</w:t>
      </w:r>
      <w:r w:rsidR="00321FDE" w:rsidRPr="00A83336">
        <w:rPr>
          <w:rFonts w:asciiTheme="minorHAnsi" w:hAnsiTheme="minorHAnsi"/>
          <w:sz w:val="24"/>
          <w:szCs w:val="22"/>
        </w:rPr>
        <w:t xml:space="preserve"> </w:t>
      </w:r>
      <w:r w:rsidR="00572D82" w:rsidRPr="00A83336">
        <w:rPr>
          <w:rFonts w:asciiTheme="minorHAnsi" w:hAnsiTheme="minorHAnsi"/>
          <w:sz w:val="24"/>
          <w:szCs w:val="22"/>
        </w:rPr>
        <w:t>t</w:t>
      </w:r>
      <w:r w:rsidRPr="00A83336">
        <w:rPr>
          <w:rFonts w:asciiTheme="minorHAnsi" w:hAnsiTheme="minorHAnsi"/>
          <w:sz w:val="24"/>
          <w:szCs w:val="22"/>
        </w:rPr>
        <w:t xml:space="preserve">here was no significant overall effect on mortality alone. </w:t>
      </w:r>
      <w:r w:rsidR="00DF6401">
        <w:rPr>
          <w:rFonts w:asciiTheme="minorHAnsi" w:hAnsiTheme="minorHAnsi"/>
          <w:sz w:val="24"/>
          <w:szCs w:val="22"/>
        </w:rPr>
        <w:t>T</w:t>
      </w:r>
      <w:r w:rsidRPr="00321FDE">
        <w:rPr>
          <w:rFonts w:asciiTheme="minorHAnsi" w:hAnsiTheme="minorHAnsi"/>
          <w:sz w:val="24"/>
          <w:szCs w:val="22"/>
        </w:rPr>
        <w:t xml:space="preserve">here </w:t>
      </w:r>
      <w:r w:rsidR="00E94280">
        <w:rPr>
          <w:rFonts w:asciiTheme="minorHAnsi" w:hAnsiTheme="minorHAnsi"/>
          <w:sz w:val="24"/>
          <w:szCs w:val="22"/>
        </w:rPr>
        <w:t xml:space="preserve">is </w:t>
      </w:r>
      <w:r w:rsidR="00952835">
        <w:rPr>
          <w:rFonts w:asciiTheme="minorHAnsi" w:hAnsiTheme="minorHAnsi"/>
          <w:sz w:val="24"/>
          <w:szCs w:val="22"/>
        </w:rPr>
        <w:t xml:space="preserve">also no apparent </w:t>
      </w:r>
      <w:r w:rsidRPr="00321FDE">
        <w:rPr>
          <w:rFonts w:asciiTheme="minorHAnsi" w:hAnsiTheme="minorHAnsi"/>
          <w:sz w:val="24"/>
          <w:szCs w:val="22"/>
        </w:rPr>
        <w:t xml:space="preserve">safety issue </w:t>
      </w:r>
      <w:r w:rsidR="00952835">
        <w:rPr>
          <w:rFonts w:asciiTheme="minorHAnsi" w:hAnsiTheme="minorHAnsi"/>
          <w:sz w:val="24"/>
          <w:szCs w:val="22"/>
        </w:rPr>
        <w:t>associated with long</w:t>
      </w:r>
      <w:r w:rsidR="00F7627D">
        <w:rPr>
          <w:rFonts w:asciiTheme="minorHAnsi" w:hAnsiTheme="minorHAnsi"/>
          <w:sz w:val="24"/>
          <w:szCs w:val="22"/>
        </w:rPr>
        <w:t>-</w:t>
      </w:r>
      <w:r w:rsidR="00952835">
        <w:rPr>
          <w:rFonts w:asciiTheme="minorHAnsi" w:hAnsiTheme="minorHAnsi"/>
          <w:sz w:val="24"/>
          <w:szCs w:val="22"/>
        </w:rPr>
        <w:t>term use of</w:t>
      </w:r>
      <w:r w:rsidRPr="00321FDE">
        <w:rPr>
          <w:rFonts w:asciiTheme="minorHAnsi" w:hAnsiTheme="minorHAnsi"/>
          <w:sz w:val="24"/>
          <w:szCs w:val="22"/>
        </w:rPr>
        <w:t xml:space="preserve"> ezetimibe. </w:t>
      </w:r>
    </w:p>
    <w:p w:rsidR="00611E01" w:rsidRPr="00A83336" w:rsidRDefault="0000686B">
      <w:pPr>
        <w:pStyle w:val="CommentText"/>
        <w:rPr>
          <w:rFonts w:asciiTheme="minorHAnsi" w:hAnsiTheme="minorHAnsi"/>
          <w:strike/>
          <w:sz w:val="24"/>
          <w:szCs w:val="22"/>
        </w:rPr>
      </w:pPr>
      <w:r w:rsidRPr="00805FCC">
        <w:rPr>
          <w:rFonts w:asciiTheme="minorHAnsi" w:hAnsiTheme="minorHAnsi"/>
          <w:sz w:val="24"/>
          <w:szCs w:val="22"/>
        </w:rPr>
        <w:t>Long</w:t>
      </w:r>
      <w:r w:rsidR="00F7627D">
        <w:rPr>
          <w:rFonts w:asciiTheme="minorHAnsi" w:hAnsiTheme="minorHAnsi"/>
          <w:sz w:val="24"/>
          <w:szCs w:val="22"/>
        </w:rPr>
        <w:t>-</w:t>
      </w:r>
      <w:r w:rsidRPr="00805FCC">
        <w:rPr>
          <w:rFonts w:asciiTheme="minorHAnsi" w:hAnsiTheme="minorHAnsi"/>
          <w:sz w:val="24"/>
          <w:szCs w:val="22"/>
        </w:rPr>
        <w:t>term patient outcomes reported in the IMPROVE-IT trial may not be fully generalizable to the target Australian population. The IMPROVE-IT study enrolled a trial population which did not meet the PBS eligibility criteria for subsidised prescription of ezetimibe.</w:t>
      </w:r>
      <w:r w:rsidR="00930248">
        <w:rPr>
          <w:rFonts w:asciiTheme="minorHAnsi" w:hAnsiTheme="minorHAnsi"/>
          <w:sz w:val="24"/>
          <w:szCs w:val="22"/>
        </w:rPr>
        <w:t xml:space="preserve"> Participants were </w:t>
      </w:r>
      <w:r w:rsidR="00930248" w:rsidRPr="00805FCC">
        <w:rPr>
          <w:rFonts w:asciiTheme="minorHAnsi" w:hAnsiTheme="minorHAnsi"/>
          <w:sz w:val="24"/>
          <w:szCs w:val="22"/>
        </w:rPr>
        <w:t>restricted to the secondary prevention population</w:t>
      </w:r>
      <w:r w:rsidR="00930248">
        <w:rPr>
          <w:rFonts w:asciiTheme="minorHAnsi" w:hAnsiTheme="minorHAnsi"/>
          <w:sz w:val="24"/>
          <w:szCs w:val="22"/>
        </w:rPr>
        <w:t xml:space="preserve"> and were</w:t>
      </w:r>
      <w:r w:rsidRPr="00805FCC">
        <w:rPr>
          <w:rFonts w:asciiTheme="minorHAnsi" w:hAnsiTheme="minorHAnsi"/>
          <w:sz w:val="24"/>
          <w:szCs w:val="22"/>
        </w:rPr>
        <w:t xml:space="preserve"> treated with a </w:t>
      </w:r>
      <w:r w:rsidR="00F76E0A">
        <w:rPr>
          <w:rFonts w:asciiTheme="minorHAnsi" w:hAnsiTheme="minorHAnsi"/>
          <w:sz w:val="24"/>
          <w:szCs w:val="22"/>
        </w:rPr>
        <w:t xml:space="preserve">constant </w:t>
      </w:r>
      <w:r w:rsidRPr="00805FCC">
        <w:rPr>
          <w:rFonts w:asciiTheme="minorHAnsi" w:hAnsiTheme="minorHAnsi"/>
          <w:sz w:val="24"/>
          <w:szCs w:val="22"/>
        </w:rPr>
        <w:t>dose of simvastatin</w:t>
      </w:r>
      <w:r w:rsidR="00930248">
        <w:rPr>
          <w:rFonts w:asciiTheme="minorHAnsi" w:hAnsiTheme="minorHAnsi"/>
          <w:sz w:val="24"/>
          <w:szCs w:val="22"/>
        </w:rPr>
        <w:t>. There was</w:t>
      </w:r>
      <w:r w:rsidRPr="00805FCC">
        <w:rPr>
          <w:rFonts w:asciiTheme="minorHAnsi" w:hAnsiTheme="minorHAnsi"/>
          <w:sz w:val="24"/>
          <w:szCs w:val="22"/>
        </w:rPr>
        <w:t xml:space="preserve"> no up-titration to maximally tolerated doses of statins or switch to statins of higher </w:t>
      </w:r>
      <w:r w:rsidR="00F76E0A">
        <w:rPr>
          <w:rFonts w:asciiTheme="minorHAnsi" w:hAnsiTheme="minorHAnsi"/>
          <w:sz w:val="24"/>
          <w:szCs w:val="22"/>
        </w:rPr>
        <w:t>potency</w:t>
      </w:r>
      <w:r w:rsidR="00321FDE">
        <w:rPr>
          <w:rFonts w:asciiTheme="minorHAnsi" w:hAnsiTheme="minorHAnsi"/>
          <w:sz w:val="24"/>
          <w:szCs w:val="22"/>
        </w:rPr>
        <w:t>,</w:t>
      </w:r>
      <w:r w:rsidRPr="00805FCC">
        <w:rPr>
          <w:rFonts w:asciiTheme="minorHAnsi" w:hAnsiTheme="minorHAnsi"/>
          <w:sz w:val="24"/>
          <w:szCs w:val="22"/>
        </w:rPr>
        <w:t xml:space="preserve"> as required by the current PBS restriction for ezetimibe. </w:t>
      </w:r>
      <w:r w:rsidR="00B06A19" w:rsidRPr="00A83336">
        <w:rPr>
          <w:rFonts w:asciiTheme="minorHAnsi" w:hAnsiTheme="minorHAnsi"/>
          <w:sz w:val="24"/>
          <w:szCs w:val="22"/>
        </w:rPr>
        <w:t>Participants LDL</w:t>
      </w:r>
      <w:r w:rsidR="00DF6401" w:rsidRPr="00A83336">
        <w:rPr>
          <w:rFonts w:asciiTheme="minorHAnsi" w:hAnsiTheme="minorHAnsi"/>
          <w:sz w:val="24"/>
          <w:szCs w:val="22"/>
        </w:rPr>
        <w:t xml:space="preserve">-C </w:t>
      </w:r>
      <w:r w:rsidR="004B1768" w:rsidRPr="0021180D">
        <w:rPr>
          <w:rFonts w:asciiTheme="minorHAnsi" w:hAnsiTheme="minorHAnsi"/>
          <w:sz w:val="24"/>
          <w:szCs w:val="22"/>
        </w:rPr>
        <w:t>concentrations</w:t>
      </w:r>
      <w:r w:rsidR="004B1768" w:rsidRPr="00A83336">
        <w:rPr>
          <w:rFonts w:asciiTheme="minorHAnsi" w:hAnsiTheme="minorHAnsi"/>
          <w:sz w:val="24"/>
          <w:szCs w:val="22"/>
        </w:rPr>
        <w:t xml:space="preserve"> </w:t>
      </w:r>
      <w:r w:rsidR="00DF6401" w:rsidRPr="00A83336">
        <w:rPr>
          <w:rFonts w:asciiTheme="minorHAnsi" w:hAnsiTheme="minorHAnsi"/>
          <w:sz w:val="24"/>
          <w:szCs w:val="22"/>
        </w:rPr>
        <w:t>ranged between 1.3 and 2.43mmol/L</w:t>
      </w:r>
      <w:r w:rsidR="00B06A19" w:rsidRPr="00A83336">
        <w:rPr>
          <w:rFonts w:asciiTheme="minorHAnsi" w:hAnsiTheme="minorHAnsi"/>
          <w:sz w:val="24"/>
          <w:szCs w:val="22"/>
        </w:rPr>
        <w:t xml:space="preserve"> whereas high risk patients can access </w:t>
      </w:r>
      <w:r w:rsidR="00930248" w:rsidRPr="00A83336">
        <w:rPr>
          <w:rFonts w:asciiTheme="minorHAnsi" w:hAnsiTheme="minorHAnsi"/>
          <w:sz w:val="24"/>
          <w:szCs w:val="22"/>
        </w:rPr>
        <w:t xml:space="preserve">PBS subsidised </w:t>
      </w:r>
      <w:r w:rsidR="00B06A19" w:rsidRPr="00A83336">
        <w:rPr>
          <w:rFonts w:asciiTheme="minorHAnsi" w:hAnsiTheme="minorHAnsi"/>
          <w:sz w:val="24"/>
          <w:szCs w:val="22"/>
        </w:rPr>
        <w:t xml:space="preserve">LLT </w:t>
      </w:r>
      <w:r w:rsidR="00DF6401" w:rsidRPr="00A83336">
        <w:rPr>
          <w:rFonts w:asciiTheme="minorHAnsi" w:hAnsiTheme="minorHAnsi"/>
          <w:sz w:val="24"/>
          <w:szCs w:val="22"/>
        </w:rPr>
        <w:t>under the GSLLD</w:t>
      </w:r>
      <w:r w:rsidR="00B06A19" w:rsidRPr="00A83336">
        <w:rPr>
          <w:rFonts w:asciiTheme="minorHAnsi" w:hAnsiTheme="minorHAnsi"/>
          <w:sz w:val="24"/>
          <w:szCs w:val="22"/>
        </w:rPr>
        <w:t xml:space="preserve"> at any cholesterol</w:t>
      </w:r>
      <w:r w:rsidR="0076247E" w:rsidRPr="0076247E">
        <w:rPr>
          <w:rFonts w:asciiTheme="minorHAnsi" w:eastAsia="Times New Roman" w:hAnsiTheme="minorHAnsi" w:cs="Arial"/>
          <w:color w:val="222222"/>
          <w:szCs w:val="24"/>
          <w:lang w:eastAsia="en-AU"/>
        </w:rPr>
        <w:t xml:space="preserve"> </w:t>
      </w:r>
      <w:r w:rsidR="0076247E" w:rsidRPr="0021180D">
        <w:rPr>
          <w:rFonts w:asciiTheme="minorHAnsi" w:hAnsiTheme="minorHAnsi"/>
          <w:sz w:val="24"/>
          <w:szCs w:val="22"/>
        </w:rPr>
        <w:t>concentration</w:t>
      </w:r>
      <w:r w:rsidR="00B06A19" w:rsidRPr="0021180D">
        <w:rPr>
          <w:rFonts w:asciiTheme="minorHAnsi" w:hAnsiTheme="minorHAnsi"/>
          <w:sz w:val="24"/>
          <w:szCs w:val="22"/>
        </w:rPr>
        <w:t>.</w:t>
      </w:r>
      <w:r w:rsidR="00B06A19" w:rsidRPr="00A83336">
        <w:rPr>
          <w:rFonts w:asciiTheme="minorHAnsi" w:hAnsiTheme="minorHAnsi"/>
          <w:sz w:val="24"/>
          <w:szCs w:val="22"/>
        </w:rPr>
        <w:t xml:space="preserve"> </w:t>
      </w:r>
    </w:p>
    <w:p w:rsidR="00952835" w:rsidRPr="00736E4A" w:rsidRDefault="007714D8">
      <w:pPr>
        <w:pStyle w:val="CommentText"/>
        <w:rPr>
          <w:rFonts w:asciiTheme="minorHAnsi" w:hAnsiTheme="minorHAnsi"/>
          <w:sz w:val="24"/>
          <w:szCs w:val="22"/>
        </w:rPr>
      </w:pPr>
      <w:r w:rsidRPr="00736E4A">
        <w:rPr>
          <w:rFonts w:asciiTheme="minorHAnsi" w:hAnsiTheme="minorHAnsi"/>
          <w:sz w:val="24"/>
          <w:szCs w:val="22"/>
        </w:rPr>
        <w:t>As described under Term of Reference 2, recently published literature</w:t>
      </w:r>
      <w:r w:rsidR="00C94907">
        <w:rPr>
          <w:rFonts w:asciiTheme="minorHAnsi" w:hAnsiTheme="minorHAnsi"/>
          <w:sz w:val="24"/>
          <w:szCs w:val="22"/>
        </w:rPr>
        <w:t xml:space="preserve"> </w:t>
      </w:r>
      <w:r w:rsidRPr="00736E4A">
        <w:rPr>
          <w:rFonts w:asciiTheme="minorHAnsi" w:hAnsiTheme="minorHAnsi"/>
          <w:sz w:val="24"/>
          <w:szCs w:val="22"/>
        </w:rPr>
        <w:t>reporting on sub</w:t>
      </w:r>
      <w:r w:rsidR="00952835" w:rsidRPr="00736E4A">
        <w:rPr>
          <w:rFonts w:asciiTheme="minorHAnsi" w:hAnsiTheme="minorHAnsi"/>
          <w:sz w:val="24"/>
          <w:szCs w:val="22"/>
        </w:rPr>
        <w:t>-</w:t>
      </w:r>
      <w:r w:rsidRPr="00736E4A">
        <w:rPr>
          <w:rFonts w:asciiTheme="minorHAnsi" w:hAnsiTheme="minorHAnsi"/>
          <w:sz w:val="24"/>
          <w:szCs w:val="22"/>
        </w:rPr>
        <w:t xml:space="preserve">group analyses of the IMPROVE-IT study suggests that </w:t>
      </w:r>
      <w:r w:rsidR="00F76E0A" w:rsidRPr="00736E4A">
        <w:rPr>
          <w:rFonts w:asciiTheme="minorHAnsi" w:hAnsiTheme="minorHAnsi"/>
          <w:sz w:val="24"/>
          <w:szCs w:val="22"/>
        </w:rPr>
        <w:t xml:space="preserve">any </w:t>
      </w:r>
      <w:r w:rsidRPr="00736E4A">
        <w:rPr>
          <w:rFonts w:asciiTheme="minorHAnsi" w:hAnsiTheme="minorHAnsi"/>
          <w:sz w:val="24"/>
          <w:szCs w:val="22"/>
        </w:rPr>
        <w:t>benefit of ezetimibe is restricted to those with high risk in a secondary prevention population</w:t>
      </w:r>
      <w:r w:rsidR="00C94907">
        <w:rPr>
          <w:rStyle w:val="EndnoteReference"/>
          <w:rFonts w:asciiTheme="minorHAnsi" w:hAnsiTheme="minorHAnsi"/>
          <w:sz w:val="24"/>
          <w:szCs w:val="22"/>
        </w:rPr>
        <w:endnoteReference w:id="8"/>
      </w:r>
      <w:r w:rsidR="00C94907">
        <w:rPr>
          <w:rStyle w:val="EndnoteReference"/>
          <w:rFonts w:asciiTheme="minorHAnsi" w:hAnsiTheme="minorHAnsi"/>
          <w:sz w:val="24"/>
          <w:szCs w:val="22"/>
        </w:rPr>
        <w:endnoteReference w:id="9"/>
      </w:r>
      <w:r w:rsidR="0032693A">
        <w:rPr>
          <w:rStyle w:val="EndnoteReference"/>
          <w:rFonts w:asciiTheme="minorHAnsi" w:hAnsiTheme="minorHAnsi"/>
          <w:sz w:val="24"/>
          <w:szCs w:val="22"/>
        </w:rPr>
        <w:endnoteReference w:id="10"/>
      </w:r>
      <w:r w:rsidR="0032693A">
        <w:rPr>
          <w:rStyle w:val="EndnoteReference"/>
          <w:rFonts w:asciiTheme="minorHAnsi" w:hAnsiTheme="minorHAnsi"/>
          <w:sz w:val="24"/>
          <w:szCs w:val="22"/>
        </w:rPr>
        <w:endnoteReference w:id="11"/>
      </w:r>
      <w:r w:rsidRPr="00736E4A">
        <w:rPr>
          <w:rFonts w:asciiTheme="minorHAnsi" w:hAnsiTheme="minorHAnsi"/>
          <w:sz w:val="24"/>
          <w:szCs w:val="22"/>
        </w:rPr>
        <w:t>.</w:t>
      </w:r>
    </w:p>
    <w:p w:rsidR="00D81596" w:rsidRPr="00736E4A" w:rsidRDefault="00E837F3">
      <w:pPr>
        <w:pStyle w:val="CommentText"/>
        <w:rPr>
          <w:rFonts w:asciiTheme="minorHAnsi" w:hAnsiTheme="minorHAnsi"/>
          <w:sz w:val="24"/>
          <w:szCs w:val="22"/>
        </w:rPr>
      </w:pPr>
      <w:r w:rsidRPr="00736E4A">
        <w:rPr>
          <w:rFonts w:asciiTheme="minorHAnsi" w:hAnsiTheme="minorHAnsi"/>
          <w:sz w:val="24"/>
          <w:szCs w:val="22"/>
        </w:rPr>
        <w:t>On the basis of the published evidence the Reference Group accepted that a reduction in LDL-C correlates with the reduction of cardiovascular risk</w:t>
      </w:r>
      <w:r w:rsidR="00F76E0A" w:rsidRPr="00736E4A">
        <w:rPr>
          <w:rFonts w:asciiTheme="minorHAnsi" w:hAnsiTheme="minorHAnsi"/>
          <w:sz w:val="24"/>
          <w:szCs w:val="22"/>
        </w:rPr>
        <w:t>, however the reduction is likely to be of more benefit in higher risk patients</w:t>
      </w:r>
      <w:r w:rsidRPr="00736E4A">
        <w:rPr>
          <w:rFonts w:asciiTheme="minorHAnsi" w:hAnsiTheme="minorHAnsi"/>
          <w:sz w:val="24"/>
          <w:szCs w:val="22"/>
        </w:rPr>
        <w:t xml:space="preserve">. To </w:t>
      </w:r>
      <w:r w:rsidR="00F76E0A" w:rsidRPr="00736E4A">
        <w:rPr>
          <w:rFonts w:asciiTheme="minorHAnsi" w:hAnsiTheme="minorHAnsi"/>
          <w:sz w:val="24"/>
          <w:szCs w:val="22"/>
        </w:rPr>
        <w:t xml:space="preserve">achieve the largest </w:t>
      </w:r>
      <w:r w:rsidRPr="00736E4A">
        <w:rPr>
          <w:rFonts w:asciiTheme="minorHAnsi" w:hAnsiTheme="minorHAnsi"/>
          <w:sz w:val="24"/>
          <w:szCs w:val="22"/>
        </w:rPr>
        <w:t>reduc</w:t>
      </w:r>
      <w:r w:rsidR="00F76E0A" w:rsidRPr="00736E4A">
        <w:rPr>
          <w:rFonts w:asciiTheme="minorHAnsi" w:hAnsiTheme="minorHAnsi"/>
          <w:sz w:val="24"/>
          <w:szCs w:val="22"/>
        </w:rPr>
        <w:t>tion in</w:t>
      </w:r>
      <w:r w:rsidRPr="00736E4A">
        <w:rPr>
          <w:rFonts w:asciiTheme="minorHAnsi" w:hAnsiTheme="minorHAnsi"/>
          <w:sz w:val="24"/>
          <w:szCs w:val="22"/>
        </w:rPr>
        <w:t xml:space="preserve"> LDL-C</w:t>
      </w:r>
      <w:r w:rsidR="007714D8" w:rsidRPr="00736E4A">
        <w:rPr>
          <w:rFonts w:asciiTheme="minorHAnsi" w:hAnsiTheme="minorHAnsi"/>
          <w:sz w:val="24"/>
          <w:szCs w:val="22"/>
        </w:rPr>
        <w:t xml:space="preserve"> in the majority of cases</w:t>
      </w:r>
      <w:r w:rsidRPr="00736E4A">
        <w:rPr>
          <w:rFonts w:asciiTheme="minorHAnsi" w:hAnsiTheme="minorHAnsi"/>
          <w:sz w:val="24"/>
          <w:szCs w:val="22"/>
        </w:rPr>
        <w:t xml:space="preserve">, the initial use of statins </w:t>
      </w:r>
      <w:r w:rsidR="00095BB9">
        <w:rPr>
          <w:rFonts w:asciiTheme="minorHAnsi" w:hAnsiTheme="minorHAnsi"/>
          <w:sz w:val="24"/>
          <w:szCs w:val="22"/>
        </w:rPr>
        <w:t xml:space="preserve">should be promoted </w:t>
      </w:r>
      <w:r w:rsidRPr="00736E4A">
        <w:rPr>
          <w:rFonts w:asciiTheme="minorHAnsi" w:hAnsiTheme="minorHAnsi"/>
          <w:sz w:val="24"/>
          <w:szCs w:val="22"/>
        </w:rPr>
        <w:t>with up-titration to the maximum tolerated dose or switch to statin of higher potency prior to the introduction of ezetimibe. The quality and quantity of evidence for</w:t>
      </w:r>
      <w:r w:rsidR="001D783E" w:rsidRPr="00736E4A">
        <w:rPr>
          <w:rFonts w:asciiTheme="minorHAnsi" w:hAnsiTheme="minorHAnsi"/>
          <w:sz w:val="24"/>
          <w:szCs w:val="22"/>
        </w:rPr>
        <w:t xml:space="preserve"> preventing cardiovascular events</w:t>
      </w:r>
      <w:r w:rsidRPr="00736E4A">
        <w:rPr>
          <w:rFonts w:asciiTheme="minorHAnsi" w:hAnsiTheme="minorHAnsi"/>
          <w:sz w:val="24"/>
          <w:szCs w:val="22"/>
        </w:rPr>
        <w:t xml:space="preserve"> with statins is stronger</w:t>
      </w:r>
      <w:r w:rsidR="00EB0757">
        <w:rPr>
          <w:rFonts w:asciiTheme="minorHAnsi" w:hAnsiTheme="minorHAnsi"/>
          <w:sz w:val="24"/>
          <w:szCs w:val="22"/>
        </w:rPr>
        <w:t xml:space="preserve"> and the percentage reduction in LDL-C with statins is greater than with ezetimibe</w:t>
      </w:r>
      <w:r w:rsidRPr="00736E4A">
        <w:rPr>
          <w:rFonts w:asciiTheme="minorHAnsi" w:hAnsiTheme="minorHAnsi"/>
          <w:sz w:val="24"/>
          <w:szCs w:val="22"/>
        </w:rPr>
        <w:t xml:space="preserve">. </w:t>
      </w:r>
      <w:r w:rsidR="00EB0757">
        <w:rPr>
          <w:rFonts w:asciiTheme="minorHAnsi" w:hAnsiTheme="minorHAnsi"/>
          <w:sz w:val="24"/>
          <w:szCs w:val="22"/>
        </w:rPr>
        <w:t>Therefore, t</w:t>
      </w:r>
      <w:r w:rsidRPr="00736E4A">
        <w:rPr>
          <w:rFonts w:asciiTheme="minorHAnsi" w:hAnsiTheme="minorHAnsi"/>
          <w:sz w:val="24"/>
          <w:szCs w:val="22"/>
        </w:rPr>
        <w:t xml:space="preserve">he PBS restrictions </w:t>
      </w:r>
      <w:r w:rsidR="0039666F" w:rsidRPr="00736E4A">
        <w:rPr>
          <w:rFonts w:asciiTheme="minorHAnsi" w:hAnsiTheme="minorHAnsi"/>
          <w:sz w:val="24"/>
          <w:szCs w:val="22"/>
        </w:rPr>
        <w:t xml:space="preserve">placing </w:t>
      </w:r>
      <w:r w:rsidRPr="00736E4A">
        <w:rPr>
          <w:rFonts w:asciiTheme="minorHAnsi" w:hAnsiTheme="minorHAnsi"/>
          <w:sz w:val="24"/>
          <w:szCs w:val="22"/>
        </w:rPr>
        <w:t xml:space="preserve">ezetimibe </w:t>
      </w:r>
      <w:r w:rsidR="0039666F" w:rsidRPr="00736E4A">
        <w:rPr>
          <w:rFonts w:asciiTheme="minorHAnsi" w:hAnsiTheme="minorHAnsi"/>
          <w:sz w:val="24"/>
          <w:szCs w:val="22"/>
        </w:rPr>
        <w:t xml:space="preserve">as </w:t>
      </w:r>
      <w:r w:rsidRPr="00736E4A">
        <w:rPr>
          <w:rFonts w:asciiTheme="minorHAnsi" w:hAnsiTheme="minorHAnsi"/>
          <w:sz w:val="24"/>
          <w:szCs w:val="22"/>
        </w:rPr>
        <w:t>a second line</w:t>
      </w:r>
      <w:r w:rsidR="00CC14E7" w:rsidRPr="00736E4A">
        <w:rPr>
          <w:rFonts w:asciiTheme="minorHAnsi" w:hAnsiTheme="minorHAnsi"/>
          <w:sz w:val="24"/>
          <w:szCs w:val="22"/>
        </w:rPr>
        <w:t xml:space="preserve"> non-statin LLT</w:t>
      </w:r>
      <w:r w:rsidRPr="00736E4A">
        <w:rPr>
          <w:rFonts w:asciiTheme="minorHAnsi" w:hAnsiTheme="minorHAnsi"/>
          <w:sz w:val="24"/>
          <w:szCs w:val="22"/>
        </w:rPr>
        <w:t xml:space="preserve"> option should remain</w:t>
      </w:r>
      <w:r w:rsidR="00EB0757">
        <w:rPr>
          <w:rFonts w:asciiTheme="minorHAnsi" w:hAnsiTheme="minorHAnsi"/>
          <w:sz w:val="24"/>
          <w:szCs w:val="22"/>
        </w:rPr>
        <w:t>.</w:t>
      </w:r>
    </w:p>
    <w:p w:rsidR="0000686B" w:rsidRDefault="0000686B">
      <w:pPr>
        <w:spacing w:line="240" w:lineRule="auto"/>
        <w:rPr>
          <w:rFonts w:ascii="Calibri" w:eastAsia="Calibri" w:hAnsi="Calibri" w:cs="Times New Roman"/>
        </w:rPr>
      </w:pPr>
      <w:r w:rsidRPr="00D26A6C">
        <w:rPr>
          <w:rFonts w:ascii="Calibri" w:eastAsia="Calibri" w:hAnsi="Calibri" w:cs="Times New Roman"/>
        </w:rPr>
        <w:lastRenderedPageBreak/>
        <w:t>Application of the evidence reporting on long</w:t>
      </w:r>
      <w:r w:rsidR="00F7627D">
        <w:rPr>
          <w:rFonts w:ascii="Calibri" w:eastAsia="Calibri" w:hAnsi="Calibri" w:cs="Times New Roman"/>
        </w:rPr>
        <w:t>-</w:t>
      </w:r>
      <w:r w:rsidRPr="00D26A6C">
        <w:rPr>
          <w:rFonts w:ascii="Calibri" w:eastAsia="Calibri" w:hAnsi="Calibri" w:cs="Times New Roman"/>
        </w:rPr>
        <w:t xml:space="preserve">term patient relevant outcomes casts uncertainty about the cost-effectiveness of ezetimibe in combination with statin </w:t>
      </w:r>
      <w:r>
        <w:rPr>
          <w:rFonts w:ascii="Calibri" w:eastAsia="Calibri" w:hAnsi="Calibri" w:cs="Times New Roman"/>
        </w:rPr>
        <w:t>versus statin monotherapy.</w:t>
      </w:r>
      <w:r w:rsidRPr="007902F5">
        <w:rPr>
          <w:rFonts w:ascii="Calibri" w:eastAsia="Calibri" w:hAnsi="Calibri" w:cs="Times New Roman"/>
        </w:rPr>
        <w:t xml:space="preserve"> </w:t>
      </w:r>
      <w:r>
        <w:rPr>
          <w:rFonts w:ascii="Calibri" w:eastAsia="Calibri" w:hAnsi="Calibri" w:cs="Times New Roman"/>
        </w:rPr>
        <w:t xml:space="preserve">The Reference Group agreed that the results of the economic evaluations previously considered by the PBAC and that </w:t>
      </w:r>
      <w:r w:rsidR="001D783E">
        <w:rPr>
          <w:rFonts w:ascii="Calibri" w:eastAsia="Calibri" w:hAnsi="Calibri" w:cs="Times New Roman"/>
        </w:rPr>
        <w:t>re-presented in a submission to</w:t>
      </w:r>
      <w:r>
        <w:rPr>
          <w:rFonts w:ascii="Calibri" w:eastAsia="Calibri" w:hAnsi="Calibri" w:cs="Times New Roman"/>
        </w:rPr>
        <w:t xml:space="preserve"> the post</w:t>
      </w:r>
      <w:r w:rsidR="00B94AAC">
        <w:rPr>
          <w:rFonts w:ascii="Calibri" w:eastAsia="Calibri" w:hAnsi="Calibri" w:cs="Times New Roman"/>
        </w:rPr>
        <w:t>-</w:t>
      </w:r>
      <w:r>
        <w:rPr>
          <w:rFonts w:ascii="Calibri" w:eastAsia="Calibri" w:hAnsi="Calibri" w:cs="Times New Roman"/>
        </w:rPr>
        <w:t>market review</w:t>
      </w:r>
      <w:r w:rsidR="002423A4">
        <w:rPr>
          <w:rFonts w:ascii="Calibri" w:eastAsia="Calibri" w:hAnsi="Calibri" w:cs="Times New Roman"/>
        </w:rPr>
        <w:t>,</w:t>
      </w:r>
      <w:r>
        <w:rPr>
          <w:rFonts w:ascii="Calibri" w:eastAsia="Calibri" w:hAnsi="Calibri" w:cs="Times New Roman"/>
        </w:rPr>
        <w:t xml:space="preserve"> seem to overestimate the incremental long</w:t>
      </w:r>
      <w:r w:rsidR="00F7627D">
        <w:rPr>
          <w:rFonts w:ascii="Calibri" w:eastAsia="Calibri" w:hAnsi="Calibri" w:cs="Times New Roman"/>
        </w:rPr>
        <w:t>-</w:t>
      </w:r>
      <w:r>
        <w:rPr>
          <w:rFonts w:ascii="Calibri" w:eastAsia="Calibri" w:hAnsi="Calibri" w:cs="Times New Roman"/>
        </w:rPr>
        <w:t xml:space="preserve">term benefits associated with a combination of ezetimibe and a statin. </w:t>
      </w:r>
    </w:p>
    <w:p w:rsidR="00A07A60" w:rsidRDefault="009D0B06">
      <w:pPr>
        <w:spacing w:line="240" w:lineRule="auto"/>
        <w:rPr>
          <w:rFonts w:ascii="Calibri" w:eastAsia="Calibri" w:hAnsi="Calibri" w:cs="Times New Roman"/>
        </w:rPr>
      </w:pPr>
      <w:r w:rsidRPr="002423A4">
        <w:rPr>
          <w:rFonts w:ascii="Calibri" w:eastAsia="Calibri" w:hAnsi="Calibri" w:cs="Times New Roman"/>
        </w:rPr>
        <w:t>The structure of the economic model provided by the sponsor</w:t>
      </w:r>
      <w:r w:rsidR="00D71F09" w:rsidRPr="002423A4">
        <w:rPr>
          <w:rFonts w:ascii="Calibri" w:eastAsia="Calibri" w:hAnsi="Calibri" w:cs="Times New Roman"/>
        </w:rPr>
        <w:t xml:space="preserve"> to the Review </w:t>
      </w:r>
      <w:r w:rsidRPr="002423A4">
        <w:rPr>
          <w:rFonts w:ascii="Calibri" w:eastAsia="Calibri" w:hAnsi="Calibri" w:cs="Times New Roman"/>
        </w:rPr>
        <w:t xml:space="preserve">is unchanged </w:t>
      </w:r>
      <w:r w:rsidR="00CC14E7" w:rsidRPr="002423A4">
        <w:rPr>
          <w:rFonts w:ascii="Calibri" w:eastAsia="Calibri" w:hAnsi="Calibri" w:cs="Times New Roman"/>
        </w:rPr>
        <w:t xml:space="preserve">from past submissions to the PBAC </w:t>
      </w:r>
      <w:r w:rsidRPr="002423A4">
        <w:rPr>
          <w:rFonts w:ascii="Calibri" w:eastAsia="Calibri" w:hAnsi="Calibri" w:cs="Times New Roman"/>
        </w:rPr>
        <w:t>and t</w:t>
      </w:r>
      <w:r w:rsidR="00D71F09" w:rsidRPr="002423A4">
        <w:rPr>
          <w:rFonts w:ascii="Calibri" w:eastAsia="Calibri" w:hAnsi="Calibri" w:cs="Times New Roman"/>
        </w:rPr>
        <w:t>herefore concerns remain related to</w:t>
      </w:r>
      <w:r w:rsidR="00CC14E7" w:rsidRPr="002423A4">
        <w:rPr>
          <w:rFonts w:ascii="Calibri" w:eastAsia="Calibri" w:hAnsi="Calibri" w:cs="Times New Roman"/>
        </w:rPr>
        <w:t>:</w:t>
      </w:r>
      <w:r w:rsidR="00D71F09" w:rsidRPr="002423A4">
        <w:rPr>
          <w:rFonts w:ascii="Calibri" w:eastAsia="Calibri" w:hAnsi="Calibri" w:cs="Times New Roman"/>
        </w:rPr>
        <w:t xml:space="preserve"> the risk equations used to transform the reduction in lipid </w:t>
      </w:r>
      <w:r w:rsidR="004B1768" w:rsidRPr="0021180D">
        <w:rPr>
          <w:rFonts w:asciiTheme="minorHAnsi" w:eastAsia="Times New Roman" w:hAnsiTheme="minorHAnsi" w:cs="Arial"/>
          <w:color w:val="222222"/>
          <w:szCs w:val="24"/>
          <w:lang w:eastAsia="en-AU"/>
        </w:rPr>
        <w:t>concentrations</w:t>
      </w:r>
      <w:r w:rsidR="004B1768" w:rsidRPr="002423A4">
        <w:rPr>
          <w:rFonts w:ascii="Calibri" w:eastAsia="Calibri" w:hAnsi="Calibri" w:cs="Times New Roman"/>
        </w:rPr>
        <w:t xml:space="preserve"> </w:t>
      </w:r>
      <w:r w:rsidR="00D71F09" w:rsidRPr="002423A4">
        <w:rPr>
          <w:rFonts w:ascii="Calibri" w:eastAsia="Calibri" w:hAnsi="Calibri" w:cs="Times New Roman"/>
        </w:rPr>
        <w:t xml:space="preserve">to final outcomes, the long cycle length (1 year) and model time horizon (70 years). </w:t>
      </w:r>
    </w:p>
    <w:p w:rsidR="0008637B" w:rsidRDefault="0008637B" w:rsidP="0008637B">
      <w:pPr>
        <w:spacing w:line="240" w:lineRule="auto"/>
        <w:rPr>
          <w:rFonts w:ascii="Calibri" w:eastAsia="Calibri" w:hAnsi="Calibri" w:cs="Times New Roman"/>
        </w:rPr>
      </w:pPr>
      <w:r w:rsidRPr="002423A4">
        <w:rPr>
          <w:rFonts w:ascii="Calibri" w:eastAsia="Calibri" w:hAnsi="Calibri" w:cs="Times New Roman"/>
        </w:rPr>
        <w:t xml:space="preserve">The Reference Group considered that a large proportion of patients using ezetimibe as second line therapy would be older than fifty years and requested </w:t>
      </w:r>
      <w:r>
        <w:rPr>
          <w:rFonts w:ascii="Calibri" w:eastAsia="Calibri" w:hAnsi="Calibri" w:cs="Times New Roman"/>
        </w:rPr>
        <w:t xml:space="preserve">an additional </w:t>
      </w:r>
      <w:r w:rsidRPr="002423A4">
        <w:rPr>
          <w:rFonts w:ascii="Calibri" w:eastAsia="Calibri" w:hAnsi="Calibri" w:cs="Times New Roman"/>
        </w:rPr>
        <w:t xml:space="preserve">analysis be conducted on the time horizon at ten year intervals between 10 years and 70 years. </w:t>
      </w:r>
    </w:p>
    <w:p w:rsidR="0008637B" w:rsidRDefault="0008637B" w:rsidP="0008637B">
      <w:pPr>
        <w:spacing w:line="240" w:lineRule="auto"/>
        <w:rPr>
          <w:rFonts w:asciiTheme="minorHAnsi" w:eastAsiaTheme="minorEastAsia" w:hAnsiTheme="minorHAnsi"/>
          <w:lang w:eastAsia="zh-CN"/>
        </w:rPr>
      </w:pPr>
      <w:r w:rsidRPr="00364FE8">
        <w:rPr>
          <w:rFonts w:asciiTheme="minorHAnsi" w:eastAsiaTheme="minorEastAsia" w:hAnsiTheme="minorHAnsi"/>
          <w:lang w:eastAsia="zh-CN"/>
        </w:rPr>
        <w:t>The results of this sensitivity analysis show that the ICERs estimated as either a cost/</w:t>
      </w:r>
      <w:r>
        <w:rPr>
          <w:rFonts w:asciiTheme="minorHAnsi" w:eastAsiaTheme="minorEastAsia" w:hAnsiTheme="minorHAnsi"/>
          <w:lang w:eastAsia="zh-CN"/>
        </w:rPr>
        <w:t>life year gained (</w:t>
      </w:r>
      <w:r w:rsidRPr="00364FE8">
        <w:rPr>
          <w:rFonts w:asciiTheme="minorHAnsi" w:eastAsiaTheme="minorEastAsia" w:hAnsiTheme="minorHAnsi"/>
          <w:lang w:eastAsia="zh-CN"/>
        </w:rPr>
        <w:t>LYG</w:t>
      </w:r>
      <w:r>
        <w:rPr>
          <w:rFonts w:asciiTheme="minorHAnsi" w:eastAsiaTheme="minorEastAsia" w:hAnsiTheme="minorHAnsi"/>
          <w:lang w:eastAsia="zh-CN"/>
        </w:rPr>
        <w:t>)</w:t>
      </w:r>
      <w:r w:rsidRPr="00364FE8">
        <w:rPr>
          <w:rFonts w:asciiTheme="minorHAnsi" w:eastAsiaTheme="minorEastAsia" w:hAnsiTheme="minorHAnsi"/>
          <w:lang w:eastAsia="zh-CN"/>
        </w:rPr>
        <w:t xml:space="preserve"> or cost/</w:t>
      </w:r>
      <w:r>
        <w:rPr>
          <w:rStyle w:val="tgc"/>
          <w:rFonts w:ascii="Arial" w:hAnsi="Arial" w:cs="Arial"/>
          <w:color w:val="222222"/>
        </w:rPr>
        <w:t>quality-adjusted life year (</w:t>
      </w:r>
      <w:r w:rsidRPr="00364FE8">
        <w:rPr>
          <w:rFonts w:asciiTheme="minorHAnsi" w:eastAsiaTheme="minorEastAsia" w:hAnsiTheme="minorHAnsi"/>
          <w:lang w:eastAsia="zh-CN"/>
        </w:rPr>
        <w:t>QALY</w:t>
      </w:r>
      <w:r>
        <w:rPr>
          <w:rFonts w:asciiTheme="minorHAnsi" w:eastAsiaTheme="minorEastAsia" w:hAnsiTheme="minorHAnsi"/>
          <w:lang w:eastAsia="zh-CN"/>
        </w:rPr>
        <w:t>)</w:t>
      </w:r>
      <w:r w:rsidRPr="00364FE8">
        <w:rPr>
          <w:rFonts w:asciiTheme="minorHAnsi" w:eastAsiaTheme="minorEastAsia" w:hAnsiTheme="minorHAnsi"/>
          <w:lang w:eastAsia="zh-CN"/>
        </w:rPr>
        <w:t xml:space="preserve"> remain </w:t>
      </w:r>
      <w:r w:rsidRPr="00ED5376">
        <w:rPr>
          <w:rFonts w:asciiTheme="minorHAnsi" w:eastAsiaTheme="minorEastAsia" w:hAnsiTheme="minorHAnsi"/>
          <w:lang w:eastAsia="zh-CN"/>
        </w:rPr>
        <w:t xml:space="preserve">unchanged when </w:t>
      </w:r>
      <w:r>
        <w:rPr>
          <w:rFonts w:asciiTheme="minorHAnsi" w:eastAsiaTheme="minorEastAsia" w:hAnsiTheme="minorHAnsi"/>
          <w:lang w:eastAsia="zh-CN"/>
        </w:rPr>
        <w:t xml:space="preserve">the </w:t>
      </w:r>
      <w:r w:rsidRPr="00ED5376">
        <w:rPr>
          <w:rFonts w:asciiTheme="minorHAnsi" w:eastAsiaTheme="minorEastAsia" w:hAnsiTheme="minorHAnsi"/>
          <w:lang w:eastAsia="zh-CN"/>
        </w:rPr>
        <w:t>time horizons extended beyond 30 years (Appendix J, Table 1.3, p.20). After the first 30 cycles (years) of the Markov model, the survival rate is zero and there</w:t>
      </w:r>
      <w:r w:rsidRPr="00364FE8">
        <w:rPr>
          <w:rFonts w:asciiTheme="minorHAnsi" w:eastAsiaTheme="minorEastAsia" w:hAnsiTheme="minorHAnsi"/>
          <w:lang w:eastAsia="zh-CN"/>
        </w:rPr>
        <w:t xml:space="preserve"> is no difference in either the incremental costs or the outcomes. </w:t>
      </w:r>
    </w:p>
    <w:p w:rsidR="0008182B" w:rsidRPr="0008182B" w:rsidRDefault="00D71F09">
      <w:pPr>
        <w:spacing w:line="240" w:lineRule="auto"/>
        <w:rPr>
          <w:rFonts w:asciiTheme="minorHAnsi" w:eastAsiaTheme="minorEastAsia" w:hAnsiTheme="minorHAnsi"/>
          <w:lang w:eastAsia="zh-CN"/>
        </w:rPr>
      </w:pPr>
      <w:r w:rsidRPr="0008182B">
        <w:rPr>
          <w:rFonts w:asciiTheme="minorHAnsi" w:eastAsia="Calibri" w:hAnsiTheme="minorHAnsi" w:cs="Times New Roman"/>
        </w:rPr>
        <w:t>The Reference Group noted the sensitivity of the Incremental Cost</w:t>
      </w:r>
      <w:r w:rsidR="00216B38">
        <w:rPr>
          <w:rFonts w:asciiTheme="minorHAnsi" w:eastAsia="Calibri" w:hAnsiTheme="minorHAnsi" w:cs="Times New Roman"/>
        </w:rPr>
        <w:t>-</w:t>
      </w:r>
      <w:r w:rsidRPr="0008182B">
        <w:rPr>
          <w:rFonts w:asciiTheme="minorHAnsi" w:eastAsia="Calibri" w:hAnsiTheme="minorHAnsi" w:cs="Times New Roman"/>
        </w:rPr>
        <w:t>Effectiveness Ratio (ICER) to the</w:t>
      </w:r>
      <w:r w:rsidR="00CC14E7" w:rsidRPr="0008182B">
        <w:rPr>
          <w:rFonts w:asciiTheme="minorHAnsi" w:eastAsia="Calibri" w:hAnsiTheme="minorHAnsi" w:cs="Times New Roman"/>
        </w:rPr>
        <w:t xml:space="preserve"> efficacy estimates </w:t>
      </w:r>
      <w:r w:rsidR="00F24AE9" w:rsidRPr="00CE1B26">
        <w:rPr>
          <w:rFonts w:asciiTheme="minorHAnsi" w:eastAsia="Calibri" w:hAnsiTheme="minorHAnsi" w:cs="Times New Roman"/>
        </w:rPr>
        <w:t xml:space="preserve">as well as the </w:t>
      </w:r>
      <w:r w:rsidRPr="00CE1B26">
        <w:rPr>
          <w:rFonts w:asciiTheme="minorHAnsi" w:eastAsia="Calibri" w:hAnsiTheme="minorHAnsi" w:cs="Times New Roman"/>
        </w:rPr>
        <w:t>time horizon.</w:t>
      </w:r>
      <w:r w:rsidR="00A07A60" w:rsidRPr="00CE1B26">
        <w:rPr>
          <w:rFonts w:asciiTheme="minorHAnsi" w:eastAsia="Calibri" w:hAnsiTheme="minorHAnsi" w:cs="Times New Roman"/>
        </w:rPr>
        <w:t xml:space="preserve"> </w:t>
      </w:r>
      <w:r w:rsidR="006E5923" w:rsidRPr="00CE1B26">
        <w:rPr>
          <w:rFonts w:asciiTheme="minorHAnsi" w:eastAsia="Calibri" w:hAnsiTheme="minorHAnsi" w:cs="Times New Roman"/>
        </w:rPr>
        <w:t xml:space="preserve">The efficacy estimates provided by the sponsor were based on a meta-analysis conducted in 2006, that </w:t>
      </w:r>
      <w:r w:rsidR="00F24AE9" w:rsidRPr="0008637B">
        <w:rPr>
          <w:rFonts w:asciiTheme="minorHAnsi" w:eastAsia="Calibri" w:hAnsiTheme="minorHAnsi" w:cs="Times New Roman"/>
        </w:rPr>
        <w:t xml:space="preserve">was not updated for the more recently published evidence and might have </w:t>
      </w:r>
      <w:r w:rsidR="006E5923" w:rsidRPr="0008637B">
        <w:rPr>
          <w:rFonts w:asciiTheme="minorHAnsi" w:eastAsia="Calibri" w:hAnsiTheme="minorHAnsi" w:cs="Times New Roman"/>
        </w:rPr>
        <w:t>overestimate</w:t>
      </w:r>
      <w:r w:rsidR="00F24AE9" w:rsidRPr="0008637B">
        <w:rPr>
          <w:rFonts w:asciiTheme="minorHAnsi" w:eastAsia="Calibri" w:hAnsiTheme="minorHAnsi" w:cs="Times New Roman"/>
        </w:rPr>
        <w:t>d</w:t>
      </w:r>
      <w:r w:rsidR="006E5923" w:rsidRPr="0008637B">
        <w:rPr>
          <w:rFonts w:asciiTheme="minorHAnsi" w:eastAsia="Calibri" w:hAnsiTheme="minorHAnsi" w:cs="Times New Roman"/>
        </w:rPr>
        <w:t xml:space="preserve"> the</w:t>
      </w:r>
      <w:r w:rsidR="006E5923">
        <w:rPr>
          <w:rFonts w:asciiTheme="minorHAnsi" w:eastAsia="Calibri" w:hAnsiTheme="minorHAnsi" w:cs="Times New Roman"/>
        </w:rPr>
        <w:t xml:space="preserve"> efficacy</w:t>
      </w:r>
      <w:r w:rsidR="00AA583A">
        <w:rPr>
          <w:rFonts w:asciiTheme="minorHAnsi" w:eastAsia="Calibri" w:hAnsiTheme="minorHAnsi" w:cs="Times New Roman"/>
        </w:rPr>
        <w:t xml:space="preserve"> </w:t>
      </w:r>
      <w:r w:rsidR="00095BB9">
        <w:rPr>
          <w:rFonts w:asciiTheme="minorHAnsi" w:eastAsia="Calibri" w:hAnsiTheme="minorHAnsi" w:cs="Times New Roman"/>
        </w:rPr>
        <w:t>[</w:t>
      </w:r>
      <w:r w:rsidR="00F24AE9">
        <w:rPr>
          <w:rFonts w:asciiTheme="minorHAnsi" w:eastAsia="Calibri" w:hAnsiTheme="minorHAnsi" w:cs="Times New Roman"/>
        </w:rPr>
        <w:t xml:space="preserve">reduction in </w:t>
      </w:r>
      <w:r w:rsidR="00AA583A">
        <w:rPr>
          <w:rFonts w:asciiTheme="minorHAnsi" w:eastAsia="Calibri" w:hAnsiTheme="minorHAnsi" w:cs="Times New Roman"/>
        </w:rPr>
        <w:t>T</w:t>
      </w:r>
      <w:r w:rsidR="00095BB9">
        <w:rPr>
          <w:rFonts w:asciiTheme="minorHAnsi" w:eastAsia="Calibri" w:hAnsiTheme="minorHAnsi" w:cs="Times New Roman"/>
        </w:rPr>
        <w:t xml:space="preserve">otal </w:t>
      </w:r>
      <w:r w:rsidR="00AA583A">
        <w:rPr>
          <w:rFonts w:asciiTheme="minorHAnsi" w:eastAsia="Calibri" w:hAnsiTheme="minorHAnsi" w:cs="Times New Roman"/>
        </w:rPr>
        <w:t>C</w:t>
      </w:r>
      <w:r w:rsidR="00095BB9">
        <w:rPr>
          <w:rFonts w:asciiTheme="minorHAnsi" w:eastAsia="Calibri" w:hAnsiTheme="minorHAnsi" w:cs="Times New Roman"/>
        </w:rPr>
        <w:t>holesterol (TC)</w:t>
      </w:r>
      <w:r w:rsidR="00AA583A">
        <w:rPr>
          <w:rFonts w:asciiTheme="minorHAnsi" w:eastAsia="Calibri" w:hAnsiTheme="minorHAnsi" w:cs="Times New Roman"/>
        </w:rPr>
        <w:t>:</w:t>
      </w:r>
      <w:r w:rsidR="00095BB9">
        <w:rPr>
          <w:rFonts w:asciiTheme="minorHAnsi" w:eastAsia="Calibri" w:hAnsiTheme="minorHAnsi" w:cs="Times New Roman"/>
        </w:rPr>
        <w:t xml:space="preserve"> </w:t>
      </w:r>
      <w:r w:rsidR="00AA583A">
        <w:rPr>
          <w:rFonts w:asciiTheme="minorHAnsi" w:eastAsia="Calibri" w:hAnsiTheme="minorHAnsi" w:cs="Times New Roman"/>
        </w:rPr>
        <w:t>H</w:t>
      </w:r>
      <w:r w:rsidR="00095BB9">
        <w:rPr>
          <w:rFonts w:asciiTheme="minorHAnsi" w:eastAsia="Calibri" w:hAnsiTheme="minorHAnsi" w:cs="Times New Roman"/>
        </w:rPr>
        <w:t xml:space="preserve">igh </w:t>
      </w:r>
      <w:r w:rsidR="00AA583A">
        <w:rPr>
          <w:rFonts w:asciiTheme="minorHAnsi" w:eastAsia="Calibri" w:hAnsiTheme="minorHAnsi" w:cs="Times New Roman"/>
        </w:rPr>
        <w:t>D</w:t>
      </w:r>
      <w:r w:rsidR="00095BB9">
        <w:rPr>
          <w:rFonts w:asciiTheme="minorHAnsi" w:eastAsia="Calibri" w:hAnsiTheme="minorHAnsi" w:cs="Times New Roman"/>
        </w:rPr>
        <w:t xml:space="preserve">ensity </w:t>
      </w:r>
      <w:r w:rsidR="00AA583A">
        <w:rPr>
          <w:rFonts w:asciiTheme="minorHAnsi" w:eastAsia="Calibri" w:hAnsiTheme="minorHAnsi" w:cs="Times New Roman"/>
        </w:rPr>
        <w:t>L</w:t>
      </w:r>
      <w:r w:rsidR="00095BB9">
        <w:rPr>
          <w:rFonts w:asciiTheme="minorHAnsi" w:eastAsia="Calibri" w:hAnsiTheme="minorHAnsi" w:cs="Times New Roman"/>
        </w:rPr>
        <w:t>ipoprotein (HDL)</w:t>
      </w:r>
      <w:r w:rsidR="00AA583A">
        <w:rPr>
          <w:rFonts w:asciiTheme="minorHAnsi" w:eastAsia="Calibri" w:hAnsiTheme="minorHAnsi" w:cs="Times New Roman"/>
        </w:rPr>
        <w:t xml:space="preserve"> ratio</w:t>
      </w:r>
      <w:r w:rsidR="00F24AE9">
        <w:rPr>
          <w:rFonts w:asciiTheme="minorHAnsi" w:eastAsia="Calibri" w:hAnsiTheme="minorHAnsi" w:cs="Times New Roman"/>
        </w:rPr>
        <w:t xml:space="preserve"> of -19.5% vs -2.6% in the ezetimibe and comparato</w:t>
      </w:r>
      <w:r w:rsidR="00CE1B26">
        <w:rPr>
          <w:rFonts w:asciiTheme="minorHAnsi" w:eastAsia="Calibri" w:hAnsiTheme="minorHAnsi" w:cs="Times New Roman"/>
        </w:rPr>
        <w:t>r arms respectively</w:t>
      </w:r>
      <w:r w:rsidR="00095BB9">
        <w:rPr>
          <w:rFonts w:asciiTheme="minorHAnsi" w:eastAsia="Calibri" w:hAnsiTheme="minorHAnsi" w:cs="Times New Roman"/>
        </w:rPr>
        <w:t>]</w:t>
      </w:r>
      <w:r w:rsidR="006E5923">
        <w:rPr>
          <w:rFonts w:asciiTheme="minorHAnsi" w:eastAsia="Calibri" w:hAnsiTheme="minorHAnsi" w:cs="Times New Roman"/>
        </w:rPr>
        <w:t xml:space="preserve"> of ezetimibe added to statin</w:t>
      </w:r>
      <w:r w:rsidR="00CE1B26">
        <w:rPr>
          <w:rFonts w:asciiTheme="minorHAnsi" w:eastAsia="Calibri" w:hAnsiTheme="minorHAnsi" w:cs="Times New Roman"/>
        </w:rPr>
        <w:t xml:space="preserve"> versus statin monotherapy</w:t>
      </w:r>
      <w:r w:rsidR="006E5923">
        <w:rPr>
          <w:rFonts w:asciiTheme="minorHAnsi" w:eastAsia="Calibri" w:hAnsiTheme="minorHAnsi" w:cs="Times New Roman"/>
        </w:rPr>
        <w:t xml:space="preserve">. </w:t>
      </w:r>
      <w:r w:rsidR="00A07A60" w:rsidRPr="0008182B">
        <w:rPr>
          <w:rFonts w:asciiTheme="minorHAnsi" w:eastAsia="Calibri" w:hAnsiTheme="minorHAnsi" w:cs="Times New Roman"/>
        </w:rPr>
        <w:t xml:space="preserve">During the </w:t>
      </w:r>
      <w:r w:rsidR="0008637B" w:rsidRPr="0008182B">
        <w:rPr>
          <w:rFonts w:asciiTheme="minorHAnsi" w:eastAsia="Calibri" w:hAnsiTheme="minorHAnsi" w:cs="Times New Roman"/>
        </w:rPr>
        <w:t>review,</w:t>
      </w:r>
      <w:r w:rsidR="00A07A60" w:rsidRPr="0008182B">
        <w:rPr>
          <w:rFonts w:asciiTheme="minorHAnsi" w:eastAsia="Calibri" w:hAnsiTheme="minorHAnsi" w:cs="Times New Roman"/>
        </w:rPr>
        <w:t xml:space="preserve"> </w:t>
      </w:r>
      <w:r w:rsidR="00CE1B26">
        <w:rPr>
          <w:rFonts w:asciiTheme="minorHAnsi" w:eastAsia="Calibri" w:hAnsiTheme="minorHAnsi" w:cs="Times New Roman"/>
        </w:rPr>
        <w:t xml:space="preserve">the </w:t>
      </w:r>
      <w:r w:rsidR="0008182B" w:rsidRPr="0008182B">
        <w:rPr>
          <w:rFonts w:asciiTheme="minorHAnsi" w:eastAsia="Calibri" w:hAnsiTheme="minorHAnsi" w:cs="Times New Roman"/>
        </w:rPr>
        <w:t>a</w:t>
      </w:r>
      <w:r w:rsidR="00A07A60" w:rsidRPr="0008182B">
        <w:rPr>
          <w:rFonts w:asciiTheme="minorHAnsi" w:eastAsiaTheme="minorEastAsia" w:hAnsiTheme="minorHAnsi"/>
          <w:lang w:eastAsia="zh-CN"/>
        </w:rPr>
        <w:t xml:space="preserve">lternative </w:t>
      </w:r>
      <w:r w:rsidR="00A07A60" w:rsidRPr="0008182B">
        <w:rPr>
          <w:rFonts w:asciiTheme="minorHAnsi" w:hAnsiTheme="minorHAnsi"/>
        </w:rPr>
        <w:t>efficacy</w:t>
      </w:r>
      <w:r w:rsidR="00A07A60" w:rsidRPr="0008182B">
        <w:rPr>
          <w:rFonts w:asciiTheme="minorHAnsi" w:eastAsiaTheme="minorEastAsia" w:hAnsiTheme="minorHAnsi"/>
          <w:lang w:eastAsia="zh-CN"/>
        </w:rPr>
        <w:t xml:space="preserve"> estimates were obtained </w:t>
      </w:r>
      <w:r w:rsidR="006E5923">
        <w:rPr>
          <w:rFonts w:asciiTheme="minorHAnsi" w:eastAsiaTheme="minorEastAsia" w:hAnsiTheme="minorHAnsi"/>
          <w:lang w:eastAsia="zh-CN"/>
        </w:rPr>
        <w:t xml:space="preserve">from </w:t>
      </w:r>
      <w:r w:rsidR="00A07A60" w:rsidRPr="0008182B">
        <w:rPr>
          <w:rFonts w:asciiTheme="minorHAnsi" w:eastAsiaTheme="minorEastAsia" w:hAnsiTheme="minorHAnsi"/>
          <w:lang w:eastAsia="zh-CN"/>
        </w:rPr>
        <w:t>a meta-analysis of trials that enrolled primary, secondary or mixed prevention population</w:t>
      </w:r>
      <w:r w:rsidR="00174DDF">
        <w:rPr>
          <w:rFonts w:asciiTheme="minorHAnsi" w:eastAsiaTheme="minorEastAsia" w:hAnsiTheme="minorHAnsi"/>
          <w:lang w:eastAsia="zh-CN"/>
        </w:rPr>
        <w:t>s</w:t>
      </w:r>
      <w:r w:rsidR="00A07A60" w:rsidRPr="0008182B">
        <w:rPr>
          <w:rFonts w:asciiTheme="minorHAnsi" w:eastAsiaTheme="minorEastAsia" w:hAnsiTheme="minorHAnsi"/>
          <w:lang w:eastAsia="zh-CN"/>
        </w:rPr>
        <w:t xml:space="preserve">, all receiving second-line treatment with ezetimibe </w:t>
      </w:r>
      <w:r w:rsidR="00095BB9">
        <w:rPr>
          <w:rFonts w:asciiTheme="minorHAnsi" w:eastAsiaTheme="minorEastAsia" w:hAnsiTheme="minorHAnsi"/>
          <w:lang w:eastAsia="zh-CN"/>
        </w:rPr>
        <w:t xml:space="preserve">plus </w:t>
      </w:r>
      <w:r w:rsidR="00A07A60" w:rsidRPr="0008182B">
        <w:rPr>
          <w:rFonts w:asciiTheme="minorHAnsi" w:eastAsiaTheme="minorEastAsia" w:hAnsiTheme="minorHAnsi"/>
          <w:lang w:eastAsia="zh-CN"/>
        </w:rPr>
        <w:t>statin (intervention) versus up-titrated statin</w:t>
      </w:r>
      <w:r w:rsidR="00095BB9">
        <w:rPr>
          <w:rFonts w:asciiTheme="minorHAnsi" w:eastAsiaTheme="minorEastAsia" w:hAnsiTheme="minorHAnsi"/>
          <w:lang w:eastAsia="zh-CN"/>
        </w:rPr>
        <w:t xml:space="preserve"> </w:t>
      </w:r>
      <w:r w:rsidR="00A07A60" w:rsidRPr="0008182B">
        <w:rPr>
          <w:rFonts w:asciiTheme="minorHAnsi" w:eastAsiaTheme="minorEastAsia" w:hAnsiTheme="minorHAnsi"/>
          <w:lang w:eastAsia="zh-CN"/>
        </w:rPr>
        <w:t xml:space="preserve">(control). This </w:t>
      </w:r>
      <w:r w:rsidR="00CE1B26" w:rsidRPr="00CE1B26">
        <w:rPr>
          <w:rFonts w:asciiTheme="minorHAnsi" w:eastAsiaTheme="minorEastAsia" w:hAnsiTheme="minorHAnsi"/>
          <w:i/>
          <w:lang w:eastAsia="zh-CN"/>
        </w:rPr>
        <w:t>ad hoc</w:t>
      </w:r>
      <w:r w:rsidR="00CE1B26">
        <w:rPr>
          <w:rFonts w:asciiTheme="minorHAnsi" w:eastAsiaTheme="minorEastAsia" w:hAnsiTheme="minorHAnsi"/>
          <w:lang w:eastAsia="zh-CN"/>
        </w:rPr>
        <w:t xml:space="preserve"> </w:t>
      </w:r>
      <w:r w:rsidR="00A07A60" w:rsidRPr="0008182B">
        <w:rPr>
          <w:rFonts w:asciiTheme="minorHAnsi" w:eastAsiaTheme="minorEastAsia" w:hAnsiTheme="minorHAnsi"/>
          <w:lang w:eastAsia="zh-CN"/>
        </w:rPr>
        <w:t xml:space="preserve">meta-analysis was conducted by the Deakin </w:t>
      </w:r>
      <w:r w:rsidR="006E5923">
        <w:rPr>
          <w:rFonts w:asciiTheme="minorHAnsi" w:eastAsiaTheme="minorEastAsia" w:hAnsiTheme="minorHAnsi"/>
          <w:lang w:eastAsia="zh-CN"/>
        </w:rPr>
        <w:t>Health E</w:t>
      </w:r>
      <w:r w:rsidR="00A07A60" w:rsidRPr="0008182B">
        <w:rPr>
          <w:rFonts w:asciiTheme="minorHAnsi" w:eastAsiaTheme="minorEastAsia" w:hAnsiTheme="minorHAnsi"/>
          <w:lang w:eastAsia="zh-CN"/>
        </w:rPr>
        <w:t xml:space="preserve">conomics team </w:t>
      </w:r>
      <w:r w:rsidR="00A07A60" w:rsidRPr="004529EF">
        <w:rPr>
          <w:rFonts w:asciiTheme="minorHAnsi" w:eastAsiaTheme="minorEastAsia" w:hAnsiTheme="minorHAnsi"/>
          <w:lang w:eastAsia="zh-CN"/>
        </w:rPr>
        <w:t xml:space="preserve">for the </w:t>
      </w:r>
      <w:r w:rsidR="00CE1B26">
        <w:rPr>
          <w:rFonts w:asciiTheme="minorHAnsi" w:eastAsiaTheme="minorEastAsia" w:hAnsiTheme="minorHAnsi"/>
          <w:lang w:eastAsia="zh-CN"/>
        </w:rPr>
        <w:t xml:space="preserve">sensitivity analysis of the modelled economic evaluation </w:t>
      </w:r>
      <w:r w:rsidR="00CE1B26" w:rsidRPr="0008637B">
        <w:rPr>
          <w:rFonts w:asciiTheme="minorHAnsi" w:eastAsiaTheme="minorEastAsia" w:hAnsiTheme="minorHAnsi"/>
          <w:lang w:eastAsia="zh-CN"/>
        </w:rPr>
        <w:t xml:space="preserve">presented by MSD in the 2016 submission for the </w:t>
      </w:r>
      <w:r w:rsidR="00A07A60" w:rsidRPr="0008637B">
        <w:rPr>
          <w:rFonts w:asciiTheme="minorHAnsi" w:eastAsiaTheme="minorEastAsia" w:hAnsiTheme="minorHAnsi"/>
          <w:lang w:eastAsia="zh-CN"/>
        </w:rPr>
        <w:t>post-market review</w:t>
      </w:r>
      <w:r w:rsidR="00244A73" w:rsidRPr="0008637B">
        <w:rPr>
          <w:rFonts w:asciiTheme="minorHAnsi" w:eastAsiaTheme="minorEastAsia" w:hAnsiTheme="minorHAnsi"/>
          <w:lang w:eastAsia="zh-CN"/>
        </w:rPr>
        <w:t xml:space="preserve"> (</w:t>
      </w:r>
      <w:r w:rsidR="00AA217D" w:rsidRPr="0008637B">
        <w:rPr>
          <w:rFonts w:asciiTheme="minorHAnsi" w:eastAsiaTheme="minorEastAsia" w:hAnsiTheme="minorHAnsi"/>
          <w:lang w:eastAsia="zh-CN"/>
        </w:rPr>
        <w:t xml:space="preserve">see </w:t>
      </w:r>
      <w:r w:rsidR="00244A73" w:rsidRPr="0008637B">
        <w:rPr>
          <w:rFonts w:asciiTheme="minorHAnsi" w:eastAsiaTheme="minorEastAsia" w:hAnsiTheme="minorHAnsi"/>
          <w:lang w:eastAsia="zh-CN"/>
        </w:rPr>
        <w:t>Appendix</w:t>
      </w:r>
      <w:r w:rsidR="00074D93" w:rsidRPr="0008637B">
        <w:rPr>
          <w:rFonts w:asciiTheme="minorHAnsi" w:eastAsiaTheme="minorEastAsia" w:hAnsiTheme="minorHAnsi"/>
          <w:lang w:eastAsia="zh-CN"/>
        </w:rPr>
        <w:t xml:space="preserve"> J</w:t>
      </w:r>
      <w:r w:rsidR="00DD7B96" w:rsidRPr="0008637B">
        <w:rPr>
          <w:rFonts w:asciiTheme="minorHAnsi" w:eastAsiaTheme="minorEastAsia" w:hAnsiTheme="minorHAnsi"/>
          <w:lang w:eastAsia="zh-CN"/>
        </w:rPr>
        <w:t xml:space="preserve">, </w:t>
      </w:r>
      <w:r w:rsidR="00AA217D" w:rsidRPr="0008637B">
        <w:rPr>
          <w:rFonts w:asciiTheme="minorHAnsi" w:eastAsiaTheme="minorEastAsia" w:hAnsiTheme="minorHAnsi"/>
          <w:lang w:eastAsia="zh-CN"/>
        </w:rPr>
        <w:t>p.21 Table 1.4 footnotes for the list of trials</w:t>
      </w:r>
      <w:r w:rsidR="00244A73" w:rsidRPr="0008637B">
        <w:rPr>
          <w:rFonts w:asciiTheme="minorHAnsi" w:eastAsiaTheme="minorEastAsia" w:hAnsiTheme="minorHAnsi"/>
          <w:lang w:eastAsia="zh-CN"/>
        </w:rPr>
        <w:t>)</w:t>
      </w:r>
      <w:r w:rsidR="00AA217D" w:rsidRPr="0008637B">
        <w:rPr>
          <w:rFonts w:asciiTheme="minorHAnsi" w:eastAsiaTheme="minorEastAsia" w:hAnsiTheme="minorHAnsi"/>
          <w:lang w:eastAsia="zh-CN"/>
        </w:rPr>
        <w:t>.</w:t>
      </w:r>
      <w:r w:rsidR="00A07A60" w:rsidRPr="004529EF">
        <w:rPr>
          <w:rFonts w:asciiTheme="minorHAnsi" w:eastAsiaTheme="minorEastAsia" w:hAnsiTheme="minorHAnsi"/>
          <w:lang w:eastAsia="zh-CN"/>
        </w:rPr>
        <w:t xml:space="preserve"> </w:t>
      </w:r>
      <w:r w:rsidR="00A07A60" w:rsidRPr="0008182B">
        <w:rPr>
          <w:rFonts w:asciiTheme="minorHAnsi" w:eastAsiaTheme="minorEastAsia" w:hAnsiTheme="minorHAnsi"/>
          <w:lang w:eastAsia="zh-CN"/>
        </w:rPr>
        <w:t>The ICER</w:t>
      </w:r>
      <w:r w:rsidR="0008182B" w:rsidRPr="0008182B">
        <w:rPr>
          <w:rFonts w:asciiTheme="minorHAnsi" w:eastAsiaTheme="minorEastAsia" w:hAnsiTheme="minorHAnsi"/>
          <w:lang w:eastAsia="zh-CN"/>
        </w:rPr>
        <w:t xml:space="preserve"> was found to be </w:t>
      </w:r>
      <w:r w:rsidR="00A07A60" w:rsidRPr="0008182B">
        <w:rPr>
          <w:rFonts w:asciiTheme="minorHAnsi" w:eastAsiaTheme="minorEastAsia" w:hAnsiTheme="minorHAnsi"/>
          <w:lang w:eastAsia="zh-CN"/>
        </w:rPr>
        <w:t>sensitive to the</w:t>
      </w:r>
      <w:r w:rsidR="00364FE8">
        <w:rPr>
          <w:rFonts w:asciiTheme="minorHAnsi" w:eastAsiaTheme="minorEastAsia" w:hAnsiTheme="minorHAnsi"/>
          <w:lang w:eastAsia="zh-CN"/>
        </w:rPr>
        <w:t xml:space="preserve"> </w:t>
      </w:r>
      <w:r w:rsidR="00CE1B26">
        <w:rPr>
          <w:rFonts w:asciiTheme="minorHAnsi" w:eastAsiaTheme="minorEastAsia" w:hAnsiTheme="minorHAnsi"/>
          <w:lang w:eastAsia="zh-CN"/>
        </w:rPr>
        <w:t xml:space="preserve">variation in </w:t>
      </w:r>
      <w:r w:rsidR="00A07A60" w:rsidRPr="0008182B">
        <w:rPr>
          <w:rFonts w:asciiTheme="minorHAnsi" w:eastAsiaTheme="minorEastAsia" w:hAnsiTheme="minorHAnsi"/>
          <w:lang w:eastAsia="zh-CN"/>
        </w:rPr>
        <w:t>efficacy estimates</w:t>
      </w:r>
      <w:r w:rsidR="00CE1B26">
        <w:rPr>
          <w:rFonts w:asciiTheme="minorHAnsi" w:eastAsiaTheme="minorEastAsia" w:hAnsiTheme="minorHAnsi"/>
          <w:lang w:eastAsia="zh-CN"/>
        </w:rPr>
        <w:t xml:space="preserve">. Reduction in </w:t>
      </w:r>
      <w:r w:rsidR="00A07A60" w:rsidRPr="0008182B">
        <w:rPr>
          <w:rFonts w:asciiTheme="minorHAnsi" w:eastAsiaTheme="minorEastAsia" w:hAnsiTheme="minorHAnsi"/>
          <w:lang w:eastAsia="zh-CN"/>
        </w:rPr>
        <w:t>TC:</w:t>
      </w:r>
      <w:r w:rsidR="00095BB9">
        <w:rPr>
          <w:rFonts w:asciiTheme="minorHAnsi" w:eastAsiaTheme="minorEastAsia" w:hAnsiTheme="minorHAnsi"/>
          <w:lang w:eastAsia="zh-CN"/>
        </w:rPr>
        <w:t xml:space="preserve"> </w:t>
      </w:r>
      <w:r w:rsidR="00A07A60" w:rsidRPr="0008182B">
        <w:rPr>
          <w:rFonts w:asciiTheme="minorHAnsi" w:eastAsiaTheme="minorEastAsia" w:hAnsiTheme="minorHAnsi"/>
          <w:lang w:eastAsia="zh-CN"/>
        </w:rPr>
        <w:t xml:space="preserve">HDL </w:t>
      </w:r>
      <w:r w:rsidR="00CE1B26">
        <w:rPr>
          <w:rFonts w:asciiTheme="minorHAnsi" w:eastAsiaTheme="minorEastAsia" w:hAnsiTheme="minorHAnsi"/>
          <w:lang w:eastAsia="zh-CN"/>
        </w:rPr>
        <w:t>ratios of -</w:t>
      </w:r>
      <w:r w:rsidR="00A07A60" w:rsidRPr="0008182B">
        <w:rPr>
          <w:rFonts w:asciiTheme="minorHAnsi" w:eastAsiaTheme="minorEastAsia" w:hAnsiTheme="minorHAnsi"/>
          <w:lang w:eastAsia="zh-CN"/>
        </w:rPr>
        <w:t>18.84% v</w:t>
      </w:r>
      <w:r w:rsidR="00CE1B26">
        <w:rPr>
          <w:rFonts w:asciiTheme="minorHAnsi" w:eastAsiaTheme="minorEastAsia" w:hAnsiTheme="minorHAnsi"/>
          <w:lang w:eastAsia="zh-CN"/>
        </w:rPr>
        <w:t>ersus -</w:t>
      </w:r>
      <w:r w:rsidR="00A07A60" w:rsidRPr="0008182B">
        <w:rPr>
          <w:rFonts w:asciiTheme="minorHAnsi" w:eastAsiaTheme="minorEastAsia" w:hAnsiTheme="minorHAnsi"/>
          <w:lang w:eastAsia="zh-CN"/>
        </w:rPr>
        <w:t xml:space="preserve">9.65%) </w:t>
      </w:r>
      <w:r w:rsidR="00CE1B26">
        <w:rPr>
          <w:rFonts w:asciiTheme="minorHAnsi" w:eastAsiaTheme="minorEastAsia" w:hAnsiTheme="minorHAnsi"/>
          <w:lang w:eastAsia="zh-CN"/>
        </w:rPr>
        <w:t xml:space="preserve">in the intervention and comparator arms respectively produced the </w:t>
      </w:r>
      <w:r w:rsidR="00A07A60" w:rsidRPr="0008182B">
        <w:rPr>
          <w:rFonts w:asciiTheme="minorHAnsi" w:eastAsiaTheme="minorEastAsia" w:hAnsiTheme="minorHAnsi"/>
          <w:lang w:eastAsia="zh-CN"/>
        </w:rPr>
        <w:t xml:space="preserve">ICER </w:t>
      </w:r>
      <w:r w:rsidR="00CE1B26">
        <w:rPr>
          <w:rFonts w:asciiTheme="minorHAnsi" w:eastAsiaTheme="minorEastAsia" w:hAnsiTheme="minorHAnsi"/>
          <w:lang w:eastAsia="zh-CN"/>
        </w:rPr>
        <w:t xml:space="preserve">estimates that </w:t>
      </w:r>
      <w:r w:rsidR="006E5923">
        <w:rPr>
          <w:rFonts w:asciiTheme="minorHAnsi" w:eastAsiaTheme="minorEastAsia" w:hAnsiTheme="minorHAnsi"/>
          <w:lang w:eastAsia="zh-CN"/>
        </w:rPr>
        <w:t>almost double across all time periods</w:t>
      </w:r>
      <w:r w:rsidR="0008182B" w:rsidRPr="0008182B">
        <w:rPr>
          <w:rFonts w:asciiTheme="minorHAnsi" w:eastAsiaTheme="minorEastAsia" w:hAnsiTheme="minorHAnsi"/>
          <w:lang w:eastAsia="zh-CN"/>
        </w:rPr>
        <w:t xml:space="preserve"> </w:t>
      </w:r>
      <w:r w:rsidR="00CE1B26">
        <w:rPr>
          <w:rFonts w:asciiTheme="minorHAnsi" w:eastAsiaTheme="minorEastAsia" w:hAnsiTheme="minorHAnsi"/>
          <w:lang w:eastAsia="zh-CN"/>
        </w:rPr>
        <w:t>in comparison to the ICER estimates based on the TC:HDL ratios presented in the MSD submission</w:t>
      </w:r>
      <w:r w:rsidR="0008182B" w:rsidRPr="00ED5376">
        <w:rPr>
          <w:rFonts w:asciiTheme="minorHAnsi" w:eastAsiaTheme="minorEastAsia" w:hAnsiTheme="minorHAnsi"/>
          <w:lang w:eastAsia="zh-CN"/>
        </w:rPr>
        <w:t>(</w:t>
      </w:r>
      <w:r w:rsidR="00174DDF" w:rsidRPr="00ED5376">
        <w:rPr>
          <w:rFonts w:asciiTheme="minorHAnsi" w:eastAsiaTheme="minorEastAsia" w:hAnsiTheme="minorHAnsi"/>
          <w:lang w:eastAsia="zh-CN"/>
        </w:rPr>
        <w:t xml:space="preserve">Appendix J </w:t>
      </w:r>
      <w:r w:rsidR="00AA217D">
        <w:rPr>
          <w:rFonts w:asciiTheme="minorHAnsi" w:eastAsiaTheme="minorEastAsia" w:hAnsiTheme="minorHAnsi"/>
          <w:lang w:eastAsia="zh-CN"/>
        </w:rPr>
        <w:t xml:space="preserve">Figure 1.2.4 </w:t>
      </w:r>
      <w:r w:rsidR="00ED5376" w:rsidRPr="00ED5376">
        <w:rPr>
          <w:rFonts w:asciiTheme="minorHAnsi" w:eastAsiaTheme="minorEastAsia" w:hAnsiTheme="minorHAnsi"/>
          <w:lang w:eastAsia="zh-CN"/>
        </w:rPr>
        <w:t>, p.2</w:t>
      </w:r>
      <w:r w:rsidR="00AA217D">
        <w:rPr>
          <w:rFonts w:asciiTheme="minorHAnsi" w:eastAsiaTheme="minorEastAsia" w:hAnsiTheme="minorHAnsi"/>
          <w:lang w:eastAsia="zh-CN"/>
        </w:rPr>
        <w:t>2</w:t>
      </w:r>
      <w:r w:rsidR="00174DDF" w:rsidRPr="00ED5376">
        <w:rPr>
          <w:rFonts w:asciiTheme="minorHAnsi" w:eastAsiaTheme="minorEastAsia" w:hAnsiTheme="minorHAnsi"/>
          <w:lang w:eastAsia="zh-CN"/>
        </w:rPr>
        <w:t>)</w:t>
      </w:r>
      <w:r w:rsidR="0008182B" w:rsidRPr="00ED5376">
        <w:rPr>
          <w:rFonts w:asciiTheme="minorHAnsi" w:eastAsiaTheme="minorEastAsia" w:hAnsiTheme="minorHAnsi"/>
          <w:lang w:eastAsia="zh-CN"/>
        </w:rPr>
        <w:t>.</w:t>
      </w:r>
      <w:r w:rsidR="0008182B" w:rsidRPr="0008182B">
        <w:rPr>
          <w:rFonts w:asciiTheme="minorHAnsi" w:eastAsiaTheme="minorEastAsia" w:hAnsiTheme="minorHAnsi"/>
          <w:lang w:eastAsia="zh-CN"/>
        </w:rPr>
        <w:t xml:space="preserve"> </w:t>
      </w:r>
    </w:p>
    <w:p w:rsidR="009D0B06" w:rsidRPr="002423A4" w:rsidRDefault="0039666F">
      <w:pPr>
        <w:pStyle w:val="CommentText"/>
        <w:rPr>
          <w:rFonts w:asciiTheme="minorHAnsi" w:hAnsiTheme="minorHAnsi"/>
          <w:sz w:val="24"/>
          <w:szCs w:val="22"/>
        </w:rPr>
      </w:pPr>
      <w:r w:rsidRPr="002423A4">
        <w:rPr>
          <w:rFonts w:asciiTheme="minorHAnsi" w:hAnsiTheme="minorHAnsi"/>
          <w:sz w:val="24"/>
          <w:szCs w:val="22"/>
        </w:rPr>
        <w:t xml:space="preserve">The Reference Group noted the Economic Sub-Committee advice that due to applicability issues an economic model based on the results of IMPROVE-IT would not provide a </w:t>
      </w:r>
      <w:r w:rsidR="002423A4">
        <w:rPr>
          <w:rFonts w:asciiTheme="minorHAnsi" w:hAnsiTheme="minorHAnsi"/>
          <w:sz w:val="24"/>
          <w:szCs w:val="22"/>
        </w:rPr>
        <w:t xml:space="preserve">more </w:t>
      </w:r>
      <w:r w:rsidRPr="002423A4">
        <w:rPr>
          <w:rFonts w:asciiTheme="minorHAnsi" w:hAnsiTheme="minorHAnsi"/>
          <w:sz w:val="24"/>
          <w:szCs w:val="22"/>
        </w:rPr>
        <w:t>reasonable estimate of the cost</w:t>
      </w:r>
      <w:r w:rsidR="00216B38">
        <w:rPr>
          <w:rFonts w:asciiTheme="minorHAnsi" w:hAnsiTheme="minorHAnsi"/>
          <w:sz w:val="24"/>
          <w:szCs w:val="22"/>
        </w:rPr>
        <w:t>-</w:t>
      </w:r>
      <w:r w:rsidRPr="002423A4">
        <w:rPr>
          <w:rFonts w:asciiTheme="minorHAnsi" w:hAnsiTheme="minorHAnsi"/>
          <w:sz w:val="24"/>
          <w:szCs w:val="22"/>
        </w:rPr>
        <w:t>effectiveness of current ezetimibe use on the PBS.</w:t>
      </w:r>
    </w:p>
    <w:p w:rsidR="00C41B1C" w:rsidRPr="002423A4" w:rsidRDefault="0004772E">
      <w:pPr>
        <w:spacing w:before="240" w:line="240" w:lineRule="auto"/>
        <w:rPr>
          <w:rFonts w:asciiTheme="minorHAnsi" w:eastAsia="Calibri" w:hAnsiTheme="minorHAnsi" w:cs="Times New Roman"/>
          <w:szCs w:val="24"/>
        </w:rPr>
      </w:pPr>
      <w:r w:rsidRPr="002423A4">
        <w:rPr>
          <w:rFonts w:asciiTheme="minorHAnsi" w:eastAsia="Calibri" w:hAnsiTheme="minorHAnsi" w:cs="Times New Roman"/>
          <w:szCs w:val="24"/>
        </w:rPr>
        <w:lastRenderedPageBreak/>
        <w:t xml:space="preserve">Current use of ezetimibe in patients who have not received maximally tolerated doses of statins may be clinically appropriate but has not been shown to be cost–effective. The </w:t>
      </w:r>
      <w:r w:rsidR="00680184" w:rsidRPr="002423A4">
        <w:rPr>
          <w:rFonts w:asciiTheme="minorHAnsi" w:eastAsia="Calibri" w:hAnsiTheme="minorHAnsi" w:cs="Times New Roman"/>
          <w:szCs w:val="24"/>
        </w:rPr>
        <w:t>PBAC has considered economic evaluations for ezetimibe where the comparator is a non-statin LLT or placebo. In considering the current cost</w:t>
      </w:r>
      <w:r w:rsidR="00216B38">
        <w:rPr>
          <w:rFonts w:asciiTheme="minorHAnsi" w:eastAsia="Calibri" w:hAnsiTheme="minorHAnsi" w:cs="Times New Roman"/>
          <w:szCs w:val="24"/>
        </w:rPr>
        <w:t>-</w:t>
      </w:r>
      <w:r w:rsidR="00680184" w:rsidRPr="002423A4">
        <w:rPr>
          <w:rFonts w:asciiTheme="minorHAnsi" w:eastAsia="Calibri" w:hAnsiTheme="minorHAnsi" w:cs="Times New Roman"/>
          <w:szCs w:val="24"/>
        </w:rPr>
        <w:t xml:space="preserve">effectiveness of ezetimibe, the Reference Group agreed that </w:t>
      </w:r>
      <w:r w:rsidRPr="002423A4">
        <w:rPr>
          <w:rFonts w:asciiTheme="minorHAnsi" w:eastAsia="Calibri" w:hAnsiTheme="minorHAnsi" w:cs="Times New Roman"/>
          <w:szCs w:val="24"/>
        </w:rPr>
        <w:t xml:space="preserve">for a proportion of use in the range </w:t>
      </w:r>
      <w:r w:rsidRPr="002423A4">
        <w:rPr>
          <w:rFonts w:asciiTheme="minorHAnsi" w:hAnsiTheme="minorHAnsi" w:cs="Arial"/>
          <w:szCs w:val="24"/>
        </w:rPr>
        <w:t xml:space="preserve">18% - 53.2% </w:t>
      </w:r>
      <w:r w:rsidR="00680184" w:rsidRPr="002423A4">
        <w:rPr>
          <w:rFonts w:asciiTheme="minorHAnsi" w:eastAsia="Calibri" w:hAnsiTheme="minorHAnsi" w:cs="Times New Roman"/>
          <w:szCs w:val="24"/>
        </w:rPr>
        <w:t>the appropriate comparator would be maximum tolerated doses of statin or switching to a statin of higher potency.</w:t>
      </w:r>
      <w:r w:rsidR="00104FD5" w:rsidRPr="002423A4">
        <w:rPr>
          <w:rFonts w:asciiTheme="minorHAnsi" w:eastAsia="Calibri" w:hAnsiTheme="minorHAnsi" w:cs="Times New Roman"/>
          <w:szCs w:val="24"/>
        </w:rPr>
        <w:t xml:space="preserve"> </w:t>
      </w:r>
    </w:p>
    <w:p w:rsidR="00577BB3" w:rsidRPr="002423A4" w:rsidRDefault="00577BB3">
      <w:pPr>
        <w:pStyle w:val="ListParagraph"/>
        <w:spacing w:line="240" w:lineRule="auto"/>
        <w:ind w:left="0"/>
        <w:contextualSpacing w:val="0"/>
        <w:rPr>
          <w:rFonts w:asciiTheme="minorHAnsi" w:eastAsia="Calibri" w:hAnsiTheme="minorHAnsi" w:cs="Times New Roman"/>
        </w:rPr>
      </w:pPr>
      <w:r w:rsidRPr="002423A4">
        <w:rPr>
          <w:rFonts w:asciiTheme="minorHAnsi" w:eastAsia="Calibri" w:hAnsiTheme="minorHAnsi" w:cs="Times New Roman"/>
        </w:rPr>
        <w:t>Therefore, a weighted comparison with a proportion of use compared to up-titration of statin dose/switching to a higher potency statin and a proportion of use compared to placebo/non statin LLT may be one way to estimate the cost-effectiveness of ezetimibe in current practice.</w:t>
      </w:r>
    </w:p>
    <w:p w:rsidR="0000686B" w:rsidRPr="00736E4A" w:rsidRDefault="0000686B">
      <w:pPr>
        <w:spacing w:before="240" w:line="240" w:lineRule="auto"/>
        <w:rPr>
          <w:rFonts w:asciiTheme="minorHAnsi" w:eastAsia="Calibri" w:hAnsiTheme="minorHAnsi" w:cs="Times New Roman"/>
          <w:b/>
          <w:i/>
          <w:szCs w:val="24"/>
        </w:rPr>
      </w:pPr>
      <w:r w:rsidRPr="00736E4A">
        <w:rPr>
          <w:rFonts w:asciiTheme="minorHAnsi" w:eastAsia="Calibri" w:hAnsiTheme="minorHAnsi" w:cs="Times New Roman"/>
          <w:b/>
          <w:i/>
          <w:szCs w:val="24"/>
        </w:rPr>
        <w:t xml:space="preserve">Review Advice to the PBAC </w:t>
      </w:r>
    </w:p>
    <w:p w:rsidR="00334176" w:rsidRPr="00364FE8" w:rsidRDefault="00334176">
      <w:pPr>
        <w:pStyle w:val="ListParagraph"/>
        <w:numPr>
          <w:ilvl w:val="0"/>
          <w:numId w:val="40"/>
        </w:numPr>
        <w:spacing w:before="240" w:after="0" w:line="240" w:lineRule="auto"/>
        <w:ind w:left="567" w:hanging="578"/>
        <w:rPr>
          <w:rFonts w:asciiTheme="minorHAnsi" w:eastAsia="Calibri" w:hAnsiTheme="minorHAnsi" w:cs="Times New Roman"/>
          <w:b/>
          <w:i/>
          <w:sz w:val="28"/>
          <w:szCs w:val="28"/>
        </w:rPr>
      </w:pPr>
      <w:r w:rsidRPr="00364FE8">
        <w:rPr>
          <w:rFonts w:asciiTheme="minorHAnsi" w:hAnsiTheme="minorHAnsi"/>
        </w:rPr>
        <w:t>Recent literature suggests significant benefit from ezetimibe is restricted to those patients in the highest category of cardiovascular risk</w:t>
      </w:r>
      <w:r w:rsidR="00773EEE" w:rsidRPr="00364FE8">
        <w:rPr>
          <w:rFonts w:asciiTheme="minorHAnsi" w:hAnsiTheme="minorHAnsi"/>
        </w:rPr>
        <w:t xml:space="preserve"> and t</w:t>
      </w:r>
      <w:r w:rsidR="00104FD5" w:rsidRPr="00364FE8">
        <w:rPr>
          <w:rFonts w:asciiTheme="minorHAnsi" w:hAnsiTheme="minorHAnsi"/>
        </w:rPr>
        <w:t xml:space="preserve">he </w:t>
      </w:r>
      <w:r w:rsidRPr="00364FE8">
        <w:rPr>
          <w:rFonts w:asciiTheme="minorHAnsi" w:hAnsiTheme="minorHAnsi"/>
        </w:rPr>
        <w:t xml:space="preserve">magnitude of LDL-C reduction </w:t>
      </w:r>
      <w:r w:rsidR="00104FD5" w:rsidRPr="00364FE8">
        <w:rPr>
          <w:rFonts w:asciiTheme="minorHAnsi" w:hAnsiTheme="minorHAnsi"/>
        </w:rPr>
        <w:t xml:space="preserve">is smaller than that achieved by </w:t>
      </w:r>
      <w:r w:rsidRPr="00364FE8">
        <w:rPr>
          <w:rFonts w:asciiTheme="minorHAnsi" w:hAnsiTheme="minorHAnsi"/>
        </w:rPr>
        <w:t>statins</w:t>
      </w:r>
      <w:r w:rsidR="00104FD5" w:rsidRPr="00364FE8">
        <w:rPr>
          <w:rFonts w:asciiTheme="minorHAnsi" w:hAnsiTheme="minorHAnsi"/>
        </w:rPr>
        <w:t xml:space="preserve">. </w:t>
      </w:r>
      <w:r w:rsidRPr="00364FE8">
        <w:rPr>
          <w:rFonts w:asciiTheme="minorHAnsi" w:hAnsiTheme="minorHAnsi"/>
        </w:rPr>
        <w:t>This underlines the importance of restricting use of ezetimibe to second line following optimal use of statins and in those patients with very high risk</w:t>
      </w:r>
      <w:r w:rsidR="00EB0757">
        <w:rPr>
          <w:rFonts w:asciiTheme="minorHAnsi" w:hAnsiTheme="minorHAnsi"/>
        </w:rPr>
        <w:t>.</w:t>
      </w:r>
    </w:p>
    <w:p w:rsidR="005F5F53" w:rsidRDefault="0000686B">
      <w:pPr>
        <w:pStyle w:val="ListParagraph"/>
        <w:numPr>
          <w:ilvl w:val="0"/>
          <w:numId w:val="40"/>
        </w:numPr>
        <w:spacing w:after="120" w:line="240" w:lineRule="auto"/>
        <w:ind w:left="567" w:hanging="578"/>
        <w:contextualSpacing w:val="0"/>
        <w:rPr>
          <w:rFonts w:asciiTheme="minorHAnsi" w:hAnsiTheme="minorHAnsi"/>
        </w:rPr>
      </w:pPr>
      <w:r w:rsidRPr="002423A4">
        <w:rPr>
          <w:rFonts w:asciiTheme="minorHAnsi" w:hAnsiTheme="minorHAnsi"/>
        </w:rPr>
        <w:t>The base case Incremental Cost</w:t>
      </w:r>
      <w:r w:rsidR="00216B38">
        <w:rPr>
          <w:rFonts w:asciiTheme="minorHAnsi" w:hAnsiTheme="minorHAnsi"/>
        </w:rPr>
        <w:t>-</w:t>
      </w:r>
      <w:r w:rsidRPr="002423A4">
        <w:rPr>
          <w:rFonts w:asciiTheme="minorHAnsi" w:hAnsiTheme="minorHAnsi"/>
        </w:rPr>
        <w:t xml:space="preserve">Effectiveness Ratio (ICER) presented in the sponsor’s submission </w:t>
      </w:r>
      <w:r w:rsidR="00A40A17" w:rsidRPr="002423A4">
        <w:rPr>
          <w:rFonts w:asciiTheme="minorHAnsi" w:hAnsiTheme="minorHAnsi"/>
        </w:rPr>
        <w:t xml:space="preserve">is considered </w:t>
      </w:r>
      <w:r w:rsidRPr="002423A4">
        <w:rPr>
          <w:rFonts w:asciiTheme="minorHAnsi" w:hAnsiTheme="minorHAnsi"/>
        </w:rPr>
        <w:t>uncertain. This is because the approach used for extrapolating the benefits beyond the period of the trial follow-up is likely to have overestimated the incremental long</w:t>
      </w:r>
      <w:r w:rsidR="00F7627D">
        <w:rPr>
          <w:rFonts w:asciiTheme="minorHAnsi" w:hAnsiTheme="minorHAnsi"/>
        </w:rPr>
        <w:t>-</w:t>
      </w:r>
      <w:r w:rsidRPr="002423A4">
        <w:rPr>
          <w:rFonts w:asciiTheme="minorHAnsi" w:hAnsiTheme="minorHAnsi"/>
        </w:rPr>
        <w:t>term benefits associated with a combination of ezetimibe and a statin</w:t>
      </w:r>
      <w:r w:rsidR="005F5F53" w:rsidRPr="002423A4">
        <w:rPr>
          <w:rFonts w:asciiTheme="minorHAnsi" w:hAnsiTheme="minorHAnsi"/>
        </w:rPr>
        <w:t>.</w:t>
      </w:r>
    </w:p>
    <w:p w:rsidR="00CC14E7" w:rsidRPr="002423A4" w:rsidRDefault="0000686B">
      <w:pPr>
        <w:pStyle w:val="ListParagraph"/>
        <w:numPr>
          <w:ilvl w:val="0"/>
          <w:numId w:val="40"/>
        </w:numPr>
        <w:spacing w:after="120" w:line="240" w:lineRule="auto"/>
        <w:ind w:left="567" w:hanging="578"/>
        <w:rPr>
          <w:rFonts w:asciiTheme="minorHAnsi" w:eastAsia="Calibri" w:hAnsiTheme="minorHAnsi" w:cs="Times New Roman"/>
          <w:szCs w:val="24"/>
        </w:rPr>
      </w:pPr>
      <w:r w:rsidRPr="002423A4">
        <w:rPr>
          <w:rFonts w:asciiTheme="minorHAnsi" w:eastAsia="Calibri" w:hAnsiTheme="minorHAnsi" w:cs="Times New Roman"/>
          <w:szCs w:val="24"/>
        </w:rPr>
        <w:t>The evidence reporting on long</w:t>
      </w:r>
      <w:r w:rsidR="00F7627D">
        <w:rPr>
          <w:rFonts w:asciiTheme="minorHAnsi" w:eastAsia="Calibri" w:hAnsiTheme="minorHAnsi" w:cs="Times New Roman"/>
          <w:szCs w:val="24"/>
        </w:rPr>
        <w:t>-</w:t>
      </w:r>
      <w:r w:rsidRPr="002423A4">
        <w:rPr>
          <w:rFonts w:asciiTheme="minorHAnsi" w:eastAsia="Calibri" w:hAnsiTheme="minorHAnsi" w:cs="Times New Roman"/>
          <w:szCs w:val="24"/>
        </w:rPr>
        <w:t>term patient relevant outcomes casts uncertainty over the cost-effectiveness of ezetimibe in combination with statin versus statin monotherapy.</w:t>
      </w:r>
      <w:r w:rsidR="00CC14E7" w:rsidRPr="002423A4">
        <w:rPr>
          <w:rFonts w:asciiTheme="minorHAnsi" w:eastAsia="Calibri" w:hAnsiTheme="minorHAnsi" w:cs="Times New Roman"/>
          <w:szCs w:val="24"/>
        </w:rPr>
        <w:t xml:space="preserve"> This arises from the variability in estimates of clinical efficacy in terms of </w:t>
      </w:r>
      <w:r w:rsidR="00C17B2A">
        <w:rPr>
          <w:rFonts w:asciiTheme="minorHAnsi" w:eastAsia="Calibri" w:hAnsiTheme="minorHAnsi" w:cs="Times New Roman"/>
          <w:szCs w:val="24"/>
        </w:rPr>
        <w:t xml:space="preserve">the </w:t>
      </w:r>
      <w:r w:rsidR="00CC14E7" w:rsidRPr="002423A4">
        <w:rPr>
          <w:rFonts w:asciiTheme="minorHAnsi" w:eastAsia="Calibri" w:hAnsiTheme="minorHAnsi" w:cs="Times New Roman"/>
          <w:szCs w:val="24"/>
        </w:rPr>
        <w:t xml:space="preserve">TC: HDL ratio. Results of the economic evaluations previously considered by the PBAC and </w:t>
      </w:r>
      <w:r w:rsidR="00174DDF">
        <w:rPr>
          <w:rFonts w:asciiTheme="minorHAnsi" w:eastAsia="Calibri" w:hAnsiTheme="minorHAnsi" w:cs="Times New Roman"/>
          <w:szCs w:val="24"/>
        </w:rPr>
        <w:t>provided by the sponsor during the p</w:t>
      </w:r>
      <w:r w:rsidR="00B94AAC">
        <w:rPr>
          <w:rFonts w:asciiTheme="minorHAnsi" w:eastAsia="Calibri" w:hAnsiTheme="minorHAnsi" w:cs="Times New Roman"/>
          <w:szCs w:val="24"/>
        </w:rPr>
        <w:t>ost-</w:t>
      </w:r>
      <w:r w:rsidR="00CC14E7" w:rsidRPr="002423A4">
        <w:rPr>
          <w:rFonts w:asciiTheme="minorHAnsi" w:eastAsia="Calibri" w:hAnsiTheme="minorHAnsi" w:cs="Times New Roman"/>
          <w:szCs w:val="24"/>
        </w:rPr>
        <w:t>market review (including the sponsor’s model proposed to the Review versus the IMPROVE-IT trial outcomes) seem to overestimate the incremental long</w:t>
      </w:r>
      <w:r w:rsidR="00F7627D">
        <w:rPr>
          <w:rFonts w:asciiTheme="minorHAnsi" w:eastAsia="Calibri" w:hAnsiTheme="minorHAnsi" w:cs="Times New Roman"/>
          <w:szCs w:val="24"/>
        </w:rPr>
        <w:t>-</w:t>
      </w:r>
      <w:r w:rsidR="00CC14E7" w:rsidRPr="002423A4">
        <w:rPr>
          <w:rFonts w:asciiTheme="minorHAnsi" w:eastAsia="Calibri" w:hAnsiTheme="minorHAnsi" w:cs="Times New Roman"/>
          <w:szCs w:val="24"/>
        </w:rPr>
        <w:t xml:space="preserve">term benefits associated with a combination of ezetimibe and a statin. </w:t>
      </w:r>
    </w:p>
    <w:p w:rsidR="0026551F" w:rsidRPr="0063535D" w:rsidRDefault="0026551F">
      <w:pPr>
        <w:pStyle w:val="ListParagraph"/>
        <w:numPr>
          <w:ilvl w:val="0"/>
          <w:numId w:val="40"/>
        </w:numPr>
        <w:spacing w:after="120" w:line="240" w:lineRule="auto"/>
        <w:ind w:left="567" w:hanging="578"/>
        <w:contextualSpacing w:val="0"/>
        <w:rPr>
          <w:rFonts w:asciiTheme="minorHAnsi" w:hAnsiTheme="minorHAnsi"/>
        </w:rPr>
      </w:pPr>
      <w:r w:rsidRPr="0063535D">
        <w:rPr>
          <w:rFonts w:asciiTheme="minorHAnsi" w:hAnsiTheme="minorHAnsi"/>
        </w:rPr>
        <w:t>An economic model based on the results of the IMPROVE-IT trial would not provide a reasonable estimate of the cost</w:t>
      </w:r>
      <w:r w:rsidR="00216B38">
        <w:rPr>
          <w:rFonts w:asciiTheme="minorHAnsi" w:hAnsiTheme="minorHAnsi"/>
        </w:rPr>
        <w:t>-</w:t>
      </w:r>
      <w:r w:rsidRPr="0063535D">
        <w:rPr>
          <w:rFonts w:asciiTheme="minorHAnsi" w:hAnsiTheme="minorHAnsi"/>
        </w:rPr>
        <w:t>effectiveness of current ezetimibe use on the PBS due to applicability issues.</w:t>
      </w:r>
    </w:p>
    <w:p w:rsidR="0000686B" w:rsidRPr="0026551F" w:rsidRDefault="0000686B">
      <w:pPr>
        <w:pStyle w:val="ListParagraph"/>
        <w:numPr>
          <w:ilvl w:val="0"/>
          <w:numId w:val="40"/>
        </w:numPr>
        <w:spacing w:after="120" w:line="240" w:lineRule="auto"/>
        <w:ind w:left="567" w:hanging="578"/>
        <w:rPr>
          <w:rFonts w:asciiTheme="minorHAnsi" w:hAnsiTheme="minorHAnsi"/>
        </w:rPr>
      </w:pPr>
      <w:r w:rsidRPr="0026551F">
        <w:rPr>
          <w:rFonts w:asciiTheme="minorHAnsi" w:eastAsia="Calibri" w:hAnsiTheme="minorHAnsi" w:cs="Times New Roman"/>
          <w:szCs w:val="24"/>
        </w:rPr>
        <w:t>The Reference Group agreed in considering the cost-effectiveness of ezetimibe the</w:t>
      </w:r>
      <w:r w:rsidR="00397214">
        <w:rPr>
          <w:rFonts w:asciiTheme="minorHAnsi" w:eastAsia="Calibri" w:hAnsiTheme="minorHAnsi" w:cs="Times New Roman"/>
          <w:szCs w:val="24"/>
        </w:rPr>
        <w:t xml:space="preserve"> comparators include:</w:t>
      </w:r>
      <w:r w:rsidRPr="0026551F">
        <w:rPr>
          <w:rFonts w:asciiTheme="minorHAnsi" w:eastAsia="Calibri" w:hAnsiTheme="minorHAnsi" w:cs="Times New Roman"/>
          <w:szCs w:val="24"/>
        </w:rPr>
        <w:t xml:space="preserve"> </w:t>
      </w:r>
    </w:p>
    <w:p w:rsidR="0000686B" w:rsidRPr="002423A4" w:rsidRDefault="0000686B">
      <w:pPr>
        <w:pStyle w:val="ListParagraph"/>
        <w:numPr>
          <w:ilvl w:val="1"/>
          <w:numId w:val="40"/>
        </w:numPr>
        <w:spacing w:after="120" w:line="240" w:lineRule="auto"/>
        <w:contextualSpacing w:val="0"/>
        <w:rPr>
          <w:rFonts w:asciiTheme="minorHAnsi" w:eastAsia="Calibri" w:hAnsiTheme="minorHAnsi" w:cs="Times New Roman"/>
          <w:szCs w:val="24"/>
        </w:rPr>
      </w:pPr>
      <w:r w:rsidRPr="002423A4">
        <w:rPr>
          <w:rFonts w:asciiTheme="minorHAnsi" w:eastAsia="Calibri" w:hAnsiTheme="minorHAnsi" w:cs="Times New Roman"/>
          <w:szCs w:val="24"/>
        </w:rPr>
        <w:t>placebo</w:t>
      </w:r>
      <w:r w:rsidR="003062CF" w:rsidRPr="002423A4">
        <w:rPr>
          <w:rFonts w:asciiTheme="minorHAnsi" w:eastAsia="Calibri" w:hAnsiTheme="minorHAnsi" w:cs="Times New Roman"/>
          <w:szCs w:val="24"/>
        </w:rPr>
        <w:t>/</w:t>
      </w:r>
      <w:r w:rsidR="00C41B1C" w:rsidRPr="002423A4">
        <w:rPr>
          <w:rFonts w:asciiTheme="minorHAnsi" w:eastAsia="Calibri" w:hAnsiTheme="minorHAnsi" w:cs="Times New Roman"/>
          <w:szCs w:val="24"/>
        </w:rPr>
        <w:t>non statin LLT</w:t>
      </w:r>
      <w:r w:rsidRPr="002423A4">
        <w:rPr>
          <w:rFonts w:asciiTheme="minorHAnsi" w:eastAsia="Calibri" w:hAnsiTheme="minorHAnsi" w:cs="Times New Roman"/>
          <w:szCs w:val="24"/>
        </w:rPr>
        <w:t xml:space="preserve"> for those patients contraindicated to statins and</w:t>
      </w:r>
    </w:p>
    <w:p w:rsidR="0000686B" w:rsidRPr="0026551F" w:rsidRDefault="0000686B">
      <w:pPr>
        <w:pStyle w:val="ListParagraph"/>
        <w:numPr>
          <w:ilvl w:val="1"/>
          <w:numId w:val="40"/>
        </w:numPr>
        <w:spacing w:after="120" w:line="240" w:lineRule="auto"/>
        <w:rPr>
          <w:rFonts w:asciiTheme="minorHAnsi" w:eastAsia="Calibri" w:hAnsiTheme="minorHAnsi" w:cs="Times New Roman"/>
          <w:szCs w:val="24"/>
        </w:rPr>
      </w:pPr>
      <w:r w:rsidRPr="0026551F">
        <w:rPr>
          <w:rFonts w:asciiTheme="minorHAnsi" w:eastAsia="Calibri" w:hAnsiTheme="minorHAnsi" w:cs="Times New Roman"/>
          <w:szCs w:val="24"/>
        </w:rPr>
        <w:t xml:space="preserve">up-titration of statin to maximum tolerated dose/switching to a higher potency statin. </w:t>
      </w:r>
    </w:p>
    <w:p w:rsidR="0000686B" w:rsidRDefault="0000686B" w:rsidP="00514129">
      <w:pPr>
        <w:rPr>
          <w:rFonts w:asciiTheme="minorHAnsi" w:hAnsiTheme="minorHAnsi"/>
        </w:rPr>
      </w:pPr>
      <w:r>
        <w:rPr>
          <w:rFonts w:asciiTheme="minorHAnsi" w:hAnsiTheme="minorHAnsi"/>
        </w:rPr>
        <w:br w:type="page"/>
      </w:r>
    </w:p>
    <w:p w:rsidR="0000686B" w:rsidRPr="0083256E" w:rsidRDefault="0000686B" w:rsidP="00514129">
      <w:pPr>
        <w:pStyle w:val="Heading1"/>
        <w:spacing w:before="480" w:after="240" w:line="240" w:lineRule="auto"/>
        <w:rPr>
          <w:szCs w:val="40"/>
        </w:rPr>
      </w:pPr>
      <w:bookmarkStart w:id="19" w:name="_Toc482176919"/>
      <w:r w:rsidRPr="0083256E">
        <w:rPr>
          <w:szCs w:val="40"/>
        </w:rPr>
        <w:lastRenderedPageBreak/>
        <w:t>Report Structure</w:t>
      </w:r>
      <w:bookmarkEnd w:id="19"/>
    </w:p>
    <w:p w:rsidR="0000686B" w:rsidRPr="00514129" w:rsidRDefault="0000686B" w:rsidP="0051412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rPr>
          <w:rFonts w:asciiTheme="minorHAnsi" w:hAnsiTheme="minorHAnsi" w:cs="Calibri"/>
          <w:szCs w:val="24"/>
        </w:rPr>
      </w:pPr>
      <w:r w:rsidRPr="005A2287">
        <w:rPr>
          <w:rFonts w:asciiTheme="minorHAnsi" w:hAnsiTheme="minorHAnsi" w:cs="Calibri"/>
          <w:szCs w:val="24"/>
        </w:rPr>
        <w:t xml:space="preserve">This Report </w:t>
      </w:r>
      <w:r w:rsidR="00136A5C" w:rsidRPr="005A2287">
        <w:rPr>
          <w:rFonts w:asciiTheme="minorHAnsi" w:hAnsiTheme="minorHAnsi" w:cs="Calibri"/>
          <w:szCs w:val="24"/>
        </w:rPr>
        <w:t xml:space="preserve">contains a background chapter and </w:t>
      </w:r>
      <w:r w:rsidRPr="005A2287">
        <w:rPr>
          <w:rFonts w:asciiTheme="minorHAnsi" w:hAnsiTheme="minorHAnsi" w:cs="Calibri"/>
          <w:szCs w:val="24"/>
        </w:rPr>
        <w:t xml:space="preserve">three separate sections to address </w:t>
      </w:r>
      <w:r w:rsidR="00136A5C" w:rsidRPr="005A2287">
        <w:rPr>
          <w:rFonts w:asciiTheme="minorHAnsi" w:hAnsiTheme="minorHAnsi" w:cs="Calibri"/>
          <w:szCs w:val="24"/>
        </w:rPr>
        <w:t>each of the Terms of Reference. Updates to this report following PBAC sub-committee consideration, Reference Group meeting 4 and stakeholder comments have been included and shaded within the body of this report.</w:t>
      </w:r>
      <w:r w:rsidRPr="005A2287">
        <w:rPr>
          <w:rFonts w:asciiTheme="minorHAnsi" w:hAnsiTheme="minorHAnsi" w:cs="Calibri"/>
          <w:szCs w:val="24"/>
        </w:rPr>
        <w:t xml:space="preserve"> </w:t>
      </w:r>
    </w:p>
    <w:p w:rsidR="0000686B" w:rsidRPr="00514129" w:rsidRDefault="0000686B" w:rsidP="0051412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rPr>
          <w:rFonts w:asciiTheme="minorHAnsi" w:hAnsiTheme="minorHAnsi" w:cs="Calibri"/>
          <w:szCs w:val="24"/>
        </w:rPr>
      </w:pPr>
    </w:p>
    <w:p w:rsidR="0000686B" w:rsidRPr="00514129" w:rsidRDefault="0000686B" w:rsidP="0051412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rPr>
          <w:rFonts w:asciiTheme="minorHAnsi" w:hAnsiTheme="minorHAnsi" w:cs="Calibri"/>
          <w:b/>
          <w:szCs w:val="24"/>
        </w:rPr>
      </w:pPr>
      <w:r w:rsidRPr="00514129">
        <w:rPr>
          <w:rFonts w:asciiTheme="minorHAnsi" w:hAnsiTheme="minorHAnsi" w:cs="Calibri"/>
          <w:b/>
          <w:szCs w:val="24"/>
        </w:rPr>
        <w:t>Backg</w:t>
      </w:r>
      <w:r w:rsidR="00DA7A17" w:rsidRPr="00514129">
        <w:rPr>
          <w:rFonts w:asciiTheme="minorHAnsi" w:hAnsiTheme="minorHAnsi" w:cs="Calibri"/>
          <w:b/>
          <w:szCs w:val="24"/>
        </w:rPr>
        <w:t>r</w:t>
      </w:r>
      <w:r w:rsidRPr="00514129">
        <w:rPr>
          <w:rFonts w:asciiTheme="minorHAnsi" w:hAnsiTheme="minorHAnsi" w:cs="Calibri"/>
          <w:b/>
          <w:szCs w:val="24"/>
        </w:rPr>
        <w:t xml:space="preserve">ound </w:t>
      </w:r>
    </w:p>
    <w:p w:rsidR="0000686B" w:rsidRPr="00514129" w:rsidRDefault="00B94AAC" w:rsidP="0051412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rPr>
          <w:rFonts w:asciiTheme="minorHAnsi" w:hAnsiTheme="minorHAnsi" w:cs="Calibri"/>
          <w:szCs w:val="24"/>
        </w:rPr>
      </w:pPr>
      <w:r>
        <w:rPr>
          <w:rFonts w:asciiTheme="minorHAnsi" w:hAnsiTheme="minorHAnsi" w:cs="Calibri"/>
          <w:szCs w:val="24"/>
        </w:rPr>
        <w:t>Provides the context for post-</w:t>
      </w:r>
      <w:r w:rsidR="0000686B" w:rsidRPr="00514129">
        <w:rPr>
          <w:rFonts w:asciiTheme="minorHAnsi" w:hAnsiTheme="minorHAnsi" w:cs="Calibri"/>
          <w:szCs w:val="24"/>
        </w:rPr>
        <w:t>market reviews, background information on the Ezetimibe Post-market Review, an explanation of dyslipidaemia as a risk factor for cardiovascular disease and background on assessment of cardiovascular disease risk.</w:t>
      </w:r>
    </w:p>
    <w:p w:rsidR="0000686B" w:rsidRPr="00514129" w:rsidRDefault="0000686B" w:rsidP="0051412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rPr>
          <w:rFonts w:asciiTheme="minorHAnsi" w:hAnsiTheme="minorHAnsi" w:cs="Calibri"/>
          <w:szCs w:val="24"/>
        </w:rPr>
      </w:pPr>
    </w:p>
    <w:p w:rsidR="0000686B" w:rsidRPr="00514129" w:rsidRDefault="0000686B" w:rsidP="0051412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rPr>
          <w:rFonts w:asciiTheme="minorHAnsi" w:hAnsiTheme="minorHAnsi" w:cs="Calibri"/>
          <w:b/>
          <w:szCs w:val="24"/>
        </w:rPr>
      </w:pPr>
      <w:r w:rsidRPr="00514129">
        <w:rPr>
          <w:rFonts w:asciiTheme="minorHAnsi" w:hAnsiTheme="minorHAnsi" w:cs="Calibri"/>
          <w:b/>
          <w:szCs w:val="24"/>
        </w:rPr>
        <w:t xml:space="preserve">Section </w:t>
      </w:r>
      <w:r w:rsidR="00AD0496" w:rsidRPr="00514129">
        <w:rPr>
          <w:rFonts w:asciiTheme="minorHAnsi" w:hAnsiTheme="minorHAnsi" w:cs="Calibri"/>
          <w:b/>
          <w:szCs w:val="24"/>
        </w:rPr>
        <w:t>1</w:t>
      </w:r>
      <w:r w:rsidR="00F1079D" w:rsidRPr="00514129">
        <w:rPr>
          <w:rFonts w:asciiTheme="minorHAnsi" w:hAnsiTheme="minorHAnsi" w:cs="Calibri"/>
          <w:b/>
          <w:szCs w:val="24"/>
        </w:rPr>
        <w:t xml:space="preserve"> </w:t>
      </w:r>
      <w:r w:rsidRPr="00514129">
        <w:rPr>
          <w:rFonts w:asciiTheme="minorHAnsi" w:hAnsiTheme="minorHAnsi" w:cs="Calibri"/>
          <w:b/>
          <w:szCs w:val="24"/>
        </w:rPr>
        <w:t xml:space="preserve">– Term of Reference 1: </w:t>
      </w:r>
    </w:p>
    <w:p w:rsidR="0000686B" w:rsidRPr="00666E3B" w:rsidRDefault="0000686B" w:rsidP="00666E3B">
      <w:pPr>
        <w:pBdr>
          <w:top w:val="single" w:sz="4" w:space="1" w:color="auto"/>
          <w:left w:val="single" w:sz="4" w:space="4" w:color="auto"/>
          <w:bottom w:val="single" w:sz="4" w:space="1" w:color="auto"/>
          <w:right w:val="single" w:sz="4" w:space="4" w:color="auto"/>
        </w:pBdr>
        <w:spacing w:line="240" w:lineRule="auto"/>
        <w:jc w:val="left"/>
        <w:rPr>
          <w:rFonts w:asciiTheme="minorHAnsi" w:hAnsiTheme="minorHAnsi" w:cs="Calibri"/>
          <w:szCs w:val="24"/>
          <w:highlight w:val="yellow"/>
        </w:rPr>
      </w:pPr>
      <w:r w:rsidRPr="00666E3B">
        <w:rPr>
          <w:rFonts w:asciiTheme="minorHAnsi" w:hAnsiTheme="minorHAnsi" w:cs="Calibri"/>
          <w:szCs w:val="24"/>
          <w:highlight w:val="yellow"/>
        </w:rPr>
        <w:t xml:space="preserve">Review current utilisation of Pharmaceutical Benefits Scheme (PBS) – listed ezetimibe and ezetimibe combination products. </w:t>
      </w:r>
    </w:p>
    <w:p w:rsidR="0000686B" w:rsidRPr="00666E3B" w:rsidRDefault="0000686B" w:rsidP="00666E3B">
      <w:pPr>
        <w:pBdr>
          <w:top w:val="single" w:sz="4" w:space="1" w:color="auto"/>
          <w:left w:val="single" w:sz="4" w:space="4" w:color="auto"/>
          <w:bottom w:val="single" w:sz="4" w:space="1" w:color="auto"/>
          <w:right w:val="single" w:sz="4" w:space="4" w:color="auto"/>
        </w:pBdr>
        <w:spacing w:line="240" w:lineRule="auto"/>
        <w:jc w:val="left"/>
        <w:rPr>
          <w:rFonts w:asciiTheme="minorHAnsi" w:hAnsiTheme="minorHAnsi" w:cs="Calibri"/>
          <w:szCs w:val="24"/>
          <w:highlight w:val="yellow"/>
        </w:rPr>
      </w:pPr>
      <w:r w:rsidRPr="00666E3B">
        <w:rPr>
          <w:rFonts w:asciiTheme="minorHAnsi" w:hAnsiTheme="minorHAnsi" w:cs="Calibri"/>
          <w:szCs w:val="24"/>
          <w:highlight w:val="yellow"/>
        </w:rPr>
        <w:t>Provides key findings, a summary of the utilisation analysis, key issues raised by stakeholders and Reference Group advice.</w:t>
      </w:r>
    </w:p>
    <w:p w:rsidR="00947AFC" w:rsidRPr="00514129" w:rsidRDefault="00947AFC" w:rsidP="0051412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rPr>
          <w:rFonts w:asciiTheme="minorHAnsi" w:hAnsiTheme="minorHAnsi" w:cs="Calibri"/>
          <w:szCs w:val="24"/>
        </w:rPr>
      </w:pPr>
    </w:p>
    <w:p w:rsidR="0000686B" w:rsidRPr="00514129" w:rsidRDefault="0000686B" w:rsidP="0051412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rPr>
          <w:rFonts w:asciiTheme="minorHAnsi" w:hAnsiTheme="minorHAnsi" w:cs="Calibri"/>
          <w:b/>
          <w:szCs w:val="24"/>
        </w:rPr>
      </w:pPr>
      <w:r w:rsidRPr="00514129">
        <w:rPr>
          <w:rFonts w:asciiTheme="minorHAnsi" w:hAnsiTheme="minorHAnsi" w:cs="Calibri"/>
          <w:b/>
          <w:szCs w:val="24"/>
        </w:rPr>
        <w:t xml:space="preserve">Section </w:t>
      </w:r>
      <w:r w:rsidR="00AD0496" w:rsidRPr="00514129">
        <w:rPr>
          <w:rFonts w:asciiTheme="minorHAnsi" w:hAnsiTheme="minorHAnsi" w:cs="Calibri"/>
          <w:b/>
          <w:szCs w:val="24"/>
        </w:rPr>
        <w:t>2</w:t>
      </w:r>
      <w:r w:rsidR="00F1079D" w:rsidRPr="00514129">
        <w:rPr>
          <w:rFonts w:asciiTheme="minorHAnsi" w:hAnsiTheme="minorHAnsi" w:cs="Calibri"/>
          <w:b/>
          <w:szCs w:val="24"/>
        </w:rPr>
        <w:t xml:space="preserve"> </w:t>
      </w:r>
      <w:r w:rsidRPr="00514129">
        <w:rPr>
          <w:rFonts w:asciiTheme="minorHAnsi" w:hAnsiTheme="minorHAnsi" w:cs="Calibri"/>
          <w:b/>
          <w:szCs w:val="24"/>
        </w:rPr>
        <w:t xml:space="preserve">– Term of Reference 2: </w:t>
      </w:r>
    </w:p>
    <w:p w:rsidR="0000686B" w:rsidRPr="00666E3B" w:rsidRDefault="0000686B" w:rsidP="00666E3B">
      <w:pPr>
        <w:pBdr>
          <w:top w:val="single" w:sz="4" w:space="1" w:color="auto"/>
          <w:left w:val="single" w:sz="4" w:space="4" w:color="auto"/>
          <w:bottom w:val="single" w:sz="4" w:space="1" w:color="auto"/>
          <w:right w:val="single" w:sz="4" w:space="4" w:color="auto"/>
        </w:pBdr>
        <w:spacing w:line="240" w:lineRule="auto"/>
        <w:jc w:val="left"/>
        <w:rPr>
          <w:rFonts w:asciiTheme="minorHAnsi" w:hAnsiTheme="minorHAnsi" w:cs="Calibri"/>
          <w:szCs w:val="24"/>
          <w:highlight w:val="yellow"/>
        </w:rPr>
      </w:pPr>
      <w:r w:rsidRPr="00666E3B">
        <w:rPr>
          <w:rFonts w:asciiTheme="minorHAnsi" w:hAnsiTheme="minorHAnsi" w:cs="Calibri"/>
          <w:szCs w:val="24"/>
          <w:highlight w:val="yellow"/>
        </w:rPr>
        <w:t xml:space="preserve">Review recent clinical guidelines for the treatment of hypercholesterolaemia and compare this to how ezetimibe is currently used on the PBS. </w:t>
      </w:r>
    </w:p>
    <w:p w:rsidR="0000686B" w:rsidRPr="00666E3B" w:rsidRDefault="0000686B" w:rsidP="00666E3B">
      <w:pPr>
        <w:pBdr>
          <w:top w:val="single" w:sz="4" w:space="1" w:color="auto"/>
          <w:left w:val="single" w:sz="4" w:space="4" w:color="auto"/>
          <w:bottom w:val="single" w:sz="4" w:space="1" w:color="auto"/>
          <w:right w:val="single" w:sz="4" w:space="4" w:color="auto"/>
        </w:pBdr>
        <w:spacing w:line="240" w:lineRule="auto"/>
        <w:jc w:val="left"/>
        <w:rPr>
          <w:rFonts w:asciiTheme="minorHAnsi" w:hAnsiTheme="minorHAnsi" w:cs="Calibri"/>
          <w:szCs w:val="24"/>
          <w:highlight w:val="yellow"/>
        </w:rPr>
      </w:pPr>
      <w:r w:rsidRPr="00666E3B">
        <w:rPr>
          <w:rFonts w:asciiTheme="minorHAnsi" w:hAnsiTheme="minorHAnsi" w:cs="Calibri"/>
          <w:szCs w:val="24"/>
          <w:highlight w:val="yellow"/>
        </w:rPr>
        <w:t>Provides key findings, a summary of the published evidence, key issues raised by stakeholders and Reference Group advice.</w:t>
      </w:r>
    </w:p>
    <w:p w:rsidR="00947AFC" w:rsidRPr="00514129" w:rsidRDefault="00947AFC" w:rsidP="0051412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rPr>
          <w:rFonts w:asciiTheme="minorHAnsi" w:hAnsiTheme="minorHAnsi" w:cs="Calibri"/>
          <w:szCs w:val="24"/>
        </w:rPr>
      </w:pPr>
    </w:p>
    <w:p w:rsidR="0000686B" w:rsidRPr="00514129" w:rsidRDefault="0000686B" w:rsidP="0051412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rPr>
          <w:rFonts w:asciiTheme="minorHAnsi" w:hAnsiTheme="minorHAnsi" w:cs="Calibri"/>
          <w:b/>
          <w:szCs w:val="24"/>
        </w:rPr>
      </w:pPr>
      <w:r w:rsidRPr="00514129">
        <w:rPr>
          <w:rFonts w:asciiTheme="minorHAnsi" w:hAnsiTheme="minorHAnsi" w:cs="Calibri"/>
          <w:b/>
          <w:szCs w:val="24"/>
        </w:rPr>
        <w:t xml:space="preserve">Section </w:t>
      </w:r>
      <w:r w:rsidR="00AD0496" w:rsidRPr="00514129">
        <w:rPr>
          <w:rFonts w:asciiTheme="minorHAnsi" w:hAnsiTheme="minorHAnsi" w:cs="Calibri"/>
          <w:b/>
          <w:szCs w:val="24"/>
        </w:rPr>
        <w:t>3</w:t>
      </w:r>
      <w:r w:rsidR="00F1079D" w:rsidRPr="00514129">
        <w:rPr>
          <w:rFonts w:asciiTheme="minorHAnsi" w:hAnsiTheme="minorHAnsi" w:cs="Calibri"/>
          <w:b/>
          <w:szCs w:val="24"/>
        </w:rPr>
        <w:t xml:space="preserve"> </w:t>
      </w:r>
      <w:r w:rsidRPr="00514129">
        <w:rPr>
          <w:rFonts w:asciiTheme="minorHAnsi" w:hAnsiTheme="minorHAnsi" w:cs="Calibri"/>
          <w:b/>
          <w:szCs w:val="24"/>
        </w:rPr>
        <w:t xml:space="preserve">– Term of Reference 3: </w:t>
      </w:r>
    </w:p>
    <w:p w:rsidR="0000686B" w:rsidRPr="00666E3B" w:rsidRDefault="0000686B" w:rsidP="00666E3B">
      <w:pPr>
        <w:pBdr>
          <w:top w:val="single" w:sz="4" w:space="1" w:color="auto"/>
          <w:left w:val="single" w:sz="4" w:space="4" w:color="auto"/>
          <w:bottom w:val="single" w:sz="4" w:space="1" w:color="auto"/>
          <w:right w:val="single" w:sz="4" w:space="4" w:color="auto"/>
        </w:pBdr>
        <w:spacing w:line="240" w:lineRule="auto"/>
        <w:jc w:val="left"/>
        <w:rPr>
          <w:rFonts w:asciiTheme="minorHAnsi" w:hAnsiTheme="minorHAnsi" w:cs="Calibri"/>
          <w:szCs w:val="24"/>
          <w:highlight w:val="yellow"/>
        </w:rPr>
      </w:pPr>
      <w:r w:rsidRPr="00666E3B">
        <w:rPr>
          <w:rFonts w:asciiTheme="minorHAnsi" w:hAnsiTheme="minorHAnsi" w:cs="Calibri"/>
          <w:szCs w:val="24"/>
          <w:highlight w:val="yellow"/>
        </w:rPr>
        <w:t>Collate and evaluate any recent clinical studies of ezetimibe that report on long</w:t>
      </w:r>
      <w:r w:rsidR="00F7627D">
        <w:rPr>
          <w:rFonts w:asciiTheme="minorHAnsi" w:hAnsiTheme="minorHAnsi" w:cs="Calibri"/>
          <w:szCs w:val="24"/>
          <w:highlight w:val="yellow"/>
        </w:rPr>
        <w:t>-</w:t>
      </w:r>
      <w:r w:rsidRPr="00666E3B">
        <w:rPr>
          <w:rFonts w:asciiTheme="minorHAnsi" w:hAnsiTheme="minorHAnsi" w:cs="Calibri"/>
          <w:szCs w:val="24"/>
          <w:highlight w:val="yellow"/>
        </w:rPr>
        <w:t>term patient relevant outcomes, and use this data to review the cost-effectiveness of ezetimibe.</w:t>
      </w:r>
    </w:p>
    <w:p w:rsidR="0000686B" w:rsidRPr="00666E3B" w:rsidRDefault="0000686B" w:rsidP="00666E3B">
      <w:pPr>
        <w:pBdr>
          <w:top w:val="single" w:sz="4" w:space="1" w:color="auto"/>
          <w:left w:val="single" w:sz="4" w:space="4" w:color="auto"/>
          <w:bottom w:val="single" w:sz="4" w:space="1" w:color="auto"/>
          <w:right w:val="single" w:sz="4" w:space="4" w:color="auto"/>
        </w:pBdr>
        <w:spacing w:line="240" w:lineRule="auto"/>
        <w:jc w:val="left"/>
        <w:rPr>
          <w:rFonts w:asciiTheme="minorHAnsi" w:hAnsiTheme="minorHAnsi" w:cs="Calibri"/>
          <w:szCs w:val="24"/>
          <w:highlight w:val="yellow"/>
        </w:rPr>
      </w:pPr>
      <w:r w:rsidRPr="00666E3B">
        <w:rPr>
          <w:rFonts w:asciiTheme="minorHAnsi" w:hAnsiTheme="minorHAnsi" w:cs="Calibri"/>
          <w:szCs w:val="24"/>
          <w:highlight w:val="yellow"/>
        </w:rPr>
        <w:t>Provides key findings, a summary of the published evidence, key issues raised by stakeholders and Reference Group advice.</w:t>
      </w:r>
    </w:p>
    <w:p w:rsidR="0000686B" w:rsidRPr="00F1079D" w:rsidRDefault="0000686B">
      <w:pPr>
        <w:pStyle w:val="Heading1"/>
      </w:pPr>
      <w:r w:rsidRPr="004B11B2">
        <w:br w:type="page"/>
      </w:r>
      <w:bookmarkStart w:id="20" w:name="_Toc482176920"/>
      <w:r w:rsidRPr="00F53453">
        <w:lastRenderedPageBreak/>
        <w:t>Background</w:t>
      </w:r>
      <w:bookmarkEnd w:id="20"/>
    </w:p>
    <w:p w:rsidR="0000686B" w:rsidRPr="00F53453" w:rsidRDefault="003848A8">
      <w:pPr>
        <w:pStyle w:val="Heading2"/>
      </w:pPr>
      <w:bookmarkStart w:id="21" w:name="_Toc482176921"/>
      <w:r>
        <w:t>B.</w:t>
      </w:r>
      <w:r w:rsidR="0000686B" w:rsidRPr="00F53453">
        <w:t>1.1</w:t>
      </w:r>
      <w:r w:rsidR="0000686B" w:rsidRPr="00F53453">
        <w:tab/>
        <w:t>Context for a Post-Market Review</w:t>
      </w:r>
      <w:bookmarkEnd w:id="21"/>
    </w:p>
    <w:p w:rsidR="0000686B" w:rsidRPr="00F53453" w:rsidRDefault="0000686B" w:rsidP="00514129">
      <w:pPr>
        <w:spacing w:line="240" w:lineRule="auto"/>
        <w:rPr>
          <w:rFonts w:asciiTheme="minorHAnsi" w:hAnsiTheme="minorHAnsi"/>
        </w:rPr>
      </w:pPr>
      <w:r w:rsidRPr="00F53453">
        <w:rPr>
          <w:rFonts w:asciiTheme="minorHAnsi" w:hAnsiTheme="minorHAnsi"/>
        </w:rPr>
        <w:t>The Australian Government has introduced a systematic post-market approach to monitoring medicines subsidised under the Pharmaceutical Benefits Scheme (PBS) to inform decision making at all levels throughout the medicine listing cycle (from the registration of a medicine right through to its use by consumers). Post-market reviews fall under the quality use of medicines objective of the National Medicines Policy framework.  It is important for the Government to continue to monitor clinical and cost-effectiveness of medicines after listing on the PBS. Reviews of cost-effectiveness ensure that the cost of medicines to the PBS appropriately reflects health outcomes expected, that there is quality use of PBS listed medicines, and the ongoing sustainability of the PBS</w:t>
      </w:r>
      <w:r w:rsidR="00EB0757">
        <w:rPr>
          <w:rFonts w:asciiTheme="minorHAnsi" w:hAnsiTheme="minorHAnsi"/>
        </w:rPr>
        <w:t xml:space="preserve"> is achieved.</w:t>
      </w:r>
      <w:r w:rsidRPr="00F53453">
        <w:rPr>
          <w:rFonts w:asciiTheme="minorHAnsi" w:hAnsiTheme="minorHAnsi"/>
        </w:rPr>
        <w:t xml:space="preserve"> </w:t>
      </w:r>
    </w:p>
    <w:p w:rsidR="0000686B" w:rsidRPr="00F53453" w:rsidRDefault="003848A8" w:rsidP="00920324">
      <w:pPr>
        <w:pStyle w:val="Heading3"/>
        <w:spacing w:after="200" w:line="240" w:lineRule="auto"/>
        <w:jc w:val="left"/>
        <w:rPr>
          <w:b w:val="0"/>
          <w:i w:val="0"/>
          <w:iCs/>
          <w:szCs w:val="28"/>
        </w:rPr>
      </w:pPr>
      <w:bookmarkStart w:id="22" w:name="_Toc482176922"/>
      <w:r>
        <w:t>B.</w:t>
      </w:r>
      <w:r w:rsidR="0000686B" w:rsidRPr="00F53453">
        <w:rPr>
          <w:iCs/>
          <w:szCs w:val="28"/>
        </w:rPr>
        <w:t>1.1.1</w:t>
      </w:r>
      <w:r w:rsidR="0000686B" w:rsidRPr="00F53453">
        <w:rPr>
          <w:iCs/>
          <w:szCs w:val="28"/>
        </w:rPr>
        <w:tab/>
      </w:r>
      <w:bookmarkStart w:id="23" w:name="_Toc381797690"/>
      <w:r w:rsidR="0000686B" w:rsidRPr="00F53453">
        <w:rPr>
          <w:iCs/>
          <w:szCs w:val="28"/>
        </w:rPr>
        <w:t>The National Medicines Policy (NMP)</w:t>
      </w:r>
      <w:bookmarkEnd w:id="23"/>
      <w:bookmarkEnd w:id="22"/>
    </w:p>
    <w:p w:rsidR="0000686B" w:rsidRPr="00F53453" w:rsidRDefault="0000686B" w:rsidP="00514129">
      <w:pPr>
        <w:spacing w:line="240" w:lineRule="auto"/>
        <w:rPr>
          <w:rFonts w:asciiTheme="minorHAnsi" w:hAnsiTheme="minorHAnsi"/>
        </w:rPr>
      </w:pPr>
      <w:r w:rsidRPr="00F53453">
        <w:rPr>
          <w:rFonts w:asciiTheme="minorHAnsi" w:hAnsiTheme="minorHAnsi"/>
        </w:rPr>
        <w:t xml:space="preserve">The National Medicines Policy (NMP) provides a broad framework that aims to ensure improved health outcomes for all Australians through access to and appropriate use of medicines. </w:t>
      </w:r>
    </w:p>
    <w:p w:rsidR="0000686B" w:rsidRPr="00F53453" w:rsidRDefault="0000686B" w:rsidP="00514129">
      <w:pPr>
        <w:spacing w:line="240" w:lineRule="auto"/>
        <w:rPr>
          <w:rFonts w:asciiTheme="minorHAnsi" w:hAnsiTheme="minorHAnsi"/>
        </w:rPr>
      </w:pPr>
      <w:r w:rsidRPr="00F53453">
        <w:rPr>
          <w:rFonts w:asciiTheme="minorHAnsi" w:hAnsiTheme="minorHAnsi"/>
        </w:rPr>
        <w:t>The four central objectives of the policy are:</w:t>
      </w:r>
    </w:p>
    <w:p w:rsidR="0000686B" w:rsidRPr="00F53453" w:rsidRDefault="0000686B" w:rsidP="00514129">
      <w:pPr>
        <w:numPr>
          <w:ilvl w:val="0"/>
          <w:numId w:val="2"/>
        </w:numPr>
        <w:spacing w:after="120" w:line="240" w:lineRule="auto"/>
        <w:ind w:left="425" w:hanging="425"/>
        <w:rPr>
          <w:rFonts w:asciiTheme="minorHAnsi" w:hAnsiTheme="minorHAnsi"/>
        </w:rPr>
      </w:pPr>
      <w:r w:rsidRPr="00F53453">
        <w:rPr>
          <w:rFonts w:asciiTheme="minorHAnsi" w:hAnsiTheme="minorHAnsi"/>
        </w:rPr>
        <w:t>timely and affordable access to medicines for all Australians</w:t>
      </w:r>
    </w:p>
    <w:p w:rsidR="0000686B" w:rsidRPr="00F53453" w:rsidRDefault="0000686B" w:rsidP="00514129">
      <w:pPr>
        <w:numPr>
          <w:ilvl w:val="0"/>
          <w:numId w:val="2"/>
        </w:numPr>
        <w:spacing w:after="120" w:line="240" w:lineRule="auto"/>
        <w:ind w:left="425" w:hanging="425"/>
        <w:rPr>
          <w:rFonts w:asciiTheme="minorHAnsi" w:hAnsiTheme="minorHAnsi"/>
        </w:rPr>
      </w:pPr>
      <w:r w:rsidRPr="00F53453">
        <w:rPr>
          <w:rFonts w:asciiTheme="minorHAnsi" w:hAnsiTheme="minorHAnsi"/>
        </w:rPr>
        <w:t>appropriate standards of quality, safety, and efficacy of medicines</w:t>
      </w:r>
    </w:p>
    <w:p w:rsidR="0000686B" w:rsidRPr="00F53453" w:rsidRDefault="0000686B" w:rsidP="00514129">
      <w:pPr>
        <w:numPr>
          <w:ilvl w:val="0"/>
          <w:numId w:val="2"/>
        </w:numPr>
        <w:spacing w:after="120" w:line="240" w:lineRule="auto"/>
        <w:ind w:left="425" w:hanging="425"/>
        <w:rPr>
          <w:rFonts w:asciiTheme="minorHAnsi" w:hAnsiTheme="minorHAnsi"/>
        </w:rPr>
      </w:pPr>
      <w:r w:rsidRPr="00F53453">
        <w:rPr>
          <w:rFonts w:asciiTheme="minorHAnsi" w:hAnsiTheme="minorHAnsi"/>
        </w:rPr>
        <w:t>quality use of medicines</w:t>
      </w:r>
    </w:p>
    <w:p w:rsidR="0000686B" w:rsidRPr="00F53453" w:rsidRDefault="0000686B" w:rsidP="00514129">
      <w:pPr>
        <w:numPr>
          <w:ilvl w:val="0"/>
          <w:numId w:val="2"/>
        </w:numPr>
        <w:spacing w:after="120" w:line="240" w:lineRule="auto"/>
        <w:ind w:left="425" w:hanging="425"/>
        <w:rPr>
          <w:rFonts w:asciiTheme="minorHAnsi" w:hAnsiTheme="minorHAnsi"/>
        </w:rPr>
      </w:pPr>
      <w:r w:rsidRPr="00F53453">
        <w:rPr>
          <w:rFonts w:asciiTheme="minorHAnsi" w:hAnsiTheme="minorHAnsi"/>
        </w:rPr>
        <w:t>maintenance of a responsible and viable medicines industry in Australia.</w:t>
      </w:r>
    </w:p>
    <w:p w:rsidR="0000686B" w:rsidRPr="00F53453" w:rsidRDefault="00B94AAC" w:rsidP="00514129">
      <w:pPr>
        <w:spacing w:line="240" w:lineRule="auto"/>
        <w:rPr>
          <w:rFonts w:asciiTheme="minorHAnsi" w:hAnsiTheme="minorHAnsi"/>
        </w:rPr>
      </w:pPr>
      <w:r>
        <w:rPr>
          <w:rFonts w:asciiTheme="minorHAnsi" w:hAnsiTheme="minorHAnsi"/>
        </w:rPr>
        <w:t>A post-</w:t>
      </w:r>
      <w:r w:rsidR="0000686B" w:rsidRPr="00F53453">
        <w:rPr>
          <w:rFonts w:asciiTheme="minorHAnsi" w:hAnsiTheme="minorHAnsi"/>
        </w:rPr>
        <w:t>market review is one mechanism that contributes to ensuring the quality use of PBS listed medicines.</w:t>
      </w:r>
    </w:p>
    <w:p w:rsidR="0000686B" w:rsidRPr="00F53453" w:rsidRDefault="0000686B" w:rsidP="00514129">
      <w:pPr>
        <w:spacing w:line="240" w:lineRule="auto"/>
        <w:rPr>
          <w:rFonts w:asciiTheme="minorHAnsi" w:hAnsiTheme="minorHAnsi"/>
        </w:rPr>
      </w:pPr>
      <w:r w:rsidRPr="00F53453">
        <w:rPr>
          <w:rFonts w:asciiTheme="minorHAnsi" w:hAnsiTheme="minorHAnsi"/>
          <w:i/>
        </w:rPr>
        <w:t>Quality use of medicines</w:t>
      </w:r>
      <w:r w:rsidRPr="00F53453">
        <w:rPr>
          <w:rFonts w:asciiTheme="minorHAnsi" w:hAnsiTheme="minorHAnsi"/>
        </w:rPr>
        <w:t xml:space="preserve"> is defined as:</w:t>
      </w:r>
    </w:p>
    <w:p w:rsidR="0000686B" w:rsidRPr="00F53453" w:rsidRDefault="0000686B" w:rsidP="00514129">
      <w:pPr>
        <w:numPr>
          <w:ilvl w:val="0"/>
          <w:numId w:val="2"/>
        </w:numPr>
        <w:spacing w:after="120" w:line="240" w:lineRule="auto"/>
        <w:ind w:left="425" w:hanging="425"/>
        <w:rPr>
          <w:rFonts w:asciiTheme="minorHAnsi" w:hAnsiTheme="minorHAnsi"/>
        </w:rPr>
      </w:pPr>
      <w:r w:rsidRPr="00F53453">
        <w:rPr>
          <w:rFonts w:asciiTheme="minorHAnsi" w:hAnsiTheme="minorHAnsi"/>
        </w:rPr>
        <w:t>selecting management options wisely</w:t>
      </w:r>
    </w:p>
    <w:p w:rsidR="0000686B" w:rsidRPr="00FB0BCB" w:rsidRDefault="0000686B" w:rsidP="00514129">
      <w:pPr>
        <w:numPr>
          <w:ilvl w:val="0"/>
          <w:numId w:val="2"/>
        </w:numPr>
        <w:spacing w:after="120" w:line="240" w:lineRule="auto"/>
        <w:ind w:left="425" w:hanging="425"/>
        <w:rPr>
          <w:rFonts w:asciiTheme="minorHAnsi" w:hAnsiTheme="minorHAnsi"/>
        </w:rPr>
      </w:pPr>
      <w:r w:rsidRPr="00FB0BCB">
        <w:rPr>
          <w:rFonts w:asciiTheme="minorHAnsi" w:hAnsiTheme="minorHAnsi"/>
        </w:rPr>
        <w:t>choosing suitable medicines if a medicine is considered necessary</w:t>
      </w:r>
    </w:p>
    <w:p w:rsidR="0000686B" w:rsidRPr="00FB0BCB" w:rsidRDefault="0000686B" w:rsidP="00514129">
      <w:pPr>
        <w:numPr>
          <w:ilvl w:val="0"/>
          <w:numId w:val="2"/>
        </w:numPr>
        <w:spacing w:after="120" w:line="240" w:lineRule="auto"/>
        <w:ind w:left="425" w:hanging="425"/>
        <w:rPr>
          <w:rFonts w:asciiTheme="minorHAnsi" w:hAnsiTheme="minorHAnsi"/>
        </w:rPr>
      </w:pPr>
      <w:r w:rsidRPr="00FB0BCB">
        <w:rPr>
          <w:rFonts w:asciiTheme="minorHAnsi" w:hAnsiTheme="minorHAnsi"/>
        </w:rPr>
        <w:t xml:space="preserve">using medicines safely and effectively. </w:t>
      </w:r>
    </w:p>
    <w:p w:rsidR="0000686B" w:rsidRDefault="0000686B" w:rsidP="00514129">
      <w:pPr>
        <w:spacing w:line="240" w:lineRule="auto"/>
        <w:rPr>
          <w:rFonts w:asciiTheme="minorHAnsi" w:hAnsiTheme="minorHAnsi"/>
        </w:rPr>
      </w:pPr>
      <w:r w:rsidRPr="00FB0BCB">
        <w:rPr>
          <w:rFonts w:asciiTheme="minorHAnsi" w:hAnsiTheme="minorHAnsi"/>
        </w:rPr>
        <w:t>The definition of quality use of medicines applies equally to decisions about medicine use by individuals and decisions that affect the health of the population.</w:t>
      </w:r>
    </w:p>
    <w:p w:rsidR="00473BC1" w:rsidRPr="00D94DE8" w:rsidRDefault="003848A8" w:rsidP="00514129">
      <w:pPr>
        <w:pStyle w:val="Heading3"/>
        <w:spacing w:after="200" w:line="240" w:lineRule="auto"/>
        <w:jc w:val="left"/>
        <w:rPr>
          <w:i w:val="0"/>
          <w:szCs w:val="28"/>
        </w:rPr>
      </w:pPr>
      <w:bookmarkStart w:id="24" w:name="_Toc482176923"/>
      <w:r>
        <w:t>B.</w:t>
      </w:r>
      <w:r w:rsidR="00473BC1" w:rsidRPr="00D94DE8">
        <w:rPr>
          <w:szCs w:val="28"/>
        </w:rPr>
        <w:t>1.1.2</w:t>
      </w:r>
      <w:r w:rsidR="00473BC1" w:rsidRPr="00D94DE8">
        <w:rPr>
          <w:szCs w:val="28"/>
        </w:rPr>
        <w:tab/>
        <w:t>Australian Commission on Safety and Quality in Health Care (ACSQHC)</w:t>
      </w:r>
      <w:bookmarkEnd w:id="24"/>
    </w:p>
    <w:p w:rsidR="00106006" w:rsidRPr="00D94DE8" w:rsidRDefault="00473BC1" w:rsidP="00920324">
      <w:pPr>
        <w:spacing w:line="240" w:lineRule="auto"/>
        <w:rPr>
          <w:rFonts w:asciiTheme="minorHAnsi" w:hAnsiTheme="minorHAnsi"/>
        </w:rPr>
      </w:pPr>
      <w:r w:rsidRPr="00D94DE8">
        <w:rPr>
          <w:rFonts w:asciiTheme="minorHAnsi" w:hAnsiTheme="minorHAnsi"/>
        </w:rPr>
        <w:t>The ACSQHC was established to lead and coordinate national improvements in the safety and quality of health care</w:t>
      </w:r>
      <w:r w:rsidRPr="008B78A5">
        <w:rPr>
          <w:rFonts w:asciiTheme="minorHAnsi" w:hAnsiTheme="minorHAnsi"/>
        </w:rPr>
        <w:t xml:space="preserve">. </w:t>
      </w:r>
      <w:r w:rsidR="00106006">
        <w:rPr>
          <w:rStyle w:val="EndnoteReference"/>
          <w:rFonts w:asciiTheme="minorHAnsi" w:hAnsiTheme="minorHAnsi"/>
        </w:rPr>
        <w:endnoteReference w:id="12"/>
      </w:r>
    </w:p>
    <w:p w:rsidR="00473BC1" w:rsidRPr="00D94DE8" w:rsidRDefault="00473BC1" w:rsidP="00920324">
      <w:pPr>
        <w:spacing w:line="240" w:lineRule="auto"/>
        <w:rPr>
          <w:rFonts w:asciiTheme="minorHAnsi" w:hAnsiTheme="minorHAnsi"/>
        </w:rPr>
      </w:pPr>
      <w:r w:rsidRPr="00D94DE8">
        <w:rPr>
          <w:rFonts w:asciiTheme="minorHAnsi" w:hAnsiTheme="minorHAnsi"/>
        </w:rPr>
        <w:lastRenderedPageBreak/>
        <w:t xml:space="preserve">Post-market reviews contribute to the stated goals and standards of the ACSQHC, primarily through </w:t>
      </w:r>
      <w:r w:rsidRPr="008B74D7">
        <w:rPr>
          <w:rFonts w:asciiTheme="minorHAnsi" w:hAnsiTheme="minorHAnsi"/>
        </w:rPr>
        <w:t xml:space="preserve">goal three </w:t>
      </w:r>
      <w:r w:rsidRPr="008B74D7">
        <w:rPr>
          <w:rFonts w:asciiTheme="minorHAnsi" w:hAnsiTheme="minorHAnsi"/>
        </w:rPr>
        <w:fldChar w:fldCharType="begin"/>
      </w:r>
      <w:r w:rsidRPr="008B74D7">
        <w:rPr>
          <w:rFonts w:asciiTheme="minorHAnsi" w:hAnsiTheme="minorHAnsi"/>
        </w:rPr>
        <w:instrText xml:space="preserve"> ADDIN EN.CITE &lt;EndNote&gt;&lt;Cite&gt;&lt;Author&gt;Australian Commission on Safety and Quality in Health Care (ACSQHC)&lt;/Author&gt;&lt;Year&gt;2014&lt;/Year&gt;&lt;RecNum&gt;1130&lt;/RecNum&gt;&lt;DisplayText&gt;(1)&lt;/DisplayText&gt;&lt;record&gt;&lt;rec-number&gt;1130&lt;/rec-number&gt;&lt;foreign-keys&gt;&lt;key app="EN" db-id="wd559px9awvxvyeprsvpw50k9p0x002z2wf0"&gt;1130&lt;/key&gt;&lt;/foreign-keys&gt;&lt;ref-type name="Web Page"&gt;12&lt;/ref-type&gt;&lt;contributors&gt;&lt;authors&gt;&lt;author&gt;Australian Commission on Safety and Quality in Health Care (ACSQHC),&lt;/author&gt;&lt;/authors&gt;&lt;/contributors&gt;&lt;titles&gt;&lt;title&gt;Australian Commission on Safety and Quality in Health Care&lt;/title&gt;&lt;/titles&gt;&lt;dates&gt;&lt;year&gt;2014&lt;/year&gt;&lt;/dates&gt;&lt;urls&gt;&lt;related-urls&gt;&lt;url&gt;http://www.safetyandquality.gov.au/&lt;/url&gt;&lt;/related-urls&gt;&lt;/urls&gt;&lt;/record&gt;&lt;/Cite&gt;&lt;/EndNote&gt;</w:instrText>
      </w:r>
      <w:r w:rsidRPr="008B74D7">
        <w:rPr>
          <w:rFonts w:asciiTheme="minorHAnsi" w:hAnsiTheme="minorHAnsi"/>
        </w:rPr>
        <w:fldChar w:fldCharType="separate"/>
      </w:r>
      <w:r w:rsidRPr="008B74D7">
        <w:rPr>
          <w:rFonts w:asciiTheme="minorHAnsi" w:hAnsiTheme="minorHAnsi"/>
        </w:rPr>
        <w:t>(</w:t>
      </w:r>
      <w:hyperlink w:anchor="_ENREF_1" w:tooltip="Australian Commission on Safety and Quality in Health Care (ACSQHC), 2014 #1130" w:history="1">
        <w:r w:rsidRPr="008B74D7">
          <w:rPr>
            <w:rFonts w:asciiTheme="minorHAnsi" w:hAnsiTheme="minorHAnsi"/>
          </w:rPr>
          <w:t>1</w:t>
        </w:r>
      </w:hyperlink>
      <w:r w:rsidRPr="008B74D7">
        <w:rPr>
          <w:rFonts w:asciiTheme="minorHAnsi" w:hAnsiTheme="minorHAnsi"/>
        </w:rPr>
        <w:t>)</w:t>
      </w:r>
      <w:r w:rsidRPr="008B74D7">
        <w:rPr>
          <w:rFonts w:asciiTheme="minorHAnsi" w:hAnsiTheme="minorHAnsi"/>
        </w:rPr>
        <w:fldChar w:fldCharType="end"/>
      </w:r>
      <w:r w:rsidRPr="008B74D7">
        <w:rPr>
          <w:rFonts w:asciiTheme="minorHAnsi" w:hAnsiTheme="minorHAnsi"/>
        </w:rPr>
        <w:t xml:space="preserve"> and standard two </w:t>
      </w:r>
      <w:r w:rsidRPr="008B74D7">
        <w:rPr>
          <w:rFonts w:asciiTheme="minorHAnsi" w:hAnsiTheme="minorHAnsi"/>
        </w:rPr>
        <w:fldChar w:fldCharType="begin"/>
      </w:r>
      <w:r w:rsidRPr="008B74D7">
        <w:rPr>
          <w:rFonts w:asciiTheme="minorHAnsi" w:hAnsiTheme="minorHAnsi"/>
        </w:rPr>
        <w:instrText xml:space="preserve"> ADDIN EN.CITE &lt;EndNote&gt;&lt;Cite&gt;&lt;Author&gt;Australian Commission on Safety and Quality in Health Care (ACSQHC)&lt;/Author&gt;&lt;Year&gt;2011&lt;/Year&gt;&lt;RecNum&gt;1129&lt;/RecNum&gt;&lt;DisplayText&gt;(2)&lt;/DisplayText&gt;&lt;record&gt;&lt;rec-number&gt;1129&lt;/rec-number&gt;&lt;foreign-keys&gt;&lt;key app="EN" db-id="wd559px9awvxvyeprsvpw50k9p0x002z2wf0"&gt;1129&lt;/key&gt;&lt;/foreign-keys&gt;&lt;ref-type name="Government Document"&gt;46&lt;/ref-type&gt;&lt;contributors&gt;&lt;authors&gt;&lt;author&gt;Australian Commission on Safety and Quality in Health Care (ACSQHC),&lt;/author&gt;&lt;/authors&gt;&lt;secondary-authors&gt;&lt;author&gt;ACSQHC&lt;/author&gt;&lt;/secondary-authors&gt;&lt;/contributors&gt;&lt;titles&gt;&lt;title&gt;National Safety and Quality Health Service Standards&lt;/title&gt;&lt;/titles&gt;&lt;dates&gt;&lt;year&gt;2011&lt;/year&gt;&lt;/dates&gt;&lt;pub-location&gt;Sydney&lt;/pub-location&gt;&lt;urls&gt;&lt;/urls&gt;&lt;/record&gt;&lt;/Cite&gt;&lt;/EndNote&gt;</w:instrText>
      </w:r>
      <w:r w:rsidRPr="008B74D7">
        <w:rPr>
          <w:rFonts w:asciiTheme="minorHAnsi" w:hAnsiTheme="minorHAnsi"/>
        </w:rPr>
        <w:fldChar w:fldCharType="separate"/>
      </w:r>
      <w:r w:rsidRPr="008B74D7">
        <w:rPr>
          <w:rFonts w:asciiTheme="minorHAnsi" w:hAnsiTheme="minorHAnsi"/>
        </w:rPr>
        <w:t>(</w:t>
      </w:r>
      <w:hyperlink w:anchor="_ENREF_2" w:tooltip="Australian Commission on Safety and Quality in Health Care (ACSQHC), 2011 #1129" w:history="1">
        <w:r w:rsidRPr="008B74D7">
          <w:rPr>
            <w:rFonts w:asciiTheme="minorHAnsi" w:hAnsiTheme="minorHAnsi"/>
          </w:rPr>
          <w:t>2</w:t>
        </w:r>
      </w:hyperlink>
      <w:r w:rsidRPr="008B74D7">
        <w:rPr>
          <w:rFonts w:asciiTheme="minorHAnsi" w:hAnsiTheme="minorHAnsi"/>
        </w:rPr>
        <w:t>)</w:t>
      </w:r>
      <w:r w:rsidRPr="008B74D7">
        <w:rPr>
          <w:rFonts w:asciiTheme="minorHAnsi" w:hAnsiTheme="minorHAnsi"/>
        </w:rPr>
        <w:fldChar w:fldCharType="end"/>
      </w:r>
      <w:r w:rsidRPr="008B74D7">
        <w:rPr>
          <w:rFonts w:asciiTheme="minorHAnsi" w:hAnsiTheme="minorHAnsi"/>
        </w:rPr>
        <w:t xml:space="preserve"> which</w:t>
      </w:r>
      <w:r w:rsidRPr="00D94DE8">
        <w:rPr>
          <w:rFonts w:asciiTheme="minorHAnsi" w:hAnsiTheme="minorHAnsi"/>
        </w:rPr>
        <w:t xml:space="preserve"> focus on partnering with consumers in planning, designing and evaluating health care. </w:t>
      </w:r>
    </w:p>
    <w:p w:rsidR="00473BC1" w:rsidRPr="00D94DE8" w:rsidRDefault="00473BC1">
      <w:pPr>
        <w:spacing w:line="240" w:lineRule="auto"/>
        <w:rPr>
          <w:rFonts w:asciiTheme="minorHAnsi" w:hAnsiTheme="minorHAnsi"/>
        </w:rPr>
      </w:pPr>
      <w:r w:rsidRPr="00D94DE8">
        <w:rPr>
          <w:rFonts w:asciiTheme="minorHAnsi" w:hAnsiTheme="minorHAnsi"/>
        </w:rPr>
        <w:t>This is achieved in post-market reviews by providing multiple opportunities for consumers, and other stakeholders, to provide input into the review, via public consultation and through the consumer advocate who is appointed as part of the review reference group.</w:t>
      </w:r>
    </w:p>
    <w:p w:rsidR="0000686B" w:rsidRPr="00F53453" w:rsidRDefault="003848A8">
      <w:pPr>
        <w:pStyle w:val="Heading3"/>
        <w:spacing w:after="200" w:line="240" w:lineRule="auto"/>
        <w:jc w:val="left"/>
        <w:rPr>
          <w:b w:val="0"/>
          <w:i w:val="0"/>
          <w:iCs/>
          <w:szCs w:val="28"/>
        </w:rPr>
      </w:pPr>
      <w:bookmarkStart w:id="25" w:name="_Toc482176924"/>
      <w:r>
        <w:t>B.</w:t>
      </w:r>
      <w:r w:rsidR="0000686B" w:rsidRPr="00F53453">
        <w:rPr>
          <w:iCs/>
          <w:szCs w:val="28"/>
        </w:rPr>
        <w:t>1.1.</w:t>
      </w:r>
      <w:r w:rsidR="00473BC1">
        <w:rPr>
          <w:iCs/>
          <w:szCs w:val="28"/>
        </w:rPr>
        <w:t>3</w:t>
      </w:r>
      <w:r w:rsidR="00920324">
        <w:rPr>
          <w:iCs/>
          <w:szCs w:val="28"/>
        </w:rPr>
        <w:tab/>
      </w:r>
      <w:r w:rsidR="0000686B" w:rsidRPr="00F53453">
        <w:rPr>
          <w:iCs/>
          <w:szCs w:val="28"/>
        </w:rPr>
        <w:t>Pharmaceutical Benefits Scheme (PBS)</w:t>
      </w:r>
      <w:bookmarkEnd w:id="25"/>
    </w:p>
    <w:p w:rsidR="0000686B" w:rsidRPr="008D285C" w:rsidRDefault="0000686B" w:rsidP="00514129">
      <w:pPr>
        <w:spacing w:line="240" w:lineRule="auto"/>
        <w:rPr>
          <w:rFonts w:asciiTheme="minorHAnsi" w:hAnsiTheme="minorHAnsi"/>
        </w:rPr>
      </w:pPr>
      <w:r w:rsidRPr="008D285C">
        <w:rPr>
          <w:rFonts w:asciiTheme="minorHAnsi" w:hAnsiTheme="minorHAnsi"/>
        </w:rPr>
        <w:t>The PBS provides reliable, timely and affordable access to a wide range of medicines for all Australians. Under the PBS, the Australian Government subsidises</w:t>
      </w:r>
      <w:r>
        <w:rPr>
          <w:rFonts w:asciiTheme="minorHAnsi" w:hAnsiTheme="minorHAnsi"/>
        </w:rPr>
        <w:t xml:space="preserve"> the cost of listed </w:t>
      </w:r>
      <w:r w:rsidRPr="008D285C">
        <w:rPr>
          <w:rFonts w:asciiTheme="minorHAnsi" w:hAnsiTheme="minorHAnsi"/>
        </w:rPr>
        <w:t>medicine</w:t>
      </w:r>
      <w:r>
        <w:rPr>
          <w:rFonts w:asciiTheme="minorHAnsi" w:hAnsiTheme="minorHAnsi"/>
        </w:rPr>
        <w:t>s</w:t>
      </w:r>
      <w:r w:rsidRPr="008D285C">
        <w:rPr>
          <w:rFonts w:asciiTheme="minorHAnsi" w:hAnsiTheme="minorHAnsi"/>
        </w:rPr>
        <w:t xml:space="preserve"> to help people afford prescription medicines for most medical conditions.</w:t>
      </w:r>
    </w:p>
    <w:p w:rsidR="0000686B" w:rsidRPr="00F53453" w:rsidRDefault="003848A8" w:rsidP="00920324">
      <w:pPr>
        <w:pStyle w:val="Heading3"/>
        <w:spacing w:after="200" w:line="240" w:lineRule="auto"/>
        <w:jc w:val="left"/>
        <w:rPr>
          <w:b w:val="0"/>
          <w:i w:val="0"/>
          <w:iCs/>
          <w:szCs w:val="28"/>
        </w:rPr>
      </w:pPr>
      <w:bookmarkStart w:id="26" w:name="_Toc482176925"/>
      <w:r>
        <w:t>B.</w:t>
      </w:r>
      <w:r w:rsidR="0000686B" w:rsidRPr="00F53453">
        <w:rPr>
          <w:iCs/>
          <w:szCs w:val="28"/>
        </w:rPr>
        <w:t>1.1.</w:t>
      </w:r>
      <w:r w:rsidR="00473BC1">
        <w:rPr>
          <w:iCs/>
          <w:szCs w:val="28"/>
        </w:rPr>
        <w:t>4</w:t>
      </w:r>
      <w:r w:rsidR="0000686B" w:rsidRPr="00F53453">
        <w:rPr>
          <w:iCs/>
          <w:szCs w:val="28"/>
        </w:rPr>
        <w:tab/>
        <w:t>The Pharmaceutical Benefits Advisory Committee</w:t>
      </w:r>
      <w:bookmarkEnd w:id="26"/>
      <w:r w:rsidR="0000686B" w:rsidRPr="00F53453">
        <w:rPr>
          <w:iCs/>
          <w:szCs w:val="28"/>
        </w:rPr>
        <w:t xml:space="preserve"> </w:t>
      </w:r>
    </w:p>
    <w:p w:rsidR="0000686B" w:rsidRPr="003440BA" w:rsidRDefault="0000686B" w:rsidP="00514129">
      <w:pPr>
        <w:spacing w:line="240" w:lineRule="auto"/>
        <w:rPr>
          <w:rFonts w:asciiTheme="minorHAnsi" w:hAnsiTheme="minorHAnsi"/>
        </w:rPr>
      </w:pPr>
      <w:bookmarkStart w:id="27" w:name="_Toc380492197"/>
      <w:r w:rsidRPr="003440BA">
        <w:rPr>
          <w:rFonts w:asciiTheme="minorHAnsi" w:hAnsiTheme="minorHAnsi"/>
        </w:rPr>
        <w:t>The Pharmaceutical Benefits Advisory Committee (PBAC) is an independent expert body appointed by the Australian Government. The members of the PBAC are health professionals (medical practitioners and pharmacists), health economists and consumer representatives. The PBAC meets three times a year, usually in March, July and November.</w:t>
      </w:r>
    </w:p>
    <w:p w:rsidR="0000686B" w:rsidRPr="003440BA" w:rsidRDefault="0000686B" w:rsidP="00514129">
      <w:pPr>
        <w:spacing w:line="240" w:lineRule="auto"/>
        <w:rPr>
          <w:rFonts w:asciiTheme="minorHAnsi" w:hAnsiTheme="minorHAnsi"/>
        </w:rPr>
      </w:pPr>
      <w:r w:rsidRPr="003440BA">
        <w:rPr>
          <w:rFonts w:asciiTheme="minorHAnsi" w:hAnsiTheme="minorHAnsi"/>
        </w:rPr>
        <w:t xml:space="preserve">The PBAC has statutory functions under the </w:t>
      </w:r>
      <w:r w:rsidRPr="003440BA">
        <w:rPr>
          <w:rFonts w:asciiTheme="minorHAnsi" w:hAnsiTheme="minorHAnsi"/>
          <w:i/>
        </w:rPr>
        <w:t>National Health Act</w:t>
      </w:r>
      <w:r w:rsidRPr="003440BA">
        <w:rPr>
          <w:rFonts w:asciiTheme="minorHAnsi" w:hAnsiTheme="minorHAnsi"/>
        </w:rPr>
        <w:t xml:space="preserve"> </w:t>
      </w:r>
      <w:r w:rsidRPr="003440BA">
        <w:rPr>
          <w:rFonts w:asciiTheme="minorHAnsi" w:hAnsiTheme="minorHAnsi"/>
          <w:i/>
        </w:rPr>
        <w:t>1953</w:t>
      </w:r>
      <w:r w:rsidRPr="003440BA">
        <w:rPr>
          <w:rFonts w:asciiTheme="minorHAnsi" w:hAnsiTheme="minorHAnsi"/>
        </w:rPr>
        <w:t>, to make recommendations to the Minister for Health (the Minister) on what medicines are to be listed on the PBS and to advise the Minister on any matters concerning the operation of the PBS.</w:t>
      </w:r>
    </w:p>
    <w:p w:rsidR="0000686B" w:rsidRPr="003440BA" w:rsidRDefault="0000686B" w:rsidP="00514129">
      <w:pPr>
        <w:spacing w:line="240" w:lineRule="auto"/>
        <w:rPr>
          <w:rFonts w:asciiTheme="minorHAnsi" w:hAnsiTheme="minorHAnsi"/>
        </w:rPr>
      </w:pPr>
      <w:r w:rsidRPr="003440BA">
        <w:rPr>
          <w:rFonts w:asciiTheme="minorHAnsi" w:hAnsiTheme="minorHAnsi"/>
        </w:rPr>
        <w:t>In making recommendations to list medicines on the PBS, the PBAC appraises the evidence for comparative clinical effectiveness, cost-effectiveness and financial cost of each medicine compared to other medicines and treatments currently available in Australia</w:t>
      </w:r>
      <w:r w:rsidR="00106006">
        <w:rPr>
          <w:rStyle w:val="EndnoteReference"/>
          <w:rFonts w:asciiTheme="minorHAnsi" w:hAnsiTheme="minorHAnsi"/>
        </w:rPr>
        <w:endnoteReference w:id="13"/>
      </w:r>
      <w:r w:rsidR="00106006" w:rsidRPr="003440BA">
        <w:rPr>
          <w:rFonts w:asciiTheme="minorHAnsi" w:hAnsiTheme="minorHAnsi"/>
        </w:rPr>
        <w:t>.</w:t>
      </w:r>
    </w:p>
    <w:p w:rsidR="0000686B" w:rsidRPr="003440BA" w:rsidRDefault="0000686B" w:rsidP="00514129">
      <w:pPr>
        <w:spacing w:line="240" w:lineRule="auto"/>
        <w:rPr>
          <w:rFonts w:asciiTheme="minorHAnsi" w:hAnsiTheme="minorHAnsi"/>
        </w:rPr>
      </w:pPr>
      <w:r w:rsidRPr="003440BA">
        <w:rPr>
          <w:rFonts w:asciiTheme="minorHAnsi" w:hAnsiTheme="minorHAnsi"/>
        </w:rPr>
        <w:t>In addition to making a recommendation to list a medicine on the PBS, the PBAC may also review the medicine after it has been listed for safety, comparative clinical effectiveness and cost-effectiveness, its utilisation and financial cost. It is important to monitor clinical and cost-effectiveness of medicines to ensure that the cost to the PBS appropriately reflects the health outcomes expected. The PBAC advises the Minister on the need for, and provides recommendations on, post-market reviews</w:t>
      </w:r>
      <w:r w:rsidR="00106006">
        <w:rPr>
          <w:rStyle w:val="EndnoteReference"/>
          <w:rFonts w:asciiTheme="minorHAnsi" w:hAnsiTheme="minorHAnsi"/>
        </w:rPr>
        <w:endnoteReference w:id="14"/>
      </w:r>
      <w:r w:rsidR="00106006" w:rsidRPr="003440BA">
        <w:rPr>
          <w:rFonts w:asciiTheme="minorHAnsi" w:hAnsiTheme="minorHAnsi"/>
        </w:rPr>
        <w:t>.</w:t>
      </w:r>
      <w:r w:rsidRPr="003440BA">
        <w:rPr>
          <w:rFonts w:asciiTheme="minorHAnsi" w:hAnsiTheme="minorHAnsi"/>
        </w:rPr>
        <w:t xml:space="preserve"> </w:t>
      </w:r>
    </w:p>
    <w:p w:rsidR="0000686B" w:rsidRPr="003440BA" w:rsidRDefault="0000686B" w:rsidP="00514129">
      <w:pPr>
        <w:spacing w:line="240" w:lineRule="auto"/>
        <w:rPr>
          <w:rFonts w:asciiTheme="minorHAnsi" w:hAnsiTheme="minorHAnsi"/>
        </w:rPr>
      </w:pPr>
      <w:r w:rsidRPr="003440BA">
        <w:rPr>
          <w:rFonts w:asciiTheme="minorHAnsi" w:hAnsiTheme="minorHAnsi"/>
        </w:rPr>
        <w:t>The PBAC has two sub-committees to assist with analysis and advice: the Drug Utilisation Sub-Committee (DUSC) and the Economics Sub-Committee (ESC).</w:t>
      </w:r>
    </w:p>
    <w:p w:rsidR="0000686B" w:rsidRPr="003440BA" w:rsidRDefault="0000686B" w:rsidP="00514129">
      <w:pPr>
        <w:spacing w:line="240" w:lineRule="auto"/>
        <w:rPr>
          <w:rFonts w:asciiTheme="minorHAnsi" w:hAnsiTheme="minorHAnsi"/>
        </w:rPr>
      </w:pPr>
      <w:r w:rsidRPr="003440BA">
        <w:rPr>
          <w:rFonts w:asciiTheme="minorHAnsi" w:hAnsiTheme="minorHAnsi"/>
        </w:rPr>
        <w:t xml:space="preserve">The DUSC has a role in the review of utilisation of PBS listed medicines. The DUSC assesses estimates on projected usage and financial cost for medicines. It also collects and analyses data on actual use in the clinical setting (including in comparison with different countries), and provides this advice to the PBAC. </w:t>
      </w:r>
    </w:p>
    <w:p w:rsidR="0000686B" w:rsidRPr="003440BA" w:rsidRDefault="0000686B" w:rsidP="00514129">
      <w:pPr>
        <w:spacing w:line="240" w:lineRule="auto"/>
        <w:rPr>
          <w:rFonts w:asciiTheme="minorHAnsi" w:hAnsiTheme="minorHAnsi"/>
        </w:rPr>
      </w:pPr>
      <w:r w:rsidRPr="003440BA">
        <w:rPr>
          <w:rFonts w:asciiTheme="minorHAnsi" w:hAnsiTheme="minorHAnsi"/>
        </w:rPr>
        <w:lastRenderedPageBreak/>
        <w:t>The ESC assesses clinical and economic evaluations of medicines submitted to the PBAC for listing, and advises PBAC on the technical aspects of these evaluations.</w:t>
      </w:r>
    </w:p>
    <w:p w:rsidR="0000686B" w:rsidRPr="003440BA" w:rsidRDefault="0000686B" w:rsidP="00514129">
      <w:pPr>
        <w:spacing w:line="240" w:lineRule="auto"/>
        <w:rPr>
          <w:rFonts w:asciiTheme="minorHAnsi" w:hAnsiTheme="minorHAnsi"/>
        </w:rPr>
      </w:pPr>
      <w:r w:rsidRPr="003440BA">
        <w:rPr>
          <w:rFonts w:asciiTheme="minorHAnsi" w:hAnsiTheme="minorHAnsi"/>
        </w:rPr>
        <w:t xml:space="preserve">Information relating to the PBS, and the PBAC, DUSC and ESC meeting dates, agendas and outcomes are available on the </w:t>
      </w:r>
      <w:hyperlink r:id="rId17" w:history="1">
        <w:r w:rsidRPr="003440BA">
          <w:rPr>
            <w:rFonts w:asciiTheme="minorHAnsi" w:hAnsiTheme="minorHAnsi"/>
          </w:rPr>
          <w:t>PBS website</w:t>
        </w:r>
      </w:hyperlink>
      <w:r w:rsidR="00106006">
        <w:rPr>
          <w:rStyle w:val="EndnoteReference"/>
          <w:rFonts w:asciiTheme="minorHAnsi" w:hAnsiTheme="minorHAnsi"/>
        </w:rPr>
        <w:endnoteReference w:id="15"/>
      </w:r>
      <w:r w:rsidR="00106006" w:rsidRPr="003440BA">
        <w:rPr>
          <w:rFonts w:asciiTheme="minorHAnsi" w:hAnsiTheme="minorHAnsi"/>
        </w:rPr>
        <w:t>.</w:t>
      </w:r>
      <w:r w:rsidRPr="003440BA">
        <w:rPr>
          <w:rFonts w:asciiTheme="minorHAnsi" w:hAnsiTheme="minorHAnsi"/>
        </w:rPr>
        <w:t xml:space="preserve"> </w:t>
      </w:r>
    </w:p>
    <w:p w:rsidR="0000686B" w:rsidRPr="00F53453" w:rsidRDefault="003848A8" w:rsidP="00920324">
      <w:pPr>
        <w:pStyle w:val="Heading3"/>
        <w:spacing w:after="200" w:line="240" w:lineRule="auto"/>
        <w:jc w:val="left"/>
        <w:rPr>
          <w:b w:val="0"/>
          <w:i w:val="0"/>
          <w:iCs/>
          <w:szCs w:val="28"/>
        </w:rPr>
      </w:pPr>
      <w:bookmarkStart w:id="28" w:name="_Toc482176926"/>
      <w:r>
        <w:t>B.</w:t>
      </w:r>
      <w:r w:rsidR="0000686B" w:rsidRPr="00F53453">
        <w:rPr>
          <w:iCs/>
          <w:szCs w:val="28"/>
        </w:rPr>
        <w:t>1.1.</w:t>
      </w:r>
      <w:r w:rsidR="00473BC1">
        <w:rPr>
          <w:iCs/>
          <w:szCs w:val="28"/>
        </w:rPr>
        <w:t>5</w:t>
      </w:r>
      <w:r w:rsidR="0000686B" w:rsidRPr="00F53453">
        <w:rPr>
          <w:iCs/>
          <w:szCs w:val="28"/>
        </w:rPr>
        <w:tab/>
        <w:t>Post-market monitoring</w:t>
      </w:r>
      <w:bookmarkEnd w:id="27"/>
      <w:bookmarkEnd w:id="28"/>
    </w:p>
    <w:p w:rsidR="0000686B" w:rsidRPr="0031301D" w:rsidRDefault="0000686B" w:rsidP="00514129">
      <w:pPr>
        <w:spacing w:line="240" w:lineRule="auto"/>
        <w:rPr>
          <w:rFonts w:asciiTheme="minorHAnsi" w:hAnsiTheme="minorHAnsi"/>
          <w:i/>
        </w:rPr>
      </w:pPr>
      <w:r w:rsidRPr="00D94DE8">
        <w:rPr>
          <w:rFonts w:asciiTheme="minorHAnsi" w:hAnsiTheme="minorHAnsi"/>
        </w:rPr>
        <w:t xml:space="preserve">The Post-Market Review (PMR) </w:t>
      </w:r>
      <w:r>
        <w:rPr>
          <w:rFonts w:asciiTheme="minorHAnsi" w:hAnsiTheme="minorHAnsi"/>
        </w:rPr>
        <w:t>program</w:t>
      </w:r>
      <w:r w:rsidRPr="00D94DE8">
        <w:rPr>
          <w:rFonts w:asciiTheme="minorHAnsi" w:hAnsiTheme="minorHAnsi"/>
        </w:rPr>
        <w:t xml:space="preserve"> </w:t>
      </w:r>
      <w:r>
        <w:rPr>
          <w:rFonts w:asciiTheme="minorHAnsi" w:hAnsiTheme="minorHAnsi"/>
        </w:rPr>
        <w:t xml:space="preserve">enables </w:t>
      </w:r>
      <w:r w:rsidRPr="00D94DE8">
        <w:rPr>
          <w:rFonts w:asciiTheme="minorHAnsi" w:hAnsiTheme="minorHAnsi"/>
        </w:rPr>
        <w:t>a</w:t>
      </w:r>
      <w:r>
        <w:rPr>
          <w:rFonts w:asciiTheme="minorHAnsi" w:hAnsiTheme="minorHAnsi"/>
        </w:rPr>
        <w:t xml:space="preserve"> methodological, </w:t>
      </w:r>
      <w:r w:rsidRPr="00D94DE8">
        <w:rPr>
          <w:rFonts w:asciiTheme="minorHAnsi" w:hAnsiTheme="minorHAnsi"/>
        </w:rPr>
        <w:t xml:space="preserve">systematic </w:t>
      </w:r>
      <w:r>
        <w:rPr>
          <w:rFonts w:asciiTheme="minorHAnsi" w:hAnsiTheme="minorHAnsi"/>
        </w:rPr>
        <w:t xml:space="preserve">and transparent </w:t>
      </w:r>
      <w:r w:rsidRPr="00D94DE8">
        <w:rPr>
          <w:rFonts w:asciiTheme="minorHAnsi" w:hAnsiTheme="minorHAnsi"/>
        </w:rPr>
        <w:t xml:space="preserve">approach to </w:t>
      </w:r>
      <w:r>
        <w:rPr>
          <w:rFonts w:asciiTheme="minorHAnsi" w:hAnsiTheme="minorHAnsi"/>
        </w:rPr>
        <w:t>reviewing</w:t>
      </w:r>
      <w:r w:rsidRPr="00D94DE8">
        <w:rPr>
          <w:rFonts w:asciiTheme="minorHAnsi" w:hAnsiTheme="minorHAnsi"/>
        </w:rPr>
        <w:t xml:space="preserve"> medicines subsidised by the PBS. PMRs were initiated under the 2011-12 Budget measure ‘</w:t>
      </w:r>
      <w:r w:rsidRPr="0031301D">
        <w:rPr>
          <w:rFonts w:asciiTheme="minorHAnsi" w:hAnsiTheme="minorHAnsi"/>
          <w:i/>
        </w:rPr>
        <w:t>Improving sustainability of the PBS through enhanced post-market surveillance’.</w:t>
      </w:r>
    </w:p>
    <w:p w:rsidR="0000686B" w:rsidRPr="00D94DE8" w:rsidRDefault="0000686B" w:rsidP="00514129">
      <w:pPr>
        <w:spacing w:line="240" w:lineRule="auto"/>
        <w:rPr>
          <w:rFonts w:asciiTheme="minorHAnsi" w:hAnsiTheme="minorHAnsi"/>
        </w:rPr>
      </w:pPr>
      <w:r w:rsidRPr="00D94DE8">
        <w:rPr>
          <w:rFonts w:asciiTheme="minorHAnsi" w:hAnsiTheme="minorHAnsi"/>
        </w:rPr>
        <w:t xml:space="preserve">The PMR </w:t>
      </w:r>
      <w:r>
        <w:rPr>
          <w:rFonts w:asciiTheme="minorHAnsi" w:hAnsiTheme="minorHAnsi"/>
        </w:rPr>
        <w:t>program</w:t>
      </w:r>
      <w:r w:rsidRPr="00D94DE8">
        <w:rPr>
          <w:rFonts w:asciiTheme="minorHAnsi" w:hAnsiTheme="minorHAnsi"/>
        </w:rPr>
        <w:t xml:space="preserve"> </w:t>
      </w:r>
      <w:r>
        <w:rPr>
          <w:rFonts w:asciiTheme="minorHAnsi" w:hAnsiTheme="minorHAnsi"/>
        </w:rPr>
        <w:t xml:space="preserve">aims to </w:t>
      </w:r>
      <w:r w:rsidRPr="00D94DE8">
        <w:rPr>
          <w:rFonts w:asciiTheme="minorHAnsi" w:hAnsiTheme="minorHAnsi"/>
        </w:rPr>
        <w:t>contribute to:</w:t>
      </w:r>
    </w:p>
    <w:p w:rsidR="0000686B" w:rsidRPr="000F2E81" w:rsidRDefault="0000686B" w:rsidP="00514129">
      <w:pPr>
        <w:numPr>
          <w:ilvl w:val="0"/>
          <w:numId w:val="2"/>
        </w:numPr>
        <w:spacing w:after="120" w:line="240" w:lineRule="auto"/>
        <w:ind w:left="425" w:hanging="425"/>
        <w:rPr>
          <w:rFonts w:asciiTheme="minorHAnsi" w:hAnsiTheme="minorHAnsi"/>
        </w:rPr>
      </w:pPr>
      <w:r w:rsidRPr="000372A2">
        <w:rPr>
          <w:rFonts w:asciiTheme="minorHAnsi" w:hAnsiTheme="minorHAnsi"/>
        </w:rPr>
        <w:t>Improved patient safety through better understanding of adverse events and medicine-related harms, including hospitalisations.</w:t>
      </w:r>
      <w:r w:rsidRPr="000F2E81">
        <w:rPr>
          <w:rFonts w:asciiTheme="minorHAnsi" w:hAnsiTheme="minorHAnsi"/>
        </w:rPr>
        <w:t xml:space="preserve"> </w:t>
      </w:r>
    </w:p>
    <w:p w:rsidR="0000686B" w:rsidRPr="000F2E81" w:rsidRDefault="0000686B" w:rsidP="00514129">
      <w:pPr>
        <w:numPr>
          <w:ilvl w:val="0"/>
          <w:numId w:val="2"/>
        </w:numPr>
        <w:spacing w:after="120" w:line="240" w:lineRule="auto"/>
        <w:ind w:left="425" w:hanging="425"/>
        <w:rPr>
          <w:rFonts w:asciiTheme="minorHAnsi" w:hAnsiTheme="minorHAnsi"/>
        </w:rPr>
      </w:pPr>
      <w:r w:rsidRPr="000F2E81">
        <w:rPr>
          <w:rFonts w:asciiTheme="minorHAnsi" w:hAnsiTheme="minorHAnsi"/>
        </w:rPr>
        <w:t>A more sustainable Pharmaceutical Benefits Scheme (PBS) through better targeting of medicines, and avoidance of preventable wastage, or inappropriate prescribing.</w:t>
      </w:r>
    </w:p>
    <w:p w:rsidR="0000686B" w:rsidRPr="000F2E81" w:rsidRDefault="0000686B" w:rsidP="00514129">
      <w:pPr>
        <w:numPr>
          <w:ilvl w:val="0"/>
          <w:numId w:val="2"/>
        </w:numPr>
        <w:spacing w:after="120" w:line="240" w:lineRule="auto"/>
        <w:ind w:left="425" w:hanging="425"/>
        <w:rPr>
          <w:rFonts w:asciiTheme="minorHAnsi" w:hAnsiTheme="minorHAnsi"/>
        </w:rPr>
      </w:pPr>
      <w:r w:rsidRPr="000F2E81">
        <w:rPr>
          <w:rFonts w:asciiTheme="minorHAnsi" w:hAnsiTheme="minorHAnsi"/>
        </w:rPr>
        <w:t>A better knowledge base to understand medicines utilisation, to validate the intended clinical benefit which will inform medicines evaluation processes.</w:t>
      </w:r>
    </w:p>
    <w:p w:rsidR="0000686B" w:rsidRPr="000F2E81" w:rsidRDefault="0000686B" w:rsidP="00514129">
      <w:pPr>
        <w:numPr>
          <w:ilvl w:val="0"/>
          <w:numId w:val="2"/>
        </w:numPr>
        <w:spacing w:after="120" w:line="240" w:lineRule="auto"/>
        <w:ind w:left="425" w:hanging="425"/>
        <w:rPr>
          <w:rFonts w:asciiTheme="minorHAnsi" w:hAnsiTheme="minorHAnsi"/>
        </w:rPr>
      </w:pPr>
      <w:r w:rsidRPr="000F2E81">
        <w:rPr>
          <w:rFonts w:asciiTheme="minorHAnsi" w:hAnsiTheme="minorHAnsi"/>
        </w:rPr>
        <w:t>A strengthened approach to medicine pricing management, including through better management of clinical and economic uncertainty.</w:t>
      </w:r>
    </w:p>
    <w:p w:rsidR="0000686B" w:rsidRPr="000F2E81" w:rsidRDefault="0000686B" w:rsidP="00514129">
      <w:pPr>
        <w:numPr>
          <w:ilvl w:val="0"/>
          <w:numId w:val="2"/>
        </w:numPr>
        <w:spacing w:after="120" w:line="240" w:lineRule="auto"/>
        <w:ind w:left="425" w:hanging="425"/>
        <w:rPr>
          <w:rFonts w:asciiTheme="minorHAnsi" w:hAnsiTheme="minorHAnsi"/>
        </w:rPr>
      </w:pPr>
      <w:r w:rsidRPr="000F2E81">
        <w:rPr>
          <w:rFonts w:asciiTheme="minorHAnsi" w:hAnsiTheme="minorHAnsi"/>
        </w:rPr>
        <w:t xml:space="preserve">Overall improvements to the quality use of medicines and education for patients and prescribers. </w:t>
      </w:r>
    </w:p>
    <w:p w:rsidR="0000686B" w:rsidRDefault="0000686B" w:rsidP="00514129">
      <w:pPr>
        <w:spacing w:line="240" w:lineRule="auto"/>
        <w:rPr>
          <w:rFonts w:asciiTheme="minorHAnsi" w:hAnsiTheme="minorHAnsi"/>
          <w:bCs/>
        </w:rPr>
      </w:pPr>
      <w:r>
        <w:rPr>
          <w:rFonts w:asciiTheme="minorHAnsi" w:hAnsiTheme="minorHAnsi"/>
          <w:bCs/>
        </w:rPr>
        <w:t>T</w:t>
      </w:r>
      <w:r w:rsidR="00B94AAC">
        <w:rPr>
          <w:rFonts w:asciiTheme="minorHAnsi" w:hAnsiTheme="minorHAnsi"/>
          <w:bCs/>
        </w:rPr>
        <w:t>he Minister may initiate a post-</w:t>
      </w:r>
      <w:r>
        <w:rPr>
          <w:rFonts w:asciiTheme="minorHAnsi" w:hAnsiTheme="minorHAnsi"/>
          <w:bCs/>
        </w:rPr>
        <w:t xml:space="preserve">market review, usually as a result of a recommendation from the PBAC, </w:t>
      </w:r>
      <w:r w:rsidRPr="00D94DE8">
        <w:rPr>
          <w:rFonts w:asciiTheme="minorHAnsi" w:hAnsiTheme="minorHAnsi"/>
          <w:bCs/>
        </w:rPr>
        <w:t>when concerns</w:t>
      </w:r>
      <w:r>
        <w:rPr>
          <w:rFonts w:asciiTheme="minorHAnsi" w:hAnsiTheme="minorHAnsi"/>
          <w:bCs/>
        </w:rPr>
        <w:t xml:space="preserve"> are raised</w:t>
      </w:r>
      <w:r w:rsidRPr="00D94DE8">
        <w:rPr>
          <w:rFonts w:asciiTheme="minorHAnsi" w:hAnsiTheme="minorHAnsi"/>
          <w:bCs/>
        </w:rPr>
        <w:t xml:space="preserve"> relat</w:t>
      </w:r>
      <w:r>
        <w:rPr>
          <w:rFonts w:asciiTheme="minorHAnsi" w:hAnsiTheme="minorHAnsi"/>
          <w:bCs/>
        </w:rPr>
        <w:t>ing</w:t>
      </w:r>
      <w:r w:rsidRPr="00D94DE8">
        <w:rPr>
          <w:rFonts w:asciiTheme="minorHAnsi" w:hAnsiTheme="minorHAnsi"/>
          <w:bCs/>
        </w:rPr>
        <w:t xml:space="preserve"> to </w:t>
      </w:r>
      <w:r>
        <w:rPr>
          <w:rFonts w:asciiTheme="minorHAnsi" w:hAnsiTheme="minorHAnsi"/>
          <w:bCs/>
        </w:rPr>
        <w:t xml:space="preserve">one or more of the following: </w:t>
      </w:r>
      <w:r w:rsidRPr="00D94DE8">
        <w:rPr>
          <w:rFonts w:asciiTheme="minorHAnsi" w:hAnsiTheme="minorHAnsi"/>
          <w:bCs/>
        </w:rPr>
        <w:t>the quality use of a medicine</w:t>
      </w:r>
      <w:r>
        <w:rPr>
          <w:rFonts w:asciiTheme="minorHAnsi" w:hAnsiTheme="minorHAnsi"/>
          <w:bCs/>
        </w:rPr>
        <w:t>;</w:t>
      </w:r>
      <w:r w:rsidRPr="00D94DE8">
        <w:rPr>
          <w:rFonts w:asciiTheme="minorHAnsi" w:hAnsiTheme="minorHAnsi"/>
          <w:bCs/>
        </w:rPr>
        <w:t xml:space="preserve"> cost-effectiveness</w:t>
      </w:r>
      <w:r>
        <w:rPr>
          <w:rFonts w:asciiTheme="minorHAnsi" w:hAnsiTheme="minorHAnsi"/>
          <w:bCs/>
        </w:rPr>
        <w:t>;</w:t>
      </w:r>
      <w:r w:rsidRPr="00D94DE8">
        <w:rPr>
          <w:rFonts w:asciiTheme="minorHAnsi" w:hAnsiTheme="minorHAnsi"/>
          <w:bCs/>
        </w:rPr>
        <w:t xml:space="preserve"> </w:t>
      </w:r>
      <w:r>
        <w:rPr>
          <w:rFonts w:asciiTheme="minorHAnsi" w:hAnsiTheme="minorHAnsi"/>
          <w:bCs/>
        </w:rPr>
        <w:t xml:space="preserve">comparative </w:t>
      </w:r>
      <w:r w:rsidRPr="00D94DE8">
        <w:rPr>
          <w:rFonts w:asciiTheme="minorHAnsi" w:hAnsiTheme="minorHAnsi"/>
          <w:bCs/>
        </w:rPr>
        <w:t>clinical effectiveness</w:t>
      </w:r>
      <w:r>
        <w:rPr>
          <w:rFonts w:asciiTheme="minorHAnsi" w:hAnsiTheme="minorHAnsi"/>
          <w:bCs/>
        </w:rPr>
        <w:t>;</w:t>
      </w:r>
      <w:r w:rsidRPr="00D94DE8">
        <w:rPr>
          <w:rFonts w:asciiTheme="minorHAnsi" w:hAnsiTheme="minorHAnsi"/>
          <w:bCs/>
        </w:rPr>
        <w:t xml:space="preserve"> </w:t>
      </w:r>
      <w:r>
        <w:rPr>
          <w:rFonts w:asciiTheme="minorHAnsi" w:hAnsiTheme="minorHAnsi"/>
          <w:bCs/>
        </w:rPr>
        <w:t>comparative safety; and unexpected</w:t>
      </w:r>
      <w:r w:rsidRPr="00D94DE8">
        <w:rPr>
          <w:rFonts w:asciiTheme="minorHAnsi" w:hAnsiTheme="minorHAnsi"/>
          <w:bCs/>
        </w:rPr>
        <w:t xml:space="preserve"> p</w:t>
      </w:r>
      <w:r>
        <w:rPr>
          <w:rFonts w:asciiTheme="minorHAnsi" w:hAnsiTheme="minorHAnsi"/>
          <w:bCs/>
        </w:rPr>
        <w:t>atterns of</w:t>
      </w:r>
      <w:r w:rsidRPr="00D94DE8">
        <w:rPr>
          <w:rFonts w:asciiTheme="minorHAnsi" w:hAnsiTheme="minorHAnsi"/>
          <w:bCs/>
        </w:rPr>
        <w:t xml:space="preserve"> utilisation. </w:t>
      </w:r>
      <w:r>
        <w:rPr>
          <w:rFonts w:asciiTheme="minorHAnsi" w:hAnsiTheme="minorHAnsi"/>
          <w:bCs/>
        </w:rPr>
        <w:t xml:space="preserve">The agreed framework, PBS Post-market Reviews March 2015, </w:t>
      </w:r>
      <w:r w:rsidRPr="00476D5D">
        <w:rPr>
          <w:rFonts w:asciiTheme="minorHAnsi" w:hAnsiTheme="minorHAnsi"/>
          <w:bCs/>
        </w:rPr>
        <w:t xml:space="preserve">outlines the usual approach to </w:t>
      </w:r>
      <w:r>
        <w:rPr>
          <w:rFonts w:asciiTheme="minorHAnsi" w:hAnsiTheme="minorHAnsi"/>
          <w:bCs/>
        </w:rPr>
        <w:t>post</w:t>
      </w:r>
      <w:r w:rsidR="00B94AAC">
        <w:rPr>
          <w:rFonts w:asciiTheme="minorHAnsi" w:hAnsiTheme="minorHAnsi"/>
          <w:bCs/>
        </w:rPr>
        <w:t>-</w:t>
      </w:r>
      <w:r>
        <w:rPr>
          <w:rFonts w:asciiTheme="minorHAnsi" w:hAnsiTheme="minorHAnsi"/>
          <w:bCs/>
        </w:rPr>
        <w:t>market reviews and is available on the PBS website</w:t>
      </w:r>
      <w:r w:rsidR="00106006">
        <w:rPr>
          <w:rStyle w:val="EndnoteReference"/>
          <w:rFonts w:asciiTheme="minorHAnsi" w:hAnsiTheme="minorHAnsi"/>
          <w:bCs/>
        </w:rPr>
        <w:endnoteReference w:id="16"/>
      </w:r>
      <w:r w:rsidR="00106006">
        <w:rPr>
          <w:rFonts w:asciiTheme="minorHAnsi" w:hAnsiTheme="minorHAnsi"/>
          <w:bCs/>
        </w:rPr>
        <w:t>.</w:t>
      </w:r>
    </w:p>
    <w:p w:rsidR="0000686B" w:rsidRPr="00DA7A17" w:rsidRDefault="003848A8" w:rsidP="00920324">
      <w:pPr>
        <w:pStyle w:val="Heading2"/>
      </w:pPr>
      <w:bookmarkStart w:id="29" w:name="_Toc482176927"/>
      <w:r>
        <w:t>B.</w:t>
      </w:r>
      <w:r w:rsidR="0000686B" w:rsidRPr="00473BC1">
        <w:rPr>
          <w:highlight w:val="yellow"/>
        </w:rPr>
        <w:t>1.2</w:t>
      </w:r>
      <w:r w:rsidR="00920324">
        <w:rPr>
          <w:highlight w:val="yellow"/>
        </w:rPr>
        <w:tab/>
      </w:r>
      <w:r w:rsidR="00920324">
        <w:rPr>
          <w:highlight w:val="yellow"/>
        </w:rPr>
        <w:tab/>
      </w:r>
      <w:r w:rsidR="0000686B" w:rsidRPr="00F43D38">
        <w:rPr>
          <w:highlight w:val="yellow"/>
        </w:rPr>
        <w:t>Overview</w:t>
      </w:r>
      <w:r w:rsidR="0000686B" w:rsidRPr="00473BC1">
        <w:rPr>
          <w:highlight w:val="yellow"/>
        </w:rPr>
        <w:t xml:space="preserve"> of </w:t>
      </w:r>
      <w:r w:rsidR="0000686B" w:rsidRPr="00F43D38">
        <w:rPr>
          <w:highlight w:val="yellow"/>
        </w:rPr>
        <w:t>the</w:t>
      </w:r>
      <w:r w:rsidR="0000686B" w:rsidRPr="00473BC1">
        <w:rPr>
          <w:highlight w:val="yellow"/>
        </w:rPr>
        <w:t xml:space="preserve"> Review Process</w:t>
      </w:r>
      <w:bookmarkEnd w:id="29"/>
    </w:p>
    <w:p w:rsidR="0000686B" w:rsidRPr="003440BA" w:rsidRDefault="0000686B" w:rsidP="00514129">
      <w:pPr>
        <w:spacing w:line="240" w:lineRule="auto"/>
        <w:rPr>
          <w:rFonts w:asciiTheme="minorHAnsi" w:hAnsiTheme="minorHAnsi"/>
          <w:bCs/>
        </w:rPr>
      </w:pPr>
      <w:r w:rsidRPr="003440BA">
        <w:rPr>
          <w:rFonts w:asciiTheme="minorHAnsi" w:hAnsiTheme="minorHAnsi"/>
          <w:bCs/>
        </w:rPr>
        <w:t xml:space="preserve">The PMR process is detailed on the PBS </w:t>
      </w:r>
      <w:hyperlink r:id="rId18" w:history="1">
        <w:r w:rsidRPr="007A6D41">
          <w:rPr>
            <w:rStyle w:val="Hyperlink"/>
            <w:rFonts w:asciiTheme="minorHAnsi" w:hAnsiTheme="minorHAnsi"/>
            <w:bCs/>
          </w:rPr>
          <w:t>website</w:t>
        </w:r>
      </w:hyperlink>
      <w:r w:rsidR="008B74D7">
        <w:rPr>
          <w:rStyle w:val="Hyperlink"/>
          <w:rFonts w:asciiTheme="minorHAnsi" w:hAnsiTheme="minorHAnsi"/>
          <w:bCs/>
        </w:rPr>
        <w:t>.</w:t>
      </w:r>
      <w:r>
        <w:rPr>
          <w:rFonts w:asciiTheme="minorHAnsi" w:hAnsiTheme="minorHAnsi"/>
          <w:bCs/>
        </w:rPr>
        <w:t xml:space="preserve"> </w:t>
      </w:r>
      <w:r w:rsidR="008B74D7" w:rsidRPr="00E11D43">
        <w:rPr>
          <w:rFonts w:asciiTheme="minorHAnsi" w:hAnsiTheme="minorHAnsi"/>
          <w:bCs/>
        </w:rPr>
        <w:t xml:space="preserve">The </w:t>
      </w:r>
      <w:r w:rsidR="00D179A9">
        <w:rPr>
          <w:rFonts w:asciiTheme="minorHAnsi" w:hAnsiTheme="minorHAnsi"/>
          <w:bCs/>
        </w:rPr>
        <w:t xml:space="preserve">key </w:t>
      </w:r>
      <w:r w:rsidR="00B94AAC">
        <w:rPr>
          <w:rFonts w:asciiTheme="minorHAnsi" w:hAnsiTheme="minorHAnsi"/>
          <w:bCs/>
        </w:rPr>
        <w:t>dates for the Post-</w:t>
      </w:r>
      <w:r w:rsidR="008B74D7" w:rsidRPr="00E11D43">
        <w:rPr>
          <w:rFonts w:asciiTheme="minorHAnsi" w:hAnsiTheme="minorHAnsi"/>
          <w:bCs/>
        </w:rPr>
        <w:t>market review of Ezetimibe are available at</w:t>
      </w:r>
      <w:r w:rsidR="008B74D7" w:rsidRPr="00422655">
        <w:rPr>
          <w:rFonts w:asciiTheme="minorHAnsi" w:hAnsiTheme="minorHAnsi"/>
          <w:bCs/>
        </w:rPr>
        <w:t xml:space="preserve"> </w:t>
      </w:r>
      <w:r w:rsidR="008B74D7" w:rsidRPr="00074D93">
        <w:rPr>
          <w:rStyle w:val="Hyperlink"/>
          <w:rFonts w:asciiTheme="minorHAnsi" w:hAnsiTheme="minorHAnsi"/>
          <w:b/>
          <w:color w:val="auto"/>
          <w:u w:val="none"/>
        </w:rPr>
        <w:t>Appendix C.</w:t>
      </w:r>
    </w:p>
    <w:p w:rsidR="0000686B" w:rsidRPr="003440BA" w:rsidRDefault="0000686B" w:rsidP="00514129">
      <w:pPr>
        <w:spacing w:line="240" w:lineRule="auto"/>
        <w:rPr>
          <w:rFonts w:asciiTheme="minorHAnsi" w:hAnsiTheme="minorHAnsi"/>
          <w:bCs/>
        </w:rPr>
      </w:pPr>
      <w:r w:rsidRPr="003440BA">
        <w:rPr>
          <w:rFonts w:asciiTheme="minorHAnsi" w:hAnsiTheme="minorHAnsi"/>
          <w:bCs/>
        </w:rPr>
        <w:t xml:space="preserve">In accordance with the framework the review consists of: </w:t>
      </w:r>
    </w:p>
    <w:p w:rsidR="0000686B" w:rsidRPr="005715DF" w:rsidRDefault="0000686B" w:rsidP="00514129">
      <w:pPr>
        <w:pStyle w:val="ListParagraph"/>
        <w:numPr>
          <w:ilvl w:val="0"/>
          <w:numId w:val="7"/>
        </w:numPr>
        <w:spacing w:after="120" w:line="240" w:lineRule="auto"/>
        <w:ind w:left="425" w:hanging="425"/>
        <w:contextualSpacing w:val="0"/>
        <w:rPr>
          <w:rFonts w:asciiTheme="minorHAnsi" w:hAnsiTheme="minorHAnsi"/>
          <w:bCs/>
        </w:rPr>
      </w:pPr>
      <w:r w:rsidRPr="005715DF">
        <w:rPr>
          <w:rFonts w:asciiTheme="minorHAnsi" w:hAnsiTheme="minorHAnsi"/>
          <w:bCs/>
        </w:rPr>
        <w:t>establishment of draft terms of reference by the PBAC and direction to commence the review by the Minister</w:t>
      </w:r>
    </w:p>
    <w:p w:rsidR="0000686B" w:rsidRPr="005715DF" w:rsidRDefault="0000686B" w:rsidP="00514129">
      <w:pPr>
        <w:pStyle w:val="ListParagraph"/>
        <w:numPr>
          <w:ilvl w:val="0"/>
          <w:numId w:val="7"/>
        </w:numPr>
        <w:spacing w:after="120" w:line="240" w:lineRule="auto"/>
        <w:ind w:left="425" w:hanging="425"/>
        <w:contextualSpacing w:val="0"/>
        <w:rPr>
          <w:rFonts w:asciiTheme="minorHAnsi" w:hAnsiTheme="minorHAnsi"/>
          <w:bCs/>
        </w:rPr>
      </w:pPr>
      <w:r w:rsidRPr="005715DF">
        <w:rPr>
          <w:rFonts w:asciiTheme="minorHAnsi" w:hAnsiTheme="minorHAnsi"/>
          <w:bCs/>
        </w:rPr>
        <w:t>stakeholder consultation on the draft terms of reference</w:t>
      </w:r>
    </w:p>
    <w:p w:rsidR="0000686B" w:rsidRPr="005715DF" w:rsidRDefault="0000686B" w:rsidP="00514129">
      <w:pPr>
        <w:pStyle w:val="ListParagraph"/>
        <w:numPr>
          <w:ilvl w:val="0"/>
          <w:numId w:val="7"/>
        </w:numPr>
        <w:spacing w:after="120" w:line="240" w:lineRule="auto"/>
        <w:ind w:left="425" w:hanging="425"/>
        <w:contextualSpacing w:val="0"/>
        <w:rPr>
          <w:rFonts w:asciiTheme="minorHAnsi" w:hAnsiTheme="minorHAnsi"/>
          <w:bCs/>
        </w:rPr>
      </w:pPr>
      <w:r w:rsidRPr="005715DF">
        <w:rPr>
          <w:rFonts w:asciiTheme="minorHAnsi" w:hAnsiTheme="minorHAnsi"/>
          <w:bCs/>
        </w:rPr>
        <w:t>review of stakeholder comments on the draft terms of reference by the PBAC and ratification of the final terms of reference</w:t>
      </w:r>
    </w:p>
    <w:p w:rsidR="0000686B" w:rsidRPr="005715DF" w:rsidRDefault="0000686B" w:rsidP="00514129">
      <w:pPr>
        <w:pStyle w:val="ListParagraph"/>
        <w:numPr>
          <w:ilvl w:val="0"/>
          <w:numId w:val="7"/>
        </w:numPr>
        <w:spacing w:after="120" w:line="240" w:lineRule="auto"/>
        <w:ind w:left="425" w:hanging="425"/>
        <w:contextualSpacing w:val="0"/>
        <w:rPr>
          <w:rFonts w:asciiTheme="minorHAnsi" w:hAnsiTheme="minorHAnsi"/>
          <w:bCs/>
        </w:rPr>
      </w:pPr>
      <w:r w:rsidRPr="005715DF">
        <w:rPr>
          <w:rFonts w:asciiTheme="minorHAnsi" w:hAnsiTheme="minorHAnsi"/>
          <w:bCs/>
        </w:rPr>
        <w:t>establishment of a reference group to guide the review</w:t>
      </w:r>
    </w:p>
    <w:p w:rsidR="0000686B" w:rsidRPr="005715DF" w:rsidRDefault="0000686B" w:rsidP="00514129">
      <w:pPr>
        <w:pStyle w:val="ListParagraph"/>
        <w:numPr>
          <w:ilvl w:val="0"/>
          <w:numId w:val="7"/>
        </w:numPr>
        <w:spacing w:after="120" w:line="240" w:lineRule="auto"/>
        <w:ind w:left="425" w:hanging="425"/>
        <w:contextualSpacing w:val="0"/>
        <w:rPr>
          <w:rFonts w:asciiTheme="minorHAnsi" w:hAnsiTheme="minorHAnsi"/>
          <w:bCs/>
        </w:rPr>
      </w:pPr>
      <w:r w:rsidRPr="005715DF">
        <w:rPr>
          <w:rFonts w:asciiTheme="minorHAnsi" w:hAnsiTheme="minorHAnsi"/>
          <w:bCs/>
        </w:rPr>
        <w:lastRenderedPageBreak/>
        <w:t xml:space="preserve">engagement of independent external evaluators </w:t>
      </w:r>
    </w:p>
    <w:p w:rsidR="0000686B" w:rsidRPr="005715DF" w:rsidRDefault="0000686B" w:rsidP="00514129">
      <w:pPr>
        <w:pStyle w:val="ListParagraph"/>
        <w:numPr>
          <w:ilvl w:val="0"/>
          <w:numId w:val="7"/>
        </w:numPr>
        <w:spacing w:after="120" w:line="240" w:lineRule="auto"/>
        <w:ind w:left="425" w:hanging="425"/>
        <w:contextualSpacing w:val="0"/>
        <w:rPr>
          <w:rFonts w:asciiTheme="minorHAnsi" w:hAnsiTheme="minorHAnsi"/>
          <w:bCs/>
        </w:rPr>
      </w:pPr>
      <w:r w:rsidRPr="005715DF">
        <w:rPr>
          <w:rFonts w:asciiTheme="minorHAnsi" w:hAnsiTheme="minorHAnsi"/>
          <w:bCs/>
        </w:rPr>
        <w:t>undertaking a stakeholder forum to inform and engage with a wide range of stakeholders</w:t>
      </w:r>
      <w:r>
        <w:rPr>
          <w:rFonts w:asciiTheme="minorHAnsi" w:hAnsiTheme="minorHAnsi"/>
          <w:bCs/>
        </w:rPr>
        <w:t xml:space="preserve"> if recommended by the Reference Group </w:t>
      </w:r>
    </w:p>
    <w:p w:rsidR="0000686B" w:rsidRDefault="0000686B" w:rsidP="00514129">
      <w:pPr>
        <w:pStyle w:val="ListParagraph"/>
        <w:numPr>
          <w:ilvl w:val="0"/>
          <w:numId w:val="7"/>
        </w:numPr>
        <w:spacing w:after="120" w:line="240" w:lineRule="auto"/>
        <w:ind w:left="425" w:hanging="425"/>
        <w:contextualSpacing w:val="0"/>
        <w:rPr>
          <w:rFonts w:asciiTheme="minorHAnsi" w:hAnsiTheme="minorHAnsi" w:cs="Arial"/>
          <w:b/>
          <w:iCs/>
          <w:szCs w:val="24"/>
        </w:rPr>
      </w:pPr>
      <w:r w:rsidRPr="005715DF">
        <w:rPr>
          <w:rFonts w:asciiTheme="minorHAnsi" w:hAnsiTheme="minorHAnsi"/>
          <w:bCs/>
        </w:rPr>
        <w:t>preparation and publication of a report including all evidence prepared by evaluators and other materials considered by the reference group</w:t>
      </w:r>
      <w:r w:rsidRPr="005715DF">
        <w:rPr>
          <w:rFonts w:asciiTheme="minorHAnsi" w:hAnsiTheme="minorHAnsi" w:cs="Arial"/>
          <w:b/>
          <w:iCs/>
          <w:szCs w:val="24"/>
        </w:rPr>
        <w:t xml:space="preserve"> </w:t>
      </w:r>
    </w:p>
    <w:p w:rsidR="0000686B" w:rsidRPr="005715DF" w:rsidRDefault="0000686B" w:rsidP="00514129">
      <w:pPr>
        <w:pStyle w:val="ListParagraph"/>
        <w:numPr>
          <w:ilvl w:val="0"/>
          <w:numId w:val="7"/>
        </w:numPr>
        <w:spacing w:after="120" w:line="240" w:lineRule="auto"/>
        <w:ind w:left="425" w:hanging="425"/>
        <w:contextualSpacing w:val="0"/>
        <w:rPr>
          <w:rFonts w:asciiTheme="minorHAnsi" w:hAnsiTheme="minorHAnsi"/>
          <w:bCs/>
        </w:rPr>
      </w:pPr>
      <w:r w:rsidRPr="005715DF">
        <w:rPr>
          <w:rFonts w:asciiTheme="minorHAnsi" w:hAnsiTheme="minorHAnsi"/>
          <w:bCs/>
        </w:rPr>
        <w:t>opportunity for all stakeholders to provide additional comments</w:t>
      </w:r>
    </w:p>
    <w:p w:rsidR="0000686B" w:rsidRPr="005715DF" w:rsidRDefault="0000686B" w:rsidP="00514129">
      <w:pPr>
        <w:pStyle w:val="ListParagraph"/>
        <w:numPr>
          <w:ilvl w:val="0"/>
          <w:numId w:val="7"/>
        </w:numPr>
        <w:spacing w:after="120" w:line="240" w:lineRule="auto"/>
        <w:ind w:left="425" w:hanging="425"/>
        <w:contextualSpacing w:val="0"/>
        <w:rPr>
          <w:rFonts w:asciiTheme="minorHAnsi" w:hAnsiTheme="minorHAnsi"/>
          <w:bCs/>
        </w:rPr>
      </w:pPr>
      <w:r w:rsidRPr="005715DF">
        <w:rPr>
          <w:rFonts w:asciiTheme="minorHAnsi" w:hAnsiTheme="minorHAnsi"/>
          <w:bCs/>
        </w:rPr>
        <w:t>finalisation of the report.</w:t>
      </w:r>
    </w:p>
    <w:p w:rsidR="008B74D7" w:rsidRPr="00375000" w:rsidRDefault="0000686B" w:rsidP="008B74D7">
      <w:pPr>
        <w:spacing w:line="240" w:lineRule="auto"/>
        <w:rPr>
          <w:rStyle w:val="Hyperlink"/>
          <w:color w:val="auto"/>
        </w:rPr>
      </w:pPr>
      <w:r w:rsidRPr="000F2E81">
        <w:rPr>
          <w:rFonts w:asciiTheme="minorHAnsi" w:hAnsiTheme="minorHAnsi"/>
          <w:bCs/>
        </w:rPr>
        <w:t xml:space="preserve">The final Review report is provided to the PBAC. The PBAC considers the report and forms recommendations to the Minister. Following consideration by the Minister, the final report is published on the Post-market Review section of the PBS </w:t>
      </w:r>
      <w:r w:rsidRPr="00375000">
        <w:rPr>
          <w:rFonts w:asciiTheme="minorHAnsi" w:hAnsiTheme="minorHAnsi"/>
          <w:bCs/>
        </w:rPr>
        <w:t xml:space="preserve">website. </w:t>
      </w:r>
    </w:p>
    <w:p w:rsidR="0000686B" w:rsidRPr="00CF3293" w:rsidRDefault="003848A8">
      <w:pPr>
        <w:pStyle w:val="Heading3"/>
      </w:pPr>
      <w:bookmarkStart w:id="30" w:name="_Toc482176928"/>
      <w:r>
        <w:t>B.</w:t>
      </w:r>
      <w:r w:rsidR="0000686B" w:rsidRPr="00F53453">
        <w:t>1.2.1</w:t>
      </w:r>
      <w:r w:rsidR="0000686B" w:rsidRPr="00F53453">
        <w:tab/>
        <w:t>Review Reference Group</w:t>
      </w:r>
      <w:bookmarkEnd w:id="30"/>
    </w:p>
    <w:p w:rsidR="008B74D7" w:rsidRPr="00F048A0" w:rsidRDefault="0000686B" w:rsidP="00514129">
      <w:pPr>
        <w:spacing w:line="240" w:lineRule="auto"/>
        <w:rPr>
          <w:rFonts w:asciiTheme="minorHAnsi" w:hAnsiTheme="minorHAnsi"/>
          <w:szCs w:val="24"/>
        </w:rPr>
      </w:pPr>
      <w:r w:rsidRPr="00F048A0">
        <w:rPr>
          <w:rFonts w:asciiTheme="minorHAnsi" w:hAnsiTheme="minorHAnsi"/>
          <w:szCs w:val="24"/>
        </w:rPr>
        <w:t xml:space="preserve">A Reference Group </w:t>
      </w:r>
      <w:r w:rsidR="009C07F7">
        <w:rPr>
          <w:rFonts w:asciiTheme="minorHAnsi" w:hAnsiTheme="minorHAnsi"/>
          <w:szCs w:val="24"/>
        </w:rPr>
        <w:t xml:space="preserve">is formed </w:t>
      </w:r>
      <w:r w:rsidRPr="00F048A0">
        <w:rPr>
          <w:rFonts w:asciiTheme="minorHAnsi" w:hAnsiTheme="minorHAnsi"/>
          <w:szCs w:val="24"/>
        </w:rPr>
        <w:t>to assist in the review of the evidence and information for each of the review’s terms of reference, and to ensure that the perspectives of stakeholders are considered in its preparation of the final report to the PBAC. The Reference Group may provide the PBAC with options to address key findings. Members of the Reference Group are appointed as either individuals or organisatio</w:t>
      </w:r>
      <w:r>
        <w:rPr>
          <w:rFonts w:asciiTheme="minorHAnsi" w:hAnsiTheme="minorHAnsi"/>
          <w:szCs w:val="24"/>
        </w:rPr>
        <w:t>nal representatives. Representation includes</w:t>
      </w:r>
      <w:r w:rsidRPr="00F048A0">
        <w:rPr>
          <w:rFonts w:asciiTheme="minorHAnsi" w:hAnsiTheme="minorHAnsi"/>
          <w:szCs w:val="24"/>
        </w:rPr>
        <w:t xml:space="preserve"> clinical experts, </w:t>
      </w:r>
      <w:r>
        <w:rPr>
          <w:rFonts w:asciiTheme="minorHAnsi" w:hAnsiTheme="minorHAnsi"/>
          <w:szCs w:val="24"/>
        </w:rPr>
        <w:t xml:space="preserve">health economists </w:t>
      </w:r>
      <w:r w:rsidRPr="00F048A0">
        <w:rPr>
          <w:rFonts w:asciiTheme="minorHAnsi" w:hAnsiTheme="minorHAnsi"/>
          <w:szCs w:val="24"/>
        </w:rPr>
        <w:t>and representatives of relevant health professional and consumer organisations.</w:t>
      </w:r>
      <w:r w:rsidR="009C07F7">
        <w:rPr>
          <w:rFonts w:asciiTheme="minorHAnsi" w:hAnsiTheme="minorHAnsi"/>
          <w:szCs w:val="24"/>
        </w:rPr>
        <w:t xml:space="preserve"> The Reference group for the Ezetimibe Review was appointed on 8 April 2016.</w:t>
      </w:r>
      <w:r w:rsidR="008B74D7">
        <w:rPr>
          <w:rFonts w:asciiTheme="minorHAnsi" w:hAnsiTheme="minorHAnsi"/>
        </w:rPr>
        <w:t xml:space="preserve"> </w:t>
      </w:r>
      <w:r w:rsidR="008B74D7" w:rsidRPr="00B67417">
        <w:rPr>
          <w:rFonts w:asciiTheme="minorHAnsi" w:hAnsiTheme="minorHAnsi"/>
        </w:rPr>
        <w:t xml:space="preserve">A full list of Reference Group members </w:t>
      </w:r>
      <w:r w:rsidR="008B74D7">
        <w:rPr>
          <w:rFonts w:asciiTheme="minorHAnsi" w:hAnsiTheme="minorHAnsi"/>
        </w:rPr>
        <w:t>will be provided in the final report published on the PBS website</w:t>
      </w:r>
      <w:r w:rsidR="008B74D7" w:rsidRPr="00B67417">
        <w:rPr>
          <w:rFonts w:asciiTheme="minorHAnsi" w:hAnsiTheme="minorHAnsi"/>
        </w:rPr>
        <w:t xml:space="preserve"> at </w:t>
      </w:r>
      <w:r w:rsidR="008B74D7" w:rsidRPr="00C61395">
        <w:rPr>
          <w:rFonts w:asciiTheme="minorHAnsi" w:hAnsiTheme="minorHAnsi"/>
          <w:b/>
        </w:rPr>
        <w:t xml:space="preserve">Appendix </w:t>
      </w:r>
      <w:r w:rsidR="008B74D7">
        <w:rPr>
          <w:rFonts w:asciiTheme="minorHAnsi" w:hAnsiTheme="minorHAnsi"/>
          <w:b/>
        </w:rPr>
        <w:t>D</w:t>
      </w:r>
      <w:r w:rsidR="008B74D7" w:rsidRPr="00B67417">
        <w:rPr>
          <w:rFonts w:asciiTheme="minorHAnsi" w:hAnsiTheme="minorHAnsi"/>
        </w:rPr>
        <w:t>.</w:t>
      </w:r>
      <w:r w:rsidR="008B74D7" w:rsidRPr="00AE72B7">
        <w:rPr>
          <w:rFonts w:asciiTheme="minorHAnsi" w:hAnsiTheme="minorHAnsi"/>
        </w:rPr>
        <w:t xml:space="preserve"> </w:t>
      </w:r>
    </w:p>
    <w:p w:rsidR="0000686B" w:rsidRPr="00CF3293" w:rsidRDefault="003848A8">
      <w:pPr>
        <w:pStyle w:val="Heading3"/>
      </w:pPr>
      <w:bookmarkStart w:id="31" w:name="_Toc482176929"/>
      <w:r>
        <w:t>B.</w:t>
      </w:r>
      <w:r w:rsidR="0000686B" w:rsidRPr="00F53453">
        <w:t>1.2.2</w:t>
      </w:r>
      <w:r w:rsidR="0000686B" w:rsidRPr="00F53453">
        <w:tab/>
        <w:t>Report Sources</w:t>
      </w:r>
      <w:bookmarkEnd w:id="31"/>
    </w:p>
    <w:p w:rsidR="0000686B" w:rsidRPr="00F048A0" w:rsidRDefault="0000686B" w:rsidP="00514129">
      <w:pPr>
        <w:spacing w:line="240" w:lineRule="auto"/>
        <w:rPr>
          <w:rFonts w:asciiTheme="minorHAnsi" w:hAnsiTheme="minorHAnsi"/>
          <w:bCs/>
          <w:szCs w:val="24"/>
        </w:rPr>
      </w:pPr>
      <w:r w:rsidRPr="00F048A0">
        <w:rPr>
          <w:rFonts w:asciiTheme="minorHAnsi" w:hAnsiTheme="minorHAnsi"/>
          <w:bCs/>
          <w:szCs w:val="24"/>
        </w:rPr>
        <w:t xml:space="preserve">The review report is compiled from a wide range of sources including scientific literature, data analysis and stakeholder input. </w:t>
      </w:r>
    </w:p>
    <w:p w:rsidR="0000686B" w:rsidRPr="00F048A0" w:rsidRDefault="0000686B" w:rsidP="00514129">
      <w:pPr>
        <w:spacing w:line="240" w:lineRule="auto"/>
        <w:rPr>
          <w:rFonts w:asciiTheme="minorHAnsi" w:hAnsiTheme="minorHAnsi"/>
          <w:bCs/>
          <w:szCs w:val="24"/>
        </w:rPr>
      </w:pPr>
      <w:r w:rsidRPr="00F048A0">
        <w:rPr>
          <w:rFonts w:asciiTheme="minorHAnsi" w:hAnsiTheme="minorHAnsi"/>
          <w:bCs/>
          <w:szCs w:val="24"/>
        </w:rPr>
        <w:t>All material prepared by the external evaluation group and the Reference Group has no redacted information and is publicly accessible. A stakeholder may request that their submission to the Review remains confidential, or that details of the person or organisations making a submission be not included in any public data release.</w:t>
      </w:r>
    </w:p>
    <w:p w:rsidR="0000686B" w:rsidRPr="00DA7A17" w:rsidRDefault="003848A8" w:rsidP="00920324">
      <w:pPr>
        <w:pStyle w:val="Heading2"/>
      </w:pPr>
      <w:bookmarkStart w:id="32" w:name="_Toc380492198"/>
      <w:bookmarkStart w:id="33" w:name="_Toc388453106"/>
      <w:bookmarkStart w:id="34" w:name="_Toc482176930"/>
      <w:r>
        <w:t>B.</w:t>
      </w:r>
      <w:r w:rsidR="0000686B" w:rsidRPr="00DA7A17">
        <w:t>1.3</w:t>
      </w:r>
      <w:r w:rsidR="00920324">
        <w:tab/>
      </w:r>
      <w:r w:rsidR="0000686B" w:rsidRPr="00DA7A17">
        <w:tab/>
        <w:t>About the Ezetimibe Post-Market Review</w:t>
      </w:r>
      <w:bookmarkEnd w:id="32"/>
      <w:bookmarkEnd w:id="33"/>
      <w:bookmarkEnd w:id="34"/>
    </w:p>
    <w:p w:rsidR="0000686B" w:rsidRPr="00F048A0" w:rsidRDefault="0000686B" w:rsidP="00514129">
      <w:pPr>
        <w:spacing w:line="240" w:lineRule="auto"/>
        <w:rPr>
          <w:rFonts w:asciiTheme="minorHAnsi" w:hAnsiTheme="minorHAnsi"/>
          <w:bCs/>
          <w:szCs w:val="24"/>
        </w:rPr>
      </w:pPr>
      <w:r w:rsidRPr="00F048A0">
        <w:rPr>
          <w:rFonts w:asciiTheme="minorHAnsi" w:hAnsiTheme="minorHAnsi"/>
          <w:bCs/>
          <w:szCs w:val="24"/>
        </w:rPr>
        <w:t xml:space="preserve">The PBAC first recommended listing ezetimibe (Ezetrol®) </w:t>
      </w:r>
      <w:r>
        <w:rPr>
          <w:rFonts w:asciiTheme="minorHAnsi" w:hAnsiTheme="minorHAnsi"/>
          <w:bCs/>
          <w:szCs w:val="24"/>
        </w:rPr>
        <w:t xml:space="preserve">on the PBS </w:t>
      </w:r>
      <w:r w:rsidRPr="00F048A0">
        <w:rPr>
          <w:rFonts w:asciiTheme="minorHAnsi" w:hAnsiTheme="minorHAnsi"/>
          <w:bCs/>
          <w:szCs w:val="24"/>
        </w:rPr>
        <w:t xml:space="preserve">in June 2003 based on a comparison of data on lipid </w:t>
      </w:r>
      <w:r w:rsidR="004B1768" w:rsidRPr="004C1339">
        <w:rPr>
          <w:rFonts w:asciiTheme="minorHAnsi" w:eastAsia="Times New Roman" w:hAnsiTheme="minorHAnsi" w:cs="Arial"/>
          <w:color w:val="222222"/>
          <w:szCs w:val="24"/>
          <w:highlight w:val="yellow"/>
          <w:lang w:eastAsia="en-AU"/>
        </w:rPr>
        <w:t>concentrations</w:t>
      </w:r>
      <w:r w:rsidR="004B1768" w:rsidRPr="00F048A0">
        <w:rPr>
          <w:rFonts w:asciiTheme="minorHAnsi" w:hAnsiTheme="minorHAnsi"/>
          <w:bCs/>
          <w:szCs w:val="24"/>
        </w:rPr>
        <w:t xml:space="preserve"> </w:t>
      </w:r>
      <w:r w:rsidRPr="00F048A0">
        <w:rPr>
          <w:rFonts w:asciiTheme="minorHAnsi" w:hAnsiTheme="minorHAnsi"/>
          <w:bCs/>
          <w:szCs w:val="24"/>
        </w:rPr>
        <w:t xml:space="preserve">which was available at the time. Longer term studies to assess whether reduction of lipid </w:t>
      </w:r>
      <w:r w:rsidR="004B1768" w:rsidRPr="004C1339">
        <w:rPr>
          <w:rFonts w:asciiTheme="minorHAnsi" w:eastAsia="Times New Roman" w:hAnsiTheme="minorHAnsi" w:cs="Arial"/>
          <w:color w:val="222222"/>
          <w:szCs w:val="24"/>
          <w:highlight w:val="yellow"/>
          <w:lang w:eastAsia="en-AU"/>
        </w:rPr>
        <w:t>concentrations</w:t>
      </w:r>
      <w:r w:rsidR="004B1768" w:rsidRPr="00F048A0">
        <w:rPr>
          <w:rFonts w:asciiTheme="minorHAnsi" w:hAnsiTheme="minorHAnsi"/>
          <w:bCs/>
          <w:szCs w:val="24"/>
        </w:rPr>
        <w:t xml:space="preserve"> </w:t>
      </w:r>
      <w:r w:rsidRPr="00F048A0">
        <w:rPr>
          <w:rFonts w:asciiTheme="minorHAnsi" w:hAnsiTheme="minorHAnsi"/>
          <w:bCs/>
          <w:szCs w:val="24"/>
        </w:rPr>
        <w:t>by ezetimibe actually resulted in fewer cardiovascular events were not available.</w:t>
      </w:r>
      <w:r w:rsidRPr="00F048A0">
        <w:rPr>
          <w:rFonts w:asciiTheme="minorHAnsi" w:hAnsiTheme="minorHAnsi"/>
          <w:szCs w:val="24"/>
        </w:rPr>
        <w:t xml:space="preserve"> </w:t>
      </w:r>
      <w:r w:rsidRPr="00F048A0">
        <w:rPr>
          <w:rFonts w:asciiTheme="minorHAnsi" w:hAnsiTheme="minorHAnsi"/>
          <w:bCs/>
          <w:szCs w:val="24"/>
        </w:rPr>
        <w:t xml:space="preserve">A summary of the PBS listing history of ezetimibe and its combination products is at </w:t>
      </w:r>
      <w:r w:rsidRPr="00074D93">
        <w:rPr>
          <w:rStyle w:val="Hyperlink"/>
          <w:rFonts w:asciiTheme="minorHAnsi" w:hAnsiTheme="minorHAnsi"/>
          <w:b/>
          <w:color w:val="auto"/>
          <w:szCs w:val="24"/>
          <w:u w:val="none"/>
        </w:rPr>
        <w:t>Appendix A</w:t>
      </w:r>
      <w:r w:rsidRPr="00F048A0">
        <w:rPr>
          <w:rFonts w:asciiTheme="minorHAnsi" w:hAnsiTheme="minorHAnsi"/>
          <w:bCs/>
          <w:szCs w:val="24"/>
        </w:rPr>
        <w:t xml:space="preserve">.  </w:t>
      </w:r>
    </w:p>
    <w:p w:rsidR="0000686B" w:rsidRPr="00F048A0" w:rsidRDefault="0000686B" w:rsidP="00514129">
      <w:pPr>
        <w:spacing w:line="240" w:lineRule="auto"/>
        <w:rPr>
          <w:rFonts w:asciiTheme="minorHAnsi" w:hAnsiTheme="minorHAnsi"/>
          <w:bCs/>
          <w:szCs w:val="24"/>
        </w:rPr>
      </w:pPr>
      <w:r w:rsidRPr="00F048A0">
        <w:rPr>
          <w:rFonts w:asciiTheme="minorHAnsi" w:hAnsiTheme="minorHAnsi"/>
          <w:bCs/>
          <w:szCs w:val="24"/>
        </w:rPr>
        <w:t>Ezetimibe is one of a group of medicines called lipid modifying agents. The most commonly used lipid modifying agents are</w:t>
      </w:r>
      <w:r>
        <w:rPr>
          <w:rFonts w:asciiTheme="minorHAnsi" w:hAnsiTheme="minorHAnsi"/>
          <w:bCs/>
          <w:szCs w:val="24"/>
        </w:rPr>
        <w:t xml:space="preserve"> </w:t>
      </w:r>
      <w:r>
        <w:rPr>
          <w:rStyle w:val="tgc"/>
          <w:rFonts w:ascii="Arial" w:hAnsi="Arial" w:cs="Arial"/>
          <w:color w:val="222222"/>
        </w:rPr>
        <w:t>3</w:t>
      </w:r>
      <w:r w:rsidRPr="00A269AF">
        <w:rPr>
          <w:rFonts w:asciiTheme="minorHAnsi" w:hAnsiTheme="minorHAnsi"/>
          <w:bCs/>
          <w:szCs w:val="24"/>
        </w:rPr>
        <w:t xml:space="preserve">-hydroxy-3-methyl-glutaryl-coenzyme A </w:t>
      </w:r>
      <w:r>
        <w:rPr>
          <w:rFonts w:asciiTheme="minorHAnsi" w:hAnsiTheme="minorHAnsi"/>
          <w:bCs/>
          <w:szCs w:val="24"/>
        </w:rPr>
        <w:t xml:space="preserve">(HMG-CoA) </w:t>
      </w:r>
      <w:r w:rsidRPr="00A269AF">
        <w:rPr>
          <w:rFonts w:asciiTheme="minorHAnsi" w:hAnsiTheme="minorHAnsi"/>
          <w:szCs w:val="24"/>
        </w:rPr>
        <w:t>reductase</w:t>
      </w:r>
      <w:r w:rsidRPr="00F048A0">
        <w:rPr>
          <w:rFonts w:asciiTheme="minorHAnsi" w:hAnsiTheme="minorHAnsi"/>
          <w:bCs/>
          <w:szCs w:val="24"/>
        </w:rPr>
        <w:t xml:space="preserve"> inhibitors, or statins.</w:t>
      </w:r>
    </w:p>
    <w:p w:rsidR="0000686B" w:rsidRPr="00F048A0" w:rsidRDefault="0000686B" w:rsidP="00514129">
      <w:pPr>
        <w:spacing w:line="240" w:lineRule="auto"/>
        <w:rPr>
          <w:rFonts w:asciiTheme="minorHAnsi" w:hAnsiTheme="minorHAnsi"/>
          <w:szCs w:val="24"/>
        </w:rPr>
      </w:pPr>
      <w:r w:rsidRPr="00F048A0">
        <w:rPr>
          <w:rFonts w:asciiTheme="minorHAnsi" w:hAnsiTheme="minorHAnsi"/>
          <w:szCs w:val="24"/>
        </w:rPr>
        <w:lastRenderedPageBreak/>
        <w:t>Ezetimibe inhibits the absorption of dietary and biliary cholesterol and related plant sterols from the small intestine. This reduces delivery of cholesterol to the liver, decreasing cholesterol stores in the liver and increasing hepatic uptake of cholesterol from the blood</w:t>
      </w:r>
      <w:r w:rsidR="00106006">
        <w:rPr>
          <w:rStyle w:val="EndnoteReference"/>
          <w:rFonts w:asciiTheme="minorHAnsi" w:hAnsiTheme="minorHAnsi"/>
          <w:szCs w:val="24"/>
        </w:rPr>
        <w:endnoteReference w:id="17"/>
      </w:r>
      <w:r w:rsidR="00106006" w:rsidRPr="00F048A0">
        <w:rPr>
          <w:rFonts w:asciiTheme="minorHAnsi" w:hAnsiTheme="minorHAnsi"/>
          <w:szCs w:val="24"/>
        </w:rPr>
        <w:t>.</w:t>
      </w:r>
      <w:r w:rsidR="0048730F" w:rsidRPr="00F048A0">
        <w:rPr>
          <w:rFonts w:asciiTheme="minorHAnsi" w:hAnsiTheme="minorHAnsi"/>
          <w:szCs w:val="24"/>
        </w:rPr>
        <w:t xml:space="preserve"> </w:t>
      </w:r>
      <w:r w:rsidRPr="00F048A0">
        <w:rPr>
          <w:rFonts w:asciiTheme="minorHAnsi" w:hAnsiTheme="minorHAnsi"/>
          <w:szCs w:val="24"/>
        </w:rPr>
        <w:t xml:space="preserve">In contrast, HMG-CoA reductase inhibitors, or statins, act by inhibiting cholesterol synthesis in the liver. </w:t>
      </w:r>
    </w:p>
    <w:p w:rsidR="0000686B" w:rsidRPr="00F048A0" w:rsidRDefault="0000686B" w:rsidP="00514129">
      <w:pPr>
        <w:spacing w:line="240" w:lineRule="auto"/>
        <w:rPr>
          <w:rFonts w:asciiTheme="minorHAnsi" w:hAnsiTheme="minorHAnsi"/>
          <w:bCs/>
          <w:szCs w:val="24"/>
        </w:rPr>
      </w:pPr>
      <w:r>
        <w:rPr>
          <w:rFonts w:asciiTheme="minorHAnsi" w:hAnsiTheme="minorHAnsi"/>
          <w:bCs/>
          <w:szCs w:val="24"/>
        </w:rPr>
        <w:t>L</w:t>
      </w:r>
      <w:r w:rsidRPr="00F048A0">
        <w:rPr>
          <w:rFonts w:asciiTheme="minorHAnsi" w:hAnsiTheme="minorHAnsi"/>
          <w:bCs/>
          <w:szCs w:val="24"/>
        </w:rPr>
        <w:t>ipid lowering agents (statins, ezetimibe, fenofibrate and gemfibrozil) are</w:t>
      </w:r>
      <w:r>
        <w:rPr>
          <w:rFonts w:asciiTheme="minorHAnsi" w:hAnsiTheme="minorHAnsi"/>
          <w:bCs/>
          <w:szCs w:val="24"/>
        </w:rPr>
        <w:t xml:space="preserve"> </w:t>
      </w:r>
      <w:r w:rsidRPr="00F048A0">
        <w:rPr>
          <w:rFonts w:asciiTheme="minorHAnsi" w:hAnsiTheme="minorHAnsi"/>
          <w:bCs/>
          <w:szCs w:val="24"/>
        </w:rPr>
        <w:t xml:space="preserve">listed on the PBS for use in patients who meet the criteria set out in the General Statement for Lipid-Lowering Drugs (GSLLD). This statement is based on an approach to the absolute cardio-vascular risk to patients, taking into account the presence of certain co-morbidities and total and /or HDL cholesterol or triglyceride values. </w:t>
      </w:r>
    </w:p>
    <w:p w:rsidR="0000686B" w:rsidRPr="00F048A0" w:rsidRDefault="0000686B" w:rsidP="00514129">
      <w:pPr>
        <w:spacing w:line="240" w:lineRule="auto"/>
        <w:rPr>
          <w:rFonts w:asciiTheme="minorHAnsi" w:hAnsiTheme="minorHAnsi"/>
          <w:bCs/>
          <w:szCs w:val="24"/>
        </w:rPr>
      </w:pPr>
      <w:r w:rsidRPr="00F048A0">
        <w:rPr>
          <w:rFonts w:asciiTheme="minorHAnsi" w:hAnsiTheme="minorHAnsi"/>
          <w:bCs/>
          <w:szCs w:val="24"/>
        </w:rPr>
        <w:t xml:space="preserve">Ezetimibe is listed on the PBS for the treatment of high cholesterol in certain patient populations. The goal of treatment is a reduction in the risk of cardiovascular events such as heart attacks and stroke. However, additional restrictions apply to the PBS prescribing of ezetimibe including: a) a requirement that unless patients are contraindicated or intolerant of statins, ezetimibe must be co-administered with a statin; and b) patients must have cholesterol </w:t>
      </w:r>
      <w:r w:rsidR="004B1768" w:rsidRPr="004C1339">
        <w:rPr>
          <w:rFonts w:asciiTheme="minorHAnsi" w:eastAsia="Times New Roman" w:hAnsiTheme="minorHAnsi" w:cs="Arial"/>
          <w:color w:val="222222"/>
          <w:szCs w:val="24"/>
          <w:highlight w:val="yellow"/>
          <w:lang w:eastAsia="en-AU"/>
        </w:rPr>
        <w:t>concentrations</w:t>
      </w:r>
      <w:r w:rsidRPr="00F048A0">
        <w:rPr>
          <w:rFonts w:asciiTheme="minorHAnsi" w:hAnsiTheme="minorHAnsi"/>
          <w:bCs/>
          <w:szCs w:val="24"/>
        </w:rPr>
        <w:t xml:space="preserve"> that are inadequately controlled with a statin and suffer from a defined comorbid condition (coronary heart disease, diabetes mellitus, peripheral vascular disease, heterozygous familial hypercholesterolaemia, symptomatic cerebrovascular disease, family history of coronary heart disease, hypertension).</w:t>
      </w:r>
    </w:p>
    <w:p w:rsidR="0000686B" w:rsidRDefault="0000686B" w:rsidP="00514129">
      <w:pPr>
        <w:spacing w:line="240" w:lineRule="auto"/>
        <w:rPr>
          <w:rFonts w:asciiTheme="minorHAnsi" w:hAnsiTheme="minorHAnsi"/>
          <w:bCs/>
          <w:szCs w:val="24"/>
        </w:rPr>
      </w:pPr>
      <w:r w:rsidRPr="00F048A0">
        <w:rPr>
          <w:rFonts w:asciiTheme="minorHAnsi" w:hAnsiTheme="minorHAnsi"/>
          <w:bCs/>
          <w:szCs w:val="24"/>
        </w:rPr>
        <w:t xml:space="preserve">The abbreviated restriction criteria used to determine patient eligibility for subsidy is </w:t>
      </w:r>
      <w:r>
        <w:rPr>
          <w:rFonts w:asciiTheme="minorHAnsi" w:hAnsiTheme="minorHAnsi"/>
          <w:bCs/>
          <w:szCs w:val="24"/>
        </w:rPr>
        <w:t>in Table 1</w:t>
      </w:r>
      <w:r w:rsidRPr="00F048A0">
        <w:rPr>
          <w:rFonts w:asciiTheme="minorHAnsi" w:hAnsiTheme="minorHAnsi"/>
          <w:bCs/>
          <w:szCs w:val="24"/>
        </w:rPr>
        <w:t xml:space="preserve">, while the full </w:t>
      </w:r>
      <w:r>
        <w:rPr>
          <w:rFonts w:asciiTheme="minorHAnsi" w:hAnsiTheme="minorHAnsi"/>
          <w:bCs/>
          <w:szCs w:val="24"/>
        </w:rPr>
        <w:t xml:space="preserve">restrictions </w:t>
      </w:r>
      <w:r w:rsidRPr="00F048A0">
        <w:rPr>
          <w:rFonts w:asciiTheme="minorHAnsi" w:hAnsiTheme="minorHAnsi"/>
          <w:bCs/>
          <w:szCs w:val="24"/>
        </w:rPr>
        <w:t xml:space="preserve">are </w:t>
      </w:r>
      <w:r>
        <w:rPr>
          <w:rFonts w:asciiTheme="minorHAnsi" w:hAnsiTheme="minorHAnsi"/>
          <w:bCs/>
          <w:szCs w:val="24"/>
        </w:rPr>
        <w:t xml:space="preserve">at </w:t>
      </w:r>
      <w:r w:rsidRPr="00C61395">
        <w:rPr>
          <w:rFonts w:asciiTheme="minorHAnsi" w:hAnsiTheme="minorHAnsi"/>
          <w:b/>
          <w:bCs/>
          <w:szCs w:val="24"/>
        </w:rPr>
        <w:t>Appendix B</w:t>
      </w:r>
      <w:r>
        <w:rPr>
          <w:rFonts w:asciiTheme="minorHAnsi" w:hAnsiTheme="minorHAnsi"/>
          <w:bCs/>
          <w:szCs w:val="24"/>
        </w:rPr>
        <w:t xml:space="preserve">.  </w:t>
      </w:r>
    </w:p>
    <w:p w:rsidR="0000686B" w:rsidRDefault="0000686B" w:rsidP="00514129">
      <w:pPr>
        <w:rPr>
          <w:rFonts w:asciiTheme="minorHAnsi" w:hAnsiTheme="minorHAnsi"/>
          <w:bCs/>
          <w:szCs w:val="24"/>
        </w:rPr>
      </w:pPr>
      <w:r>
        <w:rPr>
          <w:rFonts w:asciiTheme="minorHAnsi" w:hAnsiTheme="minorHAnsi"/>
          <w:bCs/>
          <w:szCs w:val="24"/>
        </w:rPr>
        <w:br w:type="page"/>
      </w:r>
    </w:p>
    <w:p w:rsidR="008B6729" w:rsidRPr="00692E6E" w:rsidRDefault="008B6729" w:rsidP="008B6729">
      <w:pPr>
        <w:spacing w:after="0" w:line="240" w:lineRule="auto"/>
        <w:rPr>
          <w:rFonts w:asciiTheme="minorHAnsi" w:hAnsiTheme="minorHAnsi"/>
          <w:b/>
          <w:bCs/>
          <w:szCs w:val="24"/>
        </w:rPr>
      </w:pPr>
      <w:r w:rsidRPr="00D443D1">
        <w:rPr>
          <w:rFonts w:asciiTheme="minorHAnsi" w:hAnsiTheme="minorHAnsi"/>
          <w:b/>
          <w:bCs/>
          <w:szCs w:val="24"/>
          <w:highlight w:val="yellow"/>
        </w:rPr>
        <w:lastRenderedPageBreak/>
        <w:t>Table 1: PBS prescribing restrictions for ezetimibe (abbreviated)</w:t>
      </w:r>
    </w:p>
    <w:tbl>
      <w:tblPr>
        <w:tblW w:w="9781" w:type="dxa"/>
        <w:tblInd w:w="-318" w:type="dxa"/>
        <w:tblLook w:val="04A0" w:firstRow="1" w:lastRow="0" w:firstColumn="1" w:lastColumn="0" w:noHBand="0" w:noVBand="1"/>
      </w:tblPr>
      <w:tblGrid>
        <w:gridCol w:w="2694"/>
        <w:gridCol w:w="7087"/>
      </w:tblGrid>
      <w:tr w:rsidR="008B6729" w:rsidRPr="00375000" w:rsidTr="00221FBE">
        <w:trPr>
          <w:tblHeader/>
        </w:trPr>
        <w:tc>
          <w:tcPr>
            <w:tcW w:w="2694" w:type="dxa"/>
            <w:shd w:val="clear" w:color="auto" w:fill="EAF1DD" w:themeFill="accent3" w:themeFillTint="33"/>
          </w:tcPr>
          <w:p w:rsidR="008B6729" w:rsidRPr="00692E6E" w:rsidRDefault="008B6729" w:rsidP="00221FBE">
            <w:pPr>
              <w:spacing w:before="60" w:after="60"/>
              <w:rPr>
                <w:rFonts w:asciiTheme="minorHAnsi" w:hAnsiTheme="minorHAnsi"/>
                <w:b/>
                <w:szCs w:val="24"/>
              </w:rPr>
            </w:pPr>
            <w:r w:rsidRPr="00692E6E">
              <w:rPr>
                <w:rFonts w:asciiTheme="minorHAnsi" w:hAnsiTheme="minorHAnsi"/>
                <w:b/>
                <w:szCs w:val="24"/>
              </w:rPr>
              <w:t>Medicine</w:t>
            </w:r>
          </w:p>
        </w:tc>
        <w:tc>
          <w:tcPr>
            <w:tcW w:w="7087" w:type="dxa"/>
            <w:shd w:val="clear" w:color="auto" w:fill="EAF1DD" w:themeFill="accent3" w:themeFillTint="33"/>
          </w:tcPr>
          <w:p w:rsidR="008B6729" w:rsidRPr="00692E6E" w:rsidRDefault="008B6729" w:rsidP="00221FBE">
            <w:pPr>
              <w:spacing w:before="60" w:after="60"/>
              <w:rPr>
                <w:rFonts w:asciiTheme="minorHAnsi" w:hAnsiTheme="minorHAnsi"/>
                <w:b/>
                <w:szCs w:val="24"/>
              </w:rPr>
            </w:pPr>
            <w:r w:rsidRPr="00692E6E">
              <w:rPr>
                <w:rFonts w:asciiTheme="minorHAnsi" w:hAnsiTheme="minorHAnsi"/>
                <w:b/>
                <w:szCs w:val="24"/>
              </w:rPr>
              <w:t>PBS Restrictions</w:t>
            </w:r>
          </w:p>
        </w:tc>
      </w:tr>
      <w:tr w:rsidR="008B6729" w:rsidRPr="00375000" w:rsidTr="00221FBE">
        <w:trPr>
          <w:tblHeader/>
        </w:trPr>
        <w:tc>
          <w:tcPr>
            <w:tcW w:w="2694" w:type="dxa"/>
            <w:shd w:val="clear" w:color="auto" w:fill="BFBFBF" w:themeFill="background1" w:themeFillShade="BF"/>
          </w:tcPr>
          <w:p w:rsidR="008B6729" w:rsidRPr="00692E6E" w:rsidRDefault="008B6729" w:rsidP="00221FBE">
            <w:pPr>
              <w:spacing w:before="60" w:after="60"/>
              <w:rPr>
                <w:rFonts w:asciiTheme="minorHAnsi" w:hAnsiTheme="minorHAnsi"/>
                <w:b/>
                <w:szCs w:val="24"/>
              </w:rPr>
            </w:pPr>
            <w:r w:rsidRPr="00692E6E">
              <w:rPr>
                <w:rFonts w:asciiTheme="minorHAnsi" w:hAnsiTheme="minorHAnsi"/>
                <w:b/>
                <w:szCs w:val="24"/>
              </w:rPr>
              <w:t xml:space="preserve">Monotherapy </w:t>
            </w:r>
          </w:p>
        </w:tc>
        <w:tc>
          <w:tcPr>
            <w:tcW w:w="7087" w:type="dxa"/>
            <w:shd w:val="clear" w:color="auto" w:fill="BFBFBF" w:themeFill="background1" w:themeFillShade="BF"/>
          </w:tcPr>
          <w:p w:rsidR="008B6729" w:rsidRPr="00692E6E" w:rsidRDefault="008B6729" w:rsidP="00221FBE">
            <w:pPr>
              <w:spacing w:before="60" w:after="60"/>
              <w:rPr>
                <w:rFonts w:asciiTheme="minorHAnsi" w:hAnsiTheme="minorHAnsi"/>
                <w:b/>
                <w:i/>
                <w:color w:val="000000"/>
                <w:szCs w:val="24"/>
                <w:u w:val="single"/>
              </w:rPr>
            </w:pPr>
            <w:r w:rsidRPr="00692E6E">
              <w:rPr>
                <w:rFonts w:asciiTheme="minorHAnsi" w:hAnsiTheme="minorHAnsi"/>
                <w:b/>
                <w:szCs w:val="24"/>
              </w:rPr>
              <w:t>Authority Required (STREAMLINED)</w:t>
            </w:r>
          </w:p>
        </w:tc>
      </w:tr>
      <w:tr w:rsidR="008B6729" w:rsidRPr="00375000" w:rsidTr="00221FBE">
        <w:trPr>
          <w:tblHeader/>
        </w:trPr>
        <w:tc>
          <w:tcPr>
            <w:tcW w:w="2694" w:type="dxa"/>
            <w:vMerge w:val="restart"/>
            <w:shd w:val="clear" w:color="auto" w:fill="auto"/>
          </w:tcPr>
          <w:p w:rsidR="008B6729" w:rsidRPr="00692E6E" w:rsidRDefault="008B6729" w:rsidP="008B6729">
            <w:pPr>
              <w:pStyle w:val="ListParagraph"/>
              <w:numPr>
                <w:ilvl w:val="0"/>
                <w:numId w:val="18"/>
              </w:numPr>
              <w:spacing w:before="60" w:after="60"/>
              <w:ind w:left="317" w:hanging="283"/>
              <w:rPr>
                <w:rFonts w:asciiTheme="minorHAnsi" w:hAnsiTheme="minorHAnsi"/>
                <w:b/>
                <w:i/>
                <w:color w:val="000000"/>
                <w:szCs w:val="24"/>
                <w:u w:val="single"/>
              </w:rPr>
            </w:pPr>
            <w:r w:rsidRPr="00692E6E">
              <w:rPr>
                <w:rFonts w:asciiTheme="minorHAnsi" w:hAnsiTheme="minorHAnsi"/>
                <w:szCs w:val="24"/>
              </w:rPr>
              <w:t>Ezetimibe</w:t>
            </w:r>
          </w:p>
        </w:tc>
        <w:tc>
          <w:tcPr>
            <w:tcW w:w="7087" w:type="dxa"/>
            <w:shd w:val="clear" w:color="auto" w:fill="auto"/>
          </w:tcPr>
          <w:p w:rsidR="008B6729" w:rsidRPr="00692E6E" w:rsidRDefault="008B6729" w:rsidP="00692E6E">
            <w:pPr>
              <w:pStyle w:val="BodyText"/>
              <w:numPr>
                <w:ilvl w:val="0"/>
                <w:numId w:val="18"/>
              </w:numPr>
              <w:tabs>
                <w:tab w:val="left" w:pos="461"/>
              </w:tabs>
              <w:spacing w:after="0"/>
              <w:ind w:left="318" w:right="593"/>
              <w:rPr>
                <w:rFonts w:asciiTheme="minorHAnsi" w:hAnsiTheme="minorHAnsi"/>
                <w:spacing w:val="-1"/>
                <w:szCs w:val="24"/>
              </w:rPr>
            </w:pPr>
            <w:r w:rsidRPr="00692E6E">
              <w:rPr>
                <w:rFonts w:asciiTheme="minorHAnsi" w:hAnsiTheme="minorHAnsi"/>
                <w:color w:val="212121"/>
                <w:spacing w:val="-1"/>
                <w:szCs w:val="24"/>
              </w:rPr>
              <w:t>Patient</w:t>
            </w:r>
            <w:r w:rsidRPr="00692E6E">
              <w:rPr>
                <w:rFonts w:asciiTheme="minorHAnsi" w:hAnsiTheme="minorHAnsi"/>
                <w:color w:val="212121"/>
                <w:spacing w:val="1"/>
                <w:szCs w:val="24"/>
              </w:rPr>
              <w:t xml:space="preserve"> </w:t>
            </w:r>
            <w:r w:rsidRPr="00692E6E">
              <w:rPr>
                <w:rFonts w:asciiTheme="minorHAnsi" w:hAnsiTheme="minorHAnsi"/>
                <w:color w:val="212121"/>
                <w:spacing w:val="-1"/>
                <w:szCs w:val="24"/>
              </w:rPr>
              <w:t>must</w:t>
            </w:r>
            <w:r w:rsidRPr="00692E6E">
              <w:rPr>
                <w:rFonts w:asciiTheme="minorHAnsi" w:hAnsiTheme="minorHAnsi"/>
                <w:color w:val="212121"/>
                <w:spacing w:val="1"/>
                <w:szCs w:val="24"/>
              </w:rPr>
              <w:t xml:space="preserve"> </w:t>
            </w:r>
            <w:r w:rsidRPr="00692E6E">
              <w:rPr>
                <w:rFonts w:asciiTheme="minorHAnsi" w:hAnsiTheme="minorHAnsi"/>
                <w:color w:val="212121"/>
                <w:spacing w:val="-1"/>
                <w:szCs w:val="24"/>
              </w:rPr>
              <w:t>meet</w:t>
            </w:r>
            <w:r w:rsidRPr="00692E6E">
              <w:rPr>
                <w:rFonts w:asciiTheme="minorHAnsi" w:hAnsiTheme="minorHAnsi"/>
                <w:color w:val="212121"/>
                <w:spacing w:val="-2"/>
                <w:szCs w:val="24"/>
              </w:rPr>
              <w:t xml:space="preserve"> </w:t>
            </w:r>
            <w:r w:rsidRPr="00692E6E">
              <w:rPr>
                <w:rFonts w:asciiTheme="minorHAnsi" w:hAnsiTheme="minorHAnsi"/>
                <w:color w:val="212121"/>
                <w:szCs w:val="24"/>
              </w:rPr>
              <w:t>the</w:t>
            </w:r>
            <w:r w:rsidRPr="00692E6E">
              <w:rPr>
                <w:rFonts w:asciiTheme="minorHAnsi" w:hAnsiTheme="minorHAnsi"/>
                <w:color w:val="212121"/>
                <w:spacing w:val="-2"/>
                <w:szCs w:val="24"/>
              </w:rPr>
              <w:t xml:space="preserve"> </w:t>
            </w:r>
            <w:r w:rsidRPr="00692E6E">
              <w:rPr>
                <w:rFonts w:asciiTheme="minorHAnsi" w:hAnsiTheme="minorHAnsi"/>
                <w:color w:val="212121"/>
                <w:spacing w:val="-1"/>
                <w:szCs w:val="24"/>
              </w:rPr>
              <w:t>criteria</w:t>
            </w:r>
            <w:r w:rsidRPr="00692E6E">
              <w:rPr>
                <w:rFonts w:asciiTheme="minorHAnsi" w:hAnsiTheme="minorHAnsi"/>
                <w:color w:val="212121"/>
                <w:szCs w:val="24"/>
              </w:rPr>
              <w:t xml:space="preserve"> </w:t>
            </w:r>
            <w:r w:rsidRPr="00692E6E">
              <w:rPr>
                <w:rFonts w:asciiTheme="minorHAnsi" w:hAnsiTheme="minorHAnsi"/>
                <w:color w:val="212121"/>
                <w:spacing w:val="-1"/>
                <w:szCs w:val="24"/>
              </w:rPr>
              <w:t>set</w:t>
            </w:r>
            <w:r w:rsidRPr="00692E6E">
              <w:rPr>
                <w:rFonts w:asciiTheme="minorHAnsi" w:hAnsiTheme="minorHAnsi"/>
                <w:color w:val="212121"/>
                <w:spacing w:val="1"/>
                <w:szCs w:val="24"/>
              </w:rPr>
              <w:t xml:space="preserve"> </w:t>
            </w:r>
            <w:r w:rsidRPr="00692E6E">
              <w:rPr>
                <w:rFonts w:asciiTheme="minorHAnsi" w:hAnsiTheme="minorHAnsi"/>
                <w:color w:val="212121"/>
                <w:spacing w:val="-1"/>
                <w:szCs w:val="24"/>
              </w:rPr>
              <w:t>out</w:t>
            </w:r>
            <w:r w:rsidRPr="00692E6E">
              <w:rPr>
                <w:rFonts w:asciiTheme="minorHAnsi" w:hAnsiTheme="minorHAnsi"/>
                <w:color w:val="212121"/>
                <w:spacing w:val="-2"/>
                <w:szCs w:val="24"/>
              </w:rPr>
              <w:t xml:space="preserve"> </w:t>
            </w:r>
            <w:r w:rsidRPr="00692E6E">
              <w:rPr>
                <w:rFonts w:asciiTheme="minorHAnsi" w:hAnsiTheme="minorHAnsi"/>
                <w:color w:val="212121"/>
                <w:szCs w:val="24"/>
              </w:rPr>
              <w:t xml:space="preserve">in </w:t>
            </w:r>
            <w:r w:rsidRPr="00692E6E">
              <w:rPr>
                <w:rFonts w:asciiTheme="minorHAnsi" w:hAnsiTheme="minorHAnsi"/>
                <w:color w:val="212121"/>
                <w:spacing w:val="-1"/>
                <w:szCs w:val="24"/>
              </w:rPr>
              <w:t>the</w:t>
            </w:r>
            <w:r w:rsidRPr="00692E6E">
              <w:rPr>
                <w:rFonts w:asciiTheme="minorHAnsi" w:hAnsiTheme="minorHAnsi"/>
                <w:color w:val="212121"/>
                <w:spacing w:val="3"/>
                <w:szCs w:val="24"/>
              </w:rPr>
              <w:t xml:space="preserve"> </w:t>
            </w:r>
            <w:r w:rsidRPr="00692E6E">
              <w:rPr>
                <w:rFonts w:asciiTheme="minorHAnsi" w:hAnsiTheme="minorHAnsi"/>
                <w:spacing w:val="-1"/>
                <w:szCs w:val="24"/>
              </w:rPr>
              <w:t>General</w:t>
            </w:r>
            <w:r w:rsidRPr="00692E6E">
              <w:rPr>
                <w:rFonts w:asciiTheme="minorHAnsi" w:hAnsiTheme="minorHAnsi"/>
                <w:szCs w:val="24"/>
              </w:rPr>
              <w:t xml:space="preserve"> </w:t>
            </w:r>
            <w:r w:rsidRPr="00692E6E">
              <w:rPr>
                <w:rFonts w:asciiTheme="minorHAnsi" w:hAnsiTheme="minorHAnsi"/>
                <w:spacing w:val="-1"/>
                <w:szCs w:val="24"/>
              </w:rPr>
              <w:t>Statement</w:t>
            </w:r>
            <w:r w:rsidRPr="00692E6E">
              <w:rPr>
                <w:rFonts w:asciiTheme="minorHAnsi" w:hAnsiTheme="minorHAnsi"/>
                <w:spacing w:val="1"/>
                <w:szCs w:val="24"/>
              </w:rPr>
              <w:t xml:space="preserve"> </w:t>
            </w:r>
            <w:r w:rsidRPr="00692E6E">
              <w:rPr>
                <w:rFonts w:asciiTheme="minorHAnsi" w:hAnsiTheme="minorHAnsi"/>
                <w:spacing w:val="-1"/>
                <w:szCs w:val="24"/>
              </w:rPr>
              <w:t>for</w:t>
            </w:r>
            <w:r w:rsidRPr="00692E6E">
              <w:rPr>
                <w:rFonts w:asciiTheme="minorHAnsi" w:hAnsiTheme="minorHAnsi"/>
                <w:szCs w:val="24"/>
              </w:rPr>
              <w:t xml:space="preserve"> </w:t>
            </w:r>
            <w:r w:rsidRPr="00692E6E">
              <w:rPr>
                <w:rFonts w:asciiTheme="minorHAnsi" w:hAnsiTheme="minorHAnsi"/>
                <w:spacing w:val="-1"/>
                <w:szCs w:val="24"/>
              </w:rPr>
              <w:t>Lipid-Lowering</w:t>
            </w:r>
            <w:r w:rsidRPr="00692E6E">
              <w:rPr>
                <w:rFonts w:asciiTheme="minorHAnsi" w:hAnsiTheme="minorHAnsi"/>
                <w:spacing w:val="-3"/>
                <w:szCs w:val="24"/>
              </w:rPr>
              <w:t xml:space="preserve"> </w:t>
            </w:r>
            <w:r w:rsidRPr="00692E6E">
              <w:rPr>
                <w:rFonts w:asciiTheme="minorHAnsi" w:hAnsiTheme="minorHAnsi"/>
                <w:spacing w:val="-1"/>
                <w:szCs w:val="24"/>
              </w:rPr>
              <w:t xml:space="preserve">Drugs </w:t>
            </w:r>
          </w:p>
          <w:p w:rsidR="008B6729" w:rsidRPr="00692E6E" w:rsidRDefault="008B6729" w:rsidP="00692E6E">
            <w:pPr>
              <w:pStyle w:val="NormalWeb"/>
              <w:spacing w:before="0" w:beforeAutospacing="0" w:after="0" w:afterAutospacing="0" w:line="300" w:lineRule="atLeast"/>
              <w:rPr>
                <w:rFonts w:asciiTheme="minorHAnsi" w:hAnsiTheme="minorHAnsi" w:cs="Arial"/>
                <w:b/>
                <w:bCs/>
              </w:rPr>
            </w:pPr>
            <w:r w:rsidRPr="00692E6E">
              <w:rPr>
                <w:rFonts w:asciiTheme="minorHAnsi" w:hAnsiTheme="minorHAnsi" w:cs="Arial"/>
                <w:b/>
                <w:bCs/>
              </w:rPr>
              <w:t>AND</w:t>
            </w:r>
          </w:p>
          <w:p w:rsidR="008B6729" w:rsidRPr="00692E6E" w:rsidRDefault="008B6729" w:rsidP="00692E6E">
            <w:pPr>
              <w:pStyle w:val="NormalWeb"/>
              <w:spacing w:before="0" w:beforeAutospacing="0" w:after="0" w:afterAutospacing="0" w:line="300" w:lineRule="atLeast"/>
              <w:rPr>
                <w:rFonts w:asciiTheme="minorHAnsi" w:hAnsiTheme="minorHAnsi" w:cs="Arial"/>
              </w:rPr>
            </w:pPr>
            <w:r w:rsidRPr="00692E6E">
              <w:rPr>
                <w:rFonts w:asciiTheme="minorHAnsi" w:hAnsiTheme="minorHAnsi" w:cs="Arial"/>
              </w:rPr>
              <w:t>The treatment must be in conjunction with dietary therapy and exercise,</w:t>
            </w:r>
          </w:p>
          <w:p w:rsidR="008B6729" w:rsidRPr="00692E6E" w:rsidRDefault="008B6729" w:rsidP="00692E6E">
            <w:pPr>
              <w:pStyle w:val="NormalWeb"/>
              <w:spacing w:before="0" w:beforeAutospacing="0" w:after="0" w:afterAutospacing="0" w:line="300" w:lineRule="atLeast"/>
              <w:rPr>
                <w:rFonts w:asciiTheme="minorHAnsi" w:hAnsiTheme="minorHAnsi" w:cs="Arial"/>
              </w:rPr>
            </w:pPr>
            <w:r w:rsidRPr="00692E6E">
              <w:rPr>
                <w:rFonts w:asciiTheme="minorHAnsi" w:hAnsiTheme="minorHAnsi" w:cs="Arial"/>
                <w:b/>
                <w:bCs/>
              </w:rPr>
              <w:t>AND</w:t>
            </w:r>
          </w:p>
          <w:p w:rsidR="008B6729" w:rsidRPr="00692E6E" w:rsidRDefault="008B6729" w:rsidP="00692E6E">
            <w:pPr>
              <w:pStyle w:val="NormalWeb"/>
              <w:spacing w:before="0" w:beforeAutospacing="0" w:after="0" w:afterAutospacing="0" w:line="300" w:lineRule="atLeast"/>
              <w:rPr>
                <w:rFonts w:asciiTheme="minorHAnsi" w:hAnsiTheme="minorHAnsi" w:cs="Arial"/>
              </w:rPr>
            </w:pPr>
            <w:r w:rsidRPr="00692E6E">
              <w:rPr>
                <w:rFonts w:asciiTheme="minorHAnsi" w:hAnsiTheme="minorHAnsi" w:cs="Arial"/>
              </w:rPr>
              <w:t>The treatment must be co-administered with an HMG CoA reductase inhibitor (statin),</w:t>
            </w:r>
          </w:p>
          <w:p w:rsidR="008B6729" w:rsidRPr="00692E6E" w:rsidRDefault="008B6729" w:rsidP="00692E6E">
            <w:pPr>
              <w:pStyle w:val="NormalWeb"/>
              <w:spacing w:before="0" w:beforeAutospacing="0" w:after="0" w:afterAutospacing="0" w:line="300" w:lineRule="atLeast"/>
              <w:rPr>
                <w:rFonts w:asciiTheme="minorHAnsi" w:hAnsiTheme="minorHAnsi" w:cs="Arial"/>
              </w:rPr>
            </w:pPr>
            <w:r w:rsidRPr="00692E6E">
              <w:rPr>
                <w:rFonts w:asciiTheme="minorHAnsi" w:hAnsiTheme="minorHAnsi" w:cs="Arial"/>
                <w:b/>
                <w:bCs/>
              </w:rPr>
              <w:t>AND</w:t>
            </w:r>
          </w:p>
          <w:p w:rsidR="008B6729" w:rsidRPr="00692E6E" w:rsidRDefault="008B6729" w:rsidP="00692E6E">
            <w:pPr>
              <w:pStyle w:val="NormalWeb"/>
              <w:spacing w:before="0" w:beforeAutospacing="0" w:after="0" w:afterAutospacing="0" w:line="300" w:lineRule="atLeast"/>
              <w:rPr>
                <w:rFonts w:asciiTheme="minorHAnsi" w:hAnsiTheme="minorHAnsi" w:cs="Arial"/>
              </w:rPr>
            </w:pPr>
            <w:r w:rsidRPr="00692E6E">
              <w:rPr>
                <w:rFonts w:asciiTheme="minorHAnsi" w:hAnsiTheme="minorHAnsi" w:cs="Arial"/>
              </w:rPr>
              <w:t xml:space="preserve">Patient must have cholesterol </w:t>
            </w:r>
            <w:r w:rsidR="004B1768" w:rsidRPr="004C1339">
              <w:rPr>
                <w:rFonts w:asciiTheme="minorHAnsi" w:hAnsiTheme="minorHAnsi" w:cs="Arial"/>
                <w:color w:val="222222"/>
                <w:highlight w:val="yellow"/>
              </w:rPr>
              <w:t>concentrations</w:t>
            </w:r>
            <w:r w:rsidR="004B1768" w:rsidRPr="00692E6E">
              <w:rPr>
                <w:rFonts w:asciiTheme="minorHAnsi" w:hAnsiTheme="minorHAnsi" w:cs="Arial"/>
              </w:rPr>
              <w:t xml:space="preserve"> </w:t>
            </w:r>
            <w:r w:rsidRPr="00692E6E">
              <w:rPr>
                <w:rFonts w:asciiTheme="minorHAnsi" w:hAnsiTheme="minorHAnsi" w:cs="Arial"/>
              </w:rPr>
              <w:t xml:space="preserve">that are inadequately controlled with an HMG CoA reductase inhibitor (statin), </w:t>
            </w:r>
          </w:p>
          <w:p w:rsidR="008B6729" w:rsidRPr="00692E6E" w:rsidRDefault="008B6729" w:rsidP="00692E6E">
            <w:pPr>
              <w:pStyle w:val="NormalWeb"/>
              <w:spacing w:before="0" w:beforeAutospacing="0" w:after="0" w:afterAutospacing="0" w:line="300" w:lineRule="atLeast"/>
              <w:rPr>
                <w:rFonts w:asciiTheme="minorHAnsi" w:hAnsiTheme="minorHAnsi" w:cs="Arial"/>
                <w:b/>
                <w:bCs/>
              </w:rPr>
            </w:pPr>
            <w:r w:rsidRPr="00692E6E">
              <w:rPr>
                <w:rFonts w:asciiTheme="minorHAnsi" w:hAnsiTheme="minorHAnsi" w:cs="Arial"/>
                <w:b/>
                <w:bCs/>
              </w:rPr>
              <w:t>AND</w:t>
            </w:r>
          </w:p>
          <w:p w:rsidR="008B6729" w:rsidRPr="00692E6E" w:rsidRDefault="008B6729" w:rsidP="00692E6E">
            <w:pPr>
              <w:pStyle w:val="BodyText"/>
              <w:spacing w:after="0"/>
              <w:ind w:left="-8" w:firstLine="8"/>
              <w:jc w:val="left"/>
              <w:rPr>
                <w:rFonts w:asciiTheme="minorHAnsi" w:hAnsiTheme="minorHAnsi"/>
                <w:b/>
                <w:i/>
                <w:color w:val="000000"/>
                <w:szCs w:val="24"/>
                <w:u w:val="single"/>
              </w:rPr>
            </w:pPr>
            <w:r w:rsidRPr="00692E6E">
              <w:rPr>
                <w:rFonts w:asciiTheme="minorHAnsi" w:hAnsiTheme="minorHAnsi"/>
                <w:szCs w:val="24"/>
              </w:rPr>
              <w:t xml:space="preserve">Patient must have one (or more) of the following: </w:t>
            </w:r>
          </w:p>
          <w:p w:rsidR="008B6729" w:rsidRPr="00692E6E" w:rsidRDefault="008B6729" w:rsidP="00692E6E">
            <w:pPr>
              <w:pStyle w:val="BodyText"/>
              <w:widowControl w:val="0"/>
              <w:numPr>
                <w:ilvl w:val="0"/>
                <w:numId w:val="57"/>
              </w:numPr>
              <w:spacing w:after="0"/>
              <w:ind w:left="318"/>
              <w:jc w:val="left"/>
              <w:rPr>
                <w:rFonts w:asciiTheme="minorHAnsi" w:hAnsiTheme="minorHAnsi"/>
                <w:b/>
                <w:i/>
                <w:color w:val="000000"/>
                <w:szCs w:val="24"/>
                <w:u w:val="single"/>
              </w:rPr>
            </w:pPr>
            <w:r w:rsidRPr="00692E6E">
              <w:rPr>
                <w:rFonts w:asciiTheme="minorHAnsi" w:hAnsiTheme="minorHAnsi"/>
                <w:color w:val="212121"/>
                <w:spacing w:val="-1"/>
                <w:szCs w:val="24"/>
              </w:rPr>
              <w:t>diabetes mellitus</w:t>
            </w:r>
          </w:p>
          <w:p w:rsidR="008B6729" w:rsidRPr="00692E6E" w:rsidRDefault="008B6729" w:rsidP="00692E6E">
            <w:pPr>
              <w:pStyle w:val="BodyText"/>
              <w:widowControl w:val="0"/>
              <w:numPr>
                <w:ilvl w:val="0"/>
                <w:numId w:val="57"/>
              </w:numPr>
              <w:spacing w:after="0"/>
              <w:ind w:left="318"/>
              <w:jc w:val="left"/>
              <w:rPr>
                <w:rFonts w:asciiTheme="minorHAnsi" w:hAnsiTheme="minorHAnsi"/>
                <w:b/>
                <w:i/>
                <w:color w:val="000000"/>
                <w:szCs w:val="24"/>
                <w:u w:val="single"/>
              </w:rPr>
            </w:pPr>
            <w:r w:rsidRPr="00692E6E">
              <w:rPr>
                <w:rFonts w:asciiTheme="minorHAnsi" w:hAnsiTheme="minorHAnsi"/>
                <w:color w:val="212121"/>
                <w:spacing w:val="-1"/>
                <w:szCs w:val="24"/>
              </w:rPr>
              <w:t>family</w:t>
            </w:r>
            <w:r w:rsidRPr="00692E6E">
              <w:rPr>
                <w:rFonts w:asciiTheme="minorHAnsi" w:hAnsiTheme="minorHAnsi"/>
                <w:color w:val="212121"/>
                <w:spacing w:val="-3"/>
                <w:szCs w:val="24"/>
              </w:rPr>
              <w:t xml:space="preserve"> </w:t>
            </w:r>
            <w:r w:rsidRPr="00692E6E">
              <w:rPr>
                <w:rFonts w:asciiTheme="minorHAnsi" w:hAnsiTheme="minorHAnsi"/>
                <w:color w:val="212121"/>
                <w:spacing w:val="-1"/>
                <w:szCs w:val="24"/>
              </w:rPr>
              <w:t>history</w:t>
            </w:r>
            <w:r w:rsidRPr="00692E6E">
              <w:rPr>
                <w:rFonts w:asciiTheme="minorHAnsi" w:hAnsiTheme="minorHAnsi"/>
                <w:color w:val="212121"/>
                <w:spacing w:val="-3"/>
                <w:szCs w:val="24"/>
              </w:rPr>
              <w:t xml:space="preserve"> </w:t>
            </w:r>
            <w:r w:rsidRPr="00692E6E">
              <w:rPr>
                <w:rFonts w:asciiTheme="minorHAnsi" w:hAnsiTheme="minorHAnsi"/>
                <w:color w:val="212121"/>
                <w:szCs w:val="24"/>
              </w:rPr>
              <w:t xml:space="preserve">of </w:t>
            </w:r>
            <w:r w:rsidRPr="00692E6E">
              <w:rPr>
                <w:rFonts w:asciiTheme="minorHAnsi" w:hAnsiTheme="minorHAnsi"/>
                <w:color w:val="212121"/>
                <w:spacing w:val="-1"/>
                <w:szCs w:val="24"/>
              </w:rPr>
              <w:t>coronary</w:t>
            </w:r>
            <w:r w:rsidRPr="00692E6E">
              <w:rPr>
                <w:rFonts w:asciiTheme="minorHAnsi" w:hAnsiTheme="minorHAnsi"/>
                <w:color w:val="212121"/>
                <w:spacing w:val="-3"/>
                <w:szCs w:val="24"/>
              </w:rPr>
              <w:t xml:space="preserve"> </w:t>
            </w:r>
            <w:r w:rsidRPr="00692E6E">
              <w:rPr>
                <w:rFonts w:asciiTheme="minorHAnsi" w:hAnsiTheme="minorHAnsi"/>
                <w:color w:val="212121"/>
                <w:spacing w:val="-1"/>
                <w:szCs w:val="24"/>
              </w:rPr>
              <w:t>heart</w:t>
            </w:r>
            <w:r w:rsidRPr="00692E6E">
              <w:rPr>
                <w:rFonts w:asciiTheme="minorHAnsi" w:hAnsiTheme="minorHAnsi"/>
                <w:color w:val="212121"/>
                <w:spacing w:val="1"/>
                <w:szCs w:val="24"/>
              </w:rPr>
              <w:t xml:space="preserve"> </w:t>
            </w:r>
            <w:r w:rsidRPr="00692E6E">
              <w:rPr>
                <w:rFonts w:asciiTheme="minorHAnsi" w:hAnsiTheme="minorHAnsi"/>
                <w:color w:val="212121"/>
                <w:spacing w:val="-2"/>
                <w:szCs w:val="24"/>
              </w:rPr>
              <w:t>disease</w:t>
            </w:r>
            <w:r w:rsidRPr="00692E6E">
              <w:rPr>
                <w:rFonts w:asciiTheme="minorHAnsi" w:hAnsiTheme="minorHAnsi"/>
                <w:color w:val="212121"/>
                <w:spacing w:val="4"/>
                <w:szCs w:val="24"/>
              </w:rPr>
              <w:t xml:space="preserve"> </w:t>
            </w:r>
          </w:p>
          <w:p w:rsidR="008B6729" w:rsidRPr="00692E6E" w:rsidRDefault="008B6729" w:rsidP="00692E6E">
            <w:pPr>
              <w:pStyle w:val="BodyText"/>
              <w:widowControl w:val="0"/>
              <w:numPr>
                <w:ilvl w:val="0"/>
                <w:numId w:val="57"/>
              </w:numPr>
              <w:spacing w:after="0"/>
              <w:ind w:left="318"/>
              <w:jc w:val="left"/>
              <w:rPr>
                <w:rFonts w:asciiTheme="minorHAnsi" w:hAnsiTheme="minorHAnsi"/>
                <w:b/>
                <w:i/>
                <w:color w:val="000000"/>
                <w:szCs w:val="24"/>
                <w:u w:val="single"/>
              </w:rPr>
            </w:pPr>
            <w:r w:rsidRPr="00692E6E">
              <w:rPr>
                <w:rFonts w:asciiTheme="minorHAnsi" w:hAnsiTheme="minorHAnsi"/>
                <w:color w:val="212121"/>
                <w:spacing w:val="-1"/>
                <w:szCs w:val="24"/>
              </w:rPr>
              <w:t>peripheral</w:t>
            </w:r>
            <w:r w:rsidRPr="00692E6E">
              <w:rPr>
                <w:rFonts w:asciiTheme="minorHAnsi" w:hAnsiTheme="minorHAnsi"/>
                <w:color w:val="212121"/>
                <w:spacing w:val="1"/>
                <w:szCs w:val="24"/>
              </w:rPr>
              <w:t xml:space="preserve"> </w:t>
            </w:r>
            <w:r w:rsidRPr="00692E6E">
              <w:rPr>
                <w:rFonts w:asciiTheme="minorHAnsi" w:hAnsiTheme="minorHAnsi"/>
                <w:color w:val="212121"/>
                <w:spacing w:val="-1"/>
                <w:szCs w:val="24"/>
              </w:rPr>
              <w:t>vascular</w:t>
            </w:r>
            <w:r w:rsidRPr="00692E6E">
              <w:rPr>
                <w:rFonts w:asciiTheme="minorHAnsi" w:hAnsiTheme="minorHAnsi"/>
                <w:color w:val="212121"/>
                <w:spacing w:val="1"/>
                <w:szCs w:val="24"/>
              </w:rPr>
              <w:t xml:space="preserve"> </w:t>
            </w:r>
            <w:r w:rsidRPr="00692E6E">
              <w:rPr>
                <w:rFonts w:asciiTheme="minorHAnsi" w:hAnsiTheme="minorHAnsi"/>
                <w:color w:val="212121"/>
                <w:spacing w:val="-2"/>
                <w:szCs w:val="24"/>
              </w:rPr>
              <w:t>disease</w:t>
            </w:r>
            <w:r w:rsidRPr="00692E6E">
              <w:rPr>
                <w:rFonts w:asciiTheme="minorHAnsi" w:hAnsiTheme="minorHAnsi"/>
                <w:color w:val="212121"/>
                <w:szCs w:val="24"/>
              </w:rPr>
              <w:t xml:space="preserve"> </w:t>
            </w:r>
          </w:p>
          <w:p w:rsidR="008B6729" w:rsidRPr="00692E6E" w:rsidRDefault="008B6729" w:rsidP="00692E6E">
            <w:pPr>
              <w:pStyle w:val="BodyText"/>
              <w:widowControl w:val="0"/>
              <w:numPr>
                <w:ilvl w:val="0"/>
                <w:numId w:val="57"/>
              </w:numPr>
              <w:spacing w:after="0"/>
              <w:ind w:left="318"/>
              <w:jc w:val="left"/>
              <w:rPr>
                <w:rFonts w:asciiTheme="minorHAnsi" w:hAnsiTheme="minorHAnsi"/>
                <w:b/>
                <w:i/>
                <w:color w:val="000000"/>
                <w:szCs w:val="24"/>
                <w:u w:val="single"/>
              </w:rPr>
            </w:pPr>
            <w:r w:rsidRPr="00692E6E">
              <w:rPr>
                <w:rFonts w:asciiTheme="minorHAnsi" w:hAnsiTheme="minorHAnsi"/>
                <w:color w:val="212121"/>
                <w:spacing w:val="-1"/>
                <w:szCs w:val="24"/>
              </w:rPr>
              <w:t>heterozygous/homozygous</w:t>
            </w:r>
            <w:r w:rsidRPr="00692E6E">
              <w:rPr>
                <w:rFonts w:asciiTheme="minorHAnsi" w:hAnsiTheme="minorHAnsi"/>
                <w:color w:val="212121"/>
                <w:szCs w:val="24"/>
              </w:rPr>
              <w:t xml:space="preserve"> </w:t>
            </w:r>
            <w:r w:rsidRPr="00692E6E">
              <w:rPr>
                <w:rFonts w:asciiTheme="minorHAnsi" w:hAnsiTheme="minorHAnsi"/>
                <w:color w:val="212121"/>
                <w:spacing w:val="-1"/>
                <w:szCs w:val="24"/>
              </w:rPr>
              <w:t>familial</w:t>
            </w:r>
            <w:r w:rsidRPr="00692E6E">
              <w:rPr>
                <w:rFonts w:asciiTheme="minorHAnsi" w:hAnsiTheme="minorHAnsi"/>
                <w:color w:val="212121"/>
                <w:spacing w:val="1"/>
                <w:szCs w:val="24"/>
              </w:rPr>
              <w:t xml:space="preserve"> </w:t>
            </w:r>
            <w:r w:rsidRPr="00692E6E">
              <w:rPr>
                <w:rFonts w:asciiTheme="minorHAnsi" w:hAnsiTheme="minorHAnsi"/>
                <w:color w:val="212121"/>
                <w:spacing w:val="-1"/>
                <w:szCs w:val="24"/>
              </w:rPr>
              <w:t>hypercholesterolaemia</w:t>
            </w:r>
            <w:r w:rsidRPr="00692E6E">
              <w:rPr>
                <w:rFonts w:asciiTheme="minorHAnsi" w:hAnsiTheme="minorHAnsi"/>
                <w:color w:val="212121"/>
                <w:szCs w:val="24"/>
              </w:rPr>
              <w:t xml:space="preserve"> </w:t>
            </w:r>
          </w:p>
          <w:p w:rsidR="008B6729" w:rsidRPr="00692E6E" w:rsidRDefault="008B6729" w:rsidP="00692E6E">
            <w:pPr>
              <w:pStyle w:val="BodyText"/>
              <w:widowControl w:val="0"/>
              <w:numPr>
                <w:ilvl w:val="0"/>
                <w:numId w:val="57"/>
              </w:numPr>
              <w:spacing w:after="0"/>
              <w:ind w:left="318"/>
              <w:jc w:val="left"/>
              <w:rPr>
                <w:rFonts w:asciiTheme="minorHAnsi" w:hAnsiTheme="minorHAnsi"/>
                <w:b/>
                <w:i/>
                <w:color w:val="000000"/>
                <w:szCs w:val="24"/>
                <w:u w:val="single"/>
              </w:rPr>
            </w:pPr>
            <w:r w:rsidRPr="00692E6E">
              <w:rPr>
                <w:rFonts w:asciiTheme="minorHAnsi" w:hAnsiTheme="minorHAnsi"/>
                <w:color w:val="212121"/>
                <w:spacing w:val="-1"/>
                <w:szCs w:val="24"/>
              </w:rPr>
              <w:t>symptomatic</w:t>
            </w:r>
            <w:r w:rsidRPr="00692E6E">
              <w:rPr>
                <w:rFonts w:asciiTheme="minorHAnsi" w:hAnsiTheme="minorHAnsi"/>
                <w:color w:val="212121"/>
                <w:szCs w:val="24"/>
              </w:rPr>
              <w:t xml:space="preserve"> </w:t>
            </w:r>
            <w:r w:rsidRPr="00692E6E">
              <w:rPr>
                <w:rFonts w:asciiTheme="minorHAnsi" w:hAnsiTheme="minorHAnsi"/>
                <w:color w:val="212121"/>
                <w:spacing w:val="-1"/>
                <w:szCs w:val="24"/>
              </w:rPr>
              <w:t>cerebrovascular</w:t>
            </w:r>
            <w:r w:rsidRPr="00692E6E">
              <w:rPr>
                <w:rFonts w:asciiTheme="minorHAnsi" w:hAnsiTheme="minorHAnsi"/>
                <w:color w:val="212121"/>
                <w:szCs w:val="24"/>
              </w:rPr>
              <w:t xml:space="preserve"> </w:t>
            </w:r>
            <w:r w:rsidRPr="00692E6E">
              <w:rPr>
                <w:rFonts w:asciiTheme="minorHAnsi" w:hAnsiTheme="minorHAnsi"/>
                <w:color w:val="212121"/>
                <w:spacing w:val="-1"/>
                <w:szCs w:val="24"/>
              </w:rPr>
              <w:t>disease</w:t>
            </w:r>
            <w:r w:rsidRPr="00692E6E">
              <w:rPr>
                <w:rFonts w:asciiTheme="minorHAnsi" w:hAnsiTheme="minorHAnsi"/>
                <w:color w:val="212121"/>
                <w:spacing w:val="-2"/>
                <w:szCs w:val="24"/>
              </w:rPr>
              <w:t xml:space="preserve"> </w:t>
            </w:r>
          </w:p>
          <w:p w:rsidR="008B6729" w:rsidRPr="00692E6E" w:rsidRDefault="008B6729" w:rsidP="00692E6E">
            <w:pPr>
              <w:pStyle w:val="BodyText"/>
              <w:widowControl w:val="0"/>
              <w:numPr>
                <w:ilvl w:val="0"/>
                <w:numId w:val="57"/>
              </w:numPr>
              <w:spacing w:after="0"/>
              <w:ind w:left="318"/>
              <w:jc w:val="left"/>
              <w:rPr>
                <w:rFonts w:asciiTheme="minorHAnsi" w:hAnsiTheme="minorHAnsi"/>
                <w:b/>
                <w:i/>
                <w:color w:val="000000"/>
                <w:szCs w:val="24"/>
                <w:u w:val="single"/>
              </w:rPr>
            </w:pPr>
            <w:r w:rsidRPr="00692E6E">
              <w:rPr>
                <w:rFonts w:asciiTheme="minorHAnsi" w:hAnsiTheme="minorHAnsi"/>
                <w:color w:val="212121"/>
                <w:spacing w:val="-1"/>
                <w:szCs w:val="24"/>
              </w:rPr>
              <w:t>hypertension</w:t>
            </w:r>
          </w:p>
        </w:tc>
      </w:tr>
      <w:tr w:rsidR="008B6729" w:rsidRPr="00375000" w:rsidTr="00221FBE">
        <w:trPr>
          <w:tblHeader/>
        </w:trPr>
        <w:tc>
          <w:tcPr>
            <w:tcW w:w="2694" w:type="dxa"/>
            <w:vMerge/>
            <w:shd w:val="clear" w:color="auto" w:fill="auto"/>
          </w:tcPr>
          <w:p w:rsidR="008B6729" w:rsidRPr="00692E6E" w:rsidRDefault="008B6729" w:rsidP="00221FBE">
            <w:pPr>
              <w:spacing w:before="60" w:after="60"/>
              <w:rPr>
                <w:rFonts w:asciiTheme="minorHAnsi" w:hAnsiTheme="minorHAnsi"/>
                <w:szCs w:val="24"/>
              </w:rPr>
            </w:pPr>
          </w:p>
        </w:tc>
        <w:tc>
          <w:tcPr>
            <w:tcW w:w="7087" w:type="dxa"/>
            <w:shd w:val="clear" w:color="auto" w:fill="auto"/>
          </w:tcPr>
          <w:p w:rsidR="008B6729" w:rsidRPr="00692E6E" w:rsidRDefault="008B6729" w:rsidP="00692E6E">
            <w:pPr>
              <w:pStyle w:val="BodyText"/>
              <w:numPr>
                <w:ilvl w:val="0"/>
                <w:numId w:val="55"/>
              </w:numPr>
              <w:tabs>
                <w:tab w:val="left" w:pos="461"/>
              </w:tabs>
              <w:spacing w:after="0"/>
              <w:ind w:left="318"/>
              <w:rPr>
                <w:rFonts w:asciiTheme="minorHAnsi" w:hAnsiTheme="minorHAnsi"/>
                <w:b/>
                <w:i/>
                <w:color w:val="000000"/>
                <w:szCs w:val="24"/>
                <w:u w:val="single"/>
              </w:rPr>
            </w:pPr>
            <w:r w:rsidRPr="00692E6E">
              <w:rPr>
                <w:rFonts w:asciiTheme="minorHAnsi" w:hAnsiTheme="minorHAnsi"/>
                <w:color w:val="212121"/>
                <w:spacing w:val="-1"/>
                <w:szCs w:val="24"/>
              </w:rPr>
              <w:t>Homozygous</w:t>
            </w:r>
            <w:r w:rsidRPr="00692E6E">
              <w:rPr>
                <w:rFonts w:asciiTheme="minorHAnsi" w:hAnsiTheme="minorHAnsi"/>
                <w:color w:val="212121"/>
                <w:szCs w:val="24"/>
              </w:rPr>
              <w:t xml:space="preserve"> </w:t>
            </w:r>
            <w:r w:rsidRPr="00692E6E">
              <w:rPr>
                <w:rFonts w:asciiTheme="minorHAnsi" w:hAnsiTheme="minorHAnsi"/>
                <w:color w:val="212121"/>
                <w:spacing w:val="-1"/>
                <w:szCs w:val="24"/>
              </w:rPr>
              <w:t>sitosterolaemia</w:t>
            </w:r>
          </w:p>
        </w:tc>
      </w:tr>
      <w:tr w:rsidR="008B6729" w:rsidRPr="008B6729" w:rsidTr="00221FBE">
        <w:trPr>
          <w:tblHeader/>
        </w:trPr>
        <w:tc>
          <w:tcPr>
            <w:tcW w:w="2694" w:type="dxa"/>
            <w:vMerge/>
            <w:shd w:val="clear" w:color="auto" w:fill="auto"/>
          </w:tcPr>
          <w:p w:rsidR="008B6729" w:rsidRPr="00692E6E" w:rsidRDefault="008B6729" w:rsidP="00221FBE">
            <w:pPr>
              <w:spacing w:before="60" w:after="60"/>
              <w:rPr>
                <w:rFonts w:asciiTheme="minorHAnsi" w:hAnsiTheme="minorHAnsi"/>
                <w:szCs w:val="24"/>
              </w:rPr>
            </w:pPr>
          </w:p>
        </w:tc>
        <w:tc>
          <w:tcPr>
            <w:tcW w:w="7087" w:type="dxa"/>
            <w:shd w:val="clear" w:color="auto" w:fill="auto"/>
          </w:tcPr>
          <w:p w:rsidR="008B6729" w:rsidRPr="00692E6E" w:rsidRDefault="008B6729" w:rsidP="00692E6E">
            <w:pPr>
              <w:pStyle w:val="BodyText"/>
              <w:numPr>
                <w:ilvl w:val="0"/>
                <w:numId w:val="55"/>
              </w:numPr>
              <w:tabs>
                <w:tab w:val="left" w:pos="461"/>
              </w:tabs>
              <w:spacing w:after="0"/>
              <w:ind w:left="176" w:right="593" w:hanging="176"/>
              <w:rPr>
                <w:rFonts w:asciiTheme="minorHAnsi" w:hAnsiTheme="minorHAnsi"/>
                <w:spacing w:val="-1"/>
                <w:szCs w:val="24"/>
              </w:rPr>
            </w:pPr>
            <w:r w:rsidRPr="00692E6E">
              <w:rPr>
                <w:rFonts w:asciiTheme="minorHAnsi" w:hAnsiTheme="minorHAnsi"/>
                <w:color w:val="212121"/>
                <w:spacing w:val="-1"/>
                <w:szCs w:val="24"/>
              </w:rPr>
              <w:t>Patient</w:t>
            </w:r>
            <w:r w:rsidRPr="00692E6E">
              <w:rPr>
                <w:rFonts w:asciiTheme="minorHAnsi" w:hAnsiTheme="minorHAnsi"/>
                <w:color w:val="212121"/>
                <w:spacing w:val="1"/>
                <w:szCs w:val="24"/>
              </w:rPr>
              <w:t xml:space="preserve"> </w:t>
            </w:r>
            <w:r w:rsidRPr="00692E6E">
              <w:rPr>
                <w:rFonts w:asciiTheme="minorHAnsi" w:hAnsiTheme="minorHAnsi"/>
                <w:color w:val="212121"/>
                <w:spacing w:val="-1"/>
                <w:szCs w:val="24"/>
              </w:rPr>
              <w:t>must</w:t>
            </w:r>
            <w:r w:rsidRPr="00692E6E">
              <w:rPr>
                <w:rFonts w:asciiTheme="minorHAnsi" w:hAnsiTheme="minorHAnsi"/>
                <w:color w:val="212121"/>
                <w:spacing w:val="1"/>
                <w:szCs w:val="24"/>
              </w:rPr>
              <w:t xml:space="preserve"> </w:t>
            </w:r>
            <w:r w:rsidRPr="00692E6E">
              <w:rPr>
                <w:rFonts w:asciiTheme="minorHAnsi" w:hAnsiTheme="minorHAnsi"/>
                <w:color w:val="212121"/>
                <w:spacing w:val="-1"/>
                <w:szCs w:val="24"/>
              </w:rPr>
              <w:t>meet</w:t>
            </w:r>
            <w:r w:rsidRPr="00692E6E">
              <w:rPr>
                <w:rFonts w:asciiTheme="minorHAnsi" w:hAnsiTheme="minorHAnsi"/>
                <w:color w:val="212121"/>
                <w:spacing w:val="-2"/>
                <w:szCs w:val="24"/>
              </w:rPr>
              <w:t xml:space="preserve"> </w:t>
            </w:r>
            <w:r w:rsidRPr="00692E6E">
              <w:rPr>
                <w:rFonts w:asciiTheme="minorHAnsi" w:hAnsiTheme="minorHAnsi"/>
                <w:color w:val="212121"/>
                <w:szCs w:val="24"/>
              </w:rPr>
              <w:t>the</w:t>
            </w:r>
            <w:r w:rsidRPr="00692E6E">
              <w:rPr>
                <w:rFonts w:asciiTheme="minorHAnsi" w:hAnsiTheme="minorHAnsi"/>
                <w:color w:val="212121"/>
                <w:spacing w:val="-2"/>
                <w:szCs w:val="24"/>
              </w:rPr>
              <w:t xml:space="preserve"> </w:t>
            </w:r>
            <w:r w:rsidRPr="00692E6E">
              <w:rPr>
                <w:rFonts w:asciiTheme="minorHAnsi" w:hAnsiTheme="minorHAnsi"/>
                <w:color w:val="212121"/>
                <w:spacing w:val="-1"/>
                <w:szCs w:val="24"/>
              </w:rPr>
              <w:t>criteria</w:t>
            </w:r>
            <w:r w:rsidRPr="00692E6E">
              <w:rPr>
                <w:rFonts w:asciiTheme="minorHAnsi" w:hAnsiTheme="minorHAnsi"/>
                <w:color w:val="212121"/>
                <w:szCs w:val="24"/>
              </w:rPr>
              <w:t xml:space="preserve"> </w:t>
            </w:r>
            <w:r w:rsidRPr="00692E6E">
              <w:rPr>
                <w:rFonts w:asciiTheme="minorHAnsi" w:hAnsiTheme="minorHAnsi"/>
                <w:color w:val="212121"/>
                <w:spacing w:val="-1"/>
                <w:szCs w:val="24"/>
              </w:rPr>
              <w:t>set</w:t>
            </w:r>
            <w:r w:rsidRPr="00692E6E">
              <w:rPr>
                <w:rFonts w:asciiTheme="minorHAnsi" w:hAnsiTheme="minorHAnsi"/>
                <w:color w:val="212121"/>
                <w:spacing w:val="1"/>
                <w:szCs w:val="24"/>
              </w:rPr>
              <w:t xml:space="preserve"> </w:t>
            </w:r>
            <w:r w:rsidRPr="00692E6E">
              <w:rPr>
                <w:rFonts w:asciiTheme="minorHAnsi" w:hAnsiTheme="minorHAnsi"/>
                <w:color w:val="212121"/>
                <w:spacing w:val="-1"/>
                <w:szCs w:val="24"/>
              </w:rPr>
              <w:t>out</w:t>
            </w:r>
            <w:r w:rsidRPr="00692E6E">
              <w:rPr>
                <w:rFonts w:asciiTheme="minorHAnsi" w:hAnsiTheme="minorHAnsi"/>
                <w:color w:val="212121"/>
                <w:spacing w:val="-2"/>
                <w:szCs w:val="24"/>
              </w:rPr>
              <w:t xml:space="preserve"> </w:t>
            </w:r>
            <w:r w:rsidRPr="00692E6E">
              <w:rPr>
                <w:rFonts w:asciiTheme="minorHAnsi" w:hAnsiTheme="minorHAnsi"/>
                <w:color w:val="212121"/>
                <w:szCs w:val="24"/>
              </w:rPr>
              <w:t xml:space="preserve">in </w:t>
            </w:r>
            <w:r w:rsidRPr="00692E6E">
              <w:rPr>
                <w:rFonts w:asciiTheme="minorHAnsi" w:hAnsiTheme="minorHAnsi"/>
                <w:color w:val="212121"/>
                <w:spacing w:val="-1"/>
                <w:szCs w:val="24"/>
              </w:rPr>
              <w:t>the</w:t>
            </w:r>
            <w:r w:rsidRPr="00692E6E">
              <w:rPr>
                <w:rFonts w:asciiTheme="minorHAnsi" w:hAnsiTheme="minorHAnsi"/>
                <w:color w:val="212121"/>
                <w:spacing w:val="3"/>
                <w:szCs w:val="24"/>
              </w:rPr>
              <w:t xml:space="preserve"> </w:t>
            </w:r>
            <w:r w:rsidRPr="00692E6E">
              <w:rPr>
                <w:rFonts w:asciiTheme="minorHAnsi" w:hAnsiTheme="minorHAnsi"/>
                <w:spacing w:val="-1"/>
                <w:szCs w:val="24"/>
              </w:rPr>
              <w:t>General</w:t>
            </w:r>
            <w:r w:rsidRPr="00692E6E">
              <w:rPr>
                <w:rFonts w:asciiTheme="minorHAnsi" w:hAnsiTheme="minorHAnsi"/>
                <w:szCs w:val="24"/>
              </w:rPr>
              <w:t xml:space="preserve"> </w:t>
            </w:r>
            <w:r w:rsidRPr="00692E6E">
              <w:rPr>
                <w:rFonts w:asciiTheme="minorHAnsi" w:hAnsiTheme="minorHAnsi"/>
                <w:spacing w:val="-1"/>
                <w:szCs w:val="24"/>
              </w:rPr>
              <w:t>Statement</w:t>
            </w:r>
            <w:r w:rsidRPr="00692E6E">
              <w:rPr>
                <w:rFonts w:asciiTheme="minorHAnsi" w:hAnsiTheme="minorHAnsi"/>
                <w:spacing w:val="1"/>
                <w:szCs w:val="24"/>
              </w:rPr>
              <w:t xml:space="preserve"> </w:t>
            </w:r>
            <w:r w:rsidRPr="00692E6E">
              <w:rPr>
                <w:rFonts w:asciiTheme="minorHAnsi" w:hAnsiTheme="minorHAnsi"/>
                <w:spacing w:val="-1"/>
                <w:szCs w:val="24"/>
              </w:rPr>
              <w:t>for</w:t>
            </w:r>
            <w:r w:rsidRPr="00692E6E">
              <w:rPr>
                <w:rFonts w:asciiTheme="minorHAnsi" w:hAnsiTheme="minorHAnsi"/>
                <w:szCs w:val="24"/>
              </w:rPr>
              <w:t xml:space="preserve"> </w:t>
            </w:r>
            <w:r w:rsidRPr="00692E6E">
              <w:rPr>
                <w:rFonts w:asciiTheme="minorHAnsi" w:hAnsiTheme="minorHAnsi"/>
                <w:spacing w:val="-1"/>
                <w:szCs w:val="24"/>
              </w:rPr>
              <w:t>Lipid-Lowering</w:t>
            </w:r>
            <w:r w:rsidRPr="00692E6E">
              <w:rPr>
                <w:rFonts w:asciiTheme="minorHAnsi" w:hAnsiTheme="minorHAnsi"/>
                <w:spacing w:val="-3"/>
                <w:szCs w:val="24"/>
              </w:rPr>
              <w:t xml:space="preserve"> </w:t>
            </w:r>
            <w:r w:rsidRPr="00692E6E">
              <w:rPr>
                <w:rFonts w:asciiTheme="minorHAnsi" w:hAnsiTheme="minorHAnsi"/>
                <w:spacing w:val="-1"/>
                <w:szCs w:val="24"/>
              </w:rPr>
              <w:t xml:space="preserve">Drugs </w:t>
            </w:r>
          </w:p>
          <w:p w:rsidR="008B6729" w:rsidRPr="00692E6E" w:rsidRDefault="008B6729" w:rsidP="00692E6E">
            <w:pPr>
              <w:pStyle w:val="NormalWeb"/>
              <w:spacing w:before="0" w:beforeAutospacing="0" w:after="0" w:afterAutospacing="0" w:line="300" w:lineRule="atLeast"/>
              <w:rPr>
                <w:rFonts w:asciiTheme="minorHAnsi" w:hAnsiTheme="minorHAnsi" w:cs="Arial"/>
                <w:b/>
                <w:bCs/>
              </w:rPr>
            </w:pPr>
            <w:r w:rsidRPr="00692E6E">
              <w:rPr>
                <w:rFonts w:asciiTheme="minorHAnsi" w:hAnsiTheme="minorHAnsi" w:cs="Arial"/>
                <w:b/>
                <w:bCs/>
              </w:rPr>
              <w:t>AND</w:t>
            </w:r>
          </w:p>
          <w:p w:rsidR="008B6729" w:rsidRPr="00692E6E" w:rsidRDefault="008B6729" w:rsidP="00692E6E">
            <w:pPr>
              <w:pStyle w:val="BodyText"/>
              <w:tabs>
                <w:tab w:val="left" w:pos="461"/>
              </w:tabs>
              <w:spacing w:after="0"/>
              <w:ind w:right="593" w:hanging="8"/>
              <w:rPr>
                <w:rFonts w:asciiTheme="minorHAnsi" w:hAnsiTheme="minorHAnsi"/>
                <w:color w:val="212121"/>
                <w:spacing w:val="-1"/>
                <w:szCs w:val="24"/>
              </w:rPr>
            </w:pPr>
            <w:r w:rsidRPr="00692E6E">
              <w:rPr>
                <w:rFonts w:asciiTheme="minorHAnsi" w:hAnsiTheme="minorHAnsi"/>
                <w:color w:val="212121"/>
                <w:spacing w:val="-1"/>
                <w:szCs w:val="24"/>
              </w:rPr>
              <w:t>statins are contra-indicated</w:t>
            </w:r>
          </w:p>
          <w:p w:rsidR="008B6729" w:rsidRPr="00692E6E" w:rsidRDefault="008B6729" w:rsidP="00692E6E">
            <w:pPr>
              <w:pStyle w:val="BodyText"/>
              <w:tabs>
                <w:tab w:val="left" w:pos="461"/>
              </w:tabs>
              <w:spacing w:after="0"/>
              <w:ind w:right="593" w:hanging="8"/>
              <w:rPr>
                <w:rFonts w:asciiTheme="minorHAnsi" w:hAnsiTheme="minorHAnsi"/>
                <w:b/>
                <w:color w:val="212121"/>
                <w:spacing w:val="-1"/>
                <w:szCs w:val="24"/>
              </w:rPr>
            </w:pPr>
            <w:r w:rsidRPr="00692E6E">
              <w:rPr>
                <w:rFonts w:asciiTheme="minorHAnsi" w:hAnsiTheme="minorHAnsi"/>
                <w:b/>
                <w:color w:val="212121"/>
                <w:spacing w:val="-1"/>
                <w:szCs w:val="24"/>
              </w:rPr>
              <w:t>or</w:t>
            </w:r>
          </w:p>
          <w:p w:rsidR="008B6729" w:rsidRPr="00692E6E" w:rsidRDefault="008B6729" w:rsidP="00692E6E">
            <w:pPr>
              <w:pStyle w:val="BodyText"/>
              <w:tabs>
                <w:tab w:val="left" w:pos="461"/>
              </w:tabs>
              <w:spacing w:after="0"/>
              <w:ind w:right="593" w:hanging="8"/>
              <w:rPr>
                <w:rFonts w:asciiTheme="minorHAnsi" w:hAnsiTheme="minorHAnsi"/>
                <w:color w:val="212121"/>
                <w:spacing w:val="-1"/>
                <w:szCs w:val="24"/>
              </w:rPr>
            </w:pPr>
            <w:r w:rsidRPr="00692E6E">
              <w:rPr>
                <w:rFonts w:asciiTheme="minorHAnsi" w:hAnsiTheme="minorHAnsi"/>
                <w:color w:val="212121"/>
                <w:spacing w:val="-1"/>
                <w:szCs w:val="24"/>
              </w:rPr>
              <w:t>patient has developed a clinically important product related adverse drug event necessitating withdrawal of statin treatment</w:t>
            </w:r>
          </w:p>
          <w:p w:rsidR="008B6729" w:rsidRPr="00692E6E" w:rsidRDefault="008B6729" w:rsidP="00692E6E">
            <w:pPr>
              <w:pStyle w:val="BodyText"/>
              <w:tabs>
                <w:tab w:val="left" w:pos="461"/>
              </w:tabs>
              <w:spacing w:after="0"/>
              <w:rPr>
                <w:rFonts w:asciiTheme="minorHAnsi" w:hAnsiTheme="minorHAnsi"/>
                <w:b/>
                <w:color w:val="212121"/>
                <w:spacing w:val="-1"/>
                <w:szCs w:val="24"/>
              </w:rPr>
            </w:pPr>
            <w:r w:rsidRPr="00692E6E">
              <w:rPr>
                <w:rFonts w:asciiTheme="minorHAnsi" w:hAnsiTheme="minorHAnsi"/>
                <w:b/>
                <w:color w:val="212121"/>
                <w:spacing w:val="-1"/>
                <w:szCs w:val="24"/>
              </w:rPr>
              <w:t>or</w:t>
            </w:r>
          </w:p>
          <w:p w:rsidR="008B6729" w:rsidRPr="00692E6E" w:rsidRDefault="008B6729" w:rsidP="00692E6E">
            <w:pPr>
              <w:pStyle w:val="BodyText"/>
              <w:tabs>
                <w:tab w:val="left" w:pos="461"/>
              </w:tabs>
              <w:spacing w:after="0"/>
              <w:ind w:firstLine="34"/>
              <w:rPr>
                <w:rFonts w:asciiTheme="minorHAnsi" w:hAnsiTheme="minorHAnsi"/>
                <w:color w:val="212121"/>
                <w:spacing w:val="-1"/>
                <w:szCs w:val="24"/>
              </w:rPr>
            </w:pPr>
            <w:r w:rsidRPr="00692E6E">
              <w:rPr>
                <w:rFonts w:asciiTheme="minorHAnsi" w:hAnsiTheme="minorHAnsi"/>
                <w:color w:val="212121"/>
                <w:spacing w:val="-1"/>
                <w:szCs w:val="24"/>
              </w:rPr>
              <w:t>patient has developed a clinically important product related adverse drug event necessitating a reduction in statin dose</w:t>
            </w:r>
          </w:p>
        </w:tc>
      </w:tr>
    </w:tbl>
    <w:p w:rsidR="008B6729" w:rsidRPr="00375000" w:rsidRDefault="008B6729">
      <w:pPr>
        <w:rPr>
          <w:rFonts w:asciiTheme="minorHAnsi" w:hAnsiTheme="minorHAnsi"/>
          <w:szCs w:val="24"/>
        </w:rPr>
      </w:pPr>
      <w:r w:rsidRPr="00375000">
        <w:rPr>
          <w:rFonts w:asciiTheme="minorHAnsi" w:hAnsiTheme="minorHAnsi"/>
          <w:szCs w:val="24"/>
        </w:rPr>
        <w:br w:type="page"/>
      </w:r>
    </w:p>
    <w:tbl>
      <w:tblPr>
        <w:tblW w:w="9781" w:type="dxa"/>
        <w:tblInd w:w="-318" w:type="dxa"/>
        <w:tblLook w:val="04A0" w:firstRow="1" w:lastRow="0" w:firstColumn="1" w:lastColumn="0" w:noHBand="0" w:noVBand="1"/>
      </w:tblPr>
      <w:tblGrid>
        <w:gridCol w:w="3120"/>
        <w:gridCol w:w="141"/>
        <w:gridCol w:w="6379"/>
        <w:gridCol w:w="141"/>
      </w:tblGrid>
      <w:tr w:rsidR="008B6729" w:rsidRPr="00692E6E" w:rsidTr="008B6729">
        <w:trPr>
          <w:tblHeader/>
        </w:trPr>
        <w:tc>
          <w:tcPr>
            <w:tcW w:w="3261" w:type="dxa"/>
            <w:gridSpan w:val="2"/>
            <w:shd w:val="clear" w:color="auto" w:fill="BFBFBF" w:themeFill="background1" w:themeFillShade="BF"/>
          </w:tcPr>
          <w:p w:rsidR="008B6729" w:rsidRPr="00692E6E" w:rsidRDefault="008B6729" w:rsidP="00221FBE">
            <w:pPr>
              <w:spacing w:before="60" w:after="60"/>
              <w:rPr>
                <w:rFonts w:asciiTheme="minorHAnsi" w:hAnsiTheme="minorHAnsi"/>
                <w:b/>
                <w:i/>
                <w:color w:val="000000"/>
                <w:szCs w:val="24"/>
                <w:u w:val="single"/>
              </w:rPr>
            </w:pPr>
            <w:r w:rsidRPr="00692E6E">
              <w:rPr>
                <w:rFonts w:asciiTheme="minorHAnsi" w:hAnsiTheme="minorHAnsi"/>
                <w:b/>
                <w:szCs w:val="24"/>
              </w:rPr>
              <w:lastRenderedPageBreak/>
              <w:t xml:space="preserve">Combination Therapy </w:t>
            </w:r>
          </w:p>
        </w:tc>
        <w:tc>
          <w:tcPr>
            <w:tcW w:w="6520" w:type="dxa"/>
            <w:gridSpan w:val="2"/>
            <w:shd w:val="clear" w:color="auto" w:fill="BFBFBF" w:themeFill="background1" w:themeFillShade="BF"/>
          </w:tcPr>
          <w:p w:rsidR="008B6729" w:rsidRPr="00692E6E" w:rsidRDefault="008B6729" w:rsidP="00692E6E">
            <w:pPr>
              <w:spacing w:before="60" w:after="60"/>
              <w:ind w:left="459" w:hanging="459"/>
              <w:rPr>
                <w:rFonts w:asciiTheme="minorHAnsi" w:hAnsiTheme="minorHAnsi"/>
                <w:b/>
                <w:i/>
                <w:color w:val="000000"/>
                <w:szCs w:val="24"/>
                <w:u w:val="single"/>
              </w:rPr>
            </w:pPr>
            <w:r w:rsidRPr="00692E6E">
              <w:rPr>
                <w:rFonts w:asciiTheme="minorHAnsi" w:hAnsiTheme="minorHAnsi"/>
                <w:b/>
                <w:szCs w:val="24"/>
              </w:rPr>
              <w:t>Authority Required (STREAMLINED)</w:t>
            </w:r>
          </w:p>
        </w:tc>
      </w:tr>
      <w:tr w:rsidR="008B6729" w:rsidRPr="00692E6E" w:rsidTr="00692E6E">
        <w:trPr>
          <w:gridAfter w:val="1"/>
          <w:wAfter w:w="141" w:type="dxa"/>
          <w:tblHeader/>
        </w:trPr>
        <w:tc>
          <w:tcPr>
            <w:tcW w:w="3120" w:type="dxa"/>
            <w:shd w:val="clear" w:color="auto" w:fill="auto"/>
          </w:tcPr>
          <w:p w:rsidR="008B6729" w:rsidRPr="00692E6E" w:rsidRDefault="008B6729" w:rsidP="00692E6E">
            <w:pPr>
              <w:pStyle w:val="ListParagraph"/>
              <w:numPr>
                <w:ilvl w:val="0"/>
                <w:numId w:val="17"/>
              </w:numPr>
              <w:spacing w:before="60" w:after="60"/>
              <w:ind w:left="317" w:hanging="317"/>
              <w:jc w:val="left"/>
              <w:rPr>
                <w:rFonts w:asciiTheme="minorHAnsi" w:hAnsiTheme="minorHAnsi"/>
                <w:b/>
                <w:i/>
                <w:color w:val="000000"/>
                <w:szCs w:val="24"/>
                <w:u w:val="single"/>
              </w:rPr>
            </w:pPr>
            <w:r w:rsidRPr="00692E6E">
              <w:rPr>
                <w:rFonts w:asciiTheme="minorHAnsi" w:hAnsiTheme="minorHAnsi"/>
                <w:szCs w:val="24"/>
              </w:rPr>
              <w:t xml:space="preserve">Ezetimibe </w:t>
            </w:r>
            <w:r w:rsidR="00A50B6D">
              <w:rPr>
                <w:rFonts w:asciiTheme="minorHAnsi" w:hAnsiTheme="minorHAnsi"/>
                <w:szCs w:val="24"/>
              </w:rPr>
              <w:t>plus</w:t>
            </w:r>
            <w:r w:rsidRPr="00692E6E">
              <w:rPr>
                <w:rFonts w:asciiTheme="minorHAnsi" w:hAnsiTheme="minorHAnsi"/>
                <w:szCs w:val="24"/>
              </w:rPr>
              <w:t xml:space="preserve"> Atorvastatin</w:t>
            </w:r>
          </w:p>
          <w:p w:rsidR="008B6729" w:rsidRPr="00692E6E" w:rsidRDefault="008B6729" w:rsidP="00692E6E">
            <w:pPr>
              <w:pStyle w:val="ListParagraph"/>
              <w:numPr>
                <w:ilvl w:val="0"/>
                <w:numId w:val="17"/>
              </w:numPr>
              <w:spacing w:before="60" w:after="60"/>
              <w:ind w:left="317" w:hanging="317"/>
              <w:jc w:val="left"/>
              <w:rPr>
                <w:rFonts w:asciiTheme="minorHAnsi" w:hAnsiTheme="minorHAnsi"/>
                <w:b/>
                <w:i/>
                <w:color w:val="000000"/>
                <w:szCs w:val="24"/>
                <w:u w:val="single"/>
              </w:rPr>
            </w:pPr>
            <w:r w:rsidRPr="00692E6E">
              <w:rPr>
                <w:rFonts w:asciiTheme="minorHAnsi" w:hAnsiTheme="minorHAnsi"/>
                <w:szCs w:val="24"/>
              </w:rPr>
              <w:t xml:space="preserve">Ezetimibe </w:t>
            </w:r>
            <w:r w:rsidR="00A50B6D">
              <w:rPr>
                <w:rFonts w:asciiTheme="minorHAnsi" w:hAnsiTheme="minorHAnsi"/>
                <w:szCs w:val="24"/>
              </w:rPr>
              <w:t>plus</w:t>
            </w:r>
            <w:r w:rsidRPr="00692E6E">
              <w:rPr>
                <w:rFonts w:asciiTheme="minorHAnsi" w:hAnsiTheme="minorHAnsi"/>
                <w:szCs w:val="24"/>
              </w:rPr>
              <w:t xml:space="preserve"> Simvastatin</w:t>
            </w:r>
          </w:p>
          <w:p w:rsidR="008B6729" w:rsidRPr="00692E6E" w:rsidRDefault="008B6729" w:rsidP="00A50B6D">
            <w:pPr>
              <w:pStyle w:val="ListParagraph"/>
              <w:numPr>
                <w:ilvl w:val="0"/>
                <w:numId w:val="17"/>
              </w:numPr>
              <w:spacing w:before="60" w:after="60"/>
              <w:ind w:left="317" w:hanging="317"/>
              <w:jc w:val="left"/>
              <w:rPr>
                <w:rFonts w:asciiTheme="minorHAnsi" w:hAnsiTheme="minorHAnsi"/>
                <w:b/>
                <w:i/>
                <w:color w:val="000000"/>
                <w:szCs w:val="24"/>
                <w:u w:val="single"/>
              </w:rPr>
            </w:pPr>
            <w:r w:rsidRPr="00692E6E">
              <w:rPr>
                <w:rFonts w:asciiTheme="minorHAnsi" w:hAnsiTheme="minorHAnsi"/>
                <w:szCs w:val="24"/>
              </w:rPr>
              <w:t xml:space="preserve">Ezetimibe </w:t>
            </w:r>
            <w:r w:rsidR="00A50B6D">
              <w:rPr>
                <w:rFonts w:asciiTheme="minorHAnsi" w:hAnsiTheme="minorHAnsi"/>
                <w:szCs w:val="24"/>
              </w:rPr>
              <w:t>plus</w:t>
            </w:r>
            <w:r w:rsidRPr="00692E6E">
              <w:rPr>
                <w:rFonts w:asciiTheme="minorHAnsi" w:hAnsiTheme="minorHAnsi"/>
                <w:szCs w:val="24"/>
              </w:rPr>
              <w:t xml:space="preserve"> Rosuvastatin </w:t>
            </w:r>
          </w:p>
        </w:tc>
        <w:tc>
          <w:tcPr>
            <w:tcW w:w="6520" w:type="dxa"/>
            <w:gridSpan w:val="2"/>
            <w:shd w:val="clear" w:color="auto" w:fill="auto"/>
          </w:tcPr>
          <w:p w:rsidR="008B6729" w:rsidRPr="00692E6E" w:rsidRDefault="008B6729" w:rsidP="00692E6E">
            <w:pPr>
              <w:pStyle w:val="BodyText"/>
              <w:numPr>
                <w:ilvl w:val="0"/>
                <w:numId w:val="17"/>
              </w:numPr>
              <w:tabs>
                <w:tab w:val="left" w:pos="461"/>
              </w:tabs>
              <w:spacing w:before="60" w:after="60"/>
              <w:ind w:right="593"/>
              <w:jc w:val="left"/>
              <w:rPr>
                <w:rFonts w:asciiTheme="minorHAnsi" w:hAnsiTheme="minorHAnsi"/>
                <w:spacing w:val="-1"/>
                <w:szCs w:val="24"/>
              </w:rPr>
            </w:pPr>
            <w:r w:rsidRPr="00692E6E">
              <w:rPr>
                <w:rFonts w:asciiTheme="minorHAnsi" w:hAnsiTheme="minorHAnsi"/>
                <w:color w:val="212121"/>
                <w:spacing w:val="-1"/>
                <w:szCs w:val="24"/>
              </w:rPr>
              <w:t>Patient</w:t>
            </w:r>
            <w:r w:rsidRPr="00692E6E">
              <w:rPr>
                <w:rFonts w:asciiTheme="minorHAnsi" w:hAnsiTheme="minorHAnsi"/>
                <w:color w:val="212121"/>
                <w:spacing w:val="1"/>
                <w:szCs w:val="24"/>
              </w:rPr>
              <w:t xml:space="preserve"> </w:t>
            </w:r>
            <w:r w:rsidRPr="00692E6E">
              <w:rPr>
                <w:rFonts w:asciiTheme="minorHAnsi" w:hAnsiTheme="minorHAnsi"/>
                <w:color w:val="212121"/>
                <w:spacing w:val="-1"/>
                <w:szCs w:val="24"/>
              </w:rPr>
              <w:t>must</w:t>
            </w:r>
            <w:r w:rsidRPr="00692E6E">
              <w:rPr>
                <w:rFonts w:asciiTheme="minorHAnsi" w:hAnsiTheme="minorHAnsi"/>
                <w:color w:val="212121"/>
                <w:spacing w:val="1"/>
                <w:szCs w:val="24"/>
              </w:rPr>
              <w:t xml:space="preserve"> </w:t>
            </w:r>
            <w:r w:rsidRPr="00692E6E">
              <w:rPr>
                <w:rFonts w:asciiTheme="minorHAnsi" w:hAnsiTheme="minorHAnsi"/>
                <w:color w:val="212121"/>
                <w:spacing w:val="-1"/>
                <w:szCs w:val="24"/>
              </w:rPr>
              <w:t>meet</w:t>
            </w:r>
            <w:r w:rsidRPr="00692E6E">
              <w:rPr>
                <w:rFonts w:asciiTheme="minorHAnsi" w:hAnsiTheme="minorHAnsi"/>
                <w:color w:val="212121"/>
                <w:spacing w:val="-2"/>
                <w:szCs w:val="24"/>
              </w:rPr>
              <w:t xml:space="preserve"> </w:t>
            </w:r>
            <w:r w:rsidRPr="00692E6E">
              <w:rPr>
                <w:rFonts w:asciiTheme="minorHAnsi" w:hAnsiTheme="minorHAnsi"/>
                <w:color w:val="212121"/>
                <w:szCs w:val="24"/>
              </w:rPr>
              <w:t>the</w:t>
            </w:r>
            <w:r w:rsidRPr="00692E6E">
              <w:rPr>
                <w:rFonts w:asciiTheme="minorHAnsi" w:hAnsiTheme="minorHAnsi"/>
                <w:color w:val="212121"/>
                <w:spacing w:val="-2"/>
                <w:szCs w:val="24"/>
              </w:rPr>
              <w:t xml:space="preserve"> </w:t>
            </w:r>
            <w:r w:rsidRPr="00692E6E">
              <w:rPr>
                <w:rFonts w:asciiTheme="minorHAnsi" w:hAnsiTheme="minorHAnsi"/>
                <w:color w:val="212121"/>
                <w:spacing w:val="-1"/>
                <w:szCs w:val="24"/>
              </w:rPr>
              <w:t>criteria</w:t>
            </w:r>
            <w:r w:rsidRPr="00692E6E">
              <w:rPr>
                <w:rFonts w:asciiTheme="minorHAnsi" w:hAnsiTheme="minorHAnsi"/>
                <w:color w:val="212121"/>
                <w:szCs w:val="24"/>
              </w:rPr>
              <w:t xml:space="preserve"> </w:t>
            </w:r>
            <w:r w:rsidRPr="00692E6E">
              <w:rPr>
                <w:rFonts w:asciiTheme="minorHAnsi" w:hAnsiTheme="minorHAnsi"/>
                <w:color w:val="212121"/>
                <w:spacing w:val="-1"/>
                <w:szCs w:val="24"/>
              </w:rPr>
              <w:t>set</w:t>
            </w:r>
            <w:r w:rsidRPr="00692E6E">
              <w:rPr>
                <w:rFonts w:asciiTheme="minorHAnsi" w:hAnsiTheme="minorHAnsi"/>
                <w:color w:val="212121"/>
                <w:spacing w:val="1"/>
                <w:szCs w:val="24"/>
              </w:rPr>
              <w:t xml:space="preserve"> </w:t>
            </w:r>
            <w:r w:rsidRPr="00692E6E">
              <w:rPr>
                <w:rFonts w:asciiTheme="minorHAnsi" w:hAnsiTheme="minorHAnsi"/>
                <w:color w:val="212121"/>
                <w:spacing w:val="-1"/>
                <w:szCs w:val="24"/>
              </w:rPr>
              <w:t>out</w:t>
            </w:r>
            <w:r w:rsidRPr="00692E6E">
              <w:rPr>
                <w:rFonts w:asciiTheme="minorHAnsi" w:hAnsiTheme="minorHAnsi"/>
                <w:color w:val="212121"/>
                <w:spacing w:val="-2"/>
                <w:szCs w:val="24"/>
              </w:rPr>
              <w:t xml:space="preserve"> </w:t>
            </w:r>
            <w:r w:rsidRPr="00692E6E">
              <w:rPr>
                <w:rFonts w:asciiTheme="minorHAnsi" w:hAnsiTheme="minorHAnsi"/>
                <w:color w:val="212121"/>
                <w:szCs w:val="24"/>
              </w:rPr>
              <w:t xml:space="preserve">in </w:t>
            </w:r>
            <w:r w:rsidRPr="00692E6E">
              <w:rPr>
                <w:rFonts w:asciiTheme="minorHAnsi" w:hAnsiTheme="minorHAnsi"/>
                <w:color w:val="212121"/>
                <w:spacing w:val="-1"/>
                <w:szCs w:val="24"/>
              </w:rPr>
              <w:t>the</w:t>
            </w:r>
            <w:r w:rsidRPr="00692E6E">
              <w:rPr>
                <w:rFonts w:asciiTheme="minorHAnsi" w:hAnsiTheme="minorHAnsi"/>
                <w:color w:val="212121"/>
                <w:spacing w:val="3"/>
                <w:szCs w:val="24"/>
              </w:rPr>
              <w:t xml:space="preserve"> </w:t>
            </w:r>
            <w:r w:rsidRPr="00692E6E">
              <w:rPr>
                <w:rFonts w:asciiTheme="minorHAnsi" w:hAnsiTheme="minorHAnsi"/>
                <w:spacing w:val="-1"/>
                <w:szCs w:val="24"/>
              </w:rPr>
              <w:t>General</w:t>
            </w:r>
            <w:r w:rsidRPr="00692E6E">
              <w:rPr>
                <w:rFonts w:asciiTheme="minorHAnsi" w:hAnsiTheme="minorHAnsi"/>
                <w:szCs w:val="24"/>
              </w:rPr>
              <w:t xml:space="preserve"> </w:t>
            </w:r>
            <w:r w:rsidRPr="00692E6E">
              <w:rPr>
                <w:rFonts w:asciiTheme="minorHAnsi" w:hAnsiTheme="minorHAnsi"/>
                <w:spacing w:val="-1"/>
                <w:szCs w:val="24"/>
              </w:rPr>
              <w:t>Statement</w:t>
            </w:r>
            <w:r w:rsidRPr="00692E6E">
              <w:rPr>
                <w:rFonts w:asciiTheme="minorHAnsi" w:hAnsiTheme="minorHAnsi"/>
                <w:spacing w:val="1"/>
                <w:szCs w:val="24"/>
              </w:rPr>
              <w:t xml:space="preserve"> </w:t>
            </w:r>
            <w:r w:rsidRPr="00692E6E">
              <w:rPr>
                <w:rFonts w:asciiTheme="minorHAnsi" w:hAnsiTheme="minorHAnsi"/>
                <w:spacing w:val="-1"/>
                <w:szCs w:val="24"/>
              </w:rPr>
              <w:t>for</w:t>
            </w:r>
            <w:r w:rsidRPr="00692E6E">
              <w:rPr>
                <w:rFonts w:asciiTheme="minorHAnsi" w:hAnsiTheme="minorHAnsi"/>
                <w:szCs w:val="24"/>
              </w:rPr>
              <w:t xml:space="preserve"> </w:t>
            </w:r>
            <w:r w:rsidRPr="00692E6E">
              <w:rPr>
                <w:rFonts w:asciiTheme="minorHAnsi" w:hAnsiTheme="minorHAnsi"/>
                <w:spacing w:val="-1"/>
                <w:szCs w:val="24"/>
              </w:rPr>
              <w:t>Lipid-Lowering</w:t>
            </w:r>
            <w:r w:rsidRPr="00692E6E">
              <w:rPr>
                <w:rFonts w:asciiTheme="minorHAnsi" w:hAnsiTheme="minorHAnsi"/>
                <w:spacing w:val="-3"/>
                <w:szCs w:val="24"/>
              </w:rPr>
              <w:t xml:space="preserve"> </w:t>
            </w:r>
            <w:r w:rsidRPr="00692E6E">
              <w:rPr>
                <w:rFonts w:asciiTheme="minorHAnsi" w:hAnsiTheme="minorHAnsi"/>
                <w:spacing w:val="-1"/>
                <w:szCs w:val="24"/>
              </w:rPr>
              <w:t xml:space="preserve">Drugs </w:t>
            </w:r>
          </w:p>
          <w:p w:rsidR="008B6729" w:rsidRPr="00692E6E" w:rsidRDefault="008B6729" w:rsidP="00692E6E">
            <w:pPr>
              <w:pStyle w:val="NormalWeb"/>
              <w:spacing w:before="0" w:beforeAutospacing="0" w:line="300" w:lineRule="atLeast"/>
              <w:jc w:val="left"/>
              <w:rPr>
                <w:rFonts w:asciiTheme="minorHAnsi" w:hAnsiTheme="minorHAnsi" w:cs="Arial"/>
                <w:b/>
                <w:bCs/>
              </w:rPr>
            </w:pPr>
            <w:r w:rsidRPr="00692E6E">
              <w:rPr>
                <w:rFonts w:asciiTheme="minorHAnsi" w:hAnsiTheme="minorHAnsi" w:cs="Arial"/>
                <w:b/>
                <w:bCs/>
              </w:rPr>
              <w:t>AND</w:t>
            </w:r>
          </w:p>
          <w:p w:rsidR="008B6729" w:rsidRPr="00692E6E" w:rsidRDefault="008B6729" w:rsidP="00692E6E">
            <w:pPr>
              <w:pStyle w:val="NormalWeb"/>
              <w:spacing w:line="300" w:lineRule="atLeast"/>
              <w:jc w:val="left"/>
              <w:rPr>
                <w:rFonts w:asciiTheme="minorHAnsi" w:hAnsiTheme="minorHAnsi" w:cs="Arial"/>
              </w:rPr>
            </w:pPr>
            <w:r w:rsidRPr="00692E6E">
              <w:rPr>
                <w:rFonts w:asciiTheme="minorHAnsi" w:hAnsiTheme="minorHAnsi" w:cs="Arial"/>
              </w:rPr>
              <w:t>The treatment must be in conjunction with dietary therapy and exercise,</w:t>
            </w:r>
          </w:p>
          <w:p w:rsidR="008B6729" w:rsidRPr="00692E6E" w:rsidRDefault="008B6729" w:rsidP="00692E6E">
            <w:pPr>
              <w:pStyle w:val="NormalWeb"/>
              <w:spacing w:line="300" w:lineRule="atLeast"/>
              <w:jc w:val="left"/>
              <w:rPr>
                <w:rFonts w:asciiTheme="minorHAnsi" w:hAnsiTheme="minorHAnsi" w:cs="Arial"/>
              </w:rPr>
            </w:pPr>
            <w:r w:rsidRPr="00692E6E">
              <w:rPr>
                <w:rFonts w:asciiTheme="minorHAnsi" w:hAnsiTheme="minorHAnsi" w:cs="Arial"/>
                <w:b/>
                <w:bCs/>
              </w:rPr>
              <w:t>AND</w:t>
            </w:r>
          </w:p>
          <w:p w:rsidR="008B6729" w:rsidRPr="00692E6E" w:rsidRDefault="008B6729" w:rsidP="00692E6E">
            <w:pPr>
              <w:pStyle w:val="NormalWeb"/>
              <w:spacing w:line="300" w:lineRule="atLeast"/>
              <w:jc w:val="left"/>
              <w:rPr>
                <w:rFonts w:asciiTheme="minorHAnsi" w:hAnsiTheme="minorHAnsi" w:cs="Arial"/>
              </w:rPr>
            </w:pPr>
            <w:r w:rsidRPr="00692E6E">
              <w:rPr>
                <w:rFonts w:asciiTheme="minorHAnsi" w:hAnsiTheme="minorHAnsi" w:cs="Arial"/>
              </w:rPr>
              <w:t xml:space="preserve">Patient must have cholesterol </w:t>
            </w:r>
            <w:r w:rsidR="004B1768" w:rsidRPr="00C17B2A">
              <w:rPr>
                <w:rFonts w:asciiTheme="minorHAnsi" w:hAnsiTheme="minorHAnsi" w:cs="Arial"/>
                <w:color w:val="222222"/>
                <w:highlight w:val="yellow"/>
              </w:rPr>
              <w:t>concentrations</w:t>
            </w:r>
            <w:r w:rsidRPr="00692E6E">
              <w:rPr>
                <w:rFonts w:asciiTheme="minorHAnsi" w:hAnsiTheme="minorHAnsi" w:cs="Arial"/>
              </w:rPr>
              <w:t xml:space="preserve"> that are inadequately controlled with an HMG CoA reductase inhibitor (statin), </w:t>
            </w:r>
          </w:p>
          <w:p w:rsidR="008B6729" w:rsidRPr="00692E6E" w:rsidRDefault="008B6729" w:rsidP="00692E6E">
            <w:pPr>
              <w:pStyle w:val="NormalWeb"/>
              <w:spacing w:line="300" w:lineRule="atLeast"/>
              <w:jc w:val="left"/>
              <w:rPr>
                <w:rFonts w:asciiTheme="minorHAnsi" w:hAnsiTheme="minorHAnsi" w:cs="Arial"/>
                <w:b/>
                <w:bCs/>
              </w:rPr>
            </w:pPr>
            <w:r w:rsidRPr="00692E6E">
              <w:rPr>
                <w:rFonts w:asciiTheme="minorHAnsi" w:hAnsiTheme="minorHAnsi" w:cs="Arial"/>
                <w:b/>
                <w:bCs/>
              </w:rPr>
              <w:t>AND</w:t>
            </w:r>
          </w:p>
          <w:p w:rsidR="008B6729" w:rsidRPr="00692E6E" w:rsidRDefault="008B6729" w:rsidP="00692E6E">
            <w:pPr>
              <w:pStyle w:val="BodyText"/>
              <w:spacing w:after="0"/>
              <w:ind w:left="-8" w:firstLine="8"/>
              <w:jc w:val="left"/>
              <w:rPr>
                <w:rFonts w:asciiTheme="minorHAnsi" w:hAnsiTheme="minorHAnsi"/>
                <w:b/>
                <w:i/>
                <w:color w:val="000000"/>
                <w:szCs w:val="24"/>
                <w:u w:val="single"/>
              </w:rPr>
            </w:pPr>
            <w:r w:rsidRPr="00692E6E">
              <w:rPr>
                <w:rFonts w:asciiTheme="minorHAnsi" w:hAnsiTheme="minorHAnsi"/>
                <w:szCs w:val="24"/>
              </w:rPr>
              <w:t xml:space="preserve">Patient must have one (or more) of the following: </w:t>
            </w:r>
          </w:p>
          <w:p w:rsidR="008B6729" w:rsidRPr="00692E6E" w:rsidRDefault="008B6729" w:rsidP="00692E6E">
            <w:pPr>
              <w:pStyle w:val="BodyText"/>
              <w:widowControl w:val="0"/>
              <w:numPr>
                <w:ilvl w:val="1"/>
                <w:numId w:val="17"/>
              </w:numPr>
              <w:spacing w:after="0"/>
              <w:ind w:left="318"/>
              <w:jc w:val="left"/>
              <w:rPr>
                <w:rFonts w:asciiTheme="minorHAnsi" w:hAnsiTheme="minorHAnsi"/>
                <w:b/>
                <w:i/>
                <w:color w:val="000000"/>
                <w:szCs w:val="24"/>
                <w:u w:val="single"/>
              </w:rPr>
            </w:pPr>
            <w:r w:rsidRPr="00692E6E">
              <w:rPr>
                <w:rFonts w:asciiTheme="minorHAnsi" w:hAnsiTheme="minorHAnsi"/>
                <w:color w:val="212121"/>
                <w:spacing w:val="-1"/>
                <w:szCs w:val="24"/>
              </w:rPr>
              <w:t>diabetes mellitus</w:t>
            </w:r>
          </w:p>
          <w:p w:rsidR="008B6729" w:rsidRPr="00692E6E" w:rsidRDefault="008B6729" w:rsidP="00692E6E">
            <w:pPr>
              <w:pStyle w:val="BodyText"/>
              <w:widowControl w:val="0"/>
              <w:numPr>
                <w:ilvl w:val="1"/>
                <w:numId w:val="17"/>
              </w:numPr>
              <w:spacing w:after="0"/>
              <w:ind w:left="318"/>
              <w:jc w:val="left"/>
              <w:rPr>
                <w:rFonts w:asciiTheme="minorHAnsi" w:hAnsiTheme="minorHAnsi"/>
                <w:b/>
                <w:i/>
                <w:color w:val="000000"/>
                <w:szCs w:val="24"/>
                <w:u w:val="single"/>
              </w:rPr>
            </w:pPr>
            <w:r w:rsidRPr="00692E6E">
              <w:rPr>
                <w:rFonts w:asciiTheme="minorHAnsi" w:hAnsiTheme="minorHAnsi"/>
                <w:color w:val="212121"/>
                <w:spacing w:val="-1"/>
                <w:szCs w:val="24"/>
              </w:rPr>
              <w:t>family</w:t>
            </w:r>
            <w:r w:rsidRPr="00692E6E">
              <w:rPr>
                <w:rFonts w:asciiTheme="minorHAnsi" w:hAnsiTheme="minorHAnsi"/>
                <w:color w:val="212121"/>
                <w:spacing w:val="-3"/>
                <w:szCs w:val="24"/>
              </w:rPr>
              <w:t xml:space="preserve"> </w:t>
            </w:r>
            <w:r w:rsidRPr="00692E6E">
              <w:rPr>
                <w:rFonts w:asciiTheme="minorHAnsi" w:hAnsiTheme="minorHAnsi"/>
                <w:color w:val="212121"/>
                <w:spacing w:val="-1"/>
                <w:szCs w:val="24"/>
              </w:rPr>
              <w:t>history</w:t>
            </w:r>
            <w:r w:rsidRPr="00692E6E">
              <w:rPr>
                <w:rFonts w:asciiTheme="minorHAnsi" w:hAnsiTheme="minorHAnsi"/>
                <w:color w:val="212121"/>
                <w:spacing w:val="-3"/>
                <w:szCs w:val="24"/>
              </w:rPr>
              <w:t xml:space="preserve"> </w:t>
            </w:r>
            <w:r w:rsidRPr="00692E6E">
              <w:rPr>
                <w:rFonts w:asciiTheme="minorHAnsi" w:hAnsiTheme="minorHAnsi"/>
                <w:color w:val="212121"/>
                <w:szCs w:val="24"/>
              </w:rPr>
              <w:t xml:space="preserve">of </w:t>
            </w:r>
            <w:r w:rsidRPr="00692E6E">
              <w:rPr>
                <w:rFonts w:asciiTheme="minorHAnsi" w:hAnsiTheme="minorHAnsi"/>
                <w:color w:val="212121"/>
                <w:spacing w:val="-1"/>
                <w:szCs w:val="24"/>
              </w:rPr>
              <w:t>coronary</w:t>
            </w:r>
            <w:r w:rsidRPr="00692E6E">
              <w:rPr>
                <w:rFonts w:asciiTheme="minorHAnsi" w:hAnsiTheme="minorHAnsi"/>
                <w:color w:val="212121"/>
                <w:spacing w:val="-3"/>
                <w:szCs w:val="24"/>
              </w:rPr>
              <w:t xml:space="preserve"> </w:t>
            </w:r>
            <w:r w:rsidRPr="00692E6E">
              <w:rPr>
                <w:rFonts w:asciiTheme="minorHAnsi" w:hAnsiTheme="minorHAnsi"/>
                <w:color w:val="212121"/>
                <w:spacing w:val="-1"/>
                <w:szCs w:val="24"/>
              </w:rPr>
              <w:t>heart</w:t>
            </w:r>
            <w:r w:rsidRPr="00692E6E">
              <w:rPr>
                <w:rFonts w:asciiTheme="minorHAnsi" w:hAnsiTheme="minorHAnsi"/>
                <w:color w:val="212121"/>
                <w:spacing w:val="1"/>
                <w:szCs w:val="24"/>
              </w:rPr>
              <w:t xml:space="preserve"> </w:t>
            </w:r>
            <w:r w:rsidRPr="00692E6E">
              <w:rPr>
                <w:rFonts w:asciiTheme="minorHAnsi" w:hAnsiTheme="minorHAnsi"/>
                <w:color w:val="212121"/>
                <w:spacing w:val="-2"/>
                <w:szCs w:val="24"/>
              </w:rPr>
              <w:t>disease</w:t>
            </w:r>
            <w:r w:rsidRPr="00692E6E">
              <w:rPr>
                <w:rFonts w:asciiTheme="minorHAnsi" w:hAnsiTheme="minorHAnsi"/>
                <w:color w:val="212121"/>
                <w:spacing w:val="4"/>
                <w:szCs w:val="24"/>
              </w:rPr>
              <w:t xml:space="preserve"> </w:t>
            </w:r>
          </w:p>
          <w:p w:rsidR="008B6729" w:rsidRPr="00692E6E" w:rsidRDefault="008B6729" w:rsidP="00692E6E">
            <w:pPr>
              <w:pStyle w:val="BodyText"/>
              <w:widowControl w:val="0"/>
              <w:numPr>
                <w:ilvl w:val="1"/>
                <w:numId w:val="17"/>
              </w:numPr>
              <w:spacing w:after="0"/>
              <w:ind w:left="318"/>
              <w:jc w:val="left"/>
              <w:rPr>
                <w:rFonts w:asciiTheme="minorHAnsi" w:hAnsiTheme="minorHAnsi"/>
                <w:b/>
                <w:i/>
                <w:color w:val="000000"/>
                <w:szCs w:val="24"/>
                <w:u w:val="single"/>
              </w:rPr>
            </w:pPr>
            <w:r w:rsidRPr="00692E6E">
              <w:rPr>
                <w:rFonts w:asciiTheme="minorHAnsi" w:hAnsiTheme="minorHAnsi"/>
                <w:color w:val="212121"/>
                <w:spacing w:val="-1"/>
                <w:szCs w:val="24"/>
              </w:rPr>
              <w:t>peripheral</w:t>
            </w:r>
            <w:r w:rsidRPr="00692E6E">
              <w:rPr>
                <w:rFonts w:asciiTheme="minorHAnsi" w:hAnsiTheme="minorHAnsi"/>
                <w:color w:val="212121"/>
                <w:spacing w:val="1"/>
                <w:szCs w:val="24"/>
              </w:rPr>
              <w:t xml:space="preserve"> </w:t>
            </w:r>
            <w:r w:rsidRPr="00692E6E">
              <w:rPr>
                <w:rFonts w:asciiTheme="minorHAnsi" w:hAnsiTheme="minorHAnsi"/>
                <w:color w:val="212121"/>
                <w:spacing w:val="-1"/>
                <w:szCs w:val="24"/>
              </w:rPr>
              <w:t>vascular</w:t>
            </w:r>
            <w:r w:rsidRPr="00692E6E">
              <w:rPr>
                <w:rFonts w:asciiTheme="minorHAnsi" w:hAnsiTheme="minorHAnsi"/>
                <w:color w:val="212121"/>
                <w:spacing w:val="1"/>
                <w:szCs w:val="24"/>
              </w:rPr>
              <w:t xml:space="preserve"> </w:t>
            </w:r>
            <w:r w:rsidRPr="00692E6E">
              <w:rPr>
                <w:rFonts w:asciiTheme="minorHAnsi" w:hAnsiTheme="minorHAnsi"/>
                <w:color w:val="212121"/>
                <w:spacing w:val="-2"/>
                <w:szCs w:val="24"/>
              </w:rPr>
              <w:t>disease</w:t>
            </w:r>
            <w:r w:rsidRPr="00692E6E">
              <w:rPr>
                <w:rFonts w:asciiTheme="minorHAnsi" w:hAnsiTheme="minorHAnsi"/>
                <w:color w:val="212121"/>
                <w:szCs w:val="24"/>
              </w:rPr>
              <w:t xml:space="preserve"> </w:t>
            </w:r>
          </w:p>
          <w:p w:rsidR="008B6729" w:rsidRPr="00692E6E" w:rsidRDefault="008B6729" w:rsidP="00692E6E">
            <w:pPr>
              <w:pStyle w:val="BodyText"/>
              <w:widowControl w:val="0"/>
              <w:numPr>
                <w:ilvl w:val="1"/>
                <w:numId w:val="17"/>
              </w:numPr>
              <w:spacing w:after="0"/>
              <w:ind w:left="318"/>
              <w:jc w:val="left"/>
              <w:rPr>
                <w:rFonts w:asciiTheme="minorHAnsi" w:hAnsiTheme="minorHAnsi"/>
                <w:b/>
                <w:i/>
                <w:color w:val="000000"/>
                <w:szCs w:val="24"/>
                <w:u w:val="single"/>
              </w:rPr>
            </w:pPr>
            <w:r w:rsidRPr="00692E6E">
              <w:rPr>
                <w:rFonts w:asciiTheme="minorHAnsi" w:hAnsiTheme="minorHAnsi"/>
                <w:color w:val="212121"/>
                <w:spacing w:val="-1"/>
                <w:szCs w:val="24"/>
              </w:rPr>
              <w:t>heterozygous/homozygous</w:t>
            </w:r>
            <w:r w:rsidRPr="00692E6E">
              <w:rPr>
                <w:rFonts w:asciiTheme="minorHAnsi" w:hAnsiTheme="minorHAnsi"/>
                <w:color w:val="212121"/>
                <w:szCs w:val="24"/>
              </w:rPr>
              <w:t xml:space="preserve"> </w:t>
            </w:r>
            <w:r w:rsidRPr="00692E6E">
              <w:rPr>
                <w:rFonts w:asciiTheme="minorHAnsi" w:hAnsiTheme="minorHAnsi"/>
                <w:color w:val="212121"/>
                <w:spacing w:val="-1"/>
                <w:szCs w:val="24"/>
              </w:rPr>
              <w:t>familial</w:t>
            </w:r>
            <w:r w:rsidRPr="00692E6E">
              <w:rPr>
                <w:rFonts w:asciiTheme="minorHAnsi" w:hAnsiTheme="minorHAnsi"/>
                <w:color w:val="212121"/>
                <w:spacing w:val="1"/>
                <w:szCs w:val="24"/>
              </w:rPr>
              <w:t xml:space="preserve"> </w:t>
            </w:r>
            <w:r w:rsidRPr="00692E6E">
              <w:rPr>
                <w:rFonts w:asciiTheme="minorHAnsi" w:hAnsiTheme="minorHAnsi"/>
                <w:color w:val="212121"/>
                <w:spacing w:val="-1"/>
                <w:szCs w:val="24"/>
              </w:rPr>
              <w:t>hypercholesterolaemia</w:t>
            </w:r>
            <w:r w:rsidRPr="00692E6E">
              <w:rPr>
                <w:rFonts w:asciiTheme="minorHAnsi" w:hAnsiTheme="minorHAnsi"/>
                <w:color w:val="212121"/>
                <w:szCs w:val="24"/>
              </w:rPr>
              <w:t xml:space="preserve"> </w:t>
            </w:r>
          </w:p>
          <w:p w:rsidR="008B6729" w:rsidRPr="00692E6E" w:rsidRDefault="008B6729" w:rsidP="00692E6E">
            <w:pPr>
              <w:pStyle w:val="BodyText"/>
              <w:widowControl w:val="0"/>
              <w:numPr>
                <w:ilvl w:val="1"/>
                <w:numId w:val="17"/>
              </w:numPr>
              <w:spacing w:after="0"/>
              <w:ind w:left="318"/>
              <w:jc w:val="left"/>
              <w:rPr>
                <w:rFonts w:asciiTheme="minorHAnsi" w:hAnsiTheme="minorHAnsi"/>
                <w:b/>
                <w:i/>
                <w:color w:val="000000"/>
                <w:szCs w:val="24"/>
                <w:u w:val="single"/>
              </w:rPr>
            </w:pPr>
            <w:r w:rsidRPr="00692E6E">
              <w:rPr>
                <w:rFonts w:asciiTheme="minorHAnsi" w:hAnsiTheme="minorHAnsi"/>
                <w:color w:val="212121"/>
                <w:spacing w:val="-1"/>
                <w:szCs w:val="24"/>
              </w:rPr>
              <w:t>symptomatic</w:t>
            </w:r>
            <w:r w:rsidRPr="00692E6E">
              <w:rPr>
                <w:rFonts w:asciiTheme="minorHAnsi" w:hAnsiTheme="minorHAnsi"/>
                <w:color w:val="212121"/>
                <w:szCs w:val="24"/>
              </w:rPr>
              <w:t xml:space="preserve"> </w:t>
            </w:r>
            <w:r w:rsidRPr="00692E6E">
              <w:rPr>
                <w:rFonts w:asciiTheme="minorHAnsi" w:hAnsiTheme="minorHAnsi"/>
                <w:color w:val="212121"/>
                <w:spacing w:val="-1"/>
                <w:szCs w:val="24"/>
              </w:rPr>
              <w:t>cerebrovascular</w:t>
            </w:r>
            <w:r w:rsidRPr="00692E6E">
              <w:rPr>
                <w:rFonts w:asciiTheme="minorHAnsi" w:hAnsiTheme="minorHAnsi"/>
                <w:color w:val="212121"/>
                <w:szCs w:val="24"/>
              </w:rPr>
              <w:t xml:space="preserve"> </w:t>
            </w:r>
            <w:r w:rsidRPr="00692E6E">
              <w:rPr>
                <w:rFonts w:asciiTheme="minorHAnsi" w:hAnsiTheme="minorHAnsi"/>
                <w:color w:val="212121"/>
                <w:spacing w:val="-1"/>
                <w:szCs w:val="24"/>
              </w:rPr>
              <w:t>disease</w:t>
            </w:r>
            <w:r w:rsidRPr="00692E6E">
              <w:rPr>
                <w:rFonts w:asciiTheme="minorHAnsi" w:hAnsiTheme="minorHAnsi"/>
                <w:color w:val="212121"/>
                <w:spacing w:val="-2"/>
                <w:szCs w:val="24"/>
              </w:rPr>
              <w:t xml:space="preserve"> </w:t>
            </w:r>
          </w:p>
          <w:p w:rsidR="008B6729" w:rsidRPr="00692E6E" w:rsidRDefault="008B6729" w:rsidP="00692E6E">
            <w:pPr>
              <w:pStyle w:val="BodyText"/>
              <w:numPr>
                <w:ilvl w:val="1"/>
                <w:numId w:val="17"/>
              </w:numPr>
              <w:tabs>
                <w:tab w:val="left" w:pos="461"/>
              </w:tabs>
              <w:spacing w:after="0"/>
              <w:ind w:left="318"/>
              <w:jc w:val="left"/>
              <w:rPr>
                <w:rFonts w:asciiTheme="minorHAnsi" w:hAnsiTheme="minorHAnsi"/>
                <w:color w:val="212121"/>
                <w:spacing w:val="-1"/>
                <w:szCs w:val="24"/>
              </w:rPr>
            </w:pPr>
            <w:r w:rsidRPr="00692E6E">
              <w:rPr>
                <w:rFonts w:asciiTheme="minorHAnsi" w:hAnsiTheme="minorHAnsi"/>
                <w:color w:val="212121"/>
                <w:spacing w:val="-1"/>
                <w:szCs w:val="24"/>
              </w:rPr>
              <w:t>hypertension</w:t>
            </w:r>
          </w:p>
          <w:p w:rsidR="008B6729" w:rsidRPr="00692E6E" w:rsidRDefault="008B6729" w:rsidP="00692E6E">
            <w:pPr>
              <w:pStyle w:val="BodyText"/>
              <w:tabs>
                <w:tab w:val="left" w:pos="461"/>
              </w:tabs>
              <w:spacing w:before="60" w:after="60"/>
              <w:jc w:val="left"/>
              <w:rPr>
                <w:rFonts w:asciiTheme="minorHAnsi" w:hAnsiTheme="minorHAnsi"/>
                <w:b/>
                <w:i/>
                <w:color w:val="212121"/>
                <w:spacing w:val="-1"/>
                <w:szCs w:val="24"/>
                <w:u w:val="single"/>
              </w:rPr>
            </w:pPr>
          </w:p>
        </w:tc>
      </w:tr>
      <w:tr w:rsidR="008B6729" w:rsidRPr="00375000" w:rsidTr="008B6729">
        <w:trPr>
          <w:gridAfter w:val="1"/>
          <w:wAfter w:w="141" w:type="dxa"/>
          <w:tblHeader/>
        </w:trPr>
        <w:tc>
          <w:tcPr>
            <w:tcW w:w="3120" w:type="dxa"/>
            <w:shd w:val="clear" w:color="auto" w:fill="auto"/>
          </w:tcPr>
          <w:p w:rsidR="008B6729" w:rsidRPr="00692E6E" w:rsidRDefault="008B6729" w:rsidP="00692E6E">
            <w:pPr>
              <w:pStyle w:val="ListParagraph"/>
              <w:numPr>
                <w:ilvl w:val="0"/>
                <w:numId w:val="17"/>
              </w:numPr>
              <w:spacing w:before="60" w:after="60"/>
              <w:ind w:left="317" w:hanging="317"/>
              <w:jc w:val="left"/>
              <w:rPr>
                <w:rFonts w:asciiTheme="minorHAnsi" w:hAnsiTheme="minorHAnsi"/>
                <w:b/>
                <w:i/>
                <w:color w:val="000000"/>
                <w:szCs w:val="24"/>
                <w:u w:val="single"/>
              </w:rPr>
            </w:pPr>
            <w:r w:rsidRPr="00692E6E">
              <w:rPr>
                <w:rFonts w:asciiTheme="minorHAnsi" w:hAnsiTheme="minorHAnsi"/>
                <w:szCs w:val="24"/>
              </w:rPr>
              <w:t xml:space="preserve">Ezetimibe </w:t>
            </w:r>
            <w:r w:rsidR="00A50B6D">
              <w:rPr>
                <w:rFonts w:asciiTheme="minorHAnsi" w:hAnsiTheme="minorHAnsi"/>
                <w:szCs w:val="24"/>
              </w:rPr>
              <w:t>plus</w:t>
            </w:r>
            <w:r w:rsidRPr="00692E6E">
              <w:rPr>
                <w:rFonts w:asciiTheme="minorHAnsi" w:hAnsiTheme="minorHAnsi"/>
                <w:szCs w:val="24"/>
              </w:rPr>
              <w:t xml:space="preserve"> Atorvastatin 10/10 mg</w:t>
            </w:r>
          </w:p>
          <w:p w:rsidR="008B6729" w:rsidRPr="00692E6E" w:rsidRDefault="008B6729" w:rsidP="00692E6E">
            <w:pPr>
              <w:pStyle w:val="ListParagraph"/>
              <w:numPr>
                <w:ilvl w:val="0"/>
                <w:numId w:val="17"/>
              </w:numPr>
              <w:spacing w:before="60" w:after="60"/>
              <w:ind w:left="317" w:hanging="317"/>
              <w:jc w:val="left"/>
              <w:rPr>
                <w:rFonts w:asciiTheme="minorHAnsi" w:hAnsiTheme="minorHAnsi"/>
                <w:b/>
                <w:i/>
                <w:color w:val="000000"/>
                <w:szCs w:val="24"/>
                <w:u w:val="single"/>
              </w:rPr>
            </w:pPr>
            <w:r w:rsidRPr="00692E6E">
              <w:rPr>
                <w:rFonts w:asciiTheme="minorHAnsi" w:hAnsiTheme="minorHAnsi"/>
                <w:szCs w:val="24"/>
              </w:rPr>
              <w:t xml:space="preserve">Ezetimibe </w:t>
            </w:r>
            <w:r w:rsidR="00A50B6D">
              <w:rPr>
                <w:rFonts w:asciiTheme="minorHAnsi" w:hAnsiTheme="minorHAnsi"/>
                <w:szCs w:val="24"/>
              </w:rPr>
              <w:t>plus</w:t>
            </w:r>
            <w:r w:rsidRPr="00692E6E">
              <w:rPr>
                <w:rFonts w:asciiTheme="minorHAnsi" w:hAnsiTheme="minorHAnsi"/>
                <w:szCs w:val="24"/>
              </w:rPr>
              <w:t xml:space="preserve"> Simvastatin 10/10</w:t>
            </w:r>
            <w:r w:rsidR="00F64114">
              <w:rPr>
                <w:rFonts w:asciiTheme="minorHAnsi" w:hAnsiTheme="minorHAnsi"/>
                <w:szCs w:val="24"/>
              </w:rPr>
              <w:t xml:space="preserve"> mg</w:t>
            </w:r>
            <w:r w:rsidRPr="00692E6E">
              <w:rPr>
                <w:rFonts w:asciiTheme="minorHAnsi" w:hAnsiTheme="minorHAnsi"/>
                <w:szCs w:val="24"/>
              </w:rPr>
              <w:t>, 10/20</w:t>
            </w:r>
            <w:r w:rsidR="00F64114">
              <w:rPr>
                <w:rFonts w:asciiTheme="minorHAnsi" w:hAnsiTheme="minorHAnsi"/>
                <w:szCs w:val="24"/>
              </w:rPr>
              <w:t xml:space="preserve"> mg</w:t>
            </w:r>
          </w:p>
          <w:p w:rsidR="008B6729" w:rsidRPr="00692E6E" w:rsidRDefault="008B6729" w:rsidP="00A50B6D">
            <w:pPr>
              <w:pStyle w:val="ListParagraph"/>
              <w:numPr>
                <w:ilvl w:val="0"/>
                <w:numId w:val="17"/>
              </w:numPr>
              <w:spacing w:before="60" w:after="60"/>
              <w:ind w:left="317" w:hanging="317"/>
              <w:jc w:val="left"/>
              <w:rPr>
                <w:rFonts w:asciiTheme="minorHAnsi" w:hAnsiTheme="minorHAnsi"/>
                <w:szCs w:val="24"/>
              </w:rPr>
            </w:pPr>
            <w:r w:rsidRPr="00692E6E">
              <w:rPr>
                <w:rFonts w:asciiTheme="minorHAnsi" w:hAnsiTheme="minorHAnsi"/>
                <w:szCs w:val="24"/>
              </w:rPr>
              <w:t xml:space="preserve">Ezetimibe </w:t>
            </w:r>
            <w:r w:rsidR="00A50B6D">
              <w:rPr>
                <w:rFonts w:asciiTheme="minorHAnsi" w:hAnsiTheme="minorHAnsi"/>
                <w:szCs w:val="24"/>
              </w:rPr>
              <w:t>plus</w:t>
            </w:r>
            <w:r w:rsidRPr="00692E6E">
              <w:rPr>
                <w:rFonts w:asciiTheme="minorHAnsi" w:hAnsiTheme="minorHAnsi"/>
                <w:szCs w:val="24"/>
              </w:rPr>
              <w:t xml:space="preserve"> </w:t>
            </w:r>
            <w:r w:rsidRPr="00A50B6D">
              <w:rPr>
                <w:rFonts w:asciiTheme="minorHAnsi" w:hAnsiTheme="minorHAnsi"/>
                <w:szCs w:val="24"/>
              </w:rPr>
              <w:t>Rosuvastatin 5/10</w:t>
            </w:r>
            <w:r w:rsidR="00F64114" w:rsidRPr="00A50B6D">
              <w:rPr>
                <w:rFonts w:asciiTheme="minorHAnsi" w:hAnsiTheme="minorHAnsi"/>
                <w:szCs w:val="24"/>
              </w:rPr>
              <w:t xml:space="preserve"> mg</w:t>
            </w:r>
          </w:p>
        </w:tc>
        <w:tc>
          <w:tcPr>
            <w:tcW w:w="6520" w:type="dxa"/>
            <w:gridSpan w:val="2"/>
            <w:shd w:val="clear" w:color="auto" w:fill="auto"/>
          </w:tcPr>
          <w:p w:rsidR="008B6729" w:rsidRPr="00692E6E" w:rsidRDefault="008B6729" w:rsidP="008B6729">
            <w:pPr>
              <w:pStyle w:val="BodyText"/>
              <w:numPr>
                <w:ilvl w:val="0"/>
                <w:numId w:val="17"/>
              </w:numPr>
              <w:tabs>
                <w:tab w:val="left" w:pos="461"/>
              </w:tabs>
              <w:spacing w:before="60" w:after="60"/>
              <w:ind w:right="593"/>
              <w:rPr>
                <w:rFonts w:asciiTheme="minorHAnsi" w:hAnsiTheme="minorHAnsi"/>
                <w:spacing w:val="-1"/>
                <w:szCs w:val="24"/>
              </w:rPr>
            </w:pPr>
            <w:r w:rsidRPr="00692E6E">
              <w:rPr>
                <w:rFonts w:asciiTheme="minorHAnsi" w:hAnsiTheme="minorHAnsi"/>
                <w:color w:val="212121"/>
                <w:spacing w:val="-1"/>
                <w:szCs w:val="24"/>
              </w:rPr>
              <w:t>Patient</w:t>
            </w:r>
            <w:r w:rsidRPr="00692E6E">
              <w:rPr>
                <w:rFonts w:asciiTheme="minorHAnsi" w:hAnsiTheme="minorHAnsi"/>
                <w:color w:val="212121"/>
                <w:spacing w:val="1"/>
                <w:szCs w:val="24"/>
              </w:rPr>
              <w:t xml:space="preserve"> </w:t>
            </w:r>
            <w:r w:rsidRPr="00692E6E">
              <w:rPr>
                <w:rFonts w:asciiTheme="minorHAnsi" w:hAnsiTheme="minorHAnsi"/>
                <w:color w:val="212121"/>
                <w:spacing w:val="-1"/>
                <w:szCs w:val="24"/>
              </w:rPr>
              <w:t>must</w:t>
            </w:r>
            <w:r w:rsidRPr="00692E6E">
              <w:rPr>
                <w:rFonts w:asciiTheme="minorHAnsi" w:hAnsiTheme="minorHAnsi"/>
                <w:color w:val="212121"/>
                <w:spacing w:val="1"/>
                <w:szCs w:val="24"/>
              </w:rPr>
              <w:t xml:space="preserve"> </w:t>
            </w:r>
            <w:r w:rsidRPr="00692E6E">
              <w:rPr>
                <w:rFonts w:asciiTheme="minorHAnsi" w:hAnsiTheme="minorHAnsi"/>
                <w:color w:val="212121"/>
                <w:spacing w:val="-1"/>
                <w:szCs w:val="24"/>
              </w:rPr>
              <w:t>meet</w:t>
            </w:r>
            <w:r w:rsidRPr="00692E6E">
              <w:rPr>
                <w:rFonts w:asciiTheme="minorHAnsi" w:hAnsiTheme="minorHAnsi"/>
                <w:color w:val="212121"/>
                <w:spacing w:val="-2"/>
                <w:szCs w:val="24"/>
              </w:rPr>
              <w:t xml:space="preserve"> </w:t>
            </w:r>
            <w:r w:rsidRPr="00692E6E">
              <w:rPr>
                <w:rFonts w:asciiTheme="minorHAnsi" w:hAnsiTheme="minorHAnsi"/>
                <w:color w:val="212121"/>
                <w:szCs w:val="24"/>
              </w:rPr>
              <w:t>the</w:t>
            </w:r>
            <w:r w:rsidRPr="00692E6E">
              <w:rPr>
                <w:rFonts w:asciiTheme="minorHAnsi" w:hAnsiTheme="minorHAnsi"/>
                <w:color w:val="212121"/>
                <w:spacing w:val="-2"/>
                <w:szCs w:val="24"/>
              </w:rPr>
              <w:t xml:space="preserve"> </w:t>
            </w:r>
            <w:r w:rsidRPr="00692E6E">
              <w:rPr>
                <w:rFonts w:asciiTheme="minorHAnsi" w:hAnsiTheme="minorHAnsi"/>
                <w:color w:val="212121"/>
                <w:spacing w:val="-1"/>
                <w:szCs w:val="24"/>
              </w:rPr>
              <w:t>criteria</w:t>
            </w:r>
            <w:r w:rsidRPr="00692E6E">
              <w:rPr>
                <w:rFonts w:asciiTheme="minorHAnsi" w:hAnsiTheme="minorHAnsi"/>
                <w:color w:val="212121"/>
                <w:szCs w:val="24"/>
              </w:rPr>
              <w:t xml:space="preserve"> </w:t>
            </w:r>
            <w:r w:rsidRPr="00692E6E">
              <w:rPr>
                <w:rFonts w:asciiTheme="minorHAnsi" w:hAnsiTheme="minorHAnsi"/>
                <w:color w:val="212121"/>
                <w:spacing w:val="-1"/>
                <w:szCs w:val="24"/>
              </w:rPr>
              <w:t>set</w:t>
            </w:r>
            <w:r w:rsidRPr="00692E6E">
              <w:rPr>
                <w:rFonts w:asciiTheme="minorHAnsi" w:hAnsiTheme="minorHAnsi"/>
                <w:color w:val="212121"/>
                <w:spacing w:val="1"/>
                <w:szCs w:val="24"/>
              </w:rPr>
              <w:t xml:space="preserve"> </w:t>
            </w:r>
            <w:r w:rsidRPr="00692E6E">
              <w:rPr>
                <w:rFonts w:asciiTheme="minorHAnsi" w:hAnsiTheme="minorHAnsi"/>
                <w:color w:val="212121"/>
                <w:spacing w:val="-1"/>
                <w:szCs w:val="24"/>
              </w:rPr>
              <w:t>out</w:t>
            </w:r>
            <w:r w:rsidRPr="00692E6E">
              <w:rPr>
                <w:rFonts w:asciiTheme="minorHAnsi" w:hAnsiTheme="minorHAnsi"/>
                <w:color w:val="212121"/>
                <w:spacing w:val="-2"/>
                <w:szCs w:val="24"/>
              </w:rPr>
              <w:t xml:space="preserve"> </w:t>
            </w:r>
            <w:r w:rsidRPr="00692E6E">
              <w:rPr>
                <w:rFonts w:asciiTheme="minorHAnsi" w:hAnsiTheme="minorHAnsi"/>
                <w:color w:val="212121"/>
                <w:szCs w:val="24"/>
              </w:rPr>
              <w:t xml:space="preserve">in </w:t>
            </w:r>
            <w:r w:rsidRPr="00692E6E">
              <w:rPr>
                <w:rFonts w:asciiTheme="minorHAnsi" w:hAnsiTheme="minorHAnsi"/>
                <w:color w:val="212121"/>
                <w:spacing w:val="-1"/>
                <w:szCs w:val="24"/>
              </w:rPr>
              <w:t>the</w:t>
            </w:r>
            <w:r w:rsidRPr="00692E6E">
              <w:rPr>
                <w:rFonts w:asciiTheme="minorHAnsi" w:hAnsiTheme="minorHAnsi"/>
                <w:color w:val="212121"/>
                <w:spacing w:val="3"/>
                <w:szCs w:val="24"/>
              </w:rPr>
              <w:t xml:space="preserve"> </w:t>
            </w:r>
            <w:r w:rsidRPr="00692E6E">
              <w:rPr>
                <w:rFonts w:asciiTheme="minorHAnsi" w:hAnsiTheme="minorHAnsi"/>
                <w:spacing w:val="-1"/>
                <w:szCs w:val="24"/>
              </w:rPr>
              <w:t>General</w:t>
            </w:r>
            <w:r w:rsidRPr="00692E6E">
              <w:rPr>
                <w:rFonts w:asciiTheme="minorHAnsi" w:hAnsiTheme="minorHAnsi"/>
                <w:szCs w:val="24"/>
              </w:rPr>
              <w:t xml:space="preserve"> </w:t>
            </w:r>
            <w:r w:rsidRPr="00692E6E">
              <w:rPr>
                <w:rFonts w:asciiTheme="minorHAnsi" w:hAnsiTheme="minorHAnsi"/>
                <w:spacing w:val="-1"/>
                <w:szCs w:val="24"/>
              </w:rPr>
              <w:t>Statement</w:t>
            </w:r>
            <w:r w:rsidRPr="00692E6E">
              <w:rPr>
                <w:rFonts w:asciiTheme="minorHAnsi" w:hAnsiTheme="minorHAnsi"/>
                <w:spacing w:val="1"/>
                <w:szCs w:val="24"/>
              </w:rPr>
              <w:t xml:space="preserve"> </w:t>
            </w:r>
            <w:r w:rsidRPr="00692E6E">
              <w:rPr>
                <w:rFonts w:asciiTheme="minorHAnsi" w:hAnsiTheme="minorHAnsi"/>
                <w:spacing w:val="-1"/>
                <w:szCs w:val="24"/>
              </w:rPr>
              <w:t>for</w:t>
            </w:r>
            <w:r w:rsidRPr="00692E6E">
              <w:rPr>
                <w:rFonts w:asciiTheme="minorHAnsi" w:hAnsiTheme="minorHAnsi"/>
                <w:szCs w:val="24"/>
              </w:rPr>
              <w:t xml:space="preserve"> </w:t>
            </w:r>
            <w:r w:rsidRPr="00692E6E">
              <w:rPr>
                <w:rFonts w:asciiTheme="minorHAnsi" w:hAnsiTheme="minorHAnsi"/>
                <w:spacing w:val="-1"/>
                <w:szCs w:val="24"/>
              </w:rPr>
              <w:t>Lipid-Lowering</w:t>
            </w:r>
            <w:r w:rsidRPr="00692E6E">
              <w:rPr>
                <w:rFonts w:asciiTheme="minorHAnsi" w:hAnsiTheme="minorHAnsi"/>
                <w:spacing w:val="-3"/>
                <w:szCs w:val="24"/>
              </w:rPr>
              <w:t xml:space="preserve"> </w:t>
            </w:r>
            <w:r w:rsidRPr="00692E6E">
              <w:rPr>
                <w:rFonts w:asciiTheme="minorHAnsi" w:hAnsiTheme="minorHAnsi"/>
                <w:spacing w:val="-1"/>
                <w:szCs w:val="24"/>
              </w:rPr>
              <w:t xml:space="preserve">Drugs </w:t>
            </w:r>
          </w:p>
          <w:p w:rsidR="008B6729" w:rsidRPr="00692E6E" w:rsidRDefault="008B6729" w:rsidP="00221FBE">
            <w:pPr>
              <w:pStyle w:val="NormalWeb"/>
              <w:spacing w:line="300" w:lineRule="atLeast"/>
              <w:rPr>
                <w:rFonts w:asciiTheme="minorHAnsi" w:hAnsiTheme="minorHAnsi" w:cs="Arial"/>
                <w:b/>
                <w:bCs/>
              </w:rPr>
            </w:pPr>
            <w:r w:rsidRPr="00692E6E">
              <w:rPr>
                <w:rFonts w:asciiTheme="minorHAnsi" w:hAnsiTheme="minorHAnsi" w:cs="Arial"/>
                <w:b/>
                <w:bCs/>
              </w:rPr>
              <w:t>AND</w:t>
            </w:r>
          </w:p>
          <w:p w:rsidR="008B6729" w:rsidRPr="00692E6E" w:rsidRDefault="008B6729" w:rsidP="00692E6E">
            <w:pPr>
              <w:pStyle w:val="BodyText"/>
              <w:tabs>
                <w:tab w:val="left" w:pos="461"/>
              </w:tabs>
              <w:spacing w:before="60" w:after="60"/>
              <w:ind w:firstLine="34"/>
              <w:rPr>
                <w:rFonts w:asciiTheme="minorHAnsi" w:hAnsiTheme="minorHAnsi"/>
                <w:color w:val="212121"/>
                <w:spacing w:val="-1"/>
                <w:szCs w:val="24"/>
              </w:rPr>
            </w:pPr>
            <w:r w:rsidRPr="00692E6E">
              <w:rPr>
                <w:rFonts w:asciiTheme="minorHAnsi" w:hAnsiTheme="minorHAnsi"/>
                <w:color w:val="212121"/>
                <w:spacing w:val="-1"/>
                <w:szCs w:val="24"/>
              </w:rPr>
              <w:t>Patient has developed a clinically important product related adverse drug event necessitating a reduction in statin dose</w:t>
            </w:r>
          </w:p>
        </w:tc>
      </w:tr>
    </w:tbl>
    <w:p w:rsidR="0000686B" w:rsidRPr="00F53453" w:rsidRDefault="003848A8" w:rsidP="00514129">
      <w:pPr>
        <w:pStyle w:val="Heading3"/>
        <w:jc w:val="left"/>
      </w:pPr>
      <w:bookmarkStart w:id="35" w:name="_Toc482176931"/>
      <w:r>
        <w:t>B.</w:t>
      </w:r>
      <w:r w:rsidR="0000686B" w:rsidRPr="00F53453">
        <w:t>1.3.1</w:t>
      </w:r>
      <w:r w:rsidR="0000686B" w:rsidRPr="00F53453">
        <w:tab/>
        <w:t>Why review Ezetimibe?</w:t>
      </w:r>
      <w:bookmarkEnd w:id="35"/>
    </w:p>
    <w:p w:rsidR="0000686B" w:rsidRDefault="0000686B" w:rsidP="00514129">
      <w:pPr>
        <w:spacing w:line="240" w:lineRule="auto"/>
        <w:rPr>
          <w:rFonts w:asciiTheme="minorHAnsi" w:hAnsiTheme="minorHAnsi"/>
          <w:bCs/>
        </w:rPr>
      </w:pPr>
      <w:r w:rsidRPr="00CB5367">
        <w:rPr>
          <w:rFonts w:asciiTheme="minorHAnsi" w:hAnsiTheme="minorHAnsi"/>
          <w:bCs/>
        </w:rPr>
        <w:t xml:space="preserve">In July 2013, the PBAC expressed concern that the listing of the </w:t>
      </w:r>
      <w:r>
        <w:rPr>
          <w:rFonts w:asciiTheme="minorHAnsi" w:hAnsiTheme="minorHAnsi"/>
          <w:bCs/>
        </w:rPr>
        <w:t>e</w:t>
      </w:r>
      <w:r w:rsidRPr="00CB5367">
        <w:rPr>
          <w:rFonts w:asciiTheme="minorHAnsi" w:hAnsiTheme="minorHAnsi"/>
          <w:bCs/>
        </w:rPr>
        <w:t xml:space="preserve">zetimibe </w:t>
      </w:r>
      <w:r w:rsidR="00750E7F">
        <w:rPr>
          <w:rFonts w:asciiTheme="minorHAnsi" w:hAnsiTheme="minorHAnsi"/>
          <w:bCs/>
        </w:rPr>
        <w:t xml:space="preserve">plus </w:t>
      </w:r>
      <w:r w:rsidRPr="00CB5367">
        <w:rPr>
          <w:rFonts w:asciiTheme="minorHAnsi" w:hAnsiTheme="minorHAnsi"/>
          <w:bCs/>
        </w:rPr>
        <w:t>atorvastatin co-pack m</w:t>
      </w:r>
      <w:r w:rsidR="00750E7F">
        <w:rPr>
          <w:rFonts w:asciiTheme="minorHAnsi" w:hAnsiTheme="minorHAnsi"/>
          <w:bCs/>
        </w:rPr>
        <w:t>ay</w:t>
      </w:r>
      <w:r w:rsidRPr="00CB5367">
        <w:rPr>
          <w:rFonts w:asciiTheme="minorHAnsi" w:hAnsiTheme="minorHAnsi"/>
          <w:bCs/>
        </w:rPr>
        <w:t xml:space="preserve"> direct use away from </w:t>
      </w:r>
      <w:r w:rsidR="00750E7F">
        <w:rPr>
          <w:rFonts w:asciiTheme="minorHAnsi" w:hAnsiTheme="minorHAnsi"/>
          <w:bCs/>
        </w:rPr>
        <w:t xml:space="preserve">the </w:t>
      </w:r>
      <w:r w:rsidRPr="00CB5367">
        <w:rPr>
          <w:rFonts w:asciiTheme="minorHAnsi" w:hAnsiTheme="minorHAnsi"/>
          <w:bCs/>
        </w:rPr>
        <w:t>optimal titration of statin</w:t>
      </w:r>
      <w:r w:rsidR="00750E7F">
        <w:rPr>
          <w:rFonts w:asciiTheme="minorHAnsi" w:hAnsiTheme="minorHAnsi"/>
          <w:bCs/>
        </w:rPr>
        <w:t xml:space="preserve"> monotherapy.</w:t>
      </w:r>
      <w:r>
        <w:rPr>
          <w:rFonts w:asciiTheme="minorHAnsi" w:hAnsiTheme="minorHAnsi"/>
          <w:bCs/>
        </w:rPr>
        <w:t xml:space="preserve"> Optimal titration of statins refers to the process of </w:t>
      </w:r>
      <w:r w:rsidRPr="004C3D14">
        <w:rPr>
          <w:rFonts w:asciiTheme="minorHAnsi" w:hAnsiTheme="minorHAnsi"/>
          <w:bCs/>
        </w:rPr>
        <w:t>gradually adjusting the dose of a statin or prescribing a statin of higher potency until the maximum</w:t>
      </w:r>
      <w:r>
        <w:rPr>
          <w:rFonts w:asciiTheme="minorHAnsi" w:hAnsiTheme="minorHAnsi"/>
          <w:bCs/>
        </w:rPr>
        <w:t xml:space="preserve"> (or targeted)</w:t>
      </w:r>
      <w:r w:rsidRPr="004C3D14">
        <w:rPr>
          <w:rFonts w:asciiTheme="minorHAnsi" w:hAnsiTheme="minorHAnsi"/>
          <w:bCs/>
        </w:rPr>
        <w:t xml:space="preserve"> reduction in LDL-C </w:t>
      </w:r>
      <w:r w:rsidRPr="00C17B2A">
        <w:rPr>
          <w:rFonts w:asciiTheme="minorHAnsi" w:hAnsiTheme="minorHAnsi"/>
          <w:bCs/>
          <w:highlight w:val="yellow"/>
        </w:rPr>
        <w:t>concentration</w:t>
      </w:r>
      <w:r w:rsidRPr="004C3D14">
        <w:rPr>
          <w:rFonts w:asciiTheme="minorHAnsi" w:hAnsiTheme="minorHAnsi"/>
          <w:bCs/>
        </w:rPr>
        <w:t xml:space="preserve"> is achieved. Dose </w:t>
      </w:r>
      <w:r>
        <w:rPr>
          <w:rFonts w:asciiTheme="minorHAnsi" w:hAnsiTheme="minorHAnsi"/>
          <w:bCs/>
        </w:rPr>
        <w:t xml:space="preserve">adjustments </w:t>
      </w:r>
      <w:r w:rsidRPr="004C3D14">
        <w:rPr>
          <w:rFonts w:asciiTheme="minorHAnsi" w:hAnsiTheme="minorHAnsi"/>
          <w:bCs/>
        </w:rPr>
        <w:t xml:space="preserve">and choice of statin </w:t>
      </w:r>
      <w:r>
        <w:rPr>
          <w:rFonts w:asciiTheme="minorHAnsi" w:hAnsiTheme="minorHAnsi"/>
          <w:bCs/>
        </w:rPr>
        <w:t xml:space="preserve">are </w:t>
      </w:r>
      <w:r w:rsidRPr="004C3D14">
        <w:rPr>
          <w:rFonts w:asciiTheme="minorHAnsi" w:hAnsiTheme="minorHAnsi"/>
          <w:bCs/>
        </w:rPr>
        <w:t>balanced against</w:t>
      </w:r>
      <w:r>
        <w:rPr>
          <w:rFonts w:asciiTheme="minorHAnsi" w:hAnsiTheme="minorHAnsi"/>
          <w:bCs/>
        </w:rPr>
        <w:t xml:space="preserve"> any</w:t>
      </w:r>
      <w:r w:rsidRPr="004C3D14">
        <w:rPr>
          <w:rFonts w:asciiTheme="minorHAnsi" w:hAnsiTheme="minorHAnsi"/>
          <w:bCs/>
        </w:rPr>
        <w:t xml:space="preserve"> adverse effects</w:t>
      </w:r>
      <w:r>
        <w:rPr>
          <w:rFonts w:asciiTheme="minorHAnsi" w:hAnsiTheme="minorHAnsi"/>
          <w:bCs/>
        </w:rPr>
        <w:t xml:space="preserve"> that may occur.</w:t>
      </w:r>
      <w:r w:rsidRPr="004C3D14">
        <w:rPr>
          <w:rFonts w:asciiTheme="minorHAnsi" w:hAnsiTheme="minorHAnsi"/>
          <w:bCs/>
        </w:rPr>
        <w:t xml:space="preserve"> </w:t>
      </w:r>
    </w:p>
    <w:p w:rsidR="0000686B" w:rsidRDefault="0000686B" w:rsidP="00514129">
      <w:pPr>
        <w:spacing w:line="240" w:lineRule="auto"/>
        <w:rPr>
          <w:rFonts w:asciiTheme="minorHAnsi" w:hAnsiTheme="minorHAnsi"/>
          <w:bCs/>
        </w:rPr>
      </w:pPr>
      <w:r>
        <w:rPr>
          <w:rFonts w:asciiTheme="minorHAnsi" w:hAnsiTheme="minorHAnsi"/>
          <w:bCs/>
        </w:rPr>
        <w:t xml:space="preserve">In November 2013, the PBAC again expressed concern </w:t>
      </w:r>
      <w:r w:rsidRPr="00CB5367">
        <w:rPr>
          <w:rFonts w:asciiTheme="minorHAnsi" w:hAnsiTheme="minorHAnsi"/>
          <w:bCs/>
        </w:rPr>
        <w:t>when considering the listing of the</w:t>
      </w:r>
      <w:r>
        <w:rPr>
          <w:rFonts w:asciiTheme="minorHAnsi" w:hAnsiTheme="minorHAnsi"/>
          <w:bCs/>
        </w:rPr>
        <w:t xml:space="preserve"> e</w:t>
      </w:r>
      <w:r w:rsidRPr="00CB5367">
        <w:rPr>
          <w:rFonts w:asciiTheme="minorHAnsi" w:hAnsiTheme="minorHAnsi"/>
          <w:bCs/>
        </w:rPr>
        <w:t xml:space="preserve">zetimibe </w:t>
      </w:r>
      <w:r w:rsidR="00750E7F">
        <w:rPr>
          <w:rFonts w:asciiTheme="minorHAnsi" w:hAnsiTheme="minorHAnsi"/>
          <w:bCs/>
        </w:rPr>
        <w:t xml:space="preserve">plus </w:t>
      </w:r>
      <w:r w:rsidRPr="00CB5367">
        <w:rPr>
          <w:rFonts w:asciiTheme="minorHAnsi" w:hAnsiTheme="minorHAnsi"/>
          <w:bCs/>
        </w:rPr>
        <w:t xml:space="preserve">rosuvastatin co-pack. The PBAC noted </w:t>
      </w:r>
      <w:r>
        <w:rPr>
          <w:rFonts w:asciiTheme="minorHAnsi" w:hAnsiTheme="minorHAnsi"/>
          <w:bCs/>
        </w:rPr>
        <w:t xml:space="preserve">at that time </w:t>
      </w:r>
      <w:r w:rsidRPr="00CB5367">
        <w:rPr>
          <w:rFonts w:asciiTheme="minorHAnsi" w:hAnsiTheme="minorHAnsi"/>
          <w:bCs/>
        </w:rPr>
        <w:t>that</w:t>
      </w:r>
      <w:r>
        <w:rPr>
          <w:rFonts w:asciiTheme="minorHAnsi" w:hAnsiTheme="minorHAnsi"/>
          <w:bCs/>
        </w:rPr>
        <w:t xml:space="preserve"> </w:t>
      </w:r>
      <w:r w:rsidRPr="00CB5367">
        <w:rPr>
          <w:rFonts w:asciiTheme="minorHAnsi" w:hAnsiTheme="minorHAnsi"/>
          <w:bCs/>
        </w:rPr>
        <w:t xml:space="preserve">there </w:t>
      </w:r>
      <w:r>
        <w:rPr>
          <w:rFonts w:asciiTheme="minorHAnsi" w:hAnsiTheme="minorHAnsi"/>
          <w:bCs/>
        </w:rPr>
        <w:t xml:space="preserve">were </w:t>
      </w:r>
      <w:r w:rsidRPr="00CB5367">
        <w:rPr>
          <w:rFonts w:asciiTheme="minorHAnsi" w:hAnsiTheme="minorHAnsi"/>
          <w:bCs/>
        </w:rPr>
        <w:t xml:space="preserve">no </w:t>
      </w:r>
      <w:r>
        <w:rPr>
          <w:rFonts w:asciiTheme="minorHAnsi" w:hAnsiTheme="minorHAnsi"/>
          <w:bCs/>
        </w:rPr>
        <w:t xml:space="preserve">studies of ezetimibe with </w:t>
      </w:r>
      <w:r w:rsidRPr="00CB5367">
        <w:rPr>
          <w:rFonts w:asciiTheme="minorHAnsi" w:hAnsiTheme="minorHAnsi"/>
          <w:bCs/>
        </w:rPr>
        <w:t>patient relevant outcome data</w:t>
      </w:r>
      <w:r>
        <w:rPr>
          <w:rFonts w:asciiTheme="minorHAnsi" w:hAnsiTheme="minorHAnsi"/>
          <w:bCs/>
        </w:rPr>
        <w:t xml:space="preserve">, such as reduction </w:t>
      </w:r>
      <w:r>
        <w:rPr>
          <w:rFonts w:asciiTheme="minorHAnsi" w:hAnsiTheme="minorHAnsi"/>
          <w:bCs/>
        </w:rPr>
        <w:lastRenderedPageBreak/>
        <w:t>in cardiovascular events or stroke or improved mortality. However, outcome studies had been undertaken for a number of statin medicines</w:t>
      </w:r>
      <w:r w:rsidRPr="005D6AD1">
        <w:rPr>
          <w:rFonts w:asciiTheme="minorHAnsi" w:hAnsiTheme="minorHAnsi"/>
          <w:bCs/>
        </w:rPr>
        <w:t>.</w:t>
      </w:r>
      <w:r>
        <w:rPr>
          <w:rFonts w:asciiTheme="minorHAnsi" w:hAnsiTheme="minorHAnsi"/>
          <w:bCs/>
        </w:rPr>
        <w:t xml:space="preserve"> </w:t>
      </w:r>
    </w:p>
    <w:p w:rsidR="0000686B" w:rsidRDefault="00750E7F" w:rsidP="00514129">
      <w:pPr>
        <w:spacing w:line="240" w:lineRule="auto"/>
        <w:rPr>
          <w:rFonts w:asciiTheme="minorHAnsi" w:hAnsiTheme="minorHAnsi"/>
          <w:bCs/>
        </w:rPr>
      </w:pPr>
      <w:r>
        <w:rPr>
          <w:rFonts w:asciiTheme="minorHAnsi" w:hAnsiTheme="minorHAnsi"/>
          <w:bCs/>
        </w:rPr>
        <w:t>T</w:t>
      </w:r>
      <w:r w:rsidR="0000686B">
        <w:rPr>
          <w:rFonts w:asciiTheme="minorHAnsi" w:hAnsiTheme="minorHAnsi"/>
          <w:bCs/>
        </w:rPr>
        <w:t xml:space="preserve">here has been a </w:t>
      </w:r>
      <w:r>
        <w:rPr>
          <w:rFonts w:asciiTheme="minorHAnsi" w:hAnsiTheme="minorHAnsi"/>
          <w:bCs/>
        </w:rPr>
        <w:t xml:space="preserve">significant </w:t>
      </w:r>
      <w:r w:rsidR="0000686B">
        <w:rPr>
          <w:rFonts w:asciiTheme="minorHAnsi" w:hAnsiTheme="minorHAnsi"/>
          <w:bCs/>
        </w:rPr>
        <w:t>reduction in the price of statins since 2003 through PBS Statutory Pricing policy</w:t>
      </w:r>
      <w:r>
        <w:rPr>
          <w:rFonts w:asciiTheme="minorHAnsi" w:hAnsiTheme="minorHAnsi"/>
          <w:bCs/>
        </w:rPr>
        <w:t xml:space="preserve"> whereas</w:t>
      </w:r>
      <w:r w:rsidR="0000686B">
        <w:rPr>
          <w:rFonts w:asciiTheme="minorHAnsi" w:hAnsiTheme="minorHAnsi"/>
          <w:bCs/>
        </w:rPr>
        <w:t xml:space="preserve"> the price of ezetimibe has </w:t>
      </w:r>
      <w:r w:rsidR="0000686B" w:rsidRPr="00136A5C">
        <w:rPr>
          <w:rFonts w:asciiTheme="minorHAnsi" w:hAnsiTheme="minorHAnsi"/>
          <w:bCs/>
          <w:highlight w:val="yellow"/>
        </w:rPr>
        <w:t>taken one price reduction in April 2016 of 5%.</w:t>
      </w:r>
      <w:r w:rsidR="0000686B" w:rsidRPr="003736D0">
        <w:rPr>
          <w:rFonts w:asciiTheme="minorHAnsi" w:hAnsiTheme="minorHAnsi"/>
          <w:bCs/>
          <w:color w:val="FF0000"/>
        </w:rPr>
        <w:t xml:space="preserve"> </w:t>
      </w:r>
      <w:r w:rsidR="0000686B">
        <w:rPr>
          <w:rFonts w:asciiTheme="minorHAnsi" w:hAnsiTheme="minorHAnsi"/>
          <w:bCs/>
        </w:rPr>
        <w:t xml:space="preserve">The PBAC noted that </w:t>
      </w:r>
      <w:r w:rsidR="0000686B" w:rsidRPr="00B0733C">
        <w:rPr>
          <w:rFonts w:asciiTheme="minorHAnsi" w:hAnsiTheme="minorHAnsi"/>
          <w:bCs/>
        </w:rPr>
        <w:t xml:space="preserve">the ezetimibe </w:t>
      </w:r>
      <w:r w:rsidR="0000686B">
        <w:rPr>
          <w:rFonts w:asciiTheme="minorHAnsi" w:hAnsiTheme="minorHAnsi"/>
          <w:bCs/>
        </w:rPr>
        <w:t xml:space="preserve">component was the </w:t>
      </w:r>
      <w:r w:rsidR="0000686B" w:rsidRPr="00B0733C">
        <w:rPr>
          <w:rFonts w:asciiTheme="minorHAnsi" w:hAnsiTheme="minorHAnsi"/>
          <w:bCs/>
        </w:rPr>
        <w:t xml:space="preserve">largest contribution to the </w:t>
      </w:r>
      <w:r w:rsidR="0000686B">
        <w:rPr>
          <w:rFonts w:asciiTheme="minorHAnsi" w:hAnsiTheme="minorHAnsi"/>
          <w:bCs/>
        </w:rPr>
        <w:t>price</w:t>
      </w:r>
      <w:r>
        <w:rPr>
          <w:rFonts w:asciiTheme="minorHAnsi" w:hAnsiTheme="minorHAnsi"/>
          <w:bCs/>
        </w:rPr>
        <w:t xml:space="preserve"> of statin plus ezetimibe combinations</w:t>
      </w:r>
      <w:r w:rsidR="0000686B" w:rsidRPr="00B0733C">
        <w:rPr>
          <w:rFonts w:asciiTheme="minorHAnsi" w:hAnsiTheme="minorHAnsi"/>
          <w:bCs/>
        </w:rPr>
        <w:t xml:space="preserve">. </w:t>
      </w:r>
      <w:r w:rsidR="0000686B" w:rsidRPr="005D6AD1">
        <w:rPr>
          <w:rFonts w:asciiTheme="minorHAnsi" w:hAnsiTheme="minorHAnsi"/>
          <w:bCs/>
        </w:rPr>
        <w:t> T</w:t>
      </w:r>
      <w:r w:rsidR="0000686B" w:rsidRPr="00CB5367">
        <w:rPr>
          <w:rFonts w:asciiTheme="minorHAnsi" w:hAnsiTheme="minorHAnsi"/>
          <w:bCs/>
        </w:rPr>
        <w:t xml:space="preserve">he PBAC </w:t>
      </w:r>
      <w:r w:rsidR="0000686B">
        <w:rPr>
          <w:rFonts w:asciiTheme="minorHAnsi" w:hAnsiTheme="minorHAnsi"/>
          <w:bCs/>
        </w:rPr>
        <w:t xml:space="preserve">asked the Minister to consider a </w:t>
      </w:r>
      <w:r w:rsidR="0000686B" w:rsidRPr="00CB5367">
        <w:rPr>
          <w:rFonts w:asciiTheme="minorHAnsi" w:hAnsiTheme="minorHAnsi"/>
          <w:bCs/>
        </w:rPr>
        <w:t xml:space="preserve">review </w:t>
      </w:r>
      <w:r w:rsidR="0000686B">
        <w:rPr>
          <w:rFonts w:asciiTheme="minorHAnsi" w:hAnsiTheme="minorHAnsi"/>
          <w:bCs/>
        </w:rPr>
        <w:t>of the cost</w:t>
      </w:r>
      <w:r w:rsidR="00216B38">
        <w:rPr>
          <w:rFonts w:asciiTheme="minorHAnsi" w:hAnsiTheme="minorHAnsi"/>
          <w:bCs/>
        </w:rPr>
        <w:t>-</w:t>
      </w:r>
      <w:r w:rsidR="0000686B">
        <w:rPr>
          <w:rFonts w:asciiTheme="minorHAnsi" w:hAnsiTheme="minorHAnsi"/>
          <w:bCs/>
        </w:rPr>
        <w:t xml:space="preserve">effectiveness of ezetimibe. The PBAC noted that any such review should take into account the latest available evidence and best practice. </w:t>
      </w:r>
    </w:p>
    <w:p w:rsidR="0000686B" w:rsidRDefault="0000686B" w:rsidP="00514129">
      <w:pPr>
        <w:spacing w:line="240" w:lineRule="auto"/>
        <w:rPr>
          <w:rFonts w:asciiTheme="minorHAnsi" w:hAnsiTheme="minorHAnsi"/>
          <w:bCs/>
        </w:rPr>
      </w:pPr>
      <w:r w:rsidRPr="00CB5367">
        <w:rPr>
          <w:rFonts w:asciiTheme="minorHAnsi" w:hAnsiTheme="minorHAnsi"/>
          <w:bCs/>
        </w:rPr>
        <w:t xml:space="preserve">In July 2014, the PBAC reiterated this </w:t>
      </w:r>
      <w:r>
        <w:rPr>
          <w:rFonts w:asciiTheme="minorHAnsi" w:hAnsiTheme="minorHAnsi"/>
          <w:bCs/>
        </w:rPr>
        <w:t xml:space="preserve">view </w:t>
      </w:r>
      <w:r w:rsidRPr="00CB5367">
        <w:rPr>
          <w:rFonts w:asciiTheme="minorHAnsi" w:hAnsiTheme="minorHAnsi"/>
          <w:bCs/>
        </w:rPr>
        <w:t xml:space="preserve">in considering the </w:t>
      </w:r>
      <w:r>
        <w:rPr>
          <w:rFonts w:asciiTheme="minorHAnsi" w:hAnsiTheme="minorHAnsi"/>
          <w:bCs/>
        </w:rPr>
        <w:t>e</w:t>
      </w:r>
      <w:r w:rsidRPr="00CB5367">
        <w:rPr>
          <w:rFonts w:asciiTheme="minorHAnsi" w:hAnsiTheme="minorHAnsi"/>
          <w:bCs/>
        </w:rPr>
        <w:t xml:space="preserve">zetimibe </w:t>
      </w:r>
      <w:r w:rsidR="00750E7F">
        <w:rPr>
          <w:rFonts w:asciiTheme="minorHAnsi" w:hAnsiTheme="minorHAnsi"/>
          <w:bCs/>
        </w:rPr>
        <w:t>plus</w:t>
      </w:r>
      <w:r w:rsidRPr="00CB5367">
        <w:rPr>
          <w:rFonts w:asciiTheme="minorHAnsi" w:hAnsiTheme="minorHAnsi"/>
          <w:bCs/>
        </w:rPr>
        <w:t xml:space="preserve"> rosuvastatin </w:t>
      </w:r>
      <w:r>
        <w:rPr>
          <w:rFonts w:asciiTheme="minorHAnsi" w:hAnsiTheme="minorHAnsi"/>
          <w:bCs/>
        </w:rPr>
        <w:t>fixed dose combination (FDC).</w:t>
      </w:r>
      <w:r w:rsidRPr="00CB5367">
        <w:rPr>
          <w:rFonts w:asciiTheme="minorHAnsi" w:hAnsiTheme="minorHAnsi"/>
          <w:bCs/>
        </w:rPr>
        <w:t xml:space="preserve"> </w:t>
      </w:r>
    </w:p>
    <w:p w:rsidR="0000686B" w:rsidRPr="00CB5367" w:rsidRDefault="0000686B" w:rsidP="00514129">
      <w:pPr>
        <w:spacing w:line="240" w:lineRule="auto"/>
        <w:rPr>
          <w:rFonts w:asciiTheme="minorHAnsi" w:hAnsiTheme="minorHAnsi"/>
          <w:bCs/>
        </w:rPr>
      </w:pPr>
      <w:r>
        <w:rPr>
          <w:rFonts w:asciiTheme="minorHAnsi" w:hAnsiTheme="minorHAnsi"/>
          <w:bCs/>
        </w:rPr>
        <w:t>In October 2014, the DUSC undertook a</w:t>
      </w:r>
      <w:r w:rsidRPr="00CB5367">
        <w:rPr>
          <w:rFonts w:asciiTheme="minorHAnsi" w:hAnsiTheme="minorHAnsi"/>
          <w:bCs/>
        </w:rPr>
        <w:t>n analysis of</w:t>
      </w:r>
      <w:r>
        <w:rPr>
          <w:rFonts w:asciiTheme="minorHAnsi" w:hAnsiTheme="minorHAnsi"/>
          <w:bCs/>
        </w:rPr>
        <w:t xml:space="preserve"> PBS utilisation of subsidised e</w:t>
      </w:r>
      <w:r w:rsidRPr="00CB5367">
        <w:rPr>
          <w:rFonts w:asciiTheme="minorHAnsi" w:hAnsiTheme="minorHAnsi"/>
          <w:bCs/>
        </w:rPr>
        <w:t xml:space="preserve">zetimibe with </w:t>
      </w:r>
      <w:r>
        <w:rPr>
          <w:rFonts w:asciiTheme="minorHAnsi" w:hAnsiTheme="minorHAnsi"/>
          <w:bCs/>
        </w:rPr>
        <w:t>s</w:t>
      </w:r>
      <w:r w:rsidRPr="00CB5367">
        <w:rPr>
          <w:rFonts w:asciiTheme="minorHAnsi" w:hAnsiTheme="minorHAnsi"/>
          <w:bCs/>
        </w:rPr>
        <w:t xml:space="preserve">imvastatin </w:t>
      </w:r>
      <w:r>
        <w:rPr>
          <w:rFonts w:asciiTheme="minorHAnsi" w:hAnsiTheme="minorHAnsi"/>
          <w:bCs/>
        </w:rPr>
        <w:t xml:space="preserve">products. The analysis </w:t>
      </w:r>
      <w:r w:rsidRPr="00CB5367">
        <w:rPr>
          <w:rFonts w:asciiTheme="minorHAnsi" w:hAnsiTheme="minorHAnsi"/>
          <w:bCs/>
        </w:rPr>
        <w:t xml:space="preserve">found that: </w:t>
      </w:r>
    </w:p>
    <w:p w:rsidR="0000686B" w:rsidRPr="00CB5367" w:rsidRDefault="0000686B" w:rsidP="00514129">
      <w:pPr>
        <w:numPr>
          <w:ilvl w:val="0"/>
          <w:numId w:val="6"/>
        </w:numPr>
        <w:spacing w:after="120" w:line="240" w:lineRule="auto"/>
        <w:ind w:left="426" w:hanging="426"/>
        <w:rPr>
          <w:rFonts w:asciiTheme="minorHAnsi" w:eastAsia="MS Mincho" w:hAnsiTheme="minorHAnsi"/>
          <w:szCs w:val="24"/>
          <w:lang w:eastAsia="en-AU"/>
        </w:rPr>
      </w:pPr>
      <w:r w:rsidRPr="00CB5367">
        <w:rPr>
          <w:rFonts w:asciiTheme="minorHAnsi" w:eastAsia="MS Mincho" w:hAnsiTheme="minorHAnsi"/>
          <w:szCs w:val="24"/>
          <w:lang w:eastAsia="en-AU"/>
        </w:rPr>
        <w:t xml:space="preserve">The number of new patients commencing </w:t>
      </w:r>
      <w:r>
        <w:rPr>
          <w:rFonts w:asciiTheme="minorHAnsi" w:eastAsia="MS Mincho" w:hAnsiTheme="minorHAnsi"/>
          <w:szCs w:val="24"/>
          <w:lang w:eastAsia="en-AU"/>
        </w:rPr>
        <w:t>e</w:t>
      </w:r>
      <w:r w:rsidRPr="00CB5367">
        <w:rPr>
          <w:rFonts w:asciiTheme="minorHAnsi" w:eastAsia="MS Mincho" w:hAnsiTheme="minorHAnsi"/>
          <w:szCs w:val="24"/>
          <w:lang w:eastAsia="en-AU"/>
        </w:rPr>
        <w:t xml:space="preserve">zetimibe in any presentation </w:t>
      </w:r>
      <w:r>
        <w:rPr>
          <w:rFonts w:asciiTheme="minorHAnsi" w:eastAsia="MS Mincho" w:hAnsiTheme="minorHAnsi"/>
          <w:szCs w:val="24"/>
          <w:lang w:eastAsia="en-AU"/>
        </w:rPr>
        <w:t>was</w:t>
      </w:r>
      <w:r w:rsidRPr="00CB5367">
        <w:rPr>
          <w:rFonts w:asciiTheme="minorHAnsi" w:eastAsia="MS Mincho" w:hAnsiTheme="minorHAnsi"/>
          <w:szCs w:val="24"/>
          <w:lang w:eastAsia="en-AU"/>
        </w:rPr>
        <w:t xml:space="preserve"> steady, with approximately 38,000 new patients each year. The number of prevalent patients on </w:t>
      </w:r>
      <w:r>
        <w:rPr>
          <w:rFonts w:asciiTheme="minorHAnsi" w:eastAsia="MS Mincho" w:hAnsiTheme="minorHAnsi"/>
          <w:szCs w:val="24"/>
          <w:lang w:eastAsia="en-AU"/>
        </w:rPr>
        <w:t>e</w:t>
      </w:r>
      <w:r w:rsidRPr="00CB5367">
        <w:rPr>
          <w:rFonts w:asciiTheme="minorHAnsi" w:eastAsia="MS Mincho" w:hAnsiTheme="minorHAnsi"/>
          <w:szCs w:val="24"/>
          <w:lang w:eastAsia="en-AU"/>
        </w:rPr>
        <w:t xml:space="preserve">zetimibe </w:t>
      </w:r>
      <w:r>
        <w:rPr>
          <w:rFonts w:asciiTheme="minorHAnsi" w:eastAsia="MS Mincho" w:hAnsiTheme="minorHAnsi"/>
          <w:szCs w:val="24"/>
          <w:lang w:eastAsia="en-AU"/>
        </w:rPr>
        <w:t>was</w:t>
      </w:r>
      <w:r w:rsidRPr="00CB5367">
        <w:rPr>
          <w:rFonts w:asciiTheme="minorHAnsi" w:eastAsia="MS Mincho" w:hAnsiTheme="minorHAnsi"/>
          <w:szCs w:val="24"/>
          <w:lang w:eastAsia="en-AU"/>
        </w:rPr>
        <w:t xml:space="preserve"> increasing over time, and the majority of </w:t>
      </w:r>
      <w:r>
        <w:rPr>
          <w:rFonts w:asciiTheme="minorHAnsi" w:eastAsia="MS Mincho" w:hAnsiTheme="minorHAnsi"/>
          <w:szCs w:val="24"/>
          <w:lang w:eastAsia="en-AU"/>
        </w:rPr>
        <w:t xml:space="preserve">patient </w:t>
      </w:r>
      <w:r w:rsidRPr="00CB5367">
        <w:rPr>
          <w:rFonts w:asciiTheme="minorHAnsi" w:eastAsia="MS Mincho" w:hAnsiTheme="minorHAnsi"/>
          <w:szCs w:val="24"/>
          <w:lang w:eastAsia="en-AU"/>
        </w:rPr>
        <w:t xml:space="preserve">use </w:t>
      </w:r>
      <w:r>
        <w:rPr>
          <w:rFonts w:asciiTheme="minorHAnsi" w:eastAsia="MS Mincho" w:hAnsiTheme="minorHAnsi"/>
          <w:szCs w:val="24"/>
          <w:lang w:eastAsia="en-AU"/>
        </w:rPr>
        <w:t>was</w:t>
      </w:r>
      <w:r w:rsidRPr="00CB5367">
        <w:rPr>
          <w:rFonts w:asciiTheme="minorHAnsi" w:eastAsia="MS Mincho" w:hAnsiTheme="minorHAnsi"/>
          <w:szCs w:val="24"/>
          <w:lang w:eastAsia="en-AU"/>
        </w:rPr>
        <w:t xml:space="preserve"> </w:t>
      </w:r>
      <w:r>
        <w:rPr>
          <w:rFonts w:asciiTheme="minorHAnsi" w:eastAsia="MS Mincho" w:hAnsiTheme="minorHAnsi"/>
          <w:szCs w:val="24"/>
          <w:lang w:eastAsia="en-AU"/>
        </w:rPr>
        <w:t>e</w:t>
      </w:r>
      <w:r w:rsidRPr="00CB5367">
        <w:rPr>
          <w:rFonts w:asciiTheme="minorHAnsi" w:eastAsia="MS Mincho" w:hAnsiTheme="minorHAnsi"/>
          <w:szCs w:val="24"/>
          <w:lang w:eastAsia="en-AU"/>
        </w:rPr>
        <w:t>zetimibe added to a statin.</w:t>
      </w:r>
    </w:p>
    <w:p w:rsidR="0000686B" w:rsidRPr="00CB5367" w:rsidRDefault="0000686B" w:rsidP="00514129">
      <w:pPr>
        <w:numPr>
          <w:ilvl w:val="0"/>
          <w:numId w:val="6"/>
        </w:numPr>
        <w:spacing w:after="120" w:line="240" w:lineRule="auto"/>
        <w:ind w:left="425" w:hanging="425"/>
        <w:rPr>
          <w:rFonts w:asciiTheme="minorHAnsi" w:eastAsia="MS Mincho" w:hAnsiTheme="minorHAnsi"/>
          <w:szCs w:val="24"/>
          <w:lang w:eastAsia="en-AU"/>
        </w:rPr>
      </w:pPr>
      <w:r w:rsidRPr="00CB5367">
        <w:rPr>
          <w:rFonts w:asciiTheme="minorHAnsi" w:eastAsia="MS Mincho" w:hAnsiTheme="minorHAnsi"/>
          <w:szCs w:val="24"/>
          <w:lang w:eastAsia="en-AU"/>
        </w:rPr>
        <w:t xml:space="preserve">The </w:t>
      </w:r>
      <w:r>
        <w:rPr>
          <w:rFonts w:asciiTheme="minorHAnsi" w:eastAsia="MS Mincho" w:hAnsiTheme="minorHAnsi"/>
          <w:szCs w:val="24"/>
          <w:lang w:eastAsia="en-AU"/>
        </w:rPr>
        <w:t>listings of the</w:t>
      </w:r>
      <w:r w:rsidRPr="00CB5367">
        <w:rPr>
          <w:rFonts w:asciiTheme="minorHAnsi" w:eastAsia="MS Mincho" w:hAnsiTheme="minorHAnsi"/>
          <w:szCs w:val="24"/>
          <w:lang w:eastAsia="en-AU"/>
        </w:rPr>
        <w:t xml:space="preserve"> 10-10 mg and 10-20 mg FDCs </w:t>
      </w:r>
      <w:r>
        <w:rPr>
          <w:rFonts w:asciiTheme="minorHAnsi" w:eastAsia="MS Mincho" w:hAnsiTheme="minorHAnsi"/>
          <w:szCs w:val="24"/>
          <w:lang w:eastAsia="en-AU"/>
        </w:rPr>
        <w:t xml:space="preserve">of ezetimibe plus simvastatin </w:t>
      </w:r>
      <w:r w:rsidRPr="00CB5367">
        <w:rPr>
          <w:rFonts w:asciiTheme="minorHAnsi" w:eastAsia="MS Mincho" w:hAnsiTheme="minorHAnsi"/>
          <w:szCs w:val="24"/>
          <w:lang w:eastAsia="en-AU"/>
        </w:rPr>
        <w:t xml:space="preserve">were expected to </w:t>
      </w:r>
      <w:r>
        <w:rPr>
          <w:rFonts w:asciiTheme="minorHAnsi" w:eastAsia="MS Mincho" w:hAnsiTheme="minorHAnsi"/>
          <w:szCs w:val="24"/>
          <w:lang w:eastAsia="en-AU"/>
        </w:rPr>
        <w:t xml:space="preserve">replace the concomitant use of ezetimibe and simvastatin. </w:t>
      </w:r>
      <w:r w:rsidRPr="00CB5367">
        <w:rPr>
          <w:rFonts w:asciiTheme="minorHAnsi" w:eastAsia="MS Mincho" w:hAnsiTheme="minorHAnsi"/>
          <w:szCs w:val="24"/>
          <w:lang w:eastAsia="en-AU"/>
        </w:rPr>
        <w:t xml:space="preserve">This </w:t>
      </w:r>
      <w:r>
        <w:rPr>
          <w:rFonts w:asciiTheme="minorHAnsi" w:eastAsia="MS Mincho" w:hAnsiTheme="minorHAnsi"/>
          <w:szCs w:val="24"/>
          <w:lang w:eastAsia="en-AU"/>
        </w:rPr>
        <w:t xml:space="preserve">was </w:t>
      </w:r>
      <w:r w:rsidRPr="00CB5367">
        <w:rPr>
          <w:rFonts w:asciiTheme="minorHAnsi" w:eastAsia="MS Mincho" w:hAnsiTheme="minorHAnsi"/>
          <w:szCs w:val="24"/>
          <w:lang w:eastAsia="en-AU"/>
        </w:rPr>
        <w:t>not the case</w:t>
      </w:r>
      <w:r>
        <w:rPr>
          <w:rFonts w:asciiTheme="minorHAnsi" w:eastAsia="MS Mincho" w:hAnsiTheme="minorHAnsi"/>
          <w:szCs w:val="24"/>
          <w:lang w:eastAsia="en-AU"/>
        </w:rPr>
        <w:t xml:space="preserve"> and t</w:t>
      </w:r>
      <w:r w:rsidRPr="00CB5367">
        <w:rPr>
          <w:rFonts w:asciiTheme="minorHAnsi" w:eastAsia="MS Mincho" w:hAnsiTheme="minorHAnsi"/>
          <w:szCs w:val="24"/>
          <w:lang w:eastAsia="en-AU"/>
        </w:rPr>
        <w:t>welve months after listing</w:t>
      </w:r>
      <w:r>
        <w:rPr>
          <w:rFonts w:asciiTheme="minorHAnsi" w:eastAsia="MS Mincho" w:hAnsiTheme="minorHAnsi"/>
          <w:szCs w:val="24"/>
          <w:lang w:eastAsia="en-AU"/>
        </w:rPr>
        <w:t xml:space="preserve"> use of these two formulations had increased</w:t>
      </w:r>
      <w:r w:rsidRPr="00CB5367">
        <w:rPr>
          <w:rFonts w:asciiTheme="minorHAnsi" w:eastAsia="MS Mincho" w:hAnsiTheme="minorHAnsi"/>
          <w:szCs w:val="24"/>
          <w:lang w:eastAsia="en-AU"/>
        </w:rPr>
        <w:t>:</w:t>
      </w:r>
    </w:p>
    <w:p w:rsidR="0000686B" w:rsidRPr="009B046B" w:rsidRDefault="0000686B" w:rsidP="00514129">
      <w:pPr>
        <w:pStyle w:val="ListParagraph"/>
        <w:numPr>
          <w:ilvl w:val="1"/>
          <w:numId w:val="6"/>
        </w:numPr>
        <w:spacing w:after="120" w:line="240" w:lineRule="auto"/>
        <w:ind w:left="709" w:hanging="283"/>
        <w:contextualSpacing w:val="0"/>
        <w:rPr>
          <w:rFonts w:asciiTheme="minorHAnsi" w:eastAsia="MS Mincho" w:hAnsiTheme="minorHAnsi"/>
          <w:szCs w:val="24"/>
          <w:lang w:eastAsia="en-AU"/>
        </w:rPr>
      </w:pPr>
      <w:r w:rsidRPr="009B046B">
        <w:rPr>
          <w:rFonts w:asciiTheme="minorHAnsi" w:eastAsia="MS Mincho" w:hAnsiTheme="minorHAnsi"/>
          <w:szCs w:val="24"/>
          <w:lang w:eastAsia="en-AU"/>
        </w:rPr>
        <w:t xml:space="preserve">the number of patients taking ezetimibe + simvastatin 10 mg or 20 mg (as the concomitant agents or in a </w:t>
      </w:r>
      <w:r>
        <w:rPr>
          <w:rFonts w:asciiTheme="minorHAnsi" w:eastAsia="MS Mincho" w:hAnsiTheme="minorHAnsi"/>
          <w:szCs w:val="24"/>
          <w:lang w:eastAsia="en-AU"/>
        </w:rPr>
        <w:t>FDC</w:t>
      </w:r>
      <w:r w:rsidRPr="009B046B">
        <w:rPr>
          <w:rFonts w:asciiTheme="minorHAnsi" w:eastAsia="MS Mincho" w:hAnsiTheme="minorHAnsi"/>
          <w:szCs w:val="24"/>
          <w:lang w:eastAsia="en-AU"/>
        </w:rPr>
        <w:t xml:space="preserve">) increased from 9,800 to 12,872. </w:t>
      </w:r>
    </w:p>
    <w:p w:rsidR="0000686B" w:rsidRPr="009B046B" w:rsidRDefault="0000686B" w:rsidP="00514129">
      <w:pPr>
        <w:pStyle w:val="ListParagraph"/>
        <w:numPr>
          <w:ilvl w:val="1"/>
          <w:numId w:val="6"/>
        </w:numPr>
        <w:spacing w:after="120" w:line="240" w:lineRule="auto"/>
        <w:ind w:left="709" w:hanging="283"/>
        <w:contextualSpacing w:val="0"/>
        <w:rPr>
          <w:rFonts w:asciiTheme="minorHAnsi" w:eastAsia="MS Mincho" w:hAnsiTheme="minorHAnsi"/>
          <w:szCs w:val="24"/>
          <w:lang w:eastAsia="en-AU"/>
        </w:rPr>
      </w:pPr>
      <w:r w:rsidRPr="009B046B">
        <w:rPr>
          <w:rFonts w:asciiTheme="minorHAnsi" w:eastAsia="MS Mincho" w:hAnsiTheme="minorHAnsi"/>
          <w:szCs w:val="24"/>
          <w:lang w:eastAsia="en-AU"/>
        </w:rPr>
        <w:t>an additional 3,096 people were on the 10-10 and 10-20 FDC forms, but only 24</w:t>
      </w:r>
      <w:r>
        <w:rPr>
          <w:rFonts w:asciiTheme="minorHAnsi" w:eastAsia="MS Mincho" w:hAnsiTheme="minorHAnsi"/>
          <w:szCs w:val="24"/>
          <w:lang w:eastAsia="en-AU"/>
        </w:rPr>
        <w:t> </w:t>
      </w:r>
      <w:r w:rsidRPr="009B046B">
        <w:rPr>
          <w:rFonts w:asciiTheme="minorHAnsi" w:eastAsia="MS Mincho" w:hAnsiTheme="minorHAnsi"/>
          <w:szCs w:val="24"/>
          <w:lang w:eastAsia="en-AU"/>
        </w:rPr>
        <w:t xml:space="preserve">fewer patients were on the concomitant agents. </w:t>
      </w:r>
      <w:r>
        <w:rPr>
          <w:rFonts w:asciiTheme="minorHAnsi" w:eastAsia="MS Mincho" w:hAnsiTheme="minorHAnsi"/>
          <w:szCs w:val="24"/>
          <w:lang w:eastAsia="en-AU"/>
        </w:rPr>
        <w:t xml:space="preserve">That is, </w:t>
      </w:r>
      <w:r w:rsidRPr="009B046B">
        <w:rPr>
          <w:rFonts w:asciiTheme="minorHAnsi" w:eastAsia="MS Mincho" w:hAnsiTheme="minorHAnsi"/>
          <w:szCs w:val="24"/>
          <w:lang w:eastAsia="en-AU"/>
        </w:rPr>
        <w:t>the FDC did not substitute for the concomitant agents</w:t>
      </w:r>
      <w:r>
        <w:rPr>
          <w:rFonts w:asciiTheme="minorHAnsi" w:eastAsia="MS Mincho" w:hAnsiTheme="minorHAnsi"/>
          <w:szCs w:val="24"/>
          <w:lang w:eastAsia="en-AU"/>
        </w:rPr>
        <w:t xml:space="preserve"> as expected</w:t>
      </w:r>
      <w:r w:rsidRPr="009B046B">
        <w:rPr>
          <w:rFonts w:asciiTheme="minorHAnsi" w:eastAsia="MS Mincho" w:hAnsiTheme="minorHAnsi"/>
          <w:szCs w:val="24"/>
          <w:lang w:eastAsia="en-AU"/>
        </w:rPr>
        <w:t>.</w:t>
      </w:r>
    </w:p>
    <w:p w:rsidR="0000686B" w:rsidRPr="00CB5367" w:rsidRDefault="0000686B" w:rsidP="00514129">
      <w:pPr>
        <w:numPr>
          <w:ilvl w:val="0"/>
          <w:numId w:val="6"/>
        </w:numPr>
        <w:spacing w:after="120" w:line="240" w:lineRule="auto"/>
        <w:ind w:left="426" w:hanging="426"/>
        <w:rPr>
          <w:rFonts w:asciiTheme="minorHAnsi" w:eastAsia="MS Mincho" w:hAnsiTheme="minorHAnsi"/>
          <w:szCs w:val="24"/>
          <w:lang w:eastAsia="en-AU"/>
        </w:rPr>
      </w:pPr>
      <w:r w:rsidRPr="00CB5367">
        <w:rPr>
          <w:rFonts w:asciiTheme="minorHAnsi" w:eastAsia="MS Mincho" w:hAnsiTheme="minorHAnsi"/>
          <w:szCs w:val="24"/>
          <w:lang w:eastAsia="en-AU"/>
        </w:rPr>
        <w:t>Analysis of the streamlined authority code data indicate</w:t>
      </w:r>
      <w:r>
        <w:rPr>
          <w:rFonts w:asciiTheme="minorHAnsi" w:eastAsia="MS Mincho" w:hAnsiTheme="minorHAnsi"/>
          <w:szCs w:val="24"/>
          <w:lang w:eastAsia="en-AU"/>
        </w:rPr>
        <w:t>d</w:t>
      </w:r>
      <w:r w:rsidRPr="00CB5367">
        <w:rPr>
          <w:rFonts w:asciiTheme="minorHAnsi" w:eastAsia="MS Mincho" w:hAnsiTheme="minorHAnsi"/>
          <w:szCs w:val="24"/>
          <w:lang w:eastAsia="en-AU"/>
        </w:rPr>
        <w:t xml:space="preserve"> that </w:t>
      </w:r>
      <w:r>
        <w:rPr>
          <w:rFonts w:asciiTheme="minorHAnsi" w:eastAsia="MS Mincho" w:hAnsiTheme="minorHAnsi"/>
          <w:szCs w:val="24"/>
          <w:lang w:eastAsia="en-AU"/>
        </w:rPr>
        <w:t>the majority of use of ezetimibe as an ‘</w:t>
      </w:r>
      <w:r w:rsidRPr="00CB5367">
        <w:rPr>
          <w:rFonts w:asciiTheme="minorHAnsi" w:eastAsia="MS Mincho" w:hAnsiTheme="minorHAnsi"/>
          <w:szCs w:val="24"/>
          <w:lang w:eastAsia="en-AU"/>
        </w:rPr>
        <w:t>add on</w:t>
      </w:r>
      <w:r>
        <w:rPr>
          <w:rFonts w:asciiTheme="minorHAnsi" w:eastAsia="MS Mincho" w:hAnsiTheme="minorHAnsi"/>
          <w:szCs w:val="24"/>
          <w:lang w:eastAsia="en-AU"/>
        </w:rPr>
        <w:t>’</w:t>
      </w:r>
      <w:r w:rsidRPr="00CB5367">
        <w:rPr>
          <w:rFonts w:asciiTheme="minorHAnsi" w:eastAsia="MS Mincho" w:hAnsiTheme="minorHAnsi"/>
          <w:szCs w:val="24"/>
          <w:lang w:eastAsia="en-AU"/>
        </w:rPr>
        <w:t xml:space="preserve"> to a statin</w:t>
      </w:r>
      <w:r>
        <w:rPr>
          <w:rFonts w:asciiTheme="minorHAnsi" w:eastAsia="MS Mincho" w:hAnsiTheme="minorHAnsi"/>
          <w:szCs w:val="24"/>
          <w:lang w:eastAsia="en-AU"/>
        </w:rPr>
        <w:t xml:space="preserve"> was</w:t>
      </w:r>
      <w:r w:rsidRPr="00CB5367">
        <w:rPr>
          <w:rFonts w:asciiTheme="minorHAnsi" w:eastAsia="MS Mincho" w:hAnsiTheme="minorHAnsi"/>
          <w:szCs w:val="24"/>
          <w:lang w:eastAsia="en-AU"/>
        </w:rPr>
        <w:t xml:space="preserve"> in patients inadequately controlled on the maximum tolerated dose of a statin</w:t>
      </w:r>
      <w:r>
        <w:rPr>
          <w:rFonts w:asciiTheme="minorHAnsi" w:eastAsia="MS Mincho" w:hAnsiTheme="minorHAnsi"/>
          <w:szCs w:val="24"/>
          <w:lang w:eastAsia="en-AU"/>
        </w:rPr>
        <w:t>.</w:t>
      </w:r>
    </w:p>
    <w:p w:rsidR="0000686B" w:rsidRPr="00BD4BF2" w:rsidRDefault="0000686B" w:rsidP="00514129">
      <w:pPr>
        <w:spacing w:line="240" w:lineRule="auto"/>
        <w:rPr>
          <w:rFonts w:asciiTheme="minorHAnsi" w:eastAsia="MS Mincho" w:hAnsiTheme="minorHAnsi"/>
          <w:szCs w:val="24"/>
          <w:lang w:eastAsia="en-AU"/>
        </w:rPr>
      </w:pPr>
      <w:r w:rsidRPr="00BD4BF2">
        <w:rPr>
          <w:rFonts w:asciiTheme="minorHAnsi" w:eastAsia="MS Mincho" w:hAnsiTheme="minorHAnsi"/>
          <w:szCs w:val="24"/>
          <w:lang w:eastAsia="en-AU"/>
        </w:rPr>
        <w:t xml:space="preserve">The DUSC questioned whether patients are trialling maximum tolerated doses of a statin prior to commencing on the FDC product, as required for the PBS subsidy for hypercholesterolaemia, but noted that utilisation data alone would not be able to quantify this. </w:t>
      </w:r>
    </w:p>
    <w:p w:rsidR="0000686B" w:rsidRPr="00F53453" w:rsidRDefault="003848A8" w:rsidP="00514129">
      <w:pPr>
        <w:pStyle w:val="Heading3"/>
        <w:jc w:val="left"/>
      </w:pPr>
      <w:bookmarkStart w:id="36" w:name="_Toc482176932"/>
      <w:r>
        <w:t>B.</w:t>
      </w:r>
      <w:r w:rsidR="0000686B" w:rsidRPr="00F53453">
        <w:t>1.3.2</w:t>
      </w:r>
      <w:r w:rsidR="0000686B" w:rsidRPr="00F53453">
        <w:tab/>
        <w:t>PBAC rec</w:t>
      </w:r>
      <w:r w:rsidR="0000686B" w:rsidRPr="00F43D38">
        <w:t>o</w:t>
      </w:r>
      <w:r w:rsidR="0000686B" w:rsidRPr="00F53453">
        <w:t>mmendation</w:t>
      </w:r>
      <w:bookmarkEnd w:id="36"/>
    </w:p>
    <w:p w:rsidR="0000686B" w:rsidRDefault="0000686B" w:rsidP="00514129">
      <w:pPr>
        <w:spacing w:line="240" w:lineRule="auto"/>
        <w:rPr>
          <w:rFonts w:asciiTheme="minorHAnsi" w:hAnsiTheme="minorHAnsi"/>
          <w:bCs/>
        </w:rPr>
      </w:pPr>
      <w:r w:rsidRPr="00CB5367">
        <w:rPr>
          <w:rFonts w:asciiTheme="minorHAnsi" w:hAnsiTheme="minorHAnsi"/>
          <w:bCs/>
        </w:rPr>
        <w:t xml:space="preserve">In August 2015, the PBAC </w:t>
      </w:r>
      <w:r>
        <w:rPr>
          <w:rFonts w:asciiTheme="minorHAnsi" w:hAnsiTheme="minorHAnsi"/>
          <w:bCs/>
        </w:rPr>
        <w:t xml:space="preserve">considered the history of PBAC recommendations to list ezetimibe (as a single preparation or in combination with a statin), the </w:t>
      </w:r>
      <w:r w:rsidRPr="00CB5367">
        <w:rPr>
          <w:rFonts w:asciiTheme="minorHAnsi" w:hAnsiTheme="minorHAnsi"/>
          <w:bCs/>
        </w:rPr>
        <w:t>DUSC utilisation reports</w:t>
      </w:r>
      <w:r>
        <w:rPr>
          <w:rFonts w:asciiTheme="minorHAnsi" w:hAnsiTheme="minorHAnsi"/>
          <w:bCs/>
        </w:rPr>
        <w:t xml:space="preserve"> for ezetimibe</w:t>
      </w:r>
      <w:r w:rsidRPr="00CB5367">
        <w:rPr>
          <w:rFonts w:asciiTheme="minorHAnsi" w:hAnsiTheme="minorHAnsi"/>
          <w:bCs/>
        </w:rPr>
        <w:t>, PBS u</w:t>
      </w:r>
      <w:r>
        <w:rPr>
          <w:rFonts w:asciiTheme="minorHAnsi" w:hAnsiTheme="minorHAnsi"/>
          <w:bCs/>
        </w:rPr>
        <w:t>tilisation</w:t>
      </w:r>
      <w:r w:rsidRPr="00CB5367">
        <w:rPr>
          <w:rFonts w:asciiTheme="minorHAnsi" w:hAnsiTheme="minorHAnsi"/>
          <w:bCs/>
        </w:rPr>
        <w:t xml:space="preserve"> and </w:t>
      </w:r>
      <w:r>
        <w:rPr>
          <w:rFonts w:asciiTheme="minorHAnsi" w:hAnsiTheme="minorHAnsi"/>
          <w:bCs/>
        </w:rPr>
        <w:t xml:space="preserve">financial </w:t>
      </w:r>
      <w:r w:rsidRPr="00CB5367">
        <w:rPr>
          <w:rFonts w:asciiTheme="minorHAnsi" w:hAnsiTheme="minorHAnsi"/>
          <w:bCs/>
        </w:rPr>
        <w:t xml:space="preserve">cost data </w:t>
      </w:r>
      <w:r>
        <w:rPr>
          <w:rFonts w:asciiTheme="minorHAnsi" w:hAnsiTheme="minorHAnsi"/>
          <w:bCs/>
        </w:rPr>
        <w:t xml:space="preserve">and </w:t>
      </w:r>
      <w:r w:rsidRPr="00CB5367">
        <w:rPr>
          <w:rFonts w:asciiTheme="minorHAnsi" w:hAnsiTheme="minorHAnsi"/>
          <w:bCs/>
        </w:rPr>
        <w:t xml:space="preserve">pricing relativity information </w:t>
      </w:r>
      <w:r>
        <w:rPr>
          <w:rFonts w:asciiTheme="minorHAnsi" w:hAnsiTheme="minorHAnsi"/>
          <w:bCs/>
        </w:rPr>
        <w:t>for all PBS listed lipid modifying age</w:t>
      </w:r>
      <w:r w:rsidR="00B94AAC">
        <w:rPr>
          <w:rFonts w:asciiTheme="minorHAnsi" w:hAnsiTheme="minorHAnsi"/>
          <w:bCs/>
        </w:rPr>
        <w:t>nts and recommended that a post-</w:t>
      </w:r>
      <w:r>
        <w:rPr>
          <w:rFonts w:asciiTheme="minorHAnsi" w:hAnsiTheme="minorHAnsi"/>
          <w:bCs/>
        </w:rPr>
        <w:t>review be undertaken.</w:t>
      </w:r>
    </w:p>
    <w:p w:rsidR="0000686B" w:rsidRDefault="0000686B" w:rsidP="00514129">
      <w:pPr>
        <w:spacing w:line="240" w:lineRule="auto"/>
        <w:rPr>
          <w:rFonts w:asciiTheme="minorHAnsi" w:hAnsiTheme="minorHAnsi"/>
          <w:bCs/>
        </w:rPr>
      </w:pPr>
      <w:r w:rsidRPr="006506CA">
        <w:rPr>
          <w:rFonts w:asciiTheme="minorHAnsi" w:hAnsiTheme="minorHAnsi"/>
          <w:bCs/>
        </w:rPr>
        <w:lastRenderedPageBreak/>
        <w:t>On 28 September 201</w:t>
      </w:r>
      <w:r>
        <w:rPr>
          <w:rFonts w:asciiTheme="minorHAnsi" w:hAnsiTheme="minorHAnsi"/>
          <w:bCs/>
        </w:rPr>
        <w:t>5</w:t>
      </w:r>
      <w:r w:rsidRPr="006506CA">
        <w:rPr>
          <w:rFonts w:asciiTheme="minorHAnsi" w:hAnsiTheme="minorHAnsi"/>
          <w:bCs/>
        </w:rPr>
        <w:t>, the Minister for Health approv</w:t>
      </w:r>
      <w:r w:rsidR="00B94AAC">
        <w:rPr>
          <w:rFonts w:asciiTheme="minorHAnsi" w:hAnsiTheme="minorHAnsi"/>
          <w:bCs/>
        </w:rPr>
        <w:t>ed the commencement of the post-</w:t>
      </w:r>
      <w:r w:rsidRPr="006506CA">
        <w:rPr>
          <w:rFonts w:asciiTheme="minorHAnsi" w:hAnsiTheme="minorHAnsi"/>
          <w:bCs/>
        </w:rPr>
        <w:t>market review of ezetimibe, including draft terms of reference.</w:t>
      </w:r>
    </w:p>
    <w:p w:rsidR="0000686B" w:rsidRDefault="0000686B" w:rsidP="00514129">
      <w:pPr>
        <w:spacing w:line="240" w:lineRule="auto"/>
        <w:rPr>
          <w:rFonts w:asciiTheme="minorHAnsi" w:hAnsiTheme="minorHAnsi"/>
          <w:bCs/>
        </w:rPr>
      </w:pPr>
      <w:r w:rsidRPr="006506CA">
        <w:rPr>
          <w:rFonts w:asciiTheme="minorHAnsi" w:hAnsiTheme="minorHAnsi"/>
          <w:bCs/>
        </w:rPr>
        <w:t>The commencement of the review was announced on 16 October 2015 and submissions were sought on the draft terms of reference.</w:t>
      </w:r>
    </w:p>
    <w:p w:rsidR="0000686B" w:rsidRDefault="0000686B" w:rsidP="00514129">
      <w:pPr>
        <w:spacing w:line="240" w:lineRule="auto"/>
        <w:rPr>
          <w:rFonts w:asciiTheme="minorHAnsi" w:hAnsiTheme="minorHAnsi"/>
          <w:bCs/>
        </w:rPr>
      </w:pPr>
      <w:r w:rsidRPr="006506CA">
        <w:rPr>
          <w:rFonts w:asciiTheme="minorHAnsi" w:hAnsiTheme="minorHAnsi"/>
          <w:bCs/>
        </w:rPr>
        <w:t>The PBAC subsequently reviewed stakeholder submissions and finalised the terms of reference on 11 December 201</w:t>
      </w:r>
      <w:r>
        <w:rPr>
          <w:rFonts w:asciiTheme="minorHAnsi" w:hAnsiTheme="minorHAnsi"/>
          <w:bCs/>
        </w:rPr>
        <w:t>5</w:t>
      </w:r>
      <w:r w:rsidRPr="006506CA">
        <w:rPr>
          <w:rFonts w:asciiTheme="minorHAnsi" w:hAnsiTheme="minorHAnsi"/>
          <w:bCs/>
        </w:rPr>
        <w:t>, and the Minister approved the final terms of reference on 24 February 2016.</w:t>
      </w:r>
    </w:p>
    <w:p w:rsidR="0000686B" w:rsidRPr="00032551" w:rsidRDefault="0000686B" w:rsidP="00514129">
      <w:pPr>
        <w:spacing w:line="240" w:lineRule="auto"/>
        <w:rPr>
          <w:rFonts w:asciiTheme="minorHAnsi" w:hAnsiTheme="minorHAnsi"/>
          <w:bCs/>
        </w:rPr>
      </w:pPr>
      <w:r w:rsidRPr="00032551">
        <w:rPr>
          <w:rFonts w:asciiTheme="minorHAnsi" w:hAnsiTheme="minorHAnsi"/>
          <w:bCs/>
        </w:rPr>
        <w:t>Medicines included in the</w:t>
      </w:r>
      <w:r w:rsidR="00B94AAC">
        <w:rPr>
          <w:rFonts w:asciiTheme="minorHAnsi" w:hAnsiTheme="minorHAnsi"/>
          <w:bCs/>
        </w:rPr>
        <w:t xml:space="preserve"> Post-m</w:t>
      </w:r>
      <w:r>
        <w:rPr>
          <w:rFonts w:asciiTheme="minorHAnsi" w:hAnsiTheme="minorHAnsi"/>
          <w:bCs/>
        </w:rPr>
        <w:t xml:space="preserve">arket Review of Ezetimibe </w:t>
      </w:r>
      <w:r w:rsidRPr="00032551">
        <w:rPr>
          <w:rFonts w:asciiTheme="minorHAnsi" w:hAnsiTheme="minorHAnsi"/>
          <w:bCs/>
        </w:rPr>
        <w:t>are:</w:t>
      </w:r>
    </w:p>
    <w:p w:rsidR="0000686B" w:rsidRPr="006506CA" w:rsidRDefault="0000686B" w:rsidP="00514129">
      <w:pPr>
        <w:numPr>
          <w:ilvl w:val="0"/>
          <w:numId w:val="6"/>
        </w:numPr>
        <w:spacing w:after="120" w:line="240" w:lineRule="auto"/>
        <w:ind w:left="425" w:hanging="425"/>
        <w:rPr>
          <w:rFonts w:asciiTheme="minorHAnsi" w:eastAsia="MS Mincho" w:hAnsiTheme="minorHAnsi"/>
          <w:szCs w:val="24"/>
          <w:lang w:eastAsia="en-AU"/>
        </w:rPr>
      </w:pPr>
      <w:r>
        <w:rPr>
          <w:rFonts w:asciiTheme="minorHAnsi" w:eastAsia="MS Mincho" w:hAnsiTheme="minorHAnsi"/>
          <w:szCs w:val="24"/>
          <w:lang w:eastAsia="en-AU"/>
        </w:rPr>
        <w:t>ezetimibe</w:t>
      </w:r>
    </w:p>
    <w:p w:rsidR="0000686B" w:rsidRPr="006506CA" w:rsidRDefault="0000686B" w:rsidP="00514129">
      <w:pPr>
        <w:numPr>
          <w:ilvl w:val="0"/>
          <w:numId w:val="6"/>
        </w:numPr>
        <w:spacing w:after="120" w:line="240" w:lineRule="auto"/>
        <w:ind w:left="425" w:hanging="425"/>
        <w:rPr>
          <w:rFonts w:asciiTheme="minorHAnsi" w:eastAsia="MS Mincho" w:hAnsiTheme="minorHAnsi"/>
          <w:szCs w:val="24"/>
          <w:lang w:eastAsia="en-AU"/>
        </w:rPr>
      </w:pPr>
      <w:r>
        <w:rPr>
          <w:rFonts w:asciiTheme="minorHAnsi" w:eastAsia="MS Mincho" w:hAnsiTheme="minorHAnsi"/>
          <w:szCs w:val="24"/>
          <w:lang w:eastAsia="en-AU"/>
        </w:rPr>
        <w:t>ezetimibe and atorvastatin</w:t>
      </w:r>
    </w:p>
    <w:p w:rsidR="0000686B" w:rsidRPr="006506CA" w:rsidRDefault="0000686B" w:rsidP="00514129">
      <w:pPr>
        <w:numPr>
          <w:ilvl w:val="0"/>
          <w:numId w:val="6"/>
        </w:numPr>
        <w:spacing w:after="120" w:line="240" w:lineRule="auto"/>
        <w:ind w:left="425" w:hanging="425"/>
        <w:rPr>
          <w:rFonts w:asciiTheme="minorHAnsi" w:eastAsia="MS Mincho" w:hAnsiTheme="minorHAnsi"/>
          <w:szCs w:val="24"/>
          <w:lang w:eastAsia="en-AU"/>
        </w:rPr>
      </w:pPr>
      <w:r w:rsidRPr="006506CA">
        <w:rPr>
          <w:rFonts w:asciiTheme="minorHAnsi" w:eastAsia="MS Mincho" w:hAnsiTheme="minorHAnsi"/>
          <w:szCs w:val="24"/>
          <w:lang w:eastAsia="en-AU"/>
        </w:rPr>
        <w:t>ezetimibe and simvastatin</w:t>
      </w:r>
    </w:p>
    <w:p w:rsidR="0000686B" w:rsidRPr="00A90FE3" w:rsidRDefault="0000686B" w:rsidP="00514129">
      <w:pPr>
        <w:numPr>
          <w:ilvl w:val="0"/>
          <w:numId w:val="6"/>
        </w:numPr>
        <w:spacing w:after="120" w:line="240" w:lineRule="auto"/>
        <w:ind w:left="425" w:hanging="425"/>
        <w:rPr>
          <w:rFonts w:asciiTheme="minorHAnsi" w:hAnsiTheme="minorHAnsi"/>
          <w:bCs/>
        </w:rPr>
      </w:pPr>
      <w:r w:rsidRPr="006506CA">
        <w:rPr>
          <w:rFonts w:asciiTheme="minorHAnsi" w:eastAsia="MS Mincho" w:hAnsiTheme="minorHAnsi"/>
          <w:szCs w:val="24"/>
          <w:lang w:eastAsia="en-AU"/>
        </w:rPr>
        <w:t>ezetimibe and rosuvastatin</w:t>
      </w:r>
      <w:r>
        <w:rPr>
          <w:rFonts w:asciiTheme="minorHAnsi" w:hAnsiTheme="minorHAnsi"/>
          <w:bCs/>
        </w:rPr>
        <w:t>.</w:t>
      </w:r>
    </w:p>
    <w:p w:rsidR="0000686B" w:rsidRDefault="0000686B" w:rsidP="00514129">
      <w:pPr>
        <w:spacing w:line="240" w:lineRule="auto"/>
        <w:rPr>
          <w:rFonts w:asciiTheme="minorHAnsi" w:eastAsia="MS Mincho" w:hAnsiTheme="minorHAnsi"/>
          <w:szCs w:val="24"/>
          <w:lang w:eastAsia="en-AU"/>
        </w:rPr>
      </w:pPr>
      <w:r>
        <w:rPr>
          <w:rFonts w:asciiTheme="minorHAnsi" w:eastAsia="MS Mincho" w:hAnsiTheme="minorHAnsi"/>
          <w:szCs w:val="24"/>
          <w:lang w:eastAsia="en-AU"/>
        </w:rPr>
        <w:t>A</w:t>
      </w:r>
      <w:r w:rsidRPr="00032551">
        <w:rPr>
          <w:rFonts w:asciiTheme="minorHAnsi" w:eastAsia="MS Mincho" w:hAnsiTheme="minorHAnsi"/>
          <w:szCs w:val="24"/>
          <w:lang w:eastAsia="en-AU"/>
        </w:rPr>
        <w:t>n overview of the R</w:t>
      </w:r>
      <w:r>
        <w:rPr>
          <w:rFonts w:asciiTheme="minorHAnsi" w:eastAsia="MS Mincho" w:hAnsiTheme="minorHAnsi"/>
          <w:szCs w:val="24"/>
          <w:lang w:eastAsia="en-AU"/>
        </w:rPr>
        <w:t>PBS</w:t>
      </w:r>
      <w:r w:rsidRPr="00032551">
        <w:rPr>
          <w:rFonts w:asciiTheme="minorHAnsi" w:eastAsia="MS Mincho" w:hAnsiTheme="minorHAnsi"/>
          <w:szCs w:val="24"/>
          <w:lang w:eastAsia="en-AU"/>
        </w:rPr>
        <w:t xml:space="preserve">/PBS use and cost </w:t>
      </w:r>
      <w:r>
        <w:rPr>
          <w:rFonts w:asciiTheme="minorHAnsi" w:eastAsia="MS Mincho" w:hAnsiTheme="minorHAnsi"/>
          <w:szCs w:val="24"/>
          <w:lang w:eastAsia="en-AU"/>
        </w:rPr>
        <w:t>for ezetimibe and ezetimibe combination products</w:t>
      </w:r>
      <w:r w:rsidRPr="00032551">
        <w:rPr>
          <w:rFonts w:asciiTheme="minorHAnsi" w:eastAsia="MS Mincho" w:hAnsiTheme="minorHAnsi"/>
          <w:szCs w:val="24"/>
          <w:lang w:eastAsia="en-AU"/>
        </w:rPr>
        <w:t xml:space="preserve"> </w:t>
      </w:r>
      <w:r>
        <w:rPr>
          <w:rFonts w:asciiTheme="minorHAnsi" w:eastAsia="MS Mincho" w:hAnsiTheme="minorHAnsi"/>
          <w:szCs w:val="24"/>
          <w:lang w:eastAsia="en-AU"/>
        </w:rPr>
        <w:t>for the twelve months 1 July 2015 to 30 June 2016 is provided in T</w:t>
      </w:r>
      <w:r w:rsidRPr="00032551">
        <w:rPr>
          <w:rFonts w:asciiTheme="minorHAnsi" w:eastAsia="MS Mincho" w:hAnsiTheme="minorHAnsi"/>
          <w:szCs w:val="24"/>
          <w:lang w:eastAsia="en-AU"/>
        </w:rPr>
        <w:t xml:space="preserve">able </w:t>
      </w:r>
      <w:r>
        <w:rPr>
          <w:rFonts w:asciiTheme="minorHAnsi" w:eastAsia="MS Mincho" w:hAnsiTheme="minorHAnsi"/>
          <w:szCs w:val="24"/>
          <w:lang w:eastAsia="en-AU"/>
        </w:rPr>
        <w:t>2.</w:t>
      </w:r>
    </w:p>
    <w:p w:rsidR="0000686B" w:rsidRPr="00C05C27" w:rsidRDefault="0000686B" w:rsidP="00514129">
      <w:pPr>
        <w:spacing w:after="0" w:line="240" w:lineRule="auto"/>
        <w:rPr>
          <w:rFonts w:asciiTheme="minorHAnsi" w:hAnsiTheme="minorHAnsi"/>
          <w:b/>
          <w:bCs/>
          <w:szCs w:val="24"/>
        </w:rPr>
      </w:pPr>
      <w:r w:rsidRPr="00C05C27">
        <w:rPr>
          <w:rFonts w:asciiTheme="minorHAnsi" w:hAnsiTheme="minorHAnsi"/>
          <w:b/>
          <w:bCs/>
          <w:szCs w:val="24"/>
        </w:rPr>
        <w:t>Table 2: RPBS/PBS Utilisation of ezetimibe and combination products July 2015-June 2016</w:t>
      </w:r>
    </w:p>
    <w:tbl>
      <w:tblPr>
        <w:tblW w:w="0" w:type="auto"/>
        <w:tblLook w:val="04A0" w:firstRow="1" w:lastRow="0" w:firstColumn="1" w:lastColumn="0" w:noHBand="0" w:noVBand="1"/>
      </w:tblPr>
      <w:tblGrid>
        <w:gridCol w:w="2717"/>
        <w:gridCol w:w="1972"/>
        <w:gridCol w:w="2066"/>
        <w:gridCol w:w="1767"/>
      </w:tblGrid>
      <w:tr w:rsidR="0000686B" w:rsidTr="005879E3">
        <w:tc>
          <w:tcPr>
            <w:tcW w:w="2310" w:type="dxa"/>
            <w:shd w:val="clear" w:color="auto" w:fill="BFBFBF" w:themeFill="background1" w:themeFillShade="BF"/>
          </w:tcPr>
          <w:p w:rsidR="0000686B" w:rsidRPr="00D12DB3" w:rsidRDefault="0000686B" w:rsidP="00514129">
            <w:pPr>
              <w:spacing w:before="60" w:after="60"/>
              <w:rPr>
                <w:rFonts w:asciiTheme="minorHAnsi" w:eastAsia="MS Mincho" w:hAnsiTheme="minorHAnsi"/>
                <w:b/>
              </w:rPr>
            </w:pPr>
            <w:r w:rsidRPr="00D12DB3">
              <w:rPr>
                <w:rFonts w:asciiTheme="minorHAnsi" w:hAnsiTheme="minorHAnsi"/>
                <w:b/>
                <w:bCs/>
              </w:rPr>
              <w:t>Medicine</w:t>
            </w:r>
          </w:p>
        </w:tc>
        <w:tc>
          <w:tcPr>
            <w:tcW w:w="2310" w:type="dxa"/>
            <w:shd w:val="clear" w:color="auto" w:fill="BFBFBF" w:themeFill="background1" w:themeFillShade="BF"/>
          </w:tcPr>
          <w:p w:rsidR="0000686B" w:rsidRPr="00D12DB3" w:rsidRDefault="0000686B" w:rsidP="00514129">
            <w:pPr>
              <w:spacing w:before="60" w:after="60"/>
              <w:rPr>
                <w:rFonts w:asciiTheme="minorHAnsi" w:eastAsia="MS Mincho" w:hAnsiTheme="minorHAnsi"/>
                <w:b/>
              </w:rPr>
            </w:pPr>
            <w:r w:rsidRPr="00D12DB3">
              <w:rPr>
                <w:rFonts w:asciiTheme="minorHAnsi" w:hAnsiTheme="minorHAnsi"/>
                <w:b/>
                <w:bCs/>
              </w:rPr>
              <w:t>Prescriptions dispensed</w:t>
            </w:r>
          </w:p>
        </w:tc>
        <w:tc>
          <w:tcPr>
            <w:tcW w:w="2311" w:type="dxa"/>
            <w:shd w:val="clear" w:color="auto" w:fill="BFBFBF" w:themeFill="background1" w:themeFillShade="BF"/>
          </w:tcPr>
          <w:p w:rsidR="0000686B" w:rsidRPr="00D12DB3" w:rsidRDefault="0000686B" w:rsidP="00514129">
            <w:pPr>
              <w:spacing w:before="60" w:after="60"/>
              <w:rPr>
                <w:rFonts w:asciiTheme="minorHAnsi" w:eastAsia="MS Mincho" w:hAnsiTheme="minorHAnsi"/>
                <w:b/>
              </w:rPr>
            </w:pPr>
            <w:r w:rsidRPr="00D12DB3">
              <w:rPr>
                <w:rFonts w:asciiTheme="minorHAnsi" w:hAnsiTheme="minorHAnsi"/>
                <w:b/>
                <w:bCs/>
              </w:rPr>
              <w:t>Benefits</w:t>
            </w:r>
          </w:p>
        </w:tc>
        <w:tc>
          <w:tcPr>
            <w:tcW w:w="2311" w:type="dxa"/>
            <w:shd w:val="clear" w:color="auto" w:fill="BFBFBF" w:themeFill="background1" w:themeFillShade="BF"/>
          </w:tcPr>
          <w:p w:rsidR="0000686B" w:rsidRPr="00D12DB3" w:rsidRDefault="0000686B" w:rsidP="00514129">
            <w:pPr>
              <w:spacing w:before="60" w:after="60"/>
              <w:rPr>
                <w:rFonts w:asciiTheme="minorHAnsi" w:eastAsia="MS Mincho" w:hAnsiTheme="minorHAnsi"/>
                <w:b/>
              </w:rPr>
            </w:pPr>
            <w:r w:rsidRPr="00D12DB3">
              <w:rPr>
                <w:rFonts w:asciiTheme="minorHAnsi" w:hAnsiTheme="minorHAnsi"/>
                <w:b/>
                <w:bCs/>
              </w:rPr>
              <w:t>Patients</w:t>
            </w:r>
          </w:p>
        </w:tc>
      </w:tr>
      <w:tr w:rsidR="0000686B" w:rsidTr="005879E3">
        <w:tc>
          <w:tcPr>
            <w:tcW w:w="2310" w:type="dxa"/>
          </w:tcPr>
          <w:p w:rsidR="0000686B" w:rsidRPr="00E11D43" w:rsidRDefault="0000686B" w:rsidP="00514129">
            <w:pPr>
              <w:spacing w:before="60" w:after="60"/>
              <w:rPr>
                <w:rFonts w:asciiTheme="minorHAnsi" w:eastAsia="MS Mincho" w:hAnsiTheme="minorHAnsi"/>
              </w:rPr>
            </w:pPr>
            <w:r w:rsidRPr="00E11D43">
              <w:rPr>
                <w:rFonts w:asciiTheme="minorHAnsi" w:hAnsiTheme="minorHAnsi"/>
                <w:bCs/>
                <w:color w:val="000000"/>
              </w:rPr>
              <w:t>Ezetimibe</w:t>
            </w:r>
          </w:p>
        </w:tc>
        <w:tc>
          <w:tcPr>
            <w:tcW w:w="2310" w:type="dxa"/>
          </w:tcPr>
          <w:p w:rsidR="0000686B" w:rsidRPr="00E11D43" w:rsidRDefault="0000686B" w:rsidP="00514129">
            <w:pPr>
              <w:spacing w:before="60" w:after="60"/>
              <w:rPr>
                <w:rFonts w:asciiTheme="minorHAnsi" w:eastAsia="MS Mincho" w:hAnsiTheme="minorHAnsi"/>
                <w:b/>
                <w:i/>
                <w:color w:val="000000"/>
                <w:u w:val="single"/>
              </w:rPr>
            </w:pPr>
            <w:r w:rsidRPr="00E11D43">
              <w:rPr>
                <w:rFonts w:asciiTheme="minorHAnsi" w:hAnsiTheme="minorHAnsi"/>
                <w:bCs/>
                <w:color w:val="000000"/>
              </w:rPr>
              <w:t>1,190,359</w:t>
            </w:r>
          </w:p>
        </w:tc>
        <w:tc>
          <w:tcPr>
            <w:tcW w:w="2311" w:type="dxa"/>
          </w:tcPr>
          <w:p w:rsidR="0000686B" w:rsidRPr="00E11D43" w:rsidRDefault="0000686B" w:rsidP="00514129">
            <w:pPr>
              <w:spacing w:before="60" w:after="60"/>
              <w:rPr>
                <w:rFonts w:asciiTheme="minorHAnsi" w:eastAsia="MS Mincho" w:hAnsiTheme="minorHAnsi"/>
                <w:b/>
                <w:i/>
                <w:color w:val="000000"/>
                <w:u w:val="single"/>
              </w:rPr>
            </w:pPr>
            <w:r w:rsidRPr="00E11D43">
              <w:rPr>
                <w:rFonts w:asciiTheme="minorHAnsi" w:hAnsiTheme="minorHAnsi"/>
                <w:bCs/>
                <w:color w:val="000000"/>
              </w:rPr>
              <w:t>$66,752,970.67</w:t>
            </w:r>
          </w:p>
        </w:tc>
        <w:tc>
          <w:tcPr>
            <w:tcW w:w="2311" w:type="dxa"/>
          </w:tcPr>
          <w:p w:rsidR="0000686B" w:rsidRPr="00E11D43" w:rsidRDefault="0000686B" w:rsidP="00514129">
            <w:pPr>
              <w:spacing w:before="60" w:after="60"/>
              <w:rPr>
                <w:rFonts w:asciiTheme="minorHAnsi" w:eastAsia="MS Mincho" w:hAnsiTheme="minorHAnsi"/>
                <w:b/>
                <w:i/>
                <w:color w:val="000000"/>
                <w:u w:val="single"/>
              </w:rPr>
            </w:pPr>
            <w:r w:rsidRPr="00E11D43">
              <w:rPr>
                <w:rFonts w:asciiTheme="minorHAnsi" w:hAnsiTheme="minorHAnsi"/>
                <w:bCs/>
                <w:color w:val="000000"/>
              </w:rPr>
              <w:t>446,748</w:t>
            </w:r>
          </w:p>
        </w:tc>
      </w:tr>
      <w:tr w:rsidR="0000686B" w:rsidTr="005879E3">
        <w:tc>
          <w:tcPr>
            <w:tcW w:w="2310" w:type="dxa"/>
          </w:tcPr>
          <w:p w:rsidR="0000686B" w:rsidRPr="00E11D43" w:rsidRDefault="0000686B" w:rsidP="00514129">
            <w:pPr>
              <w:spacing w:before="60" w:after="60"/>
              <w:rPr>
                <w:rFonts w:asciiTheme="minorHAnsi" w:eastAsia="MS Mincho" w:hAnsiTheme="minorHAnsi"/>
                <w:b/>
                <w:i/>
                <w:color w:val="000000"/>
                <w:u w:val="single"/>
              </w:rPr>
            </w:pPr>
            <w:r w:rsidRPr="00E11D43">
              <w:rPr>
                <w:rFonts w:asciiTheme="minorHAnsi" w:hAnsiTheme="minorHAnsi"/>
                <w:bCs/>
                <w:color w:val="000000"/>
              </w:rPr>
              <w:t>Ezetimibe + Atorvastatin</w:t>
            </w:r>
          </w:p>
        </w:tc>
        <w:tc>
          <w:tcPr>
            <w:tcW w:w="2310" w:type="dxa"/>
          </w:tcPr>
          <w:p w:rsidR="0000686B" w:rsidRPr="00E11D43" w:rsidRDefault="0000686B" w:rsidP="00514129">
            <w:pPr>
              <w:spacing w:before="60" w:after="60"/>
              <w:rPr>
                <w:rFonts w:asciiTheme="minorHAnsi" w:eastAsia="MS Mincho" w:hAnsiTheme="minorHAnsi"/>
                <w:b/>
                <w:i/>
                <w:color w:val="000000"/>
                <w:u w:val="single"/>
              </w:rPr>
            </w:pPr>
            <w:r w:rsidRPr="00E11D43">
              <w:rPr>
                <w:rFonts w:asciiTheme="minorHAnsi" w:hAnsiTheme="minorHAnsi"/>
                <w:bCs/>
                <w:color w:val="000000"/>
              </w:rPr>
              <w:t>191,819</w:t>
            </w:r>
          </w:p>
        </w:tc>
        <w:tc>
          <w:tcPr>
            <w:tcW w:w="2311" w:type="dxa"/>
          </w:tcPr>
          <w:p w:rsidR="0000686B" w:rsidRPr="00E11D43" w:rsidRDefault="0000686B" w:rsidP="00514129">
            <w:pPr>
              <w:spacing w:before="60" w:after="60"/>
              <w:rPr>
                <w:rFonts w:asciiTheme="minorHAnsi" w:eastAsia="MS Mincho" w:hAnsiTheme="minorHAnsi"/>
                <w:b/>
                <w:i/>
                <w:color w:val="000000"/>
                <w:u w:val="single"/>
              </w:rPr>
            </w:pPr>
            <w:r w:rsidRPr="00E11D43">
              <w:rPr>
                <w:rFonts w:asciiTheme="minorHAnsi" w:hAnsiTheme="minorHAnsi"/>
                <w:bCs/>
                <w:color w:val="000000"/>
              </w:rPr>
              <w:t>$11,025,824.62</w:t>
            </w:r>
          </w:p>
        </w:tc>
        <w:tc>
          <w:tcPr>
            <w:tcW w:w="2311" w:type="dxa"/>
          </w:tcPr>
          <w:p w:rsidR="0000686B" w:rsidRPr="00E11D43" w:rsidRDefault="0000686B" w:rsidP="00514129">
            <w:pPr>
              <w:spacing w:before="60" w:after="60"/>
              <w:rPr>
                <w:rFonts w:asciiTheme="minorHAnsi" w:eastAsia="MS Mincho" w:hAnsiTheme="minorHAnsi"/>
                <w:b/>
                <w:i/>
                <w:color w:val="000000"/>
                <w:u w:val="single"/>
              </w:rPr>
            </w:pPr>
            <w:r w:rsidRPr="00E11D43">
              <w:rPr>
                <w:rFonts w:asciiTheme="minorHAnsi" w:hAnsiTheme="minorHAnsi"/>
                <w:bCs/>
                <w:color w:val="000000"/>
              </w:rPr>
              <w:t>80,832</w:t>
            </w:r>
          </w:p>
        </w:tc>
      </w:tr>
      <w:tr w:rsidR="0000686B" w:rsidTr="005879E3">
        <w:tc>
          <w:tcPr>
            <w:tcW w:w="2310" w:type="dxa"/>
          </w:tcPr>
          <w:p w:rsidR="0000686B" w:rsidRPr="00E11D43" w:rsidRDefault="0000686B" w:rsidP="00514129">
            <w:pPr>
              <w:spacing w:before="60" w:after="60"/>
              <w:rPr>
                <w:rFonts w:asciiTheme="minorHAnsi" w:eastAsia="MS Mincho" w:hAnsiTheme="minorHAnsi"/>
                <w:b/>
                <w:i/>
                <w:color w:val="000000"/>
                <w:u w:val="single"/>
              </w:rPr>
            </w:pPr>
            <w:r w:rsidRPr="00E11D43">
              <w:rPr>
                <w:rFonts w:asciiTheme="minorHAnsi" w:hAnsiTheme="minorHAnsi"/>
                <w:bCs/>
                <w:color w:val="000000"/>
              </w:rPr>
              <w:t>Ezetimibe + Simvastatin</w:t>
            </w:r>
          </w:p>
        </w:tc>
        <w:tc>
          <w:tcPr>
            <w:tcW w:w="2310" w:type="dxa"/>
          </w:tcPr>
          <w:p w:rsidR="0000686B" w:rsidRPr="00E11D43" w:rsidRDefault="0000686B" w:rsidP="00514129">
            <w:pPr>
              <w:spacing w:before="60" w:after="60"/>
              <w:rPr>
                <w:rFonts w:asciiTheme="minorHAnsi" w:eastAsia="MS Mincho" w:hAnsiTheme="minorHAnsi"/>
                <w:b/>
                <w:i/>
                <w:color w:val="000000"/>
                <w:u w:val="single"/>
              </w:rPr>
            </w:pPr>
            <w:r w:rsidRPr="00E11D43">
              <w:rPr>
                <w:rFonts w:asciiTheme="minorHAnsi" w:hAnsiTheme="minorHAnsi"/>
                <w:bCs/>
                <w:color w:val="000000"/>
              </w:rPr>
              <w:t>985,546</w:t>
            </w:r>
          </w:p>
        </w:tc>
        <w:tc>
          <w:tcPr>
            <w:tcW w:w="2311" w:type="dxa"/>
          </w:tcPr>
          <w:p w:rsidR="0000686B" w:rsidRPr="00E11D43" w:rsidRDefault="0000686B" w:rsidP="00514129">
            <w:pPr>
              <w:spacing w:before="60" w:after="60"/>
              <w:rPr>
                <w:rFonts w:asciiTheme="minorHAnsi" w:eastAsia="MS Mincho" w:hAnsiTheme="minorHAnsi"/>
                <w:b/>
                <w:i/>
                <w:color w:val="000000"/>
                <w:u w:val="single"/>
              </w:rPr>
            </w:pPr>
            <w:r w:rsidRPr="00E11D43">
              <w:rPr>
                <w:rFonts w:asciiTheme="minorHAnsi" w:hAnsiTheme="minorHAnsi"/>
                <w:bCs/>
                <w:color w:val="000000"/>
              </w:rPr>
              <w:t>$58,206,343.03</w:t>
            </w:r>
          </w:p>
        </w:tc>
        <w:tc>
          <w:tcPr>
            <w:tcW w:w="2311" w:type="dxa"/>
          </w:tcPr>
          <w:p w:rsidR="0000686B" w:rsidRPr="00E11D43" w:rsidRDefault="0000686B" w:rsidP="00514129">
            <w:pPr>
              <w:spacing w:before="60" w:after="60"/>
              <w:rPr>
                <w:rFonts w:asciiTheme="minorHAnsi" w:eastAsia="MS Mincho" w:hAnsiTheme="minorHAnsi"/>
                <w:b/>
                <w:i/>
                <w:color w:val="000000"/>
                <w:u w:val="single"/>
              </w:rPr>
            </w:pPr>
            <w:r w:rsidRPr="00E11D43">
              <w:rPr>
                <w:rFonts w:asciiTheme="minorHAnsi" w:hAnsiTheme="minorHAnsi"/>
                <w:bCs/>
                <w:color w:val="000000"/>
              </w:rPr>
              <w:t>364,862</w:t>
            </w:r>
          </w:p>
        </w:tc>
      </w:tr>
      <w:tr w:rsidR="0000686B" w:rsidTr="005879E3">
        <w:tc>
          <w:tcPr>
            <w:tcW w:w="2310" w:type="dxa"/>
          </w:tcPr>
          <w:p w:rsidR="0000686B" w:rsidRPr="00E11D43" w:rsidRDefault="0000686B" w:rsidP="00514129">
            <w:pPr>
              <w:spacing w:before="60" w:after="60"/>
              <w:rPr>
                <w:rFonts w:asciiTheme="minorHAnsi" w:eastAsia="MS Mincho" w:hAnsiTheme="minorHAnsi"/>
                <w:b/>
                <w:i/>
                <w:color w:val="000000"/>
                <w:u w:val="single"/>
              </w:rPr>
            </w:pPr>
            <w:r w:rsidRPr="00E11D43">
              <w:rPr>
                <w:rFonts w:asciiTheme="minorHAnsi" w:hAnsiTheme="minorHAnsi"/>
                <w:bCs/>
                <w:color w:val="000000"/>
              </w:rPr>
              <w:t>Ezetimibe  +  rosuvastatin</w:t>
            </w:r>
          </w:p>
        </w:tc>
        <w:tc>
          <w:tcPr>
            <w:tcW w:w="2310" w:type="dxa"/>
          </w:tcPr>
          <w:p w:rsidR="0000686B" w:rsidRPr="00E11D43" w:rsidRDefault="0000686B" w:rsidP="00514129">
            <w:pPr>
              <w:spacing w:before="60" w:after="60"/>
              <w:rPr>
                <w:rFonts w:asciiTheme="minorHAnsi" w:eastAsia="MS Mincho" w:hAnsiTheme="minorHAnsi"/>
                <w:b/>
                <w:i/>
                <w:color w:val="000000"/>
                <w:u w:val="single"/>
              </w:rPr>
            </w:pPr>
            <w:r w:rsidRPr="00E11D43">
              <w:rPr>
                <w:rFonts w:asciiTheme="minorHAnsi" w:hAnsiTheme="minorHAnsi"/>
                <w:bCs/>
                <w:color w:val="000000"/>
              </w:rPr>
              <w:t>199,470</w:t>
            </w:r>
          </w:p>
        </w:tc>
        <w:tc>
          <w:tcPr>
            <w:tcW w:w="2311" w:type="dxa"/>
          </w:tcPr>
          <w:p w:rsidR="0000686B" w:rsidRPr="00E11D43" w:rsidRDefault="0000686B" w:rsidP="00514129">
            <w:pPr>
              <w:spacing w:before="60" w:after="60"/>
              <w:rPr>
                <w:rFonts w:asciiTheme="minorHAnsi" w:eastAsia="MS Mincho" w:hAnsiTheme="minorHAnsi"/>
                <w:b/>
                <w:i/>
                <w:color w:val="000000"/>
                <w:u w:val="single"/>
              </w:rPr>
            </w:pPr>
            <w:r w:rsidRPr="00E11D43">
              <w:rPr>
                <w:rFonts w:asciiTheme="minorHAnsi" w:hAnsiTheme="minorHAnsi"/>
                <w:bCs/>
                <w:color w:val="000000"/>
              </w:rPr>
              <w:t>$11,471,063.27</w:t>
            </w:r>
          </w:p>
        </w:tc>
        <w:tc>
          <w:tcPr>
            <w:tcW w:w="2311" w:type="dxa"/>
          </w:tcPr>
          <w:p w:rsidR="0000686B" w:rsidRPr="00E11D43" w:rsidRDefault="0000686B" w:rsidP="00514129">
            <w:pPr>
              <w:spacing w:before="60" w:after="60"/>
              <w:rPr>
                <w:rFonts w:asciiTheme="minorHAnsi" w:eastAsia="MS Mincho" w:hAnsiTheme="minorHAnsi"/>
                <w:b/>
                <w:i/>
                <w:color w:val="000000"/>
                <w:u w:val="single"/>
              </w:rPr>
            </w:pPr>
            <w:r w:rsidRPr="00E11D43">
              <w:rPr>
                <w:rFonts w:asciiTheme="minorHAnsi" w:hAnsiTheme="minorHAnsi"/>
                <w:bCs/>
                <w:color w:val="000000"/>
              </w:rPr>
              <w:t>81,737</w:t>
            </w:r>
          </w:p>
        </w:tc>
      </w:tr>
      <w:tr w:rsidR="0000686B" w:rsidRPr="00601F67" w:rsidTr="005879E3">
        <w:tc>
          <w:tcPr>
            <w:tcW w:w="2310" w:type="dxa"/>
          </w:tcPr>
          <w:p w:rsidR="0000686B" w:rsidRPr="00E11D43" w:rsidRDefault="0000686B" w:rsidP="00514129">
            <w:pPr>
              <w:spacing w:before="60" w:after="60"/>
              <w:rPr>
                <w:rFonts w:asciiTheme="minorHAnsi" w:eastAsia="MS Mincho" w:hAnsiTheme="minorHAnsi"/>
                <w:b/>
                <w:i/>
                <w:color w:val="000000"/>
                <w:u w:val="single"/>
              </w:rPr>
            </w:pPr>
            <w:r w:rsidRPr="00E11D43">
              <w:rPr>
                <w:rFonts w:asciiTheme="minorHAnsi" w:hAnsiTheme="minorHAnsi"/>
                <w:b/>
                <w:bCs/>
                <w:color w:val="000000"/>
              </w:rPr>
              <w:t>Total</w:t>
            </w:r>
          </w:p>
        </w:tc>
        <w:tc>
          <w:tcPr>
            <w:tcW w:w="2310" w:type="dxa"/>
          </w:tcPr>
          <w:p w:rsidR="0000686B" w:rsidRPr="00E11D43" w:rsidRDefault="0000686B" w:rsidP="00514129">
            <w:pPr>
              <w:spacing w:before="60" w:after="60"/>
              <w:rPr>
                <w:rFonts w:asciiTheme="minorHAnsi" w:hAnsiTheme="minorHAnsi"/>
                <w:b/>
                <w:bCs/>
                <w:i/>
                <w:color w:val="000000"/>
                <w:u w:val="single"/>
              </w:rPr>
            </w:pPr>
            <w:r w:rsidRPr="00E11D43">
              <w:rPr>
                <w:rFonts w:asciiTheme="minorHAnsi" w:hAnsiTheme="minorHAnsi"/>
                <w:b/>
                <w:bCs/>
                <w:color w:val="000000"/>
              </w:rPr>
              <w:t>2,567,194</w:t>
            </w:r>
          </w:p>
        </w:tc>
        <w:tc>
          <w:tcPr>
            <w:tcW w:w="2311" w:type="dxa"/>
          </w:tcPr>
          <w:p w:rsidR="0000686B" w:rsidRPr="00E11D43" w:rsidRDefault="0000686B" w:rsidP="00514129">
            <w:pPr>
              <w:spacing w:before="60" w:after="60"/>
              <w:rPr>
                <w:rFonts w:asciiTheme="minorHAnsi" w:hAnsiTheme="minorHAnsi"/>
                <w:b/>
                <w:bCs/>
                <w:i/>
                <w:color w:val="000000"/>
                <w:u w:val="single"/>
              </w:rPr>
            </w:pPr>
            <w:r w:rsidRPr="00E11D43">
              <w:rPr>
                <w:rFonts w:asciiTheme="minorHAnsi" w:hAnsiTheme="minorHAnsi"/>
                <w:b/>
                <w:bCs/>
                <w:color w:val="000000"/>
              </w:rPr>
              <w:t>147,456,202</w:t>
            </w:r>
          </w:p>
        </w:tc>
        <w:tc>
          <w:tcPr>
            <w:tcW w:w="2311" w:type="dxa"/>
          </w:tcPr>
          <w:p w:rsidR="0000686B" w:rsidRPr="00E11D43" w:rsidRDefault="0000686B" w:rsidP="00514129">
            <w:pPr>
              <w:spacing w:before="60" w:after="60"/>
              <w:rPr>
                <w:rFonts w:asciiTheme="minorHAnsi" w:hAnsiTheme="minorHAnsi"/>
                <w:b/>
                <w:bCs/>
                <w:i/>
                <w:color w:val="000000"/>
                <w:u w:val="single"/>
              </w:rPr>
            </w:pPr>
            <w:r w:rsidRPr="00E11D43">
              <w:rPr>
                <w:rFonts w:asciiTheme="minorHAnsi" w:hAnsiTheme="minorHAnsi"/>
                <w:b/>
                <w:bCs/>
                <w:color w:val="000000"/>
              </w:rPr>
              <w:t>974,179</w:t>
            </w:r>
          </w:p>
        </w:tc>
      </w:tr>
    </w:tbl>
    <w:p w:rsidR="0000686B" w:rsidRPr="00E11D43" w:rsidRDefault="0000686B" w:rsidP="00514129">
      <w:pPr>
        <w:pStyle w:val="Notes"/>
        <w:keepNext/>
        <w:keepLines/>
        <w:spacing w:after="200"/>
        <w:jc w:val="both"/>
        <w:rPr>
          <w:rFonts w:asciiTheme="minorHAnsi" w:hAnsiTheme="minorHAnsi"/>
        </w:rPr>
      </w:pPr>
      <w:r w:rsidRPr="00E11D43">
        <w:rPr>
          <w:rFonts w:asciiTheme="minorHAnsi" w:hAnsiTheme="minorHAnsi"/>
        </w:rPr>
        <w:t xml:space="preserve">Source: Department of Human Services website accessed 23 November 2016, based on date of supply data </w:t>
      </w:r>
    </w:p>
    <w:p w:rsidR="0000686B" w:rsidRPr="00F53453" w:rsidRDefault="003848A8" w:rsidP="00514129">
      <w:pPr>
        <w:pStyle w:val="Heading3"/>
        <w:jc w:val="left"/>
      </w:pPr>
      <w:bookmarkStart w:id="37" w:name="_Toc482176933"/>
      <w:r>
        <w:t>B.</w:t>
      </w:r>
      <w:r w:rsidR="0000686B" w:rsidRPr="00F53453">
        <w:t>1.3.3</w:t>
      </w:r>
      <w:r w:rsidR="0000686B" w:rsidRPr="00F53453">
        <w:tab/>
        <w:t>Undertaking the Review</w:t>
      </w:r>
      <w:bookmarkEnd w:id="37"/>
    </w:p>
    <w:p w:rsidR="0000686B" w:rsidRPr="00B34830" w:rsidRDefault="009303C6" w:rsidP="00514129">
      <w:pPr>
        <w:pStyle w:val="Heading4"/>
        <w:jc w:val="left"/>
      </w:pPr>
      <w:r>
        <w:t>B.</w:t>
      </w:r>
      <w:r w:rsidR="0000686B" w:rsidRPr="00F53453">
        <w:t>1.3.3.</w:t>
      </w:r>
      <w:r w:rsidR="008B74D7">
        <w:t>1</w:t>
      </w:r>
      <w:r w:rsidR="0000686B" w:rsidRPr="00F53453">
        <w:tab/>
        <w:t>Analysis and evaluation of scientific literature, utilisation data and additional relevant information</w:t>
      </w:r>
      <w:r w:rsidR="0000686B" w:rsidRPr="00B34830">
        <w:t xml:space="preserve"> </w:t>
      </w:r>
    </w:p>
    <w:p w:rsidR="0000686B" w:rsidRDefault="0000686B" w:rsidP="00514129">
      <w:pPr>
        <w:tabs>
          <w:tab w:val="left" w:pos="0"/>
        </w:tabs>
        <w:spacing w:line="240" w:lineRule="auto"/>
        <w:rPr>
          <w:rFonts w:asciiTheme="minorHAnsi" w:hAnsiTheme="minorHAnsi"/>
          <w:bCs/>
          <w:szCs w:val="24"/>
        </w:rPr>
      </w:pPr>
      <w:r>
        <w:rPr>
          <w:rFonts w:asciiTheme="minorHAnsi" w:hAnsiTheme="minorHAnsi"/>
          <w:bCs/>
          <w:szCs w:val="24"/>
        </w:rPr>
        <w:t>T</w:t>
      </w:r>
      <w:r w:rsidRPr="00046125">
        <w:rPr>
          <w:rFonts w:asciiTheme="minorHAnsi" w:hAnsiTheme="minorHAnsi"/>
          <w:bCs/>
          <w:szCs w:val="24"/>
        </w:rPr>
        <w:t xml:space="preserve">he Department of Health (Health) commissioned Deakin University (Deakin) to </w:t>
      </w:r>
      <w:r>
        <w:rPr>
          <w:rFonts w:asciiTheme="minorHAnsi" w:hAnsiTheme="minorHAnsi"/>
          <w:bCs/>
          <w:szCs w:val="24"/>
        </w:rPr>
        <w:t xml:space="preserve">undertake the requested analyses and evaluation of the evidence to meet the terms of reference of the Review. This assessment was to include: </w:t>
      </w:r>
    </w:p>
    <w:p w:rsidR="0000686B" w:rsidRPr="00B67417" w:rsidRDefault="0000686B" w:rsidP="00514129">
      <w:pPr>
        <w:numPr>
          <w:ilvl w:val="0"/>
          <w:numId w:val="6"/>
        </w:numPr>
        <w:spacing w:after="120" w:line="240" w:lineRule="auto"/>
        <w:ind w:left="425" w:hanging="425"/>
        <w:rPr>
          <w:rFonts w:asciiTheme="minorHAnsi" w:eastAsia="MS Mincho" w:hAnsiTheme="minorHAnsi"/>
          <w:szCs w:val="24"/>
          <w:lang w:eastAsia="en-AU"/>
        </w:rPr>
      </w:pPr>
      <w:r w:rsidRPr="00B67417">
        <w:rPr>
          <w:rFonts w:asciiTheme="minorHAnsi" w:eastAsia="MS Mincho" w:hAnsiTheme="minorHAnsi"/>
          <w:szCs w:val="24"/>
          <w:lang w:eastAsia="en-AU"/>
        </w:rPr>
        <w:t xml:space="preserve">Identification and summary of clinical evidence for ezetimibe (administered as monotherapy or combination therapy) in the treatment of hypercholesterolaemia not previously considered by the PBAC. </w:t>
      </w:r>
    </w:p>
    <w:p w:rsidR="0000686B" w:rsidRPr="00B67417" w:rsidRDefault="0000686B" w:rsidP="00514129">
      <w:pPr>
        <w:numPr>
          <w:ilvl w:val="0"/>
          <w:numId w:val="6"/>
        </w:numPr>
        <w:spacing w:after="120" w:line="240" w:lineRule="auto"/>
        <w:ind w:left="425" w:hanging="425"/>
        <w:rPr>
          <w:rFonts w:asciiTheme="minorHAnsi" w:eastAsia="MS Mincho" w:hAnsiTheme="minorHAnsi"/>
          <w:szCs w:val="24"/>
          <w:lang w:eastAsia="en-AU"/>
        </w:rPr>
      </w:pPr>
      <w:r w:rsidRPr="00B67417">
        <w:rPr>
          <w:rFonts w:asciiTheme="minorHAnsi" w:eastAsia="MS Mincho" w:hAnsiTheme="minorHAnsi"/>
          <w:szCs w:val="24"/>
          <w:lang w:eastAsia="en-AU"/>
        </w:rPr>
        <w:lastRenderedPageBreak/>
        <w:t>Identification of published health economic models for ezetimibe and consider the applicability of the model structure and inputs for the Australian health system.</w:t>
      </w:r>
    </w:p>
    <w:p w:rsidR="0000686B" w:rsidRPr="00B67417" w:rsidRDefault="0000686B" w:rsidP="00514129">
      <w:pPr>
        <w:numPr>
          <w:ilvl w:val="0"/>
          <w:numId w:val="6"/>
        </w:numPr>
        <w:spacing w:after="120" w:line="240" w:lineRule="auto"/>
        <w:ind w:left="425" w:hanging="425"/>
        <w:rPr>
          <w:rFonts w:asciiTheme="minorHAnsi" w:eastAsia="MS Mincho" w:hAnsiTheme="minorHAnsi"/>
          <w:szCs w:val="24"/>
          <w:lang w:eastAsia="en-AU"/>
        </w:rPr>
      </w:pPr>
      <w:r w:rsidRPr="00B67417">
        <w:rPr>
          <w:rFonts w:asciiTheme="minorHAnsi" w:eastAsia="MS Mincho" w:hAnsiTheme="minorHAnsi"/>
          <w:szCs w:val="24"/>
          <w:lang w:eastAsia="en-AU"/>
        </w:rPr>
        <w:t>A review of the current utilisation of ezetimibe in Australia, as monotherapy and in combination therapy.</w:t>
      </w:r>
    </w:p>
    <w:p w:rsidR="0000686B" w:rsidRDefault="0000686B" w:rsidP="00514129">
      <w:pPr>
        <w:numPr>
          <w:ilvl w:val="0"/>
          <w:numId w:val="6"/>
        </w:numPr>
        <w:spacing w:after="120" w:line="240" w:lineRule="auto"/>
        <w:ind w:left="425" w:hanging="425"/>
        <w:rPr>
          <w:rFonts w:asciiTheme="minorHAnsi" w:hAnsiTheme="minorHAnsi"/>
          <w:bCs/>
          <w:szCs w:val="24"/>
        </w:rPr>
      </w:pPr>
      <w:r w:rsidRPr="00B67417">
        <w:rPr>
          <w:rFonts w:asciiTheme="minorHAnsi" w:eastAsia="MS Mincho" w:hAnsiTheme="minorHAnsi"/>
          <w:szCs w:val="24"/>
          <w:lang w:eastAsia="en-AU"/>
        </w:rPr>
        <w:t>A review of</w:t>
      </w:r>
      <w:r>
        <w:rPr>
          <w:rFonts w:asciiTheme="minorHAnsi" w:hAnsiTheme="minorHAnsi"/>
          <w:bCs/>
          <w:szCs w:val="24"/>
        </w:rPr>
        <w:t xml:space="preserve"> recent clinical guidelines for the treatment of hypercholesterolaemia.</w:t>
      </w:r>
    </w:p>
    <w:p w:rsidR="0000686B" w:rsidRDefault="0000686B" w:rsidP="00514129">
      <w:pPr>
        <w:spacing w:line="240" w:lineRule="auto"/>
        <w:rPr>
          <w:rFonts w:asciiTheme="minorHAnsi" w:hAnsiTheme="minorHAnsi"/>
          <w:bCs/>
          <w:szCs w:val="24"/>
        </w:rPr>
      </w:pPr>
      <w:r>
        <w:rPr>
          <w:rFonts w:asciiTheme="minorHAnsi" w:hAnsiTheme="minorHAnsi"/>
          <w:bCs/>
          <w:szCs w:val="24"/>
        </w:rPr>
        <w:t xml:space="preserve">The executive summaries of each evaluation report for the terms of reference are provided in Sections 2, 3 and 4. A complete copy of the report is available from the Review Secretariat and published on the </w:t>
      </w:r>
      <w:hyperlink r:id="rId19" w:history="1">
        <w:r w:rsidRPr="00B67417">
          <w:rPr>
            <w:rStyle w:val="Hyperlink"/>
            <w:rFonts w:asciiTheme="minorHAnsi" w:hAnsiTheme="minorHAnsi"/>
            <w:bCs/>
            <w:szCs w:val="24"/>
          </w:rPr>
          <w:t>Review Website</w:t>
        </w:r>
      </w:hyperlink>
      <w:r>
        <w:rPr>
          <w:rFonts w:asciiTheme="minorHAnsi" w:hAnsiTheme="minorHAnsi"/>
          <w:bCs/>
          <w:szCs w:val="24"/>
        </w:rPr>
        <w:t xml:space="preserve">. </w:t>
      </w:r>
    </w:p>
    <w:p w:rsidR="0000686B" w:rsidRPr="00F53453" w:rsidRDefault="009303C6" w:rsidP="00514129">
      <w:pPr>
        <w:pStyle w:val="Heading4"/>
        <w:jc w:val="left"/>
      </w:pPr>
      <w:r>
        <w:t>B.</w:t>
      </w:r>
      <w:r w:rsidR="0000686B" w:rsidRPr="00F53453">
        <w:t>1.3.3.</w:t>
      </w:r>
      <w:r w:rsidR="008B74D7">
        <w:t>2</w:t>
      </w:r>
      <w:r w:rsidR="0000686B" w:rsidRPr="00F53453">
        <w:tab/>
        <w:t>Stakeholder consultation</w:t>
      </w:r>
    </w:p>
    <w:p w:rsidR="0000686B" w:rsidRDefault="0000686B" w:rsidP="00514129">
      <w:pPr>
        <w:spacing w:line="240" w:lineRule="auto"/>
        <w:rPr>
          <w:rFonts w:asciiTheme="minorHAnsi" w:hAnsiTheme="minorHAnsi"/>
          <w:bCs/>
          <w:szCs w:val="24"/>
        </w:rPr>
      </w:pPr>
      <w:r>
        <w:rPr>
          <w:rFonts w:asciiTheme="minorHAnsi" w:hAnsiTheme="minorHAnsi"/>
          <w:bCs/>
          <w:szCs w:val="24"/>
        </w:rPr>
        <w:t>There were four formal opportunities for public stake</w:t>
      </w:r>
      <w:r w:rsidR="00B94AAC">
        <w:rPr>
          <w:rFonts w:asciiTheme="minorHAnsi" w:hAnsiTheme="minorHAnsi"/>
          <w:bCs/>
          <w:szCs w:val="24"/>
        </w:rPr>
        <w:t>holder consultation on the post-</w:t>
      </w:r>
      <w:r>
        <w:rPr>
          <w:rFonts w:asciiTheme="minorHAnsi" w:hAnsiTheme="minorHAnsi"/>
          <w:bCs/>
          <w:szCs w:val="24"/>
        </w:rPr>
        <w:t>market review of Ezetimibe including:</w:t>
      </w:r>
    </w:p>
    <w:p w:rsidR="0000686B" w:rsidRDefault="0000686B" w:rsidP="00514129">
      <w:pPr>
        <w:numPr>
          <w:ilvl w:val="0"/>
          <w:numId w:val="6"/>
        </w:numPr>
        <w:spacing w:after="120" w:line="240" w:lineRule="auto"/>
        <w:ind w:left="425" w:hanging="425"/>
        <w:rPr>
          <w:rFonts w:asciiTheme="minorHAnsi" w:hAnsiTheme="minorHAnsi"/>
          <w:bCs/>
          <w:szCs w:val="24"/>
        </w:rPr>
      </w:pPr>
      <w:r>
        <w:rPr>
          <w:rFonts w:asciiTheme="minorHAnsi" w:hAnsiTheme="minorHAnsi"/>
          <w:bCs/>
          <w:szCs w:val="24"/>
        </w:rPr>
        <w:t>on the draft terms of reference</w:t>
      </w:r>
    </w:p>
    <w:p w:rsidR="0000686B" w:rsidRDefault="0000686B" w:rsidP="00514129">
      <w:pPr>
        <w:numPr>
          <w:ilvl w:val="0"/>
          <w:numId w:val="6"/>
        </w:numPr>
        <w:spacing w:after="120" w:line="240" w:lineRule="auto"/>
        <w:ind w:left="425" w:hanging="425"/>
        <w:rPr>
          <w:rFonts w:asciiTheme="minorHAnsi" w:hAnsiTheme="minorHAnsi"/>
          <w:bCs/>
          <w:szCs w:val="24"/>
        </w:rPr>
      </w:pPr>
      <w:r>
        <w:rPr>
          <w:rFonts w:asciiTheme="minorHAnsi" w:hAnsiTheme="minorHAnsi"/>
          <w:bCs/>
          <w:szCs w:val="24"/>
        </w:rPr>
        <w:t xml:space="preserve">on the Review </w:t>
      </w:r>
    </w:p>
    <w:p w:rsidR="0000686B" w:rsidRDefault="0000686B" w:rsidP="00514129">
      <w:pPr>
        <w:numPr>
          <w:ilvl w:val="0"/>
          <w:numId w:val="6"/>
        </w:numPr>
        <w:spacing w:after="120" w:line="240" w:lineRule="auto"/>
        <w:ind w:left="425" w:hanging="425"/>
        <w:rPr>
          <w:rFonts w:asciiTheme="minorHAnsi" w:hAnsiTheme="minorHAnsi"/>
          <w:bCs/>
          <w:szCs w:val="24"/>
        </w:rPr>
      </w:pPr>
      <w:r>
        <w:rPr>
          <w:rFonts w:asciiTheme="minorHAnsi" w:hAnsiTheme="minorHAnsi"/>
          <w:bCs/>
          <w:szCs w:val="24"/>
        </w:rPr>
        <w:t>through a stakeholder forum</w:t>
      </w:r>
    </w:p>
    <w:p w:rsidR="0000686B" w:rsidRPr="00A4342A" w:rsidRDefault="0000686B" w:rsidP="00514129">
      <w:pPr>
        <w:numPr>
          <w:ilvl w:val="0"/>
          <w:numId w:val="6"/>
        </w:numPr>
        <w:spacing w:after="120" w:line="240" w:lineRule="auto"/>
        <w:ind w:left="425" w:hanging="425"/>
        <w:rPr>
          <w:rFonts w:asciiTheme="minorHAnsi" w:hAnsiTheme="minorHAnsi"/>
          <w:bCs/>
          <w:szCs w:val="24"/>
        </w:rPr>
      </w:pPr>
      <w:r>
        <w:rPr>
          <w:rFonts w:asciiTheme="minorHAnsi" w:hAnsiTheme="minorHAnsi"/>
          <w:bCs/>
          <w:szCs w:val="24"/>
        </w:rPr>
        <w:t>on the draft review report</w:t>
      </w:r>
    </w:p>
    <w:p w:rsidR="0000686B" w:rsidRPr="00F53453" w:rsidRDefault="003848A8" w:rsidP="00920324">
      <w:pPr>
        <w:pStyle w:val="Heading2"/>
      </w:pPr>
      <w:bookmarkStart w:id="38" w:name="_Toc482176934"/>
      <w:r>
        <w:t>B.</w:t>
      </w:r>
      <w:r w:rsidR="0000686B" w:rsidRPr="00F53453">
        <w:t>1.4</w:t>
      </w:r>
      <w:r w:rsidR="0000686B" w:rsidRPr="00F53453">
        <w:tab/>
      </w:r>
      <w:r w:rsidR="0000686B" w:rsidRPr="00F43D38">
        <w:t>Epidemiology</w:t>
      </w:r>
      <w:r w:rsidR="0000686B" w:rsidRPr="00F53453">
        <w:t>-hypercholesterolemia</w:t>
      </w:r>
      <w:bookmarkEnd w:id="38"/>
      <w:r w:rsidR="0000686B" w:rsidRPr="00F53453">
        <w:t xml:space="preserve">  </w:t>
      </w:r>
    </w:p>
    <w:p w:rsidR="0000686B" w:rsidRDefault="0000686B" w:rsidP="00514129">
      <w:pPr>
        <w:spacing w:line="240" w:lineRule="auto"/>
        <w:rPr>
          <w:rFonts w:asciiTheme="minorHAnsi" w:hAnsiTheme="minorHAnsi"/>
        </w:rPr>
      </w:pPr>
      <w:bookmarkStart w:id="39" w:name="_Toc388453111"/>
      <w:r w:rsidRPr="009A7196">
        <w:rPr>
          <w:rFonts w:asciiTheme="minorHAnsi" w:hAnsiTheme="minorHAnsi"/>
        </w:rPr>
        <w:t xml:space="preserve">Large numbers of Australians have high cholesterol </w:t>
      </w:r>
      <w:r w:rsidR="004C1339" w:rsidRPr="004C1339">
        <w:rPr>
          <w:rFonts w:asciiTheme="minorHAnsi" w:eastAsia="Times New Roman" w:hAnsiTheme="minorHAnsi" w:cs="Arial"/>
          <w:color w:val="222222"/>
          <w:szCs w:val="24"/>
          <w:highlight w:val="yellow"/>
          <w:lang w:eastAsia="en-AU"/>
        </w:rPr>
        <w:t>concentrations</w:t>
      </w:r>
      <w:r w:rsidRPr="009A7196">
        <w:rPr>
          <w:rFonts w:asciiTheme="minorHAnsi" w:hAnsiTheme="minorHAnsi"/>
        </w:rPr>
        <w:t xml:space="preserve"> that contribute to greater risk of coronary and vascular disease and premature d</w:t>
      </w:r>
      <w:r>
        <w:rPr>
          <w:rFonts w:asciiTheme="minorHAnsi" w:hAnsiTheme="minorHAnsi"/>
        </w:rPr>
        <w:t>eath. High cholesterol is one</w:t>
      </w:r>
      <w:r w:rsidRPr="009A7196">
        <w:rPr>
          <w:rFonts w:asciiTheme="minorHAnsi" w:hAnsiTheme="minorHAnsi"/>
        </w:rPr>
        <w:t xml:space="preserve"> major risk factor for coronary heart disease, stroke and peripheral vascular disease. </w:t>
      </w:r>
    </w:p>
    <w:p w:rsidR="0000686B" w:rsidRDefault="0000686B" w:rsidP="00514129">
      <w:pPr>
        <w:spacing w:line="240" w:lineRule="auto"/>
        <w:rPr>
          <w:rFonts w:asciiTheme="minorHAnsi" w:hAnsiTheme="minorHAnsi"/>
        </w:rPr>
      </w:pPr>
      <w:r w:rsidRPr="009A7196">
        <w:rPr>
          <w:rFonts w:asciiTheme="minorHAnsi" w:hAnsiTheme="minorHAnsi"/>
        </w:rPr>
        <w:t>In 2003, around 6% of the burden of disease and injury in Australia was attributed to high cholesterol, making it fifth out of fourteen risk factors examined. High blood cholesterol was the second most important contributor to the cardiovascular disease burden (after high blood pressure).</w:t>
      </w:r>
      <w:r w:rsidR="00106006">
        <w:rPr>
          <w:rStyle w:val="EndnoteReference"/>
          <w:rFonts w:asciiTheme="minorHAnsi" w:hAnsiTheme="minorHAnsi"/>
        </w:rPr>
        <w:endnoteReference w:id="18"/>
      </w:r>
      <w:r w:rsidR="00106006">
        <w:rPr>
          <w:rFonts w:asciiTheme="minorHAnsi" w:hAnsiTheme="minorHAnsi"/>
        </w:rPr>
        <w:t xml:space="preserve"> </w:t>
      </w:r>
    </w:p>
    <w:p w:rsidR="00106006" w:rsidRPr="009A7196" w:rsidRDefault="0000686B" w:rsidP="00514129">
      <w:pPr>
        <w:spacing w:line="240" w:lineRule="auto"/>
        <w:rPr>
          <w:rFonts w:asciiTheme="minorHAnsi" w:hAnsiTheme="minorHAnsi"/>
        </w:rPr>
      </w:pPr>
      <w:r w:rsidRPr="009A7196">
        <w:rPr>
          <w:rFonts w:asciiTheme="minorHAnsi" w:hAnsiTheme="minorHAnsi"/>
        </w:rPr>
        <w:t>In 2013, ischaemic heart disease was the leading cause of death in Australia, accounting for around 20,000 deaths; cerebrovascular disease (including stroke) was the third leading cause of death. However, the number of deaths for which heart and cerebrovascular disease were an underlying cause has declined since 2004.</w:t>
      </w:r>
      <w:r w:rsidR="00106006">
        <w:rPr>
          <w:rStyle w:val="EndnoteReference"/>
          <w:rFonts w:asciiTheme="minorHAnsi" w:hAnsiTheme="minorHAnsi"/>
        </w:rPr>
        <w:endnoteReference w:id="19"/>
      </w:r>
      <w:r w:rsidR="00106006" w:rsidRPr="009A7196">
        <w:rPr>
          <w:rFonts w:asciiTheme="minorHAnsi" w:hAnsiTheme="minorHAnsi"/>
        </w:rPr>
        <w:t xml:space="preserve"> </w:t>
      </w:r>
      <w:r w:rsidRPr="009A7196">
        <w:rPr>
          <w:rFonts w:asciiTheme="minorHAnsi" w:hAnsiTheme="minorHAnsi"/>
        </w:rPr>
        <w:t>Cardiovascular disease was also the second leading cause of fatal burden of disease (years of life lost) in Australia in 2010, accounting for 23% of the fatal burden of disease.</w:t>
      </w:r>
      <w:r w:rsidR="00106006">
        <w:rPr>
          <w:rStyle w:val="EndnoteReference"/>
          <w:rFonts w:asciiTheme="minorHAnsi" w:hAnsiTheme="minorHAnsi"/>
        </w:rPr>
        <w:endnoteReference w:id="20"/>
      </w:r>
    </w:p>
    <w:p w:rsidR="0000686B" w:rsidRPr="009A7196" w:rsidRDefault="0000686B" w:rsidP="00514129">
      <w:pPr>
        <w:spacing w:line="240" w:lineRule="auto"/>
        <w:rPr>
          <w:rFonts w:asciiTheme="minorHAnsi" w:hAnsiTheme="minorHAnsi"/>
        </w:rPr>
      </w:pPr>
      <w:r w:rsidRPr="009A7196">
        <w:rPr>
          <w:rFonts w:asciiTheme="minorHAnsi" w:hAnsiTheme="minorHAnsi"/>
        </w:rPr>
        <w:t>The 2011-1</w:t>
      </w:r>
      <w:r>
        <w:rPr>
          <w:rFonts w:asciiTheme="minorHAnsi" w:hAnsiTheme="minorHAnsi"/>
        </w:rPr>
        <w:t>2</w:t>
      </w:r>
      <w:r w:rsidRPr="009A7196">
        <w:rPr>
          <w:rFonts w:asciiTheme="minorHAnsi" w:hAnsiTheme="minorHAnsi"/>
        </w:rPr>
        <w:t xml:space="preserve"> Australian Health Survey showed that 32.8% of Australian adults, or 5.6 million people, had </w:t>
      </w:r>
      <w:r>
        <w:rPr>
          <w:rFonts w:asciiTheme="minorHAnsi" w:hAnsiTheme="minorHAnsi"/>
        </w:rPr>
        <w:t xml:space="preserve">abnormal </w:t>
      </w:r>
      <w:r w:rsidR="004B1768" w:rsidRPr="004C1339">
        <w:rPr>
          <w:rFonts w:asciiTheme="minorHAnsi" w:eastAsia="Times New Roman" w:hAnsiTheme="minorHAnsi" w:cs="Arial"/>
          <w:color w:val="222222"/>
          <w:szCs w:val="24"/>
          <w:highlight w:val="yellow"/>
          <w:lang w:eastAsia="en-AU"/>
        </w:rPr>
        <w:t>concentrations</w:t>
      </w:r>
      <w:r w:rsidR="004B1768" w:rsidRPr="009A7196">
        <w:rPr>
          <w:rFonts w:asciiTheme="minorHAnsi" w:hAnsiTheme="minorHAnsi"/>
        </w:rPr>
        <w:t xml:space="preserve"> </w:t>
      </w:r>
      <w:r w:rsidRPr="009A7196">
        <w:rPr>
          <w:rFonts w:asciiTheme="minorHAnsi" w:hAnsiTheme="minorHAnsi"/>
        </w:rPr>
        <w:t>of total cholesterol</w:t>
      </w:r>
      <w:r>
        <w:rPr>
          <w:rFonts w:asciiTheme="minorHAnsi" w:hAnsiTheme="minorHAnsi"/>
        </w:rPr>
        <w:t xml:space="preserve"> (&gt;5.5mmol/L)</w:t>
      </w:r>
      <w:r w:rsidRPr="009A7196">
        <w:rPr>
          <w:rFonts w:asciiTheme="minorHAnsi" w:hAnsiTheme="minorHAnsi"/>
        </w:rPr>
        <w:t xml:space="preserve">, yet only around one in ten of these people self-reported high cholesterol as a current health condition. In addition, 76.4% of adults aged 45 years and over had dyslipidaemia, i.e. they were taking lipid lowering medication, or had one or more of </w:t>
      </w:r>
      <w:r w:rsidR="00D4030E">
        <w:rPr>
          <w:rFonts w:asciiTheme="minorHAnsi" w:hAnsiTheme="minorHAnsi"/>
        </w:rPr>
        <w:lastRenderedPageBreak/>
        <w:t xml:space="preserve">the following: </w:t>
      </w:r>
      <w:r w:rsidRPr="009A7196">
        <w:rPr>
          <w:rFonts w:asciiTheme="minorHAnsi" w:hAnsiTheme="minorHAnsi"/>
        </w:rPr>
        <w:t>high total cholesterol, low high</w:t>
      </w:r>
      <w:r w:rsidR="00D4030E">
        <w:rPr>
          <w:rFonts w:asciiTheme="minorHAnsi" w:hAnsiTheme="minorHAnsi"/>
        </w:rPr>
        <w:t xml:space="preserve"> -</w:t>
      </w:r>
      <w:r w:rsidRPr="009A7196">
        <w:rPr>
          <w:rFonts w:asciiTheme="minorHAnsi" w:hAnsiTheme="minorHAnsi"/>
        </w:rPr>
        <w:t xml:space="preserve"> density lipoprotein (HDL) cholesterol, high low</w:t>
      </w:r>
      <w:r w:rsidR="00D4030E">
        <w:rPr>
          <w:rFonts w:asciiTheme="minorHAnsi" w:hAnsiTheme="minorHAnsi"/>
        </w:rPr>
        <w:t xml:space="preserve"> -</w:t>
      </w:r>
      <w:r w:rsidRPr="009A7196">
        <w:rPr>
          <w:rFonts w:asciiTheme="minorHAnsi" w:hAnsiTheme="minorHAnsi"/>
        </w:rPr>
        <w:t xml:space="preserve"> density lipoprotein (LDL) cholesterol, or high triglyceride </w:t>
      </w:r>
    </w:p>
    <w:p w:rsidR="0000686B" w:rsidRPr="00F53453" w:rsidRDefault="003848A8" w:rsidP="00514129">
      <w:pPr>
        <w:pStyle w:val="Heading3"/>
        <w:jc w:val="left"/>
      </w:pPr>
      <w:bookmarkStart w:id="40" w:name="_Toc482176935"/>
      <w:r>
        <w:t>B.</w:t>
      </w:r>
      <w:r w:rsidR="0000686B" w:rsidRPr="00F53453">
        <w:t>1.4.1</w:t>
      </w:r>
      <w:r w:rsidR="0000686B" w:rsidRPr="00F53453">
        <w:tab/>
        <w:t>What are cardiovascular disease risk factors</w:t>
      </w:r>
      <w:r w:rsidR="00106006">
        <w:rPr>
          <w:rStyle w:val="EndnoteReference"/>
        </w:rPr>
        <w:endnoteReference w:id="21"/>
      </w:r>
      <w:r w:rsidR="00106006" w:rsidRPr="00F53453">
        <w:t>?</w:t>
      </w:r>
      <w:bookmarkEnd w:id="40"/>
    </w:p>
    <w:p w:rsidR="0000686B" w:rsidRPr="009A7196" w:rsidRDefault="0000686B" w:rsidP="00514129">
      <w:pPr>
        <w:pStyle w:val="removeelement"/>
        <w:spacing w:after="200" w:line="240" w:lineRule="auto"/>
        <w:jc w:val="both"/>
        <w:rPr>
          <w:rFonts w:asciiTheme="minorHAnsi" w:hAnsiTheme="minorHAnsi" w:cs="Arial"/>
          <w:color w:val="auto"/>
          <w:sz w:val="24"/>
          <w:szCs w:val="24"/>
        </w:rPr>
      </w:pPr>
      <w:r w:rsidRPr="009A7196">
        <w:rPr>
          <w:rFonts w:asciiTheme="minorHAnsi" w:hAnsiTheme="minorHAnsi" w:cs="Arial"/>
          <w:color w:val="auto"/>
          <w:sz w:val="24"/>
          <w:szCs w:val="24"/>
        </w:rPr>
        <w:t>Cardiovascular disease includes coronary heart disease (myocardial infarct and angina), stroke, and other vascular disease such as peripheral arterial disease and renovascular disease. When a patient has one of these diseases this is referred to as a cardi</w:t>
      </w:r>
      <w:r>
        <w:rPr>
          <w:rFonts w:asciiTheme="minorHAnsi" w:hAnsiTheme="minorHAnsi" w:cs="Arial"/>
          <w:color w:val="auto"/>
          <w:sz w:val="24"/>
          <w:szCs w:val="24"/>
        </w:rPr>
        <w:t>o</w:t>
      </w:r>
      <w:r w:rsidRPr="009A7196">
        <w:rPr>
          <w:rFonts w:asciiTheme="minorHAnsi" w:hAnsiTheme="minorHAnsi" w:cs="Arial"/>
          <w:color w:val="auto"/>
          <w:sz w:val="24"/>
          <w:szCs w:val="24"/>
        </w:rPr>
        <w:t>vascular event.</w:t>
      </w:r>
    </w:p>
    <w:p w:rsidR="0000686B" w:rsidRPr="009A7196" w:rsidRDefault="0000686B" w:rsidP="00514129">
      <w:pPr>
        <w:pStyle w:val="removeelement"/>
        <w:spacing w:after="200" w:line="240" w:lineRule="auto"/>
        <w:jc w:val="both"/>
        <w:rPr>
          <w:rFonts w:asciiTheme="minorHAnsi" w:hAnsiTheme="minorHAnsi" w:cs="Arial"/>
          <w:color w:val="auto"/>
          <w:sz w:val="24"/>
          <w:szCs w:val="24"/>
        </w:rPr>
      </w:pPr>
      <w:r w:rsidRPr="009A7196">
        <w:rPr>
          <w:rFonts w:asciiTheme="minorHAnsi" w:hAnsiTheme="minorHAnsi" w:cs="Arial"/>
          <w:color w:val="auto"/>
          <w:sz w:val="24"/>
          <w:szCs w:val="24"/>
        </w:rPr>
        <w:t>Longitudinal epidemiological studies have shown that the majority of patients who develop a cardiovascular event have identifiable and modifiable cardiovascular risk factors that are amenable to behavioral and therapeutic (including drug) interventions. Improvements in the management of major risk factors such as smoking, elevated blood pressure (BP) and dyslipidaemia have led to a marked decline in the overall death rate for cardiovascular disease in the past 20 years.</w:t>
      </w:r>
    </w:p>
    <w:p w:rsidR="0000686B" w:rsidRPr="009A7196" w:rsidRDefault="0000686B" w:rsidP="00514129">
      <w:pPr>
        <w:spacing w:line="240" w:lineRule="auto"/>
        <w:rPr>
          <w:rFonts w:asciiTheme="minorHAnsi" w:eastAsia="Times New Roman" w:hAnsiTheme="minorHAnsi" w:cs="Arial"/>
          <w:szCs w:val="24"/>
          <w:lang w:eastAsia="en-AU"/>
        </w:rPr>
      </w:pPr>
      <w:r w:rsidRPr="009A7196">
        <w:rPr>
          <w:rFonts w:asciiTheme="minorHAnsi" w:eastAsia="Times New Roman" w:hAnsiTheme="minorHAnsi" w:cs="Arial"/>
          <w:szCs w:val="24"/>
          <w:lang w:eastAsia="en-AU"/>
        </w:rPr>
        <w:t xml:space="preserve">People with any of the following risk factors are already known to be at high risk of a cardiovascular event </w:t>
      </w:r>
    </w:p>
    <w:p w:rsidR="0000686B" w:rsidRPr="009A7196" w:rsidRDefault="0000686B" w:rsidP="00514129">
      <w:pPr>
        <w:numPr>
          <w:ilvl w:val="0"/>
          <w:numId w:val="9"/>
        </w:numPr>
        <w:spacing w:after="120" w:line="240" w:lineRule="auto"/>
        <w:ind w:left="493" w:hanging="357"/>
        <w:rPr>
          <w:rFonts w:asciiTheme="minorHAnsi" w:eastAsia="Times New Roman" w:hAnsiTheme="minorHAnsi" w:cs="Arial"/>
          <w:szCs w:val="24"/>
          <w:lang w:eastAsia="en-AU"/>
        </w:rPr>
      </w:pPr>
      <w:r w:rsidRPr="009A7196">
        <w:rPr>
          <w:rFonts w:asciiTheme="minorHAnsi" w:eastAsia="Times New Roman" w:hAnsiTheme="minorHAnsi" w:cs="Arial"/>
          <w:szCs w:val="24"/>
          <w:lang w:eastAsia="en-AU"/>
        </w:rPr>
        <w:t>established cardiovascular disease</w:t>
      </w:r>
    </w:p>
    <w:p w:rsidR="0000686B" w:rsidRPr="009A7196" w:rsidRDefault="0000686B" w:rsidP="00514129">
      <w:pPr>
        <w:numPr>
          <w:ilvl w:val="0"/>
          <w:numId w:val="9"/>
        </w:numPr>
        <w:spacing w:after="120" w:line="240" w:lineRule="auto"/>
        <w:ind w:left="493" w:hanging="357"/>
        <w:rPr>
          <w:rFonts w:asciiTheme="minorHAnsi" w:eastAsia="Times New Roman" w:hAnsiTheme="minorHAnsi" w:cs="Arial"/>
          <w:szCs w:val="24"/>
          <w:lang w:eastAsia="en-AU"/>
        </w:rPr>
      </w:pPr>
      <w:r w:rsidRPr="009A7196">
        <w:rPr>
          <w:rFonts w:asciiTheme="minorHAnsi" w:eastAsia="Times New Roman" w:hAnsiTheme="minorHAnsi" w:cs="Arial"/>
          <w:szCs w:val="24"/>
          <w:lang w:eastAsia="en-AU"/>
        </w:rPr>
        <w:t>diabetes and age more than 60 years</w:t>
      </w:r>
    </w:p>
    <w:p w:rsidR="0000686B" w:rsidRPr="009A7196" w:rsidRDefault="0000686B" w:rsidP="00514129">
      <w:pPr>
        <w:numPr>
          <w:ilvl w:val="0"/>
          <w:numId w:val="9"/>
        </w:numPr>
        <w:spacing w:after="120" w:line="240" w:lineRule="auto"/>
        <w:ind w:left="493" w:hanging="357"/>
        <w:rPr>
          <w:rFonts w:asciiTheme="minorHAnsi" w:eastAsia="Times New Roman" w:hAnsiTheme="minorHAnsi" w:cs="Arial"/>
          <w:szCs w:val="24"/>
          <w:lang w:eastAsia="en-AU"/>
        </w:rPr>
      </w:pPr>
      <w:r w:rsidRPr="009A7196">
        <w:rPr>
          <w:rFonts w:asciiTheme="minorHAnsi" w:eastAsia="Times New Roman" w:hAnsiTheme="minorHAnsi" w:cs="Arial"/>
          <w:szCs w:val="24"/>
          <w:lang w:eastAsia="en-AU"/>
        </w:rPr>
        <w:t>diabetes with microalbuminuria (more than 20 micrograms/min, or urinary albumin:</w:t>
      </w:r>
      <w:r>
        <w:rPr>
          <w:rFonts w:asciiTheme="minorHAnsi" w:eastAsia="Times New Roman" w:hAnsiTheme="minorHAnsi" w:cs="Arial"/>
          <w:szCs w:val="24"/>
          <w:lang w:eastAsia="en-AU"/>
        </w:rPr>
        <w:t xml:space="preserve"> </w:t>
      </w:r>
      <w:r w:rsidRPr="009A7196">
        <w:rPr>
          <w:rFonts w:asciiTheme="minorHAnsi" w:eastAsia="Times New Roman" w:hAnsiTheme="minorHAnsi" w:cs="Arial"/>
          <w:szCs w:val="24"/>
          <w:lang w:eastAsia="en-AU"/>
        </w:rPr>
        <w:t>creatinine ratio more than 2.5 mg/mmol for men or more than 3.5 mg/mmol for women)</w:t>
      </w:r>
    </w:p>
    <w:p w:rsidR="0000686B" w:rsidRPr="009A7196" w:rsidRDefault="0000686B" w:rsidP="00514129">
      <w:pPr>
        <w:numPr>
          <w:ilvl w:val="0"/>
          <w:numId w:val="9"/>
        </w:numPr>
        <w:spacing w:after="120" w:line="240" w:lineRule="auto"/>
        <w:ind w:left="493" w:hanging="357"/>
        <w:rPr>
          <w:rFonts w:asciiTheme="minorHAnsi" w:eastAsia="Times New Roman" w:hAnsiTheme="minorHAnsi" w:cs="Arial"/>
          <w:szCs w:val="24"/>
          <w:lang w:eastAsia="en-AU"/>
        </w:rPr>
      </w:pPr>
      <w:r w:rsidRPr="009A7196">
        <w:rPr>
          <w:rFonts w:asciiTheme="minorHAnsi" w:eastAsia="Times New Roman" w:hAnsiTheme="minorHAnsi" w:cs="Arial"/>
          <w:szCs w:val="24"/>
          <w:lang w:eastAsia="en-AU"/>
        </w:rPr>
        <w:t xml:space="preserve">moderate or severe chronic kidney disease (persistent proteinuria or </w:t>
      </w:r>
      <w:r>
        <w:rPr>
          <w:rFonts w:asciiTheme="minorHAnsi" w:eastAsia="Times New Roman" w:hAnsiTheme="minorHAnsi" w:cs="Arial"/>
          <w:szCs w:val="24"/>
          <w:lang w:eastAsia="en-AU"/>
        </w:rPr>
        <w:t>estimated glomerular filtration rate (</w:t>
      </w:r>
      <w:r w:rsidRPr="009A7196">
        <w:rPr>
          <w:rFonts w:asciiTheme="minorHAnsi" w:eastAsia="Times New Roman" w:hAnsiTheme="minorHAnsi" w:cs="Arial"/>
          <w:szCs w:val="24"/>
          <w:lang w:eastAsia="en-AU"/>
        </w:rPr>
        <w:t>eGFR</w:t>
      </w:r>
      <w:r>
        <w:rPr>
          <w:rFonts w:asciiTheme="minorHAnsi" w:eastAsia="Times New Roman" w:hAnsiTheme="minorHAnsi" w:cs="Arial"/>
          <w:szCs w:val="24"/>
          <w:lang w:eastAsia="en-AU"/>
        </w:rPr>
        <w:t>)</w:t>
      </w:r>
      <w:r w:rsidRPr="009A7196">
        <w:rPr>
          <w:rFonts w:asciiTheme="minorHAnsi" w:eastAsia="Times New Roman" w:hAnsiTheme="minorHAnsi" w:cs="Arial"/>
          <w:szCs w:val="24"/>
          <w:lang w:eastAsia="en-AU"/>
        </w:rPr>
        <w:t xml:space="preserve"> less than 45 mL/min/1.73 m</w:t>
      </w:r>
      <w:r w:rsidRPr="009A7196">
        <w:rPr>
          <w:rFonts w:asciiTheme="minorHAnsi" w:eastAsia="Times New Roman" w:hAnsiTheme="minorHAnsi" w:cs="Arial"/>
          <w:szCs w:val="24"/>
          <w:vertAlign w:val="superscript"/>
          <w:lang w:eastAsia="en-AU"/>
        </w:rPr>
        <w:t>2</w:t>
      </w:r>
      <w:r w:rsidRPr="009A7196">
        <w:rPr>
          <w:rFonts w:asciiTheme="minorHAnsi" w:eastAsia="Times New Roman" w:hAnsiTheme="minorHAnsi" w:cs="Arial"/>
          <w:szCs w:val="24"/>
          <w:lang w:eastAsia="en-AU"/>
        </w:rPr>
        <w:t>)</w:t>
      </w:r>
    </w:p>
    <w:p w:rsidR="0000686B" w:rsidRPr="009A7196" w:rsidRDefault="0000686B" w:rsidP="00514129">
      <w:pPr>
        <w:numPr>
          <w:ilvl w:val="0"/>
          <w:numId w:val="9"/>
        </w:numPr>
        <w:spacing w:after="120" w:line="240" w:lineRule="auto"/>
        <w:ind w:left="493" w:hanging="357"/>
        <w:rPr>
          <w:rFonts w:asciiTheme="minorHAnsi" w:eastAsia="Times New Roman" w:hAnsiTheme="minorHAnsi" w:cs="Arial"/>
          <w:szCs w:val="24"/>
          <w:lang w:eastAsia="en-AU"/>
        </w:rPr>
      </w:pPr>
      <w:r w:rsidRPr="009A7196">
        <w:rPr>
          <w:rFonts w:asciiTheme="minorHAnsi" w:eastAsia="Times New Roman" w:hAnsiTheme="minorHAnsi" w:cs="Arial"/>
          <w:szCs w:val="24"/>
          <w:lang w:eastAsia="en-AU"/>
        </w:rPr>
        <w:t>a previous diagnosis of familial hypercholesterolaemia </w:t>
      </w:r>
    </w:p>
    <w:p w:rsidR="0000686B" w:rsidRPr="009A7196" w:rsidRDefault="0000686B" w:rsidP="00514129">
      <w:pPr>
        <w:numPr>
          <w:ilvl w:val="0"/>
          <w:numId w:val="9"/>
        </w:numPr>
        <w:spacing w:after="120" w:line="240" w:lineRule="auto"/>
        <w:ind w:left="493" w:hanging="357"/>
        <w:rPr>
          <w:rFonts w:asciiTheme="minorHAnsi" w:eastAsia="Times New Roman" w:hAnsiTheme="minorHAnsi" w:cs="Arial"/>
          <w:szCs w:val="24"/>
          <w:lang w:eastAsia="en-AU"/>
        </w:rPr>
      </w:pPr>
      <w:r w:rsidRPr="009A7196">
        <w:rPr>
          <w:rFonts w:asciiTheme="minorHAnsi" w:eastAsia="Times New Roman" w:hAnsiTheme="minorHAnsi" w:cs="Arial"/>
          <w:szCs w:val="24"/>
          <w:lang w:eastAsia="en-AU"/>
        </w:rPr>
        <w:t xml:space="preserve">systolic </w:t>
      </w:r>
      <w:r>
        <w:rPr>
          <w:rFonts w:asciiTheme="minorHAnsi" w:eastAsia="Times New Roman" w:hAnsiTheme="minorHAnsi" w:cs="Arial"/>
          <w:szCs w:val="24"/>
          <w:lang w:eastAsia="en-AU"/>
        </w:rPr>
        <w:t>blood pressure (BP)</w:t>
      </w:r>
      <w:r w:rsidRPr="009A7196">
        <w:rPr>
          <w:rFonts w:asciiTheme="minorHAnsi" w:eastAsia="Times New Roman" w:hAnsiTheme="minorHAnsi" w:cs="Arial"/>
          <w:szCs w:val="24"/>
          <w:lang w:eastAsia="en-AU"/>
        </w:rPr>
        <w:t xml:space="preserve"> 180 mm Hg or more, or diastolic BP 110 mm Hg or more </w:t>
      </w:r>
    </w:p>
    <w:p w:rsidR="0000686B" w:rsidRPr="009A7196" w:rsidRDefault="0000686B" w:rsidP="00514129">
      <w:pPr>
        <w:numPr>
          <w:ilvl w:val="0"/>
          <w:numId w:val="9"/>
        </w:numPr>
        <w:spacing w:after="120" w:line="240" w:lineRule="auto"/>
        <w:ind w:left="493" w:hanging="357"/>
        <w:rPr>
          <w:rFonts w:asciiTheme="minorHAnsi" w:eastAsia="Times New Roman" w:hAnsiTheme="minorHAnsi" w:cs="Arial"/>
          <w:szCs w:val="24"/>
          <w:lang w:eastAsia="en-AU"/>
        </w:rPr>
      </w:pPr>
      <w:r w:rsidRPr="009A7196">
        <w:rPr>
          <w:rFonts w:asciiTheme="minorHAnsi" w:eastAsia="Times New Roman" w:hAnsiTheme="minorHAnsi" w:cs="Arial"/>
          <w:szCs w:val="24"/>
          <w:lang w:eastAsia="en-AU"/>
        </w:rPr>
        <w:t>serum total cholesterol more than 7.5mmol/L</w:t>
      </w:r>
    </w:p>
    <w:p w:rsidR="0000686B" w:rsidRPr="009A7196" w:rsidRDefault="0000686B" w:rsidP="00514129">
      <w:pPr>
        <w:numPr>
          <w:ilvl w:val="0"/>
          <w:numId w:val="9"/>
        </w:numPr>
        <w:spacing w:after="120" w:line="240" w:lineRule="auto"/>
        <w:ind w:left="493" w:hanging="357"/>
        <w:rPr>
          <w:rFonts w:asciiTheme="minorHAnsi" w:eastAsia="Times New Roman" w:hAnsiTheme="minorHAnsi" w:cs="Arial"/>
          <w:szCs w:val="24"/>
          <w:lang w:eastAsia="en-AU"/>
        </w:rPr>
      </w:pPr>
      <w:r w:rsidRPr="009A7196">
        <w:rPr>
          <w:rFonts w:asciiTheme="minorHAnsi" w:eastAsia="Times New Roman" w:hAnsiTheme="minorHAnsi" w:cs="Arial"/>
          <w:szCs w:val="24"/>
          <w:lang w:eastAsia="en-AU"/>
        </w:rPr>
        <w:t>Aboriginal and Torres Strait Islander adults aged more than 74 years</w:t>
      </w:r>
    </w:p>
    <w:p w:rsidR="0000686B" w:rsidRPr="007F2906" w:rsidRDefault="0000686B" w:rsidP="00514129">
      <w:pPr>
        <w:pStyle w:val="removeelement"/>
        <w:spacing w:after="200" w:line="240" w:lineRule="auto"/>
        <w:jc w:val="both"/>
        <w:rPr>
          <w:rFonts w:asciiTheme="minorHAnsi" w:hAnsiTheme="minorHAnsi" w:cs="Arial"/>
          <w:color w:val="auto"/>
          <w:sz w:val="24"/>
          <w:szCs w:val="24"/>
        </w:rPr>
      </w:pPr>
      <w:r>
        <w:rPr>
          <w:rFonts w:asciiTheme="minorHAnsi" w:hAnsiTheme="minorHAnsi" w:cs="Arial"/>
          <w:color w:val="auto"/>
          <w:sz w:val="24"/>
          <w:szCs w:val="24"/>
        </w:rPr>
        <w:t xml:space="preserve">Where people have one or more risk factors for developing cardiovascular disease the treatment of dyslipidaemia is usually commenced at lower blood </w:t>
      </w:r>
      <w:r w:rsidRPr="004C1339">
        <w:rPr>
          <w:rFonts w:asciiTheme="minorHAnsi" w:hAnsiTheme="minorHAnsi" w:cs="Arial"/>
          <w:color w:val="auto"/>
          <w:sz w:val="24"/>
          <w:szCs w:val="24"/>
          <w:highlight w:val="yellow"/>
        </w:rPr>
        <w:t>concentrations</w:t>
      </w:r>
      <w:r>
        <w:rPr>
          <w:rFonts w:asciiTheme="minorHAnsi" w:hAnsiTheme="minorHAnsi" w:cs="Arial"/>
          <w:color w:val="auto"/>
          <w:sz w:val="24"/>
          <w:szCs w:val="24"/>
        </w:rPr>
        <w:t xml:space="preserve"> of LDL or total cholesterol. For the purpose of subsidised treatment on the PBS the qualifying criteria for commencing treatment with a lipid lowering medicine is set out in the ‘General </w:t>
      </w:r>
      <w:r w:rsidRPr="007F2906">
        <w:rPr>
          <w:rFonts w:asciiTheme="minorHAnsi" w:hAnsiTheme="minorHAnsi" w:cs="Arial"/>
          <w:color w:val="auto"/>
          <w:sz w:val="24"/>
          <w:szCs w:val="24"/>
        </w:rPr>
        <w:t xml:space="preserve">Statement for Lipid Lowering Drugs Prescribed as Pharmaceutical Benefits’.  </w:t>
      </w:r>
    </w:p>
    <w:p w:rsidR="0000686B" w:rsidRDefault="0000686B" w:rsidP="00514129">
      <w:pPr>
        <w:pStyle w:val="removeelement"/>
        <w:spacing w:after="200" w:line="240" w:lineRule="auto"/>
        <w:jc w:val="both"/>
        <w:rPr>
          <w:rFonts w:asciiTheme="minorHAnsi" w:hAnsiTheme="minorHAnsi" w:cs="Helvetica"/>
          <w:color w:val="auto"/>
          <w:sz w:val="24"/>
          <w:szCs w:val="24"/>
        </w:rPr>
      </w:pPr>
      <w:r w:rsidRPr="007F2906">
        <w:rPr>
          <w:rFonts w:asciiTheme="minorHAnsi" w:hAnsiTheme="minorHAnsi" w:cs="Helvetica"/>
          <w:color w:val="auto"/>
          <w:sz w:val="24"/>
          <w:szCs w:val="24"/>
        </w:rPr>
        <w:t xml:space="preserve">For patients at moderate absolute </w:t>
      </w:r>
      <w:r w:rsidRPr="007F2906">
        <w:rPr>
          <w:rStyle w:val="abbrev"/>
          <w:rFonts w:asciiTheme="minorHAnsi" w:hAnsiTheme="minorHAnsi" w:cs="Helvetica"/>
          <w:color w:val="auto"/>
          <w:sz w:val="24"/>
          <w:szCs w:val="24"/>
        </w:rPr>
        <w:t>CVD</w:t>
      </w:r>
      <w:r w:rsidRPr="007F2906">
        <w:rPr>
          <w:rFonts w:asciiTheme="minorHAnsi" w:hAnsiTheme="minorHAnsi" w:cs="Helvetica"/>
          <w:color w:val="auto"/>
          <w:sz w:val="24"/>
          <w:szCs w:val="24"/>
        </w:rPr>
        <w:t xml:space="preserve"> risk (10% to 15%), lipid-modifying therapy may be warranted (after 3 to 6 months of dietary and </w:t>
      </w:r>
      <w:r w:rsidR="004529EF" w:rsidRPr="007F2906">
        <w:rPr>
          <w:rFonts w:asciiTheme="minorHAnsi" w:hAnsiTheme="minorHAnsi" w:cs="Helvetica"/>
          <w:color w:val="auto"/>
          <w:sz w:val="24"/>
          <w:szCs w:val="24"/>
        </w:rPr>
        <w:t>behavioural</w:t>
      </w:r>
      <w:r w:rsidRPr="007F2906">
        <w:rPr>
          <w:rFonts w:asciiTheme="minorHAnsi" w:hAnsiTheme="minorHAnsi" w:cs="Helvetica"/>
          <w:color w:val="auto"/>
          <w:sz w:val="24"/>
          <w:szCs w:val="24"/>
        </w:rPr>
        <w:t xml:space="preserve"> risk factor modification) if there is a family history of premature </w:t>
      </w:r>
      <w:r w:rsidRPr="007F2906">
        <w:rPr>
          <w:rStyle w:val="abbrev"/>
          <w:rFonts w:asciiTheme="minorHAnsi" w:hAnsiTheme="minorHAnsi" w:cs="Helvetica"/>
          <w:color w:val="auto"/>
          <w:sz w:val="24"/>
          <w:szCs w:val="24"/>
        </w:rPr>
        <w:t>CVD</w:t>
      </w:r>
      <w:r w:rsidRPr="007F2906">
        <w:rPr>
          <w:rFonts w:asciiTheme="minorHAnsi" w:hAnsiTheme="minorHAnsi" w:cs="Helvetica"/>
          <w:color w:val="auto"/>
          <w:sz w:val="24"/>
          <w:szCs w:val="24"/>
        </w:rPr>
        <w:t xml:space="preserve"> (i</w:t>
      </w:r>
      <w:r>
        <w:rPr>
          <w:rFonts w:asciiTheme="minorHAnsi" w:hAnsiTheme="minorHAnsi" w:cs="Helvetica"/>
          <w:color w:val="auto"/>
          <w:sz w:val="24"/>
          <w:szCs w:val="24"/>
        </w:rPr>
        <w:t>.</w:t>
      </w:r>
      <w:r w:rsidRPr="007F2906">
        <w:rPr>
          <w:rFonts w:asciiTheme="minorHAnsi" w:hAnsiTheme="minorHAnsi" w:cs="Helvetica"/>
          <w:color w:val="auto"/>
          <w:sz w:val="24"/>
          <w:szCs w:val="24"/>
        </w:rPr>
        <w:t>e</w:t>
      </w:r>
      <w:r>
        <w:rPr>
          <w:rFonts w:asciiTheme="minorHAnsi" w:hAnsiTheme="minorHAnsi" w:cs="Helvetica"/>
          <w:color w:val="auto"/>
          <w:sz w:val="24"/>
          <w:szCs w:val="24"/>
        </w:rPr>
        <w:t>.</w:t>
      </w:r>
      <w:r w:rsidRPr="007F2906">
        <w:rPr>
          <w:rFonts w:asciiTheme="minorHAnsi" w:hAnsiTheme="minorHAnsi" w:cs="Helvetica"/>
          <w:color w:val="auto"/>
          <w:sz w:val="24"/>
          <w:szCs w:val="24"/>
        </w:rPr>
        <w:t xml:space="preserve"> first-degree relative who developed </w:t>
      </w:r>
      <w:r w:rsidRPr="007F2906">
        <w:rPr>
          <w:rStyle w:val="abbrev"/>
          <w:rFonts w:asciiTheme="minorHAnsi" w:hAnsiTheme="minorHAnsi" w:cs="Helvetica"/>
          <w:color w:val="auto"/>
          <w:sz w:val="24"/>
          <w:szCs w:val="24"/>
        </w:rPr>
        <w:t>CVD</w:t>
      </w:r>
      <w:r w:rsidRPr="007F2906">
        <w:rPr>
          <w:rFonts w:asciiTheme="minorHAnsi" w:hAnsiTheme="minorHAnsi" w:cs="Helvetica"/>
          <w:color w:val="auto"/>
          <w:sz w:val="24"/>
          <w:szCs w:val="24"/>
        </w:rPr>
        <w:t xml:space="preserve"> before age 60 years).</w:t>
      </w:r>
    </w:p>
    <w:p w:rsidR="0000686B" w:rsidRPr="00F53453" w:rsidRDefault="003848A8" w:rsidP="00514129">
      <w:pPr>
        <w:pStyle w:val="Heading3"/>
        <w:jc w:val="left"/>
      </w:pPr>
      <w:bookmarkStart w:id="41" w:name="_Toc482176936"/>
      <w:r>
        <w:lastRenderedPageBreak/>
        <w:t>B.</w:t>
      </w:r>
      <w:r w:rsidR="0000686B" w:rsidRPr="00F53453">
        <w:t>1.4.2</w:t>
      </w:r>
      <w:r w:rsidR="0000686B" w:rsidRPr="00F53453">
        <w:tab/>
        <w:t>What is dyslipidaemia?</w:t>
      </w:r>
      <w:bookmarkEnd w:id="41"/>
    </w:p>
    <w:p w:rsidR="0000686B" w:rsidRPr="00F53453" w:rsidRDefault="0000686B" w:rsidP="00514129">
      <w:pPr>
        <w:pStyle w:val="removeelement"/>
        <w:spacing w:after="200" w:line="240" w:lineRule="auto"/>
        <w:jc w:val="both"/>
        <w:rPr>
          <w:rFonts w:ascii="FranklinGothicITCbyBT-Book" w:hAnsi="FranklinGothicITCbyBT-Book" w:cs="Helvetica"/>
        </w:rPr>
      </w:pPr>
      <w:r w:rsidRPr="00F53453">
        <w:rPr>
          <w:rFonts w:asciiTheme="minorHAnsi" w:hAnsiTheme="minorHAnsi" w:cs="Arial"/>
          <w:color w:val="auto"/>
          <w:sz w:val="24"/>
          <w:szCs w:val="24"/>
        </w:rPr>
        <w:t>Dyslipidemia</w:t>
      </w:r>
      <w:r w:rsidR="00106006">
        <w:rPr>
          <w:rStyle w:val="EndnoteReference"/>
          <w:rFonts w:asciiTheme="minorHAnsi" w:hAnsiTheme="minorHAnsi" w:cs="Arial"/>
          <w:color w:val="auto"/>
          <w:sz w:val="24"/>
          <w:szCs w:val="24"/>
        </w:rPr>
        <w:endnoteReference w:id="22"/>
      </w:r>
      <w:r w:rsidR="00106006" w:rsidRPr="00F53453">
        <w:rPr>
          <w:rFonts w:asciiTheme="minorHAnsi" w:hAnsiTheme="minorHAnsi" w:cs="Arial"/>
          <w:color w:val="auto"/>
          <w:sz w:val="24"/>
          <w:szCs w:val="24"/>
        </w:rPr>
        <w:t xml:space="preserve"> </w:t>
      </w:r>
      <w:r w:rsidRPr="00F53453">
        <w:rPr>
          <w:rFonts w:asciiTheme="minorHAnsi" w:hAnsiTheme="minorHAnsi" w:cs="Arial"/>
          <w:color w:val="auto"/>
          <w:sz w:val="24"/>
          <w:szCs w:val="24"/>
        </w:rPr>
        <w:t xml:space="preserve">is the elevation of plasma cholesterol, triglycerides (TGs), or both, or a low high-density lipoprotein (HDL) </w:t>
      </w:r>
      <w:r w:rsidR="00C25005" w:rsidRPr="00484B00">
        <w:rPr>
          <w:rFonts w:asciiTheme="minorHAnsi" w:hAnsiTheme="minorHAnsi" w:cs="Arial"/>
          <w:color w:val="auto"/>
          <w:sz w:val="24"/>
          <w:szCs w:val="24"/>
          <w:highlight w:val="yellow"/>
        </w:rPr>
        <w:t xml:space="preserve">cholesterol </w:t>
      </w:r>
      <w:r w:rsidR="004B1768" w:rsidRPr="00484B00">
        <w:rPr>
          <w:rFonts w:asciiTheme="minorHAnsi" w:hAnsiTheme="minorHAnsi" w:cs="Arial"/>
          <w:color w:val="auto"/>
          <w:sz w:val="24"/>
          <w:szCs w:val="24"/>
          <w:highlight w:val="yellow"/>
        </w:rPr>
        <w:t>concentration</w:t>
      </w:r>
      <w:r w:rsidR="004B1768" w:rsidRPr="00F53453">
        <w:rPr>
          <w:rFonts w:asciiTheme="minorHAnsi" w:hAnsiTheme="minorHAnsi" w:cs="Arial"/>
          <w:color w:val="auto"/>
          <w:sz w:val="24"/>
          <w:szCs w:val="24"/>
        </w:rPr>
        <w:t xml:space="preserve"> </w:t>
      </w:r>
      <w:r w:rsidRPr="00F53453">
        <w:rPr>
          <w:rFonts w:asciiTheme="minorHAnsi" w:hAnsiTheme="minorHAnsi" w:cs="Arial"/>
          <w:color w:val="auto"/>
          <w:sz w:val="24"/>
          <w:szCs w:val="24"/>
        </w:rPr>
        <w:t xml:space="preserve">that contributes to the development of atherosclerosis. Causes may be primary (genetic) or secondary. Diagnosis is by measuring plasma </w:t>
      </w:r>
      <w:r w:rsidR="00C25005" w:rsidRPr="00C25005">
        <w:rPr>
          <w:rFonts w:asciiTheme="minorHAnsi" w:hAnsiTheme="minorHAnsi" w:cs="Arial"/>
          <w:color w:val="auto"/>
          <w:sz w:val="24"/>
          <w:szCs w:val="24"/>
          <w:highlight w:val="yellow"/>
        </w:rPr>
        <w:t>concentrations</w:t>
      </w:r>
      <w:r w:rsidR="00C25005" w:rsidRPr="00F53453">
        <w:rPr>
          <w:rFonts w:asciiTheme="minorHAnsi" w:hAnsiTheme="minorHAnsi" w:cs="Arial"/>
          <w:color w:val="auto"/>
          <w:sz w:val="24"/>
          <w:szCs w:val="24"/>
        </w:rPr>
        <w:t xml:space="preserve"> </w:t>
      </w:r>
      <w:r w:rsidRPr="00F53453">
        <w:rPr>
          <w:rFonts w:asciiTheme="minorHAnsi" w:hAnsiTheme="minorHAnsi" w:cs="Arial"/>
          <w:color w:val="auto"/>
          <w:sz w:val="24"/>
          <w:szCs w:val="24"/>
        </w:rPr>
        <w:t>of total cholesterol, triglycerides, and individual lipoproteins. The best approach to therapy for a particular patient depends on the nature of the predominant dyslipidaemia. Before starting drug therapy, it is necessary to confirm that the dyslipidaemia is not secondary to a treatable problem.</w:t>
      </w:r>
      <w:r w:rsidRPr="00F53453">
        <w:rPr>
          <w:rFonts w:ascii="FranklinGothicITCbyBT-Book" w:hAnsi="FranklinGothicITCbyBT-Book" w:cs="Helvetica"/>
        </w:rPr>
        <w:t xml:space="preserve"> </w:t>
      </w:r>
    </w:p>
    <w:p w:rsidR="0000686B" w:rsidRPr="00F53453" w:rsidRDefault="0000686B" w:rsidP="00514129">
      <w:pPr>
        <w:pStyle w:val="removeelement"/>
        <w:spacing w:after="200" w:line="240" w:lineRule="auto"/>
        <w:jc w:val="both"/>
        <w:rPr>
          <w:rFonts w:asciiTheme="minorHAnsi" w:hAnsiTheme="minorHAnsi" w:cs="Arial"/>
          <w:color w:val="auto"/>
          <w:sz w:val="24"/>
          <w:szCs w:val="24"/>
        </w:rPr>
      </w:pPr>
      <w:r w:rsidRPr="00F53453">
        <w:rPr>
          <w:rFonts w:asciiTheme="minorHAnsi" w:hAnsiTheme="minorHAnsi" w:cs="Arial"/>
          <w:color w:val="auto"/>
          <w:sz w:val="24"/>
          <w:szCs w:val="24"/>
        </w:rPr>
        <w:t xml:space="preserve">Treatment of dyslipidaemia is generally life-long. </w:t>
      </w:r>
    </w:p>
    <w:p w:rsidR="0000686B" w:rsidRPr="00F53453" w:rsidRDefault="003848A8" w:rsidP="00514129">
      <w:pPr>
        <w:pStyle w:val="Heading3"/>
        <w:jc w:val="left"/>
      </w:pPr>
      <w:bookmarkStart w:id="42" w:name="_Toc482176937"/>
      <w:r>
        <w:t>B.</w:t>
      </w:r>
      <w:r w:rsidR="0000686B" w:rsidRPr="00F53453">
        <w:t>1.4.3</w:t>
      </w:r>
      <w:r w:rsidR="0000686B" w:rsidRPr="00F53453">
        <w:tab/>
        <w:t>What is familial hypercholesterolaemia?</w:t>
      </w:r>
      <w:bookmarkEnd w:id="42"/>
    </w:p>
    <w:p w:rsidR="0000686B" w:rsidRPr="00F53453" w:rsidRDefault="0000686B" w:rsidP="00514129">
      <w:pPr>
        <w:spacing w:line="240" w:lineRule="auto"/>
        <w:rPr>
          <w:rFonts w:asciiTheme="minorHAnsi" w:hAnsiTheme="minorHAnsi"/>
        </w:rPr>
      </w:pPr>
      <w:r w:rsidRPr="00F53453">
        <w:rPr>
          <w:rFonts w:asciiTheme="minorHAnsi" w:hAnsiTheme="minorHAnsi" w:cs="Arial"/>
        </w:rPr>
        <w:t>Familial hypercholesterolaemia</w:t>
      </w:r>
      <w:r w:rsidR="00106006">
        <w:rPr>
          <w:rStyle w:val="EndnoteReference"/>
          <w:rFonts w:asciiTheme="minorHAnsi" w:hAnsiTheme="minorHAnsi" w:cs="Arial"/>
        </w:rPr>
        <w:endnoteReference w:id="23"/>
      </w:r>
      <w:r w:rsidR="00106006" w:rsidRPr="00F53453">
        <w:rPr>
          <w:rFonts w:asciiTheme="minorHAnsi" w:hAnsiTheme="minorHAnsi" w:cs="Arial"/>
        </w:rPr>
        <w:t xml:space="preserve"> </w:t>
      </w:r>
      <w:r w:rsidRPr="00F53453">
        <w:rPr>
          <w:rFonts w:asciiTheme="minorHAnsi" w:hAnsiTheme="minorHAnsi" w:cs="Arial"/>
        </w:rPr>
        <w:t>is a dominantly inherited condition that affects over 1 in 500 people and leads to the onset of cardiovascular disease 20 to 40 years earlier than in someone without the condition. Approximately 50% of members in affected family groups are affected.</w:t>
      </w:r>
    </w:p>
    <w:p w:rsidR="0000686B" w:rsidRPr="00F53453" w:rsidRDefault="003848A8" w:rsidP="00514129">
      <w:pPr>
        <w:pStyle w:val="Heading3"/>
        <w:jc w:val="left"/>
      </w:pPr>
      <w:bookmarkStart w:id="43" w:name="_Toc482176938"/>
      <w:r>
        <w:t>B.</w:t>
      </w:r>
      <w:r w:rsidR="0000686B" w:rsidRPr="00F53453">
        <w:t>1.4.4</w:t>
      </w:r>
      <w:r w:rsidR="0000686B" w:rsidRPr="00F53453">
        <w:tab/>
        <w:t>Use of algorithms to estimate absolute risk of cardiovascular disease?</w:t>
      </w:r>
      <w:bookmarkEnd w:id="43"/>
    </w:p>
    <w:p w:rsidR="0000686B" w:rsidRPr="007F2906" w:rsidRDefault="0000686B" w:rsidP="00514129">
      <w:pPr>
        <w:pStyle w:val="removeelement"/>
        <w:spacing w:after="200" w:line="240" w:lineRule="auto"/>
        <w:jc w:val="both"/>
        <w:rPr>
          <w:rFonts w:asciiTheme="minorHAnsi" w:hAnsiTheme="minorHAnsi" w:cs="Arial"/>
          <w:color w:val="auto"/>
          <w:sz w:val="24"/>
          <w:szCs w:val="24"/>
        </w:rPr>
      </w:pPr>
      <w:r w:rsidRPr="007F2906">
        <w:rPr>
          <w:rFonts w:asciiTheme="minorHAnsi" w:hAnsiTheme="minorHAnsi" w:cs="Arial"/>
          <w:color w:val="auto"/>
          <w:sz w:val="24"/>
          <w:szCs w:val="24"/>
        </w:rPr>
        <w:t>The PBS does not use a</w:t>
      </w:r>
      <w:r>
        <w:rPr>
          <w:rFonts w:asciiTheme="minorHAnsi" w:hAnsiTheme="minorHAnsi" w:cs="Arial"/>
          <w:color w:val="auto"/>
          <w:sz w:val="24"/>
          <w:szCs w:val="24"/>
        </w:rPr>
        <w:t xml:space="preserve"> discrete</w:t>
      </w:r>
      <w:r w:rsidRPr="007F2906">
        <w:rPr>
          <w:rFonts w:asciiTheme="minorHAnsi" w:hAnsiTheme="minorHAnsi" w:cs="Arial"/>
          <w:color w:val="auto"/>
          <w:sz w:val="24"/>
          <w:szCs w:val="24"/>
        </w:rPr>
        <w:t xml:space="preserve"> absolute risk model as the basis for </w:t>
      </w:r>
      <w:r>
        <w:rPr>
          <w:rFonts w:asciiTheme="minorHAnsi" w:hAnsiTheme="minorHAnsi" w:cs="Arial"/>
          <w:color w:val="auto"/>
          <w:sz w:val="24"/>
          <w:szCs w:val="24"/>
        </w:rPr>
        <w:t xml:space="preserve">the </w:t>
      </w:r>
      <w:r w:rsidRPr="007F2906">
        <w:rPr>
          <w:rFonts w:asciiTheme="minorHAnsi" w:hAnsiTheme="minorHAnsi" w:cs="Arial"/>
          <w:color w:val="auto"/>
          <w:sz w:val="24"/>
          <w:szCs w:val="24"/>
        </w:rPr>
        <w:t>qualifying criteria to commence treatment with lipid lowering medicines</w:t>
      </w:r>
      <w:r>
        <w:rPr>
          <w:rFonts w:asciiTheme="minorHAnsi" w:hAnsiTheme="minorHAnsi" w:cs="Arial"/>
          <w:color w:val="auto"/>
          <w:sz w:val="24"/>
          <w:szCs w:val="24"/>
        </w:rPr>
        <w:t>, but the General Statement for Lipid-Lowering Drugs is based on a risk-based approach.</w:t>
      </w:r>
    </w:p>
    <w:p w:rsidR="00106006" w:rsidRPr="007F2906" w:rsidRDefault="0000686B" w:rsidP="00514129">
      <w:pPr>
        <w:pStyle w:val="removeelement"/>
        <w:spacing w:after="200" w:line="240" w:lineRule="auto"/>
        <w:jc w:val="both"/>
        <w:rPr>
          <w:rFonts w:asciiTheme="minorHAnsi" w:hAnsiTheme="minorHAnsi" w:cs="Arial"/>
          <w:color w:val="auto"/>
          <w:sz w:val="24"/>
          <w:szCs w:val="24"/>
        </w:rPr>
      </w:pPr>
      <w:r w:rsidRPr="007F2906">
        <w:rPr>
          <w:rFonts w:asciiTheme="minorHAnsi" w:hAnsiTheme="minorHAnsi" w:cs="Arial"/>
          <w:color w:val="auto"/>
          <w:sz w:val="24"/>
          <w:szCs w:val="24"/>
        </w:rPr>
        <w:t>Absolute risk models have been developed and validated in a number of countries. In Australia</w:t>
      </w:r>
      <w:r>
        <w:rPr>
          <w:rFonts w:asciiTheme="minorHAnsi" w:hAnsiTheme="minorHAnsi" w:cs="Arial"/>
          <w:color w:val="auto"/>
          <w:sz w:val="24"/>
          <w:szCs w:val="24"/>
        </w:rPr>
        <w:t>,</w:t>
      </w:r>
      <w:r w:rsidRPr="007F2906">
        <w:rPr>
          <w:rFonts w:asciiTheme="minorHAnsi" w:hAnsiTheme="minorHAnsi" w:cs="Arial"/>
          <w:color w:val="auto"/>
          <w:sz w:val="24"/>
          <w:szCs w:val="24"/>
        </w:rPr>
        <w:t xml:space="preserve"> the National Vascular Disease Prevention Alliance (NVDPA) absolute </w:t>
      </w:r>
      <w:r w:rsidRPr="007F2906">
        <w:rPr>
          <w:rStyle w:val="abbrev"/>
          <w:rFonts w:asciiTheme="minorHAnsi" w:hAnsiTheme="minorHAnsi" w:cs="Arial"/>
          <w:color w:val="auto"/>
          <w:sz w:val="24"/>
          <w:szCs w:val="24"/>
        </w:rPr>
        <w:t>CVD</w:t>
      </w:r>
      <w:r w:rsidRPr="007F2906">
        <w:rPr>
          <w:rFonts w:asciiTheme="minorHAnsi" w:hAnsiTheme="minorHAnsi" w:cs="Arial"/>
          <w:color w:val="auto"/>
          <w:sz w:val="24"/>
          <w:szCs w:val="24"/>
        </w:rPr>
        <w:t xml:space="preserve"> risk calculator and charts provide publicly accessible tools to estimate risk</w:t>
      </w:r>
      <w:r>
        <w:rPr>
          <w:rFonts w:asciiTheme="minorHAnsi" w:hAnsiTheme="minorHAnsi" w:cs="Arial"/>
          <w:color w:val="auto"/>
          <w:sz w:val="24"/>
          <w:szCs w:val="24"/>
        </w:rPr>
        <w:t>.</w:t>
      </w:r>
      <w:r w:rsidR="00106006">
        <w:rPr>
          <w:rStyle w:val="EndnoteReference"/>
          <w:rFonts w:asciiTheme="minorHAnsi" w:hAnsiTheme="minorHAnsi" w:cs="Arial"/>
          <w:color w:val="auto"/>
          <w:sz w:val="24"/>
          <w:szCs w:val="24"/>
        </w:rPr>
        <w:endnoteReference w:id="24"/>
      </w:r>
    </w:p>
    <w:p w:rsidR="0000686B" w:rsidRPr="007F2906" w:rsidRDefault="0000686B" w:rsidP="00514129">
      <w:pPr>
        <w:pStyle w:val="removeelement"/>
        <w:spacing w:after="200" w:line="240" w:lineRule="auto"/>
        <w:jc w:val="both"/>
        <w:rPr>
          <w:rFonts w:asciiTheme="minorHAnsi" w:hAnsiTheme="minorHAnsi" w:cs="Arial"/>
          <w:color w:val="auto"/>
          <w:sz w:val="24"/>
          <w:szCs w:val="24"/>
        </w:rPr>
      </w:pPr>
      <w:r w:rsidRPr="007F2906">
        <w:rPr>
          <w:rFonts w:asciiTheme="minorHAnsi" w:hAnsiTheme="minorHAnsi" w:cs="Arial"/>
          <w:color w:val="auto"/>
          <w:sz w:val="24"/>
          <w:szCs w:val="24"/>
        </w:rPr>
        <w:t xml:space="preserve">Absolute </w:t>
      </w:r>
      <w:r w:rsidRPr="007F2906">
        <w:rPr>
          <w:rStyle w:val="abbrev"/>
          <w:rFonts w:asciiTheme="minorHAnsi" w:hAnsiTheme="minorHAnsi" w:cs="Arial"/>
          <w:color w:val="auto"/>
          <w:sz w:val="24"/>
          <w:szCs w:val="24"/>
        </w:rPr>
        <w:t>CVD</w:t>
      </w:r>
      <w:r w:rsidRPr="007F2906">
        <w:rPr>
          <w:rFonts w:asciiTheme="minorHAnsi" w:hAnsiTheme="minorHAnsi" w:cs="Arial"/>
          <w:color w:val="auto"/>
          <w:sz w:val="24"/>
          <w:szCs w:val="24"/>
        </w:rPr>
        <w:t xml:space="preserve"> risk is defined as the probability (expressed as a percentage) of a person having a cardiovascular event within a specified period of time. The NVDPA risk calculators categorise a person's risk over 5 years: high absolute risk (more than 15%), moderate absolute risk (10% to 15%) or low absolute risk (less than 10%).</w:t>
      </w:r>
    </w:p>
    <w:p w:rsidR="0000686B" w:rsidRPr="00F53453" w:rsidRDefault="003848A8" w:rsidP="00514129">
      <w:pPr>
        <w:pStyle w:val="Heading3"/>
        <w:jc w:val="left"/>
      </w:pPr>
      <w:bookmarkStart w:id="44" w:name="_Toc482176939"/>
      <w:r>
        <w:t>B.</w:t>
      </w:r>
      <w:r w:rsidR="00D06167">
        <w:t>1</w:t>
      </w:r>
      <w:r w:rsidR="0000686B" w:rsidRPr="00F53453">
        <w:t>.4.5</w:t>
      </w:r>
      <w:r w:rsidR="0000686B" w:rsidRPr="00F53453">
        <w:tab/>
        <w:t>Treatment Guidelines</w:t>
      </w:r>
      <w:bookmarkEnd w:id="44"/>
    </w:p>
    <w:p w:rsidR="0000686B" w:rsidRDefault="0000686B" w:rsidP="00514129">
      <w:pPr>
        <w:spacing w:line="240" w:lineRule="auto"/>
        <w:rPr>
          <w:rFonts w:asciiTheme="minorHAnsi" w:hAnsiTheme="minorHAnsi"/>
          <w:bCs/>
          <w:szCs w:val="24"/>
        </w:rPr>
      </w:pPr>
      <w:r>
        <w:rPr>
          <w:rFonts w:asciiTheme="minorHAnsi" w:hAnsiTheme="minorHAnsi"/>
          <w:bCs/>
          <w:szCs w:val="24"/>
        </w:rPr>
        <w:t>A number of clinical guidelines for the treatment of dyslipidaemia are published in Australia and internationally. Section three of this report provides</w:t>
      </w:r>
      <w:r w:rsidRPr="00046125">
        <w:rPr>
          <w:rFonts w:asciiTheme="minorHAnsi" w:hAnsiTheme="minorHAnsi"/>
          <w:bCs/>
          <w:szCs w:val="24"/>
        </w:rPr>
        <w:t xml:space="preserve"> a review of the current clinical guidelines for the treatment of hypercholester</w:t>
      </w:r>
      <w:r>
        <w:rPr>
          <w:rFonts w:asciiTheme="minorHAnsi" w:hAnsiTheme="minorHAnsi"/>
          <w:bCs/>
          <w:szCs w:val="24"/>
        </w:rPr>
        <w:t>olaemia in accordance with term</w:t>
      </w:r>
      <w:r>
        <w:t> </w:t>
      </w:r>
      <w:r>
        <w:rPr>
          <w:rFonts w:asciiTheme="minorHAnsi" w:hAnsiTheme="minorHAnsi"/>
          <w:bCs/>
          <w:szCs w:val="24"/>
        </w:rPr>
        <w:t>of reference </w:t>
      </w:r>
      <w:r w:rsidRPr="00046125">
        <w:rPr>
          <w:rFonts w:asciiTheme="minorHAnsi" w:hAnsiTheme="minorHAnsi"/>
          <w:bCs/>
          <w:szCs w:val="24"/>
        </w:rPr>
        <w:t xml:space="preserve">2. </w:t>
      </w:r>
    </w:p>
    <w:p w:rsidR="0000686B" w:rsidRDefault="0000686B" w:rsidP="00514129">
      <w:pPr>
        <w:rPr>
          <w:rFonts w:asciiTheme="minorHAnsi" w:hAnsiTheme="minorHAnsi"/>
          <w:bCs/>
          <w:szCs w:val="24"/>
        </w:rPr>
      </w:pPr>
      <w:r>
        <w:rPr>
          <w:rFonts w:asciiTheme="minorHAnsi" w:hAnsiTheme="minorHAnsi"/>
          <w:bCs/>
          <w:szCs w:val="24"/>
        </w:rPr>
        <w:br w:type="page"/>
      </w:r>
    </w:p>
    <w:p w:rsidR="0000686B" w:rsidRPr="00046125" w:rsidRDefault="0000686B" w:rsidP="00514129">
      <w:pPr>
        <w:spacing w:line="240" w:lineRule="auto"/>
        <w:rPr>
          <w:rFonts w:asciiTheme="minorHAnsi" w:hAnsiTheme="minorHAnsi"/>
          <w:bCs/>
          <w:szCs w:val="24"/>
        </w:rPr>
      </w:pPr>
    </w:p>
    <w:p w:rsidR="0000686B" w:rsidRPr="00A90FE3" w:rsidRDefault="0000686B" w:rsidP="00920324">
      <w:pPr>
        <w:pStyle w:val="Heading1"/>
      </w:pPr>
      <w:bookmarkStart w:id="45" w:name="_Toc482176940"/>
      <w:bookmarkStart w:id="46" w:name="_Toc388453120"/>
      <w:bookmarkEnd w:id="39"/>
      <w:r w:rsidRPr="00A90FE3">
        <w:t xml:space="preserve">Section </w:t>
      </w:r>
      <w:r w:rsidR="00AD0496">
        <w:t>1</w:t>
      </w:r>
      <w:r w:rsidR="001A5A6B">
        <w:t>: TOR</w:t>
      </w:r>
      <w:r w:rsidRPr="00A90FE3">
        <w:t xml:space="preserve"> 1</w:t>
      </w:r>
      <w:r w:rsidRPr="00A90FE3">
        <w:br/>
        <w:t>Utilisation of ezetimibe</w:t>
      </w:r>
      <w:bookmarkEnd w:id="45"/>
    </w:p>
    <w:p w:rsidR="001A5A6B" w:rsidRPr="00F03B50" w:rsidRDefault="00F03B50" w:rsidP="0051412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color w:val="365F91" w:themeColor="accent1" w:themeShade="BF"/>
          <w:szCs w:val="24"/>
        </w:rPr>
      </w:pPr>
      <w:r w:rsidRPr="00F03B50">
        <w:rPr>
          <w:rFonts w:asciiTheme="minorHAnsi" w:hAnsiTheme="minorHAnsi"/>
          <w:color w:val="365F91" w:themeColor="accent1" w:themeShade="BF"/>
          <w:szCs w:val="24"/>
        </w:rPr>
        <w:t>Review current utilisation of Pharmaceutical Benefits Scheme (PBS) – listed ezetimibe</w:t>
      </w:r>
      <w:r w:rsidR="001A5A6B" w:rsidRPr="00F03B50">
        <w:rPr>
          <w:rFonts w:asciiTheme="minorHAnsi" w:hAnsiTheme="minorHAnsi"/>
          <w:color w:val="365F91" w:themeColor="accent1" w:themeShade="BF"/>
          <w:szCs w:val="24"/>
        </w:rPr>
        <w:t xml:space="preserve"> and ezetimibe combination products.</w:t>
      </w:r>
      <w:r>
        <w:rPr>
          <w:rFonts w:asciiTheme="minorHAnsi" w:hAnsiTheme="minorHAnsi"/>
          <w:color w:val="365F91" w:themeColor="accent1" w:themeShade="BF"/>
          <w:szCs w:val="24"/>
        </w:rPr>
        <w:t xml:space="preserve"> </w:t>
      </w:r>
      <w:r w:rsidRPr="00F03B50">
        <w:rPr>
          <w:rFonts w:asciiTheme="minorHAnsi" w:hAnsiTheme="minorHAnsi"/>
          <w:color w:val="365F91" w:themeColor="accent1" w:themeShade="BF"/>
          <w:szCs w:val="24"/>
        </w:rPr>
        <w:t>Any review will consider additional data sources that may inform the current utilisation of ezetimibe.</w:t>
      </w:r>
    </w:p>
    <w:p w:rsidR="0000686B" w:rsidRPr="00F03B50" w:rsidRDefault="003848A8" w:rsidP="00920324">
      <w:pPr>
        <w:pStyle w:val="Heading2"/>
        <w:rPr>
          <w:rFonts w:ascii="Calibri" w:eastAsia="Calibri" w:hAnsi="Calibri"/>
        </w:rPr>
      </w:pPr>
      <w:bookmarkStart w:id="47" w:name="_Toc482176941"/>
      <w:r>
        <w:t>1</w:t>
      </w:r>
      <w:r w:rsidR="00C05E80" w:rsidRPr="00F03B50">
        <w:t>.</w:t>
      </w:r>
      <w:r w:rsidR="0000686B" w:rsidRPr="00F03B50">
        <w:t>1</w:t>
      </w:r>
      <w:r w:rsidR="0000686B" w:rsidRPr="00F03B50">
        <w:tab/>
        <w:t xml:space="preserve">Key findings for </w:t>
      </w:r>
      <w:r w:rsidR="00F03B50" w:rsidRPr="00F03B50">
        <w:t>TOR</w:t>
      </w:r>
      <w:r w:rsidR="0000686B" w:rsidRPr="00F03B50">
        <w:t xml:space="preserve"> 1</w:t>
      </w:r>
      <w:bookmarkEnd w:id="47"/>
      <w:r w:rsidR="0000686B" w:rsidRPr="00F03B50">
        <w:rPr>
          <w:rFonts w:ascii="Calibri" w:eastAsia="Calibri" w:hAnsi="Calibri"/>
        </w:rPr>
        <w:t xml:space="preserve"> </w:t>
      </w:r>
    </w:p>
    <w:p w:rsidR="0000686B" w:rsidRPr="00B34830" w:rsidRDefault="0000686B" w:rsidP="00514129">
      <w:pPr>
        <w:spacing w:line="240" w:lineRule="auto"/>
        <w:rPr>
          <w:rFonts w:asciiTheme="minorHAnsi" w:eastAsia="Calibri" w:hAnsiTheme="minorHAnsi"/>
          <w:szCs w:val="24"/>
        </w:rPr>
      </w:pPr>
      <w:r w:rsidRPr="00B34830">
        <w:rPr>
          <w:rFonts w:asciiTheme="minorHAnsi" w:eastAsia="Calibri" w:hAnsiTheme="minorHAnsi"/>
          <w:szCs w:val="24"/>
        </w:rPr>
        <w:t xml:space="preserve">The analysis of PBS data </w:t>
      </w:r>
      <w:r>
        <w:rPr>
          <w:rFonts w:asciiTheme="minorHAnsi" w:eastAsia="Calibri" w:hAnsiTheme="minorHAnsi"/>
          <w:szCs w:val="24"/>
        </w:rPr>
        <w:t xml:space="preserve">addressed </w:t>
      </w:r>
      <w:r w:rsidRPr="00B34830">
        <w:rPr>
          <w:rFonts w:asciiTheme="minorHAnsi" w:eastAsia="Calibri" w:hAnsiTheme="minorHAnsi"/>
          <w:szCs w:val="24"/>
        </w:rPr>
        <w:t xml:space="preserve">the following research question: </w:t>
      </w:r>
    </w:p>
    <w:p w:rsidR="0000686B" w:rsidRPr="00231577" w:rsidRDefault="0000686B" w:rsidP="00514129">
      <w:pPr>
        <w:spacing w:before="240" w:line="240" w:lineRule="auto"/>
        <w:rPr>
          <w:rFonts w:asciiTheme="minorHAnsi" w:eastAsia="Calibri" w:hAnsiTheme="minorHAnsi"/>
          <w:b/>
          <w:i/>
          <w:szCs w:val="24"/>
        </w:rPr>
      </w:pPr>
      <w:r w:rsidRPr="00231577">
        <w:rPr>
          <w:rFonts w:asciiTheme="minorHAnsi" w:eastAsia="Calibri" w:hAnsiTheme="minorHAnsi"/>
          <w:b/>
          <w:i/>
          <w:szCs w:val="24"/>
        </w:rPr>
        <w:t xml:space="preserve">“Is ezetimibe being prescribed on the PBS in accordance with the restrictions for ezetimibe which require patients to be treated </w:t>
      </w:r>
      <w:r>
        <w:rPr>
          <w:rFonts w:asciiTheme="minorHAnsi" w:eastAsia="Calibri" w:hAnsiTheme="minorHAnsi"/>
          <w:b/>
          <w:i/>
          <w:szCs w:val="24"/>
        </w:rPr>
        <w:t xml:space="preserve">with </w:t>
      </w:r>
      <w:r w:rsidRPr="00231577">
        <w:rPr>
          <w:rFonts w:asciiTheme="minorHAnsi" w:eastAsia="Calibri" w:hAnsiTheme="minorHAnsi"/>
          <w:b/>
          <w:i/>
          <w:szCs w:val="24"/>
        </w:rPr>
        <w:t xml:space="preserve">a maximally tolerated dose of statin before initiation of treatment with ezetimibe?” </w:t>
      </w:r>
    </w:p>
    <w:p w:rsidR="0000686B" w:rsidRPr="00F03B50" w:rsidRDefault="0000686B" w:rsidP="00514129">
      <w:pPr>
        <w:spacing w:line="240" w:lineRule="auto"/>
        <w:rPr>
          <w:rFonts w:asciiTheme="minorHAnsi" w:eastAsia="Calibri" w:hAnsiTheme="minorHAnsi"/>
          <w:szCs w:val="24"/>
        </w:rPr>
      </w:pPr>
      <w:r w:rsidRPr="00B34830">
        <w:rPr>
          <w:rFonts w:asciiTheme="minorHAnsi" w:eastAsia="Calibri" w:hAnsiTheme="minorHAnsi"/>
          <w:szCs w:val="24"/>
        </w:rPr>
        <w:t>The following results are summarised from the full report</w:t>
      </w:r>
      <w:r w:rsidR="004462DB">
        <w:rPr>
          <w:rFonts w:asciiTheme="minorHAnsi" w:eastAsia="Calibri" w:hAnsiTheme="minorHAnsi"/>
          <w:szCs w:val="24"/>
        </w:rPr>
        <w:t xml:space="preserve"> </w:t>
      </w:r>
      <w:r w:rsidR="004462DB" w:rsidRPr="00391A90">
        <w:rPr>
          <w:rFonts w:asciiTheme="minorHAnsi" w:eastAsia="Calibri" w:hAnsiTheme="minorHAnsi"/>
          <w:b/>
          <w:szCs w:val="24"/>
          <w:highlight w:val="yellow"/>
        </w:rPr>
        <w:t>(</w:t>
      </w:r>
      <w:r w:rsidR="00391A90" w:rsidRPr="00391A90">
        <w:rPr>
          <w:rFonts w:asciiTheme="minorHAnsi" w:eastAsia="Calibri" w:hAnsiTheme="minorHAnsi"/>
          <w:b/>
          <w:szCs w:val="24"/>
          <w:highlight w:val="yellow"/>
        </w:rPr>
        <w:t xml:space="preserve">December 2016 and March 2017 </w:t>
      </w:r>
      <w:r w:rsidR="004462DB" w:rsidRPr="00391A90">
        <w:rPr>
          <w:rFonts w:asciiTheme="minorHAnsi" w:eastAsia="Calibri" w:hAnsiTheme="minorHAnsi"/>
          <w:b/>
          <w:szCs w:val="24"/>
          <w:highlight w:val="yellow"/>
        </w:rPr>
        <w:t>Analyses)</w:t>
      </w:r>
      <w:r w:rsidRPr="00B34830">
        <w:rPr>
          <w:rFonts w:asciiTheme="minorHAnsi" w:eastAsia="Calibri" w:hAnsiTheme="minorHAnsi"/>
          <w:szCs w:val="24"/>
        </w:rPr>
        <w:t xml:space="preserve"> of PBS</w:t>
      </w:r>
      <w:r w:rsidR="00752C36">
        <w:rPr>
          <w:rFonts w:asciiTheme="minorHAnsi" w:eastAsia="Calibri" w:hAnsiTheme="minorHAnsi"/>
          <w:szCs w:val="24"/>
        </w:rPr>
        <w:t> </w:t>
      </w:r>
      <w:r w:rsidRPr="00B34830">
        <w:rPr>
          <w:rFonts w:asciiTheme="minorHAnsi" w:eastAsia="Calibri" w:hAnsiTheme="minorHAnsi"/>
          <w:szCs w:val="24"/>
        </w:rPr>
        <w:t xml:space="preserve">ezetimibe utilisation prepared by the </w:t>
      </w:r>
      <w:r w:rsidRPr="00B34830">
        <w:rPr>
          <w:rFonts w:asciiTheme="minorHAnsi" w:hAnsiTheme="minorHAnsi"/>
          <w:szCs w:val="24"/>
        </w:rPr>
        <w:t>Centre for Population Health Research (CPHR), Deakin University</w:t>
      </w:r>
      <w:r w:rsidRPr="00B34830">
        <w:rPr>
          <w:rFonts w:asciiTheme="minorHAnsi" w:eastAsia="Calibri" w:hAnsiTheme="minorHAnsi"/>
          <w:szCs w:val="24"/>
        </w:rPr>
        <w:t xml:space="preserve">, provided at </w:t>
      </w:r>
      <w:r w:rsidRPr="00B34830">
        <w:rPr>
          <w:rFonts w:asciiTheme="minorHAnsi" w:eastAsia="Calibri" w:hAnsiTheme="minorHAnsi"/>
          <w:b/>
          <w:szCs w:val="24"/>
        </w:rPr>
        <w:t xml:space="preserve">Appendix </w:t>
      </w:r>
      <w:r>
        <w:rPr>
          <w:rFonts w:asciiTheme="minorHAnsi" w:eastAsia="Calibri" w:hAnsiTheme="minorHAnsi"/>
          <w:b/>
          <w:szCs w:val="24"/>
        </w:rPr>
        <w:t>E</w:t>
      </w:r>
      <w:r w:rsidRPr="00B34830">
        <w:rPr>
          <w:rFonts w:asciiTheme="minorHAnsi" w:eastAsia="Calibri" w:hAnsiTheme="minorHAnsi"/>
          <w:b/>
          <w:szCs w:val="24"/>
        </w:rPr>
        <w:t>.</w:t>
      </w:r>
    </w:p>
    <w:p w:rsidR="0000686B" w:rsidRPr="00231656" w:rsidRDefault="0000686B" w:rsidP="00514129">
      <w:pPr>
        <w:numPr>
          <w:ilvl w:val="0"/>
          <w:numId w:val="46"/>
        </w:numPr>
        <w:spacing w:after="120" w:line="240" w:lineRule="auto"/>
        <w:rPr>
          <w:rFonts w:asciiTheme="minorHAnsi" w:hAnsiTheme="minorHAnsi"/>
        </w:rPr>
      </w:pPr>
      <w:r w:rsidRPr="0099736A">
        <w:rPr>
          <w:rFonts w:asciiTheme="minorHAnsi" w:hAnsiTheme="minorHAnsi"/>
        </w:rPr>
        <w:t>The number of</w:t>
      </w:r>
      <w:r>
        <w:rPr>
          <w:rFonts w:asciiTheme="minorHAnsi" w:hAnsiTheme="minorHAnsi"/>
        </w:rPr>
        <w:t xml:space="preserve"> people initiating </w:t>
      </w:r>
      <w:r w:rsidRPr="0099736A">
        <w:rPr>
          <w:rFonts w:asciiTheme="minorHAnsi" w:hAnsiTheme="minorHAnsi"/>
        </w:rPr>
        <w:t>ezetimibe</w:t>
      </w:r>
      <w:r>
        <w:rPr>
          <w:rFonts w:asciiTheme="minorHAnsi" w:hAnsiTheme="minorHAnsi"/>
        </w:rPr>
        <w:t xml:space="preserve"> in 2014-15</w:t>
      </w:r>
      <w:r w:rsidRPr="0099736A">
        <w:rPr>
          <w:rFonts w:asciiTheme="minorHAnsi" w:hAnsiTheme="minorHAnsi"/>
        </w:rPr>
        <w:t xml:space="preserve"> </w:t>
      </w:r>
      <w:r>
        <w:rPr>
          <w:rFonts w:asciiTheme="minorHAnsi" w:hAnsiTheme="minorHAnsi"/>
        </w:rPr>
        <w:t>was 45,465.</w:t>
      </w:r>
    </w:p>
    <w:p w:rsidR="0000686B" w:rsidRPr="004462DB" w:rsidRDefault="0000686B" w:rsidP="00514129">
      <w:pPr>
        <w:numPr>
          <w:ilvl w:val="0"/>
          <w:numId w:val="45"/>
        </w:numPr>
        <w:spacing w:after="120" w:line="240" w:lineRule="auto"/>
        <w:rPr>
          <w:rFonts w:asciiTheme="minorHAnsi" w:hAnsiTheme="minorHAnsi"/>
        </w:rPr>
      </w:pPr>
      <w:r w:rsidRPr="004462DB">
        <w:rPr>
          <w:rFonts w:asciiTheme="minorHAnsi" w:hAnsiTheme="minorHAnsi"/>
        </w:rPr>
        <w:t xml:space="preserve">Analysis of all ezetimibe initiators in </w:t>
      </w:r>
      <w:r w:rsidR="00D4030E">
        <w:rPr>
          <w:rFonts w:asciiTheme="minorHAnsi" w:hAnsiTheme="minorHAnsi"/>
        </w:rPr>
        <w:t xml:space="preserve">the 12 month period from 1 April </w:t>
      </w:r>
      <w:r w:rsidRPr="004462DB">
        <w:rPr>
          <w:rFonts w:asciiTheme="minorHAnsi" w:hAnsiTheme="minorHAnsi"/>
        </w:rPr>
        <w:t>2014</w:t>
      </w:r>
      <w:r w:rsidR="00D4030E">
        <w:rPr>
          <w:rFonts w:asciiTheme="minorHAnsi" w:hAnsiTheme="minorHAnsi"/>
        </w:rPr>
        <w:t xml:space="preserve"> to 31 March 2015 (2014-2015)</w:t>
      </w:r>
      <w:r w:rsidRPr="004462DB">
        <w:rPr>
          <w:rFonts w:asciiTheme="minorHAnsi" w:hAnsiTheme="minorHAnsi"/>
        </w:rPr>
        <w:t xml:space="preserve"> found that 6,938 (or 15%) had no prior lipid lowering therapy dispensed in the prio</w:t>
      </w:r>
      <w:r w:rsidR="004462DB" w:rsidRPr="004462DB">
        <w:rPr>
          <w:rFonts w:asciiTheme="minorHAnsi" w:hAnsiTheme="minorHAnsi"/>
        </w:rPr>
        <w:t xml:space="preserve">r 24 months (Cohort 1) and </w:t>
      </w:r>
      <w:r w:rsidRPr="004462DB">
        <w:rPr>
          <w:rFonts w:asciiTheme="minorHAnsi" w:hAnsiTheme="minorHAnsi"/>
        </w:rPr>
        <w:t>38,707 (or 85%) had a</w:t>
      </w:r>
      <w:r w:rsidR="004462DB">
        <w:rPr>
          <w:rFonts w:asciiTheme="minorHAnsi" w:hAnsiTheme="minorHAnsi"/>
        </w:rPr>
        <w:t>t</w:t>
      </w:r>
      <w:r w:rsidRPr="004462DB">
        <w:rPr>
          <w:rFonts w:asciiTheme="minorHAnsi" w:hAnsiTheme="minorHAnsi"/>
        </w:rPr>
        <w:t xml:space="preserve"> least one lipid lowering </w:t>
      </w:r>
      <w:r w:rsidR="004462DB">
        <w:rPr>
          <w:rFonts w:asciiTheme="minorHAnsi" w:hAnsiTheme="minorHAnsi"/>
        </w:rPr>
        <w:t xml:space="preserve">prescription dispensed </w:t>
      </w:r>
      <w:r w:rsidRPr="004462DB">
        <w:rPr>
          <w:rFonts w:asciiTheme="minorHAnsi" w:hAnsiTheme="minorHAnsi"/>
        </w:rPr>
        <w:t xml:space="preserve">(Cohort 2) in the prior 24 months. The majority (97.7%) of </w:t>
      </w:r>
      <w:r w:rsidR="004462DB">
        <w:rPr>
          <w:rFonts w:asciiTheme="minorHAnsi" w:hAnsiTheme="minorHAnsi"/>
        </w:rPr>
        <w:t>Cohort 2</w:t>
      </w:r>
      <w:r w:rsidRPr="004462DB">
        <w:rPr>
          <w:rFonts w:asciiTheme="minorHAnsi" w:hAnsiTheme="minorHAnsi"/>
        </w:rPr>
        <w:t xml:space="preserve"> had received at least one statin prescription.</w:t>
      </w:r>
    </w:p>
    <w:p w:rsidR="0000686B" w:rsidRDefault="0000686B" w:rsidP="00514129">
      <w:pPr>
        <w:numPr>
          <w:ilvl w:val="0"/>
          <w:numId w:val="44"/>
        </w:numPr>
        <w:spacing w:after="120" w:line="240" w:lineRule="auto"/>
        <w:rPr>
          <w:rFonts w:asciiTheme="minorHAnsi" w:hAnsiTheme="minorHAnsi"/>
        </w:rPr>
      </w:pPr>
      <w:r w:rsidRPr="0099736A">
        <w:rPr>
          <w:rFonts w:asciiTheme="minorHAnsi" w:hAnsiTheme="minorHAnsi"/>
        </w:rPr>
        <w:t xml:space="preserve">A significant </w:t>
      </w:r>
      <w:r w:rsidR="004462DB">
        <w:rPr>
          <w:rFonts w:asciiTheme="minorHAnsi" w:hAnsiTheme="minorHAnsi"/>
        </w:rPr>
        <w:t>number 16,344 (</w:t>
      </w:r>
      <w:r>
        <w:rPr>
          <w:rFonts w:asciiTheme="minorHAnsi" w:hAnsiTheme="minorHAnsi"/>
        </w:rPr>
        <w:t>42.3%)</w:t>
      </w:r>
      <w:r w:rsidRPr="0099736A">
        <w:rPr>
          <w:rFonts w:asciiTheme="minorHAnsi" w:hAnsiTheme="minorHAnsi"/>
        </w:rPr>
        <w:t xml:space="preserve"> of Cohort 2</w:t>
      </w:r>
      <w:r>
        <w:rPr>
          <w:rFonts w:asciiTheme="minorHAnsi" w:hAnsiTheme="minorHAnsi"/>
        </w:rPr>
        <w:t xml:space="preserve"> had</w:t>
      </w:r>
      <w:r w:rsidR="004462DB">
        <w:rPr>
          <w:rFonts w:asciiTheme="minorHAnsi" w:hAnsiTheme="minorHAnsi"/>
        </w:rPr>
        <w:t xml:space="preserve"> filled </w:t>
      </w:r>
      <w:r>
        <w:rPr>
          <w:rFonts w:asciiTheme="minorHAnsi" w:hAnsiTheme="minorHAnsi"/>
        </w:rPr>
        <w:t>less than three statin prescriptions in the 6 months prior to</w:t>
      </w:r>
      <w:r w:rsidRPr="0099736A">
        <w:rPr>
          <w:rFonts w:asciiTheme="minorHAnsi" w:hAnsiTheme="minorHAnsi"/>
        </w:rPr>
        <w:t xml:space="preserve"> ezetimibe initiation</w:t>
      </w:r>
      <w:r>
        <w:rPr>
          <w:rFonts w:asciiTheme="minorHAnsi" w:hAnsiTheme="minorHAnsi"/>
        </w:rPr>
        <w:t xml:space="preserve">. While this study did not measure adherence specifically, there appears to be poor </w:t>
      </w:r>
      <w:r w:rsidRPr="002F234A">
        <w:rPr>
          <w:rFonts w:asciiTheme="minorHAnsi" w:hAnsiTheme="minorHAnsi"/>
        </w:rPr>
        <w:t>adherence to</w:t>
      </w:r>
      <w:r>
        <w:rPr>
          <w:rFonts w:asciiTheme="minorHAnsi" w:hAnsiTheme="minorHAnsi"/>
        </w:rPr>
        <w:t xml:space="preserve"> statin therapy prior to initiating ezetimibe in this group. </w:t>
      </w:r>
      <w:r w:rsidRPr="0099736A">
        <w:rPr>
          <w:rFonts w:asciiTheme="minorHAnsi" w:hAnsiTheme="minorHAnsi"/>
        </w:rPr>
        <w:t xml:space="preserve"> </w:t>
      </w:r>
    </w:p>
    <w:p w:rsidR="0000686B" w:rsidRPr="0099736A" w:rsidRDefault="0000686B" w:rsidP="00514129">
      <w:pPr>
        <w:numPr>
          <w:ilvl w:val="0"/>
          <w:numId w:val="43"/>
        </w:numPr>
        <w:spacing w:after="120" w:line="240" w:lineRule="auto"/>
        <w:rPr>
          <w:rFonts w:asciiTheme="minorHAnsi" w:hAnsiTheme="minorHAnsi"/>
        </w:rPr>
      </w:pPr>
      <w:r w:rsidRPr="0099736A">
        <w:rPr>
          <w:rFonts w:asciiTheme="minorHAnsi" w:hAnsiTheme="minorHAnsi"/>
        </w:rPr>
        <w:t xml:space="preserve">A large </w:t>
      </w:r>
      <w:r w:rsidR="004462DB">
        <w:rPr>
          <w:rFonts w:asciiTheme="minorHAnsi" w:hAnsiTheme="minorHAnsi"/>
        </w:rPr>
        <w:t xml:space="preserve">number 26,676 (69%) </w:t>
      </w:r>
      <w:r w:rsidRPr="0099736A">
        <w:rPr>
          <w:rFonts w:asciiTheme="minorHAnsi" w:hAnsiTheme="minorHAnsi"/>
        </w:rPr>
        <w:t>of Cohort 2 patients</w:t>
      </w:r>
      <w:r>
        <w:rPr>
          <w:rFonts w:asciiTheme="minorHAnsi" w:hAnsiTheme="minorHAnsi"/>
        </w:rPr>
        <w:t xml:space="preserve"> </w:t>
      </w:r>
      <w:r w:rsidRPr="0099736A">
        <w:rPr>
          <w:rFonts w:asciiTheme="minorHAnsi" w:hAnsiTheme="minorHAnsi"/>
        </w:rPr>
        <w:t>remained on the same statin (in terms of the potency or dose) throughout the</w:t>
      </w:r>
      <w:r>
        <w:rPr>
          <w:rFonts w:asciiTheme="minorHAnsi" w:hAnsiTheme="minorHAnsi"/>
        </w:rPr>
        <w:t xml:space="preserve"> 24 months</w:t>
      </w:r>
      <w:r w:rsidR="004462DB">
        <w:rPr>
          <w:rFonts w:asciiTheme="minorHAnsi" w:hAnsiTheme="minorHAnsi"/>
        </w:rPr>
        <w:t xml:space="preserve"> pre-ezetimibe period.</w:t>
      </w:r>
      <w:r>
        <w:rPr>
          <w:rFonts w:asciiTheme="minorHAnsi" w:hAnsiTheme="minorHAnsi"/>
        </w:rPr>
        <w:t xml:space="preserve"> It is not possible to know from PBS data if these people have been optimally treated with a statin, however approximately 20% (5,344) were receiving the highest dose of a high intensity statin.</w:t>
      </w:r>
    </w:p>
    <w:p w:rsidR="00D4030E" w:rsidRPr="00D4030E" w:rsidRDefault="004462DB" w:rsidP="00514129">
      <w:pPr>
        <w:pStyle w:val="ListParagraph"/>
        <w:numPr>
          <w:ilvl w:val="0"/>
          <w:numId w:val="42"/>
        </w:numPr>
        <w:spacing w:after="120" w:line="240" w:lineRule="auto"/>
        <w:ind w:left="426"/>
        <w:rPr>
          <w:rFonts w:asciiTheme="minorHAnsi" w:hAnsiTheme="minorHAnsi"/>
          <w:szCs w:val="24"/>
        </w:rPr>
      </w:pPr>
      <w:r w:rsidRPr="00D4030E">
        <w:rPr>
          <w:rFonts w:asciiTheme="minorHAnsi" w:hAnsiTheme="minorHAnsi"/>
        </w:rPr>
        <w:t xml:space="preserve">In </w:t>
      </w:r>
      <w:r w:rsidR="00A24486">
        <w:rPr>
          <w:rFonts w:asciiTheme="minorHAnsi" w:hAnsiTheme="minorHAnsi"/>
        </w:rPr>
        <w:t xml:space="preserve">the </w:t>
      </w:r>
      <w:r w:rsidR="00A24486" w:rsidRPr="00A24486">
        <w:rPr>
          <w:rFonts w:asciiTheme="minorHAnsi" w:eastAsia="Calibri" w:hAnsiTheme="minorHAnsi" w:cs="Times New Roman"/>
          <w:b/>
          <w:szCs w:val="24"/>
        </w:rPr>
        <w:t>December 2016 Analysis</w:t>
      </w:r>
      <w:r w:rsidR="00A24486" w:rsidRPr="00D4030E">
        <w:rPr>
          <w:rFonts w:asciiTheme="minorHAnsi" w:hAnsiTheme="minorHAnsi"/>
          <w:b/>
        </w:rPr>
        <w:t xml:space="preserve"> </w:t>
      </w:r>
      <w:r w:rsidRPr="00D4030E">
        <w:rPr>
          <w:rFonts w:asciiTheme="minorHAnsi" w:hAnsiTheme="minorHAnsi"/>
        </w:rPr>
        <w:t xml:space="preserve">the following groups were considered to have not complied with the PBS restriction for ezetimibe:  </w:t>
      </w:r>
    </w:p>
    <w:p w:rsidR="00D4030E" w:rsidRPr="00D4030E" w:rsidRDefault="004462DB" w:rsidP="00514129">
      <w:pPr>
        <w:numPr>
          <w:ilvl w:val="0"/>
          <w:numId w:val="13"/>
        </w:numPr>
        <w:spacing w:after="120" w:line="240" w:lineRule="auto"/>
        <w:ind w:left="357" w:hanging="357"/>
        <w:rPr>
          <w:rFonts w:asciiTheme="minorHAnsi" w:hAnsiTheme="minorHAnsi"/>
          <w:szCs w:val="24"/>
        </w:rPr>
      </w:pPr>
      <w:r>
        <w:rPr>
          <w:rFonts w:asciiTheme="minorHAnsi" w:hAnsiTheme="minorHAnsi"/>
        </w:rPr>
        <w:t>people in Cohort 1 who initiated ezetimibe in combination with a statin</w:t>
      </w:r>
      <w:r w:rsidR="00EE7629">
        <w:rPr>
          <w:rFonts w:asciiTheme="minorHAnsi" w:hAnsiTheme="minorHAnsi"/>
        </w:rPr>
        <w:t xml:space="preserve"> or later added statin </w:t>
      </w:r>
    </w:p>
    <w:p w:rsidR="00D4030E" w:rsidRPr="00D4030E" w:rsidRDefault="00D4030E" w:rsidP="00514129">
      <w:pPr>
        <w:numPr>
          <w:ilvl w:val="0"/>
          <w:numId w:val="13"/>
        </w:numPr>
        <w:spacing w:after="120" w:line="240" w:lineRule="auto"/>
        <w:ind w:left="357" w:hanging="357"/>
        <w:rPr>
          <w:rFonts w:asciiTheme="minorHAnsi" w:hAnsiTheme="minorHAnsi"/>
          <w:szCs w:val="24"/>
        </w:rPr>
      </w:pPr>
      <w:r>
        <w:rPr>
          <w:rFonts w:asciiTheme="minorHAnsi" w:hAnsiTheme="minorHAnsi"/>
        </w:rPr>
        <w:t xml:space="preserve">people </w:t>
      </w:r>
      <w:r w:rsidR="00EE7629">
        <w:rPr>
          <w:rFonts w:asciiTheme="minorHAnsi" w:hAnsiTheme="minorHAnsi"/>
        </w:rPr>
        <w:t xml:space="preserve">in Cohort 2 who up-titrated their statin dose or potency following initiation of ezetimibe. </w:t>
      </w:r>
    </w:p>
    <w:p w:rsidR="0000686B" w:rsidRPr="00B34830" w:rsidRDefault="00EE7629" w:rsidP="00514129">
      <w:pPr>
        <w:spacing w:after="120" w:line="240" w:lineRule="auto"/>
        <w:ind w:left="357"/>
        <w:rPr>
          <w:rFonts w:asciiTheme="minorHAnsi" w:hAnsiTheme="minorHAnsi"/>
          <w:szCs w:val="24"/>
        </w:rPr>
      </w:pPr>
      <w:r>
        <w:rPr>
          <w:rFonts w:asciiTheme="minorHAnsi" w:hAnsiTheme="minorHAnsi"/>
        </w:rPr>
        <w:t xml:space="preserve">On this basis </w:t>
      </w:r>
      <w:r w:rsidR="00A24486">
        <w:rPr>
          <w:rFonts w:asciiTheme="minorHAnsi" w:hAnsiTheme="minorHAnsi"/>
        </w:rPr>
        <w:t xml:space="preserve">the </w:t>
      </w:r>
      <w:r w:rsidR="00A24486">
        <w:rPr>
          <w:rFonts w:asciiTheme="minorHAnsi" w:eastAsia="Calibri" w:hAnsiTheme="minorHAnsi" w:cs="Times New Roman"/>
          <w:szCs w:val="24"/>
        </w:rPr>
        <w:t xml:space="preserve">December 2016 </w:t>
      </w:r>
      <w:r w:rsidR="00A24486" w:rsidRPr="00F45531">
        <w:rPr>
          <w:rFonts w:asciiTheme="minorHAnsi" w:eastAsia="Calibri" w:hAnsiTheme="minorHAnsi" w:cs="Times New Roman"/>
          <w:szCs w:val="24"/>
        </w:rPr>
        <w:t>Analysis</w:t>
      </w:r>
      <w:r w:rsidR="00A24486">
        <w:rPr>
          <w:rFonts w:asciiTheme="minorHAnsi" w:hAnsiTheme="minorHAnsi"/>
        </w:rPr>
        <w:t xml:space="preserve"> </w:t>
      </w:r>
      <w:r>
        <w:rPr>
          <w:rFonts w:asciiTheme="minorHAnsi" w:hAnsiTheme="minorHAnsi"/>
        </w:rPr>
        <w:t>estimated that 15.9% of new users of ezetimibe had not complied with the PBS restriction.</w:t>
      </w:r>
    </w:p>
    <w:p w:rsidR="00EE7629" w:rsidRPr="001A6A79" w:rsidRDefault="00EE7629" w:rsidP="00514129">
      <w:pPr>
        <w:spacing w:after="0" w:line="259" w:lineRule="auto"/>
        <w:rPr>
          <w:rFonts w:asciiTheme="minorHAnsi" w:eastAsia="Calibri" w:hAnsiTheme="minorHAnsi"/>
          <w:szCs w:val="24"/>
          <w:highlight w:val="yellow"/>
        </w:rPr>
      </w:pPr>
      <w:r w:rsidRPr="001A6A79">
        <w:rPr>
          <w:rFonts w:asciiTheme="minorHAnsi" w:eastAsia="Calibri" w:hAnsiTheme="minorHAnsi"/>
          <w:szCs w:val="24"/>
          <w:highlight w:val="yellow"/>
        </w:rPr>
        <w:lastRenderedPageBreak/>
        <w:t>F</w:t>
      </w:r>
      <w:r w:rsidR="0000686B" w:rsidRPr="001A6A79">
        <w:rPr>
          <w:rFonts w:asciiTheme="minorHAnsi" w:eastAsia="Calibri" w:hAnsiTheme="minorHAnsi"/>
          <w:szCs w:val="24"/>
          <w:highlight w:val="yellow"/>
        </w:rPr>
        <w:t>ollowing</w:t>
      </w:r>
      <w:r w:rsidRPr="001A6A79">
        <w:rPr>
          <w:rFonts w:asciiTheme="minorHAnsi" w:eastAsia="Calibri" w:hAnsiTheme="minorHAnsi"/>
          <w:szCs w:val="24"/>
          <w:highlight w:val="yellow"/>
        </w:rPr>
        <w:t xml:space="preserve"> DUSC consideration of </w:t>
      </w:r>
      <w:r w:rsidR="00A24486" w:rsidRPr="00A24486">
        <w:rPr>
          <w:rFonts w:asciiTheme="minorHAnsi" w:eastAsia="Calibri" w:hAnsiTheme="minorHAnsi"/>
          <w:szCs w:val="24"/>
          <w:highlight w:val="yellow"/>
        </w:rPr>
        <w:t xml:space="preserve">the </w:t>
      </w:r>
      <w:r w:rsidR="00A24486" w:rsidRPr="00A24486">
        <w:rPr>
          <w:rFonts w:asciiTheme="minorHAnsi" w:eastAsia="Calibri" w:hAnsiTheme="minorHAnsi" w:cs="Times New Roman"/>
          <w:szCs w:val="24"/>
          <w:highlight w:val="yellow"/>
        </w:rPr>
        <w:t>December 2016 Analysis</w:t>
      </w:r>
      <w:r w:rsidRPr="00A24486">
        <w:rPr>
          <w:rFonts w:asciiTheme="minorHAnsi" w:eastAsia="Calibri" w:hAnsiTheme="minorHAnsi"/>
          <w:szCs w:val="24"/>
          <w:highlight w:val="yellow"/>
        </w:rPr>
        <w:t xml:space="preserve">, a second </w:t>
      </w:r>
      <w:r w:rsidRPr="001A6A79">
        <w:rPr>
          <w:rFonts w:asciiTheme="minorHAnsi" w:eastAsia="Calibri" w:hAnsiTheme="minorHAnsi"/>
          <w:szCs w:val="24"/>
          <w:highlight w:val="yellow"/>
        </w:rPr>
        <w:t xml:space="preserve">analysis was conducted by </w:t>
      </w:r>
      <w:r w:rsidR="0000686B" w:rsidRPr="001A6A79">
        <w:rPr>
          <w:rFonts w:asciiTheme="minorHAnsi" w:eastAsia="Calibri" w:hAnsiTheme="minorHAnsi"/>
          <w:szCs w:val="24"/>
          <w:highlight w:val="yellow"/>
        </w:rPr>
        <w:t xml:space="preserve">the </w:t>
      </w:r>
      <w:r w:rsidR="0000686B" w:rsidRPr="001A6A79">
        <w:rPr>
          <w:rFonts w:asciiTheme="minorHAnsi" w:hAnsiTheme="minorHAnsi"/>
          <w:szCs w:val="24"/>
          <w:highlight w:val="yellow"/>
        </w:rPr>
        <w:t>Centre for Population Health Research (CPHR), Deakin University</w:t>
      </w:r>
      <w:r w:rsidR="0000686B" w:rsidRPr="001A6A79">
        <w:rPr>
          <w:rFonts w:asciiTheme="minorHAnsi" w:eastAsia="Calibri" w:hAnsiTheme="minorHAnsi"/>
          <w:szCs w:val="24"/>
          <w:highlight w:val="yellow"/>
        </w:rPr>
        <w:t xml:space="preserve">, provided at </w:t>
      </w:r>
      <w:r w:rsidR="0000686B" w:rsidRPr="001A6A79">
        <w:rPr>
          <w:rFonts w:asciiTheme="minorHAnsi" w:eastAsia="Calibri" w:hAnsiTheme="minorHAnsi"/>
          <w:b/>
          <w:szCs w:val="24"/>
          <w:highlight w:val="yellow"/>
        </w:rPr>
        <w:t>Appendix</w:t>
      </w:r>
      <w:r w:rsidRPr="001A6A79">
        <w:rPr>
          <w:rFonts w:asciiTheme="minorHAnsi" w:eastAsia="Calibri" w:hAnsiTheme="minorHAnsi"/>
          <w:b/>
          <w:szCs w:val="24"/>
          <w:highlight w:val="yellow"/>
        </w:rPr>
        <w:t xml:space="preserve"> E</w:t>
      </w:r>
      <w:r w:rsidR="004529EF">
        <w:rPr>
          <w:rFonts w:asciiTheme="minorHAnsi" w:eastAsia="Calibri" w:hAnsiTheme="minorHAnsi"/>
          <w:b/>
          <w:szCs w:val="24"/>
          <w:highlight w:val="yellow"/>
        </w:rPr>
        <w:t xml:space="preserve"> (</w:t>
      </w:r>
      <w:r w:rsidR="009A2D33">
        <w:rPr>
          <w:rFonts w:asciiTheme="minorHAnsi" w:eastAsia="Calibri" w:hAnsiTheme="minorHAnsi"/>
          <w:b/>
          <w:szCs w:val="24"/>
          <w:highlight w:val="yellow"/>
        </w:rPr>
        <w:t xml:space="preserve">Section 2.4 </w:t>
      </w:r>
      <w:r w:rsidRPr="001A6A79">
        <w:rPr>
          <w:rFonts w:asciiTheme="minorHAnsi" w:eastAsia="Calibri" w:hAnsiTheme="minorHAnsi"/>
          <w:b/>
          <w:szCs w:val="24"/>
          <w:highlight w:val="yellow"/>
        </w:rPr>
        <w:t>p.</w:t>
      </w:r>
      <w:r w:rsidR="0000686B" w:rsidRPr="001A6A79">
        <w:rPr>
          <w:rFonts w:asciiTheme="minorHAnsi" w:eastAsia="Calibri" w:hAnsiTheme="minorHAnsi"/>
          <w:b/>
          <w:szCs w:val="24"/>
          <w:highlight w:val="yellow"/>
        </w:rPr>
        <w:t xml:space="preserve"> </w:t>
      </w:r>
      <w:r w:rsidR="009F67BC">
        <w:rPr>
          <w:rFonts w:asciiTheme="minorHAnsi" w:eastAsia="Calibri" w:hAnsiTheme="minorHAnsi"/>
          <w:b/>
          <w:szCs w:val="24"/>
          <w:highlight w:val="yellow"/>
        </w:rPr>
        <w:t>8</w:t>
      </w:r>
      <w:r w:rsidR="004529EF">
        <w:rPr>
          <w:rFonts w:asciiTheme="minorHAnsi" w:eastAsia="Calibri" w:hAnsiTheme="minorHAnsi"/>
          <w:b/>
          <w:szCs w:val="24"/>
          <w:highlight w:val="yellow"/>
        </w:rPr>
        <w:t>)</w:t>
      </w:r>
      <w:r w:rsidR="0000686B" w:rsidRPr="001A6A79">
        <w:rPr>
          <w:rFonts w:asciiTheme="minorHAnsi" w:eastAsia="Calibri" w:hAnsiTheme="minorHAnsi"/>
          <w:b/>
          <w:szCs w:val="24"/>
          <w:highlight w:val="yellow"/>
        </w:rPr>
        <w:t>.</w:t>
      </w:r>
      <w:r w:rsidRPr="001A6A79">
        <w:rPr>
          <w:rFonts w:asciiTheme="minorHAnsi" w:eastAsia="Calibri" w:hAnsiTheme="minorHAnsi"/>
          <w:szCs w:val="24"/>
          <w:highlight w:val="yellow"/>
        </w:rPr>
        <w:t xml:space="preserve"> </w:t>
      </w:r>
      <w:r w:rsidR="009A2D33">
        <w:rPr>
          <w:rFonts w:asciiTheme="minorHAnsi" w:eastAsia="Calibri" w:hAnsiTheme="minorHAnsi"/>
          <w:szCs w:val="24"/>
          <w:highlight w:val="yellow"/>
        </w:rPr>
        <w:t xml:space="preserve">The </w:t>
      </w:r>
      <w:r w:rsidR="001751C4" w:rsidRPr="001751C4">
        <w:rPr>
          <w:rFonts w:asciiTheme="minorHAnsi" w:eastAsia="Calibri" w:hAnsiTheme="minorHAnsi"/>
          <w:b/>
          <w:szCs w:val="24"/>
          <w:highlight w:val="yellow"/>
        </w:rPr>
        <w:t xml:space="preserve">March 2017 </w:t>
      </w:r>
      <w:r w:rsidR="00294E37" w:rsidRPr="001A6A79">
        <w:rPr>
          <w:rFonts w:asciiTheme="minorHAnsi" w:eastAsia="Calibri" w:hAnsiTheme="minorHAnsi"/>
          <w:b/>
          <w:szCs w:val="24"/>
          <w:highlight w:val="yellow"/>
        </w:rPr>
        <w:t xml:space="preserve">Analysis </w:t>
      </w:r>
      <w:r w:rsidR="00294E37" w:rsidRPr="001A6A79">
        <w:rPr>
          <w:rFonts w:asciiTheme="minorHAnsi" w:eastAsia="Calibri" w:hAnsiTheme="minorHAnsi"/>
          <w:szCs w:val="24"/>
          <w:highlight w:val="yellow"/>
        </w:rPr>
        <w:t xml:space="preserve">was conducted in the same PBS dataset and the same Cohorts (1 and 2) as identified in </w:t>
      </w:r>
      <w:r w:rsidR="00A24486" w:rsidRPr="00A24486">
        <w:rPr>
          <w:rFonts w:asciiTheme="minorHAnsi" w:eastAsia="Calibri" w:hAnsiTheme="minorHAnsi"/>
          <w:szCs w:val="24"/>
          <w:highlight w:val="yellow"/>
        </w:rPr>
        <w:t xml:space="preserve">the </w:t>
      </w:r>
      <w:r w:rsidR="00A24486" w:rsidRPr="00A24486">
        <w:rPr>
          <w:rFonts w:asciiTheme="minorHAnsi" w:eastAsia="Calibri" w:hAnsiTheme="minorHAnsi" w:cs="Times New Roman"/>
          <w:szCs w:val="24"/>
          <w:highlight w:val="yellow"/>
        </w:rPr>
        <w:t>December 2016 Analysis</w:t>
      </w:r>
      <w:r w:rsidR="00294E37" w:rsidRPr="001A6A79">
        <w:rPr>
          <w:rFonts w:asciiTheme="minorHAnsi" w:eastAsia="Calibri" w:hAnsiTheme="minorHAnsi"/>
          <w:szCs w:val="24"/>
          <w:highlight w:val="yellow"/>
        </w:rPr>
        <w:t xml:space="preserve">. In addition, </w:t>
      </w:r>
      <w:r w:rsidR="001751C4">
        <w:rPr>
          <w:rFonts w:asciiTheme="minorHAnsi" w:eastAsia="Calibri" w:hAnsiTheme="minorHAnsi"/>
          <w:szCs w:val="24"/>
          <w:highlight w:val="yellow"/>
        </w:rPr>
        <w:t xml:space="preserve">the </w:t>
      </w:r>
      <w:r w:rsidR="001751C4" w:rsidRPr="001751C4">
        <w:rPr>
          <w:rFonts w:asciiTheme="minorHAnsi" w:eastAsia="Calibri" w:hAnsiTheme="minorHAnsi"/>
          <w:szCs w:val="24"/>
          <w:highlight w:val="yellow"/>
        </w:rPr>
        <w:t xml:space="preserve">March 2017 </w:t>
      </w:r>
      <w:r w:rsidRPr="001A6A79">
        <w:rPr>
          <w:rFonts w:asciiTheme="minorHAnsi" w:eastAsia="Calibri" w:hAnsiTheme="minorHAnsi"/>
          <w:szCs w:val="24"/>
          <w:highlight w:val="yellow"/>
        </w:rPr>
        <w:t xml:space="preserve">Analysis categorised all new users of ezetimibe </w:t>
      </w:r>
      <w:r w:rsidR="00294E37" w:rsidRPr="001A6A79">
        <w:rPr>
          <w:rFonts w:asciiTheme="minorHAnsi" w:eastAsia="Calibri" w:hAnsiTheme="minorHAnsi"/>
          <w:szCs w:val="24"/>
          <w:highlight w:val="yellow"/>
        </w:rPr>
        <w:t xml:space="preserve">according to both </w:t>
      </w:r>
      <w:r w:rsidRPr="001A6A79">
        <w:rPr>
          <w:rFonts w:asciiTheme="minorHAnsi" w:eastAsia="Calibri" w:hAnsiTheme="minorHAnsi"/>
          <w:szCs w:val="24"/>
          <w:highlight w:val="yellow"/>
        </w:rPr>
        <w:t>pre and post use of statins and other LLT into the following three groups:</w:t>
      </w:r>
    </w:p>
    <w:p w:rsidR="00EE7629" w:rsidRPr="001A6A79" w:rsidRDefault="00EE7629" w:rsidP="00514129">
      <w:pPr>
        <w:tabs>
          <w:tab w:val="left" w:pos="284"/>
        </w:tabs>
        <w:spacing w:after="0" w:line="240" w:lineRule="auto"/>
        <w:rPr>
          <w:rFonts w:ascii="Calibri" w:eastAsia="Times New Roman" w:hAnsi="Calibri" w:cs="Times New Roman"/>
          <w:szCs w:val="24"/>
          <w:highlight w:val="yellow"/>
          <w:lang w:eastAsia="zh-CN"/>
        </w:rPr>
      </w:pPr>
      <w:r w:rsidRPr="001A6A79">
        <w:rPr>
          <w:rFonts w:ascii="Calibri" w:eastAsia="Times New Roman" w:hAnsi="Calibri" w:cs="Times New Roman"/>
          <w:sz w:val="22"/>
          <w:highlight w:val="yellow"/>
          <w:lang w:eastAsia="zh-CN"/>
        </w:rPr>
        <w:t>•</w:t>
      </w:r>
      <w:r w:rsidRPr="001A6A79">
        <w:rPr>
          <w:rFonts w:ascii="Calibri" w:eastAsia="Times New Roman" w:hAnsi="Calibri" w:cs="Times New Roman"/>
          <w:sz w:val="22"/>
          <w:highlight w:val="yellow"/>
          <w:lang w:eastAsia="zh-CN"/>
        </w:rPr>
        <w:tab/>
      </w:r>
      <w:r w:rsidRPr="001A6A79">
        <w:rPr>
          <w:rFonts w:ascii="Calibri" w:eastAsia="Times New Roman" w:hAnsi="Calibri" w:cs="Times New Roman"/>
          <w:szCs w:val="24"/>
          <w:highlight w:val="yellow"/>
          <w:lang w:eastAsia="zh-CN"/>
        </w:rPr>
        <w:t>those initiating ezetimibe in accordance with the PBS restriction (</w:t>
      </w:r>
      <w:r w:rsidRPr="001A6A79">
        <w:rPr>
          <w:rFonts w:ascii="Calibri" w:eastAsia="Times New Roman" w:hAnsi="Calibri" w:cs="Times New Roman"/>
          <w:color w:val="00B050"/>
          <w:szCs w:val="24"/>
          <w:highlight w:val="yellow"/>
          <w:lang w:eastAsia="zh-CN"/>
        </w:rPr>
        <w:t>green</w:t>
      </w:r>
      <w:r w:rsidRPr="001A6A79">
        <w:rPr>
          <w:rFonts w:ascii="Calibri" w:eastAsia="Times New Roman" w:hAnsi="Calibri" w:cs="Times New Roman"/>
          <w:szCs w:val="24"/>
          <w:highlight w:val="yellow"/>
          <w:lang w:eastAsia="zh-CN"/>
        </w:rPr>
        <w:t xml:space="preserve">); </w:t>
      </w:r>
    </w:p>
    <w:p w:rsidR="00EE7629" w:rsidRPr="001A6A79" w:rsidRDefault="00EE7629" w:rsidP="00514129">
      <w:pPr>
        <w:tabs>
          <w:tab w:val="left" w:pos="284"/>
        </w:tabs>
        <w:spacing w:after="0" w:line="240" w:lineRule="auto"/>
        <w:ind w:left="284" w:hanging="284"/>
        <w:rPr>
          <w:rFonts w:ascii="Calibri" w:eastAsia="Times New Roman" w:hAnsi="Calibri" w:cs="Times New Roman"/>
          <w:szCs w:val="24"/>
          <w:highlight w:val="yellow"/>
          <w:lang w:eastAsia="zh-CN"/>
        </w:rPr>
      </w:pPr>
      <w:r w:rsidRPr="001A6A79">
        <w:rPr>
          <w:rFonts w:ascii="Calibri" w:eastAsia="Times New Roman" w:hAnsi="Calibri" w:cs="Times New Roman"/>
          <w:szCs w:val="24"/>
          <w:highlight w:val="yellow"/>
          <w:lang w:eastAsia="zh-CN"/>
        </w:rPr>
        <w:t>•</w:t>
      </w:r>
      <w:r w:rsidRPr="001A6A79">
        <w:rPr>
          <w:rFonts w:ascii="Calibri" w:eastAsia="Times New Roman" w:hAnsi="Calibri" w:cs="Times New Roman"/>
          <w:szCs w:val="24"/>
          <w:highlight w:val="yellow"/>
          <w:lang w:eastAsia="zh-CN"/>
        </w:rPr>
        <w:tab/>
        <w:t>those initiating ezetimibe in a manner that is not consistent with the PBS restriction (</w:t>
      </w:r>
      <w:r w:rsidRPr="001A6A79">
        <w:rPr>
          <w:rFonts w:ascii="Calibri" w:eastAsia="Times New Roman" w:hAnsi="Calibri" w:cs="Times New Roman"/>
          <w:color w:val="C00000"/>
          <w:szCs w:val="24"/>
          <w:highlight w:val="yellow"/>
          <w:lang w:eastAsia="zh-CN"/>
        </w:rPr>
        <w:t>red</w:t>
      </w:r>
      <w:r w:rsidRPr="001A6A79">
        <w:rPr>
          <w:rFonts w:ascii="Calibri" w:eastAsia="Times New Roman" w:hAnsi="Calibri" w:cs="Times New Roman"/>
          <w:szCs w:val="24"/>
          <w:highlight w:val="yellow"/>
          <w:lang w:eastAsia="zh-CN"/>
        </w:rPr>
        <w:t xml:space="preserve">); </w:t>
      </w:r>
    </w:p>
    <w:p w:rsidR="00EE7629" w:rsidRPr="001A6A79" w:rsidRDefault="00EE7629" w:rsidP="00514129">
      <w:pPr>
        <w:tabs>
          <w:tab w:val="left" w:pos="284"/>
        </w:tabs>
        <w:spacing w:after="0" w:line="259" w:lineRule="auto"/>
        <w:rPr>
          <w:rFonts w:ascii="Calibri" w:eastAsia="Times New Roman" w:hAnsi="Calibri" w:cs="Times New Roman"/>
          <w:szCs w:val="24"/>
          <w:highlight w:val="yellow"/>
          <w:lang w:eastAsia="zh-CN"/>
        </w:rPr>
      </w:pPr>
      <w:r w:rsidRPr="001A6A79">
        <w:rPr>
          <w:rFonts w:ascii="Calibri" w:eastAsia="Times New Roman" w:hAnsi="Calibri" w:cs="Times New Roman"/>
          <w:szCs w:val="24"/>
          <w:highlight w:val="yellow"/>
          <w:lang w:eastAsia="zh-CN"/>
        </w:rPr>
        <w:t>•</w:t>
      </w:r>
      <w:r w:rsidRPr="001A6A79">
        <w:rPr>
          <w:rFonts w:ascii="Calibri" w:eastAsia="Times New Roman" w:hAnsi="Calibri" w:cs="Times New Roman"/>
          <w:szCs w:val="24"/>
          <w:highlight w:val="yellow"/>
          <w:lang w:eastAsia="zh-CN"/>
        </w:rPr>
        <w:tab/>
        <w:t>the remainder for whom compliance with the PBS restriction is unknown (</w:t>
      </w:r>
      <w:r w:rsidRPr="001A6A79">
        <w:rPr>
          <w:rFonts w:ascii="Calibri" w:eastAsia="Times New Roman" w:hAnsi="Calibri" w:cs="Times New Roman"/>
          <w:color w:val="FF6600"/>
          <w:szCs w:val="24"/>
          <w:highlight w:val="yellow"/>
          <w:lang w:eastAsia="zh-CN"/>
        </w:rPr>
        <w:t>orange</w:t>
      </w:r>
      <w:r w:rsidRPr="001A6A79">
        <w:rPr>
          <w:rFonts w:ascii="Calibri" w:eastAsia="Times New Roman" w:hAnsi="Calibri" w:cs="Times New Roman"/>
          <w:szCs w:val="24"/>
          <w:highlight w:val="yellow"/>
          <w:lang w:eastAsia="zh-CN"/>
        </w:rPr>
        <w:t xml:space="preserve">).  </w:t>
      </w:r>
    </w:p>
    <w:p w:rsidR="00EE7629" w:rsidRPr="001A6A79" w:rsidRDefault="00EE7629" w:rsidP="00514129">
      <w:pPr>
        <w:spacing w:line="240" w:lineRule="auto"/>
        <w:rPr>
          <w:rFonts w:asciiTheme="minorHAnsi" w:eastAsia="Calibri" w:hAnsiTheme="minorHAnsi"/>
          <w:szCs w:val="24"/>
          <w:highlight w:val="yellow"/>
        </w:rPr>
      </w:pPr>
    </w:p>
    <w:p w:rsidR="00EE7629" w:rsidRDefault="001751C4" w:rsidP="00514129">
      <w:pPr>
        <w:pStyle w:val="ListParagraph"/>
        <w:numPr>
          <w:ilvl w:val="0"/>
          <w:numId w:val="42"/>
        </w:numPr>
        <w:spacing w:line="240" w:lineRule="auto"/>
        <w:ind w:left="284"/>
        <w:rPr>
          <w:rFonts w:asciiTheme="minorHAnsi" w:eastAsia="Calibri" w:hAnsiTheme="minorHAnsi" w:cs="Times New Roman"/>
          <w:szCs w:val="24"/>
          <w:highlight w:val="yellow"/>
        </w:rPr>
      </w:pPr>
      <w:r>
        <w:rPr>
          <w:rFonts w:asciiTheme="minorHAnsi" w:eastAsia="Calibri" w:hAnsiTheme="minorHAnsi" w:cs="Times New Roman"/>
          <w:b/>
          <w:szCs w:val="24"/>
          <w:highlight w:val="yellow"/>
        </w:rPr>
        <w:t xml:space="preserve">The </w:t>
      </w:r>
      <w:r w:rsidRPr="00DA79B6">
        <w:rPr>
          <w:rFonts w:asciiTheme="minorHAnsi" w:eastAsia="Calibri" w:hAnsiTheme="minorHAnsi" w:cs="Times New Roman"/>
          <w:b/>
          <w:szCs w:val="24"/>
          <w:highlight w:val="yellow"/>
        </w:rPr>
        <w:t xml:space="preserve">March 2017 </w:t>
      </w:r>
      <w:r w:rsidR="00EE7629" w:rsidRPr="001A6A79">
        <w:rPr>
          <w:rFonts w:asciiTheme="minorHAnsi" w:eastAsia="Calibri" w:hAnsiTheme="minorHAnsi" w:cs="Times New Roman"/>
          <w:b/>
          <w:szCs w:val="24"/>
          <w:highlight w:val="yellow"/>
        </w:rPr>
        <w:t xml:space="preserve">Analysis </w:t>
      </w:r>
      <w:r w:rsidR="00EE7629" w:rsidRPr="001A6A79">
        <w:rPr>
          <w:rFonts w:asciiTheme="minorHAnsi" w:eastAsia="Calibri" w:hAnsiTheme="minorHAnsi" w:cs="Times New Roman"/>
          <w:szCs w:val="24"/>
          <w:highlight w:val="yellow"/>
        </w:rPr>
        <w:t>found that 46.9 % of patients were in the ‘green’ group described above, 18.4% of patients were in the ‘red’ group and 34.8% of patients were in the ‘orange’ group.</w:t>
      </w:r>
    </w:p>
    <w:p w:rsidR="0011354D" w:rsidRPr="0011354D" w:rsidRDefault="0011354D" w:rsidP="00514129">
      <w:pPr>
        <w:pStyle w:val="ListParagraph"/>
        <w:numPr>
          <w:ilvl w:val="0"/>
          <w:numId w:val="42"/>
        </w:numPr>
        <w:spacing w:line="240" w:lineRule="auto"/>
        <w:ind w:left="284"/>
        <w:rPr>
          <w:rFonts w:asciiTheme="minorHAnsi" w:eastAsia="Calibri" w:hAnsiTheme="minorHAnsi" w:cs="Times New Roman"/>
          <w:szCs w:val="24"/>
          <w:highlight w:val="yellow"/>
        </w:rPr>
      </w:pPr>
      <w:r w:rsidRPr="0011354D">
        <w:rPr>
          <w:rFonts w:asciiTheme="minorHAnsi" w:eastAsia="Calibri" w:hAnsiTheme="minorHAnsi" w:cs="Times New Roman"/>
          <w:szCs w:val="24"/>
          <w:highlight w:val="yellow"/>
        </w:rPr>
        <w:t xml:space="preserve">The </w:t>
      </w:r>
      <w:r>
        <w:rPr>
          <w:rFonts w:asciiTheme="minorHAnsi" w:eastAsia="Calibri" w:hAnsiTheme="minorHAnsi" w:cs="Times New Roman"/>
          <w:szCs w:val="24"/>
          <w:highlight w:val="yellow"/>
        </w:rPr>
        <w:t>R</w:t>
      </w:r>
      <w:r w:rsidRPr="0011354D">
        <w:rPr>
          <w:rFonts w:asciiTheme="minorHAnsi" w:eastAsia="Calibri" w:hAnsiTheme="minorHAnsi" w:cs="Times New Roman"/>
          <w:szCs w:val="24"/>
          <w:highlight w:val="yellow"/>
        </w:rPr>
        <w:t xml:space="preserve">eference </w:t>
      </w:r>
      <w:r>
        <w:rPr>
          <w:rFonts w:asciiTheme="minorHAnsi" w:eastAsia="Calibri" w:hAnsiTheme="minorHAnsi" w:cs="Times New Roman"/>
          <w:szCs w:val="24"/>
          <w:highlight w:val="yellow"/>
        </w:rPr>
        <w:t>G</w:t>
      </w:r>
      <w:r w:rsidRPr="0011354D">
        <w:rPr>
          <w:rFonts w:asciiTheme="minorHAnsi" w:eastAsia="Calibri" w:hAnsiTheme="minorHAnsi" w:cs="Times New Roman"/>
          <w:szCs w:val="24"/>
          <w:highlight w:val="yellow"/>
        </w:rPr>
        <w:t>roup noted stak</w:t>
      </w:r>
      <w:r>
        <w:rPr>
          <w:rFonts w:asciiTheme="minorHAnsi" w:eastAsia="Calibri" w:hAnsiTheme="minorHAnsi" w:cs="Times New Roman"/>
          <w:szCs w:val="24"/>
          <w:highlight w:val="yellow"/>
        </w:rPr>
        <w:t>e</w:t>
      </w:r>
      <w:r w:rsidRPr="0011354D">
        <w:rPr>
          <w:rFonts w:asciiTheme="minorHAnsi" w:eastAsia="Calibri" w:hAnsiTheme="minorHAnsi" w:cs="Times New Roman"/>
          <w:szCs w:val="24"/>
          <w:highlight w:val="yellow"/>
        </w:rPr>
        <w:t>holder</w:t>
      </w:r>
      <w:r>
        <w:rPr>
          <w:rFonts w:asciiTheme="minorHAnsi" w:eastAsia="Calibri" w:hAnsiTheme="minorHAnsi" w:cs="Times New Roman"/>
          <w:szCs w:val="24"/>
          <w:highlight w:val="yellow"/>
        </w:rPr>
        <w:t xml:space="preserve"> input that acknowledged the prescribing of ezetimibe ahead of up-titration of statins to avoid</w:t>
      </w:r>
      <w:r w:rsidRPr="0011354D">
        <w:rPr>
          <w:rFonts w:asciiTheme="minorHAnsi" w:eastAsia="Calibri" w:hAnsiTheme="minorHAnsi" w:cs="Times New Roman"/>
          <w:szCs w:val="24"/>
          <w:highlight w:val="yellow"/>
        </w:rPr>
        <w:t xml:space="preserve"> </w:t>
      </w:r>
      <w:r w:rsidR="00C17B2A">
        <w:rPr>
          <w:rFonts w:asciiTheme="minorHAnsi" w:eastAsia="Calibri" w:hAnsiTheme="minorHAnsi" w:cs="Times New Roman"/>
          <w:szCs w:val="24"/>
          <w:highlight w:val="yellow"/>
        </w:rPr>
        <w:t xml:space="preserve">adverse </w:t>
      </w:r>
      <w:r w:rsidRPr="0011354D">
        <w:rPr>
          <w:rFonts w:asciiTheme="minorHAnsi" w:eastAsia="Calibri" w:hAnsiTheme="minorHAnsi" w:cs="Times New Roman"/>
          <w:szCs w:val="24"/>
          <w:highlight w:val="yellow"/>
        </w:rPr>
        <w:t>effect</w:t>
      </w:r>
      <w:r>
        <w:rPr>
          <w:rFonts w:asciiTheme="minorHAnsi" w:eastAsia="Calibri" w:hAnsiTheme="minorHAnsi" w:cs="Times New Roman"/>
          <w:szCs w:val="24"/>
          <w:highlight w:val="yellow"/>
        </w:rPr>
        <w:t>s.</w:t>
      </w:r>
      <w:r w:rsidRPr="0011354D">
        <w:rPr>
          <w:rFonts w:asciiTheme="minorHAnsi" w:eastAsia="Calibri" w:hAnsiTheme="minorHAnsi" w:cs="Times New Roman"/>
          <w:szCs w:val="24"/>
          <w:highlight w:val="yellow"/>
        </w:rPr>
        <w:t xml:space="preserve"> </w:t>
      </w:r>
    </w:p>
    <w:p w:rsidR="0000686B" w:rsidRPr="00B34830" w:rsidRDefault="003848A8" w:rsidP="00920324">
      <w:pPr>
        <w:pStyle w:val="Heading2"/>
      </w:pPr>
      <w:bookmarkStart w:id="48" w:name="_Toc482176942"/>
      <w:r>
        <w:t>1</w:t>
      </w:r>
      <w:r w:rsidR="00C05E80">
        <w:t>.</w:t>
      </w:r>
      <w:r w:rsidR="0000686B">
        <w:t>2</w:t>
      </w:r>
      <w:r w:rsidR="00F03B50">
        <w:tab/>
      </w:r>
      <w:r w:rsidR="0000686B" w:rsidRPr="00B34830">
        <w:t>Summary of ezetimibe utilisation analysis</w:t>
      </w:r>
      <w:bookmarkEnd w:id="48"/>
      <w:r w:rsidR="0000686B" w:rsidRPr="00B34830">
        <w:t xml:space="preserve"> </w:t>
      </w:r>
    </w:p>
    <w:p w:rsidR="0000686B" w:rsidRPr="00B34830" w:rsidRDefault="003848A8" w:rsidP="00514129">
      <w:pPr>
        <w:pStyle w:val="Heading3"/>
        <w:jc w:val="left"/>
      </w:pPr>
      <w:bookmarkStart w:id="49" w:name="_Toc482176943"/>
      <w:r>
        <w:t>1</w:t>
      </w:r>
      <w:r w:rsidR="00C05E80">
        <w:t>.</w:t>
      </w:r>
      <w:r w:rsidR="00F03B50">
        <w:t>2.1</w:t>
      </w:r>
      <w:r w:rsidR="00F03B50">
        <w:tab/>
      </w:r>
      <w:r w:rsidR="00920324">
        <w:tab/>
      </w:r>
      <w:r w:rsidR="0000686B" w:rsidRPr="00424CB2">
        <w:t xml:space="preserve">Methods – </w:t>
      </w:r>
      <w:r w:rsidR="00A24486">
        <w:rPr>
          <w:rFonts w:eastAsia="Calibri" w:cs="Times New Roman"/>
          <w:szCs w:val="24"/>
        </w:rPr>
        <w:t xml:space="preserve">December 2016 </w:t>
      </w:r>
      <w:r w:rsidR="00A24486" w:rsidRPr="00F45531">
        <w:rPr>
          <w:rFonts w:eastAsia="Calibri" w:cs="Times New Roman"/>
          <w:szCs w:val="24"/>
        </w:rPr>
        <w:t>Analysis</w:t>
      </w:r>
      <w:bookmarkEnd w:id="49"/>
      <w:r w:rsidR="00A24486" w:rsidRPr="00424CB2">
        <w:t xml:space="preserve"> </w:t>
      </w:r>
    </w:p>
    <w:p w:rsidR="0000686B" w:rsidRPr="00C46FCF" w:rsidRDefault="0000686B" w:rsidP="00514129">
      <w:pPr>
        <w:spacing w:line="240" w:lineRule="auto"/>
        <w:rPr>
          <w:rFonts w:asciiTheme="minorHAnsi" w:hAnsiTheme="minorHAnsi"/>
        </w:rPr>
      </w:pPr>
      <w:r w:rsidRPr="00C46FCF">
        <w:rPr>
          <w:rFonts w:asciiTheme="minorHAnsi" w:hAnsiTheme="minorHAnsi"/>
        </w:rPr>
        <w:t xml:space="preserve">Pharmacy claim data for all PBS prescriptions were used to analyse utilisation of ezetimibe in Australia. All PBS </w:t>
      </w:r>
      <w:r>
        <w:rPr>
          <w:rFonts w:asciiTheme="minorHAnsi" w:hAnsiTheme="minorHAnsi"/>
        </w:rPr>
        <w:t xml:space="preserve">medicines coded by the </w:t>
      </w:r>
      <w:r w:rsidRPr="00C46FCF">
        <w:rPr>
          <w:rFonts w:asciiTheme="minorHAnsi" w:hAnsiTheme="minorHAnsi"/>
        </w:rPr>
        <w:t>A</w:t>
      </w:r>
      <w:r>
        <w:rPr>
          <w:rFonts w:asciiTheme="minorHAnsi" w:hAnsiTheme="minorHAnsi"/>
        </w:rPr>
        <w:t xml:space="preserve">natomical </w:t>
      </w:r>
      <w:r w:rsidRPr="00C46FCF">
        <w:rPr>
          <w:rFonts w:asciiTheme="minorHAnsi" w:hAnsiTheme="minorHAnsi"/>
        </w:rPr>
        <w:t>T</w:t>
      </w:r>
      <w:r>
        <w:rPr>
          <w:rFonts w:asciiTheme="minorHAnsi" w:hAnsiTheme="minorHAnsi"/>
        </w:rPr>
        <w:t xml:space="preserve">herapeutic </w:t>
      </w:r>
      <w:r w:rsidRPr="00C46FCF">
        <w:rPr>
          <w:rFonts w:asciiTheme="minorHAnsi" w:hAnsiTheme="minorHAnsi"/>
        </w:rPr>
        <w:t>C</w:t>
      </w:r>
      <w:r>
        <w:rPr>
          <w:rFonts w:asciiTheme="minorHAnsi" w:hAnsiTheme="minorHAnsi"/>
        </w:rPr>
        <w:t>lassification (ATC)</w:t>
      </w:r>
      <w:r w:rsidRPr="00C46FCF">
        <w:rPr>
          <w:rFonts w:asciiTheme="minorHAnsi" w:hAnsiTheme="minorHAnsi"/>
        </w:rPr>
        <w:t xml:space="preserve"> C10</w:t>
      </w:r>
      <w:r>
        <w:rPr>
          <w:rFonts w:asciiTheme="minorHAnsi" w:hAnsiTheme="minorHAnsi"/>
        </w:rPr>
        <w:t xml:space="preserve"> </w:t>
      </w:r>
      <w:r w:rsidRPr="00C46FCF">
        <w:rPr>
          <w:rFonts w:asciiTheme="minorHAnsi" w:hAnsiTheme="minorHAnsi"/>
        </w:rPr>
        <w:t>dispensed from 1 April 2012 to 31 July 2016 were extracted from the PBS dataset (111.5</w:t>
      </w:r>
      <w:r>
        <w:rPr>
          <w:rFonts w:asciiTheme="minorHAnsi" w:hAnsiTheme="minorHAnsi"/>
        </w:rPr>
        <w:t> </w:t>
      </w:r>
      <w:r w:rsidRPr="00C46FCF">
        <w:rPr>
          <w:rFonts w:asciiTheme="minorHAnsi" w:hAnsiTheme="minorHAnsi"/>
        </w:rPr>
        <w:t>million records). The PBS dataset for this period contains records for all PBS prescriptions including those priced under the patient co-payment; it does not include private prescriptions or samples provided by industry. All records were sorted by date of supply</w:t>
      </w:r>
      <w:r>
        <w:rPr>
          <w:rFonts w:asciiTheme="minorHAnsi" w:hAnsiTheme="minorHAnsi"/>
        </w:rPr>
        <w:t>.</w:t>
      </w:r>
      <w:r w:rsidRPr="00C46FCF">
        <w:rPr>
          <w:rFonts w:asciiTheme="minorHAnsi" w:hAnsiTheme="minorHAnsi"/>
        </w:rPr>
        <w:t xml:space="preserve">  </w:t>
      </w:r>
    </w:p>
    <w:p w:rsidR="0000686B" w:rsidRDefault="0000686B" w:rsidP="00514129">
      <w:pPr>
        <w:spacing w:line="240" w:lineRule="auto"/>
        <w:rPr>
          <w:rFonts w:asciiTheme="minorHAnsi" w:hAnsiTheme="minorHAnsi"/>
        </w:rPr>
      </w:pPr>
      <w:r w:rsidRPr="00C46FCF">
        <w:rPr>
          <w:rFonts w:asciiTheme="minorHAnsi" w:hAnsiTheme="minorHAnsi"/>
        </w:rPr>
        <w:t>From this data</w:t>
      </w:r>
      <w:r>
        <w:rPr>
          <w:rFonts w:asciiTheme="minorHAnsi" w:hAnsiTheme="minorHAnsi"/>
        </w:rPr>
        <w:t xml:space="preserve"> </w:t>
      </w:r>
      <w:r w:rsidRPr="00C46FCF">
        <w:rPr>
          <w:rFonts w:asciiTheme="minorHAnsi" w:hAnsiTheme="minorHAnsi"/>
        </w:rPr>
        <w:t xml:space="preserve">set the eligible study population </w:t>
      </w:r>
      <w:r>
        <w:rPr>
          <w:rFonts w:asciiTheme="minorHAnsi" w:hAnsiTheme="minorHAnsi"/>
        </w:rPr>
        <w:t>was identified as</w:t>
      </w:r>
      <w:r w:rsidRPr="00C46FCF">
        <w:rPr>
          <w:rFonts w:asciiTheme="minorHAnsi" w:hAnsiTheme="minorHAnsi"/>
        </w:rPr>
        <w:t xml:space="preserve"> people who received their first dispensing supply of ezetimibe between 1 April 2014 and 31 March 2015</w:t>
      </w:r>
      <w:r>
        <w:rPr>
          <w:rFonts w:asciiTheme="minorHAnsi" w:hAnsiTheme="minorHAnsi"/>
        </w:rPr>
        <w:t xml:space="preserve">. </w:t>
      </w:r>
      <w:r w:rsidRPr="00C46FCF">
        <w:rPr>
          <w:rFonts w:asciiTheme="minorHAnsi" w:hAnsiTheme="minorHAnsi"/>
        </w:rPr>
        <w:t>Initiation to ezetimibe (index date) was determined on the basis that there was no previous dispensing of ezetimibe for a minimum of 24 months look back</w:t>
      </w:r>
      <w:r>
        <w:rPr>
          <w:rFonts w:asciiTheme="minorHAnsi" w:hAnsiTheme="minorHAnsi"/>
        </w:rPr>
        <w:t xml:space="preserve">. </w:t>
      </w:r>
      <w:r w:rsidRPr="00C46FCF">
        <w:rPr>
          <w:rFonts w:asciiTheme="minorHAnsi" w:hAnsiTheme="minorHAnsi"/>
        </w:rPr>
        <w:t xml:space="preserve"> </w:t>
      </w:r>
    </w:p>
    <w:p w:rsidR="0000686B" w:rsidRPr="00C46FCF" w:rsidRDefault="0000686B" w:rsidP="00514129">
      <w:pPr>
        <w:spacing w:line="240" w:lineRule="auto"/>
        <w:rPr>
          <w:rFonts w:asciiTheme="minorHAnsi" w:hAnsiTheme="minorHAnsi"/>
        </w:rPr>
      </w:pPr>
      <w:r w:rsidRPr="00C46FCF">
        <w:rPr>
          <w:rFonts w:asciiTheme="minorHAnsi" w:hAnsiTheme="minorHAnsi"/>
        </w:rPr>
        <w:t xml:space="preserve">The total </w:t>
      </w:r>
      <w:r>
        <w:rPr>
          <w:rFonts w:asciiTheme="minorHAnsi" w:hAnsiTheme="minorHAnsi"/>
        </w:rPr>
        <w:t xml:space="preserve">eligible </w:t>
      </w:r>
      <w:r w:rsidRPr="00C46FCF">
        <w:rPr>
          <w:rFonts w:asciiTheme="minorHAnsi" w:hAnsiTheme="minorHAnsi"/>
        </w:rPr>
        <w:t xml:space="preserve">population </w:t>
      </w:r>
      <w:r>
        <w:rPr>
          <w:rFonts w:asciiTheme="minorHAnsi" w:hAnsiTheme="minorHAnsi"/>
        </w:rPr>
        <w:t xml:space="preserve">of </w:t>
      </w:r>
      <w:r w:rsidRPr="00C46FCF">
        <w:rPr>
          <w:rFonts w:asciiTheme="minorHAnsi" w:hAnsiTheme="minorHAnsi"/>
        </w:rPr>
        <w:t>initi</w:t>
      </w:r>
      <w:r>
        <w:rPr>
          <w:rFonts w:asciiTheme="minorHAnsi" w:hAnsiTheme="minorHAnsi"/>
        </w:rPr>
        <w:t>ators to ezetimibe</w:t>
      </w:r>
      <w:r w:rsidRPr="00C46FCF">
        <w:rPr>
          <w:rFonts w:asciiTheme="minorHAnsi" w:hAnsiTheme="minorHAnsi"/>
        </w:rPr>
        <w:t xml:space="preserve"> was then divided into two cohorts for analysis:</w:t>
      </w:r>
    </w:p>
    <w:p w:rsidR="0000686B" w:rsidRPr="00C46FCF" w:rsidRDefault="0000686B" w:rsidP="00514129">
      <w:pPr>
        <w:numPr>
          <w:ilvl w:val="0"/>
          <w:numId w:val="10"/>
        </w:numPr>
        <w:spacing w:after="120" w:line="240" w:lineRule="auto"/>
        <w:ind w:left="714" w:hanging="357"/>
        <w:rPr>
          <w:rFonts w:asciiTheme="minorHAnsi" w:hAnsiTheme="minorHAnsi"/>
        </w:rPr>
      </w:pPr>
      <w:r w:rsidRPr="00C46FCF">
        <w:rPr>
          <w:rFonts w:asciiTheme="minorHAnsi" w:hAnsiTheme="minorHAnsi"/>
          <w:b/>
        </w:rPr>
        <w:t>Cohort 1</w:t>
      </w:r>
      <w:r w:rsidRPr="00C46FCF">
        <w:rPr>
          <w:rFonts w:asciiTheme="minorHAnsi" w:hAnsiTheme="minorHAnsi"/>
        </w:rPr>
        <w:t xml:space="preserve"> – people who did not receive any dispensing for a C10 medicine </w:t>
      </w:r>
      <w:r>
        <w:rPr>
          <w:rFonts w:asciiTheme="minorHAnsi" w:hAnsiTheme="minorHAnsi"/>
        </w:rPr>
        <w:t>(</w:t>
      </w:r>
      <w:r w:rsidRPr="00C46FCF">
        <w:rPr>
          <w:rFonts w:asciiTheme="minorHAnsi" w:hAnsiTheme="minorHAnsi"/>
        </w:rPr>
        <w:t>statin or other lipid lowering medicine</w:t>
      </w:r>
      <w:r>
        <w:rPr>
          <w:rFonts w:asciiTheme="minorHAnsi" w:hAnsiTheme="minorHAnsi"/>
        </w:rPr>
        <w:t>)</w:t>
      </w:r>
      <w:r w:rsidRPr="00C46FCF">
        <w:rPr>
          <w:rFonts w:asciiTheme="minorHAnsi" w:hAnsiTheme="minorHAnsi"/>
        </w:rPr>
        <w:t xml:space="preserve"> in the 24 months prior to initiation of ezetimibe.  </w:t>
      </w:r>
    </w:p>
    <w:p w:rsidR="0000686B" w:rsidRPr="00C46FCF" w:rsidRDefault="0000686B" w:rsidP="00514129">
      <w:pPr>
        <w:numPr>
          <w:ilvl w:val="0"/>
          <w:numId w:val="10"/>
        </w:numPr>
        <w:spacing w:after="120" w:line="240" w:lineRule="auto"/>
        <w:ind w:left="714" w:hanging="357"/>
        <w:rPr>
          <w:rFonts w:asciiTheme="minorHAnsi" w:hAnsiTheme="minorHAnsi"/>
        </w:rPr>
      </w:pPr>
      <w:r w:rsidRPr="00C46FCF">
        <w:rPr>
          <w:rFonts w:asciiTheme="minorHAnsi" w:hAnsiTheme="minorHAnsi"/>
          <w:b/>
        </w:rPr>
        <w:t>Cohort 2</w:t>
      </w:r>
      <w:r w:rsidRPr="00C46FCF">
        <w:rPr>
          <w:rFonts w:asciiTheme="minorHAnsi" w:hAnsiTheme="minorHAnsi"/>
        </w:rPr>
        <w:t xml:space="preserve"> – people who received one or more prescriptions of a C10 medicine in the 24 months prior to initiating ezetimibe</w:t>
      </w:r>
      <w:r>
        <w:rPr>
          <w:rFonts w:asciiTheme="minorHAnsi" w:hAnsiTheme="minorHAnsi"/>
        </w:rPr>
        <w:t>.</w:t>
      </w:r>
    </w:p>
    <w:p w:rsidR="0000686B" w:rsidRDefault="0000686B" w:rsidP="00514129">
      <w:pPr>
        <w:spacing w:line="240" w:lineRule="auto"/>
        <w:rPr>
          <w:rFonts w:asciiTheme="minorHAnsi" w:hAnsiTheme="minorHAnsi"/>
        </w:rPr>
      </w:pPr>
      <w:r w:rsidRPr="00C46FCF">
        <w:rPr>
          <w:rFonts w:asciiTheme="minorHAnsi" w:hAnsiTheme="minorHAnsi"/>
          <w:b/>
        </w:rPr>
        <w:lastRenderedPageBreak/>
        <w:t>Cohort 1 Analysis</w:t>
      </w:r>
      <w:r w:rsidRPr="00C46FCF">
        <w:rPr>
          <w:rFonts w:asciiTheme="minorHAnsi" w:hAnsiTheme="minorHAnsi"/>
        </w:rPr>
        <w:t xml:space="preserve"> - included follow-up of all lipid lowering medicines dispensed in the 12 months post the ezetimibe index date. </w:t>
      </w:r>
    </w:p>
    <w:p w:rsidR="0000686B" w:rsidRDefault="0000686B" w:rsidP="00514129">
      <w:pPr>
        <w:spacing w:line="240" w:lineRule="auto"/>
        <w:rPr>
          <w:rFonts w:asciiTheme="minorHAnsi" w:hAnsiTheme="minorHAnsi"/>
        </w:rPr>
      </w:pPr>
      <w:r w:rsidRPr="00C46FCF">
        <w:rPr>
          <w:rFonts w:asciiTheme="minorHAnsi" w:hAnsiTheme="minorHAnsi"/>
          <w:b/>
        </w:rPr>
        <w:t>Cohort 2 Analysis</w:t>
      </w:r>
      <w:r w:rsidRPr="00C46FCF">
        <w:rPr>
          <w:rFonts w:asciiTheme="minorHAnsi" w:hAnsiTheme="minorHAnsi"/>
        </w:rPr>
        <w:t xml:space="preserve"> – prior use of statins was analysed according: to the number of statins dispensed in the prior 2</w:t>
      </w:r>
      <w:r>
        <w:rPr>
          <w:rFonts w:asciiTheme="minorHAnsi" w:hAnsiTheme="minorHAnsi"/>
        </w:rPr>
        <w:t>4</w:t>
      </w:r>
      <w:r w:rsidRPr="00C46FCF">
        <w:rPr>
          <w:rFonts w:asciiTheme="minorHAnsi" w:hAnsiTheme="minorHAnsi"/>
        </w:rPr>
        <w:t xml:space="preserve"> months; the number of people continuously using statins </w:t>
      </w:r>
      <w:r>
        <w:rPr>
          <w:rFonts w:asciiTheme="minorHAnsi" w:hAnsiTheme="minorHAnsi"/>
        </w:rPr>
        <w:t>(three or more prescriptions) in the six</w:t>
      </w:r>
      <w:r w:rsidRPr="00C46FCF">
        <w:rPr>
          <w:rFonts w:asciiTheme="minorHAnsi" w:hAnsiTheme="minorHAnsi"/>
        </w:rPr>
        <w:t xml:space="preserve"> months prior to ezetimibe initiation; and the number of people with a switch </w:t>
      </w:r>
      <w:r>
        <w:rPr>
          <w:rFonts w:asciiTheme="minorHAnsi" w:hAnsiTheme="minorHAnsi"/>
        </w:rPr>
        <w:t xml:space="preserve">between statins </w:t>
      </w:r>
      <w:r w:rsidRPr="00C46FCF">
        <w:rPr>
          <w:rFonts w:asciiTheme="minorHAnsi" w:hAnsiTheme="minorHAnsi"/>
        </w:rPr>
        <w:t>or adjustment of statin dose.</w:t>
      </w:r>
      <w:r>
        <w:rPr>
          <w:rFonts w:asciiTheme="minorHAnsi" w:hAnsiTheme="minorHAnsi"/>
        </w:rPr>
        <w:t xml:space="preserve"> </w:t>
      </w:r>
    </w:p>
    <w:p w:rsidR="0000686B" w:rsidRDefault="0000686B" w:rsidP="00514129">
      <w:pPr>
        <w:spacing w:line="240" w:lineRule="auto"/>
        <w:rPr>
          <w:rFonts w:asciiTheme="minorHAnsi" w:hAnsiTheme="minorHAnsi"/>
        </w:rPr>
      </w:pPr>
      <w:r>
        <w:rPr>
          <w:rFonts w:asciiTheme="minorHAnsi" w:hAnsiTheme="minorHAnsi"/>
        </w:rPr>
        <w:t xml:space="preserve">Following the </w:t>
      </w:r>
      <w:r w:rsidRPr="00C46FCF">
        <w:rPr>
          <w:rFonts w:asciiTheme="minorHAnsi" w:hAnsiTheme="minorHAnsi"/>
        </w:rPr>
        <w:t>ezetimibe</w:t>
      </w:r>
      <w:r>
        <w:rPr>
          <w:rFonts w:asciiTheme="minorHAnsi" w:hAnsiTheme="minorHAnsi"/>
        </w:rPr>
        <w:t xml:space="preserve"> index date, </w:t>
      </w:r>
      <w:r w:rsidRPr="00454C1E">
        <w:rPr>
          <w:rFonts w:asciiTheme="minorHAnsi" w:hAnsiTheme="minorHAnsi"/>
        </w:rPr>
        <w:t xml:space="preserve">use of </w:t>
      </w:r>
      <w:r>
        <w:rPr>
          <w:rFonts w:asciiTheme="minorHAnsi" w:hAnsiTheme="minorHAnsi"/>
        </w:rPr>
        <w:t xml:space="preserve">any </w:t>
      </w:r>
      <w:r w:rsidRPr="00454C1E">
        <w:rPr>
          <w:rFonts w:asciiTheme="minorHAnsi" w:hAnsiTheme="minorHAnsi"/>
        </w:rPr>
        <w:t>C10 medic</w:t>
      </w:r>
      <w:r>
        <w:rPr>
          <w:rFonts w:asciiTheme="minorHAnsi" w:hAnsiTheme="minorHAnsi"/>
        </w:rPr>
        <w:t>i</w:t>
      </w:r>
      <w:r w:rsidRPr="00454C1E">
        <w:rPr>
          <w:rFonts w:asciiTheme="minorHAnsi" w:hAnsiTheme="minorHAnsi"/>
        </w:rPr>
        <w:t>nes was</w:t>
      </w:r>
      <w:r>
        <w:rPr>
          <w:rFonts w:asciiTheme="minorHAnsi" w:hAnsiTheme="minorHAnsi"/>
        </w:rPr>
        <w:t xml:space="preserve"> </w:t>
      </w:r>
      <w:r w:rsidRPr="00454C1E">
        <w:rPr>
          <w:rFonts w:asciiTheme="minorHAnsi" w:hAnsiTheme="minorHAnsi"/>
        </w:rPr>
        <w:t xml:space="preserve">followed for 12 months </w:t>
      </w:r>
      <w:r>
        <w:rPr>
          <w:rFonts w:asciiTheme="minorHAnsi" w:hAnsiTheme="minorHAnsi"/>
        </w:rPr>
        <w:t xml:space="preserve">for </w:t>
      </w:r>
      <w:r w:rsidRPr="00454C1E">
        <w:rPr>
          <w:rFonts w:asciiTheme="minorHAnsi" w:hAnsiTheme="minorHAnsi"/>
        </w:rPr>
        <w:t xml:space="preserve">all individuals in Cohort </w:t>
      </w:r>
      <w:r>
        <w:rPr>
          <w:rFonts w:asciiTheme="minorHAnsi" w:hAnsiTheme="minorHAnsi"/>
        </w:rPr>
        <w:t>2.</w:t>
      </w:r>
    </w:p>
    <w:p w:rsidR="0000686B" w:rsidRPr="00B34830" w:rsidRDefault="003848A8" w:rsidP="00514129">
      <w:pPr>
        <w:pStyle w:val="Heading3"/>
        <w:jc w:val="left"/>
      </w:pPr>
      <w:bookmarkStart w:id="50" w:name="_Toc482176944"/>
      <w:r>
        <w:t>1</w:t>
      </w:r>
      <w:r w:rsidR="00C05E80">
        <w:t>.</w:t>
      </w:r>
      <w:r w:rsidR="0000686B" w:rsidRPr="00424CB2">
        <w:t>2.2</w:t>
      </w:r>
      <w:r w:rsidR="0000686B" w:rsidRPr="00424CB2">
        <w:tab/>
        <w:t xml:space="preserve">Results - </w:t>
      </w:r>
      <w:r w:rsidR="00A24486">
        <w:rPr>
          <w:rFonts w:eastAsia="Calibri" w:cs="Times New Roman"/>
          <w:szCs w:val="24"/>
        </w:rPr>
        <w:t xml:space="preserve">December 2016 </w:t>
      </w:r>
      <w:r w:rsidR="00A24486" w:rsidRPr="00F45531">
        <w:rPr>
          <w:rFonts w:eastAsia="Calibri" w:cs="Times New Roman"/>
          <w:szCs w:val="24"/>
        </w:rPr>
        <w:t>Analysis</w:t>
      </w:r>
      <w:bookmarkEnd w:id="50"/>
      <w:r w:rsidR="00A24486" w:rsidRPr="00424CB2">
        <w:t xml:space="preserve"> </w:t>
      </w:r>
    </w:p>
    <w:p w:rsidR="0000686B" w:rsidRDefault="0000686B" w:rsidP="00514129">
      <w:pPr>
        <w:spacing w:line="240" w:lineRule="auto"/>
        <w:rPr>
          <w:rFonts w:asciiTheme="minorHAnsi" w:hAnsiTheme="minorHAnsi"/>
        </w:rPr>
      </w:pPr>
      <w:r w:rsidRPr="00C46FCF">
        <w:rPr>
          <w:rFonts w:asciiTheme="minorHAnsi" w:hAnsiTheme="minorHAnsi"/>
        </w:rPr>
        <w:t>A total of 45,645 patients were initiated on ezetimibe in the 12 months from April 2014 to March 2015. Just over 15% (n=6,938) of these patients had no prior dispensing for any lipid lowering medicines in the previous 24 months (</w:t>
      </w:r>
      <w:r w:rsidRPr="00C46FCF">
        <w:rPr>
          <w:rFonts w:asciiTheme="minorHAnsi" w:hAnsiTheme="minorHAnsi"/>
          <w:b/>
        </w:rPr>
        <w:t>Cohort</w:t>
      </w:r>
      <w:r>
        <w:rPr>
          <w:rFonts w:asciiTheme="minorHAnsi" w:hAnsiTheme="minorHAnsi"/>
          <w:b/>
        </w:rPr>
        <w:t xml:space="preserve"> </w:t>
      </w:r>
      <w:r w:rsidRPr="00C46FCF">
        <w:rPr>
          <w:rFonts w:asciiTheme="minorHAnsi" w:hAnsiTheme="minorHAnsi"/>
          <w:b/>
        </w:rPr>
        <w:t>1</w:t>
      </w:r>
      <w:r w:rsidRPr="00C46FCF">
        <w:rPr>
          <w:rFonts w:asciiTheme="minorHAnsi" w:hAnsiTheme="minorHAnsi"/>
        </w:rPr>
        <w:t>); 85% (n=38,707) had received at least one prescription for a C10 medicine (</w:t>
      </w:r>
      <w:r w:rsidRPr="00C46FCF">
        <w:rPr>
          <w:rFonts w:asciiTheme="minorHAnsi" w:hAnsiTheme="minorHAnsi"/>
          <w:b/>
        </w:rPr>
        <w:t>Cohort 2</w:t>
      </w:r>
      <w:r w:rsidRPr="00C46FCF">
        <w:rPr>
          <w:rFonts w:asciiTheme="minorHAnsi" w:hAnsiTheme="minorHAnsi"/>
        </w:rPr>
        <w:t>).</w:t>
      </w:r>
    </w:p>
    <w:p w:rsidR="0000686B" w:rsidRPr="00C46FCF" w:rsidRDefault="0000686B" w:rsidP="00514129">
      <w:pPr>
        <w:spacing w:line="240" w:lineRule="auto"/>
        <w:rPr>
          <w:rFonts w:asciiTheme="minorHAnsi" w:hAnsiTheme="minorHAnsi"/>
        </w:rPr>
      </w:pPr>
      <w:r>
        <w:rPr>
          <w:rFonts w:asciiTheme="minorHAnsi" w:hAnsiTheme="minorHAnsi"/>
        </w:rPr>
        <w:t>A summary of the population first prescribed ezetimibe between 1 April 2014 and 1 April 2015 is shown in the following table:</w:t>
      </w:r>
    </w:p>
    <w:p w:rsidR="0000686B" w:rsidRPr="00B34830" w:rsidRDefault="0000686B" w:rsidP="00514129">
      <w:pPr>
        <w:spacing w:before="200" w:after="20" w:line="240" w:lineRule="auto"/>
        <w:rPr>
          <w:rFonts w:asciiTheme="minorHAnsi" w:hAnsiTheme="minorHAnsi"/>
          <w:b/>
          <w:szCs w:val="24"/>
        </w:rPr>
      </w:pPr>
      <w:r w:rsidRPr="00B34830">
        <w:rPr>
          <w:rFonts w:asciiTheme="minorHAnsi" w:hAnsiTheme="minorHAnsi"/>
          <w:b/>
          <w:szCs w:val="24"/>
        </w:rPr>
        <w:t>Table 3</w:t>
      </w:r>
      <w:r>
        <w:rPr>
          <w:rFonts w:asciiTheme="minorHAnsi" w:hAnsiTheme="minorHAnsi"/>
          <w:b/>
          <w:szCs w:val="24"/>
        </w:rPr>
        <w:t>:</w:t>
      </w:r>
      <w:r w:rsidRPr="00B34830">
        <w:rPr>
          <w:rFonts w:asciiTheme="minorHAnsi" w:hAnsiTheme="minorHAnsi"/>
          <w:b/>
          <w:szCs w:val="24"/>
        </w:rPr>
        <w:t xml:space="preserve"> Summary of the population first prescribed ezetimibe in the base year</w:t>
      </w:r>
    </w:p>
    <w:tbl>
      <w:tblPr>
        <w:tblW w:w="0" w:type="auto"/>
        <w:tblLook w:val="04A0" w:firstRow="1" w:lastRow="0" w:firstColumn="1" w:lastColumn="0" w:noHBand="0" w:noVBand="1"/>
      </w:tblPr>
      <w:tblGrid>
        <w:gridCol w:w="1280"/>
        <w:gridCol w:w="1595"/>
        <w:gridCol w:w="2788"/>
        <w:gridCol w:w="2859"/>
      </w:tblGrid>
      <w:tr w:rsidR="0000686B" w:rsidRPr="00475263" w:rsidTr="005879E3">
        <w:tc>
          <w:tcPr>
            <w:tcW w:w="1355" w:type="dxa"/>
            <w:shd w:val="clear" w:color="auto" w:fill="BFBFBF" w:themeFill="background1" w:themeFillShade="BF"/>
          </w:tcPr>
          <w:p w:rsidR="0000686B" w:rsidRPr="00475263" w:rsidRDefault="0000686B" w:rsidP="00203087">
            <w:pPr>
              <w:spacing w:before="60" w:after="60"/>
              <w:jc w:val="left"/>
              <w:rPr>
                <w:rFonts w:asciiTheme="minorHAnsi" w:hAnsiTheme="minorHAnsi"/>
                <w:b/>
              </w:rPr>
            </w:pPr>
          </w:p>
        </w:tc>
        <w:tc>
          <w:tcPr>
            <w:tcW w:w="1703" w:type="dxa"/>
            <w:shd w:val="clear" w:color="auto" w:fill="BFBFBF" w:themeFill="background1" w:themeFillShade="BF"/>
          </w:tcPr>
          <w:p w:rsidR="0000686B" w:rsidRPr="00475263" w:rsidRDefault="0000686B" w:rsidP="00203087">
            <w:pPr>
              <w:spacing w:before="60" w:after="60"/>
              <w:jc w:val="left"/>
              <w:rPr>
                <w:rFonts w:asciiTheme="minorHAnsi" w:hAnsiTheme="minorHAnsi"/>
                <w:b/>
              </w:rPr>
            </w:pPr>
            <w:r w:rsidRPr="00475263">
              <w:rPr>
                <w:rFonts w:asciiTheme="minorHAnsi" w:hAnsiTheme="minorHAnsi"/>
                <w:b/>
              </w:rPr>
              <w:t xml:space="preserve">Number of patients </w:t>
            </w:r>
          </w:p>
        </w:tc>
        <w:tc>
          <w:tcPr>
            <w:tcW w:w="3033" w:type="dxa"/>
            <w:shd w:val="clear" w:color="auto" w:fill="BFBFBF" w:themeFill="background1" w:themeFillShade="BF"/>
          </w:tcPr>
          <w:p w:rsidR="0000686B" w:rsidRPr="00475263" w:rsidRDefault="0000686B" w:rsidP="00203087">
            <w:pPr>
              <w:spacing w:before="60" w:after="60"/>
              <w:jc w:val="left"/>
              <w:rPr>
                <w:rFonts w:asciiTheme="minorHAnsi" w:hAnsiTheme="minorHAnsi"/>
                <w:b/>
              </w:rPr>
            </w:pPr>
            <w:r w:rsidRPr="00475263">
              <w:rPr>
                <w:rFonts w:asciiTheme="minorHAnsi" w:hAnsiTheme="minorHAnsi"/>
                <w:b/>
              </w:rPr>
              <w:t>Mean number (SD) of statin prescriptions dispensed in 24</w:t>
            </w:r>
            <w:r>
              <w:rPr>
                <w:rFonts w:asciiTheme="minorHAnsi" w:hAnsiTheme="minorHAnsi"/>
                <w:b/>
              </w:rPr>
              <w:t> </w:t>
            </w:r>
            <w:r w:rsidRPr="00475263">
              <w:rPr>
                <w:rFonts w:asciiTheme="minorHAnsi" w:hAnsiTheme="minorHAnsi"/>
                <w:b/>
              </w:rPr>
              <w:t>months prior to ezetimibe initiation</w:t>
            </w:r>
          </w:p>
        </w:tc>
        <w:tc>
          <w:tcPr>
            <w:tcW w:w="3118" w:type="dxa"/>
            <w:shd w:val="clear" w:color="auto" w:fill="BFBFBF" w:themeFill="background1" w:themeFillShade="BF"/>
          </w:tcPr>
          <w:p w:rsidR="0000686B" w:rsidRPr="00475263" w:rsidRDefault="0000686B" w:rsidP="00203087">
            <w:pPr>
              <w:spacing w:before="60" w:after="60"/>
              <w:jc w:val="left"/>
              <w:rPr>
                <w:rFonts w:asciiTheme="minorHAnsi" w:hAnsiTheme="minorHAnsi"/>
                <w:b/>
              </w:rPr>
            </w:pPr>
            <w:r w:rsidRPr="00475263">
              <w:rPr>
                <w:rFonts w:asciiTheme="minorHAnsi" w:hAnsiTheme="minorHAnsi"/>
                <w:b/>
              </w:rPr>
              <w:t>Mean number (SD) of non-statin prescriptions dispensed in 24</w:t>
            </w:r>
            <w:r>
              <w:rPr>
                <w:rFonts w:asciiTheme="minorHAnsi" w:hAnsiTheme="minorHAnsi"/>
                <w:b/>
              </w:rPr>
              <w:t> </w:t>
            </w:r>
            <w:r w:rsidRPr="00475263">
              <w:rPr>
                <w:rFonts w:asciiTheme="minorHAnsi" w:hAnsiTheme="minorHAnsi"/>
                <w:b/>
              </w:rPr>
              <w:t>months prior to ezetimibe initiation</w:t>
            </w:r>
          </w:p>
        </w:tc>
      </w:tr>
      <w:tr w:rsidR="0000686B" w:rsidRPr="00475263" w:rsidTr="005879E3">
        <w:tc>
          <w:tcPr>
            <w:tcW w:w="1355" w:type="dxa"/>
          </w:tcPr>
          <w:p w:rsidR="0000686B" w:rsidRPr="00475263" w:rsidRDefault="0000686B" w:rsidP="00514129">
            <w:pPr>
              <w:spacing w:before="60" w:after="60"/>
              <w:rPr>
                <w:rFonts w:asciiTheme="minorHAnsi" w:hAnsiTheme="minorHAnsi"/>
              </w:rPr>
            </w:pPr>
            <w:r w:rsidRPr="00475263">
              <w:rPr>
                <w:rFonts w:asciiTheme="minorHAnsi" w:hAnsiTheme="minorHAnsi"/>
              </w:rPr>
              <w:t>Cohort 1</w:t>
            </w:r>
          </w:p>
        </w:tc>
        <w:tc>
          <w:tcPr>
            <w:tcW w:w="1703" w:type="dxa"/>
          </w:tcPr>
          <w:p w:rsidR="0000686B" w:rsidRPr="00475263" w:rsidRDefault="0000686B" w:rsidP="00514129">
            <w:pPr>
              <w:spacing w:before="60" w:after="60"/>
              <w:rPr>
                <w:rFonts w:asciiTheme="minorHAnsi" w:hAnsiTheme="minorHAnsi"/>
                <w:b/>
                <w:i/>
                <w:color w:val="000000"/>
                <w:u w:val="single"/>
              </w:rPr>
            </w:pPr>
            <w:r w:rsidRPr="00475263">
              <w:rPr>
                <w:rFonts w:asciiTheme="minorHAnsi" w:hAnsiTheme="minorHAnsi"/>
              </w:rPr>
              <w:t>6,938 (15%)</w:t>
            </w:r>
          </w:p>
        </w:tc>
        <w:tc>
          <w:tcPr>
            <w:tcW w:w="3033" w:type="dxa"/>
          </w:tcPr>
          <w:p w:rsidR="0000686B" w:rsidRPr="00475263" w:rsidRDefault="0000686B" w:rsidP="00514129">
            <w:pPr>
              <w:spacing w:before="60" w:after="60"/>
              <w:rPr>
                <w:rFonts w:asciiTheme="minorHAnsi" w:hAnsiTheme="minorHAnsi"/>
                <w:b/>
                <w:i/>
                <w:color w:val="000000"/>
                <w:u w:val="single"/>
              </w:rPr>
            </w:pPr>
            <w:r w:rsidRPr="00475263">
              <w:rPr>
                <w:rFonts w:asciiTheme="minorHAnsi" w:hAnsiTheme="minorHAnsi"/>
              </w:rPr>
              <w:t>0</w:t>
            </w:r>
          </w:p>
          <w:p w:rsidR="0000686B" w:rsidRPr="00475263" w:rsidRDefault="0000686B" w:rsidP="00514129">
            <w:pPr>
              <w:spacing w:before="60" w:after="60"/>
              <w:rPr>
                <w:rFonts w:asciiTheme="minorHAnsi" w:hAnsiTheme="minorHAnsi"/>
              </w:rPr>
            </w:pPr>
          </w:p>
        </w:tc>
        <w:tc>
          <w:tcPr>
            <w:tcW w:w="3118" w:type="dxa"/>
          </w:tcPr>
          <w:p w:rsidR="0000686B" w:rsidRPr="00475263" w:rsidRDefault="0000686B" w:rsidP="00514129">
            <w:pPr>
              <w:spacing w:before="60" w:after="60"/>
              <w:rPr>
                <w:rFonts w:asciiTheme="minorHAnsi" w:hAnsiTheme="minorHAnsi"/>
                <w:b/>
                <w:i/>
                <w:color w:val="000000"/>
                <w:u w:val="single"/>
              </w:rPr>
            </w:pPr>
            <w:r w:rsidRPr="00475263">
              <w:rPr>
                <w:rFonts w:asciiTheme="minorHAnsi" w:hAnsiTheme="minorHAnsi"/>
              </w:rPr>
              <w:t>0</w:t>
            </w:r>
          </w:p>
        </w:tc>
      </w:tr>
      <w:tr w:rsidR="0000686B" w:rsidRPr="00475263" w:rsidTr="005879E3">
        <w:tc>
          <w:tcPr>
            <w:tcW w:w="1355" w:type="dxa"/>
          </w:tcPr>
          <w:p w:rsidR="0000686B" w:rsidRPr="00475263" w:rsidRDefault="0000686B" w:rsidP="00514129">
            <w:pPr>
              <w:spacing w:before="60" w:after="60"/>
              <w:rPr>
                <w:rFonts w:asciiTheme="minorHAnsi" w:hAnsiTheme="minorHAnsi"/>
                <w:b/>
                <w:i/>
                <w:color w:val="000000"/>
                <w:u w:val="single"/>
              </w:rPr>
            </w:pPr>
            <w:r w:rsidRPr="00475263">
              <w:rPr>
                <w:rFonts w:asciiTheme="minorHAnsi" w:hAnsiTheme="minorHAnsi"/>
              </w:rPr>
              <w:t>Cohort 2</w:t>
            </w:r>
          </w:p>
        </w:tc>
        <w:tc>
          <w:tcPr>
            <w:tcW w:w="1703" w:type="dxa"/>
          </w:tcPr>
          <w:p w:rsidR="0000686B" w:rsidRPr="00475263" w:rsidRDefault="0000686B" w:rsidP="00514129">
            <w:pPr>
              <w:spacing w:before="60" w:after="60"/>
              <w:rPr>
                <w:rFonts w:asciiTheme="minorHAnsi" w:hAnsiTheme="minorHAnsi"/>
                <w:b/>
                <w:i/>
                <w:color w:val="000000"/>
                <w:u w:val="single"/>
              </w:rPr>
            </w:pPr>
            <w:r w:rsidRPr="00475263">
              <w:rPr>
                <w:rFonts w:asciiTheme="minorHAnsi" w:hAnsiTheme="minorHAnsi"/>
              </w:rPr>
              <w:t>38,707 (85%)</w:t>
            </w:r>
          </w:p>
        </w:tc>
        <w:tc>
          <w:tcPr>
            <w:tcW w:w="3033" w:type="dxa"/>
          </w:tcPr>
          <w:p w:rsidR="0000686B" w:rsidRPr="00475263" w:rsidRDefault="0000686B" w:rsidP="00514129">
            <w:pPr>
              <w:spacing w:before="60" w:after="60"/>
              <w:rPr>
                <w:rFonts w:asciiTheme="minorHAnsi" w:hAnsiTheme="minorHAnsi"/>
                <w:b/>
                <w:i/>
                <w:color w:val="000000"/>
                <w:u w:val="single"/>
              </w:rPr>
            </w:pPr>
            <w:r w:rsidRPr="00475263">
              <w:rPr>
                <w:rFonts w:asciiTheme="minorHAnsi" w:hAnsiTheme="minorHAnsi"/>
              </w:rPr>
              <w:t>Mean: 13.49±8.425</w:t>
            </w:r>
          </w:p>
          <w:p w:rsidR="0000686B" w:rsidRPr="00475263" w:rsidRDefault="0000686B" w:rsidP="00514129">
            <w:pPr>
              <w:spacing w:before="60" w:after="60"/>
              <w:rPr>
                <w:rFonts w:asciiTheme="minorHAnsi" w:hAnsiTheme="minorHAnsi"/>
                <w:b/>
                <w:i/>
                <w:color w:val="000000"/>
                <w:u w:val="single"/>
              </w:rPr>
            </w:pPr>
            <w:r w:rsidRPr="00475263">
              <w:rPr>
                <w:rFonts w:asciiTheme="minorHAnsi" w:hAnsiTheme="minorHAnsi"/>
              </w:rPr>
              <w:t xml:space="preserve">Median (IQR): 14 (6-21) </w:t>
            </w:r>
          </w:p>
        </w:tc>
        <w:tc>
          <w:tcPr>
            <w:tcW w:w="3118" w:type="dxa"/>
          </w:tcPr>
          <w:p w:rsidR="0000686B" w:rsidRPr="00475263" w:rsidRDefault="0000686B" w:rsidP="00514129">
            <w:pPr>
              <w:spacing w:before="60" w:after="60"/>
              <w:rPr>
                <w:rFonts w:asciiTheme="minorHAnsi" w:hAnsiTheme="minorHAnsi"/>
                <w:b/>
                <w:i/>
                <w:color w:val="000000"/>
                <w:u w:val="single"/>
              </w:rPr>
            </w:pPr>
            <w:r w:rsidRPr="00475263">
              <w:rPr>
                <w:rFonts w:asciiTheme="minorHAnsi" w:hAnsiTheme="minorHAnsi"/>
              </w:rPr>
              <w:t>Mean: 0.98±3.966</w:t>
            </w:r>
          </w:p>
          <w:p w:rsidR="0000686B" w:rsidRPr="00475263" w:rsidRDefault="0000686B" w:rsidP="00514129">
            <w:pPr>
              <w:spacing w:before="60" w:after="60"/>
              <w:rPr>
                <w:rFonts w:asciiTheme="minorHAnsi" w:hAnsiTheme="minorHAnsi"/>
                <w:b/>
                <w:i/>
                <w:color w:val="000000"/>
                <w:u w:val="single"/>
              </w:rPr>
            </w:pPr>
            <w:r w:rsidRPr="00475263">
              <w:rPr>
                <w:rFonts w:asciiTheme="minorHAnsi" w:hAnsiTheme="minorHAnsi"/>
              </w:rPr>
              <w:t xml:space="preserve">Median (IQR): 0 (0-0) </w:t>
            </w:r>
          </w:p>
        </w:tc>
      </w:tr>
      <w:tr w:rsidR="0000686B" w:rsidRPr="00475263" w:rsidTr="005879E3">
        <w:tc>
          <w:tcPr>
            <w:tcW w:w="1355" w:type="dxa"/>
          </w:tcPr>
          <w:p w:rsidR="0000686B" w:rsidRPr="00475263" w:rsidRDefault="0000686B" w:rsidP="00514129">
            <w:pPr>
              <w:spacing w:before="60" w:after="60"/>
              <w:rPr>
                <w:rFonts w:asciiTheme="minorHAnsi" w:hAnsiTheme="minorHAnsi"/>
                <w:b/>
                <w:i/>
                <w:color w:val="000000"/>
                <w:u w:val="single"/>
              </w:rPr>
            </w:pPr>
            <w:r w:rsidRPr="00475263">
              <w:rPr>
                <w:rFonts w:asciiTheme="minorHAnsi" w:hAnsiTheme="minorHAnsi"/>
                <w:b/>
              </w:rPr>
              <w:t xml:space="preserve">Total </w:t>
            </w:r>
          </w:p>
        </w:tc>
        <w:tc>
          <w:tcPr>
            <w:tcW w:w="1703" w:type="dxa"/>
          </w:tcPr>
          <w:p w:rsidR="0000686B" w:rsidRPr="00475263" w:rsidRDefault="0000686B" w:rsidP="00514129">
            <w:pPr>
              <w:spacing w:before="60" w:after="60"/>
              <w:rPr>
                <w:rFonts w:asciiTheme="minorHAnsi" w:hAnsiTheme="minorHAnsi"/>
                <w:b/>
                <w:i/>
                <w:color w:val="000000"/>
                <w:u w:val="single"/>
              </w:rPr>
            </w:pPr>
            <w:r w:rsidRPr="00475263">
              <w:rPr>
                <w:rFonts w:asciiTheme="minorHAnsi" w:hAnsiTheme="minorHAnsi"/>
              </w:rPr>
              <w:t>45,645 (100%)</w:t>
            </w:r>
          </w:p>
        </w:tc>
        <w:tc>
          <w:tcPr>
            <w:tcW w:w="3033" w:type="dxa"/>
          </w:tcPr>
          <w:p w:rsidR="0000686B" w:rsidRPr="00475263" w:rsidRDefault="0000686B" w:rsidP="00514129">
            <w:pPr>
              <w:spacing w:before="60" w:after="60"/>
              <w:rPr>
                <w:rFonts w:asciiTheme="minorHAnsi" w:hAnsiTheme="minorHAnsi"/>
                <w:b/>
                <w:i/>
                <w:color w:val="000000"/>
                <w:u w:val="single"/>
              </w:rPr>
            </w:pPr>
            <w:r w:rsidRPr="00475263">
              <w:rPr>
                <w:rFonts w:asciiTheme="minorHAnsi" w:hAnsiTheme="minorHAnsi"/>
              </w:rPr>
              <w:t>-</w:t>
            </w:r>
          </w:p>
        </w:tc>
        <w:tc>
          <w:tcPr>
            <w:tcW w:w="3118" w:type="dxa"/>
          </w:tcPr>
          <w:p w:rsidR="0000686B" w:rsidRPr="00475263" w:rsidRDefault="0000686B" w:rsidP="00514129">
            <w:pPr>
              <w:spacing w:before="60" w:after="60"/>
              <w:rPr>
                <w:rFonts w:asciiTheme="minorHAnsi" w:hAnsiTheme="minorHAnsi"/>
                <w:b/>
                <w:i/>
                <w:color w:val="000000"/>
                <w:u w:val="single"/>
              </w:rPr>
            </w:pPr>
            <w:r w:rsidRPr="00475263">
              <w:rPr>
                <w:rFonts w:asciiTheme="minorHAnsi" w:hAnsiTheme="minorHAnsi"/>
              </w:rPr>
              <w:t>-</w:t>
            </w:r>
          </w:p>
        </w:tc>
      </w:tr>
    </w:tbl>
    <w:p w:rsidR="0000686B" w:rsidRPr="00712627" w:rsidRDefault="0000686B" w:rsidP="00514129">
      <w:pPr>
        <w:spacing w:after="0" w:line="240" w:lineRule="auto"/>
        <w:rPr>
          <w:rFonts w:asciiTheme="minorHAnsi" w:hAnsiTheme="minorHAnsi"/>
          <w:sz w:val="20"/>
          <w:szCs w:val="20"/>
        </w:rPr>
      </w:pPr>
      <w:r w:rsidRPr="00712627">
        <w:rPr>
          <w:rFonts w:asciiTheme="minorHAnsi" w:hAnsiTheme="minorHAnsi"/>
          <w:sz w:val="20"/>
          <w:szCs w:val="20"/>
        </w:rPr>
        <w:t>SD=standard deviation; IQR=interquartile range, Cohort 1: no prior dispensing for any lipid lowering medicines in the previous 24 months, Cohort 2: received at least one prescription for a C10 medicine in the previous 24 months</w:t>
      </w:r>
    </w:p>
    <w:p w:rsidR="0000686B" w:rsidRPr="006F1E41" w:rsidRDefault="0000686B" w:rsidP="00514129">
      <w:pPr>
        <w:spacing w:line="240" w:lineRule="auto"/>
        <w:rPr>
          <w:rFonts w:asciiTheme="minorHAnsi" w:hAnsiTheme="minorHAnsi"/>
          <w:sz w:val="20"/>
          <w:szCs w:val="20"/>
        </w:rPr>
      </w:pPr>
      <w:r w:rsidRPr="00D8435F">
        <w:rPr>
          <w:rFonts w:asciiTheme="minorHAnsi" w:hAnsiTheme="minorHAnsi"/>
          <w:sz w:val="20"/>
          <w:szCs w:val="20"/>
          <w:highlight w:val="yellow"/>
        </w:rPr>
        <w:t xml:space="preserve">Source: Ezetimibe Review Analysis of Utilisation Data, CPHR Table </w:t>
      </w:r>
      <w:r w:rsidR="00D8435F" w:rsidRPr="00D8435F">
        <w:rPr>
          <w:rFonts w:asciiTheme="minorHAnsi" w:hAnsiTheme="minorHAnsi"/>
          <w:sz w:val="20"/>
          <w:szCs w:val="20"/>
          <w:highlight w:val="yellow"/>
        </w:rPr>
        <w:t>4.1</w:t>
      </w:r>
      <w:r w:rsidRPr="00D8435F">
        <w:rPr>
          <w:rFonts w:asciiTheme="minorHAnsi" w:hAnsiTheme="minorHAnsi"/>
          <w:sz w:val="20"/>
          <w:szCs w:val="20"/>
          <w:highlight w:val="yellow"/>
        </w:rPr>
        <w:t>, p</w:t>
      </w:r>
      <w:r w:rsidR="00D8435F" w:rsidRPr="00D8435F">
        <w:rPr>
          <w:rFonts w:asciiTheme="minorHAnsi" w:hAnsiTheme="minorHAnsi"/>
          <w:sz w:val="20"/>
          <w:szCs w:val="20"/>
          <w:highlight w:val="yellow"/>
        </w:rPr>
        <w:t>1</w:t>
      </w:r>
      <w:r w:rsidR="009F67BC">
        <w:rPr>
          <w:rFonts w:asciiTheme="minorHAnsi" w:hAnsiTheme="minorHAnsi"/>
          <w:sz w:val="20"/>
          <w:szCs w:val="20"/>
          <w:highlight w:val="yellow"/>
        </w:rPr>
        <w:t>3</w:t>
      </w:r>
      <w:r w:rsidRPr="006F1E41">
        <w:rPr>
          <w:rFonts w:asciiTheme="minorHAnsi" w:hAnsiTheme="minorHAnsi"/>
          <w:sz w:val="20"/>
          <w:szCs w:val="20"/>
        </w:rPr>
        <w:t xml:space="preserve"> </w:t>
      </w:r>
    </w:p>
    <w:p w:rsidR="0000686B" w:rsidRPr="00A90FE3" w:rsidRDefault="003848A8" w:rsidP="00514129">
      <w:pPr>
        <w:pStyle w:val="Heading4"/>
        <w:jc w:val="left"/>
      </w:pPr>
      <w:r>
        <w:t>1</w:t>
      </w:r>
      <w:r w:rsidR="00C05E80">
        <w:t>.</w:t>
      </w:r>
      <w:r w:rsidR="0000686B" w:rsidRPr="00A90FE3">
        <w:t>2.2.1</w:t>
      </w:r>
      <w:r w:rsidR="0000686B" w:rsidRPr="00A90FE3">
        <w:tab/>
      </w:r>
      <w:r w:rsidR="0000686B" w:rsidRPr="00F03B50">
        <w:t>Statin</w:t>
      </w:r>
      <w:r w:rsidR="0000686B" w:rsidRPr="00A90FE3">
        <w:t xml:space="preserve"> utilisation prior to ezetimibe (Cohort 2)</w:t>
      </w:r>
    </w:p>
    <w:p w:rsidR="0000686B" w:rsidRDefault="0000686B" w:rsidP="00514129">
      <w:pPr>
        <w:spacing w:line="240" w:lineRule="auto"/>
        <w:rPr>
          <w:rFonts w:asciiTheme="minorHAnsi" w:hAnsiTheme="minorHAnsi"/>
        </w:rPr>
      </w:pPr>
      <w:r w:rsidRPr="00C46FCF">
        <w:rPr>
          <w:rFonts w:asciiTheme="minorHAnsi" w:hAnsiTheme="minorHAnsi"/>
        </w:rPr>
        <w:t xml:space="preserve">In order to examine the question </w:t>
      </w:r>
      <w:r>
        <w:rPr>
          <w:rFonts w:asciiTheme="minorHAnsi" w:hAnsiTheme="minorHAnsi"/>
        </w:rPr>
        <w:t>of whether or not patients were being treated</w:t>
      </w:r>
      <w:r w:rsidRPr="00C46FCF">
        <w:rPr>
          <w:rFonts w:asciiTheme="minorHAnsi" w:hAnsiTheme="minorHAnsi"/>
        </w:rPr>
        <w:t xml:space="preserve"> optima</w:t>
      </w:r>
      <w:r>
        <w:rPr>
          <w:rFonts w:asciiTheme="minorHAnsi" w:hAnsiTheme="minorHAnsi"/>
        </w:rPr>
        <w:t>lly with</w:t>
      </w:r>
      <w:r w:rsidRPr="00C46FCF">
        <w:rPr>
          <w:rFonts w:asciiTheme="minorHAnsi" w:hAnsiTheme="minorHAnsi"/>
        </w:rPr>
        <w:t xml:space="preserve"> statin therapy, the pattern of supply of statin prescriptions in the </w:t>
      </w:r>
      <w:r>
        <w:rPr>
          <w:rFonts w:asciiTheme="minorHAnsi" w:hAnsiTheme="minorHAnsi"/>
        </w:rPr>
        <w:t>six</w:t>
      </w:r>
      <w:r w:rsidRPr="00C46FCF">
        <w:rPr>
          <w:rFonts w:asciiTheme="minorHAnsi" w:hAnsiTheme="minorHAnsi"/>
        </w:rPr>
        <w:t xml:space="preserve"> months prior to initiation of ezetimibe for each patient was examined in </w:t>
      </w:r>
      <w:r>
        <w:rPr>
          <w:rFonts w:asciiTheme="minorHAnsi" w:hAnsiTheme="minorHAnsi"/>
        </w:rPr>
        <w:t xml:space="preserve">detail. The results are presented in </w:t>
      </w:r>
      <w:r w:rsidRPr="002F173B">
        <w:rPr>
          <w:rFonts w:asciiTheme="minorHAnsi" w:hAnsiTheme="minorHAnsi"/>
        </w:rPr>
        <w:t xml:space="preserve">Table </w:t>
      </w:r>
      <w:r w:rsidR="004529EF">
        <w:rPr>
          <w:rFonts w:asciiTheme="minorHAnsi" w:hAnsiTheme="minorHAnsi"/>
        </w:rPr>
        <w:t>4</w:t>
      </w:r>
      <w:r w:rsidRPr="002F173B">
        <w:rPr>
          <w:rFonts w:asciiTheme="minorHAnsi" w:hAnsiTheme="minorHAnsi"/>
        </w:rPr>
        <w:t xml:space="preserve"> b</w:t>
      </w:r>
      <w:r>
        <w:rPr>
          <w:rFonts w:asciiTheme="minorHAnsi" w:hAnsiTheme="minorHAnsi"/>
        </w:rPr>
        <w:t xml:space="preserve">elow. </w:t>
      </w:r>
      <w:r w:rsidRPr="00C46FCF">
        <w:rPr>
          <w:rFonts w:asciiTheme="minorHAnsi" w:hAnsiTheme="minorHAnsi"/>
        </w:rPr>
        <w:t xml:space="preserve">Continuous treatment was defined as 3 or more supplies in </w:t>
      </w:r>
      <w:r>
        <w:rPr>
          <w:rFonts w:asciiTheme="minorHAnsi" w:hAnsiTheme="minorHAnsi"/>
        </w:rPr>
        <w:t xml:space="preserve">the </w:t>
      </w:r>
      <w:r w:rsidRPr="00C46FCF">
        <w:rPr>
          <w:rFonts w:asciiTheme="minorHAnsi" w:hAnsiTheme="minorHAnsi"/>
        </w:rPr>
        <w:t>six month</w:t>
      </w:r>
      <w:r>
        <w:rPr>
          <w:rFonts w:asciiTheme="minorHAnsi" w:hAnsiTheme="minorHAnsi"/>
        </w:rPr>
        <w:t>s prior to index ezetimibe</w:t>
      </w:r>
      <w:r w:rsidRPr="00C46FCF">
        <w:rPr>
          <w:rFonts w:asciiTheme="minorHAnsi" w:hAnsiTheme="minorHAnsi"/>
        </w:rPr>
        <w:t>. This is a conservative assumption</w:t>
      </w:r>
      <w:r>
        <w:rPr>
          <w:rFonts w:asciiTheme="minorHAnsi" w:hAnsiTheme="minorHAnsi"/>
        </w:rPr>
        <w:t xml:space="preserve"> to allow for patients who may have some additional prescription </w:t>
      </w:r>
      <w:r>
        <w:rPr>
          <w:rFonts w:asciiTheme="minorHAnsi" w:hAnsiTheme="minorHAnsi"/>
        </w:rPr>
        <w:lastRenderedPageBreak/>
        <w:t>supplies on hand due to stockpiling that typically occurs around the end of the calendar year.</w:t>
      </w:r>
    </w:p>
    <w:p w:rsidR="0000686B" w:rsidRPr="0029200D" w:rsidRDefault="0000686B">
      <w:pPr>
        <w:spacing w:before="200" w:after="20" w:line="240" w:lineRule="auto"/>
        <w:jc w:val="left"/>
        <w:rPr>
          <w:rFonts w:asciiTheme="minorHAnsi" w:hAnsiTheme="minorHAnsi"/>
          <w:b/>
        </w:rPr>
      </w:pPr>
      <w:r>
        <w:rPr>
          <w:rFonts w:asciiTheme="minorHAnsi" w:hAnsiTheme="minorHAnsi"/>
          <w:b/>
        </w:rPr>
        <w:t>Table 4:</w:t>
      </w:r>
      <w:r w:rsidRPr="0029200D">
        <w:rPr>
          <w:rFonts w:asciiTheme="minorHAnsi" w:hAnsiTheme="minorHAnsi"/>
          <w:b/>
        </w:rPr>
        <w:t xml:space="preserve"> </w:t>
      </w:r>
      <w:r>
        <w:rPr>
          <w:rFonts w:asciiTheme="minorHAnsi" w:hAnsiTheme="minorHAnsi"/>
          <w:b/>
        </w:rPr>
        <w:t>D</w:t>
      </w:r>
      <w:r w:rsidRPr="0029200D">
        <w:rPr>
          <w:rFonts w:asciiTheme="minorHAnsi" w:hAnsiTheme="minorHAnsi"/>
          <w:b/>
        </w:rPr>
        <w:t>istribution of Cohort 2 patients across the number of dispensed statin prescriptions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2"/>
        <w:gridCol w:w="4120"/>
      </w:tblGrid>
      <w:tr w:rsidR="0000686B" w:rsidRPr="0029200D" w:rsidTr="005879E3">
        <w:tc>
          <w:tcPr>
            <w:tcW w:w="4402" w:type="dxa"/>
            <w:shd w:val="clear" w:color="auto" w:fill="BFBFBF" w:themeFill="background1" w:themeFillShade="BF"/>
          </w:tcPr>
          <w:p w:rsidR="0000686B" w:rsidRPr="002F173B" w:rsidRDefault="0000686B" w:rsidP="00514129">
            <w:pPr>
              <w:spacing w:before="60" w:after="60"/>
              <w:rPr>
                <w:rFonts w:asciiTheme="minorHAnsi" w:hAnsiTheme="minorHAnsi"/>
              </w:rPr>
            </w:pPr>
            <w:r w:rsidRPr="002F173B">
              <w:rPr>
                <w:rFonts w:asciiTheme="minorHAnsi" w:hAnsiTheme="minorHAnsi"/>
              </w:rPr>
              <w:t>Number of statin prescriptions dispensed in 6 months prior to ezetimibe initiation</w:t>
            </w:r>
          </w:p>
        </w:tc>
        <w:tc>
          <w:tcPr>
            <w:tcW w:w="4120" w:type="dxa"/>
            <w:shd w:val="clear" w:color="auto" w:fill="BFBFBF" w:themeFill="background1" w:themeFillShade="BF"/>
          </w:tcPr>
          <w:p w:rsidR="0000686B" w:rsidRPr="002F173B" w:rsidRDefault="0000686B" w:rsidP="00514129">
            <w:pPr>
              <w:spacing w:before="60" w:after="60"/>
              <w:rPr>
                <w:rFonts w:asciiTheme="minorHAnsi" w:hAnsiTheme="minorHAnsi"/>
              </w:rPr>
            </w:pPr>
            <w:r w:rsidRPr="002F173B">
              <w:rPr>
                <w:rFonts w:asciiTheme="minorHAnsi" w:hAnsiTheme="minorHAnsi"/>
              </w:rPr>
              <w:t>Number/Proportion of patients</w:t>
            </w:r>
          </w:p>
          <w:p w:rsidR="0000686B" w:rsidRPr="002F173B" w:rsidRDefault="0000686B" w:rsidP="00514129">
            <w:pPr>
              <w:spacing w:before="60" w:after="60"/>
              <w:rPr>
                <w:rFonts w:asciiTheme="minorHAnsi" w:hAnsiTheme="minorHAnsi"/>
              </w:rPr>
            </w:pPr>
          </w:p>
        </w:tc>
      </w:tr>
      <w:tr w:rsidR="0000686B" w:rsidRPr="0029200D" w:rsidTr="005879E3">
        <w:trPr>
          <w:trHeight w:val="353"/>
        </w:trPr>
        <w:tc>
          <w:tcPr>
            <w:tcW w:w="8522" w:type="dxa"/>
            <w:gridSpan w:val="2"/>
          </w:tcPr>
          <w:p w:rsidR="0000686B" w:rsidRPr="0029200D" w:rsidRDefault="0000686B" w:rsidP="00514129">
            <w:pPr>
              <w:spacing w:before="60" w:after="60"/>
              <w:rPr>
                <w:rFonts w:asciiTheme="minorHAnsi" w:hAnsiTheme="minorHAnsi"/>
                <w:b/>
                <w:i/>
              </w:rPr>
            </w:pPr>
            <w:r w:rsidRPr="0029200D">
              <w:rPr>
                <w:rFonts w:asciiTheme="minorHAnsi" w:hAnsiTheme="minorHAnsi"/>
                <w:b/>
                <w:i/>
              </w:rPr>
              <w:t xml:space="preserve">New to statin </w:t>
            </w:r>
            <w:r w:rsidR="003F547B">
              <w:rPr>
                <w:rFonts w:asciiTheme="minorHAnsi" w:hAnsiTheme="minorHAnsi"/>
                <w:b/>
                <w:i/>
              </w:rPr>
              <w:t>therapy i.e. no statin dispensed in the period 6 to 24 months prior to  ezetimibe initiation</w:t>
            </w:r>
          </w:p>
        </w:tc>
      </w:tr>
      <w:tr w:rsidR="0000686B" w:rsidRPr="0029200D" w:rsidTr="005879E3">
        <w:tc>
          <w:tcPr>
            <w:tcW w:w="4402" w:type="dxa"/>
          </w:tcPr>
          <w:p w:rsidR="0000686B" w:rsidRPr="0029200D" w:rsidRDefault="0000686B" w:rsidP="00514129">
            <w:pPr>
              <w:spacing w:before="60" w:after="60"/>
              <w:rPr>
                <w:rFonts w:asciiTheme="minorHAnsi" w:hAnsiTheme="minorHAnsi"/>
                <w:b/>
                <w:i/>
                <w:color w:val="000000"/>
                <w:u w:val="single"/>
              </w:rPr>
            </w:pPr>
            <w:r w:rsidRPr="0029200D">
              <w:rPr>
                <w:rFonts w:asciiTheme="minorHAnsi" w:hAnsiTheme="minorHAnsi"/>
              </w:rPr>
              <w:t>One-two statin prescriptions dispensed</w:t>
            </w:r>
          </w:p>
        </w:tc>
        <w:tc>
          <w:tcPr>
            <w:tcW w:w="4120" w:type="dxa"/>
          </w:tcPr>
          <w:p w:rsidR="0000686B" w:rsidRPr="00FB7E73" w:rsidRDefault="0000686B" w:rsidP="00514129">
            <w:pPr>
              <w:spacing w:before="60" w:after="60"/>
              <w:rPr>
                <w:rFonts w:asciiTheme="minorHAnsi" w:hAnsiTheme="minorHAnsi"/>
                <w:b/>
                <w:i/>
                <w:color w:val="000000"/>
                <w:u w:val="single"/>
              </w:rPr>
            </w:pPr>
            <w:r w:rsidRPr="00FB7E73">
              <w:rPr>
                <w:rFonts w:asciiTheme="minorHAnsi" w:hAnsiTheme="minorHAnsi"/>
                <w:b/>
              </w:rPr>
              <w:t>1,883 (4.9%)</w:t>
            </w:r>
          </w:p>
        </w:tc>
      </w:tr>
      <w:tr w:rsidR="0000686B" w:rsidRPr="0029200D" w:rsidTr="005879E3">
        <w:tc>
          <w:tcPr>
            <w:tcW w:w="8522" w:type="dxa"/>
            <w:gridSpan w:val="2"/>
          </w:tcPr>
          <w:p w:rsidR="0000686B" w:rsidRPr="0029200D" w:rsidRDefault="003F547B" w:rsidP="00514129">
            <w:pPr>
              <w:spacing w:before="60" w:after="60"/>
              <w:rPr>
                <w:rFonts w:asciiTheme="minorHAnsi" w:hAnsiTheme="minorHAnsi"/>
                <w:b/>
                <w:i/>
                <w:color w:val="000000"/>
                <w:u w:val="single"/>
              </w:rPr>
            </w:pPr>
            <w:r>
              <w:rPr>
                <w:rFonts w:asciiTheme="minorHAnsi" w:hAnsiTheme="minorHAnsi"/>
                <w:b/>
                <w:i/>
              </w:rPr>
              <w:t xml:space="preserve">Commenced statin therapy more than 6 months prior, and </w:t>
            </w:r>
            <w:r w:rsidR="0000686B" w:rsidRPr="0029200D">
              <w:rPr>
                <w:rFonts w:asciiTheme="minorHAnsi" w:hAnsiTheme="minorHAnsi"/>
                <w:b/>
                <w:i/>
              </w:rPr>
              <w:t>≥ 3  statin script dispensed</w:t>
            </w:r>
            <w:r w:rsidR="0000686B">
              <w:rPr>
                <w:rFonts w:asciiTheme="minorHAnsi" w:hAnsiTheme="minorHAnsi"/>
                <w:b/>
                <w:i/>
              </w:rPr>
              <w:t xml:space="preserve"> (continuous treatment)</w:t>
            </w:r>
            <w:r>
              <w:rPr>
                <w:rFonts w:asciiTheme="minorHAnsi" w:hAnsiTheme="minorHAnsi"/>
                <w:b/>
                <w:i/>
              </w:rPr>
              <w:t xml:space="preserve"> in the 6 months prior to ezetimibe initiation</w:t>
            </w:r>
          </w:p>
        </w:tc>
      </w:tr>
      <w:tr w:rsidR="0000686B" w:rsidRPr="0029200D" w:rsidTr="005879E3">
        <w:tc>
          <w:tcPr>
            <w:tcW w:w="4402" w:type="dxa"/>
          </w:tcPr>
          <w:p w:rsidR="0000686B" w:rsidRPr="0029200D" w:rsidRDefault="0000686B" w:rsidP="00514129">
            <w:pPr>
              <w:spacing w:before="60" w:after="60"/>
              <w:rPr>
                <w:rFonts w:asciiTheme="minorHAnsi" w:hAnsiTheme="minorHAnsi"/>
                <w:b/>
                <w:i/>
                <w:color w:val="000000"/>
                <w:u w:val="single"/>
              </w:rPr>
            </w:pPr>
            <w:r w:rsidRPr="0029200D">
              <w:rPr>
                <w:rFonts w:asciiTheme="minorHAnsi" w:hAnsiTheme="minorHAnsi"/>
              </w:rPr>
              <w:t>Three statin prescriptions dispensed</w:t>
            </w:r>
          </w:p>
        </w:tc>
        <w:tc>
          <w:tcPr>
            <w:tcW w:w="4120" w:type="dxa"/>
          </w:tcPr>
          <w:p w:rsidR="0000686B" w:rsidRPr="0029200D" w:rsidRDefault="0000686B" w:rsidP="00514129">
            <w:pPr>
              <w:spacing w:before="60" w:after="60"/>
              <w:rPr>
                <w:rFonts w:asciiTheme="minorHAnsi" w:hAnsiTheme="minorHAnsi"/>
                <w:b/>
                <w:i/>
                <w:color w:val="000000"/>
                <w:u w:val="single"/>
              </w:rPr>
            </w:pPr>
            <w:r w:rsidRPr="0029200D">
              <w:rPr>
                <w:rFonts w:asciiTheme="minorHAnsi" w:hAnsiTheme="minorHAnsi"/>
              </w:rPr>
              <w:t>3,707 (9.6%)</w:t>
            </w:r>
          </w:p>
        </w:tc>
      </w:tr>
      <w:tr w:rsidR="0000686B" w:rsidRPr="0029200D" w:rsidTr="005879E3">
        <w:tc>
          <w:tcPr>
            <w:tcW w:w="4402" w:type="dxa"/>
          </w:tcPr>
          <w:p w:rsidR="0000686B" w:rsidRPr="0029200D" w:rsidRDefault="0000686B" w:rsidP="00514129">
            <w:pPr>
              <w:spacing w:before="60" w:after="60"/>
              <w:rPr>
                <w:rFonts w:asciiTheme="minorHAnsi" w:hAnsiTheme="minorHAnsi"/>
                <w:b/>
                <w:i/>
                <w:color w:val="000000"/>
                <w:u w:val="single"/>
              </w:rPr>
            </w:pPr>
            <w:r w:rsidRPr="0029200D">
              <w:rPr>
                <w:rFonts w:asciiTheme="minorHAnsi" w:hAnsiTheme="minorHAnsi"/>
              </w:rPr>
              <w:t>Four statin prescriptions dispensed</w:t>
            </w:r>
          </w:p>
        </w:tc>
        <w:tc>
          <w:tcPr>
            <w:tcW w:w="4120" w:type="dxa"/>
          </w:tcPr>
          <w:p w:rsidR="0000686B" w:rsidRPr="0029200D" w:rsidRDefault="0000686B" w:rsidP="00514129">
            <w:pPr>
              <w:spacing w:before="60" w:after="60"/>
              <w:rPr>
                <w:rFonts w:asciiTheme="minorHAnsi" w:hAnsiTheme="minorHAnsi"/>
                <w:b/>
                <w:i/>
                <w:color w:val="000000"/>
                <w:u w:val="single"/>
              </w:rPr>
            </w:pPr>
            <w:r w:rsidRPr="0029200D">
              <w:rPr>
                <w:rFonts w:asciiTheme="minorHAnsi" w:hAnsiTheme="minorHAnsi"/>
              </w:rPr>
              <w:t>4,010 (10.3%)</w:t>
            </w:r>
          </w:p>
        </w:tc>
      </w:tr>
      <w:tr w:rsidR="0000686B" w:rsidRPr="0029200D" w:rsidTr="005879E3">
        <w:tc>
          <w:tcPr>
            <w:tcW w:w="4402" w:type="dxa"/>
          </w:tcPr>
          <w:p w:rsidR="0000686B" w:rsidRPr="0029200D" w:rsidRDefault="0000686B" w:rsidP="00514129">
            <w:pPr>
              <w:spacing w:before="60" w:after="60"/>
              <w:rPr>
                <w:rFonts w:asciiTheme="minorHAnsi" w:hAnsiTheme="minorHAnsi"/>
                <w:b/>
                <w:i/>
                <w:color w:val="000000"/>
                <w:u w:val="single"/>
              </w:rPr>
            </w:pPr>
            <w:r w:rsidRPr="0029200D">
              <w:rPr>
                <w:rFonts w:asciiTheme="minorHAnsi" w:hAnsiTheme="minorHAnsi"/>
              </w:rPr>
              <w:t xml:space="preserve">Five statin prescriptions dispensed </w:t>
            </w:r>
          </w:p>
        </w:tc>
        <w:tc>
          <w:tcPr>
            <w:tcW w:w="4120" w:type="dxa"/>
          </w:tcPr>
          <w:p w:rsidR="0000686B" w:rsidRPr="0029200D" w:rsidRDefault="0000686B" w:rsidP="00514129">
            <w:pPr>
              <w:spacing w:before="60" w:after="60"/>
              <w:rPr>
                <w:rFonts w:asciiTheme="minorHAnsi" w:hAnsiTheme="minorHAnsi"/>
                <w:b/>
                <w:i/>
                <w:color w:val="000000"/>
                <w:u w:val="single"/>
              </w:rPr>
            </w:pPr>
            <w:r w:rsidRPr="0029200D">
              <w:rPr>
                <w:rFonts w:asciiTheme="minorHAnsi" w:hAnsiTheme="minorHAnsi"/>
              </w:rPr>
              <w:t>6,275 (16.2%)</w:t>
            </w:r>
          </w:p>
        </w:tc>
      </w:tr>
      <w:tr w:rsidR="0000686B" w:rsidRPr="0029200D" w:rsidTr="005879E3">
        <w:tc>
          <w:tcPr>
            <w:tcW w:w="4402" w:type="dxa"/>
          </w:tcPr>
          <w:p w:rsidR="0000686B" w:rsidRPr="0029200D" w:rsidRDefault="0000686B" w:rsidP="00514129">
            <w:pPr>
              <w:spacing w:before="60" w:after="60"/>
              <w:rPr>
                <w:rFonts w:asciiTheme="minorHAnsi" w:hAnsiTheme="minorHAnsi"/>
                <w:b/>
                <w:i/>
                <w:color w:val="000000"/>
                <w:u w:val="single"/>
              </w:rPr>
            </w:pPr>
            <w:r w:rsidRPr="0029200D">
              <w:rPr>
                <w:rFonts w:asciiTheme="minorHAnsi" w:hAnsiTheme="minorHAnsi"/>
              </w:rPr>
              <w:t>Six statin prescriptions dispensed</w:t>
            </w:r>
          </w:p>
        </w:tc>
        <w:tc>
          <w:tcPr>
            <w:tcW w:w="4120" w:type="dxa"/>
          </w:tcPr>
          <w:p w:rsidR="0000686B" w:rsidRPr="0029200D" w:rsidRDefault="0000686B" w:rsidP="00514129">
            <w:pPr>
              <w:spacing w:before="60" w:after="60"/>
              <w:rPr>
                <w:rFonts w:asciiTheme="minorHAnsi" w:hAnsiTheme="minorHAnsi"/>
                <w:b/>
                <w:i/>
                <w:color w:val="000000"/>
                <w:u w:val="single"/>
              </w:rPr>
            </w:pPr>
            <w:r w:rsidRPr="0029200D">
              <w:rPr>
                <w:rFonts w:asciiTheme="minorHAnsi" w:hAnsiTheme="minorHAnsi"/>
              </w:rPr>
              <w:t>6,537 (16.9%)</w:t>
            </w:r>
          </w:p>
        </w:tc>
      </w:tr>
      <w:tr w:rsidR="0000686B" w:rsidRPr="0029200D" w:rsidTr="005879E3">
        <w:tc>
          <w:tcPr>
            <w:tcW w:w="4402" w:type="dxa"/>
          </w:tcPr>
          <w:p w:rsidR="0000686B" w:rsidRPr="0029200D" w:rsidRDefault="0000686B" w:rsidP="00514129">
            <w:pPr>
              <w:spacing w:before="60" w:after="60"/>
              <w:rPr>
                <w:rFonts w:asciiTheme="minorHAnsi" w:hAnsiTheme="minorHAnsi"/>
                <w:b/>
                <w:i/>
                <w:color w:val="000000"/>
                <w:u w:val="single"/>
              </w:rPr>
            </w:pPr>
            <w:r w:rsidRPr="0029200D">
              <w:rPr>
                <w:rFonts w:asciiTheme="minorHAnsi" w:hAnsiTheme="minorHAnsi"/>
              </w:rPr>
              <w:t>&gt;six statin prescriptions dispensed</w:t>
            </w:r>
          </w:p>
        </w:tc>
        <w:tc>
          <w:tcPr>
            <w:tcW w:w="4120" w:type="dxa"/>
          </w:tcPr>
          <w:p w:rsidR="0000686B" w:rsidRPr="0029200D" w:rsidRDefault="0000686B" w:rsidP="00514129">
            <w:pPr>
              <w:spacing w:before="60" w:after="60"/>
              <w:rPr>
                <w:rFonts w:asciiTheme="minorHAnsi" w:hAnsiTheme="minorHAnsi"/>
                <w:b/>
                <w:i/>
                <w:color w:val="000000"/>
                <w:u w:val="single"/>
              </w:rPr>
            </w:pPr>
            <w:r w:rsidRPr="0029200D">
              <w:rPr>
                <w:rFonts w:asciiTheme="minorHAnsi" w:hAnsiTheme="minorHAnsi"/>
              </w:rPr>
              <w:t>1,834 (4.7%)</w:t>
            </w:r>
          </w:p>
        </w:tc>
      </w:tr>
      <w:tr w:rsidR="0000686B" w:rsidRPr="0029200D" w:rsidTr="005879E3">
        <w:tc>
          <w:tcPr>
            <w:tcW w:w="4402" w:type="dxa"/>
          </w:tcPr>
          <w:p w:rsidR="0000686B" w:rsidRPr="0029200D" w:rsidRDefault="0000686B" w:rsidP="00514129">
            <w:pPr>
              <w:spacing w:before="60" w:after="60"/>
              <w:rPr>
                <w:rFonts w:asciiTheme="minorHAnsi" w:hAnsiTheme="minorHAnsi"/>
                <w:b/>
                <w:i/>
                <w:color w:val="000000"/>
                <w:u w:val="single"/>
              </w:rPr>
            </w:pPr>
            <w:r w:rsidRPr="0029200D">
              <w:rPr>
                <w:rFonts w:asciiTheme="minorHAnsi" w:hAnsiTheme="minorHAnsi"/>
                <w:b/>
              </w:rPr>
              <w:t>Sub-total</w:t>
            </w:r>
          </w:p>
        </w:tc>
        <w:tc>
          <w:tcPr>
            <w:tcW w:w="4120" w:type="dxa"/>
          </w:tcPr>
          <w:p w:rsidR="0000686B" w:rsidRPr="0029200D" w:rsidRDefault="0000686B" w:rsidP="00514129">
            <w:pPr>
              <w:spacing w:before="60" w:after="60"/>
              <w:rPr>
                <w:rFonts w:asciiTheme="minorHAnsi" w:hAnsiTheme="minorHAnsi"/>
                <w:b/>
                <w:i/>
                <w:color w:val="000000"/>
                <w:u w:val="single"/>
              </w:rPr>
            </w:pPr>
            <w:r w:rsidRPr="0029200D">
              <w:rPr>
                <w:rFonts w:asciiTheme="minorHAnsi" w:hAnsiTheme="minorHAnsi"/>
                <w:b/>
              </w:rPr>
              <w:t>24,246 (</w:t>
            </w:r>
            <w:r>
              <w:rPr>
                <w:rFonts w:asciiTheme="minorHAnsi" w:hAnsiTheme="minorHAnsi"/>
                <w:b/>
              </w:rPr>
              <w:t>57.7%</w:t>
            </w:r>
            <w:r w:rsidRPr="0029200D">
              <w:rPr>
                <w:rFonts w:asciiTheme="minorHAnsi" w:hAnsiTheme="minorHAnsi"/>
                <w:b/>
              </w:rPr>
              <w:t>)</w:t>
            </w:r>
          </w:p>
        </w:tc>
      </w:tr>
      <w:tr w:rsidR="0000686B" w:rsidRPr="00FB7E73" w:rsidTr="005879E3">
        <w:tc>
          <w:tcPr>
            <w:tcW w:w="4402" w:type="dxa"/>
          </w:tcPr>
          <w:p w:rsidR="0000686B" w:rsidRPr="00FB7E73" w:rsidRDefault="0000686B" w:rsidP="00514129">
            <w:pPr>
              <w:spacing w:before="60" w:after="60"/>
              <w:rPr>
                <w:rFonts w:asciiTheme="minorHAnsi" w:hAnsiTheme="minorHAnsi"/>
                <w:b/>
                <w:i/>
                <w:color w:val="000000"/>
                <w:u w:val="single"/>
              </w:rPr>
            </w:pPr>
            <w:r w:rsidRPr="00FB7E73">
              <w:rPr>
                <w:rFonts w:asciiTheme="minorHAnsi" w:hAnsiTheme="minorHAnsi"/>
              </w:rPr>
              <w:t>Less than three prescriptions dispensed*</w:t>
            </w:r>
          </w:p>
        </w:tc>
        <w:tc>
          <w:tcPr>
            <w:tcW w:w="4120" w:type="dxa"/>
          </w:tcPr>
          <w:p w:rsidR="0000686B" w:rsidRPr="00FB7E73" w:rsidRDefault="0000686B" w:rsidP="00514129">
            <w:pPr>
              <w:spacing w:before="60" w:after="60"/>
              <w:rPr>
                <w:rFonts w:asciiTheme="minorHAnsi" w:hAnsiTheme="minorHAnsi"/>
                <w:b/>
                <w:i/>
                <w:color w:val="000000"/>
                <w:u w:val="single"/>
              </w:rPr>
            </w:pPr>
            <w:r w:rsidRPr="00FB7E73">
              <w:rPr>
                <w:rFonts w:asciiTheme="minorHAnsi" w:hAnsiTheme="minorHAnsi"/>
              </w:rPr>
              <w:t>14,461 (37.4%)</w:t>
            </w:r>
          </w:p>
        </w:tc>
      </w:tr>
      <w:tr w:rsidR="0000686B" w:rsidRPr="0029200D" w:rsidTr="005879E3">
        <w:tc>
          <w:tcPr>
            <w:tcW w:w="4402" w:type="dxa"/>
          </w:tcPr>
          <w:p w:rsidR="0000686B" w:rsidRPr="0029200D" w:rsidRDefault="0000686B" w:rsidP="00514129">
            <w:pPr>
              <w:spacing w:before="60" w:after="60"/>
              <w:rPr>
                <w:rFonts w:asciiTheme="minorHAnsi" w:hAnsiTheme="minorHAnsi"/>
                <w:b/>
                <w:i/>
                <w:color w:val="000000"/>
                <w:u w:val="single"/>
              </w:rPr>
            </w:pPr>
            <w:r w:rsidRPr="0029200D">
              <w:rPr>
                <w:rFonts w:asciiTheme="minorHAnsi" w:hAnsiTheme="minorHAnsi"/>
                <w:b/>
              </w:rPr>
              <w:t>Total</w:t>
            </w:r>
          </w:p>
        </w:tc>
        <w:tc>
          <w:tcPr>
            <w:tcW w:w="4120" w:type="dxa"/>
          </w:tcPr>
          <w:p w:rsidR="0000686B" w:rsidRPr="0029200D" w:rsidRDefault="0000686B" w:rsidP="00514129">
            <w:pPr>
              <w:spacing w:before="60" w:after="60"/>
              <w:rPr>
                <w:rFonts w:asciiTheme="minorHAnsi" w:hAnsiTheme="minorHAnsi"/>
                <w:b/>
                <w:i/>
                <w:color w:val="000000"/>
                <w:u w:val="single"/>
              </w:rPr>
            </w:pPr>
            <w:r w:rsidRPr="0029200D">
              <w:rPr>
                <w:rFonts w:asciiTheme="minorHAnsi" w:hAnsiTheme="minorHAnsi"/>
                <w:b/>
              </w:rPr>
              <w:t>38,707 (100%)</w:t>
            </w:r>
          </w:p>
        </w:tc>
      </w:tr>
    </w:tbl>
    <w:p w:rsidR="0000686B" w:rsidRDefault="0000686B" w:rsidP="00514129">
      <w:pPr>
        <w:spacing w:after="0" w:line="240" w:lineRule="auto"/>
        <w:rPr>
          <w:rFonts w:asciiTheme="minorHAnsi" w:hAnsiTheme="minorHAnsi"/>
          <w:i/>
          <w:sz w:val="20"/>
          <w:szCs w:val="20"/>
        </w:rPr>
      </w:pPr>
      <w:r w:rsidRPr="00FB7E73">
        <w:rPr>
          <w:rFonts w:asciiTheme="minorHAnsi" w:hAnsiTheme="minorHAnsi"/>
          <w:i/>
          <w:sz w:val="20"/>
          <w:szCs w:val="20"/>
        </w:rPr>
        <w:t>*Have</w:t>
      </w:r>
      <w:r>
        <w:rPr>
          <w:rFonts w:asciiTheme="minorHAnsi" w:hAnsiTheme="minorHAnsi"/>
          <w:i/>
          <w:sz w:val="20"/>
          <w:szCs w:val="20"/>
        </w:rPr>
        <w:t xml:space="preserve"> also</w:t>
      </w:r>
      <w:r w:rsidRPr="00FB7E73">
        <w:rPr>
          <w:rFonts w:asciiTheme="minorHAnsi" w:hAnsiTheme="minorHAnsi"/>
          <w:i/>
          <w:sz w:val="20"/>
          <w:szCs w:val="20"/>
        </w:rPr>
        <w:t xml:space="preserve"> had statin dispensed in period 6 -24 month</w:t>
      </w:r>
      <w:r>
        <w:rPr>
          <w:rFonts w:asciiTheme="minorHAnsi" w:hAnsiTheme="minorHAnsi"/>
          <w:i/>
          <w:sz w:val="20"/>
          <w:szCs w:val="20"/>
        </w:rPr>
        <w:t>s</w:t>
      </w:r>
      <w:r w:rsidRPr="00FB7E73">
        <w:rPr>
          <w:rFonts w:asciiTheme="minorHAnsi" w:hAnsiTheme="minorHAnsi"/>
          <w:i/>
          <w:sz w:val="20"/>
          <w:szCs w:val="20"/>
        </w:rPr>
        <w:t xml:space="preserve"> prior to index ezetimibe</w:t>
      </w:r>
    </w:p>
    <w:p w:rsidR="0000686B" w:rsidRPr="00712627" w:rsidRDefault="0000686B" w:rsidP="00514129">
      <w:pPr>
        <w:spacing w:after="0" w:line="240" w:lineRule="auto"/>
        <w:rPr>
          <w:rFonts w:asciiTheme="minorHAnsi" w:hAnsiTheme="minorHAnsi"/>
          <w:sz w:val="20"/>
          <w:szCs w:val="20"/>
        </w:rPr>
      </w:pPr>
      <w:r w:rsidRPr="00712627">
        <w:rPr>
          <w:rFonts w:asciiTheme="minorHAnsi" w:hAnsiTheme="minorHAnsi"/>
          <w:sz w:val="20"/>
          <w:szCs w:val="20"/>
        </w:rPr>
        <w:t>Cohort 2: received at least one prescription for a C10 medicine in the previous 24 months</w:t>
      </w:r>
    </w:p>
    <w:p w:rsidR="0000686B" w:rsidRPr="006F1E41" w:rsidRDefault="0000686B" w:rsidP="00514129">
      <w:pPr>
        <w:spacing w:line="240" w:lineRule="auto"/>
        <w:rPr>
          <w:rFonts w:asciiTheme="minorHAnsi" w:hAnsiTheme="minorHAnsi"/>
          <w:sz w:val="20"/>
          <w:szCs w:val="20"/>
        </w:rPr>
      </w:pPr>
      <w:r w:rsidRPr="00D8435F">
        <w:rPr>
          <w:rFonts w:asciiTheme="minorHAnsi" w:hAnsiTheme="minorHAnsi"/>
          <w:sz w:val="20"/>
          <w:szCs w:val="20"/>
          <w:highlight w:val="yellow"/>
        </w:rPr>
        <w:t xml:space="preserve">Source: Ezetimibe Review Analysis of Utilisation Data, CPHR Table </w:t>
      </w:r>
      <w:r w:rsidR="00D8435F">
        <w:rPr>
          <w:rFonts w:asciiTheme="minorHAnsi" w:hAnsiTheme="minorHAnsi"/>
          <w:sz w:val="20"/>
          <w:szCs w:val="20"/>
          <w:highlight w:val="yellow"/>
        </w:rPr>
        <w:t>4</w:t>
      </w:r>
      <w:r w:rsidRPr="00D8435F">
        <w:rPr>
          <w:rFonts w:asciiTheme="minorHAnsi" w:hAnsiTheme="minorHAnsi"/>
          <w:sz w:val="20"/>
          <w:szCs w:val="20"/>
          <w:highlight w:val="yellow"/>
        </w:rPr>
        <w:t>.1.1, p</w:t>
      </w:r>
      <w:r w:rsidR="00D8435F">
        <w:rPr>
          <w:rFonts w:asciiTheme="minorHAnsi" w:hAnsiTheme="minorHAnsi"/>
          <w:sz w:val="20"/>
          <w:szCs w:val="20"/>
          <w:highlight w:val="yellow"/>
        </w:rPr>
        <w:t xml:space="preserve"> 1</w:t>
      </w:r>
      <w:r w:rsidR="009F67BC">
        <w:rPr>
          <w:rFonts w:asciiTheme="minorHAnsi" w:hAnsiTheme="minorHAnsi"/>
          <w:sz w:val="20"/>
          <w:szCs w:val="20"/>
          <w:highlight w:val="yellow"/>
        </w:rPr>
        <w:t>5</w:t>
      </w:r>
      <w:r w:rsidRPr="006F1E41">
        <w:rPr>
          <w:rFonts w:asciiTheme="minorHAnsi" w:hAnsiTheme="minorHAnsi"/>
          <w:sz w:val="20"/>
          <w:szCs w:val="20"/>
        </w:rPr>
        <w:t xml:space="preserve"> </w:t>
      </w:r>
    </w:p>
    <w:p w:rsidR="0000686B" w:rsidRDefault="0000686B" w:rsidP="00514129">
      <w:pPr>
        <w:spacing w:line="240" w:lineRule="auto"/>
        <w:rPr>
          <w:rFonts w:asciiTheme="minorHAnsi" w:hAnsiTheme="minorHAnsi"/>
        </w:rPr>
      </w:pPr>
      <w:r>
        <w:rPr>
          <w:rFonts w:asciiTheme="minorHAnsi" w:hAnsiTheme="minorHAnsi"/>
        </w:rPr>
        <w:t>In Cohort 2, 57.7</w:t>
      </w:r>
      <w:r w:rsidRPr="00C46FCF">
        <w:rPr>
          <w:rFonts w:asciiTheme="minorHAnsi" w:hAnsiTheme="minorHAnsi"/>
        </w:rPr>
        <w:t>% o</w:t>
      </w:r>
      <w:r>
        <w:rPr>
          <w:rFonts w:asciiTheme="minorHAnsi" w:hAnsiTheme="minorHAnsi"/>
        </w:rPr>
        <w:t>f patients</w:t>
      </w:r>
      <w:r w:rsidRPr="00C46FCF">
        <w:rPr>
          <w:rFonts w:asciiTheme="minorHAnsi" w:hAnsiTheme="minorHAnsi"/>
        </w:rPr>
        <w:t xml:space="preserve"> were considered to have received continuous treatment with a statin (</w:t>
      </w:r>
      <w:r>
        <w:rPr>
          <w:rFonts w:asciiTheme="minorHAnsi" w:hAnsiTheme="minorHAnsi"/>
        </w:rPr>
        <w:t xml:space="preserve">i.e. </w:t>
      </w:r>
      <w:r w:rsidRPr="00C46FCF">
        <w:rPr>
          <w:rFonts w:asciiTheme="minorHAnsi" w:hAnsiTheme="minorHAnsi"/>
        </w:rPr>
        <w:t xml:space="preserve">at least 3 dispensings in the previous 6 months prior to </w:t>
      </w:r>
      <w:r>
        <w:rPr>
          <w:rFonts w:asciiTheme="minorHAnsi" w:hAnsiTheme="minorHAnsi"/>
        </w:rPr>
        <w:t>index</w:t>
      </w:r>
      <w:r w:rsidRPr="00C46FCF">
        <w:rPr>
          <w:rFonts w:asciiTheme="minorHAnsi" w:hAnsiTheme="minorHAnsi"/>
        </w:rPr>
        <w:t xml:space="preserve"> ezetimibe). </w:t>
      </w:r>
      <w:r>
        <w:rPr>
          <w:rFonts w:asciiTheme="minorHAnsi" w:hAnsiTheme="minorHAnsi"/>
        </w:rPr>
        <w:t xml:space="preserve">A further </w:t>
      </w:r>
      <w:r w:rsidRPr="00C46FCF">
        <w:rPr>
          <w:rFonts w:asciiTheme="minorHAnsi" w:hAnsiTheme="minorHAnsi"/>
        </w:rPr>
        <w:t xml:space="preserve">4.9% were considered </w:t>
      </w:r>
      <w:r>
        <w:rPr>
          <w:rFonts w:asciiTheme="minorHAnsi" w:hAnsiTheme="minorHAnsi"/>
        </w:rPr>
        <w:t xml:space="preserve">to have initiated statin treatment </w:t>
      </w:r>
      <w:r w:rsidRPr="00C46FCF">
        <w:rPr>
          <w:rFonts w:asciiTheme="minorHAnsi" w:hAnsiTheme="minorHAnsi"/>
        </w:rPr>
        <w:t>in the 6 months prior to initiation of ezetimibe</w:t>
      </w:r>
      <w:r>
        <w:rPr>
          <w:rFonts w:asciiTheme="minorHAnsi" w:hAnsiTheme="minorHAnsi"/>
        </w:rPr>
        <w:t xml:space="preserve"> and </w:t>
      </w:r>
      <w:r w:rsidRPr="00C46FCF">
        <w:rPr>
          <w:rFonts w:asciiTheme="minorHAnsi" w:hAnsiTheme="minorHAnsi"/>
        </w:rPr>
        <w:t>37.4% were considered not to</w:t>
      </w:r>
      <w:r>
        <w:rPr>
          <w:rFonts w:asciiTheme="minorHAnsi" w:hAnsiTheme="minorHAnsi"/>
        </w:rPr>
        <w:t xml:space="preserve"> be on continuous statin therapy in the 6 months prior to the index ezetimibe date. </w:t>
      </w:r>
    </w:p>
    <w:p w:rsidR="0000686B" w:rsidRDefault="0000686B" w:rsidP="00514129">
      <w:pPr>
        <w:spacing w:line="240" w:lineRule="auto"/>
        <w:rPr>
          <w:rFonts w:asciiTheme="minorHAnsi" w:hAnsiTheme="minorHAnsi"/>
        </w:rPr>
      </w:pPr>
      <w:r w:rsidRPr="00C46FCF">
        <w:rPr>
          <w:rFonts w:asciiTheme="minorHAnsi" w:hAnsiTheme="minorHAnsi"/>
        </w:rPr>
        <w:t>There are a number of possible reasons for patients commencing ezetimibe with a history of non-continuous statin use. Some of these patients may have had adverse events and not returned</w:t>
      </w:r>
      <w:r>
        <w:rPr>
          <w:rFonts w:asciiTheme="minorHAnsi" w:hAnsiTheme="minorHAnsi"/>
        </w:rPr>
        <w:t xml:space="preserve"> immediately </w:t>
      </w:r>
      <w:r w:rsidRPr="00C46FCF">
        <w:rPr>
          <w:rFonts w:asciiTheme="minorHAnsi" w:hAnsiTheme="minorHAnsi"/>
        </w:rPr>
        <w:t>to their general practitioner to seek further treatment for dyslipidaemia</w:t>
      </w:r>
      <w:r>
        <w:rPr>
          <w:rFonts w:asciiTheme="minorHAnsi" w:hAnsiTheme="minorHAnsi"/>
        </w:rPr>
        <w:t>,</w:t>
      </w:r>
      <w:r w:rsidRPr="00C46FCF">
        <w:rPr>
          <w:rFonts w:asciiTheme="minorHAnsi" w:hAnsiTheme="minorHAnsi"/>
        </w:rPr>
        <w:t xml:space="preserve"> or </w:t>
      </w:r>
      <w:r>
        <w:rPr>
          <w:rFonts w:asciiTheme="minorHAnsi" w:hAnsiTheme="minorHAnsi"/>
        </w:rPr>
        <w:t xml:space="preserve">were </w:t>
      </w:r>
      <w:r w:rsidRPr="00C46FCF">
        <w:rPr>
          <w:rFonts w:asciiTheme="minorHAnsi" w:hAnsiTheme="minorHAnsi"/>
        </w:rPr>
        <w:t xml:space="preserve">reluctant to continue treatment with a statin. </w:t>
      </w:r>
      <w:r>
        <w:rPr>
          <w:rFonts w:asciiTheme="minorHAnsi" w:hAnsiTheme="minorHAnsi"/>
        </w:rPr>
        <w:t xml:space="preserve">Other patients may represent those who are non-adherent to statin therapy </w:t>
      </w:r>
      <w:r w:rsidRPr="00C86012">
        <w:rPr>
          <w:rFonts w:asciiTheme="minorHAnsi" w:hAnsiTheme="minorHAnsi"/>
        </w:rPr>
        <w:t>i.e</w:t>
      </w:r>
      <w:r w:rsidR="004529EF">
        <w:rPr>
          <w:rFonts w:asciiTheme="minorHAnsi" w:hAnsiTheme="minorHAnsi"/>
        </w:rPr>
        <w:t>.</w:t>
      </w:r>
      <w:r w:rsidRPr="00C86012">
        <w:rPr>
          <w:rFonts w:asciiTheme="minorHAnsi" w:hAnsiTheme="minorHAnsi"/>
        </w:rPr>
        <w:t xml:space="preserve"> do not take their medication consistently. </w:t>
      </w:r>
    </w:p>
    <w:p w:rsidR="0000686B" w:rsidRDefault="0000686B" w:rsidP="00514129">
      <w:pPr>
        <w:spacing w:line="240" w:lineRule="auto"/>
        <w:rPr>
          <w:rFonts w:asciiTheme="minorHAnsi" w:hAnsiTheme="minorHAnsi"/>
        </w:rPr>
      </w:pPr>
      <w:r w:rsidRPr="00C46FCF">
        <w:rPr>
          <w:rFonts w:asciiTheme="minorHAnsi" w:hAnsiTheme="minorHAnsi"/>
        </w:rPr>
        <w:t xml:space="preserve">The supplies of types and strengths of statins </w:t>
      </w:r>
      <w:r>
        <w:rPr>
          <w:rFonts w:asciiTheme="minorHAnsi" w:hAnsiTheme="minorHAnsi"/>
        </w:rPr>
        <w:t xml:space="preserve">dispensed prior to ezetimibe were examined </w:t>
      </w:r>
      <w:r w:rsidRPr="00C46FCF">
        <w:rPr>
          <w:rFonts w:asciiTheme="minorHAnsi" w:hAnsiTheme="minorHAnsi"/>
        </w:rPr>
        <w:t xml:space="preserve">for patients in </w:t>
      </w:r>
      <w:r>
        <w:rPr>
          <w:rFonts w:asciiTheme="minorHAnsi" w:hAnsiTheme="minorHAnsi"/>
        </w:rPr>
        <w:t>C</w:t>
      </w:r>
      <w:r w:rsidRPr="00C46FCF">
        <w:rPr>
          <w:rFonts w:asciiTheme="minorHAnsi" w:hAnsiTheme="minorHAnsi"/>
        </w:rPr>
        <w:t xml:space="preserve">ohort 2. The study assumed that patients seeking to optimise lipid lowering treatment, consistent with guideline recommendations and </w:t>
      </w:r>
      <w:r w:rsidRPr="00C46FCF">
        <w:rPr>
          <w:rFonts w:asciiTheme="minorHAnsi" w:hAnsiTheme="minorHAnsi"/>
        </w:rPr>
        <w:lastRenderedPageBreak/>
        <w:t>PBS restrictions, would be titrating statin therapy or be taking higher strengths of the more potent statins.</w:t>
      </w:r>
      <w:r>
        <w:rPr>
          <w:rFonts w:asciiTheme="minorHAnsi" w:hAnsiTheme="minorHAnsi"/>
        </w:rPr>
        <w:t xml:space="preserve"> </w:t>
      </w:r>
    </w:p>
    <w:p w:rsidR="0000686B" w:rsidRDefault="0000686B" w:rsidP="00514129">
      <w:pPr>
        <w:spacing w:line="240" w:lineRule="auto"/>
        <w:rPr>
          <w:rFonts w:asciiTheme="minorHAnsi" w:hAnsiTheme="minorHAnsi"/>
        </w:rPr>
      </w:pPr>
      <w:r w:rsidRPr="00C46FCF">
        <w:rPr>
          <w:rFonts w:asciiTheme="minorHAnsi" w:hAnsiTheme="minorHAnsi"/>
        </w:rPr>
        <w:t>For patients in Cohort 2,</w:t>
      </w:r>
      <w:r>
        <w:rPr>
          <w:rFonts w:asciiTheme="minorHAnsi" w:hAnsiTheme="minorHAnsi"/>
        </w:rPr>
        <w:t xml:space="preserve"> the analysis found that </w:t>
      </w:r>
      <w:r w:rsidRPr="00C46FCF">
        <w:rPr>
          <w:rFonts w:asciiTheme="minorHAnsi" w:hAnsiTheme="minorHAnsi"/>
        </w:rPr>
        <w:t>68.9% (26</w:t>
      </w:r>
      <w:r>
        <w:rPr>
          <w:rFonts w:asciiTheme="minorHAnsi" w:hAnsiTheme="minorHAnsi"/>
        </w:rPr>
        <w:t>,</w:t>
      </w:r>
      <w:r w:rsidRPr="00C46FCF">
        <w:rPr>
          <w:rFonts w:asciiTheme="minorHAnsi" w:hAnsiTheme="minorHAnsi"/>
        </w:rPr>
        <w:t>676/38</w:t>
      </w:r>
      <w:r>
        <w:rPr>
          <w:rFonts w:asciiTheme="minorHAnsi" w:hAnsiTheme="minorHAnsi"/>
        </w:rPr>
        <w:t>,</w:t>
      </w:r>
      <w:r w:rsidRPr="00C46FCF">
        <w:rPr>
          <w:rFonts w:asciiTheme="minorHAnsi" w:hAnsiTheme="minorHAnsi"/>
        </w:rPr>
        <w:t xml:space="preserve">707) remained on the same statin dose </w:t>
      </w:r>
      <w:r>
        <w:rPr>
          <w:rFonts w:asciiTheme="minorHAnsi" w:hAnsiTheme="minorHAnsi"/>
        </w:rPr>
        <w:t>or</w:t>
      </w:r>
      <w:r w:rsidRPr="00C46FCF">
        <w:rPr>
          <w:rFonts w:asciiTheme="minorHAnsi" w:hAnsiTheme="minorHAnsi"/>
        </w:rPr>
        <w:t xml:space="preserve"> potency in the 2 years preceding ezetimibe initiation</w:t>
      </w:r>
      <w:r w:rsidR="003F547B">
        <w:rPr>
          <w:rFonts w:asciiTheme="minorHAnsi" w:hAnsiTheme="minorHAnsi"/>
        </w:rPr>
        <w:t xml:space="preserve"> (Table 5)</w:t>
      </w:r>
      <w:r w:rsidRPr="00C46FCF">
        <w:rPr>
          <w:rFonts w:asciiTheme="minorHAnsi" w:hAnsiTheme="minorHAnsi"/>
        </w:rPr>
        <w:t>.</w:t>
      </w:r>
      <w:r w:rsidR="003F547B">
        <w:rPr>
          <w:rFonts w:asciiTheme="minorHAnsi" w:hAnsiTheme="minorHAnsi"/>
        </w:rPr>
        <w:t xml:space="preserve"> However approximately 50% were dispensed high intensity statins (Table 6 below)</w:t>
      </w:r>
      <w:r>
        <w:rPr>
          <w:rFonts w:asciiTheme="minorHAnsi" w:hAnsiTheme="minorHAnsi"/>
        </w:rPr>
        <w:t xml:space="preserve"> </w:t>
      </w:r>
    </w:p>
    <w:p w:rsidR="0000686B" w:rsidRDefault="00866F52" w:rsidP="00514129">
      <w:pPr>
        <w:spacing w:line="240" w:lineRule="auto"/>
        <w:rPr>
          <w:rFonts w:asciiTheme="minorHAnsi" w:hAnsiTheme="minorHAnsi"/>
        </w:rPr>
      </w:pPr>
      <w:r>
        <w:rPr>
          <w:rFonts w:asciiTheme="minorHAnsi" w:hAnsiTheme="minorHAnsi"/>
        </w:rPr>
        <w:t>Another 11,124</w:t>
      </w:r>
      <w:r w:rsidR="003F547B">
        <w:rPr>
          <w:rFonts w:asciiTheme="minorHAnsi" w:hAnsiTheme="minorHAnsi"/>
        </w:rPr>
        <w:t xml:space="preserve"> patients</w:t>
      </w:r>
      <w:r>
        <w:rPr>
          <w:rFonts w:asciiTheme="minorHAnsi" w:hAnsiTheme="minorHAnsi"/>
        </w:rPr>
        <w:t xml:space="preserve"> in Cohort 2</w:t>
      </w:r>
      <w:r w:rsidR="003F547B">
        <w:rPr>
          <w:rFonts w:asciiTheme="minorHAnsi" w:hAnsiTheme="minorHAnsi"/>
        </w:rPr>
        <w:t xml:space="preserve"> </w:t>
      </w:r>
      <w:r>
        <w:rPr>
          <w:rFonts w:asciiTheme="minorHAnsi" w:hAnsiTheme="minorHAnsi"/>
        </w:rPr>
        <w:t xml:space="preserve">had evidence of either up, down or both up and down titration of statins (Table 5). </w:t>
      </w:r>
      <w:r w:rsidR="0000686B" w:rsidRPr="00C46FCF">
        <w:rPr>
          <w:rFonts w:asciiTheme="minorHAnsi" w:hAnsiTheme="minorHAnsi"/>
        </w:rPr>
        <w:t>Therefore</w:t>
      </w:r>
      <w:r w:rsidR="0000686B">
        <w:rPr>
          <w:rFonts w:asciiTheme="minorHAnsi" w:hAnsiTheme="minorHAnsi"/>
        </w:rPr>
        <w:t>,</w:t>
      </w:r>
      <w:r w:rsidR="0000686B" w:rsidRPr="00C46FCF">
        <w:rPr>
          <w:rFonts w:asciiTheme="minorHAnsi" w:hAnsiTheme="minorHAnsi"/>
        </w:rPr>
        <w:t xml:space="preserve"> a</w:t>
      </w:r>
      <w:r w:rsidR="0000686B">
        <w:rPr>
          <w:rFonts w:asciiTheme="minorHAnsi" w:hAnsiTheme="minorHAnsi"/>
        </w:rPr>
        <w:t>t least</w:t>
      </w:r>
      <w:r w:rsidR="0000686B" w:rsidRPr="00C46FCF">
        <w:rPr>
          <w:rFonts w:asciiTheme="minorHAnsi" w:hAnsiTheme="minorHAnsi"/>
        </w:rPr>
        <w:t xml:space="preserve"> 34.8% of </w:t>
      </w:r>
      <w:r w:rsidR="0000686B">
        <w:rPr>
          <w:rFonts w:asciiTheme="minorHAnsi" w:hAnsiTheme="minorHAnsi"/>
        </w:rPr>
        <w:t>C</w:t>
      </w:r>
      <w:r w:rsidR="0000686B" w:rsidRPr="00C46FCF">
        <w:rPr>
          <w:rFonts w:asciiTheme="minorHAnsi" w:hAnsiTheme="minorHAnsi"/>
        </w:rPr>
        <w:t xml:space="preserve">ohort 2 would appear to meet the PBS restriction requirement that patients are treated with the maximum tolerated dose of a statin prior to initiating ezetimibe. </w:t>
      </w:r>
    </w:p>
    <w:p w:rsidR="0000686B" w:rsidRPr="00C11542" w:rsidRDefault="0000686B" w:rsidP="00514129">
      <w:pPr>
        <w:spacing w:before="200" w:after="20" w:line="240" w:lineRule="auto"/>
        <w:rPr>
          <w:rFonts w:asciiTheme="minorHAnsi" w:hAnsiTheme="minorHAnsi"/>
          <w:b/>
        </w:rPr>
      </w:pPr>
      <w:r w:rsidRPr="00C11542">
        <w:rPr>
          <w:rFonts w:asciiTheme="minorHAnsi" w:hAnsiTheme="minorHAnsi"/>
          <w:b/>
        </w:rPr>
        <w:t xml:space="preserve">Table </w:t>
      </w:r>
      <w:r>
        <w:rPr>
          <w:rFonts w:asciiTheme="minorHAnsi" w:hAnsiTheme="minorHAnsi"/>
          <w:b/>
        </w:rPr>
        <w:t>5:</w:t>
      </w:r>
      <w:r w:rsidRPr="00C11542">
        <w:rPr>
          <w:rFonts w:asciiTheme="minorHAnsi" w:hAnsiTheme="minorHAnsi"/>
          <w:b/>
        </w:rPr>
        <w:t xml:space="preserve"> Proportion of the total Cohort 2 patients in each of the categories of the 24-month pre-ezetimibe history of LLT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389"/>
        <w:gridCol w:w="1389"/>
        <w:gridCol w:w="1389"/>
        <w:gridCol w:w="1389"/>
        <w:gridCol w:w="1389"/>
      </w:tblGrid>
      <w:tr w:rsidR="0000686B" w:rsidRPr="00C11542" w:rsidTr="00752C36">
        <w:trPr>
          <w:trHeight w:val="808"/>
        </w:trPr>
        <w:tc>
          <w:tcPr>
            <w:tcW w:w="1668" w:type="dxa"/>
            <w:shd w:val="clear" w:color="auto" w:fill="BFBFBF" w:themeFill="background1" w:themeFillShade="BF"/>
          </w:tcPr>
          <w:p w:rsidR="0000686B" w:rsidRPr="00C11542" w:rsidRDefault="0000686B" w:rsidP="00752C36">
            <w:pPr>
              <w:spacing w:before="60" w:after="60"/>
              <w:jc w:val="left"/>
              <w:rPr>
                <w:rFonts w:asciiTheme="minorHAnsi" w:hAnsiTheme="minorHAnsi"/>
              </w:rPr>
            </w:pPr>
          </w:p>
        </w:tc>
        <w:tc>
          <w:tcPr>
            <w:tcW w:w="1389" w:type="dxa"/>
            <w:shd w:val="clear" w:color="auto" w:fill="BFBFBF" w:themeFill="background1" w:themeFillShade="BF"/>
          </w:tcPr>
          <w:p w:rsidR="0000686B" w:rsidRPr="0021744E" w:rsidRDefault="0000686B" w:rsidP="00752C36">
            <w:pPr>
              <w:spacing w:before="60" w:after="60"/>
              <w:jc w:val="left"/>
              <w:rPr>
                <w:rFonts w:asciiTheme="minorHAnsi" w:hAnsiTheme="minorHAnsi"/>
              </w:rPr>
            </w:pPr>
            <w:r w:rsidRPr="0021744E">
              <w:rPr>
                <w:rFonts w:asciiTheme="minorHAnsi" w:hAnsiTheme="minorHAnsi"/>
              </w:rPr>
              <w:t>Remained on non-statin LLT</w:t>
            </w:r>
            <w:r w:rsidRPr="0021744E">
              <w:rPr>
                <w:rFonts w:asciiTheme="minorHAnsi" w:hAnsiTheme="minorHAnsi"/>
                <w:vertAlign w:val="superscript"/>
              </w:rPr>
              <w:t>*</w:t>
            </w:r>
          </w:p>
        </w:tc>
        <w:tc>
          <w:tcPr>
            <w:tcW w:w="1389" w:type="dxa"/>
            <w:shd w:val="clear" w:color="auto" w:fill="BFBFBF" w:themeFill="background1" w:themeFillShade="BF"/>
          </w:tcPr>
          <w:p w:rsidR="0000686B" w:rsidRPr="0021744E" w:rsidRDefault="0000686B" w:rsidP="00752C36">
            <w:pPr>
              <w:spacing w:before="60" w:after="60"/>
              <w:jc w:val="left"/>
              <w:rPr>
                <w:rFonts w:asciiTheme="minorHAnsi" w:hAnsiTheme="minorHAnsi"/>
              </w:rPr>
            </w:pPr>
            <w:r w:rsidRPr="0021744E">
              <w:rPr>
                <w:rFonts w:asciiTheme="minorHAnsi" w:hAnsiTheme="minorHAnsi"/>
              </w:rPr>
              <w:t>Remained on the same statin dose or potency</w:t>
            </w:r>
            <w:r w:rsidRPr="0021744E">
              <w:rPr>
                <w:rFonts w:asciiTheme="minorHAnsi" w:hAnsiTheme="minorHAnsi"/>
                <w:vertAlign w:val="superscript"/>
              </w:rPr>
              <w:t>ǂ</w:t>
            </w:r>
          </w:p>
        </w:tc>
        <w:tc>
          <w:tcPr>
            <w:tcW w:w="1389" w:type="dxa"/>
            <w:shd w:val="clear" w:color="auto" w:fill="BFBFBF" w:themeFill="background1" w:themeFillShade="BF"/>
          </w:tcPr>
          <w:p w:rsidR="0000686B" w:rsidRPr="0021744E" w:rsidRDefault="0000686B" w:rsidP="00752C36">
            <w:pPr>
              <w:spacing w:before="60" w:after="60"/>
              <w:jc w:val="left"/>
              <w:rPr>
                <w:rFonts w:asciiTheme="minorHAnsi" w:hAnsiTheme="minorHAnsi"/>
              </w:rPr>
            </w:pPr>
            <w:r w:rsidRPr="0021744E">
              <w:rPr>
                <w:rFonts w:asciiTheme="minorHAnsi" w:hAnsiTheme="minorHAnsi"/>
              </w:rPr>
              <w:t>Up-titration only of statin dose or potency</w:t>
            </w:r>
          </w:p>
        </w:tc>
        <w:tc>
          <w:tcPr>
            <w:tcW w:w="1389" w:type="dxa"/>
            <w:shd w:val="clear" w:color="auto" w:fill="BFBFBF" w:themeFill="background1" w:themeFillShade="BF"/>
          </w:tcPr>
          <w:p w:rsidR="0000686B" w:rsidRPr="0021744E" w:rsidRDefault="0000686B" w:rsidP="00752C36">
            <w:pPr>
              <w:spacing w:before="60" w:after="60"/>
              <w:jc w:val="left"/>
              <w:rPr>
                <w:rFonts w:asciiTheme="minorHAnsi" w:hAnsiTheme="minorHAnsi"/>
              </w:rPr>
            </w:pPr>
            <w:r w:rsidRPr="0021744E">
              <w:rPr>
                <w:rFonts w:asciiTheme="minorHAnsi" w:hAnsiTheme="minorHAnsi"/>
              </w:rPr>
              <w:t>Down-titration only of statin dose or potency</w:t>
            </w:r>
          </w:p>
        </w:tc>
        <w:tc>
          <w:tcPr>
            <w:tcW w:w="1389" w:type="dxa"/>
            <w:shd w:val="clear" w:color="auto" w:fill="BFBFBF" w:themeFill="background1" w:themeFillShade="BF"/>
          </w:tcPr>
          <w:p w:rsidR="0000686B" w:rsidRPr="0021744E" w:rsidRDefault="0000686B" w:rsidP="00752C36">
            <w:pPr>
              <w:spacing w:before="60" w:after="60"/>
              <w:jc w:val="left"/>
              <w:rPr>
                <w:rFonts w:asciiTheme="minorHAnsi" w:hAnsiTheme="minorHAnsi"/>
              </w:rPr>
            </w:pPr>
            <w:r w:rsidRPr="0021744E">
              <w:rPr>
                <w:rFonts w:asciiTheme="minorHAnsi" w:hAnsiTheme="minorHAnsi"/>
              </w:rPr>
              <w:t>Both up- and down- titration of statin dose or potency</w:t>
            </w:r>
          </w:p>
        </w:tc>
      </w:tr>
      <w:tr w:rsidR="0000686B" w:rsidRPr="00C11542" w:rsidTr="00752C36">
        <w:trPr>
          <w:trHeight w:val="907"/>
        </w:trPr>
        <w:tc>
          <w:tcPr>
            <w:tcW w:w="1668" w:type="dxa"/>
          </w:tcPr>
          <w:p w:rsidR="0000686B" w:rsidRPr="00C11542" w:rsidRDefault="0000686B" w:rsidP="00752C36">
            <w:pPr>
              <w:spacing w:before="60" w:after="60"/>
              <w:jc w:val="center"/>
              <w:rPr>
                <w:rFonts w:asciiTheme="minorHAnsi" w:hAnsiTheme="minorHAnsi"/>
              </w:rPr>
            </w:pPr>
            <w:r w:rsidRPr="00C11542">
              <w:rPr>
                <w:rFonts w:asciiTheme="minorHAnsi" w:hAnsiTheme="minorHAnsi"/>
              </w:rPr>
              <w:t>Total number of patients (N=38,707)</w:t>
            </w:r>
          </w:p>
        </w:tc>
        <w:tc>
          <w:tcPr>
            <w:tcW w:w="1389" w:type="dxa"/>
          </w:tcPr>
          <w:p w:rsidR="0000686B" w:rsidRPr="00C11542" w:rsidRDefault="0000686B" w:rsidP="00752C36">
            <w:pPr>
              <w:spacing w:before="60" w:after="60"/>
              <w:jc w:val="center"/>
              <w:rPr>
                <w:rFonts w:asciiTheme="minorHAnsi" w:hAnsiTheme="minorHAnsi"/>
                <w:b/>
                <w:i/>
                <w:color w:val="000000"/>
                <w:u w:val="single"/>
              </w:rPr>
            </w:pPr>
            <w:r w:rsidRPr="00C11542">
              <w:rPr>
                <w:rFonts w:asciiTheme="minorHAnsi" w:hAnsiTheme="minorHAnsi"/>
              </w:rPr>
              <w:t>907</w:t>
            </w:r>
          </w:p>
          <w:p w:rsidR="0000686B" w:rsidRPr="00C11542" w:rsidRDefault="0000686B" w:rsidP="00752C36">
            <w:pPr>
              <w:spacing w:before="60" w:after="60"/>
              <w:jc w:val="center"/>
              <w:rPr>
                <w:rFonts w:asciiTheme="minorHAnsi" w:hAnsiTheme="minorHAnsi"/>
                <w:b/>
                <w:i/>
                <w:color w:val="000000"/>
                <w:u w:val="single"/>
              </w:rPr>
            </w:pPr>
            <w:r w:rsidRPr="00C11542">
              <w:rPr>
                <w:rFonts w:asciiTheme="minorHAnsi" w:hAnsiTheme="minorHAnsi"/>
              </w:rPr>
              <w:t>(2.3%)</w:t>
            </w:r>
          </w:p>
        </w:tc>
        <w:tc>
          <w:tcPr>
            <w:tcW w:w="1389" w:type="dxa"/>
          </w:tcPr>
          <w:p w:rsidR="0000686B" w:rsidRPr="00C11542" w:rsidRDefault="0000686B" w:rsidP="00752C36">
            <w:pPr>
              <w:spacing w:before="60" w:after="60"/>
              <w:jc w:val="center"/>
              <w:rPr>
                <w:rFonts w:asciiTheme="minorHAnsi" w:hAnsiTheme="minorHAnsi"/>
                <w:b/>
                <w:i/>
                <w:color w:val="000000"/>
                <w:u w:val="single"/>
              </w:rPr>
            </w:pPr>
            <w:r w:rsidRPr="00C11542">
              <w:rPr>
                <w:rFonts w:asciiTheme="minorHAnsi" w:hAnsiTheme="minorHAnsi"/>
              </w:rPr>
              <w:t>26,676 (68.9%)</w:t>
            </w:r>
          </w:p>
        </w:tc>
        <w:tc>
          <w:tcPr>
            <w:tcW w:w="1389" w:type="dxa"/>
          </w:tcPr>
          <w:p w:rsidR="0000686B" w:rsidRPr="00C11542" w:rsidRDefault="0000686B" w:rsidP="00752C36">
            <w:pPr>
              <w:spacing w:before="60" w:after="60"/>
              <w:jc w:val="center"/>
              <w:rPr>
                <w:rFonts w:asciiTheme="minorHAnsi" w:hAnsiTheme="minorHAnsi"/>
                <w:b/>
                <w:i/>
                <w:color w:val="000000"/>
                <w:u w:val="single"/>
              </w:rPr>
            </w:pPr>
            <w:r w:rsidRPr="00C11542">
              <w:rPr>
                <w:rFonts w:asciiTheme="minorHAnsi" w:hAnsiTheme="minorHAnsi"/>
              </w:rPr>
              <w:t>4,525 (11.7%)</w:t>
            </w:r>
          </w:p>
        </w:tc>
        <w:tc>
          <w:tcPr>
            <w:tcW w:w="1389" w:type="dxa"/>
          </w:tcPr>
          <w:p w:rsidR="0000686B" w:rsidRPr="00C11542" w:rsidRDefault="0000686B" w:rsidP="00752C36">
            <w:pPr>
              <w:spacing w:before="60" w:after="60"/>
              <w:jc w:val="center"/>
              <w:rPr>
                <w:rFonts w:asciiTheme="minorHAnsi" w:hAnsiTheme="minorHAnsi"/>
                <w:b/>
                <w:i/>
                <w:color w:val="000000"/>
                <w:u w:val="single"/>
              </w:rPr>
            </w:pPr>
            <w:r w:rsidRPr="00C11542">
              <w:rPr>
                <w:rFonts w:asciiTheme="minorHAnsi" w:hAnsiTheme="minorHAnsi"/>
              </w:rPr>
              <w:t>2,707</w:t>
            </w:r>
          </w:p>
          <w:p w:rsidR="0000686B" w:rsidRPr="00C11542" w:rsidRDefault="0000686B" w:rsidP="00752C36">
            <w:pPr>
              <w:spacing w:before="60" w:after="60"/>
              <w:jc w:val="center"/>
              <w:rPr>
                <w:rFonts w:asciiTheme="minorHAnsi" w:hAnsiTheme="minorHAnsi"/>
                <w:b/>
                <w:i/>
                <w:color w:val="000000"/>
                <w:u w:val="single"/>
              </w:rPr>
            </w:pPr>
            <w:r w:rsidRPr="00C11542">
              <w:rPr>
                <w:rFonts w:asciiTheme="minorHAnsi" w:hAnsiTheme="minorHAnsi"/>
              </w:rPr>
              <w:t>(7.0%)</w:t>
            </w:r>
          </w:p>
        </w:tc>
        <w:tc>
          <w:tcPr>
            <w:tcW w:w="1389" w:type="dxa"/>
          </w:tcPr>
          <w:p w:rsidR="0000686B" w:rsidRPr="00C11542" w:rsidRDefault="0000686B" w:rsidP="00752C36">
            <w:pPr>
              <w:spacing w:before="60" w:after="60"/>
              <w:jc w:val="center"/>
              <w:rPr>
                <w:rFonts w:asciiTheme="minorHAnsi" w:hAnsiTheme="minorHAnsi"/>
                <w:b/>
                <w:i/>
                <w:color w:val="000000"/>
                <w:u w:val="single"/>
              </w:rPr>
            </w:pPr>
            <w:r w:rsidRPr="00C11542">
              <w:rPr>
                <w:rFonts w:asciiTheme="minorHAnsi" w:hAnsiTheme="minorHAnsi"/>
              </w:rPr>
              <w:t>3,892 (10.1%)</w:t>
            </w:r>
          </w:p>
        </w:tc>
      </w:tr>
    </w:tbl>
    <w:p w:rsidR="0000686B" w:rsidRPr="008064A3" w:rsidRDefault="0000686B" w:rsidP="00514129">
      <w:pPr>
        <w:spacing w:after="0" w:line="240" w:lineRule="auto"/>
        <w:rPr>
          <w:rFonts w:asciiTheme="minorHAnsi" w:hAnsiTheme="minorHAnsi"/>
          <w:sz w:val="20"/>
          <w:szCs w:val="20"/>
        </w:rPr>
      </w:pPr>
      <w:r w:rsidRPr="008064A3">
        <w:rPr>
          <w:rFonts w:asciiTheme="minorHAnsi" w:hAnsiTheme="minorHAnsi"/>
          <w:sz w:val="20"/>
          <w:szCs w:val="20"/>
        </w:rPr>
        <w:t xml:space="preserve">   </w:t>
      </w:r>
      <w:r w:rsidRPr="008064A3">
        <w:rPr>
          <w:rFonts w:asciiTheme="minorHAnsi" w:hAnsiTheme="minorHAnsi"/>
          <w:b/>
          <w:sz w:val="20"/>
          <w:szCs w:val="20"/>
          <w:vertAlign w:val="superscript"/>
        </w:rPr>
        <w:t>*</w:t>
      </w:r>
      <w:r w:rsidRPr="008064A3">
        <w:rPr>
          <w:rFonts w:asciiTheme="minorHAnsi" w:hAnsiTheme="minorHAnsi"/>
          <w:sz w:val="20"/>
          <w:szCs w:val="20"/>
        </w:rPr>
        <w:t>the dose change in non-statin LLT was not examined</w:t>
      </w:r>
    </w:p>
    <w:p w:rsidR="0000686B" w:rsidRPr="008064A3" w:rsidRDefault="0000686B" w:rsidP="00514129">
      <w:pPr>
        <w:spacing w:after="0" w:line="240" w:lineRule="auto"/>
        <w:rPr>
          <w:rFonts w:asciiTheme="minorHAnsi" w:hAnsiTheme="minorHAnsi"/>
          <w:sz w:val="20"/>
          <w:szCs w:val="20"/>
        </w:rPr>
      </w:pPr>
      <w:r w:rsidRPr="008064A3">
        <w:rPr>
          <w:rFonts w:asciiTheme="minorHAnsi" w:hAnsiTheme="minorHAnsi"/>
          <w:b/>
          <w:sz w:val="20"/>
          <w:szCs w:val="20"/>
          <w:vertAlign w:val="superscript"/>
        </w:rPr>
        <w:t>ǂ “</w:t>
      </w:r>
      <w:r w:rsidRPr="008064A3">
        <w:rPr>
          <w:rFonts w:asciiTheme="minorHAnsi" w:hAnsiTheme="minorHAnsi"/>
          <w:sz w:val="20"/>
          <w:szCs w:val="20"/>
        </w:rPr>
        <w:t>remained on the same dose” means that a patient had at least two statin prescriptions dispensed during the pre-ezetimibe period and did not experienced any up- or down-titration either in terms of a dose or a potency of a statin.</w:t>
      </w:r>
    </w:p>
    <w:p w:rsidR="0000686B" w:rsidRDefault="0000686B" w:rsidP="00514129">
      <w:pPr>
        <w:spacing w:line="240" w:lineRule="auto"/>
        <w:rPr>
          <w:rFonts w:asciiTheme="minorHAnsi" w:hAnsiTheme="minorHAnsi"/>
          <w:sz w:val="20"/>
          <w:szCs w:val="20"/>
        </w:rPr>
      </w:pPr>
      <w:r w:rsidRPr="00D8435F">
        <w:rPr>
          <w:rFonts w:asciiTheme="minorHAnsi" w:hAnsiTheme="minorHAnsi"/>
          <w:sz w:val="20"/>
          <w:szCs w:val="20"/>
          <w:highlight w:val="yellow"/>
        </w:rPr>
        <w:t xml:space="preserve">Source: Ezetimibe Review Analysis of Utilisation Data, CPHR Table </w:t>
      </w:r>
      <w:r w:rsidR="00D8435F" w:rsidRPr="00D8435F">
        <w:rPr>
          <w:rFonts w:asciiTheme="minorHAnsi" w:hAnsiTheme="minorHAnsi"/>
          <w:sz w:val="20"/>
          <w:szCs w:val="20"/>
          <w:highlight w:val="yellow"/>
        </w:rPr>
        <w:t>4</w:t>
      </w:r>
      <w:r w:rsidRPr="00D8435F">
        <w:rPr>
          <w:rFonts w:asciiTheme="minorHAnsi" w:hAnsiTheme="minorHAnsi"/>
          <w:sz w:val="20"/>
          <w:szCs w:val="20"/>
          <w:highlight w:val="yellow"/>
        </w:rPr>
        <w:t>.1.2, p1</w:t>
      </w:r>
      <w:r w:rsidR="009F67BC">
        <w:rPr>
          <w:rFonts w:asciiTheme="minorHAnsi" w:hAnsiTheme="minorHAnsi"/>
          <w:sz w:val="20"/>
          <w:szCs w:val="20"/>
          <w:highlight w:val="yellow"/>
        </w:rPr>
        <w:t>6</w:t>
      </w:r>
      <w:r w:rsidRPr="008064A3">
        <w:rPr>
          <w:rFonts w:asciiTheme="minorHAnsi" w:hAnsiTheme="minorHAnsi"/>
          <w:sz w:val="20"/>
          <w:szCs w:val="20"/>
        </w:rPr>
        <w:t xml:space="preserve"> </w:t>
      </w:r>
    </w:p>
    <w:p w:rsidR="0000686B" w:rsidRDefault="0000686B" w:rsidP="00514129">
      <w:pPr>
        <w:spacing w:before="200" w:after="20" w:line="240" w:lineRule="auto"/>
        <w:rPr>
          <w:rFonts w:asciiTheme="minorHAnsi" w:hAnsiTheme="minorHAnsi"/>
          <w:b/>
        </w:rPr>
      </w:pPr>
      <w:r>
        <w:rPr>
          <w:rFonts w:asciiTheme="minorHAnsi" w:hAnsiTheme="minorHAnsi"/>
          <w:b/>
        </w:rPr>
        <w:t>Table 6:</w:t>
      </w:r>
      <w:r w:rsidRPr="00CC7FF0">
        <w:rPr>
          <w:rFonts w:asciiTheme="minorHAnsi" w:hAnsiTheme="minorHAnsi"/>
          <w:b/>
        </w:rPr>
        <w:t xml:space="preserve"> </w:t>
      </w:r>
      <w:r>
        <w:rPr>
          <w:rFonts w:asciiTheme="minorHAnsi" w:hAnsiTheme="minorHAnsi"/>
          <w:b/>
        </w:rPr>
        <w:t xml:space="preserve">Cohort 2: </w:t>
      </w:r>
      <w:r w:rsidRPr="00CC7FF0">
        <w:rPr>
          <w:rFonts w:asciiTheme="minorHAnsi" w:hAnsiTheme="minorHAnsi"/>
          <w:b/>
        </w:rPr>
        <w:t>Remained on the same dose or potency of statin prior to ezetimibe initiation (N=26,676)</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2180"/>
        <w:gridCol w:w="3728"/>
      </w:tblGrid>
      <w:tr w:rsidR="0000686B" w:rsidRPr="00F1518B" w:rsidTr="009623C7">
        <w:tc>
          <w:tcPr>
            <w:tcW w:w="4777" w:type="dxa"/>
            <w:gridSpan w:val="2"/>
            <w:shd w:val="clear" w:color="auto" w:fill="BFBFBF" w:themeFill="background1" w:themeFillShade="BF"/>
          </w:tcPr>
          <w:p w:rsidR="0000686B" w:rsidRPr="0021744E" w:rsidRDefault="0000686B" w:rsidP="009623C7">
            <w:pPr>
              <w:jc w:val="left"/>
              <w:rPr>
                <w:rFonts w:asciiTheme="minorHAnsi" w:hAnsiTheme="minorHAnsi"/>
              </w:rPr>
            </w:pPr>
            <w:r w:rsidRPr="0021744E">
              <w:rPr>
                <w:rFonts w:asciiTheme="minorHAnsi" w:hAnsiTheme="minorHAnsi"/>
              </w:rPr>
              <w:t>Potency of statin</w:t>
            </w:r>
          </w:p>
        </w:tc>
        <w:tc>
          <w:tcPr>
            <w:tcW w:w="3728" w:type="dxa"/>
            <w:shd w:val="clear" w:color="auto" w:fill="BFBFBF" w:themeFill="background1" w:themeFillShade="BF"/>
          </w:tcPr>
          <w:p w:rsidR="0000686B" w:rsidRPr="0021744E" w:rsidRDefault="0000686B" w:rsidP="009623C7">
            <w:pPr>
              <w:jc w:val="left"/>
              <w:rPr>
                <w:rFonts w:asciiTheme="minorHAnsi" w:hAnsiTheme="minorHAnsi"/>
              </w:rPr>
            </w:pPr>
            <w:r w:rsidRPr="0021744E">
              <w:rPr>
                <w:rFonts w:asciiTheme="minorHAnsi" w:hAnsiTheme="minorHAnsi"/>
              </w:rPr>
              <w:t>Number of patients (%)</w:t>
            </w:r>
          </w:p>
        </w:tc>
      </w:tr>
      <w:tr w:rsidR="0000686B" w:rsidRPr="00F1518B" w:rsidTr="009623C7">
        <w:tc>
          <w:tcPr>
            <w:tcW w:w="4777" w:type="dxa"/>
            <w:gridSpan w:val="2"/>
            <w:vAlign w:val="center"/>
          </w:tcPr>
          <w:p w:rsidR="0000686B" w:rsidRPr="00F1518B" w:rsidRDefault="0000686B" w:rsidP="00514129">
            <w:pPr>
              <w:rPr>
                <w:rFonts w:asciiTheme="minorHAnsi" w:hAnsiTheme="minorHAnsi"/>
                <w:i/>
              </w:rPr>
            </w:pPr>
            <w:r w:rsidRPr="00F1518B">
              <w:rPr>
                <w:rFonts w:asciiTheme="minorHAnsi" w:hAnsiTheme="minorHAnsi"/>
                <w:i/>
              </w:rPr>
              <w:t>Low-intensity statin</w:t>
            </w:r>
          </w:p>
        </w:tc>
        <w:tc>
          <w:tcPr>
            <w:tcW w:w="3728" w:type="dxa"/>
            <w:vAlign w:val="center"/>
          </w:tcPr>
          <w:p w:rsidR="0000686B" w:rsidRPr="00F1518B" w:rsidRDefault="0000686B" w:rsidP="009623C7">
            <w:pPr>
              <w:tabs>
                <w:tab w:val="left" w:pos="2345"/>
                <w:tab w:val="left" w:pos="2450"/>
                <w:tab w:val="left" w:pos="2486"/>
              </w:tabs>
              <w:ind w:right="1167"/>
              <w:jc w:val="right"/>
              <w:rPr>
                <w:rFonts w:asciiTheme="minorHAnsi" w:hAnsiTheme="minorHAnsi"/>
                <w:b/>
                <w:i/>
                <w:color w:val="000000"/>
                <w:u w:val="single"/>
              </w:rPr>
            </w:pPr>
            <w:r w:rsidRPr="00F1518B">
              <w:rPr>
                <w:rFonts w:asciiTheme="minorHAnsi" w:hAnsiTheme="minorHAnsi"/>
              </w:rPr>
              <w:t>649 (2.4%)</w:t>
            </w:r>
          </w:p>
        </w:tc>
      </w:tr>
      <w:tr w:rsidR="0000686B" w:rsidRPr="00F1518B" w:rsidTr="009623C7">
        <w:tc>
          <w:tcPr>
            <w:tcW w:w="2597" w:type="dxa"/>
            <w:vMerge w:val="restart"/>
          </w:tcPr>
          <w:p w:rsidR="0000686B" w:rsidRPr="00F1518B" w:rsidRDefault="0000686B" w:rsidP="00514129">
            <w:pPr>
              <w:rPr>
                <w:rFonts w:asciiTheme="minorHAnsi" w:hAnsiTheme="minorHAnsi"/>
                <w:b/>
                <w:i/>
                <w:color w:val="000000"/>
                <w:u w:val="single"/>
              </w:rPr>
            </w:pPr>
            <w:r w:rsidRPr="00F1518B">
              <w:rPr>
                <w:rFonts w:asciiTheme="minorHAnsi" w:hAnsiTheme="minorHAnsi"/>
              </w:rPr>
              <w:t>Moderate-intensity statin</w:t>
            </w:r>
          </w:p>
        </w:tc>
        <w:tc>
          <w:tcPr>
            <w:tcW w:w="2180" w:type="dxa"/>
          </w:tcPr>
          <w:p w:rsidR="0000686B" w:rsidRPr="00F1518B" w:rsidRDefault="0000686B" w:rsidP="00514129">
            <w:pPr>
              <w:rPr>
                <w:rFonts w:asciiTheme="minorHAnsi" w:hAnsiTheme="minorHAnsi"/>
                <w:b/>
                <w:i/>
                <w:color w:val="000000"/>
                <w:u w:val="single"/>
              </w:rPr>
            </w:pPr>
            <w:r w:rsidRPr="00F1518B">
              <w:rPr>
                <w:rFonts w:asciiTheme="minorHAnsi" w:hAnsiTheme="minorHAnsi"/>
              </w:rPr>
              <w:t>Lower dose</w:t>
            </w:r>
          </w:p>
        </w:tc>
        <w:tc>
          <w:tcPr>
            <w:tcW w:w="3728" w:type="dxa"/>
          </w:tcPr>
          <w:p w:rsidR="0000686B" w:rsidRPr="00F1518B" w:rsidRDefault="0000686B" w:rsidP="009623C7">
            <w:pPr>
              <w:tabs>
                <w:tab w:val="left" w:pos="2345"/>
                <w:tab w:val="left" w:pos="2450"/>
                <w:tab w:val="left" w:pos="2486"/>
              </w:tabs>
              <w:ind w:right="1167"/>
              <w:jc w:val="right"/>
              <w:rPr>
                <w:rFonts w:asciiTheme="minorHAnsi" w:hAnsiTheme="minorHAnsi"/>
                <w:b/>
                <w:i/>
                <w:color w:val="000000"/>
                <w:u w:val="single"/>
              </w:rPr>
            </w:pPr>
            <w:r w:rsidRPr="00F1518B">
              <w:rPr>
                <w:rFonts w:asciiTheme="minorHAnsi" w:hAnsiTheme="minorHAnsi"/>
              </w:rPr>
              <w:t>4,301 (16.1%)</w:t>
            </w:r>
          </w:p>
        </w:tc>
      </w:tr>
      <w:tr w:rsidR="0000686B" w:rsidRPr="00F1518B" w:rsidTr="009623C7">
        <w:tc>
          <w:tcPr>
            <w:tcW w:w="2597" w:type="dxa"/>
            <w:vMerge/>
          </w:tcPr>
          <w:p w:rsidR="0000686B" w:rsidRPr="00F1518B" w:rsidRDefault="0000686B" w:rsidP="00514129">
            <w:pPr>
              <w:rPr>
                <w:rFonts w:asciiTheme="minorHAnsi" w:hAnsiTheme="minorHAnsi"/>
              </w:rPr>
            </w:pPr>
          </w:p>
        </w:tc>
        <w:tc>
          <w:tcPr>
            <w:tcW w:w="2180" w:type="dxa"/>
          </w:tcPr>
          <w:p w:rsidR="0000686B" w:rsidRPr="00F1518B" w:rsidRDefault="0000686B" w:rsidP="00514129">
            <w:pPr>
              <w:rPr>
                <w:rFonts w:asciiTheme="minorHAnsi" w:hAnsiTheme="minorHAnsi"/>
                <w:b/>
                <w:i/>
                <w:color w:val="000000"/>
                <w:u w:val="single"/>
              </w:rPr>
            </w:pPr>
            <w:r w:rsidRPr="00F1518B">
              <w:rPr>
                <w:rFonts w:asciiTheme="minorHAnsi" w:hAnsiTheme="minorHAnsi"/>
              </w:rPr>
              <w:t>Higher dose</w:t>
            </w:r>
          </w:p>
        </w:tc>
        <w:tc>
          <w:tcPr>
            <w:tcW w:w="3728" w:type="dxa"/>
          </w:tcPr>
          <w:p w:rsidR="0000686B" w:rsidRPr="00F1518B" w:rsidRDefault="0000686B" w:rsidP="009623C7">
            <w:pPr>
              <w:tabs>
                <w:tab w:val="left" w:pos="2345"/>
                <w:tab w:val="left" w:pos="2450"/>
                <w:tab w:val="left" w:pos="2486"/>
              </w:tabs>
              <w:ind w:right="1167"/>
              <w:jc w:val="right"/>
              <w:rPr>
                <w:rFonts w:asciiTheme="minorHAnsi" w:hAnsiTheme="minorHAnsi"/>
                <w:b/>
                <w:i/>
                <w:color w:val="000000"/>
                <w:u w:val="single"/>
              </w:rPr>
            </w:pPr>
            <w:r w:rsidRPr="00F1518B">
              <w:rPr>
                <w:rFonts w:asciiTheme="minorHAnsi" w:hAnsiTheme="minorHAnsi"/>
              </w:rPr>
              <w:t>8,202 (30.7%)</w:t>
            </w:r>
          </w:p>
        </w:tc>
      </w:tr>
      <w:tr w:rsidR="0000686B" w:rsidRPr="00F1518B" w:rsidTr="009623C7">
        <w:tc>
          <w:tcPr>
            <w:tcW w:w="4777" w:type="dxa"/>
            <w:gridSpan w:val="2"/>
            <w:vAlign w:val="center"/>
          </w:tcPr>
          <w:p w:rsidR="0000686B" w:rsidRPr="00F1518B" w:rsidRDefault="0000686B" w:rsidP="00514129">
            <w:pPr>
              <w:rPr>
                <w:rFonts w:asciiTheme="minorHAnsi" w:hAnsiTheme="minorHAnsi"/>
                <w:b/>
                <w:i/>
                <w:color w:val="000000"/>
                <w:u w:val="single"/>
              </w:rPr>
            </w:pPr>
            <w:r w:rsidRPr="00F1518B">
              <w:rPr>
                <w:rFonts w:asciiTheme="minorHAnsi" w:hAnsiTheme="minorHAnsi"/>
                <w:i/>
              </w:rPr>
              <w:t xml:space="preserve">Moderate intensity statin (subtotal) </w:t>
            </w:r>
          </w:p>
        </w:tc>
        <w:tc>
          <w:tcPr>
            <w:tcW w:w="3728" w:type="dxa"/>
            <w:vAlign w:val="center"/>
          </w:tcPr>
          <w:p w:rsidR="0000686B" w:rsidRPr="00F1518B" w:rsidRDefault="0000686B" w:rsidP="009623C7">
            <w:pPr>
              <w:tabs>
                <w:tab w:val="left" w:pos="2345"/>
                <w:tab w:val="left" w:pos="2450"/>
                <w:tab w:val="left" w:pos="2486"/>
              </w:tabs>
              <w:ind w:right="1167"/>
              <w:jc w:val="right"/>
              <w:rPr>
                <w:rFonts w:asciiTheme="minorHAnsi" w:hAnsiTheme="minorHAnsi"/>
                <w:b/>
                <w:i/>
                <w:color w:val="000000"/>
                <w:u w:val="single"/>
              </w:rPr>
            </w:pPr>
            <w:r w:rsidRPr="00F1518B">
              <w:rPr>
                <w:rFonts w:asciiTheme="minorHAnsi" w:hAnsiTheme="minorHAnsi"/>
              </w:rPr>
              <w:t>12,503 (46.9%)</w:t>
            </w:r>
          </w:p>
        </w:tc>
      </w:tr>
      <w:tr w:rsidR="0000686B" w:rsidRPr="00F1518B" w:rsidTr="009623C7">
        <w:tc>
          <w:tcPr>
            <w:tcW w:w="2597" w:type="dxa"/>
            <w:vMerge w:val="restart"/>
          </w:tcPr>
          <w:p w:rsidR="0000686B" w:rsidRPr="00F1518B" w:rsidRDefault="0000686B" w:rsidP="00514129">
            <w:pPr>
              <w:rPr>
                <w:rFonts w:asciiTheme="minorHAnsi" w:hAnsiTheme="minorHAnsi"/>
                <w:b/>
                <w:i/>
                <w:color w:val="000000"/>
                <w:u w:val="single"/>
              </w:rPr>
            </w:pPr>
            <w:r w:rsidRPr="00F1518B">
              <w:rPr>
                <w:rFonts w:asciiTheme="minorHAnsi" w:hAnsiTheme="minorHAnsi"/>
              </w:rPr>
              <w:t>High-intensity statin</w:t>
            </w:r>
          </w:p>
        </w:tc>
        <w:tc>
          <w:tcPr>
            <w:tcW w:w="2180" w:type="dxa"/>
          </w:tcPr>
          <w:p w:rsidR="0000686B" w:rsidRPr="00F1518B" w:rsidRDefault="0000686B" w:rsidP="00514129">
            <w:pPr>
              <w:rPr>
                <w:rFonts w:asciiTheme="minorHAnsi" w:hAnsiTheme="minorHAnsi"/>
                <w:b/>
                <w:i/>
                <w:color w:val="000000"/>
                <w:u w:val="single"/>
              </w:rPr>
            </w:pPr>
            <w:r w:rsidRPr="00F1518B">
              <w:rPr>
                <w:rFonts w:asciiTheme="minorHAnsi" w:hAnsiTheme="minorHAnsi"/>
              </w:rPr>
              <w:t>Lower dose</w:t>
            </w:r>
          </w:p>
        </w:tc>
        <w:tc>
          <w:tcPr>
            <w:tcW w:w="3728" w:type="dxa"/>
          </w:tcPr>
          <w:p w:rsidR="0000686B" w:rsidRPr="00F1518B" w:rsidRDefault="0000686B" w:rsidP="009623C7">
            <w:pPr>
              <w:tabs>
                <w:tab w:val="left" w:pos="2345"/>
                <w:tab w:val="left" w:pos="2450"/>
                <w:tab w:val="left" w:pos="2486"/>
              </w:tabs>
              <w:ind w:right="1167"/>
              <w:jc w:val="right"/>
              <w:rPr>
                <w:rFonts w:asciiTheme="minorHAnsi" w:hAnsiTheme="minorHAnsi"/>
                <w:b/>
                <w:i/>
                <w:color w:val="000000"/>
                <w:u w:val="single"/>
              </w:rPr>
            </w:pPr>
            <w:r w:rsidRPr="00F1518B">
              <w:rPr>
                <w:rFonts w:asciiTheme="minorHAnsi" w:hAnsiTheme="minorHAnsi"/>
              </w:rPr>
              <w:t>8,180 (30.7%)</w:t>
            </w:r>
          </w:p>
        </w:tc>
      </w:tr>
      <w:tr w:rsidR="0000686B" w:rsidRPr="00F1518B" w:rsidTr="009623C7">
        <w:tc>
          <w:tcPr>
            <w:tcW w:w="2597" w:type="dxa"/>
            <w:vMerge/>
          </w:tcPr>
          <w:p w:rsidR="0000686B" w:rsidRPr="00F1518B" w:rsidRDefault="0000686B" w:rsidP="00514129">
            <w:pPr>
              <w:rPr>
                <w:rFonts w:asciiTheme="minorHAnsi" w:hAnsiTheme="minorHAnsi"/>
              </w:rPr>
            </w:pPr>
          </w:p>
        </w:tc>
        <w:tc>
          <w:tcPr>
            <w:tcW w:w="2180" w:type="dxa"/>
          </w:tcPr>
          <w:p w:rsidR="0000686B" w:rsidRPr="00F1518B" w:rsidRDefault="0000686B" w:rsidP="00514129">
            <w:pPr>
              <w:rPr>
                <w:rFonts w:asciiTheme="minorHAnsi" w:hAnsiTheme="minorHAnsi"/>
                <w:b/>
                <w:i/>
                <w:color w:val="000000"/>
                <w:u w:val="single"/>
              </w:rPr>
            </w:pPr>
            <w:r w:rsidRPr="00F1518B">
              <w:rPr>
                <w:rFonts w:asciiTheme="minorHAnsi" w:hAnsiTheme="minorHAnsi"/>
              </w:rPr>
              <w:t>Higher dose</w:t>
            </w:r>
          </w:p>
        </w:tc>
        <w:tc>
          <w:tcPr>
            <w:tcW w:w="3728" w:type="dxa"/>
          </w:tcPr>
          <w:p w:rsidR="0000686B" w:rsidRPr="00F1518B" w:rsidRDefault="0000686B" w:rsidP="009623C7">
            <w:pPr>
              <w:tabs>
                <w:tab w:val="left" w:pos="2345"/>
                <w:tab w:val="left" w:pos="2450"/>
                <w:tab w:val="left" w:pos="2486"/>
              </w:tabs>
              <w:ind w:right="1167"/>
              <w:jc w:val="right"/>
              <w:rPr>
                <w:rFonts w:asciiTheme="minorHAnsi" w:hAnsiTheme="minorHAnsi"/>
                <w:b/>
                <w:i/>
                <w:color w:val="000000"/>
                <w:u w:val="single"/>
              </w:rPr>
            </w:pPr>
            <w:r w:rsidRPr="00F1518B">
              <w:rPr>
                <w:rFonts w:asciiTheme="minorHAnsi" w:hAnsiTheme="minorHAnsi"/>
              </w:rPr>
              <w:t>5,344 (20.0%)</w:t>
            </w:r>
          </w:p>
        </w:tc>
      </w:tr>
      <w:tr w:rsidR="0000686B" w:rsidRPr="00F1518B" w:rsidTr="009623C7">
        <w:tc>
          <w:tcPr>
            <w:tcW w:w="4777" w:type="dxa"/>
            <w:gridSpan w:val="2"/>
            <w:vAlign w:val="center"/>
          </w:tcPr>
          <w:p w:rsidR="0000686B" w:rsidRPr="00F1518B" w:rsidRDefault="0000686B" w:rsidP="00514129">
            <w:pPr>
              <w:rPr>
                <w:rFonts w:asciiTheme="minorHAnsi" w:hAnsiTheme="minorHAnsi"/>
                <w:b/>
                <w:i/>
                <w:color w:val="000000"/>
                <w:u w:val="single"/>
              </w:rPr>
            </w:pPr>
            <w:r w:rsidRPr="00F1518B">
              <w:rPr>
                <w:rFonts w:asciiTheme="minorHAnsi" w:hAnsiTheme="minorHAnsi"/>
                <w:i/>
              </w:rPr>
              <w:t>High intensity statin (subtotal</w:t>
            </w:r>
            <w:r w:rsidRPr="00F1518B">
              <w:rPr>
                <w:rFonts w:asciiTheme="minorHAnsi" w:hAnsiTheme="minorHAnsi"/>
              </w:rPr>
              <w:t>)</w:t>
            </w:r>
          </w:p>
        </w:tc>
        <w:tc>
          <w:tcPr>
            <w:tcW w:w="3728" w:type="dxa"/>
            <w:vAlign w:val="center"/>
          </w:tcPr>
          <w:p w:rsidR="0000686B" w:rsidRPr="00F1518B" w:rsidRDefault="0000686B" w:rsidP="009623C7">
            <w:pPr>
              <w:tabs>
                <w:tab w:val="left" w:pos="2345"/>
                <w:tab w:val="left" w:pos="2450"/>
                <w:tab w:val="left" w:pos="2486"/>
              </w:tabs>
              <w:ind w:right="1167"/>
              <w:jc w:val="right"/>
              <w:rPr>
                <w:rFonts w:asciiTheme="minorHAnsi" w:hAnsiTheme="minorHAnsi"/>
                <w:b/>
                <w:i/>
                <w:color w:val="000000"/>
                <w:u w:val="single"/>
              </w:rPr>
            </w:pPr>
            <w:r w:rsidRPr="00F1518B">
              <w:rPr>
                <w:rFonts w:asciiTheme="minorHAnsi" w:hAnsiTheme="minorHAnsi"/>
              </w:rPr>
              <w:t>13,524 (50.7%)</w:t>
            </w:r>
          </w:p>
        </w:tc>
      </w:tr>
    </w:tbl>
    <w:p w:rsidR="0000686B" w:rsidRPr="006F1E41" w:rsidRDefault="0000686B" w:rsidP="00514129">
      <w:pPr>
        <w:spacing w:line="240" w:lineRule="auto"/>
        <w:rPr>
          <w:rFonts w:asciiTheme="minorHAnsi" w:hAnsiTheme="minorHAnsi"/>
          <w:sz w:val="20"/>
          <w:szCs w:val="20"/>
        </w:rPr>
      </w:pPr>
      <w:r w:rsidRPr="00D8435F">
        <w:rPr>
          <w:rFonts w:asciiTheme="minorHAnsi" w:hAnsiTheme="minorHAnsi"/>
          <w:sz w:val="20"/>
          <w:szCs w:val="20"/>
          <w:highlight w:val="yellow"/>
        </w:rPr>
        <w:t xml:space="preserve">Source: Ezetimibe Review Analysis of Utilisation Data, CPHR Table </w:t>
      </w:r>
      <w:r w:rsidR="00D8435F" w:rsidRPr="00D8435F">
        <w:rPr>
          <w:rFonts w:asciiTheme="minorHAnsi" w:hAnsiTheme="minorHAnsi"/>
          <w:sz w:val="20"/>
          <w:szCs w:val="20"/>
          <w:highlight w:val="yellow"/>
        </w:rPr>
        <w:t>4</w:t>
      </w:r>
      <w:r w:rsidRPr="00D8435F">
        <w:rPr>
          <w:rFonts w:asciiTheme="minorHAnsi" w:hAnsiTheme="minorHAnsi"/>
          <w:sz w:val="20"/>
          <w:szCs w:val="20"/>
          <w:highlight w:val="yellow"/>
        </w:rPr>
        <w:t>.1.3, p</w:t>
      </w:r>
      <w:r w:rsidR="00D8435F" w:rsidRPr="00D8435F">
        <w:rPr>
          <w:rFonts w:asciiTheme="minorHAnsi" w:hAnsiTheme="minorHAnsi"/>
          <w:sz w:val="20"/>
          <w:szCs w:val="20"/>
          <w:highlight w:val="yellow"/>
        </w:rPr>
        <w:t xml:space="preserve"> 1</w:t>
      </w:r>
      <w:r w:rsidR="00D15002">
        <w:rPr>
          <w:rFonts w:asciiTheme="minorHAnsi" w:hAnsiTheme="minorHAnsi"/>
          <w:sz w:val="20"/>
          <w:szCs w:val="20"/>
          <w:highlight w:val="yellow"/>
        </w:rPr>
        <w:t>6</w:t>
      </w:r>
      <w:r w:rsidRPr="006F1E41">
        <w:rPr>
          <w:rFonts w:asciiTheme="minorHAnsi" w:hAnsiTheme="minorHAnsi"/>
          <w:sz w:val="20"/>
          <w:szCs w:val="20"/>
        </w:rPr>
        <w:t xml:space="preserve"> </w:t>
      </w:r>
    </w:p>
    <w:p w:rsidR="0000686B" w:rsidRPr="00A90FE3" w:rsidRDefault="003848A8" w:rsidP="00514129">
      <w:pPr>
        <w:pStyle w:val="Heading4"/>
        <w:jc w:val="left"/>
      </w:pPr>
      <w:r>
        <w:lastRenderedPageBreak/>
        <w:t>1.</w:t>
      </w:r>
      <w:r w:rsidR="0000686B" w:rsidRPr="00A90FE3">
        <w:t>2.2.2</w:t>
      </w:r>
      <w:r w:rsidR="0000686B" w:rsidRPr="00A90FE3">
        <w:tab/>
        <w:t>Lipid lowering therapy post ezetimibe initiation</w:t>
      </w:r>
    </w:p>
    <w:p w:rsidR="0000686B" w:rsidRDefault="001751C4" w:rsidP="00514129">
      <w:pPr>
        <w:spacing w:line="240" w:lineRule="auto"/>
        <w:jc w:val="left"/>
        <w:rPr>
          <w:rFonts w:asciiTheme="minorHAnsi" w:hAnsiTheme="minorHAnsi"/>
        </w:rPr>
      </w:pPr>
      <w:r>
        <w:rPr>
          <w:rFonts w:asciiTheme="minorHAnsi" w:hAnsiTheme="minorHAnsi"/>
        </w:rPr>
        <w:t xml:space="preserve">The </w:t>
      </w:r>
      <w:r>
        <w:rPr>
          <w:rFonts w:asciiTheme="minorHAnsi" w:eastAsia="Calibri" w:hAnsiTheme="minorHAnsi" w:cs="Times New Roman"/>
          <w:szCs w:val="24"/>
        </w:rPr>
        <w:t xml:space="preserve">December 2016 </w:t>
      </w:r>
      <w:r w:rsidRPr="00F45531">
        <w:rPr>
          <w:rFonts w:asciiTheme="minorHAnsi" w:eastAsia="Calibri" w:hAnsiTheme="minorHAnsi" w:cs="Times New Roman"/>
          <w:szCs w:val="24"/>
        </w:rPr>
        <w:t>Analysis</w:t>
      </w:r>
      <w:r>
        <w:rPr>
          <w:rFonts w:asciiTheme="minorHAnsi" w:hAnsiTheme="minorHAnsi"/>
        </w:rPr>
        <w:t xml:space="preserve"> </w:t>
      </w:r>
      <w:r w:rsidR="00CD260F">
        <w:rPr>
          <w:rFonts w:asciiTheme="minorHAnsi" w:hAnsiTheme="minorHAnsi"/>
        </w:rPr>
        <w:t xml:space="preserve">provided a </w:t>
      </w:r>
      <w:r w:rsidR="0000686B" w:rsidRPr="00136BCB">
        <w:rPr>
          <w:rFonts w:asciiTheme="minorHAnsi" w:hAnsiTheme="minorHAnsi"/>
        </w:rPr>
        <w:t xml:space="preserve">limited analysis of changes in LLT for patients in the 12 months post initiation of ezetimibe for both Cohort 1 and Cohort </w:t>
      </w:r>
      <w:r w:rsidR="0000686B" w:rsidRPr="00074D93">
        <w:rPr>
          <w:rFonts w:asciiTheme="minorHAnsi" w:hAnsiTheme="minorHAnsi"/>
        </w:rPr>
        <w:t>2</w:t>
      </w:r>
      <w:r w:rsidR="00CD260F" w:rsidRPr="00074D93">
        <w:rPr>
          <w:rFonts w:asciiTheme="minorHAnsi" w:hAnsiTheme="minorHAnsi"/>
        </w:rPr>
        <w:t xml:space="preserve"> </w:t>
      </w:r>
      <w:r w:rsidR="00CD260F" w:rsidRPr="009F67BC">
        <w:rPr>
          <w:rFonts w:asciiTheme="minorHAnsi" w:hAnsiTheme="minorHAnsi"/>
          <w:highlight w:val="yellow"/>
        </w:rPr>
        <w:t xml:space="preserve">(see </w:t>
      </w:r>
      <w:r w:rsidR="00CD260F" w:rsidRPr="009F67BC">
        <w:rPr>
          <w:rFonts w:asciiTheme="minorHAnsi" w:hAnsiTheme="minorHAnsi"/>
          <w:b/>
          <w:highlight w:val="yellow"/>
        </w:rPr>
        <w:t>Ap</w:t>
      </w:r>
      <w:r w:rsidR="00AD0496" w:rsidRPr="009F67BC">
        <w:rPr>
          <w:rFonts w:asciiTheme="minorHAnsi" w:hAnsiTheme="minorHAnsi"/>
          <w:b/>
          <w:highlight w:val="yellow"/>
        </w:rPr>
        <w:t>p</w:t>
      </w:r>
      <w:r w:rsidR="00CD260F" w:rsidRPr="009F67BC">
        <w:rPr>
          <w:rFonts w:asciiTheme="minorHAnsi" w:hAnsiTheme="minorHAnsi"/>
          <w:b/>
          <w:highlight w:val="yellow"/>
        </w:rPr>
        <w:t>endix E</w:t>
      </w:r>
      <w:r w:rsidR="00CD260F" w:rsidRPr="009F67BC">
        <w:rPr>
          <w:rFonts w:asciiTheme="minorHAnsi" w:hAnsiTheme="minorHAnsi"/>
          <w:highlight w:val="yellow"/>
        </w:rPr>
        <w:t xml:space="preserve"> p.</w:t>
      </w:r>
      <w:r w:rsidR="009A2D33" w:rsidRPr="009F67BC">
        <w:rPr>
          <w:rFonts w:asciiTheme="minorHAnsi" w:hAnsiTheme="minorHAnsi"/>
          <w:highlight w:val="yellow"/>
        </w:rPr>
        <w:t>2</w:t>
      </w:r>
      <w:r w:rsidR="00D15002">
        <w:rPr>
          <w:rFonts w:asciiTheme="minorHAnsi" w:hAnsiTheme="minorHAnsi"/>
          <w:highlight w:val="yellow"/>
        </w:rPr>
        <w:t>1</w:t>
      </w:r>
      <w:r w:rsidR="00CD260F" w:rsidRPr="009F67BC">
        <w:rPr>
          <w:rFonts w:asciiTheme="minorHAnsi" w:hAnsiTheme="minorHAnsi"/>
          <w:highlight w:val="yellow"/>
        </w:rPr>
        <w:t xml:space="preserve"> Table </w:t>
      </w:r>
      <w:r w:rsidR="009A2D33" w:rsidRPr="009F67BC">
        <w:rPr>
          <w:rFonts w:asciiTheme="minorHAnsi" w:hAnsiTheme="minorHAnsi"/>
          <w:highlight w:val="yellow"/>
        </w:rPr>
        <w:t>4</w:t>
      </w:r>
      <w:r w:rsidR="00CD260F" w:rsidRPr="009F67BC">
        <w:rPr>
          <w:rFonts w:asciiTheme="minorHAnsi" w:hAnsiTheme="minorHAnsi"/>
          <w:highlight w:val="yellow"/>
        </w:rPr>
        <w:t xml:space="preserve">.2.5). This analysis was respecified in </w:t>
      </w:r>
      <w:r w:rsidRPr="009F67BC">
        <w:rPr>
          <w:rFonts w:asciiTheme="minorHAnsi" w:hAnsiTheme="minorHAnsi"/>
          <w:highlight w:val="yellow"/>
        </w:rPr>
        <w:t xml:space="preserve">the </w:t>
      </w:r>
      <w:r w:rsidRPr="009F67BC">
        <w:rPr>
          <w:rFonts w:asciiTheme="minorHAnsi" w:eastAsia="Calibri" w:hAnsiTheme="minorHAnsi"/>
          <w:szCs w:val="24"/>
          <w:highlight w:val="yellow"/>
        </w:rPr>
        <w:t xml:space="preserve">March </w:t>
      </w:r>
      <w:r w:rsidRPr="00D8435F">
        <w:rPr>
          <w:rFonts w:asciiTheme="minorHAnsi" w:eastAsia="Calibri" w:hAnsiTheme="minorHAnsi"/>
          <w:szCs w:val="24"/>
          <w:highlight w:val="yellow"/>
        </w:rPr>
        <w:t xml:space="preserve">2017 </w:t>
      </w:r>
      <w:r w:rsidR="00CD260F" w:rsidRPr="00D8435F">
        <w:rPr>
          <w:rFonts w:asciiTheme="minorHAnsi" w:hAnsiTheme="minorHAnsi"/>
          <w:highlight w:val="yellow"/>
        </w:rPr>
        <w:t>Analysis and is therefore not presented here to avoid confusion.</w:t>
      </w:r>
      <w:r w:rsidR="0000686B">
        <w:rPr>
          <w:rFonts w:asciiTheme="minorHAnsi" w:hAnsiTheme="minorHAnsi"/>
        </w:rPr>
        <w:t xml:space="preserve"> </w:t>
      </w:r>
    </w:p>
    <w:p w:rsidR="0000686B" w:rsidRPr="00981892" w:rsidRDefault="003848A8" w:rsidP="00514129">
      <w:pPr>
        <w:spacing w:line="240" w:lineRule="auto"/>
        <w:jc w:val="left"/>
        <w:rPr>
          <w:rFonts w:asciiTheme="minorHAnsi" w:hAnsiTheme="minorHAnsi"/>
          <w:b/>
          <w:i/>
          <w:szCs w:val="24"/>
        </w:rPr>
      </w:pPr>
      <w:r>
        <w:rPr>
          <w:rFonts w:asciiTheme="minorHAnsi" w:hAnsiTheme="minorHAnsi"/>
          <w:b/>
          <w:i/>
          <w:szCs w:val="24"/>
        </w:rPr>
        <w:t>1</w:t>
      </w:r>
      <w:r w:rsidR="00C05E80">
        <w:rPr>
          <w:rFonts w:asciiTheme="minorHAnsi" w:hAnsiTheme="minorHAnsi"/>
          <w:b/>
          <w:i/>
          <w:szCs w:val="24"/>
        </w:rPr>
        <w:t>.</w:t>
      </w:r>
      <w:r w:rsidR="0000686B" w:rsidRPr="00981892">
        <w:rPr>
          <w:rFonts w:asciiTheme="minorHAnsi" w:hAnsiTheme="minorHAnsi"/>
          <w:b/>
          <w:i/>
          <w:szCs w:val="24"/>
        </w:rPr>
        <w:t>2.2.3</w:t>
      </w:r>
      <w:r w:rsidR="0000686B" w:rsidRPr="00981892">
        <w:rPr>
          <w:rFonts w:asciiTheme="minorHAnsi" w:hAnsiTheme="minorHAnsi"/>
          <w:b/>
          <w:i/>
          <w:szCs w:val="24"/>
        </w:rPr>
        <w:tab/>
        <w:t>Estimate of PBS population not meeting PBS restriction</w:t>
      </w:r>
      <w:r w:rsidR="00CD260F" w:rsidRPr="00981892">
        <w:rPr>
          <w:rFonts w:asciiTheme="minorHAnsi" w:hAnsiTheme="minorHAnsi"/>
          <w:b/>
          <w:i/>
          <w:szCs w:val="24"/>
        </w:rPr>
        <w:t xml:space="preserve"> – </w:t>
      </w:r>
      <w:r w:rsidR="001751C4" w:rsidRPr="001751C4">
        <w:rPr>
          <w:rFonts w:asciiTheme="minorHAnsi" w:hAnsiTheme="minorHAnsi"/>
          <w:b/>
          <w:i/>
          <w:szCs w:val="24"/>
        </w:rPr>
        <w:t>December 2016 Analysis</w:t>
      </w:r>
      <w:r w:rsidR="001751C4" w:rsidRPr="00981892">
        <w:rPr>
          <w:rFonts w:asciiTheme="minorHAnsi" w:hAnsiTheme="minorHAnsi"/>
          <w:b/>
          <w:i/>
          <w:szCs w:val="24"/>
        </w:rPr>
        <w:t xml:space="preserve"> </w:t>
      </w:r>
    </w:p>
    <w:p w:rsidR="00CD260F" w:rsidRPr="00981892" w:rsidRDefault="00CD260F" w:rsidP="00920324">
      <w:pPr>
        <w:spacing w:line="240" w:lineRule="auto"/>
        <w:rPr>
          <w:rFonts w:asciiTheme="minorHAnsi" w:hAnsiTheme="minorHAnsi"/>
          <w:szCs w:val="24"/>
        </w:rPr>
      </w:pPr>
      <w:r w:rsidRPr="00981892">
        <w:rPr>
          <w:rFonts w:asciiTheme="minorHAnsi" w:hAnsiTheme="minorHAnsi"/>
          <w:szCs w:val="24"/>
        </w:rPr>
        <w:t xml:space="preserve">In </w:t>
      </w:r>
      <w:r w:rsidR="001751C4">
        <w:rPr>
          <w:rFonts w:asciiTheme="minorHAnsi" w:hAnsiTheme="minorHAnsi"/>
          <w:szCs w:val="24"/>
        </w:rPr>
        <w:t xml:space="preserve">the </w:t>
      </w:r>
      <w:r w:rsidR="001751C4">
        <w:rPr>
          <w:rFonts w:asciiTheme="minorHAnsi" w:eastAsia="Calibri" w:hAnsiTheme="minorHAnsi" w:cs="Times New Roman"/>
          <w:szCs w:val="24"/>
        </w:rPr>
        <w:t xml:space="preserve">December 2016 </w:t>
      </w:r>
      <w:r w:rsidRPr="00981892">
        <w:rPr>
          <w:rFonts w:asciiTheme="minorHAnsi" w:hAnsiTheme="minorHAnsi"/>
          <w:szCs w:val="24"/>
        </w:rPr>
        <w:t xml:space="preserve">the following groups were considered to have not complied with the PBS restriction for ezetimibe:  people in Cohort 1 who initiated ezetimibe in combination with a statin or later added statin; and those in Cohort 2 who up-titrated their statin dose or potency following initiation of ezetimibe. On this basis </w:t>
      </w:r>
      <w:r w:rsidR="001751C4">
        <w:rPr>
          <w:rFonts w:asciiTheme="minorHAnsi" w:hAnsiTheme="minorHAnsi"/>
          <w:szCs w:val="24"/>
        </w:rPr>
        <w:t xml:space="preserve">the </w:t>
      </w:r>
      <w:r w:rsidR="001751C4">
        <w:rPr>
          <w:rFonts w:asciiTheme="minorHAnsi" w:eastAsia="Calibri" w:hAnsiTheme="minorHAnsi" w:cs="Times New Roman"/>
          <w:szCs w:val="24"/>
        </w:rPr>
        <w:t xml:space="preserve">December 2016 </w:t>
      </w:r>
      <w:r w:rsidR="001751C4" w:rsidRPr="00F45531">
        <w:rPr>
          <w:rFonts w:asciiTheme="minorHAnsi" w:eastAsia="Calibri" w:hAnsiTheme="minorHAnsi" w:cs="Times New Roman"/>
          <w:szCs w:val="24"/>
        </w:rPr>
        <w:t>Analysis</w:t>
      </w:r>
      <w:r w:rsidR="001751C4" w:rsidRPr="00981892">
        <w:rPr>
          <w:rFonts w:asciiTheme="minorHAnsi" w:hAnsiTheme="minorHAnsi"/>
          <w:szCs w:val="24"/>
        </w:rPr>
        <w:t xml:space="preserve"> </w:t>
      </w:r>
      <w:r w:rsidRPr="00981892">
        <w:rPr>
          <w:rFonts w:asciiTheme="minorHAnsi" w:hAnsiTheme="minorHAnsi"/>
          <w:szCs w:val="24"/>
        </w:rPr>
        <w:t>estimated that 15.9% of new users of ezetimibe had not complied with the PBS restriction.</w:t>
      </w:r>
    </w:p>
    <w:p w:rsidR="00CD260F" w:rsidRPr="00AC3FB3" w:rsidRDefault="003848A8" w:rsidP="005A2287">
      <w:pPr>
        <w:pStyle w:val="Heading3"/>
        <w:jc w:val="left"/>
        <w:rPr>
          <w:highlight w:val="yellow"/>
        </w:rPr>
      </w:pPr>
      <w:bookmarkStart w:id="51" w:name="_Toc482176945"/>
      <w:r>
        <w:rPr>
          <w:highlight w:val="yellow"/>
        </w:rPr>
        <w:t>1</w:t>
      </w:r>
      <w:r w:rsidR="00C05E80">
        <w:rPr>
          <w:highlight w:val="yellow"/>
        </w:rPr>
        <w:t>.2.3</w:t>
      </w:r>
      <w:r w:rsidR="00C05E80">
        <w:rPr>
          <w:highlight w:val="yellow"/>
        </w:rPr>
        <w:tab/>
        <w:t>Background</w:t>
      </w:r>
      <w:r w:rsidR="00CD260F" w:rsidRPr="00AC3FB3">
        <w:rPr>
          <w:highlight w:val="yellow"/>
        </w:rPr>
        <w:t xml:space="preserve"> - </w:t>
      </w:r>
      <w:r w:rsidR="001751C4">
        <w:rPr>
          <w:rFonts w:eastAsia="Calibri"/>
          <w:szCs w:val="24"/>
        </w:rPr>
        <w:t xml:space="preserve">March 2017 </w:t>
      </w:r>
      <w:r w:rsidR="00CD260F" w:rsidRPr="00AC3FB3">
        <w:rPr>
          <w:highlight w:val="yellow"/>
        </w:rPr>
        <w:t>Analysis</w:t>
      </w:r>
      <w:bookmarkEnd w:id="51"/>
      <w:r w:rsidR="00CD260F" w:rsidRPr="00AC3FB3">
        <w:rPr>
          <w:highlight w:val="yellow"/>
        </w:rPr>
        <w:t xml:space="preserve"> </w:t>
      </w:r>
    </w:p>
    <w:p w:rsidR="00981892" w:rsidRPr="00AC3FB3" w:rsidRDefault="00981892" w:rsidP="00920324">
      <w:pPr>
        <w:spacing w:line="240" w:lineRule="auto"/>
        <w:rPr>
          <w:rFonts w:asciiTheme="minorHAnsi" w:hAnsiTheme="minorHAnsi"/>
          <w:szCs w:val="24"/>
          <w:highlight w:val="yellow"/>
        </w:rPr>
      </w:pPr>
      <w:r w:rsidRPr="00AC3FB3">
        <w:rPr>
          <w:rFonts w:asciiTheme="minorHAnsi" w:hAnsiTheme="minorHAnsi"/>
          <w:szCs w:val="24"/>
          <w:highlight w:val="yellow"/>
        </w:rPr>
        <w:t>The Drug Utilisation Sub-Committee (DUSC) of the PBAC reviewed the results of this initial study in February 2017 and requested an additional analysis using the same dataset be conducted to more comprehensively answer the above research question to address TOR 1. The DUSC’s view was that not all utilisation pre and post ezetimibe initiation had been linked at the individual patient level and that this was likely to have underestimated the number of patients who were not using ezetimibe in accordance with the restriction.</w:t>
      </w:r>
    </w:p>
    <w:p w:rsidR="0000686B" w:rsidRPr="00AC3FB3" w:rsidRDefault="0000686B">
      <w:pPr>
        <w:spacing w:line="240" w:lineRule="auto"/>
        <w:rPr>
          <w:rFonts w:asciiTheme="minorHAnsi" w:hAnsiTheme="minorHAnsi" w:cs="Arial"/>
          <w:szCs w:val="24"/>
          <w:highlight w:val="yellow"/>
        </w:rPr>
      </w:pPr>
      <w:r w:rsidRPr="00AC3FB3">
        <w:rPr>
          <w:rFonts w:asciiTheme="minorHAnsi" w:hAnsiTheme="minorHAnsi" w:cs="Arial"/>
          <w:szCs w:val="24"/>
          <w:highlight w:val="yellow"/>
        </w:rPr>
        <w:t>DUSC was also concerned that some of the methodology for the analysis of PBS data was not sufficiently defined in the report and suggested further clarification of these methods should be provided along with any additional analysis of the data.</w:t>
      </w:r>
    </w:p>
    <w:p w:rsidR="0000686B" w:rsidRPr="00AC3FB3" w:rsidRDefault="003848A8" w:rsidP="005A2287">
      <w:pPr>
        <w:pStyle w:val="Figuretitle"/>
        <w:spacing w:after="200"/>
        <w:rPr>
          <w:i/>
          <w:sz w:val="28"/>
          <w:szCs w:val="28"/>
          <w:highlight w:val="yellow"/>
        </w:rPr>
      </w:pPr>
      <w:r>
        <w:rPr>
          <w:i/>
          <w:sz w:val="28"/>
          <w:szCs w:val="28"/>
          <w:highlight w:val="yellow"/>
        </w:rPr>
        <w:t>1</w:t>
      </w:r>
      <w:r w:rsidR="00C05E80">
        <w:rPr>
          <w:i/>
          <w:sz w:val="28"/>
          <w:szCs w:val="28"/>
          <w:highlight w:val="yellow"/>
        </w:rPr>
        <w:t>.</w:t>
      </w:r>
      <w:r w:rsidR="0000686B" w:rsidRPr="00AC3FB3">
        <w:rPr>
          <w:i/>
          <w:sz w:val="28"/>
          <w:szCs w:val="28"/>
          <w:highlight w:val="yellow"/>
        </w:rPr>
        <w:t>2.</w:t>
      </w:r>
      <w:r w:rsidR="00CD260F" w:rsidRPr="00AC3FB3">
        <w:rPr>
          <w:i/>
          <w:sz w:val="28"/>
          <w:szCs w:val="28"/>
          <w:highlight w:val="yellow"/>
        </w:rPr>
        <w:t>4</w:t>
      </w:r>
      <w:r w:rsidR="0000686B" w:rsidRPr="00AC3FB3">
        <w:rPr>
          <w:i/>
          <w:sz w:val="28"/>
          <w:szCs w:val="28"/>
          <w:highlight w:val="yellow"/>
        </w:rPr>
        <w:tab/>
        <w:t xml:space="preserve"> Methods - </w:t>
      </w:r>
      <w:r w:rsidR="001751C4" w:rsidRPr="001751C4">
        <w:rPr>
          <w:i/>
          <w:sz w:val="28"/>
          <w:szCs w:val="28"/>
          <w:highlight w:val="yellow"/>
        </w:rPr>
        <w:t xml:space="preserve">March 2017 </w:t>
      </w:r>
      <w:r w:rsidR="0000686B" w:rsidRPr="00AC3FB3">
        <w:rPr>
          <w:i/>
          <w:sz w:val="28"/>
          <w:szCs w:val="28"/>
          <w:highlight w:val="yellow"/>
        </w:rPr>
        <w:t xml:space="preserve">Analysis </w:t>
      </w:r>
    </w:p>
    <w:p w:rsidR="009C01A7" w:rsidRPr="00AC3FB3" w:rsidRDefault="009C01A7" w:rsidP="00920324">
      <w:pPr>
        <w:spacing w:line="240" w:lineRule="auto"/>
        <w:rPr>
          <w:rFonts w:asciiTheme="minorHAnsi" w:eastAsiaTheme="majorEastAsia" w:hAnsiTheme="minorHAnsi" w:cstheme="majorBidi"/>
          <w:szCs w:val="24"/>
          <w:highlight w:val="yellow"/>
        </w:rPr>
      </w:pPr>
      <w:r w:rsidRPr="00AC3FB3">
        <w:rPr>
          <w:rFonts w:asciiTheme="minorHAnsi" w:eastAsiaTheme="majorEastAsia" w:hAnsiTheme="minorHAnsi" w:cstheme="majorBidi"/>
          <w:szCs w:val="24"/>
          <w:highlight w:val="yellow"/>
        </w:rPr>
        <w:t xml:space="preserve">The approach for the additional analysis of PBS prescription data replicates and expands on the approach described in Section 2.3 of the original report “Linking the pre- and post-ezetimibe history of statin use”. Identifying patients in Cohort 2 in whom statin therapy was up-titrated at the time of, or after, initiation of ezetimibe”. This approach allows for an estimation of the use of ezetimibe on the PBS, which is inconsistent with </w:t>
      </w:r>
      <w:r w:rsidR="003A476E" w:rsidRPr="00AC3FB3">
        <w:rPr>
          <w:rFonts w:asciiTheme="minorHAnsi" w:eastAsiaTheme="majorEastAsia" w:hAnsiTheme="minorHAnsi" w:cstheme="majorBidi"/>
          <w:szCs w:val="24"/>
          <w:highlight w:val="yellow"/>
        </w:rPr>
        <w:t xml:space="preserve">the PBS </w:t>
      </w:r>
      <w:r w:rsidRPr="00AC3FB3">
        <w:rPr>
          <w:rFonts w:asciiTheme="minorHAnsi" w:eastAsiaTheme="majorEastAsia" w:hAnsiTheme="minorHAnsi" w:cstheme="majorBidi"/>
          <w:szCs w:val="24"/>
          <w:highlight w:val="yellow"/>
        </w:rPr>
        <w:t xml:space="preserve">restriction. </w:t>
      </w:r>
    </w:p>
    <w:p w:rsidR="009C01A7" w:rsidRPr="00AC3FB3" w:rsidRDefault="009C01A7">
      <w:pPr>
        <w:spacing w:line="240" w:lineRule="auto"/>
        <w:rPr>
          <w:rFonts w:asciiTheme="minorHAnsi" w:hAnsiTheme="minorHAnsi"/>
          <w:szCs w:val="24"/>
          <w:highlight w:val="yellow"/>
        </w:rPr>
      </w:pPr>
      <w:r w:rsidRPr="00AC3FB3">
        <w:rPr>
          <w:rFonts w:asciiTheme="minorHAnsi" w:hAnsiTheme="minorHAnsi"/>
          <w:szCs w:val="24"/>
          <w:highlight w:val="yellow"/>
        </w:rPr>
        <w:t>DUSC suggested that the following three groups could be more accurately identified in PBS data:</w:t>
      </w:r>
    </w:p>
    <w:p w:rsidR="009C01A7" w:rsidRPr="00AC3FB3" w:rsidRDefault="009C01A7">
      <w:pPr>
        <w:tabs>
          <w:tab w:val="left" w:pos="284"/>
        </w:tabs>
        <w:spacing w:line="240" w:lineRule="auto"/>
        <w:rPr>
          <w:rFonts w:asciiTheme="minorHAnsi" w:hAnsiTheme="minorHAnsi"/>
          <w:szCs w:val="24"/>
          <w:highlight w:val="yellow"/>
        </w:rPr>
      </w:pPr>
      <w:r w:rsidRPr="00AC3FB3">
        <w:rPr>
          <w:rFonts w:asciiTheme="minorHAnsi" w:hAnsiTheme="minorHAnsi"/>
          <w:szCs w:val="24"/>
          <w:highlight w:val="yellow"/>
        </w:rPr>
        <w:t>•</w:t>
      </w:r>
      <w:r w:rsidRPr="00AC3FB3">
        <w:rPr>
          <w:rFonts w:asciiTheme="minorHAnsi" w:hAnsiTheme="minorHAnsi"/>
          <w:szCs w:val="24"/>
          <w:highlight w:val="yellow"/>
        </w:rPr>
        <w:tab/>
        <w:t>those initiating ezetimibe in accordance with the PBS restriction (</w:t>
      </w:r>
      <w:r w:rsidRPr="00AC3FB3">
        <w:rPr>
          <w:rFonts w:asciiTheme="minorHAnsi" w:hAnsiTheme="minorHAnsi"/>
          <w:color w:val="00B050"/>
          <w:szCs w:val="24"/>
          <w:highlight w:val="yellow"/>
        </w:rPr>
        <w:t>green</w:t>
      </w:r>
      <w:r w:rsidRPr="00AC3FB3">
        <w:rPr>
          <w:rFonts w:asciiTheme="minorHAnsi" w:hAnsiTheme="minorHAnsi"/>
          <w:szCs w:val="24"/>
          <w:highlight w:val="yellow"/>
        </w:rPr>
        <w:t xml:space="preserve">); </w:t>
      </w:r>
    </w:p>
    <w:p w:rsidR="009C01A7" w:rsidRPr="00AC3FB3" w:rsidRDefault="009C01A7">
      <w:pPr>
        <w:tabs>
          <w:tab w:val="left" w:pos="284"/>
        </w:tabs>
        <w:spacing w:line="240" w:lineRule="auto"/>
        <w:rPr>
          <w:rFonts w:asciiTheme="minorHAnsi" w:hAnsiTheme="minorHAnsi"/>
          <w:szCs w:val="24"/>
          <w:highlight w:val="yellow"/>
        </w:rPr>
      </w:pPr>
      <w:r w:rsidRPr="00AC3FB3">
        <w:rPr>
          <w:rFonts w:asciiTheme="minorHAnsi" w:hAnsiTheme="minorHAnsi"/>
          <w:szCs w:val="24"/>
          <w:highlight w:val="yellow"/>
        </w:rPr>
        <w:t>•</w:t>
      </w:r>
      <w:r w:rsidRPr="00AC3FB3">
        <w:rPr>
          <w:rFonts w:asciiTheme="minorHAnsi" w:hAnsiTheme="minorHAnsi"/>
          <w:szCs w:val="24"/>
          <w:highlight w:val="yellow"/>
        </w:rPr>
        <w:tab/>
        <w:t xml:space="preserve">those initiating ezetimibe in a manner that is not consistent with the PBS restriction </w:t>
      </w:r>
      <w:r w:rsidR="00981892" w:rsidRPr="00AC3FB3">
        <w:rPr>
          <w:rFonts w:asciiTheme="minorHAnsi" w:hAnsiTheme="minorHAnsi"/>
          <w:szCs w:val="24"/>
          <w:highlight w:val="yellow"/>
        </w:rPr>
        <w:tab/>
      </w:r>
      <w:r w:rsidRPr="00AC3FB3">
        <w:rPr>
          <w:rFonts w:asciiTheme="minorHAnsi" w:hAnsiTheme="minorHAnsi"/>
          <w:szCs w:val="24"/>
          <w:highlight w:val="yellow"/>
        </w:rPr>
        <w:t>(</w:t>
      </w:r>
      <w:r w:rsidRPr="00AC3FB3">
        <w:rPr>
          <w:rFonts w:asciiTheme="minorHAnsi" w:hAnsiTheme="minorHAnsi"/>
          <w:color w:val="C00000"/>
          <w:szCs w:val="24"/>
          <w:highlight w:val="yellow"/>
        </w:rPr>
        <w:t>red</w:t>
      </w:r>
      <w:r w:rsidRPr="00AC3FB3">
        <w:rPr>
          <w:rFonts w:asciiTheme="minorHAnsi" w:hAnsiTheme="minorHAnsi"/>
          <w:szCs w:val="24"/>
          <w:highlight w:val="yellow"/>
        </w:rPr>
        <w:t>);</w:t>
      </w:r>
      <w:r w:rsidR="00981892" w:rsidRPr="00AC3FB3">
        <w:rPr>
          <w:rFonts w:asciiTheme="minorHAnsi" w:hAnsiTheme="minorHAnsi"/>
          <w:szCs w:val="24"/>
          <w:highlight w:val="yellow"/>
        </w:rPr>
        <w:t xml:space="preserve"> </w:t>
      </w:r>
      <w:r w:rsidRPr="00AC3FB3">
        <w:rPr>
          <w:rFonts w:asciiTheme="minorHAnsi" w:hAnsiTheme="minorHAnsi"/>
          <w:szCs w:val="24"/>
          <w:highlight w:val="yellow"/>
        </w:rPr>
        <w:t xml:space="preserve">and </w:t>
      </w:r>
    </w:p>
    <w:p w:rsidR="009C01A7" w:rsidRPr="00AC3FB3" w:rsidRDefault="009C01A7">
      <w:pPr>
        <w:tabs>
          <w:tab w:val="left" w:pos="284"/>
        </w:tabs>
        <w:spacing w:line="240" w:lineRule="auto"/>
        <w:rPr>
          <w:rFonts w:asciiTheme="minorHAnsi" w:hAnsiTheme="minorHAnsi"/>
          <w:szCs w:val="24"/>
          <w:highlight w:val="yellow"/>
        </w:rPr>
      </w:pPr>
      <w:r w:rsidRPr="00AC3FB3">
        <w:rPr>
          <w:rFonts w:asciiTheme="minorHAnsi" w:hAnsiTheme="minorHAnsi"/>
          <w:szCs w:val="24"/>
          <w:highlight w:val="yellow"/>
        </w:rPr>
        <w:t>•</w:t>
      </w:r>
      <w:r w:rsidRPr="00AC3FB3">
        <w:rPr>
          <w:rFonts w:asciiTheme="minorHAnsi" w:hAnsiTheme="minorHAnsi"/>
          <w:szCs w:val="24"/>
          <w:highlight w:val="yellow"/>
        </w:rPr>
        <w:tab/>
        <w:t>the remainder for whom compliance with the PBS restriction is unknown (</w:t>
      </w:r>
      <w:r w:rsidRPr="00AC3FB3">
        <w:rPr>
          <w:rFonts w:asciiTheme="minorHAnsi" w:hAnsiTheme="minorHAnsi"/>
          <w:color w:val="FF6600"/>
          <w:szCs w:val="24"/>
          <w:highlight w:val="yellow"/>
        </w:rPr>
        <w:t>orange</w:t>
      </w:r>
      <w:r w:rsidRPr="00AC3FB3">
        <w:rPr>
          <w:rFonts w:asciiTheme="minorHAnsi" w:hAnsiTheme="minorHAnsi"/>
          <w:szCs w:val="24"/>
          <w:highlight w:val="yellow"/>
        </w:rPr>
        <w:t xml:space="preserve">).  </w:t>
      </w:r>
    </w:p>
    <w:p w:rsidR="009C01A7" w:rsidRPr="00AC3FB3" w:rsidRDefault="009C01A7" w:rsidP="005A2287">
      <w:pPr>
        <w:spacing w:line="240" w:lineRule="auto"/>
        <w:rPr>
          <w:rFonts w:asciiTheme="minorHAnsi" w:hAnsiTheme="minorHAnsi"/>
          <w:szCs w:val="24"/>
          <w:highlight w:val="yellow"/>
        </w:rPr>
      </w:pPr>
    </w:p>
    <w:p w:rsidR="009C01A7" w:rsidRPr="00AC3FB3" w:rsidRDefault="009C01A7">
      <w:pPr>
        <w:spacing w:line="240" w:lineRule="auto"/>
        <w:rPr>
          <w:rFonts w:asciiTheme="minorHAnsi" w:hAnsiTheme="minorHAnsi"/>
          <w:szCs w:val="24"/>
          <w:highlight w:val="yellow"/>
        </w:rPr>
      </w:pPr>
      <w:r w:rsidRPr="00AC3FB3">
        <w:rPr>
          <w:rFonts w:asciiTheme="minorHAnsi" w:hAnsiTheme="minorHAnsi"/>
          <w:szCs w:val="24"/>
          <w:highlight w:val="yellow"/>
        </w:rPr>
        <w:t>The tables representing the decision matrix for classifying patients into these three groups (</w:t>
      </w:r>
      <w:r w:rsidRPr="00AC3FB3">
        <w:rPr>
          <w:rFonts w:asciiTheme="minorHAnsi" w:hAnsiTheme="minorHAnsi"/>
          <w:color w:val="C00000"/>
          <w:szCs w:val="24"/>
          <w:highlight w:val="yellow"/>
        </w:rPr>
        <w:t>red,</w:t>
      </w:r>
      <w:r w:rsidRPr="00AC3FB3">
        <w:rPr>
          <w:rFonts w:asciiTheme="minorHAnsi" w:hAnsiTheme="minorHAnsi"/>
          <w:color w:val="FF0000"/>
          <w:szCs w:val="24"/>
          <w:highlight w:val="yellow"/>
        </w:rPr>
        <w:t xml:space="preserve"> </w:t>
      </w:r>
      <w:r w:rsidRPr="00AC3FB3">
        <w:rPr>
          <w:rFonts w:asciiTheme="minorHAnsi" w:hAnsiTheme="minorHAnsi"/>
          <w:color w:val="00B050"/>
          <w:szCs w:val="24"/>
          <w:highlight w:val="yellow"/>
        </w:rPr>
        <w:t>green</w:t>
      </w:r>
      <w:r w:rsidRPr="00AC3FB3">
        <w:rPr>
          <w:rFonts w:asciiTheme="minorHAnsi" w:hAnsiTheme="minorHAnsi"/>
          <w:szCs w:val="24"/>
          <w:highlight w:val="yellow"/>
        </w:rPr>
        <w:t xml:space="preserve"> and </w:t>
      </w:r>
      <w:r w:rsidRPr="00AC3FB3">
        <w:rPr>
          <w:rFonts w:asciiTheme="minorHAnsi" w:hAnsiTheme="minorHAnsi"/>
          <w:color w:val="FF6600"/>
          <w:szCs w:val="24"/>
          <w:highlight w:val="yellow"/>
        </w:rPr>
        <w:t>orange</w:t>
      </w:r>
      <w:r w:rsidRPr="00AC3FB3">
        <w:rPr>
          <w:rFonts w:asciiTheme="minorHAnsi" w:hAnsiTheme="minorHAnsi"/>
          <w:szCs w:val="24"/>
          <w:highlight w:val="yellow"/>
        </w:rPr>
        <w:t xml:space="preserve">) according to the history of dispensing of lipid lowering medicines before and after initiating ezetimibe are presented in Appendix </w:t>
      </w:r>
      <w:r w:rsidR="00981892" w:rsidRPr="00AC3FB3">
        <w:rPr>
          <w:rFonts w:asciiTheme="minorHAnsi" w:hAnsiTheme="minorHAnsi"/>
          <w:szCs w:val="24"/>
          <w:highlight w:val="yellow"/>
        </w:rPr>
        <w:t xml:space="preserve">E, </w:t>
      </w:r>
      <w:r w:rsidR="001751C4">
        <w:rPr>
          <w:rFonts w:asciiTheme="minorHAnsi" w:hAnsiTheme="minorHAnsi"/>
          <w:szCs w:val="24"/>
          <w:highlight w:val="yellow"/>
        </w:rPr>
        <w:t xml:space="preserve">March 2017 </w:t>
      </w:r>
      <w:r w:rsidR="00981892" w:rsidRPr="00AC3FB3">
        <w:rPr>
          <w:rFonts w:asciiTheme="minorHAnsi" w:hAnsiTheme="minorHAnsi"/>
          <w:szCs w:val="24"/>
          <w:highlight w:val="yellow"/>
        </w:rPr>
        <w:t xml:space="preserve">Analysis </w:t>
      </w:r>
      <w:r w:rsidR="00D443D1">
        <w:rPr>
          <w:rFonts w:asciiTheme="minorHAnsi" w:hAnsiTheme="minorHAnsi"/>
          <w:szCs w:val="24"/>
          <w:highlight w:val="yellow"/>
        </w:rPr>
        <w:t xml:space="preserve">Tables B1 and B2 </w:t>
      </w:r>
      <w:r w:rsidR="00981892" w:rsidRPr="00AC3FB3">
        <w:rPr>
          <w:rFonts w:asciiTheme="minorHAnsi" w:hAnsiTheme="minorHAnsi"/>
          <w:szCs w:val="24"/>
          <w:highlight w:val="yellow"/>
        </w:rPr>
        <w:t>p</w:t>
      </w:r>
      <w:r w:rsidR="002A465C">
        <w:rPr>
          <w:rFonts w:asciiTheme="minorHAnsi" w:hAnsiTheme="minorHAnsi"/>
          <w:szCs w:val="24"/>
          <w:highlight w:val="yellow"/>
        </w:rPr>
        <w:t xml:space="preserve"> 3</w:t>
      </w:r>
      <w:r w:rsidR="00D15002">
        <w:rPr>
          <w:rFonts w:asciiTheme="minorHAnsi" w:hAnsiTheme="minorHAnsi"/>
          <w:szCs w:val="24"/>
          <w:highlight w:val="yellow"/>
        </w:rPr>
        <w:t>6</w:t>
      </w:r>
      <w:r w:rsidRPr="00AC3FB3">
        <w:rPr>
          <w:rFonts w:asciiTheme="minorHAnsi" w:hAnsiTheme="minorHAnsi"/>
          <w:szCs w:val="24"/>
          <w:highlight w:val="yellow"/>
        </w:rPr>
        <w:t xml:space="preserve">. These tables were presented to the Reference Group on 17 March 2017, to seek additional clinical input and agreement on the colour coding of each cell in the decision matrix. All coloured cells include discrete patient numbers from Cohort 1 and Cohort 2. </w:t>
      </w:r>
    </w:p>
    <w:p w:rsidR="009C01A7" w:rsidRPr="00AC3FB3" w:rsidRDefault="009C01A7">
      <w:pPr>
        <w:spacing w:line="240" w:lineRule="auto"/>
        <w:rPr>
          <w:rFonts w:asciiTheme="minorHAnsi" w:hAnsiTheme="minorHAnsi"/>
          <w:szCs w:val="24"/>
          <w:highlight w:val="yellow"/>
        </w:rPr>
      </w:pPr>
      <w:r w:rsidRPr="00AC3FB3">
        <w:rPr>
          <w:rFonts w:asciiTheme="minorHAnsi" w:hAnsiTheme="minorHAnsi"/>
          <w:szCs w:val="24"/>
          <w:highlight w:val="yellow"/>
        </w:rPr>
        <w:t xml:space="preserve">This additional analysis </w:t>
      </w:r>
      <w:r w:rsidR="00AD0496">
        <w:rPr>
          <w:rFonts w:asciiTheme="minorHAnsi" w:hAnsiTheme="minorHAnsi"/>
          <w:szCs w:val="24"/>
          <w:highlight w:val="yellow"/>
        </w:rPr>
        <w:t xml:space="preserve">used </w:t>
      </w:r>
      <w:r w:rsidRPr="00AC3FB3">
        <w:rPr>
          <w:rFonts w:asciiTheme="minorHAnsi" w:hAnsiTheme="minorHAnsi"/>
          <w:szCs w:val="24"/>
          <w:highlight w:val="yellow"/>
        </w:rPr>
        <w:t xml:space="preserve"> the same study population identified in Deakin’s </w:t>
      </w:r>
      <w:r w:rsidRPr="00D15002">
        <w:rPr>
          <w:rFonts w:asciiTheme="minorHAnsi" w:hAnsiTheme="minorHAnsi"/>
          <w:szCs w:val="24"/>
          <w:highlight w:val="yellow"/>
        </w:rPr>
        <w:t>ezetimibe utilisation 2016 report (</w:t>
      </w:r>
      <w:r w:rsidRPr="00D15002">
        <w:rPr>
          <w:rFonts w:asciiTheme="minorHAnsi" w:hAnsiTheme="minorHAnsi"/>
          <w:b/>
          <w:szCs w:val="24"/>
          <w:highlight w:val="yellow"/>
        </w:rPr>
        <w:t>Appendix E</w:t>
      </w:r>
      <w:r w:rsidRPr="00D15002">
        <w:rPr>
          <w:rFonts w:asciiTheme="minorHAnsi" w:hAnsiTheme="minorHAnsi"/>
          <w:szCs w:val="24"/>
          <w:highlight w:val="yellow"/>
        </w:rPr>
        <w:t xml:space="preserve"> p</w:t>
      </w:r>
      <w:r w:rsidR="002A465C" w:rsidRPr="00D15002">
        <w:rPr>
          <w:rFonts w:asciiTheme="minorHAnsi" w:hAnsiTheme="minorHAnsi"/>
          <w:szCs w:val="24"/>
          <w:highlight w:val="yellow"/>
        </w:rPr>
        <w:t xml:space="preserve"> </w:t>
      </w:r>
      <w:r w:rsidR="00D15002" w:rsidRPr="00D15002">
        <w:rPr>
          <w:rFonts w:asciiTheme="minorHAnsi" w:hAnsiTheme="minorHAnsi"/>
          <w:szCs w:val="24"/>
          <w:highlight w:val="yellow"/>
        </w:rPr>
        <w:t>2</w:t>
      </w:r>
      <w:r w:rsidRPr="00D15002">
        <w:rPr>
          <w:rFonts w:asciiTheme="minorHAnsi" w:hAnsiTheme="minorHAnsi"/>
          <w:szCs w:val="24"/>
          <w:highlight w:val="yellow"/>
        </w:rPr>
        <w:t>) i</w:t>
      </w:r>
      <w:r w:rsidR="00AD0496" w:rsidRPr="00D15002">
        <w:rPr>
          <w:rFonts w:asciiTheme="minorHAnsi" w:hAnsiTheme="minorHAnsi"/>
          <w:szCs w:val="24"/>
          <w:highlight w:val="yellow"/>
        </w:rPr>
        <w:t>.</w:t>
      </w:r>
      <w:r w:rsidRPr="00D15002">
        <w:rPr>
          <w:rFonts w:asciiTheme="minorHAnsi" w:hAnsiTheme="minorHAnsi"/>
          <w:szCs w:val="24"/>
          <w:highlight w:val="yellow"/>
        </w:rPr>
        <w:t>e</w:t>
      </w:r>
      <w:r w:rsidR="00AD0496" w:rsidRPr="00D15002">
        <w:rPr>
          <w:rFonts w:asciiTheme="minorHAnsi" w:hAnsiTheme="minorHAnsi"/>
          <w:szCs w:val="24"/>
          <w:highlight w:val="yellow"/>
        </w:rPr>
        <w:t>.</w:t>
      </w:r>
      <w:r w:rsidRPr="00D15002">
        <w:rPr>
          <w:rFonts w:asciiTheme="minorHAnsi" w:hAnsiTheme="minorHAnsi"/>
          <w:szCs w:val="24"/>
          <w:highlight w:val="yellow"/>
        </w:rPr>
        <w:t xml:space="preserve">, people who received their </w:t>
      </w:r>
      <w:r w:rsidRPr="00AC3FB3">
        <w:rPr>
          <w:rFonts w:asciiTheme="minorHAnsi" w:hAnsiTheme="minorHAnsi"/>
          <w:szCs w:val="24"/>
          <w:highlight w:val="yellow"/>
        </w:rPr>
        <w:t>first prescription for ezetimibe between 1 April 2014 and 31 March 2015. Initiators to ezetimibe were further categorised into the following two cohorts, those with:</w:t>
      </w:r>
    </w:p>
    <w:p w:rsidR="009C01A7" w:rsidRPr="00AC3FB3" w:rsidRDefault="009C01A7">
      <w:pPr>
        <w:pStyle w:val="ListParagraph"/>
        <w:numPr>
          <w:ilvl w:val="0"/>
          <w:numId w:val="32"/>
        </w:numPr>
        <w:spacing w:line="240" w:lineRule="auto"/>
        <w:ind w:left="284" w:hanging="284"/>
        <w:rPr>
          <w:rFonts w:asciiTheme="minorHAnsi" w:hAnsiTheme="minorHAnsi"/>
          <w:szCs w:val="24"/>
          <w:highlight w:val="yellow"/>
        </w:rPr>
      </w:pPr>
      <w:r w:rsidRPr="00AC3FB3">
        <w:rPr>
          <w:rFonts w:asciiTheme="minorHAnsi" w:hAnsiTheme="minorHAnsi"/>
          <w:szCs w:val="24"/>
          <w:highlight w:val="yellow"/>
        </w:rPr>
        <w:t>no history of statin or non-statin LLT in the 24 months prior to ezetimibe initiation (</w:t>
      </w:r>
      <w:r w:rsidRPr="00AC3FB3">
        <w:rPr>
          <w:rFonts w:asciiTheme="minorHAnsi" w:hAnsiTheme="minorHAnsi"/>
          <w:b/>
          <w:szCs w:val="24"/>
          <w:highlight w:val="yellow"/>
        </w:rPr>
        <w:t>Cohort 1</w:t>
      </w:r>
      <w:r w:rsidRPr="00AC3FB3">
        <w:rPr>
          <w:rFonts w:asciiTheme="minorHAnsi" w:hAnsiTheme="minorHAnsi"/>
          <w:szCs w:val="24"/>
          <w:highlight w:val="yellow"/>
        </w:rPr>
        <w:t>); and</w:t>
      </w:r>
    </w:p>
    <w:p w:rsidR="009C01A7" w:rsidRPr="00AC3FB3" w:rsidRDefault="009C01A7">
      <w:pPr>
        <w:pStyle w:val="ListParagraph"/>
        <w:numPr>
          <w:ilvl w:val="0"/>
          <w:numId w:val="32"/>
        </w:numPr>
        <w:spacing w:line="240" w:lineRule="auto"/>
        <w:ind w:left="284" w:hanging="284"/>
        <w:rPr>
          <w:rFonts w:asciiTheme="minorHAnsi" w:hAnsiTheme="minorHAnsi"/>
          <w:szCs w:val="24"/>
          <w:highlight w:val="yellow"/>
        </w:rPr>
      </w:pPr>
      <w:r w:rsidRPr="00AC3FB3">
        <w:rPr>
          <w:rFonts w:asciiTheme="minorHAnsi" w:hAnsiTheme="minorHAnsi"/>
          <w:szCs w:val="24"/>
          <w:highlight w:val="yellow"/>
        </w:rPr>
        <w:t>a history of statin or non-statin LLT in the 24 months prior to ezetimibe initiation (</w:t>
      </w:r>
      <w:r w:rsidRPr="00AC3FB3">
        <w:rPr>
          <w:rFonts w:asciiTheme="minorHAnsi" w:hAnsiTheme="minorHAnsi"/>
          <w:b/>
          <w:szCs w:val="24"/>
          <w:highlight w:val="yellow"/>
        </w:rPr>
        <w:t>Cohort 2</w:t>
      </w:r>
      <w:r w:rsidRPr="00AC3FB3">
        <w:rPr>
          <w:rFonts w:asciiTheme="minorHAnsi" w:hAnsiTheme="minorHAnsi"/>
          <w:szCs w:val="24"/>
          <w:highlight w:val="yellow"/>
        </w:rPr>
        <w:t xml:space="preserve">). </w:t>
      </w:r>
    </w:p>
    <w:p w:rsidR="009C01A7" w:rsidRPr="00AC3FB3" w:rsidRDefault="009C01A7">
      <w:pPr>
        <w:pStyle w:val="ListParagraph"/>
        <w:spacing w:line="240" w:lineRule="auto"/>
        <w:ind w:left="284"/>
        <w:rPr>
          <w:rFonts w:asciiTheme="minorHAnsi" w:hAnsiTheme="minorHAnsi"/>
          <w:szCs w:val="24"/>
          <w:highlight w:val="yellow"/>
        </w:rPr>
      </w:pPr>
    </w:p>
    <w:p w:rsidR="009C01A7" w:rsidRPr="00AC3FB3" w:rsidRDefault="009C01A7">
      <w:pPr>
        <w:pStyle w:val="ListParagraph"/>
        <w:spacing w:line="240" w:lineRule="auto"/>
        <w:ind w:left="0"/>
        <w:rPr>
          <w:rFonts w:asciiTheme="minorHAnsi" w:hAnsiTheme="minorHAnsi"/>
          <w:szCs w:val="24"/>
          <w:highlight w:val="yellow"/>
        </w:rPr>
      </w:pPr>
      <w:r w:rsidRPr="00AC3FB3">
        <w:rPr>
          <w:rFonts w:asciiTheme="minorHAnsi" w:hAnsiTheme="minorHAnsi"/>
          <w:szCs w:val="24"/>
          <w:highlight w:val="yellow"/>
        </w:rPr>
        <w:t>Additional analyses of sub-groups of those in Cohort 2 were also conducted (see below).</w:t>
      </w:r>
    </w:p>
    <w:p w:rsidR="009C01A7" w:rsidRPr="00AC3FB3" w:rsidRDefault="009C01A7">
      <w:pPr>
        <w:spacing w:line="240" w:lineRule="auto"/>
        <w:rPr>
          <w:rFonts w:asciiTheme="minorHAnsi" w:hAnsiTheme="minorHAnsi"/>
          <w:szCs w:val="24"/>
          <w:highlight w:val="yellow"/>
          <w:u w:val="single"/>
        </w:rPr>
      </w:pPr>
      <w:r w:rsidRPr="00AC3FB3">
        <w:rPr>
          <w:rFonts w:asciiTheme="minorHAnsi" w:hAnsiTheme="minorHAnsi"/>
          <w:szCs w:val="24"/>
          <w:highlight w:val="yellow"/>
        </w:rPr>
        <w:t xml:space="preserve">Compliance with ezetimibe restrictions requires consideration of the nature of both pre and post-ezetimibe LLT utilisation. </w:t>
      </w:r>
      <w:r w:rsidR="00981892" w:rsidRPr="00AC3FB3">
        <w:rPr>
          <w:rFonts w:asciiTheme="minorHAnsi" w:hAnsiTheme="minorHAnsi"/>
          <w:szCs w:val="24"/>
          <w:highlight w:val="yellow"/>
        </w:rPr>
        <w:t>T</w:t>
      </w:r>
      <w:r w:rsidRPr="00AC3FB3">
        <w:rPr>
          <w:rFonts w:asciiTheme="minorHAnsi" w:hAnsiTheme="minorHAnsi"/>
          <w:szCs w:val="24"/>
          <w:highlight w:val="yellow"/>
        </w:rPr>
        <w:t>itration of statin dose/potency was considered pre ezetimibe initiation. Post ezetimibe statin dose was th</w:t>
      </w:r>
      <w:r w:rsidR="00981892" w:rsidRPr="00AC3FB3">
        <w:rPr>
          <w:rFonts w:asciiTheme="minorHAnsi" w:hAnsiTheme="minorHAnsi"/>
          <w:szCs w:val="24"/>
          <w:highlight w:val="yellow"/>
        </w:rPr>
        <w:t xml:space="preserve">en compared with </w:t>
      </w:r>
      <w:r w:rsidRPr="00AC3FB3">
        <w:rPr>
          <w:rFonts w:asciiTheme="minorHAnsi" w:hAnsiTheme="minorHAnsi"/>
          <w:szCs w:val="24"/>
          <w:highlight w:val="yellow"/>
        </w:rPr>
        <w:t>patient’s pre statin doses to ascertain if up-titration had occurred following initiation of ezetimibe. This pattern of dispensing would indicate that these patients had not been optimally titrated with statins prior to commencing ezetimibe.</w:t>
      </w:r>
    </w:p>
    <w:p w:rsidR="009C01A7" w:rsidRPr="00AC3FB3" w:rsidRDefault="009C01A7">
      <w:pPr>
        <w:spacing w:line="240" w:lineRule="auto"/>
        <w:rPr>
          <w:rFonts w:asciiTheme="minorHAnsi" w:hAnsiTheme="minorHAnsi"/>
          <w:szCs w:val="24"/>
          <w:u w:val="single"/>
        </w:rPr>
      </w:pPr>
      <w:r w:rsidRPr="00AC3FB3">
        <w:rPr>
          <w:rFonts w:asciiTheme="minorHAnsi" w:hAnsiTheme="minorHAnsi"/>
          <w:szCs w:val="24"/>
          <w:highlight w:val="yellow"/>
          <w:u w:val="single"/>
        </w:rPr>
        <w:t>Definitions</w:t>
      </w:r>
    </w:p>
    <w:p w:rsidR="009C01A7" w:rsidRPr="00AC3FB3" w:rsidRDefault="009C01A7">
      <w:pPr>
        <w:spacing w:line="240" w:lineRule="auto"/>
        <w:rPr>
          <w:rFonts w:asciiTheme="minorHAnsi" w:hAnsiTheme="minorHAnsi"/>
          <w:szCs w:val="24"/>
          <w:highlight w:val="yellow"/>
        </w:rPr>
      </w:pPr>
      <w:r w:rsidRPr="00AC3FB3">
        <w:rPr>
          <w:rFonts w:asciiTheme="minorHAnsi" w:hAnsiTheme="minorHAnsi"/>
          <w:i/>
          <w:szCs w:val="24"/>
          <w:highlight w:val="yellow"/>
        </w:rPr>
        <w:t>Initiation to ezetimibe</w:t>
      </w:r>
      <w:r w:rsidRPr="00AC3FB3">
        <w:rPr>
          <w:rFonts w:asciiTheme="minorHAnsi" w:hAnsiTheme="minorHAnsi"/>
          <w:szCs w:val="24"/>
          <w:highlight w:val="yellow"/>
        </w:rPr>
        <w:t>: individuals dispensed their first prescription for ezetimibe or a fixed-dose combination (FDC) containing ezetimibe between 1 April 2014 and 31 March 2015 in the dataset</w:t>
      </w:r>
      <w:r w:rsidR="00AD0496">
        <w:rPr>
          <w:rFonts w:asciiTheme="minorHAnsi" w:hAnsiTheme="minorHAnsi"/>
          <w:szCs w:val="24"/>
          <w:highlight w:val="yellow"/>
        </w:rPr>
        <w:t>.</w:t>
      </w:r>
      <w:r w:rsidRPr="00AC3FB3">
        <w:rPr>
          <w:rFonts w:asciiTheme="minorHAnsi" w:hAnsiTheme="minorHAnsi"/>
          <w:szCs w:val="24"/>
          <w:highlight w:val="yellow"/>
        </w:rPr>
        <w:t xml:space="preserve"> </w:t>
      </w:r>
      <w:r w:rsidRPr="00AC3FB3">
        <w:rPr>
          <w:rFonts w:asciiTheme="minorHAnsi" w:hAnsiTheme="minorHAnsi"/>
          <w:i/>
          <w:szCs w:val="24"/>
          <w:highlight w:val="yellow"/>
        </w:rPr>
        <w:t>Initiation to combination ezetimibe and statin (or other LLT)</w:t>
      </w:r>
      <w:r w:rsidRPr="00AC3FB3">
        <w:rPr>
          <w:rFonts w:asciiTheme="minorHAnsi" w:hAnsiTheme="minorHAnsi"/>
          <w:szCs w:val="24"/>
          <w:highlight w:val="yellow"/>
        </w:rPr>
        <w:t xml:space="preserve">: individuals dispensed a statin or other LLT on the same day or within the following 30 days of the ezetimibe initiation date. </w:t>
      </w:r>
    </w:p>
    <w:p w:rsidR="009C01A7" w:rsidRPr="00AC3FB3" w:rsidRDefault="009C01A7">
      <w:pPr>
        <w:spacing w:line="240" w:lineRule="auto"/>
        <w:rPr>
          <w:rFonts w:asciiTheme="minorHAnsi" w:hAnsiTheme="minorHAnsi"/>
          <w:szCs w:val="24"/>
          <w:highlight w:val="yellow"/>
        </w:rPr>
      </w:pPr>
      <w:r w:rsidRPr="00AC3FB3">
        <w:rPr>
          <w:rFonts w:asciiTheme="minorHAnsi" w:hAnsiTheme="minorHAnsi"/>
          <w:szCs w:val="24"/>
          <w:highlight w:val="yellow"/>
        </w:rPr>
        <w:t xml:space="preserve">Among patients in Cohort 2, prior use of lipid lowering therapy was categorised into eight groups, defined </w:t>
      </w:r>
      <w:r w:rsidRPr="00A50B6D">
        <w:rPr>
          <w:rFonts w:asciiTheme="minorHAnsi" w:hAnsiTheme="minorHAnsi"/>
          <w:szCs w:val="24"/>
          <w:highlight w:val="yellow"/>
        </w:rPr>
        <w:t xml:space="preserve">in Table </w:t>
      </w:r>
      <w:r w:rsidR="00A50B6D" w:rsidRPr="00A50B6D">
        <w:rPr>
          <w:rFonts w:asciiTheme="minorHAnsi" w:hAnsiTheme="minorHAnsi"/>
          <w:szCs w:val="24"/>
          <w:highlight w:val="yellow"/>
        </w:rPr>
        <w:t>7</w:t>
      </w:r>
      <w:r w:rsidR="00AC3FB3" w:rsidRPr="00A50B6D">
        <w:rPr>
          <w:rFonts w:asciiTheme="minorHAnsi" w:hAnsiTheme="minorHAnsi"/>
          <w:szCs w:val="24"/>
          <w:highlight w:val="yellow"/>
        </w:rPr>
        <w:t xml:space="preserve"> below</w:t>
      </w:r>
      <w:r w:rsidRPr="00AC3FB3">
        <w:rPr>
          <w:rFonts w:asciiTheme="minorHAnsi" w:hAnsiTheme="minorHAnsi"/>
          <w:szCs w:val="24"/>
          <w:highlight w:val="yellow"/>
        </w:rPr>
        <w:t>.</w:t>
      </w:r>
    </w:p>
    <w:p w:rsidR="00AC3FB3" w:rsidRPr="00AC3FB3" w:rsidRDefault="00AC3FB3" w:rsidP="005A2287">
      <w:pPr>
        <w:spacing w:line="240" w:lineRule="auto"/>
        <w:rPr>
          <w:rFonts w:asciiTheme="minorHAnsi" w:hAnsiTheme="minorHAnsi"/>
          <w:szCs w:val="24"/>
          <w:highlight w:val="yellow"/>
        </w:rPr>
      </w:pPr>
    </w:p>
    <w:p w:rsidR="00AC3FB3" w:rsidRPr="00AC3FB3" w:rsidRDefault="00AC3FB3" w:rsidP="005A2287">
      <w:pPr>
        <w:spacing w:line="240" w:lineRule="auto"/>
        <w:rPr>
          <w:rFonts w:asciiTheme="minorHAnsi" w:hAnsiTheme="minorHAnsi"/>
          <w:szCs w:val="24"/>
          <w:highlight w:val="yellow"/>
        </w:rPr>
      </w:pPr>
    </w:p>
    <w:p w:rsidR="00AC3FB3" w:rsidRPr="00AC3FB3" w:rsidRDefault="00AC3FB3" w:rsidP="005A2287">
      <w:pPr>
        <w:spacing w:line="240" w:lineRule="auto"/>
        <w:rPr>
          <w:rFonts w:asciiTheme="minorHAnsi" w:hAnsiTheme="minorHAnsi"/>
          <w:szCs w:val="24"/>
          <w:highlight w:val="yellow"/>
        </w:rPr>
      </w:pPr>
    </w:p>
    <w:p w:rsidR="00AC3FB3" w:rsidRPr="00AC3FB3" w:rsidRDefault="00AC3FB3" w:rsidP="005A2287">
      <w:pPr>
        <w:spacing w:line="240" w:lineRule="auto"/>
        <w:rPr>
          <w:rFonts w:asciiTheme="minorHAnsi" w:hAnsiTheme="minorHAnsi"/>
          <w:szCs w:val="24"/>
          <w:highlight w:val="yellow"/>
        </w:rPr>
      </w:pPr>
    </w:p>
    <w:p w:rsidR="00AC3FB3" w:rsidRPr="00AC3FB3" w:rsidRDefault="00AC3FB3" w:rsidP="005A2287">
      <w:pPr>
        <w:spacing w:line="240" w:lineRule="auto"/>
        <w:rPr>
          <w:rFonts w:asciiTheme="minorHAnsi" w:hAnsiTheme="minorHAnsi"/>
          <w:szCs w:val="24"/>
          <w:highlight w:val="yellow"/>
        </w:rPr>
      </w:pPr>
    </w:p>
    <w:p w:rsidR="00AC3FB3" w:rsidRPr="00AC3FB3" w:rsidRDefault="00AC3FB3" w:rsidP="005A2287">
      <w:pPr>
        <w:spacing w:line="240" w:lineRule="auto"/>
        <w:rPr>
          <w:rFonts w:asciiTheme="minorHAnsi" w:hAnsiTheme="minorHAnsi"/>
          <w:szCs w:val="24"/>
          <w:highlight w:val="yellow"/>
        </w:rPr>
      </w:pPr>
    </w:p>
    <w:p w:rsidR="009C01A7" w:rsidRPr="00A50B6D" w:rsidRDefault="009C01A7" w:rsidP="005A2287">
      <w:pPr>
        <w:spacing w:after="0"/>
        <w:rPr>
          <w:rFonts w:asciiTheme="minorHAnsi" w:hAnsiTheme="minorHAnsi"/>
          <w:b/>
        </w:rPr>
      </w:pPr>
      <w:r w:rsidRPr="00A50B6D">
        <w:rPr>
          <w:rFonts w:asciiTheme="minorHAnsi" w:hAnsiTheme="minorHAnsi"/>
          <w:b/>
          <w:highlight w:val="yellow"/>
        </w:rPr>
        <w:t xml:space="preserve">Table </w:t>
      </w:r>
      <w:r w:rsidR="00A50B6D" w:rsidRPr="00A50B6D">
        <w:rPr>
          <w:rFonts w:asciiTheme="minorHAnsi" w:hAnsiTheme="minorHAnsi"/>
          <w:b/>
          <w:highlight w:val="yellow"/>
        </w:rPr>
        <w:t>7</w:t>
      </w:r>
      <w:r w:rsidRPr="00A50B6D">
        <w:rPr>
          <w:rFonts w:asciiTheme="minorHAnsi" w:hAnsiTheme="minorHAnsi"/>
          <w:b/>
          <w:highlight w:val="yellow"/>
        </w:rPr>
        <w:t>: Definitions of lipid lowering use prior to ezetimibe initiation (applicable to Cohort 2)</w:t>
      </w:r>
    </w:p>
    <w:tbl>
      <w:tblPr>
        <w:tblStyle w:val="TableGrid"/>
        <w:tblW w:w="9214" w:type="dxa"/>
        <w:tblInd w:w="-5" w:type="dxa"/>
        <w:tblCellMar>
          <w:left w:w="28" w:type="dxa"/>
          <w:right w:w="28" w:type="dxa"/>
        </w:tblCellMar>
        <w:tblLook w:val="04A0" w:firstRow="1" w:lastRow="0" w:firstColumn="1" w:lastColumn="0" w:noHBand="0" w:noVBand="1"/>
      </w:tblPr>
      <w:tblGrid>
        <w:gridCol w:w="2552"/>
        <w:gridCol w:w="6662"/>
      </w:tblGrid>
      <w:tr w:rsidR="009C01A7" w:rsidRPr="00AC3FB3" w:rsidTr="00020350">
        <w:tc>
          <w:tcPr>
            <w:tcW w:w="2552" w:type="dxa"/>
            <w:vAlign w:val="center"/>
          </w:tcPr>
          <w:p w:rsidR="009C01A7" w:rsidRPr="00AC3FB3" w:rsidRDefault="009C01A7" w:rsidP="005A2287">
            <w:pPr>
              <w:pStyle w:val="ListParagraph"/>
              <w:ind w:left="0"/>
              <w:rPr>
                <w:rFonts w:ascii="Arial Narrow" w:hAnsi="Arial Narrow"/>
                <w:sz w:val="20"/>
                <w:highlight w:val="yellow"/>
              </w:rPr>
            </w:pPr>
            <w:r w:rsidRPr="00AC3FB3">
              <w:rPr>
                <w:rFonts w:ascii="Arial Narrow" w:hAnsi="Arial Narrow"/>
                <w:sz w:val="20"/>
                <w:highlight w:val="yellow"/>
              </w:rPr>
              <w:t>Ceasing statin therapy</w:t>
            </w:r>
          </w:p>
        </w:tc>
        <w:tc>
          <w:tcPr>
            <w:tcW w:w="6662" w:type="dxa"/>
            <w:vAlign w:val="center"/>
          </w:tcPr>
          <w:p w:rsidR="009C01A7" w:rsidRPr="00AC3FB3" w:rsidRDefault="009C01A7" w:rsidP="005A2287">
            <w:pPr>
              <w:pStyle w:val="ListParagraph"/>
              <w:ind w:left="0"/>
              <w:rPr>
                <w:rFonts w:ascii="Arial Narrow" w:hAnsi="Arial Narrow"/>
                <w:sz w:val="20"/>
                <w:highlight w:val="yellow"/>
              </w:rPr>
            </w:pPr>
            <w:r w:rsidRPr="00AC3FB3">
              <w:rPr>
                <w:rFonts w:ascii="Arial Narrow" w:hAnsi="Arial Narrow"/>
                <w:sz w:val="20"/>
                <w:highlight w:val="yellow"/>
              </w:rPr>
              <w:t>Received statin in the 24 months prior, but did not have any statin prescriptions dispensed in the 6 months immediately prior to initiating ezetimibe</w:t>
            </w:r>
          </w:p>
        </w:tc>
      </w:tr>
      <w:tr w:rsidR="009C01A7" w:rsidRPr="00AC3FB3" w:rsidTr="00020350">
        <w:tc>
          <w:tcPr>
            <w:tcW w:w="9214" w:type="dxa"/>
            <w:gridSpan w:val="2"/>
            <w:vAlign w:val="center"/>
          </w:tcPr>
          <w:p w:rsidR="009C01A7" w:rsidRPr="00AC3FB3" w:rsidRDefault="009C01A7" w:rsidP="005A2287">
            <w:pPr>
              <w:pStyle w:val="ListParagraph"/>
              <w:ind w:left="0"/>
              <w:rPr>
                <w:rFonts w:ascii="Arial Narrow" w:hAnsi="Arial Narrow"/>
                <w:sz w:val="20"/>
                <w:highlight w:val="yellow"/>
              </w:rPr>
            </w:pPr>
            <w:r w:rsidRPr="00AC3FB3">
              <w:rPr>
                <w:rFonts w:ascii="Arial Narrow" w:hAnsi="Arial Narrow"/>
                <w:sz w:val="20"/>
                <w:highlight w:val="yellow"/>
              </w:rPr>
              <w:t>Patients with at least one statin prescription dispensed in the 6 months prior to ezetimibe initiation</w:t>
            </w:r>
          </w:p>
        </w:tc>
      </w:tr>
      <w:tr w:rsidR="009C01A7" w:rsidRPr="00AC3FB3" w:rsidTr="00020350">
        <w:trPr>
          <w:trHeight w:val="212"/>
        </w:trPr>
        <w:tc>
          <w:tcPr>
            <w:tcW w:w="2552" w:type="dxa"/>
            <w:vMerge w:val="restart"/>
            <w:vAlign w:val="center"/>
          </w:tcPr>
          <w:p w:rsidR="009C01A7" w:rsidRPr="00AC3FB3" w:rsidRDefault="009C01A7" w:rsidP="005A2287">
            <w:pPr>
              <w:pStyle w:val="ListParagraph"/>
              <w:ind w:left="0"/>
              <w:rPr>
                <w:rFonts w:ascii="Arial Narrow" w:hAnsi="Arial Narrow"/>
                <w:b/>
                <w:i/>
                <w:color w:val="000000"/>
                <w:sz w:val="20"/>
                <w:highlight w:val="yellow"/>
                <w:u w:val="single"/>
              </w:rPr>
            </w:pPr>
            <w:r w:rsidRPr="00AC3FB3">
              <w:rPr>
                <w:rFonts w:ascii="Arial Narrow" w:hAnsi="Arial Narrow"/>
                <w:sz w:val="20"/>
                <w:highlight w:val="yellow"/>
              </w:rPr>
              <w:t xml:space="preserve">Mutually exclusive groups </w:t>
            </w:r>
          </w:p>
        </w:tc>
        <w:tc>
          <w:tcPr>
            <w:tcW w:w="6662" w:type="dxa"/>
            <w:vAlign w:val="center"/>
          </w:tcPr>
          <w:p w:rsidR="009C01A7" w:rsidRPr="00AC3FB3" w:rsidRDefault="009C01A7" w:rsidP="005A2287">
            <w:pPr>
              <w:pStyle w:val="ListParagraph"/>
              <w:ind w:left="0"/>
              <w:rPr>
                <w:rFonts w:ascii="Arial Narrow" w:hAnsi="Arial Narrow"/>
                <w:b/>
                <w:i/>
                <w:color w:val="000000"/>
                <w:sz w:val="20"/>
                <w:highlight w:val="yellow"/>
                <w:u w:val="single"/>
              </w:rPr>
            </w:pPr>
            <w:r w:rsidRPr="00AC3FB3">
              <w:rPr>
                <w:rFonts w:ascii="Arial Narrow" w:hAnsi="Arial Narrow"/>
                <w:sz w:val="20"/>
                <w:highlight w:val="yellow"/>
              </w:rPr>
              <w:t>Down-titrated statin only or on the lowest statin dose</w:t>
            </w:r>
          </w:p>
        </w:tc>
      </w:tr>
      <w:tr w:rsidR="009C01A7" w:rsidRPr="00AC3FB3" w:rsidTr="00020350">
        <w:trPr>
          <w:trHeight w:val="210"/>
        </w:trPr>
        <w:tc>
          <w:tcPr>
            <w:tcW w:w="2552" w:type="dxa"/>
            <w:vMerge/>
            <w:vAlign w:val="center"/>
          </w:tcPr>
          <w:p w:rsidR="009C01A7" w:rsidRPr="00AC3FB3" w:rsidRDefault="009C01A7" w:rsidP="005A2287">
            <w:pPr>
              <w:pStyle w:val="ListParagraph"/>
              <w:ind w:left="0"/>
              <w:rPr>
                <w:rFonts w:ascii="Arial Narrow" w:hAnsi="Arial Narrow"/>
                <w:sz w:val="20"/>
                <w:highlight w:val="yellow"/>
              </w:rPr>
            </w:pPr>
          </w:p>
        </w:tc>
        <w:tc>
          <w:tcPr>
            <w:tcW w:w="6662" w:type="dxa"/>
            <w:vAlign w:val="center"/>
          </w:tcPr>
          <w:p w:rsidR="009C01A7" w:rsidRPr="00AC3FB3" w:rsidRDefault="009C01A7" w:rsidP="005A2287">
            <w:pPr>
              <w:pStyle w:val="ListParagraph"/>
              <w:ind w:left="0"/>
              <w:rPr>
                <w:rFonts w:ascii="Arial Narrow" w:hAnsi="Arial Narrow"/>
                <w:b/>
                <w:i/>
                <w:color w:val="000000"/>
                <w:sz w:val="20"/>
                <w:highlight w:val="yellow"/>
                <w:u w:val="single"/>
              </w:rPr>
            </w:pPr>
            <w:r w:rsidRPr="00AC3FB3">
              <w:rPr>
                <w:rFonts w:ascii="Arial Narrow" w:hAnsi="Arial Narrow"/>
                <w:sz w:val="20"/>
                <w:highlight w:val="yellow"/>
              </w:rPr>
              <w:t xml:space="preserve">Up-titrated statin </w:t>
            </w:r>
            <w:r w:rsidRPr="00AC3FB3">
              <w:rPr>
                <w:rFonts w:ascii="Arial Narrow" w:hAnsi="Arial Narrow"/>
                <w:sz w:val="20"/>
                <w:highlight w:val="yellow"/>
                <w:u w:val="single"/>
              </w:rPr>
              <w:t>only</w:t>
            </w:r>
            <w:r w:rsidRPr="00AC3FB3">
              <w:rPr>
                <w:rFonts w:ascii="Arial Narrow" w:hAnsi="Arial Narrow"/>
                <w:sz w:val="20"/>
                <w:highlight w:val="yellow"/>
              </w:rPr>
              <w:t>, but not to the highest statin dose</w:t>
            </w:r>
          </w:p>
        </w:tc>
      </w:tr>
      <w:tr w:rsidR="009C01A7" w:rsidRPr="00AC3FB3" w:rsidTr="00020350">
        <w:trPr>
          <w:trHeight w:val="210"/>
        </w:trPr>
        <w:tc>
          <w:tcPr>
            <w:tcW w:w="2552" w:type="dxa"/>
            <w:vMerge/>
            <w:vAlign w:val="center"/>
          </w:tcPr>
          <w:p w:rsidR="009C01A7" w:rsidRPr="00AC3FB3" w:rsidRDefault="009C01A7" w:rsidP="005A2287">
            <w:pPr>
              <w:pStyle w:val="ListParagraph"/>
              <w:ind w:left="0"/>
              <w:rPr>
                <w:rFonts w:ascii="Arial Narrow" w:hAnsi="Arial Narrow"/>
                <w:sz w:val="20"/>
                <w:highlight w:val="yellow"/>
              </w:rPr>
            </w:pPr>
          </w:p>
        </w:tc>
        <w:tc>
          <w:tcPr>
            <w:tcW w:w="6662" w:type="dxa"/>
            <w:vAlign w:val="center"/>
          </w:tcPr>
          <w:p w:rsidR="009C01A7" w:rsidRPr="00AC3FB3" w:rsidRDefault="009C01A7" w:rsidP="005A2287">
            <w:pPr>
              <w:pStyle w:val="ListParagraph"/>
              <w:ind w:left="0"/>
              <w:rPr>
                <w:rFonts w:ascii="Arial Narrow" w:hAnsi="Arial Narrow"/>
                <w:b/>
                <w:i/>
                <w:color w:val="000000"/>
                <w:sz w:val="20"/>
                <w:highlight w:val="yellow"/>
                <w:u w:val="single"/>
              </w:rPr>
            </w:pPr>
            <w:r w:rsidRPr="00AC3FB3">
              <w:rPr>
                <w:rFonts w:ascii="Arial Narrow" w:hAnsi="Arial Narrow"/>
                <w:sz w:val="20"/>
                <w:highlight w:val="yellow"/>
              </w:rPr>
              <w:t>Last dose of statin before ezetimibe initiation was the highest dose of statin (including those who were up-titrated to the highest dose)</w:t>
            </w:r>
          </w:p>
        </w:tc>
      </w:tr>
      <w:tr w:rsidR="009C01A7" w:rsidRPr="00AC3FB3" w:rsidTr="00020350">
        <w:trPr>
          <w:trHeight w:val="210"/>
        </w:trPr>
        <w:tc>
          <w:tcPr>
            <w:tcW w:w="2552" w:type="dxa"/>
            <w:vMerge/>
            <w:vAlign w:val="center"/>
          </w:tcPr>
          <w:p w:rsidR="009C01A7" w:rsidRPr="00AC3FB3" w:rsidRDefault="009C01A7" w:rsidP="005A2287">
            <w:pPr>
              <w:pStyle w:val="ListParagraph"/>
              <w:ind w:left="0"/>
              <w:rPr>
                <w:rFonts w:ascii="Arial Narrow" w:hAnsi="Arial Narrow"/>
                <w:sz w:val="20"/>
                <w:highlight w:val="yellow"/>
              </w:rPr>
            </w:pPr>
          </w:p>
        </w:tc>
        <w:tc>
          <w:tcPr>
            <w:tcW w:w="6662" w:type="dxa"/>
            <w:vAlign w:val="center"/>
          </w:tcPr>
          <w:p w:rsidR="009C01A7" w:rsidRPr="00AC3FB3" w:rsidRDefault="009C01A7" w:rsidP="005A2287">
            <w:pPr>
              <w:pStyle w:val="ListParagraph"/>
              <w:ind w:left="0"/>
              <w:rPr>
                <w:rFonts w:ascii="Arial Narrow" w:hAnsi="Arial Narrow"/>
                <w:b/>
                <w:i/>
                <w:color w:val="000000"/>
                <w:sz w:val="20"/>
                <w:highlight w:val="yellow"/>
                <w:u w:val="single"/>
              </w:rPr>
            </w:pPr>
            <w:r w:rsidRPr="00AC3FB3">
              <w:rPr>
                <w:rFonts w:ascii="Arial Narrow" w:hAnsi="Arial Narrow"/>
                <w:sz w:val="20"/>
                <w:highlight w:val="yellow"/>
              </w:rPr>
              <w:t>Stayed on the same dose of statin which was neither the highest nor the lowest dose of statin</w:t>
            </w:r>
          </w:p>
        </w:tc>
      </w:tr>
      <w:tr w:rsidR="009C01A7" w:rsidRPr="00AC3FB3" w:rsidTr="00020350">
        <w:tc>
          <w:tcPr>
            <w:tcW w:w="2552" w:type="dxa"/>
            <w:vMerge/>
            <w:vAlign w:val="center"/>
          </w:tcPr>
          <w:p w:rsidR="009C01A7" w:rsidRPr="00AC3FB3" w:rsidRDefault="009C01A7" w:rsidP="005A2287">
            <w:pPr>
              <w:pStyle w:val="ListParagraph"/>
              <w:tabs>
                <w:tab w:val="left" w:pos="159"/>
              </w:tabs>
              <w:ind w:left="109" w:hanging="109"/>
              <w:rPr>
                <w:rFonts w:ascii="Arial Narrow" w:hAnsi="Arial Narrow"/>
                <w:sz w:val="20"/>
                <w:highlight w:val="yellow"/>
              </w:rPr>
            </w:pPr>
          </w:p>
        </w:tc>
        <w:tc>
          <w:tcPr>
            <w:tcW w:w="6662" w:type="dxa"/>
            <w:vAlign w:val="center"/>
          </w:tcPr>
          <w:p w:rsidR="009C01A7" w:rsidRPr="00AC3FB3" w:rsidRDefault="009C01A7" w:rsidP="005A2287">
            <w:pPr>
              <w:pStyle w:val="ListParagraph"/>
              <w:ind w:left="0"/>
              <w:rPr>
                <w:rFonts w:ascii="Arial Narrow" w:hAnsi="Arial Narrow"/>
                <w:b/>
                <w:i/>
                <w:color w:val="000000"/>
                <w:sz w:val="20"/>
                <w:highlight w:val="yellow"/>
                <w:u w:val="single"/>
              </w:rPr>
            </w:pPr>
            <w:r w:rsidRPr="00AC3FB3">
              <w:rPr>
                <w:rFonts w:ascii="Arial Narrow" w:hAnsi="Arial Narrow"/>
                <w:sz w:val="20"/>
                <w:highlight w:val="yellow"/>
              </w:rPr>
              <w:t>Both up- and down- titrated statin (excluding those who were on the highest dose and lowest dose prior to initiation)</w:t>
            </w:r>
          </w:p>
        </w:tc>
      </w:tr>
      <w:tr w:rsidR="009C01A7" w:rsidRPr="00AC3FB3" w:rsidTr="00020350">
        <w:tc>
          <w:tcPr>
            <w:tcW w:w="2552" w:type="dxa"/>
            <w:vAlign w:val="center"/>
          </w:tcPr>
          <w:p w:rsidR="009C01A7" w:rsidRPr="00AC3FB3" w:rsidRDefault="009C01A7" w:rsidP="005A2287">
            <w:pPr>
              <w:pStyle w:val="ListParagraph"/>
              <w:tabs>
                <w:tab w:val="left" w:pos="0"/>
              </w:tabs>
              <w:ind w:left="0"/>
              <w:rPr>
                <w:rFonts w:ascii="Arial Narrow" w:hAnsi="Arial Narrow"/>
                <w:b/>
                <w:i/>
                <w:color w:val="000000"/>
                <w:sz w:val="20"/>
                <w:highlight w:val="yellow"/>
                <w:u w:val="single"/>
              </w:rPr>
            </w:pPr>
            <w:r w:rsidRPr="00AC3FB3">
              <w:rPr>
                <w:rFonts w:ascii="Arial Narrow" w:hAnsi="Arial Narrow"/>
                <w:sz w:val="20"/>
                <w:highlight w:val="yellow"/>
              </w:rPr>
              <w:t>Patients with prior non-statin LLT only</w:t>
            </w:r>
          </w:p>
        </w:tc>
        <w:tc>
          <w:tcPr>
            <w:tcW w:w="6662" w:type="dxa"/>
            <w:vAlign w:val="center"/>
          </w:tcPr>
          <w:p w:rsidR="009C01A7" w:rsidRPr="00AC3FB3" w:rsidRDefault="009C01A7" w:rsidP="005A2287">
            <w:pPr>
              <w:pStyle w:val="ListParagraph"/>
              <w:ind w:left="0"/>
              <w:rPr>
                <w:rFonts w:ascii="Arial Narrow" w:hAnsi="Arial Narrow"/>
                <w:b/>
                <w:i/>
                <w:color w:val="000000"/>
                <w:sz w:val="20"/>
                <w:highlight w:val="yellow"/>
                <w:u w:val="single"/>
              </w:rPr>
            </w:pPr>
            <w:r w:rsidRPr="00AC3FB3">
              <w:rPr>
                <w:rFonts w:ascii="Arial Narrow" w:hAnsi="Arial Narrow"/>
                <w:sz w:val="20"/>
                <w:highlight w:val="yellow"/>
              </w:rPr>
              <w:t xml:space="preserve">Over the 24 months prior to ezetimibe initiation, no statin prescriptions were dispensed, but at least one non-statin LLT prescription was dispensed </w:t>
            </w:r>
          </w:p>
        </w:tc>
      </w:tr>
    </w:tbl>
    <w:p w:rsidR="009C01A7" w:rsidRPr="00AC3FB3" w:rsidRDefault="009C01A7" w:rsidP="005A2287">
      <w:pPr>
        <w:rPr>
          <w:highlight w:val="yellow"/>
        </w:rPr>
      </w:pPr>
    </w:p>
    <w:p w:rsidR="009C01A7" w:rsidRPr="00AC3FB3" w:rsidRDefault="009C01A7">
      <w:pPr>
        <w:spacing w:line="240" w:lineRule="auto"/>
        <w:rPr>
          <w:rFonts w:asciiTheme="minorHAnsi" w:hAnsiTheme="minorHAnsi"/>
          <w:highlight w:val="yellow"/>
        </w:rPr>
      </w:pPr>
      <w:r w:rsidRPr="00AC3FB3">
        <w:rPr>
          <w:rFonts w:asciiTheme="minorHAnsi" w:eastAsiaTheme="majorEastAsia" w:hAnsiTheme="minorHAnsi" w:cstheme="majorBidi"/>
          <w:highlight w:val="yellow"/>
        </w:rPr>
        <w:t xml:space="preserve">The additional analysis of the 12 months post-ezetimibe LLT use was primarily focused on patients described </w:t>
      </w:r>
      <w:r w:rsidRPr="00A50B6D">
        <w:rPr>
          <w:rFonts w:asciiTheme="minorHAnsi" w:hAnsiTheme="minorHAnsi"/>
          <w:highlight w:val="yellow"/>
        </w:rPr>
        <w:t xml:space="preserve">in Table </w:t>
      </w:r>
      <w:r w:rsidR="00A50B6D" w:rsidRPr="00A50B6D">
        <w:rPr>
          <w:rFonts w:asciiTheme="minorHAnsi" w:hAnsiTheme="minorHAnsi"/>
          <w:highlight w:val="yellow"/>
        </w:rPr>
        <w:t>8</w:t>
      </w:r>
      <w:r w:rsidRPr="00AC3FB3">
        <w:rPr>
          <w:rFonts w:asciiTheme="minorHAnsi" w:hAnsiTheme="minorHAnsi"/>
          <w:highlight w:val="yellow"/>
        </w:rPr>
        <w:t xml:space="preserve">. However, no analysis of the full 12 months post-ezetimibe was conducted on those in Cohort 1 who were initiated on ezetimibe </w:t>
      </w:r>
      <w:r w:rsidR="00AD0496">
        <w:rPr>
          <w:rFonts w:asciiTheme="minorHAnsi" w:hAnsiTheme="minorHAnsi"/>
          <w:highlight w:val="yellow"/>
        </w:rPr>
        <w:t>plus</w:t>
      </w:r>
      <w:r w:rsidRPr="00AC3FB3">
        <w:rPr>
          <w:rFonts w:asciiTheme="minorHAnsi" w:hAnsiTheme="minorHAnsi"/>
          <w:highlight w:val="yellow"/>
        </w:rPr>
        <w:t xml:space="preserve"> statin (all considered to be use outside of the restriction) or ezetimibe </w:t>
      </w:r>
      <w:r w:rsidR="00AD0496">
        <w:rPr>
          <w:rFonts w:asciiTheme="minorHAnsi" w:hAnsiTheme="minorHAnsi"/>
          <w:highlight w:val="yellow"/>
        </w:rPr>
        <w:t>plus</w:t>
      </w:r>
      <w:r w:rsidRPr="00AC3FB3">
        <w:rPr>
          <w:rFonts w:asciiTheme="minorHAnsi" w:hAnsiTheme="minorHAnsi"/>
          <w:highlight w:val="yellow"/>
        </w:rPr>
        <w:t xml:space="preserve"> non-statin LLT (all considered to be use within the restriction). Although there is a possibility that among those who initiated therapy with ezetimibe </w:t>
      </w:r>
      <w:r w:rsidR="00AD0496">
        <w:rPr>
          <w:rFonts w:asciiTheme="minorHAnsi" w:hAnsiTheme="minorHAnsi"/>
          <w:highlight w:val="yellow"/>
        </w:rPr>
        <w:t>plus</w:t>
      </w:r>
      <w:r w:rsidRPr="00AC3FB3">
        <w:rPr>
          <w:rFonts w:asciiTheme="minorHAnsi" w:hAnsiTheme="minorHAnsi"/>
          <w:highlight w:val="yellow"/>
        </w:rPr>
        <w:t xml:space="preserve"> non-statin LLT may have added a statin over the following 12 months (which would represent use of ezetimibe outside of the restriction), this population of 40 patients represents less than 0.1% of the entire study population (N=45,645) and their exclusion from this further analysis </w:t>
      </w:r>
      <w:r w:rsidR="00981892" w:rsidRPr="00AC3FB3">
        <w:rPr>
          <w:rFonts w:asciiTheme="minorHAnsi" w:hAnsiTheme="minorHAnsi"/>
          <w:highlight w:val="yellow"/>
        </w:rPr>
        <w:t>had</w:t>
      </w:r>
      <w:r w:rsidRPr="00AC3FB3">
        <w:rPr>
          <w:rFonts w:asciiTheme="minorHAnsi" w:hAnsiTheme="minorHAnsi"/>
          <w:highlight w:val="yellow"/>
        </w:rPr>
        <w:t xml:space="preserve"> minimal effect.</w:t>
      </w:r>
    </w:p>
    <w:p w:rsidR="009C01A7" w:rsidRPr="00A50B6D" w:rsidRDefault="009C01A7" w:rsidP="005A2287">
      <w:pPr>
        <w:spacing w:after="0"/>
        <w:rPr>
          <w:rFonts w:asciiTheme="minorHAnsi" w:hAnsiTheme="minorHAnsi"/>
          <w:b/>
          <w:highlight w:val="yellow"/>
        </w:rPr>
      </w:pPr>
      <w:r w:rsidRPr="00A50B6D">
        <w:rPr>
          <w:rFonts w:asciiTheme="minorHAnsi" w:hAnsiTheme="minorHAnsi"/>
          <w:b/>
          <w:highlight w:val="yellow"/>
        </w:rPr>
        <w:t>Table</w:t>
      </w:r>
      <w:r w:rsidR="00A50B6D" w:rsidRPr="00A50B6D">
        <w:rPr>
          <w:rFonts w:asciiTheme="minorHAnsi" w:hAnsiTheme="minorHAnsi"/>
          <w:b/>
          <w:highlight w:val="yellow"/>
        </w:rPr>
        <w:t xml:space="preserve"> 8</w:t>
      </w:r>
      <w:r w:rsidRPr="00A50B6D">
        <w:rPr>
          <w:rFonts w:asciiTheme="minorHAnsi" w:hAnsiTheme="minorHAnsi"/>
          <w:b/>
          <w:highlight w:val="yellow"/>
        </w:rPr>
        <w:t xml:space="preserve">: Definitions of lipid lowering use after ezetimibe initiation for both Cohort1 and 2 </w:t>
      </w:r>
    </w:p>
    <w:tbl>
      <w:tblPr>
        <w:tblStyle w:val="TableGrid"/>
        <w:tblW w:w="9356" w:type="dxa"/>
        <w:tblInd w:w="-5" w:type="dxa"/>
        <w:tblCellMar>
          <w:left w:w="28" w:type="dxa"/>
          <w:right w:w="28" w:type="dxa"/>
        </w:tblCellMar>
        <w:tblLook w:val="04A0" w:firstRow="1" w:lastRow="0" w:firstColumn="1" w:lastColumn="0" w:noHBand="0" w:noVBand="1"/>
      </w:tblPr>
      <w:tblGrid>
        <w:gridCol w:w="851"/>
        <w:gridCol w:w="8505"/>
      </w:tblGrid>
      <w:tr w:rsidR="009C01A7" w:rsidRPr="00AC3FB3" w:rsidTr="00020350">
        <w:trPr>
          <w:trHeight w:val="212"/>
        </w:trPr>
        <w:tc>
          <w:tcPr>
            <w:tcW w:w="851" w:type="dxa"/>
            <w:vAlign w:val="center"/>
          </w:tcPr>
          <w:p w:rsidR="009C01A7" w:rsidRPr="00AC3FB3" w:rsidRDefault="009C01A7" w:rsidP="005A2287">
            <w:pPr>
              <w:rPr>
                <w:rFonts w:ascii="Arial Narrow" w:hAnsi="Arial Narrow"/>
                <w:b/>
                <w:sz w:val="20"/>
                <w:szCs w:val="20"/>
                <w:highlight w:val="yellow"/>
              </w:rPr>
            </w:pPr>
            <w:r w:rsidRPr="00AC3FB3">
              <w:rPr>
                <w:rFonts w:ascii="Arial Narrow" w:hAnsi="Arial Narrow"/>
                <w:b/>
                <w:sz w:val="20"/>
                <w:szCs w:val="20"/>
                <w:highlight w:val="yellow"/>
              </w:rPr>
              <w:t xml:space="preserve">Cohort </w:t>
            </w:r>
          </w:p>
        </w:tc>
        <w:tc>
          <w:tcPr>
            <w:tcW w:w="8505" w:type="dxa"/>
            <w:vAlign w:val="center"/>
          </w:tcPr>
          <w:p w:rsidR="009C01A7" w:rsidRPr="00AC3FB3" w:rsidRDefault="009C01A7" w:rsidP="005A2287">
            <w:pPr>
              <w:pStyle w:val="ListParagraph"/>
              <w:ind w:left="0"/>
              <w:rPr>
                <w:rFonts w:ascii="Arial Narrow" w:hAnsi="Arial Narrow"/>
                <w:b/>
                <w:sz w:val="20"/>
                <w:szCs w:val="20"/>
                <w:highlight w:val="yellow"/>
              </w:rPr>
            </w:pPr>
            <w:r w:rsidRPr="00AC3FB3">
              <w:rPr>
                <w:rFonts w:ascii="Arial Narrow" w:hAnsi="Arial Narrow"/>
                <w:b/>
                <w:sz w:val="20"/>
                <w:szCs w:val="20"/>
                <w:highlight w:val="yellow"/>
              </w:rPr>
              <w:t>Status at initiation and follow – up of 365 days</w:t>
            </w:r>
          </w:p>
        </w:tc>
      </w:tr>
      <w:tr w:rsidR="009C01A7" w:rsidRPr="00AC3FB3" w:rsidTr="00020350">
        <w:trPr>
          <w:trHeight w:val="212"/>
        </w:trPr>
        <w:tc>
          <w:tcPr>
            <w:tcW w:w="851" w:type="dxa"/>
            <w:vMerge w:val="restart"/>
            <w:vAlign w:val="center"/>
          </w:tcPr>
          <w:p w:rsidR="009C01A7" w:rsidRPr="00AC3FB3" w:rsidRDefault="009C01A7" w:rsidP="005A2287">
            <w:pPr>
              <w:rPr>
                <w:rFonts w:ascii="Arial Narrow" w:hAnsi="Arial Narrow"/>
                <w:sz w:val="20"/>
                <w:szCs w:val="20"/>
                <w:highlight w:val="yellow"/>
              </w:rPr>
            </w:pPr>
            <w:r w:rsidRPr="00AC3FB3">
              <w:rPr>
                <w:rFonts w:ascii="Arial Narrow" w:hAnsi="Arial Narrow"/>
                <w:sz w:val="20"/>
                <w:szCs w:val="20"/>
                <w:highlight w:val="yellow"/>
              </w:rPr>
              <w:t xml:space="preserve">Cohort 1 </w:t>
            </w:r>
          </w:p>
        </w:tc>
        <w:tc>
          <w:tcPr>
            <w:tcW w:w="8505" w:type="dxa"/>
            <w:vAlign w:val="center"/>
          </w:tcPr>
          <w:p w:rsidR="009C01A7" w:rsidRPr="00AC3FB3" w:rsidRDefault="009C01A7" w:rsidP="005A2287">
            <w:pPr>
              <w:rPr>
                <w:rFonts w:ascii="Arial Narrow" w:hAnsi="Arial Narrow"/>
                <w:b/>
                <w:i/>
                <w:color w:val="000000"/>
                <w:sz w:val="20"/>
                <w:szCs w:val="20"/>
                <w:highlight w:val="yellow"/>
                <w:u w:val="single"/>
              </w:rPr>
            </w:pPr>
            <w:r w:rsidRPr="00AC3FB3">
              <w:rPr>
                <w:rFonts w:ascii="Arial Narrow" w:hAnsi="Arial Narrow"/>
                <w:sz w:val="20"/>
                <w:szCs w:val="20"/>
                <w:highlight w:val="yellow"/>
              </w:rPr>
              <w:t xml:space="preserve">Initiate and remain on ezetimibe monotherapy </w:t>
            </w:r>
          </w:p>
        </w:tc>
      </w:tr>
      <w:tr w:rsidR="009C01A7" w:rsidRPr="00AC3FB3" w:rsidTr="00020350">
        <w:trPr>
          <w:trHeight w:val="212"/>
        </w:trPr>
        <w:tc>
          <w:tcPr>
            <w:tcW w:w="851" w:type="dxa"/>
            <w:vMerge/>
            <w:vAlign w:val="center"/>
          </w:tcPr>
          <w:p w:rsidR="009C01A7" w:rsidRPr="00AC3FB3" w:rsidRDefault="009C01A7" w:rsidP="005A2287">
            <w:pPr>
              <w:rPr>
                <w:rFonts w:ascii="Arial Narrow" w:hAnsi="Arial Narrow"/>
                <w:sz w:val="20"/>
                <w:szCs w:val="20"/>
                <w:highlight w:val="yellow"/>
              </w:rPr>
            </w:pPr>
          </w:p>
        </w:tc>
        <w:tc>
          <w:tcPr>
            <w:tcW w:w="8505" w:type="dxa"/>
            <w:vAlign w:val="center"/>
          </w:tcPr>
          <w:p w:rsidR="009C01A7" w:rsidRPr="00AC3FB3" w:rsidRDefault="009C01A7" w:rsidP="005A2287">
            <w:pPr>
              <w:rPr>
                <w:rFonts w:ascii="Arial Narrow" w:hAnsi="Arial Narrow"/>
                <w:b/>
                <w:i/>
                <w:color w:val="000000"/>
                <w:sz w:val="20"/>
                <w:szCs w:val="20"/>
                <w:highlight w:val="yellow"/>
                <w:u w:val="single"/>
              </w:rPr>
            </w:pPr>
            <w:r w:rsidRPr="00AC3FB3">
              <w:rPr>
                <w:rFonts w:ascii="Arial Narrow" w:hAnsi="Arial Narrow"/>
                <w:sz w:val="20"/>
                <w:szCs w:val="20"/>
                <w:highlight w:val="yellow"/>
              </w:rPr>
              <w:t xml:space="preserve">Initiate ezetimibe in combination with a statin or later add or switch to therapy involving a statin </w:t>
            </w:r>
          </w:p>
        </w:tc>
      </w:tr>
      <w:tr w:rsidR="009C01A7" w:rsidRPr="00AC3FB3" w:rsidTr="00020350">
        <w:trPr>
          <w:trHeight w:val="212"/>
        </w:trPr>
        <w:tc>
          <w:tcPr>
            <w:tcW w:w="851" w:type="dxa"/>
            <w:vMerge/>
            <w:vAlign w:val="center"/>
          </w:tcPr>
          <w:p w:rsidR="009C01A7" w:rsidRPr="00AC3FB3" w:rsidRDefault="009C01A7" w:rsidP="005A2287">
            <w:pPr>
              <w:rPr>
                <w:rFonts w:ascii="Arial Narrow" w:hAnsi="Arial Narrow"/>
                <w:sz w:val="20"/>
                <w:szCs w:val="20"/>
                <w:highlight w:val="yellow"/>
              </w:rPr>
            </w:pPr>
          </w:p>
        </w:tc>
        <w:tc>
          <w:tcPr>
            <w:tcW w:w="8505" w:type="dxa"/>
            <w:vAlign w:val="center"/>
          </w:tcPr>
          <w:p w:rsidR="009C01A7" w:rsidRPr="00AC3FB3" w:rsidRDefault="009C01A7" w:rsidP="005A2287">
            <w:pPr>
              <w:rPr>
                <w:rFonts w:ascii="Arial Narrow" w:hAnsi="Arial Narrow"/>
                <w:b/>
                <w:i/>
                <w:color w:val="000000"/>
                <w:sz w:val="20"/>
                <w:szCs w:val="20"/>
                <w:highlight w:val="yellow"/>
                <w:u w:val="single"/>
              </w:rPr>
            </w:pPr>
            <w:r w:rsidRPr="00AC3FB3">
              <w:rPr>
                <w:rFonts w:ascii="Arial Narrow" w:hAnsi="Arial Narrow"/>
                <w:sz w:val="20"/>
                <w:szCs w:val="20"/>
                <w:highlight w:val="yellow"/>
              </w:rPr>
              <w:t xml:space="preserve">Initiate ezetimibe in combination with or later add/switch </w:t>
            </w:r>
            <w:r w:rsidR="00AD0496">
              <w:rPr>
                <w:rFonts w:ascii="Arial Narrow" w:hAnsi="Arial Narrow"/>
                <w:sz w:val="20"/>
                <w:szCs w:val="20"/>
                <w:highlight w:val="yellow"/>
              </w:rPr>
              <w:t xml:space="preserve">to </w:t>
            </w:r>
            <w:r w:rsidRPr="00AC3FB3">
              <w:rPr>
                <w:rFonts w:ascii="Arial Narrow" w:hAnsi="Arial Narrow"/>
                <w:sz w:val="20"/>
                <w:szCs w:val="20"/>
                <w:highlight w:val="yellow"/>
              </w:rPr>
              <w:t>a non-statin LLT</w:t>
            </w:r>
          </w:p>
        </w:tc>
      </w:tr>
      <w:tr w:rsidR="009C01A7" w:rsidRPr="00AC3FB3" w:rsidTr="00020350">
        <w:trPr>
          <w:trHeight w:val="70"/>
        </w:trPr>
        <w:tc>
          <w:tcPr>
            <w:tcW w:w="851" w:type="dxa"/>
            <w:vMerge w:val="restart"/>
            <w:vAlign w:val="center"/>
          </w:tcPr>
          <w:p w:rsidR="009C01A7" w:rsidRPr="00AC3FB3" w:rsidRDefault="009C01A7" w:rsidP="005A2287">
            <w:pPr>
              <w:rPr>
                <w:rFonts w:ascii="Arial Narrow" w:hAnsi="Arial Narrow"/>
                <w:b/>
                <w:i/>
                <w:color w:val="000000"/>
                <w:sz w:val="20"/>
                <w:szCs w:val="20"/>
                <w:highlight w:val="yellow"/>
                <w:u w:val="single"/>
              </w:rPr>
            </w:pPr>
            <w:r w:rsidRPr="00AC3FB3">
              <w:rPr>
                <w:rFonts w:ascii="Arial Narrow" w:hAnsi="Arial Narrow"/>
                <w:sz w:val="20"/>
                <w:szCs w:val="20"/>
                <w:highlight w:val="yellow"/>
              </w:rPr>
              <w:t xml:space="preserve">Cohort 2 </w:t>
            </w:r>
          </w:p>
        </w:tc>
        <w:tc>
          <w:tcPr>
            <w:tcW w:w="8505" w:type="dxa"/>
            <w:vAlign w:val="center"/>
          </w:tcPr>
          <w:p w:rsidR="009C01A7" w:rsidRPr="00AC3FB3" w:rsidRDefault="009C01A7" w:rsidP="005A2287">
            <w:pPr>
              <w:pStyle w:val="ListParagraph"/>
              <w:ind w:left="0"/>
              <w:rPr>
                <w:rFonts w:ascii="Arial Narrow" w:hAnsi="Arial Narrow"/>
                <w:b/>
                <w:i/>
                <w:color w:val="000000"/>
                <w:sz w:val="20"/>
                <w:szCs w:val="20"/>
                <w:highlight w:val="yellow"/>
                <w:u w:val="single"/>
              </w:rPr>
            </w:pPr>
            <w:r w:rsidRPr="00AC3FB3">
              <w:rPr>
                <w:rFonts w:ascii="Arial Narrow" w:hAnsi="Arial Narrow"/>
                <w:sz w:val="20"/>
                <w:szCs w:val="20"/>
                <w:highlight w:val="yellow"/>
              </w:rPr>
              <w:t xml:space="preserve">Initiate and remain on ezetimibe monotherapy (ie, receive no other LLT) </w:t>
            </w:r>
          </w:p>
        </w:tc>
      </w:tr>
      <w:tr w:rsidR="009C01A7" w:rsidRPr="00AC3FB3" w:rsidTr="00020350">
        <w:trPr>
          <w:trHeight w:val="210"/>
        </w:trPr>
        <w:tc>
          <w:tcPr>
            <w:tcW w:w="851" w:type="dxa"/>
            <w:vMerge/>
            <w:vAlign w:val="center"/>
          </w:tcPr>
          <w:p w:rsidR="009C01A7" w:rsidRPr="00AC3FB3" w:rsidRDefault="009C01A7" w:rsidP="005A2287">
            <w:pPr>
              <w:pStyle w:val="ListParagraph"/>
              <w:ind w:left="0"/>
              <w:rPr>
                <w:rFonts w:ascii="Arial Narrow" w:hAnsi="Arial Narrow"/>
                <w:sz w:val="20"/>
                <w:szCs w:val="20"/>
                <w:highlight w:val="yellow"/>
              </w:rPr>
            </w:pPr>
          </w:p>
        </w:tc>
        <w:tc>
          <w:tcPr>
            <w:tcW w:w="8505" w:type="dxa"/>
            <w:vAlign w:val="center"/>
          </w:tcPr>
          <w:p w:rsidR="009C01A7" w:rsidRPr="00AC3FB3" w:rsidRDefault="009C01A7" w:rsidP="005A2287">
            <w:pPr>
              <w:pStyle w:val="ListParagraph"/>
              <w:ind w:left="0"/>
              <w:rPr>
                <w:rFonts w:ascii="Arial Narrow" w:hAnsi="Arial Narrow"/>
                <w:b/>
                <w:i/>
                <w:color w:val="000000"/>
                <w:sz w:val="20"/>
                <w:szCs w:val="20"/>
                <w:highlight w:val="yellow"/>
                <w:u w:val="single"/>
              </w:rPr>
            </w:pPr>
            <w:r w:rsidRPr="00AC3FB3">
              <w:rPr>
                <w:rFonts w:ascii="Arial Narrow" w:hAnsi="Arial Narrow"/>
                <w:sz w:val="20"/>
                <w:szCs w:val="20"/>
                <w:highlight w:val="yellow"/>
              </w:rPr>
              <w:t>Initiate ezetimibe in combination with statin at higher intensity* or later add/ switch to statin at higher intensity*</w:t>
            </w:r>
          </w:p>
        </w:tc>
      </w:tr>
      <w:tr w:rsidR="009C01A7" w:rsidRPr="00AC3FB3" w:rsidTr="00020350">
        <w:trPr>
          <w:trHeight w:val="210"/>
        </w:trPr>
        <w:tc>
          <w:tcPr>
            <w:tcW w:w="851" w:type="dxa"/>
            <w:vMerge/>
            <w:vAlign w:val="center"/>
          </w:tcPr>
          <w:p w:rsidR="009C01A7" w:rsidRPr="00AC3FB3" w:rsidRDefault="009C01A7" w:rsidP="005A2287">
            <w:pPr>
              <w:pStyle w:val="ListParagraph"/>
              <w:ind w:left="0"/>
              <w:rPr>
                <w:rFonts w:ascii="Arial Narrow" w:hAnsi="Arial Narrow"/>
                <w:sz w:val="20"/>
                <w:szCs w:val="20"/>
                <w:highlight w:val="yellow"/>
              </w:rPr>
            </w:pPr>
          </w:p>
        </w:tc>
        <w:tc>
          <w:tcPr>
            <w:tcW w:w="8505" w:type="dxa"/>
            <w:vAlign w:val="center"/>
          </w:tcPr>
          <w:p w:rsidR="009C01A7" w:rsidRPr="00AC3FB3" w:rsidRDefault="009C01A7" w:rsidP="005A2287">
            <w:pPr>
              <w:pStyle w:val="ListParagraph"/>
              <w:ind w:left="0"/>
              <w:rPr>
                <w:rFonts w:ascii="Arial Narrow" w:hAnsi="Arial Narrow"/>
                <w:b/>
                <w:i/>
                <w:color w:val="000000"/>
                <w:sz w:val="20"/>
                <w:szCs w:val="20"/>
                <w:highlight w:val="yellow"/>
                <w:u w:val="single"/>
              </w:rPr>
            </w:pPr>
            <w:r w:rsidRPr="00AC3FB3">
              <w:rPr>
                <w:rFonts w:ascii="Arial Narrow" w:hAnsi="Arial Narrow"/>
                <w:sz w:val="20"/>
                <w:szCs w:val="20"/>
                <w:highlight w:val="yellow"/>
              </w:rPr>
              <w:t>Initiate ezetimibe in combination with statin at same intensity** or later add/ switch to statin at same intensity**</w:t>
            </w:r>
          </w:p>
        </w:tc>
      </w:tr>
      <w:tr w:rsidR="009C01A7" w:rsidRPr="00AC3FB3" w:rsidTr="00020350">
        <w:trPr>
          <w:trHeight w:val="210"/>
        </w:trPr>
        <w:tc>
          <w:tcPr>
            <w:tcW w:w="851" w:type="dxa"/>
            <w:vMerge/>
            <w:vAlign w:val="center"/>
          </w:tcPr>
          <w:p w:rsidR="009C01A7" w:rsidRPr="00AC3FB3" w:rsidRDefault="009C01A7" w:rsidP="005A2287">
            <w:pPr>
              <w:pStyle w:val="ListParagraph"/>
              <w:ind w:left="0"/>
              <w:rPr>
                <w:rFonts w:ascii="Arial Narrow" w:hAnsi="Arial Narrow"/>
                <w:sz w:val="20"/>
                <w:szCs w:val="20"/>
                <w:highlight w:val="yellow"/>
              </w:rPr>
            </w:pPr>
          </w:p>
        </w:tc>
        <w:tc>
          <w:tcPr>
            <w:tcW w:w="8505" w:type="dxa"/>
            <w:vAlign w:val="center"/>
          </w:tcPr>
          <w:p w:rsidR="009C01A7" w:rsidRPr="00AC3FB3" w:rsidRDefault="009C01A7" w:rsidP="005A2287">
            <w:pPr>
              <w:pStyle w:val="ListParagraph"/>
              <w:ind w:left="0"/>
              <w:rPr>
                <w:rFonts w:ascii="Arial Narrow" w:hAnsi="Arial Narrow"/>
                <w:b/>
                <w:i/>
                <w:color w:val="000000"/>
                <w:sz w:val="20"/>
                <w:szCs w:val="20"/>
                <w:highlight w:val="yellow"/>
                <w:u w:val="single"/>
              </w:rPr>
            </w:pPr>
            <w:r w:rsidRPr="00AC3FB3">
              <w:rPr>
                <w:rFonts w:ascii="Arial Narrow" w:hAnsi="Arial Narrow"/>
                <w:sz w:val="20"/>
                <w:szCs w:val="20"/>
                <w:highlight w:val="yellow"/>
              </w:rPr>
              <w:t>Initiate ezetimibe in combination with statin at lower intensity*** or later add/ switch to statin at lower intensity***</w:t>
            </w:r>
          </w:p>
        </w:tc>
      </w:tr>
      <w:tr w:rsidR="009C01A7" w:rsidRPr="00AC3FB3" w:rsidTr="00020350">
        <w:trPr>
          <w:trHeight w:val="210"/>
        </w:trPr>
        <w:tc>
          <w:tcPr>
            <w:tcW w:w="851" w:type="dxa"/>
            <w:vMerge/>
            <w:vAlign w:val="center"/>
          </w:tcPr>
          <w:p w:rsidR="009C01A7" w:rsidRPr="00AC3FB3" w:rsidRDefault="009C01A7" w:rsidP="005A2287">
            <w:pPr>
              <w:pStyle w:val="ListParagraph"/>
              <w:ind w:left="0"/>
              <w:rPr>
                <w:rFonts w:ascii="Arial Narrow" w:hAnsi="Arial Narrow"/>
                <w:sz w:val="20"/>
                <w:szCs w:val="20"/>
                <w:highlight w:val="yellow"/>
              </w:rPr>
            </w:pPr>
          </w:p>
        </w:tc>
        <w:tc>
          <w:tcPr>
            <w:tcW w:w="8505" w:type="dxa"/>
            <w:vAlign w:val="center"/>
          </w:tcPr>
          <w:p w:rsidR="009C01A7" w:rsidRPr="00AC3FB3" w:rsidRDefault="009C01A7" w:rsidP="005A2287">
            <w:pPr>
              <w:pStyle w:val="ListParagraph"/>
              <w:ind w:left="0"/>
              <w:rPr>
                <w:rFonts w:ascii="Arial Narrow" w:hAnsi="Arial Narrow"/>
                <w:b/>
                <w:i/>
                <w:color w:val="000000"/>
                <w:sz w:val="20"/>
                <w:szCs w:val="20"/>
                <w:highlight w:val="yellow"/>
                <w:u w:val="single"/>
              </w:rPr>
            </w:pPr>
            <w:r w:rsidRPr="00AC3FB3">
              <w:rPr>
                <w:rFonts w:ascii="Arial Narrow" w:hAnsi="Arial Narrow"/>
                <w:sz w:val="20"/>
                <w:szCs w:val="20"/>
                <w:highlight w:val="yellow"/>
              </w:rPr>
              <w:t xml:space="preserve">Initiate and remain on ezetimibe in combination with other non-statin LLT or, add/switch to other LLT </w:t>
            </w:r>
          </w:p>
        </w:tc>
      </w:tr>
    </w:tbl>
    <w:p w:rsidR="009C01A7" w:rsidRPr="00AC3FB3" w:rsidRDefault="009C01A7" w:rsidP="005A2287">
      <w:pPr>
        <w:tabs>
          <w:tab w:val="left" w:pos="284"/>
        </w:tabs>
        <w:spacing w:after="0" w:line="240" w:lineRule="auto"/>
        <w:ind w:right="-188"/>
        <w:rPr>
          <w:rFonts w:ascii="Arial Narrow" w:hAnsi="Arial Narrow"/>
          <w:sz w:val="18"/>
          <w:szCs w:val="16"/>
          <w:highlight w:val="yellow"/>
        </w:rPr>
      </w:pPr>
      <w:r w:rsidRPr="00AC3FB3">
        <w:rPr>
          <w:rFonts w:ascii="Arial Narrow" w:hAnsi="Arial Narrow"/>
          <w:sz w:val="18"/>
          <w:szCs w:val="16"/>
          <w:highlight w:val="yellow"/>
        </w:rPr>
        <w:t>*</w:t>
      </w:r>
      <w:r w:rsidRPr="00AC3FB3">
        <w:rPr>
          <w:rFonts w:ascii="Arial Narrow" w:hAnsi="Arial Narrow"/>
          <w:sz w:val="18"/>
          <w:szCs w:val="16"/>
          <w:highlight w:val="yellow"/>
        </w:rPr>
        <w:tab/>
        <w:t>If any statin prescriptions post ezetimibe initiation (365 days) at higher intensity than last statin strength dispensed before starting ezetimibe</w:t>
      </w:r>
    </w:p>
    <w:p w:rsidR="009C01A7" w:rsidRPr="00AC3FB3" w:rsidRDefault="009C01A7" w:rsidP="005A2287">
      <w:pPr>
        <w:tabs>
          <w:tab w:val="left" w:pos="284"/>
        </w:tabs>
        <w:spacing w:after="0" w:line="240" w:lineRule="auto"/>
        <w:ind w:right="-188"/>
        <w:rPr>
          <w:rFonts w:ascii="Arial Narrow" w:hAnsi="Arial Narrow"/>
          <w:sz w:val="18"/>
          <w:szCs w:val="16"/>
          <w:highlight w:val="yellow"/>
        </w:rPr>
      </w:pPr>
      <w:r w:rsidRPr="00AC3FB3">
        <w:rPr>
          <w:rFonts w:ascii="Arial Narrow" w:hAnsi="Arial Narrow"/>
          <w:sz w:val="18"/>
          <w:szCs w:val="16"/>
          <w:highlight w:val="yellow"/>
        </w:rPr>
        <w:t xml:space="preserve">** </w:t>
      </w:r>
      <w:r w:rsidRPr="00AC3FB3">
        <w:rPr>
          <w:rFonts w:ascii="Arial Narrow" w:hAnsi="Arial Narrow"/>
          <w:sz w:val="18"/>
          <w:szCs w:val="16"/>
          <w:highlight w:val="yellow"/>
        </w:rPr>
        <w:tab/>
        <w:t>Patients with the highest intensity in all statins prescribed in post-ezetimibe period being equal in intensity to the last pre-ezetimibe statin</w:t>
      </w:r>
    </w:p>
    <w:p w:rsidR="009C01A7" w:rsidRPr="00AC3FB3" w:rsidRDefault="009C01A7" w:rsidP="005A2287">
      <w:pPr>
        <w:tabs>
          <w:tab w:val="left" w:pos="284"/>
        </w:tabs>
        <w:spacing w:after="0" w:line="240" w:lineRule="auto"/>
        <w:ind w:right="-188"/>
        <w:rPr>
          <w:rFonts w:ascii="Arial Narrow" w:hAnsi="Arial Narrow"/>
          <w:sz w:val="18"/>
          <w:szCs w:val="16"/>
          <w:highlight w:val="yellow"/>
        </w:rPr>
      </w:pPr>
      <w:r w:rsidRPr="00AC3FB3">
        <w:rPr>
          <w:rFonts w:ascii="Arial Narrow" w:hAnsi="Arial Narrow"/>
          <w:sz w:val="18"/>
          <w:szCs w:val="16"/>
          <w:highlight w:val="yellow"/>
        </w:rPr>
        <w:t xml:space="preserve">*** </w:t>
      </w:r>
      <w:r w:rsidRPr="00AC3FB3">
        <w:rPr>
          <w:rFonts w:ascii="Arial Narrow" w:hAnsi="Arial Narrow"/>
          <w:sz w:val="18"/>
          <w:szCs w:val="16"/>
          <w:highlight w:val="yellow"/>
        </w:rPr>
        <w:tab/>
        <w:t>If all statin prescriptions post ezetimibe initiation at a lower intensity than the last statin pre-ezetimibe statin prescription</w:t>
      </w:r>
    </w:p>
    <w:p w:rsidR="009C01A7" w:rsidRPr="00AC3FB3" w:rsidRDefault="009C01A7" w:rsidP="005A2287">
      <w:pPr>
        <w:rPr>
          <w:highlight w:val="yellow"/>
        </w:rPr>
      </w:pPr>
    </w:p>
    <w:p w:rsidR="009C01A7" w:rsidRPr="00AD0496" w:rsidRDefault="009C01A7" w:rsidP="005A2287">
      <w:pPr>
        <w:spacing w:line="240" w:lineRule="auto"/>
        <w:rPr>
          <w:rFonts w:asciiTheme="minorHAnsi" w:hAnsiTheme="minorHAnsi"/>
          <w:highlight w:val="yellow"/>
        </w:rPr>
      </w:pPr>
      <w:r w:rsidRPr="00AD0496">
        <w:rPr>
          <w:rFonts w:asciiTheme="minorHAnsi" w:hAnsiTheme="minorHAnsi"/>
          <w:highlight w:val="yellow"/>
        </w:rPr>
        <w:t xml:space="preserve">References to the highest and lowest statin doses and changes resulting from up or down titration of statins described in Table </w:t>
      </w:r>
      <w:r w:rsidR="00EA7D7C">
        <w:rPr>
          <w:rFonts w:asciiTheme="minorHAnsi" w:hAnsiTheme="minorHAnsi"/>
          <w:highlight w:val="yellow"/>
        </w:rPr>
        <w:t>8</w:t>
      </w:r>
      <w:r w:rsidRPr="00AD0496">
        <w:rPr>
          <w:rFonts w:asciiTheme="minorHAnsi" w:hAnsiTheme="minorHAnsi"/>
          <w:highlight w:val="yellow"/>
        </w:rPr>
        <w:t xml:space="preserve"> are defined in Figure </w:t>
      </w:r>
      <w:r w:rsidR="00A50B6D">
        <w:rPr>
          <w:rFonts w:asciiTheme="minorHAnsi" w:hAnsiTheme="minorHAnsi"/>
          <w:highlight w:val="yellow"/>
        </w:rPr>
        <w:t>1</w:t>
      </w:r>
      <w:r w:rsidRPr="00AD0496">
        <w:rPr>
          <w:rFonts w:asciiTheme="minorHAnsi" w:hAnsiTheme="minorHAnsi"/>
          <w:highlight w:val="yellow"/>
        </w:rPr>
        <w:t xml:space="preserve">. </w:t>
      </w:r>
    </w:p>
    <w:p w:rsidR="00981892" w:rsidRPr="00AC3FB3" w:rsidRDefault="00981892" w:rsidP="005A2287">
      <w:pPr>
        <w:rPr>
          <w:highlight w:val="yellow"/>
        </w:rPr>
      </w:pPr>
    </w:p>
    <w:p w:rsidR="009C01A7" w:rsidRPr="00EA7D7C" w:rsidRDefault="009C01A7" w:rsidP="005A2287">
      <w:pPr>
        <w:spacing w:after="0"/>
        <w:rPr>
          <w:rFonts w:asciiTheme="minorHAnsi" w:hAnsiTheme="minorHAnsi"/>
          <w:b/>
          <w:highlight w:val="yellow"/>
        </w:rPr>
      </w:pPr>
      <w:r w:rsidRPr="00EA7D7C">
        <w:rPr>
          <w:rFonts w:asciiTheme="minorHAnsi" w:hAnsiTheme="minorHAnsi"/>
          <w:b/>
          <w:highlight w:val="yellow"/>
        </w:rPr>
        <w:t xml:space="preserve">Figure </w:t>
      </w:r>
      <w:r w:rsidR="00A50B6D" w:rsidRPr="00EA7D7C">
        <w:rPr>
          <w:rFonts w:asciiTheme="minorHAnsi" w:hAnsiTheme="minorHAnsi"/>
          <w:b/>
          <w:highlight w:val="yellow"/>
        </w:rPr>
        <w:t>1</w:t>
      </w:r>
      <w:r w:rsidRPr="00EA7D7C">
        <w:rPr>
          <w:rFonts w:asciiTheme="minorHAnsi" w:hAnsiTheme="minorHAnsi"/>
          <w:b/>
          <w:highlight w:val="yellow"/>
        </w:rPr>
        <w:t>: Definitions applied in this analysis for “highest” and “lowest” dose statins and movement from higher to lower (or lower to higher) intensities and doses assumed to the “same” across statins</w:t>
      </w:r>
    </w:p>
    <w:p w:rsidR="009C01A7" w:rsidRPr="00AC3FB3" w:rsidRDefault="009C01A7" w:rsidP="005A2287">
      <w:pPr>
        <w:spacing w:after="0"/>
        <w:rPr>
          <w:rFonts w:ascii="Arial Narrow" w:hAnsi="Arial Narrow"/>
          <w:b/>
          <w:sz w:val="20"/>
          <w:szCs w:val="20"/>
          <w:highlight w:val="yellow"/>
        </w:rPr>
      </w:pPr>
    </w:p>
    <w:tbl>
      <w:tblPr>
        <w:tblStyle w:val="TableGrid"/>
        <w:tblW w:w="0" w:type="auto"/>
        <w:tblCellMar>
          <w:left w:w="28" w:type="dxa"/>
          <w:right w:w="28" w:type="dxa"/>
        </w:tblCellMar>
        <w:tblLook w:val="04A0" w:firstRow="1" w:lastRow="0" w:firstColumn="1" w:lastColumn="0" w:noHBand="0" w:noVBand="1"/>
      </w:tblPr>
      <w:tblGrid>
        <w:gridCol w:w="1675"/>
        <w:gridCol w:w="1675"/>
        <w:gridCol w:w="1676"/>
        <w:gridCol w:w="1676"/>
        <w:gridCol w:w="1660"/>
      </w:tblGrid>
      <w:tr w:rsidR="009C01A7" w:rsidRPr="00AC3FB3" w:rsidTr="00020350">
        <w:tc>
          <w:tcPr>
            <w:tcW w:w="9016" w:type="dxa"/>
            <w:gridSpan w:val="5"/>
            <w:tcBorders>
              <w:top w:val="nil"/>
              <w:left w:val="nil"/>
              <w:bottom w:val="nil"/>
              <w:right w:val="nil"/>
            </w:tcBorders>
            <w:vAlign w:val="center"/>
          </w:tcPr>
          <w:p w:rsidR="009C01A7" w:rsidRPr="00AC3FB3" w:rsidRDefault="009C01A7" w:rsidP="005A2287">
            <w:pPr>
              <w:rPr>
                <w:rFonts w:ascii="Arial Narrow" w:hAnsi="Arial Narrow"/>
                <w:b/>
                <w:sz w:val="20"/>
                <w:szCs w:val="20"/>
                <w:highlight w:val="yellow"/>
              </w:rPr>
            </w:pPr>
            <w:r w:rsidRPr="00AC3FB3">
              <w:rPr>
                <w:rFonts w:ascii="Arial Narrow" w:hAnsi="Arial Narrow"/>
                <w:b/>
                <w:sz w:val="20"/>
                <w:szCs w:val="20"/>
                <w:highlight w:val="yellow"/>
              </w:rPr>
              <w:t>Down-titration to lower intensity</w:t>
            </w:r>
          </w:p>
        </w:tc>
      </w:tr>
      <w:tr w:rsidR="009C01A7" w:rsidRPr="00AC3FB3" w:rsidTr="00020350">
        <w:tc>
          <w:tcPr>
            <w:tcW w:w="3606" w:type="dxa"/>
            <w:gridSpan w:val="2"/>
            <w:tcBorders>
              <w:top w:val="nil"/>
              <w:left w:val="nil"/>
              <w:right w:val="nil"/>
            </w:tcBorders>
            <w:vAlign w:val="center"/>
          </w:tcPr>
          <w:p w:rsidR="009C01A7" w:rsidRPr="00AC3FB3" w:rsidRDefault="009C01A7" w:rsidP="005A2287">
            <w:pPr>
              <w:rPr>
                <w:rFonts w:ascii="Arial Narrow" w:hAnsi="Arial Narrow"/>
                <w:sz w:val="20"/>
                <w:szCs w:val="20"/>
                <w:highlight w:val="yellow"/>
              </w:rPr>
            </w:pPr>
          </w:p>
        </w:tc>
        <w:tc>
          <w:tcPr>
            <w:tcW w:w="3606" w:type="dxa"/>
            <w:gridSpan w:val="2"/>
            <w:tcBorders>
              <w:top w:val="nil"/>
              <w:left w:val="nil"/>
              <w:right w:val="nil"/>
            </w:tcBorders>
            <w:vAlign w:val="center"/>
          </w:tcPr>
          <w:p w:rsidR="009C01A7" w:rsidRPr="00AC3FB3" w:rsidRDefault="008A3526" w:rsidP="005A2287">
            <w:pPr>
              <w:rPr>
                <w:rFonts w:ascii="Arial Narrow" w:hAnsi="Arial Narrow"/>
                <w:b/>
                <w:i/>
                <w:color w:val="000000"/>
                <w:sz w:val="20"/>
                <w:szCs w:val="20"/>
                <w:highlight w:val="yellow"/>
                <w:u w:val="single"/>
              </w:rPr>
            </w:pPr>
            <w:r>
              <w:rPr>
                <w:noProof/>
                <w:lang w:eastAsia="en-AU"/>
              </w:rPr>
              <mc:AlternateContent>
                <mc:Choice Requires="wps">
                  <w:drawing>
                    <wp:anchor distT="0" distB="0" distL="114300" distR="114300" simplePos="0" relativeHeight="251665408" behindDoc="0" locked="0" layoutInCell="1" allowOverlap="1" wp14:anchorId="37B220E7" wp14:editId="47A50639">
                      <wp:simplePos x="0" y="0"/>
                      <wp:positionH relativeFrom="column">
                        <wp:posOffset>-1698625</wp:posOffset>
                      </wp:positionH>
                      <wp:positionV relativeFrom="paragraph">
                        <wp:posOffset>61595</wp:posOffset>
                      </wp:positionV>
                      <wp:extent cx="4505960" cy="6350"/>
                      <wp:effectExtent l="0" t="95250" r="0" b="1079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05960" cy="63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33.75pt;margin-top:4.85pt;width:354.8pt;height:.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" strokecolor="black [3213]" strokeweight="2.25pt">
                      <v:stroke endarrow="block"/>
                      <o:lock v:ext="edit" shapetype="f"/>
                    </v:shape>
                  </w:pict>
                </mc:Fallback>
              </mc:AlternateContent>
            </w:r>
          </w:p>
        </w:tc>
        <w:tc>
          <w:tcPr>
            <w:tcW w:w="1804" w:type="dxa"/>
            <w:tcBorders>
              <w:top w:val="nil"/>
              <w:left w:val="nil"/>
              <w:right w:val="nil"/>
            </w:tcBorders>
            <w:vAlign w:val="center"/>
          </w:tcPr>
          <w:p w:rsidR="009C01A7" w:rsidRPr="00AC3FB3" w:rsidRDefault="009C01A7" w:rsidP="005A2287">
            <w:pPr>
              <w:rPr>
                <w:rFonts w:ascii="Arial Narrow" w:hAnsi="Arial Narrow"/>
                <w:sz w:val="20"/>
                <w:szCs w:val="20"/>
                <w:highlight w:val="yellow"/>
              </w:rPr>
            </w:pPr>
          </w:p>
        </w:tc>
      </w:tr>
      <w:tr w:rsidR="009C01A7" w:rsidRPr="00AC3FB3" w:rsidTr="00020350">
        <w:tc>
          <w:tcPr>
            <w:tcW w:w="3606" w:type="dxa"/>
            <w:gridSpan w:val="2"/>
            <w:tcBorders>
              <w:left w:val="single" w:sz="4" w:space="0" w:color="auto"/>
            </w:tcBorders>
            <w:vAlign w:val="center"/>
          </w:tcPr>
          <w:p w:rsidR="009C01A7" w:rsidRPr="00AC3FB3" w:rsidRDefault="009C01A7" w:rsidP="005A2287">
            <w:pPr>
              <w:rPr>
                <w:rFonts w:ascii="Arial Narrow" w:hAnsi="Arial Narrow"/>
                <w:b/>
                <w:sz w:val="20"/>
                <w:szCs w:val="20"/>
                <w:highlight w:val="yellow"/>
              </w:rPr>
            </w:pPr>
            <w:r w:rsidRPr="00AC3FB3">
              <w:rPr>
                <w:rFonts w:ascii="Arial Narrow" w:hAnsi="Arial Narrow"/>
                <w:b/>
                <w:sz w:val="20"/>
                <w:szCs w:val="20"/>
                <w:highlight w:val="yellow"/>
              </w:rPr>
              <w:t>High potency statin</w:t>
            </w:r>
          </w:p>
        </w:tc>
        <w:tc>
          <w:tcPr>
            <w:tcW w:w="3606" w:type="dxa"/>
            <w:gridSpan w:val="2"/>
            <w:vAlign w:val="center"/>
          </w:tcPr>
          <w:p w:rsidR="009C01A7" w:rsidRPr="00AC3FB3" w:rsidRDefault="009C01A7" w:rsidP="005A2287">
            <w:pPr>
              <w:rPr>
                <w:rFonts w:ascii="Arial Narrow" w:hAnsi="Arial Narrow"/>
                <w:b/>
                <w:i/>
                <w:color w:val="000000"/>
                <w:sz w:val="20"/>
                <w:szCs w:val="20"/>
                <w:highlight w:val="yellow"/>
                <w:u w:val="single"/>
              </w:rPr>
            </w:pPr>
            <w:r w:rsidRPr="00AC3FB3">
              <w:rPr>
                <w:rFonts w:ascii="Arial Narrow" w:hAnsi="Arial Narrow"/>
                <w:b/>
                <w:sz w:val="20"/>
                <w:szCs w:val="20"/>
                <w:highlight w:val="yellow"/>
              </w:rPr>
              <w:t>Moderate potency statin</w:t>
            </w:r>
          </w:p>
        </w:tc>
        <w:tc>
          <w:tcPr>
            <w:tcW w:w="1804" w:type="dxa"/>
            <w:tcBorders>
              <w:right w:val="single" w:sz="4" w:space="0" w:color="auto"/>
            </w:tcBorders>
            <w:vAlign w:val="center"/>
          </w:tcPr>
          <w:p w:rsidR="009C01A7" w:rsidRPr="00AC3FB3" w:rsidRDefault="009C01A7" w:rsidP="005A2287">
            <w:pPr>
              <w:rPr>
                <w:rFonts w:ascii="Arial Narrow" w:hAnsi="Arial Narrow"/>
                <w:b/>
                <w:i/>
                <w:color w:val="000000"/>
                <w:sz w:val="20"/>
                <w:szCs w:val="20"/>
                <w:highlight w:val="yellow"/>
                <w:u w:val="single"/>
              </w:rPr>
            </w:pPr>
            <w:r w:rsidRPr="00AC3FB3">
              <w:rPr>
                <w:rFonts w:ascii="Arial Narrow" w:hAnsi="Arial Narrow"/>
                <w:b/>
                <w:sz w:val="20"/>
                <w:szCs w:val="20"/>
                <w:highlight w:val="yellow"/>
              </w:rPr>
              <w:t>Low potency statin</w:t>
            </w:r>
          </w:p>
        </w:tc>
      </w:tr>
      <w:tr w:rsidR="009C01A7" w:rsidRPr="00AC3FB3" w:rsidTr="00020350">
        <w:tc>
          <w:tcPr>
            <w:tcW w:w="1803" w:type="dxa"/>
            <w:vAlign w:val="center"/>
          </w:tcPr>
          <w:p w:rsidR="009C01A7" w:rsidRPr="00AC3FB3" w:rsidRDefault="009C01A7" w:rsidP="005A2287">
            <w:pPr>
              <w:spacing w:after="40"/>
              <w:rPr>
                <w:rFonts w:ascii="Arial Narrow" w:hAnsi="Arial Narrow"/>
                <w:b/>
                <w:i/>
                <w:color w:val="000000"/>
                <w:sz w:val="20"/>
                <w:szCs w:val="20"/>
                <w:highlight w:val="yellow"/>
                <w:u w:val="single"/>
              </w:rPr>
            </w:pPr>
            <w:r w:rsidRPr="00AC3FB3">
              <w:rPr>
                <w:rFonts w:ascii="Arial Narrow" w:hAnsi="Arial Narrow"/>
                <w:b/>
                <w:sz w:val="20"/>
                <w:szCs w:val="20"/>
                <w:highlight w:val="yellow"/>
              </w:rPr>
              <w:t xml:space="preserve">Highest dose </w:t>
            </w:r>
          </w:p>
          <w:p w:rsidR="009C01A7" w:rsidRPr="00AC3FB3" w:rsidRDefault="009C01A7" w:rsidP="005A2287">
            <w:pPr>
              <w:rPr>
                <w:rFonts w:ascii="Arial Narrow" w:hAnsi="Arial Narrow"/>
                <w:b/>
                <w:i/>
                <w:color w:val="000000"/>
                <w:sz w:val="20"/>
                <w:szCs w:val="20"/>
                <w:highlight w:val="yellow"/>
                <w:u w:val="single"/>
              </w:rPr>
            </w:pPr>
            <w:r w:rsidRPr="00AC3FB3">
              <w:rPr>
                <w:rFonts w:ascii="Arial Narrow" w:hAnsi="Arial Narrow"/>
                <w:sz w:val="20"/>
                <w:szCs w:val="20"/>
                <w:highlight w:val="yellow"/>
              </w:rPr>
              <w:t>Atorvastatin, 80mg</w:t>
            </w:r>
          </w:p>
          <w:p w:rsidR="009C01A7" w:rsidRPr="00AC3FB3" w:rsidRDefault="009C01A7" w:rsidP="005A2287">
            <w:pPr>
              <w:rPr>
                <w:rFonts w:ascii="Arial Narrow" w:hAnsi="Arial Narrow"/>
                <w:b/>
                <w:i/>
                <w:color w:val="000000"/>
                <w:sz w:val="20"/>
                <w:szCs w:val="20"/>
                <w:highlight w:val="yellow"/>
                <w:u w:val="single"/>
              </w:rPr>
            </w:pPr>
            <w:r w:rsidRPr="00AC3FB3">
              <w:rPr>
                <w:rFonts w:ascii="Arial Narrow" w:hAnsi="Arial Narrow"/>
                <w:sz w:val="20"/>
                <w:szCs w:val="20"/>
                <w:highlight w:val="yellow"/>
              </w:rPr>
              <w:t>Rosuvastatin, 40 mg</w:t>
            </w:r>
          </w:p>
        </w:tc>
        <w:tc>
          <w:tcPr>
            <w:tcW w:w="1803" w:type="dxa"/>
            <w:vAlign w:val="center"/>
          </w:tcPr>
          <w:p w:rsidR="009C01A7" w:rsidRPr="00AC3FB3" w:rsidRDefault="009C01A7" w:rsidP="005A2287">
            <w:pPr>
              <w:rPr>
                <w:rFonts w:ascii="Arial Narrow" w:hAnsi="Arial Narrow"/>
                <w:b/>
                <w:i/>
                <w:color w:val="000000"/>
                <w:sz w:val="20"/>
                <w:szCs w:val="20"/>
                <w:highlight w:val="yellow"/>
                <w:u w:val="single"/>
              </w:rPr>
            </w:pPr>
            <w:r w:rsidRPr="00AC3FB3">
              <w:rPr>
                <w:rFonts w:ascii="Arial Narrow" w:hAnsi="Arial Narrow"/>
                <w:sz w:val="20"/>
                <w:szCs w:val="20"/>
                <w:highlight w:val="yellow"/>
              </w:rPr>
              <w:t>Atorvastatin, 40 mg</w:t>
            </w:r>
          </w:p>
          <w:p w:rsidR="009C01A7" w:rsidRPr="00AC3FB3" w:rsidRDefault="009C01A7" w:rsidP="005A2287">
            <w:pPr>
              <w:rPr>
                <w:rFonts w:ascii="Arial Narrow" w:hAnsi="Arial Narrow"/>
                <w:b/>
                <w:i/>
                <w:color w:val="000000"/>
                <w:sz w:val="20"/>
                <w:szCs w:val="20"/>
                <w:highlight w:val="yellow"/>
                <w:u w:val="single"/>
              </w:rPr>
            </w:pPr>
            <w:r w:rsidRPr="00AC3FB3">
              <w:rPr>
                <w:rFonts w:ascii="Arial Narrow" w:hAnsi="Arial Narrow"/>
                <w:sz w:val="20"/>
                <w:szCs w:val="20"/>
                <w:highlight w:val="yellow"/>
              </w:rPr>
              <w:t>Rosuvastatin, 20 mg</w:t>
            </w:r>
          </w:p>
          <w:p w:rsidR="009C01A7" w:rsidRPr="00AC3FB3" w:rsidRDefault="009C01A7" w:rsidP="005A2287">
            <w:pPr>
              <w:rPr>
                <w:rFonts w:ascii="Arial Narrow" w:hAnsi="Arial Narrow"/>
                <w:b/>
                <w:i/>
                <w:color w:val="000000"/>
                <w:sz w:val="20"/>
                <w:szCs w:val="20"/>
                <w:highlight w:val="yellow"/>
                <w:u w:val="single"/>
              </w:rPr>
            </w:pPr>
            <w:r w:rsidRPr="00AC3FB3">
              <w:rPr>
                <w:rFonts w:ascii="Arial Narrow" w:hAnsi="Arial Narrow"/>
                <w:sz w:val="20"/>
                <w:szCs w:val="20"/>
                <w:highlight w:val="yellow"/>
              </w:rPr>
              <w:t>Simvastatin 80 mg</w:t>
            </w:r>
          </w:p>
        </w:tc>
        <w:tc>
          <w:tcPr>
            <w:tcW w:w="1803" w:type="dxa"/>
            <w:vAlign w:val="center"/>
          </w:tcPr>
          <w:p w:rsidR="009C01A7" w:rsidRPr="00AC3FB3" w:rsidRDefault="009C01A7" w:rsidP="005A2287">
            <w:pPr>
              <w:rPr>
                <w:rFonts w:ascii="Arial Narrow" w:hAnsi="Arial Narrow"/>
                <w:b/>
                <w:i/>
                <w:color w:val="000000"/>
                <w:sz w:val="20"/>
                <w:szCs w:val="20"/>
                <w:highlight w:val="yellow"/>
                <w:u w:val="single"/>
              </w:rPr>
            </w:pPr>
            <w:r w:rsidRPr="00AC3FB3">
              <w:rPr>
                <w:rFonts w:ascii="Arial Narrow" w:hAnsi="Arial Narrow"/>
                <w:sz w:val="20"/>
                <w:szCs w:val="20"/>
                <w:highlight w:val="yellow"/>
              </w:rPr>
              <w:t>Atorvastatin, 20 mg</w:t>
            </w:r>
          </w:p>
          <w:p w:rsidR="009C01A7" w:rsidRPr="00AC3FB3" w:rsidRDefault="009C01A7" w:rsidP="005A2287">
            <w:pPr>
              <w:rPr>
                <w:rFonts w:ascii="Arial Narrow" w:hAnsi="Arial Narrow"/>
                <w:b/>
                <w:i/>
                <w:color w:val="000000"/>
                <w:sz w:val="20"/>
                <w:szCs w:val="20"/>
                <w:highlight w:val="yellow"/>
                <w:u w:val="single"/>
              </w:rPr>
            </w:pPr>
            <w:r w:rsidRPr="00AC3FB3">
              <w:rPr>
                <w:rFonts w:ascii="Arial Narrow" w:hAnsi="Arial Narrow"/>
                <w:sz w:val="20"/>
                <w:szCs w:val="20"/>
                <w:highlight w:val="yellow"/>
              </w:rPr>
              <w:t>Rosuvastatin, 10 mg</w:t>
            </w:r>
          </w:p>
          <w:p w:rsidR="009C01A7" w:rsidRPr="00AC3FB3" w:rsidRDefault="009C01A7" w:rsidP="005A2287">
            <w:pPr>
              <w:rPr>
                <w:rFonts w:ascii="Arial Narrow" w:hAnsi="Arial Narrow"/>
                <w:b/>
                <w:i/>
                <w:color w:val="000000"/>
                <w:sz w:val="20"/>
                <w:szCs w:val="20"/>
                <w:highlight w:val="yellow"/>
                <w:u w:val="single"/>
              </w:rPr>
            </w:pPr>
            <w:r w:rsidRPr="00AC3FB3">
              <w:rPr>
                <w:rFonts w:ascii="Arial Narrow" w:hAnsi="Arial Narrow"/>
                <w:sz w:val="20"/>
                <w:szCs w:val="20"/>
                <w:highlight w:val="yellow"/>
              </w:rPr>
              <w:t>Simvastatin, 40 mg</w:t>
            </w:r>
          </w:p>
          <w:p w:rsidR="009C01A7" w:rsidRPr="00AC3FB3" w:rsidRDefault="009C01A7" w:rsidP="005A2287">
            <w:pPr>
              <w:rPr>
                <w:rFonts w:ascii="Arial Narrow" w:hAnsi="Arial Narrow"/>
                <w:b/>
                <w:i/>
                <w:color w:val="000000"/>
                <w:sz w:val="20"/>
                <w:szCs w:val="20"/>
                <w:highlight w:val="yellow"/>
                <w:u w:val="single"/>
              </w:rPr>
            </w:pPr>
            <w:r w:rsidRPr="00AC3FB3">
              <w:rPr>
                <w:rFonts w:ascii="Arial Narrow" w:hAnsi="Arial Narrow"/>
                <w:sz w:val="20"/>
                <w:szCs w:val="20"/>
                <w:highlight w:val="yellow"/>
              </w:rPr>
              <w:t>Pravastatin, 80mg</w:t>
            </w:r>
          </w:p>
          <w:p w:rsidR="009C01A7" w:rsidRPr="00AC3FB3" w:rsidRDefault="009C01A7" w:rsidP="005A2287">
            <w:pPr>
              <w:rPr>
                <w:rFonts w:ascii="Arial Narrow" w:hAnsi="Arial Narrow"/>
                <w:b/>
                <w:i/>
                <w:color w:val="000000"/>
                <w:sz w:val="20"/>
                <w:szCs w:val="20"/>
                <w:highlight w:val="yellow"/>
                <w:u w:val="single"/>
              </w:rPr>
            </w:pPr>
            <w:r w:rsidRPr="00AC3FB3">
              <w:rPr>
                <w:rFonts w:ascii="Arial Narrow" w:hAnsi="Arial Narrow"/>
                <w:sz w:val="20"/>
                <w:szCs w:val="20"/>
                <w:highlight w:val="yellow"/>
              </w:rPr>
              <w:t>Fluvastatin, 80mg</w:t>
            </w:r>
          </w:p>
        </w:tc>
        <w:tc>
          <w:tcPr>
            <w:tcW w:w="1803" w:type="dxa"/>
            <w:vAlign w:val="center"/>
          </w:tcPr>
          <w:p w:rsidR="009C01A7" w:rsidRPr="00AC3FB3" w:rsidRDefault="009C01A7" w:rsidP="005A2287">
            <w:pPr>
              <w:rPr>
                <w:rFonts w:ascii="Arial Narrow" w:hAnsi="Arial Narrow"/>
                <w:b/>
                <w:i/>
                <w:color w:val="000000"/>
                <w:sz w:val="20"/>
                <w:szCs w:val="20"/>
                <w:highlight w:val="yellow"/>
                <w:u w:val="single"/>
              </w:rPr>
            </w:pPr>
            <w:r w:rsidRPr="00AC3FB3">
              <w:rPr>
                <w:rFonts w:ascii="Arial Narrow" w:hAnsi="Arial Narrow"/>
                <w:sz w:val="20"/>
                <w:szCs w:val="20"/>
                <w:highlight w:val="yellow"/>
              </w:rPr>
              <w:t>Atorvastatin, 10 mg</w:t>
            </w:r>
          </w:p>
          <w:p w:rsidR="009C01A7" w:rsidRPr="00AC3FB3" w:rsidRDefault="009C01A7" w:rsidP="005A2287">
            <w:pPr>
              <w:rPr>
                <w:rFonts w:ascii="Arial Narrow" w:hAnsi="Arial Narrow"/>
                <w:b/>
                <w:i/>
                <w:color w:val="000000"/>
                <w:sz w:val="20"/>
                <w:szCs w:val="20"/>
                <w:highlight w:val="yellow"/>
                <w:u w:val="single"/>
              </w:rPr>
            </w:pPr>
            <w:r w:rsidRPr="00AC3FB3">
              <w:rPr>
                <w:rFonts w:ascii="Arial Narrow" w:hAnsi="Arial Narrow"/>
                <w:sz w:val="20"/>
                <w:szCs w:val="20"/>
                <w:highlight w:val="yellow"/>
              </w:rPr>
              <w:t>Rosuvastatin, 5 mg</w:t>
            </w:r>
          </w:p>
          <w:p w:rsidR="009C01A7" w:rsidRPr="00AC3FB3" w:rsidRDefault="009C01A7" w:rsidP="005A2287">
            <w:pPr>
              <w:rPr>
                <w:rFonts w:ascii="Arial Narrow" w:hAnsi="Arial Narrow"/>
                <w:b/>
                <w:i/>
                <w:color w:val="000000"/>
                <w:sz w:val="20"/>
                <w:szCs w:val="20"/>
                <w:highlight w:val="yellow"/>
                <w:u w:val="single"/>
              </w:rPr>
            </w:pPr>
            <w:r w:rsidRPr="00AC3FB3">
              <w:rPr>
                <w:rFonts w:ascii="Arial Narrow" w:hAnsi="Arial Narrow"/>
                <w:sz w:val="20"/>
                <w:szCs w:val="20"/>
                <w:highlight w:val="yellow"/>
              </w:rPr>
              <w:t>Simvastatin, 20 mg</w:t>
            </w:r>
          </w:p>
          <w:p w:rsidR="009C01A7" w:rsidRPr="00AC3FB3" w:rsidRDefault="009C01A7" w:rsidP="005A2287">
            <w:pPr>
              <w:rPr>
                <w:rFonts w:ascii="Arial Narrow" w:hAnsi="Arial Narrow"/>
                <w:b/>
                <w:i/>
                <w:color w:val="000000"/>
                <w:sz w:val="20"/>
                <w:szCs w:val="20"/>
                <w:highlight w:val="yellow"/>
                <w:u w:val="single"/>
              </w:rPr>
            </w:pPr>
            <w:r w:rsidRPr="00AC3FB3">
              <w:rPr>
                <w:rFonts w:ascii="Arial Narrow" w:hAnsi="Arial Narrow"/>
                <w:sz w:val="20"/>
                <w:szCs w:val="20"/>
                <w:highlight w:val="yellow"/>
              </w:rPr>
              <w:t>Pravastatin, 40mg</w:t>
            </w:r>
          </w:p>
        </w:tc>
        <w:tc>
          <w:tcPr>
            <w:tcW w:w="1804" w:type="dxa"/>
            <w:vAlign w:val="center"/>
          </w:tcPr>
          <w:p w:rsidR="009C01A7" w:rsidRPr="00AC3FB3" w:rsidRDefault="009C01A7" w:rsidP="005A2287">
            <w:pPr>
              <w:spacing w:after="40"/>
              <w:rPr>
                <w:rFonts w:ascii="Arial Narrow" w:hAnsi="Arial Narrow"/>
                <w:b/>
                <w:sz w:val="20"/>
                <w:szCs w:val="20"/>
                <w:highlight w:val="yellow"/>
              </w:rPr>
            </w:pPr>
            <w:r w:rsidRPr="00AC3FB3">
              <w:rPr>
                <w:rFonts w:ascii="Arial Narrow" w:hAnsi="Arial Narrow"/>
                <w:b/>
                <w:sz w:val="20"/>
                <w:szCs w:val="20"/>
                <w:highlight w:val="yellow"/>
              </w:rPr>
              <w:t>Lowest dose*</w:t>
            </w:r>
          </w:p>
          <w:p w:rsidR="009C01A7" w:rsidRPr="00AC3FB3" w:rsidRDefault="009C01A7" w:rsidP="005A2287">
            <w:pPr>
              <w:rPr>
                <w:rFonts w:ascii="Arial Narrow" w:hAnsi="Arial Narrow"/>
                <w:sz w:val="20"/>
                <w:szCs w:val="20"/>
                <w:highlight w:val="yellow"/>
              </w:rPr>
            </w:pPr>
            <w:r w:rsidRPr="00AC3FB3">
              <w:rPr>
                <w:rFonts w:ascii="Arial Narrow" w:hAnsi="Arial Narrow"/>
                <w:sz w:val="20"/>
                <w:szCs w:val="20"/>
                <w:highlight w:val="yellow"/>
              </w:rPr>
              <w:t>Simvastatin, 5-10 mg</w:t>
            </w:r>
          </w:p>
          <w:p w:rsidR="009C01A7" w:rsidRPr="00AC3FB3" w:rsidRDefault="009C01A7" w:rsidP="005A2287">
            <w:pPr>
              <w:spacing w:after="160"/>
              <w:rPr>
                <w:rFonts w:ascii="Arial Narrow" w:hAnsi="Arial Narrow"/>
                <w:sz w:val="20"/>
                <w:szCs w:val="20"/>
                <w:highlight w:val="yellow"/>
              </w:rPr>
            </w:pPr>
            <w:r w:rsidRPr="00AC3FB3">
              <w:rPr>
                <w:rFonts w:ascii="Arial Narrow" w:hAnsi="Arial Narrow"/>
                <w:sz w:val="20"/>
                <w:szCs w:val="20"/>
                <w:highlight w:val="yellow"/>
              </w:rPr>
              <w:t>Pravastatin, 10-20mg</w:t>
            </w:r>
          </w:p>
        </w:tc>
      </w:tr>
      <w:tr w:rsidR="009C01A7" w:rsidRPr="00AC3FB3" w:rsidTr="00020350">
        <w:tc>
          <w:tcPr>
            <w:tcW w:w="1803" w:type="dxa"/>
            <w:tcBorders>
              <w:left w:val="nil"/>
              <w:bottom w:val="nil"/>
              <w:right w:val="nil"/>
            </w:tcBorders>
            <w:vAlign w:val="center"/>
          </w:tcPr>
          <w:p w:rsidR="009C01A7" w:rsidRPr="00AC3FB3" w:rsidRDefault="009C01A7" w:rsidP="005A2287">
            <w:pPr>
              <w:rPr>
                <w:rFonts w:ascii="Arial Narrow" w:hAnsi="Arial Narrow"/>
                <w:sz w:val="20"/>
                <w:szCs w:val="20"/>
                <w:highlight w:val="yellow"/>
              </w:rPr>
            </w:pPr>
          </w:p>
        </w:tc>
        <w:tc>
          <w:tcPr>
            <w:tcW w:w="1803" w:type="dxa"/>
            <w:tcBorders>
              <w:left w:val="nil"/>
              <w:bottom w:val="nil"/>
              <w:right w:val="nil"/>
            </w:tcBorders>
            <w:vAlign w:val="center"/>
          </w:tcPr>
          <w:p w:rsidR="009C01A7" w:rsidRPr="00AC3FB3" w:rsidRDefault="009C01A7" w:rsidP="005A2287">
            <w:pPr>
              <w:rPr>
                <w:rFonts w:ascii="Arial Narrow" w:hAnsi="Arial Narrow"/>
                <w:sz w:val="20"/>
                <w:szCs w:val="20"/>
                <w:highlight w:val="yellow"/>
              </w:rPr>
            </w:pPr>
          </w:p>
        </w:tc>
        <w:tc>
          <w:tcPr>
            <w:tcW w:w="1803" w:type="dxa"/>
            <w:tcBorders>
              <w:left w:val="nil"/>
              <w:bottom w:val="nil"/>
              <w:right w:val="nil"/>
            </w:tcBorders>
            <w:vAlign w:val="center"/>
          </w:tcPr>
          <w:p w:rsidR="009C01A7" w:rsidRPr="00AC3FB3" w:rsidRDefault="008A3526" w:rsidP="005A2287">
            <w:pPr>
              <w:rPr>
                <w:rFonts w:ascii="Arial Narrow" w:hAnsi="Arial Narrow"/>
                <w:b/>
                <w:i/>
                <w:color w:val="000000"/>
                <w:sz w:val="20"/>
                <w:szCs w:val="20"/>
                <w:highlight w:val="yellow"/>
                <w:u w:val="single"/>
              </w:rPr>
            </w:pPr>
            <w:r>
              <w:rPr>
                <w:noProof/>
                <w:lang w:eastAsia="en-AU"/>
              </w:rPr>
              <mc:AlternateContent>
                <mc:Choice Requires="wps">
                  <w:drawing>
                    <wp:anchor distT="4294967295" distB="4294967295" distL="114300" distR="114300" simplePos="0" relativeHeight="251666432" behindDoc="0" locked="0" layoutInCell="1" allowOverlap="1" wp14:anchorId="20EC9D6A" wp14:editId="305FA3C8">
                      <wp:simplePos x="0" y="0"/>
                      <wp:positionH relativeFrom="column">
                        <wp:posOffset>-1675765</wp:posOffset>
                      </wp:positionH>
                      <wp:positionV relativeFrom="paragraph">
                        <wp:posOffset>81914</wp:posOffset>
                      </wp:positionV>
                      <wp:extent cx="4565015" cy="0"/>
                      <wp:effectExtent l="0" t="95250" r="0" b="952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6501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131.95pt;margin-top:6.45pt;width:359.45pt;height:0;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" strokecolor="black [3213]" strokeweight="2.25pt">
                      <v:stroke endarrow="block"/>
                      <o:lock v:ext="edit" shapetype="f"/>
                    </v:shape>
                  </w:pict>
                </mc:Fallback>
              </mc:AlternateContent>
            </w:r>
          </w:p>
        </w:tc>
        <w:tc>
          <w:tcPr>
            <w:tcW w:w="1803" w:type="dxa"/>
            <w:tcBorders>
              <w:left w:val="nil"/>
              <w:bottom w:val="nil"/>
              <w:right w:val="nil"/>
            </w:tcBorders>
            <w:vAlign w:val="center"/>
          </w:tcPr>
          <w:p w:rsidR="009C01A7" w:rsidRPr="00AC3FB3" w:rsidRDefault="009C01A7" w:rsidP="005A2287">
            <w:pPr>
              <w:rPr>
                <w:rFonts w:ascii="Arial Narrow" w:hAnsi="Arial Narrow"/>
                <w:sz w:val="20"/>
                <w:szCs w:val="20"/>
                <w:highlight w:val="yellow"/>
              </w:rPr>
            </w:pPr>
          </w:p>
        </w:tc>
        <w:tc>
          <w:tcPr>
            <w:tcW w:w="1804" w:type="dxa"/>
            <w:tcBorders>
              <w:left w:val="nil"/>
              <w:bottom w:val="nil"/>
              <w:right w:val="nil"/>
            </w:tcBorders>
            <w:vAlign w:val="center"/>
          </w:tcPr>
          <w:p w:rsidR="009C01A7" w:rsidRPr="00AC3FB3" w:rsidRDefault="009C01A7" w:rsidP="005A2287">
            <w:pPr>
              <w:rPr>
                <w:rFonts w:ascii="Arial Narrow" w:hAnsi="Arial Narrow"/>
                <w:sz w:val="20"/>
                <w:szCs w:val="20"/>
                <w:highlight w:val="yellow"/>
              </w:rPr>
            </w:pPr>
          </w:p>
        </w:tc>
      </w:tr>
      <w:tr w:rsidR="009C01A7" w:rsidRPr="00AC3FB3" w:rsidTr="00020350">
        <w:tc>
          <w:tcPr>
            <w:tcW w:w="9016" w:type="dxa"/>
            <w:gridSpan w:val="5"/>
            <w:tcBorders>
              <w:top w:val="nil"/>
              <w:left w:val="nil"/>
              <w:bottom w:val="nil"/>
              <w:right w:val="nil"/>
            </w:tcBorders>
            <w:vAlign w:val="center"/>
          </w:tcPr>
          <w:p w:rsidR="009C01A7" w:rsidRPr="00AC3FB3" w:rsidRDefault="009C01A7" w:rsidP="005A2287">
            <w:pPr>
              <w:rPr>
                <w:rFonts w:ascii="Arial Narrow" w:hAnsi="Arial Narrow"/>
                <w:b/>
                <w:i/>
                <w:color w:val="000000"/>
                <w:sz w:val="20"/>
                <w:szCs w:val="20"/>
                <w:highlight w:val="yellow"/>
                <w:u w:val="single"/>
              </w:rPr>
            </w:pPr>
            <w:r w:rsidRPr="00AC3FB3">
              <w:rPr>
                <w:rFonts w:ascii="Arial Narrow" w:hAnsi="Arial Narrow"/>
                <w:b/>
                <w:sz w:val="20"/>
                <w:szCs w:val="20"/>
                <w:highlight w:val="yellow"/>
              </w:rPr>
              <w:t>Up-titration to higher intensity</w:t>
            </w:r>
          </w:p>
        </w:tc>
      </w:tr>
    </w:tbl>
    <w:p w:rsidR="009C01A7" w:rsidRPr="00AC3FB3" w:rsidRDefault="009C01A7" w:rsidP="005A2287">
      <w:pPr>
        <w:tabs>
          <w:tab w:val="left" w:pos="0"/>
        </w:tabs>
        <w:rPr>
          <w:rFonts w:ascii="Arial Narrow" w:hAnsi="Arial Narrow"/>
          <w:sz w:val="18"/>
          <w:szCs w:val="18"/>
          <w:highlight w:val="yellow"/>
        </w:rPr>
      </w:pPr>
      <w:r w:rsidRPr="00AC3FB3">
        <w:rPr>
          <w:rFonts w:ascii="Arial Narrow" w:hAnsi="Arial Narrow"/>
          <w:sz w:val="18"/>
          <w:szCs w:val="18"/>
          <w:highlight w:val="yellow"/>
        </w:rPr>
        <w:t>As defined in Table 5 of Stone et al 2013</w:t>
      </w:r>
      <w:r w:rsidR="00106006">
        <w:rPr>
          <w:rStyle w:val="EndnoteReference"/>
          <w:rFonts w:ascii="Arial Narrow" w:hAnsi="Arial Narrow"/>
          <w:sz w:val="18"/>
          <w:szCs w:val="18"/>
          <w:highlight w:val="yellow"/>
        </w:rPr>
        <w:endnoteReference w:id="25"/>
      </w:r>
      <w:r w:rsidR="00106006" w:rsidRPr="00AC3FB3">
        <w:rPr>
          <w:rFonts w:ascii="Arial Narrow" w:hAnsi="Arial Narrow"/>
          <w:sz w:val="18"/>
          <w:szCs w:val="18"/>
          <w:highlight w:val="yellow"/>
        </w:rPr>
        <w:t>,</w:t>
      </w:r>
      <w:r w:rsidRPr="00AC3FB3">
        <w:rPr>
          <w:rFonts w:ascii="Arial Narrow" w:hAnsi="Arial Narrow"/>
          <w:sz w:val="18"/>
          <w:szCs w:val="18"/>
          <w:highlight w:val="yellow"/>
        </w:rPr>
        <w:t xml:space="preserve"> the “lowest” dose aggregates two strengths of simvastatin (5mg and 10 mg) and two strengths of pravastatin (10 and 20mg)</w:t>
      </w:r>
    </w:p>
    <w:p w:rsidR="009C01A7" w:rsidRPr="00AC3FB3" w:rsidRDefault="003848A8">
      <w:pPr>
        <w:jc w:val="left"/>
        <w:rPr>
          <w:rFonts w:asciiTheme="minorHAnsi" w:hAnsiTheme="minorHAnsi"/>
          <w:b/>
          <w:i/>
          <w:sz w:val="28"/>
          <w:szCs w:val="28"/>
          <w:highlight w:val="yellow"/>
        </w:rPr>
      </w:pPr>
      <w:r>
        <w:rPr>
          <w:rFonts w:asciiTheme="minorHAnsi" w:hAnsiTheme="minorHAnsi"/>
          <w:b/>
          <w:i/>
          <w:sz w:val="28"/>
          <w:szCs w:val="28"/>
          <w:highlight w:val="yellow"/>
        </w:rPr>
        <w:t>1</w:t>
      </w:r>
      <w:r w:rsidR="00C05E80">
        <w:rPr>
          <w:rFonts w:asciiTheme="minorHAnsi" w:hAnsiTheme="minorHAnsi"/>
          <w:b/>
          <w:i/>
          <w:sz w:val="28"/>
          <w:szCs w:val="28"/>
          <w:highlight w:val="yellow"/>
        </w:rPr>
        <w:t>.</w:t>
      </w:r>
      <w:r w:rsidR="003A476E" w:rsidRPr="00AC3FB3">
        <w:rPr>
          <w:rFonts w:asciiTheme="minorHAnsi" w:hAnsiTheme="minorHAnsi"/>
          <w:b/>
          <w:i/>
          <w:sz w:val="28"/>
          <w:szCs w:val="28"/>
          <w:highlight w:val="yellow"/>
        </w:rPr>
        <w:t xml:space="preserve">2.5 </w:t>
      </w:r>
      <w:r w:rsidR="001751C4">
        <w:rPr>
          <w:rFonts w:asciiTheme="minorHAnsi" w:hAnsiTheme="minorHAnsi"/>
          <w:b/>
          <w:i/>
          <w:sz w:val="28"/>
          <w:szCs w:val="28"/>
          <w:highlight w:val="yellow"/>
        </w:rPr>
        <w:t xml:space="preserve">March 2017 </w:t>
      </w:r>
      <w:r w:rsidR="003A476E" w:rsidRPr="00AC3FB3">
        <w:rPr>
          <w:rFonts w:asciiTheme="minorHAnsi" w:hAnsiTheme="minorHAnsi"/>
          <w:b/>
          <w:i/>
          <w:sz w:val="28"/>
          <w:szCs w:val="28"/>
          <w:highlight w:val="yellow"/>
        </w:rPr>
        <w:t>Analysis</w:t>
      </w:r>
      <w:r w:rsidR="001751C4">
        <w:rPr>
          <w:rFonts w:asciiTheme="minorHAnsi" w:hAnsiTheme="minorHAnsi"/>
          <w:b/>
          <w:i/>
          <w:sz w:val="28"/>
          <w:szCs w:val="28"/>
          <w:highlight w:val="yellow"/>
        </w:rPr>
        <w:t xml:space="preserve"> </w:t>
      </w:r>
      <w:r w:rsidR="00C05E80" w:rsidRPr="00AC3FB3">
        <w:rPr>
          <w:rFonts w:asciiTheme="minorHAnsi" w:hAnsiTheme="minorHAnsi"/>
          <w:b/>
          <w:i/>
          <w:sz w:val="28"/>
          <w:szCs w:val="28"/>
          <w:highlight w:val="yellow"/>
        </w:rPr>
        <w:t>-</w:t>
      </w:r>
      <w:r w:rsidR="003A476E" w:rsidRPr="00AC3FB3">
        <w:rPr>
          <w:rFonts w:asciiTheme="minorHAnsi" w:hAnsiTheme="minorHAnsi"/>
          <w:b/>
          <w:i/>
          <w:sz w:val="28"/>
          <w:szCs w:val="28"/>
          <w:highlight w:val="yellow"/>
        </w:rPr>
        <w:t xml:space="preserve"> </w:t>
      </w:r>
      <w:r w:rsidR="009C01A7" w:rsidRPr="00AC3FB3">
        <w:rPr>
          <w:rFonts w:asciiTheme="minorHAnsi" w:hAnsiTheme="minorHAnsi"/>
          <w:b/>
          <w:i/>
          <w:sz w:val="28"/>
          <w:szCs w:val="28"/>
          <w:highlight w:val="yellow"/>
        </w:rPr>
        <w:t xml:space="preserve">Results </w:t>
      </w:r>
    </w:p>
    <w:p w:rsidR="009C01A7" w:rsidRPr="00AC3FB3" w:rsidRDefault="009C01A7" w:rsidP="005A2287">
      <w:pPr>
        <w:spacing w:after="0" w:line="240" w:lineRule="auto"/>
        <w:rPr>
          <w:rFonts w:asciiTheme="minorHAnsi" w:eastAsia="Calibri" w:hAnsiTheme="minorHAnsi" w:cs="Times New Roman"/>
          <w:highlight w:val="yellow"/>
        </w:rPr>
      </w:pPr>
      <w:r w:rsidRPr="00AC3FB3">
        <w:rPr>
          <w:rFonts w:asciiTheme="minorHAnsi" w:hAnsiTheme="minorHAnsi"/>
          <w:highlight w:val="yellow"/>
        </w:rPr>
        <w:t xml:space="preserve">Of the 45,645 patients who were first dispensed ezetimibe between 1 April 2014 and 31 March 2015, 6,938 patients were represented in Cohort 1 (had no history of LLT in the 24 months prior to ezetimibe initiation) and 38,707 patients were represented in Cohort 2 (had a history of LLT in the 24 months prior to ezetimibe initiation). </w:t>
      </w:r>
      <w:r w:rsidRPr="00AC3FB3">
        <w:rPr>
          <w:rFonts w:asciiTheme="minorHAnsi" w:eastAsia="Calibri" w:hAnsiTheme="minorHAnsi" w:cs="Times New Roman"/>
          <w:highlight w:val="yellow"/>
        </w:rPr>
        <w:t xml:space="preserve"> </w:t>
      </w:r>
    </w:p>
    <w:p w:rsidR="009C01A7" w:rsidRPr="00AC3FB3" w:rsidRDefault="009C01A7" w:rsidP="005A2287">
      <w:pPr>
        <w:spacing w:after="0" w:line="240" w:lineRule="auto"/>
        <w:rPr>
          <w:rFonts w:asciiTheme="minorHAnsi" w:eastAsia="Calibri" w:hAnsiTheme="minorHAnsi" w:cs="Times New Roman"/>
          <w:highlight w:val="yellow"/>
        </w:rPr>
      </w:pPr>
    </w:p>
    <w:p w:rsidR="009C01A7" w:rsidRDefault="009C01A7">
      <w:pPr>
        <w:spacing w:line="240" w:lineRule="auto"/>
        <w:rPr>
          <w:rFonts w:asciiTheme="minorHAnsi" w:hAnsiTheme="minorHAnsi"/>
          <w:highlight w:val="yellow"/>
        </w:rPr>
      </w:pPr>
      <w:r w:rsidRPr="00AC3FB3">
        <w:rPr>
          <w:rFonts w:asciiTheme="minorHAnsi" w:hAnsiTheme="minorHAnsi"/>
          <w:highlight w:val="yellow"/>
        </w:rPr>
        <w:t xml:space="preserve">In Cohort 1, 3,148 patients initiated on monotherapy and stayed on monotherapy for the next 12 months. This number includes patients with a single ezetimibe prescription. There is insufficient evidence to establish compliance with the PBS restriction in this subgroup of Cohort 1 patients and are therefore considered part of </w:t>
      </w:r>
      <w:r w:rsidRPr="00AC3FB3">
        <w:rPr>
          <w:rFonts w:asciiTheme="minorHAnsi" w:hAnsiTheme="minorHAnsi"/>
          <w:highlight w:val="yellow"/>
        </w:rPr>
        <w:lastRenderedPageBreak/>
        <w:t xml:space="preserve">the </w:t>
      </w:r>
      <w:r w:rsidRPr="00AC3FB3">
        <w:rPr>
          <w:rFonts w:asciiTheme="minorHAnsi" w:hAnsiTheme="minorHAnsi"/>
          <w:color w:val="F79646" w:themeColor="accent6"/>
          <w:highlight w:val="yellow"/>
        </w:rPr>
        <w:t>orange</w:t>
      </w:r>
      <w:r w:rsidRPr="00AC3FB3">
        <w:rPr>
          <w:rFonts w:asciiTheme="minorHAnsi" w:hAnsiTheme="minorHAnsi"/>
          <w:highlight w:val="yellow"/>
        </w:rPr>
        <w:t xml:space="preserve"> group. A further 3,647 patients initiated ezetimibe and received a statin in the following 12 months (</w:t>
      </w:r>
      <w:r w:rsidRPr="00AC3FB3">
        <w:rPr>
          <w:rFonts w:asciiTheme="minorHAnsi" w:hAnsiTheme="minorHAnsi"/>
          <w:color w:val="FF0000"/>
          <w:highlight w:val="yellow"/>
        </w:rPr>
        <w:t xml:space="preserve">red </w:t>
      </w:r>
      <w:r w:rsidRPr="00AC3FB3">
        <w:rPr>
          <w:rFonts w:asciiTheme="minorHAnsi" w:hAnsiTheme="minorHAnsi"/>
          <w:highlight w:val="yellow"/>
        </w:rPr>
        <w:t xml:space="preserve">group). The remaining 143 patients in Cohort 1 initiated ezetimibe and received only </w:t>
      </w:r>
      <w:r w:rsidR="002D2F13" w:rsidRPr="00AC3FB3">
        <w:rPr>
          <w:rFonts w:asciiTheme="minorHAnsi" w:hAnsiTheme="minorHAnsi"/>
          <w:highlight w:val="yellow"/>
        </w:rPr>
        <w:t>dispensing’s</w:t>
      </w:r>
      <w:r w:rsidRPr="00AC3FB3">
        <w:rPr>
          <w:rFonts w:asciiTheme="minorHAnsi" w:hAnsiTheme="minorHAnsi"/>
          <w:highlight w:val="yellow"/>
        </w:rPr>
        <w:t xml:space="preserve"> for other non-statin LLT in the following 12 months (</w:t>
      </w:r>
      <w:r w:rsidRPr="00AC3FB3">
        <w:rPr>
          <w:rFonts w:asciiTheme="minorHAnsi" w:hAnsiTheme="minorHAnsi"/>
          <w:color w:val="00B050"/>
          <w:highlight w:val="yellow"/>
        </w:rPr>
        <w:t xml:space="preserve">green </w:t>
      </w:r>
      <w:r w:rsidRPr="00AC3FB3">
        <w:rPr>
          <w:rFonts w:asciiTheme="minorHAnsi" w:hAnsiTheme="minorHAnsi"/>
          <w:highlight w:val="yellow"/>
        </w:rPr>
        <w:t xml:space="preserve">group). </w:t>
      </w:r>
    </w:p>
    <w:p w:rsidR="00AC3FB3" w:rsidRPr="00AC3FB3" w:rsidRDefault="00AC3FB3">
      <w:pPr>
        <w:spacing w:line="240" w:lineRule="auto"/>
        <w:rPr>
          <w:rFonts w:asciiTheme="minorHAnsi" w:hAnsiTheme="minorHAnsi"/>
          <w:highlight w:val="yellow"/>
        </w:rPr>
      </w:pPr>
    </w:p>
    <w:p w:rsidR="004576DF" w:rsidRDefault="004576DF">
      <w:pPr>
        <w:widowControl w:val="0"/>
        <w:spacing w:after="0"/>
        <w:rPr>
          <w:rFonts w:asciiTheme="minorHAnsi" w:eastAsiaTheme="minorEastAsia" w:hAnsiTheme="minorHAnsi" w:cs="Arial"/>
          <w:b/>
          <w:snapToGrid w:val="0"/>
          <w:szCs w:val="24"/>
          <w:highlight w:val="yellow"/>
          <w:lang w:eastAsia="zh-CN"/>
        </w:rPr>
      </w:pPr>
      <w:r w:rsidRPr="00EA7D7C">
        <w:rPr>
          <w:rFonts w:asciiTheme="minorHAnsi" w:eastAsiaTheme="minorEastAsia" w:hAnsiTheme="minorHAnsi" w:cs="Arial"/>
          <w:b/>
          <w:snapToGrid w:val="0"/>
          <w:szCs w:val="24"/>
          <w:highlight w:val="yellow"/>
          <w:lang w:eastAsia="zh-CN"/>
        </w:rPr>
        <w:t xml:space="preserve">Table </w:t>
      </w:r>
      <w:r w:rsidR="00EA7D7C" w:rsidRPr="00EA7D7C">
        <w:rPr>
          <w:rFonts w:asciiTheme="minorHAnsi" w:eastAsiaTheme="minorEastAsia" w:hAnsiTheme="minorHAnsi" w:cs="Arial"/>
          <w:b/>
          <w:snapToGrid w:val="0"/>
          <w:szCs w:val="24"/>
          <w:highlight w:val="yellow"/>
          <w:lang w:eastAsia="zh-CN"/>
        </w:rPr>
        <w:t>9</w:t>
      </w:r>
      <w:r w:rsidRPr="002B63EB">
        <w:rPr>
          <w:rFonts w:asciiTheme="minorHAnsi" w:eastAsiaTheme="minorEastAsia" w:hAnsiTheme="minorHAnsi" w:cs="Arial"/>
          <w:b/>
          <w:snapToGrid w:val="0"/>
          <w:szCs w:val="24"/>
          <w:highlight w:val="yellow"/>
          <w:lang w:eastAsia="zh-CN"/>
        </w:rPr>
        <w:t>: Results Cohort 1 (patients initiating ezetimibe with no prior dispensing of any lipid lowering therapy in 24 months prior to ezetimibe initiation; N=6,938)</w:t>
      </w:r>
    </w:p>
    <w:p w:rsidR="002B63EB" w:rsidRPr="002B63EB" w:rsidRDefault="002B63EB" w:rsidP="005A2287">
      <w:pPr>
        <w:widowControl w:val="0"/>
        <w:spacing w:after="0"/>
        <w:rPr>
          <w:rFonts w:asciiTheme="minorHAnsi" w:eastAsiaTheme="minorEastAsia" w:hAnsiTheme="minorHAnsi" w:cs="Arial"/>
          <w:b/>
          <w:snapToGrid w:val="0"/>
          <w:szCs w:val="24"/>
          <w:highlight w:val="yellow"/>
          <w:lang w:eastAsia="zh-CN"/>
        </w:rPr>
      </w:pPr>
    </w:p>
    <w:tbl>
      <w:tblPr>
        <w:tblStyle w:val="TableGrid"/>
        <w:tblW w:w="9209" w:type="dxa"/>
        <w:tblCellMar>
          <w:left w:w="28" w:type="dxa"/>
          <w:right w:w="28" w:type="dxa"/>
        </w:tblCellMar>
        <w:tblLook w:val="04A0" w:firstRow="1" w:lastRow="0" w:firstColumn="1" w:lastColumn="0" w:noHBand="0" w:noVBand="1"/>
      </w:tblPr>
      <w:tblGrid>
        <w:gridCol w:w="1696"/>
        <w:gridCol w:w="2504"/>
        <w:gridCol w:w="2504"/>
        <w:gridCol w:w="2505"/>
      </w:tblGrid>
      <w:tr w:rsidR="004576DF" w:rsidRPr="00C01A97" w:rsidTr="00020350">
        <w:tc>
          <w:tcPr>
            <w:tcW w:w="1696" w:type="dxa"/>
            <w:vMerge w:val="restart"/>
            <w:vAlign w:val="bottom"/>
          </w:tcPr>
          <w:p w:rsidR="004576DF" w:rsidRPr="00C01A97" w:rsidRDefault="004576DF" w:rsidP="005A2287">
            <w:pPr>
              <w:widowControl w:val="0"/>
              <w:spacing w:before="60" w:after="60"/>
              <w:rPr>
                <w:rFonts w:ascii="Arial Narrow" w:hAnsi="Arial Narrow"/>
                <w:b/>
                <w:sz w:val="20"/>
                <w:szCs w:val="20"/>
              </w:rPr>
            </w:pPr>
            <w:r w:rsidRPr="00C01A97">
              <w:rPr>
                <w:rFonts w:ascii="Arial Narrow" w:hAnsi="Arial Narrow" w:cs="Arial"/>
                <w:b/>
                <w:color w:val="000000"/>
                <w:sz w:val="20"/>
                <w:szCs w:val="20"/>
              </w:rPr>
              <w:t>LLT in Prior 24 months</w:t>
            </w:r>
          </w:p>
        </w:tc>
        <w:tc>
          <w:tcPr>
            <w:tcW w:w="7513" w:type="dxa"/>
            <w:gridSpan w:val="3"/>
            <w:vAlign w:val="center"/>
          </w:tcPr>
          <w:p w:rsidR="004576DF" w:rsidRPr="00C01A97" w:rsidRDefault="004576DF" w:rsidP="005A2287">
            <w:pPr>
              <w:spacing w:before="60" w:after="60"/>
              <w:rPr>
                <w:rFonts w:ascii="Arial Narrow" w:hAnsi="Arial Narrow"/>
                <w:b/>
                <w:color w:val="000000"/>
                <w:sz w:val="20"/>
                <w:szCs w:val="20"/>
              </w:rPr>
            </w:pPr>
            <w:r w:rsidRPr="00C01A97">
              <w:rPr>
                <w:rFonts w:ascii="Arial Narrow" w:hAnsi="Arial Narrow" w:cs="Arial"/>
                <w:b/>
                <w:color w:val="000000"/>
                <w:sz w:val="20"/>
                <w:szCs w:val="20"/>
              </w:rPr>
              <w:t>Post-ezetimibe LLT (followed for 12 months)</w:t>
            </w:r>
          </w:p>
        </w:tc>
      </w:tr>
      <w:tr w:rsidR="004576DF" w:rsidRPr="00C01A97" w:rsidTr="00020350">
        <w:tc>
          <w:tcPr>
            <w:tcW w:w="1696" w:type="dxa"/>
            <w:vMerge/>
            <w:vAlign w:val="center"/>
          </w:tcPr>
          <w:p w:rsidR="004576DF" w:rsidRPr="00C01A97" w:rsidRDefault="004576DF" w:rsidP="005A2287">
            <w:pPr>
              <w:widowControl w:val="0"/>
              <w:spacing w:before="60" w:after="60"/>
              <w:rPr>
                <w:rFonts w:ascii="Arial Narrow" w:hAnsi="Arial Narrow"/>
                <w:b/>
                <w:sz w:val="20"/>
                <w:szCs w:val="20"/>
              </w:rPr>
            </w:pPr>
          </w:p>
        </w:tc>
        <w:tc>
          <w:tcPr>
            <w:tcW w:w="2504" w:type="dxa"/>
            <w:vAlign w:val="center"/>
          </w:tcPr>
          <w:p w:rsidR="004576DF" w:rsidRPr="00C01A97" w:rsidRDefault="004576DF" w:rsidP="005A2287">
            <w:pPr>
              <w:spacing w:before="60" w:after="60"/>
              <w:rPr>
                <w:rFonts w:ascii="Arial Narrow" w:hAnsi="Arial Narrow"/>
                <w:b/>
                <w:i/>
                <w:color w:val="000000"/>
                <w:sz w:val="20"/>
                <w:szCs w:val="20"/>
                <w:u w:val="single"/>
              </w:rPr>
            </w:pPr>
            <w:r w:rsidRPr="00C01A97">
              <w:rPr>
                <w:rFonts w:ascii="Arial Narrow" w:hAnsi="Arial Narrow"/>
                <w:color w:val="000000"/>
                <w:sz w:val="20"/>
                <w:szCs w:val="20"/>
              </w:rPr>
              <w:t>stay on ezetimibe monotherapy</w:t>
            </w:r>
          </w:p>
        </w:tc>
        <w:tc>
          <w:tcPr>
            <w:tcW w:w="2504" w:type="dxa"/>
            <w:vAlign w:val="center"/>
          </w:tcPr>
          <w:p w:rsidR="004576DF" w:rsidRPr="00C01A97" w:rsidRDefault="004576DF" w:rsidP="005A2287">
            <w:pPr>
              <w:spacing w:before="60" w:after="60"/>
              <w:rPr>
                <w:rFonts w:ascii="Arial Narrow" w:hAnsi="Arial Narrow"/>
                <w:b/>
                <w:i/>
                <w:color w:val="000000"/>
                <w:sz w:val="20"/>
                <w:szCs w:val="20"/>
                <w:u w:val="single"/>
              </w:rPr>
            </w:pPr>
            <w:r w:rsidRPr="00C01A97">
              <w:rPr>
                <w:rFonts w:ascii="Arial Narrow" w:hAnsi="Arial Narrow"/>
                <w:color w:val="000000"/>
                <w:sz w:val="20"/>
                <w:szCs w:val="20"/>
              </w:rPr>
              <w:t>start/add/switch to a statin</w:t>
            </w:r>
          </w:p>
        </w:tc>
        <w:tc>
          <w:tcPr>
            <w:tcW w:w="2505" w:type="dxa"/>
            <w:vAlign w:val="center"/>
          </w:tcPr>
          <w:p w:rsidR="004576DF" w:rsidRPr="00C01A97" w:rsidRDefault="004576DF" w:rsidP="005A2287">
            <w:pPr>
              <w:spacing w:before="60" w:after="60"/>
              <w:rPr>
                <w:rFonts w:ascii="Arial Narrow" w:hAnsi="Arial Narrow"/>
                <w:color w:val="000000"/>
                <w:sz w:val="20"/>
                <w:szCs w:val="20"/>
              </w:rPr>
            </w:pPr>
            <w:r w:rsidRPr="00C01A97">
              <w:rPr>
                <w:rFonts w:ascii="Arial Narrow" w:hAnsi="Arial Narrow" w:cs="Arial"/>
                <w:color w:val="000000"/>
                <w:sz w:val="20"/>
                <w:szCs w:val="20"/>
              </w:rPr>
              <w:t>switch or add other LLT*</w:t>
            </w:r>
          </w:p>
        </w:tc>
      </w:tr>
      <w:tr w:rsidR="004576DF" w:rsidRPr="00C01A97" w:rsidTr="004576DF">
        <w:trPr>
          <w:trHeight w:val="129"/>
        </w:trPr>
        <w:tc>
          <w:tcPr>
            <w:tcW w:w="1696" w:type="dxa"/>
            <w:vAlign w:val="center"/>
          </w:tcPr>
          <w:p w:rsidR="004576DF" w:rsidRPr="00C01A97" w:rsidRDefault="004576DF" w:rsidP="005A2287">
            <w:pPr>
              <w:widowControl w:val="0"/>
              <w:spacing w:before="60" w:after="60"/>
              <w:rPr>
                <w:rFonts w:ascii="Arial Narrow" w:hAnsi="Arial Narrow" w:cs="Arial"/>
                <w:snapToGrid w:val="0"/>
                <w:sz w:val="20"/>
                <w:szCs w:val="20"/>
              </w:rPr>
            </w:pPr>
            <w:r w:rsidRPr="00C01A97">
              <w:rPr>
                <w:rFonts w:ascii="Arial Narrow" w:hAnsi="Arial Narrow" w:cs="Arial"/>
                <w:snapToGrid w:val="0"/>
                <w:sz w:val="20"/>
                <w:szCs w:val="20"/>
              </w:rPr>
              <w:t>No LLT</w:t>
            </w:r>
          </w:p>
        </w:tc>
        <w:tc>
          <w:tcPr>
            <w:tcW w:w="2504" w:type="dxa"/>
            <w:shd w:val="clear" w:color="auto" w:fill="F79646" w:themeFill="accent6"/>
            <w:vAlign w:val="center"/>
          </w:tcPr>
          <w:p w:rsidR="004576DF" w:rsidRPr="00C01A97" w:rsidRDefault="004576DF" w:rsidP="005A2287">
            <w:pPr>
              <w:widowControl w:val="0"/>
              <w:spacing w:before="60" w:after="60"/>
              <w:rPr>
                <w:rFonts w:ascii="Arial Narrow" w:hAnsi="Arial Narrow" w:cs="Arial"/>
                <w:b/>
                <w:i/>
                <w:snapToGrid w:val="0"/>
                <w:color w:val="000000"/>
                <w:sz w:val="20"/>
                <w:szCs w:val="20"/>
                <w:u w:val="single"/>
              </w:rPr>
            </w:pPr>
            <w:r w:rsidRPr="00C01A97">
              <w:rPr>
                <w:rFonts w:ascii="Arial Narrow" w:hAnsi="Arial Narrow"/>
                <w:color w:val="FFFFFF" w:themeColor="background1"/>
                <w:sz w:val="20"/>
                <w:szCs w:val="20"/>
              </w:rPr>
              <w:t>N=3,148 (45.4%)</w:t>
            </w:r>
          </w:p>
        </w:tc>
        <w:tc>
          <w:tcPr>
            <w:tcW w:w="2504" w:type="dxa"/>
            <w:shd w:val="clear" w:color="auto" w:fill="FF0000"/>
            <w:vAlign w:val="center"/>
          </w:tcPr>
          <w:p w:rsidR="004576DF" w:rsidRPr="00C01A97" w:rsidRDefault="004576DF" w:rsidP="005A2287">
            <w:pPr>
              <w:spacing w:before="60" w:after="60"/>
              <w:rPr>
                <w:rFonts w:ascii="Arial Narrow" w:hAnsi="Arial Narrow"/>
                <w:b/>
                <w:i/>
                <w:color w:val="000000"/>
                <w:sz w:val="20"/>
                <w:szCs w:val="20"/>
                <w:u w:val="single"/>
              </w:rPr>
            </w:pPr>
            <w:r w:rsidRPr="00C01A97">
              <w:rPr>
                <w:rFonts w:ascii="Arial Narrow" w:hAnsi="Arial Narrow"/>
                <w:color w:val="FFFFFF" w:themeColor="background1"/>
                <w:sz w:val="20"/>
                <w:szCs w:val="20"/>
              </w:rPr>
              <w:t>N=3,647 (52.6%)</w:t>
            </w:r>
          </w:p>
        </w:tc>
        <w:tc>
          <w:tcPr>
            <w:tcW w:w="2505" w:type="dxa"/>
            <w:shd w:val="clear" w:color="auto" w:fill="00B050"/>
            <w:vAlign w:val="center"/>
          </w:tcPr>
          <w:p w:rsidR="004576DF" w:rsidRPr="00C01A97" w:rsidRDefault="004576DF" w:rsidP="005A2287">
            <w:pPr>
              <w:spacing w:before="60" w:after="60"/>
              <w:rPr>
                <w:rFonts w:ascii="Arial Narrow" w:hAnsi="Arial Narrow"/>
                <w:b/>
                <w:i/>
                <w:color w:val="000000"/>
                <w:sz w:val="20"/>
                <w:szCs w:val="20"/>
                <w:u w:val="single"/>
              </w:rPr>
            </w:pPr>
            <w:r w:rsidRPr="00C01A97">
              <w:rPr>
                <w:rFonts w:ascii="Arial Narrow" w:hAnsi="Arial Narrow"/>
                <w:color w:val="FFFFFF" w:themeColor="background1"/>
                <w:sz w:val="20"/>
                <w:szCs w:val="20"/>
              </w:rPr>
              <w:t>N=143 (2.0%)</w:t>
            </w:r>
          </w:p>
        </w:tc>
      </w:tr>
    </w:tbl>
    <w:p w:rsidR="004576DF" w:rsidRPr="00AC3FB3" w:rsidRDefault="004576DF" w:rsidP="005A2287">
      <w:pPr>
        <w:spacing w:after="0" w:line="240" w:lineRule="auto"/>
        <w:rPr>
          <w:rFonts w:ascii="Arial Narrow" w:hAnsi="Arial Narrow"/>
          <w:sz w:val="20"/>
          <w:szCs w:val="20"/>
          <w:highlight w:val="yellow"/>
          <w:lang w:val="en-US"/>
        </w:rPr>
      </w:pPr>
      <w:r w:rsidRPr="00AC3FB3">
        <w:rPr>
          <w:rFonts w:ascii="Arial Narrow" w:hAnsi="Arial Narrow"/>
          <w:sz w:val="20"/>
          <w:szCs w:val="20"/>
          <w:highlight w:val="yellow"/>
          <w:lang w:val="en-US"/>
        </w:rPr>
        <w:t>LLT = lipid lowering therapy</w:t>
      </w:r>
      <w:r w:rsidR="00BC068B" w:rsidRPr="00AC3FB3">
        <w:rPr>
          <w:rFonts w:ascii="Arial Narrow" w:hAnsi="Arial Narrow"/>
          <w:sz w:val="20"/>
          <w:szCs w:val="20"/>
          <w:highlight w:val="yellow"/>
          <w:lang w:val="en-US"/>
        </w:rPr>
        <w:t xml:space="preserve">, </w:t>
      </w:r>
      <w:r w:rsidRPr="00AC3FB3">
        <w:rPr>
          <w:rFonts w:ascii="Arial Narrow" w:hAnsi="Arial Narrow"/>
          <w:sz w:val="20"/>
          <w:szCs w:val="20"/>
          <w:highlight w:val="yellow"/>
          <w:lang w:val="en-US"/>
        </w:rPr>
        <w:t>*non-statin</w:t>
      </w:r>
    </w:p>
    <w:p w:rsidR="00BC068B" w:rsidRPr="00AC3FB3" w:rsidRDefault="00BC068B" w:rsidP="005A2287">
      <w:pPr>
        <w:rPr>
          <w:rFonts w:asciiTheme="minorHAnsi" w:hAnsiTheme="minorHAnsi"/>
          <w:highlight w:val="yellow"/>
        </w:rPr>
      </w:pPr>
    </w:p>
    <w:p w:rsidR="009C01A7" w:rsidRPr="00AC3FB3" w:rsidRDefault="009C01A7">
      <w:pPr>
        <w:spacing w:line="240" w:lineRule="auto"/>
        <w:rPr>
          <w:rFonts w:asciiTheme="minorHAnsi" w:hAnsiTheme="minorHAnsi"/>
          <w:highlight w:val="yellow"/>
        </w:rPr>
      </w:pPr>
      <w:r w:rsidRPr="00AC3FB3">
        <w:rPr>
          <w:rFonts w:asciiTheme="minorHAnsi" w:hAnsiTheme="minorHAnsi"/>
          <w:highlight w:val="yellow"/>
        </w:rPr>
        <w:t xml:space="preserve">In Cohort 2 a total of 4,713 patients were found to be have patterns of statin dispensing that suggested further up-titration occurred following initiation to ezetimibe and were grouped </w:t>
      </w:r>
      <w:r w:rsidRPr="00AC3FB3">
        <w:rPr>
          <w:rFonts w:asciiTheme="minorHAnsi" w:hAnsiTheme="minorHAnsi"/>
          <w:color w:val="FF0000"/>
          <w:highlight w:val="yellow"/>
        </w:rPr>
        <w:t>red</w:t>
      </w:r>
      <w:r w:rsidR="00847F3C">
        <w:rPr>
          <w:rFonts w:asciiTheme="minorHAnsi" w:hAnsiTheme="minorHAnsi"/>
          <w:highlight w:val="yellow"/>
        </w:rPr>
        <w:t>. A furthe</w:t>
      </w:r>
      <w:r w:rsidR="002B63EB">
        <w:rPr>
          <w:rFonts w:asciiTheme="minorHAnsi" w:hAnsiTheme="minorHAnsi"/>
          <w:highlight w:val="yellow"/>
        </w:rPr>
        <w:t>r</w:t>
      </w:r>
      <w:r w:rsidRPr="00AC3FB3">
        <w:rPr>
          <w:rFonts w:asciiTheme="minorHAnsi" w:hAnsiTheme="minorHAnsi"/>
          <w:highlight w:val="yellow"/>
        </w:rPr>
        <w:t xml:space="preserve"> 21,243 patient’s LLT dispensing patterns suggest that they were be initiated to ezetimibe in accordance with the PBS restriction and were grouped as </w:t>
      </w:r>
      <w:r w:rsidRPr="00AC3FB3">
        <w:rPr>
          <w:rFonts w:asciiTheme="minorHAnsi" w:hAnsiTheme="minorHAnsi"/>
          <w:color w:val="00B050"/>
          <w:highlight w:val="yellow"/>
        </w:rPr>
        <w:t>green</w:t>
      </w:r>
      <w:r w:rsidR="00847F3C">
        <w:rPr>
          <w:rFonts w:asciiTheme="minorHAnsi" w:hAnsiTheme="minorHAnsi"/>
          <w:highlight w:val="yellow"/>
        </w:rPr>
        <w:t>.</w:t>
      </w:r>
      <w:r w:rsidRPr="00AC3FB3">
        <w:rPr>
          <w:rFonts w:asciiTheme="minorHAnsi" w:hAnsiTheme="minorHAnsi"/>
          <w:highlight w:val="yellow"/>
        </w:rPr>
        <w:t xml:space="preserve"> It was unclear from the dispensing patterns of the remaining 12,751 patients, whether or not they were treated in accordance with the PBS restrictions and were grouped </w:t>
      </w:r>
      <w:r w:rsidRPr="00AC3FB3">
        <w:rPr>
          <w:rFonts w:asciiTheme="minorHAnsi" w:hAnsiTheme="minorHAnsi"/>
          <w:color w:val="C0504D" w:themeColor="accent2"/>
          <w:highlight w:val="yellow"/>
        </w:rPr>
        <w:t>orange</w:t>
      </w:r>
      <w:r w:rsidRPr="00AC3FB3">
        <w:rPr>
          <w:rFonts w:asciiTheme="minorHAnsi" w:hAnsiTheme="minorHAnsi"/>
          <w:highlight w:val="yellow"/>
        </w:rPr>
        <w:t xml:space="preserve">. </w:t>
      </w:r>
    </w:p>
    <w:p w:rsidR="002D2F13" w:rsidRPr="00AC3FB3" w:rsidRDefault="002D2F13">
      <w:pPr>
        <w:widowControl w:val="0"/>
        <w:spacing w:after="0" w:line="259" w:lineRule="auto"/>
        <w:rPr>
          <w:rFonts w:asciiTheme="minorHAnsi" w:eastAsiaTheme="minorEastAsia" w:hAnsiTheme="minorHAnsi" w:cs="Arial"/>
          <w:szCs w:val="24"/>
          <w:highlight w:val="yellow"/>
          <w:lang w:eastAsia="zh-CN"/>
        </w:rPr>
      </w:pPr>
      <w:r w:rsidRPr="00EA7D7C">
        <w:rPr>
          <w:rFonts w:asciiTheme="minorHAnsi" w:eastAsiaTheme="minorEastAsia" w:hAnsiTheme="minorHAnsi" w:cs="Arial"/>
          <w:b/>
          <w:snapToGrid w:val="0"/>
          <w:szCs w:val="24"/>
          <w:highlight w:val="yellow"/>
          <w:lang w:eastAsia="zh-CN"/>
        </w:rPr>
        <w:t xml:space="preserve">Table </w:t>
      </w:r>
      <w:r w:rsidR="00EA7D7C" w:rsidRPr="00EA7D7C">
        <w:rPr>
          <w:rFonts w:asciiTheme="minorHAnsi" w:eastAsiaTheme="minorEastAsia" w:hAnsiTheme="minorHAnsi" w:cs="Arial"/>
          <w:b/>
          <w:snapToGrid w:val="0"/>
          <w:szCs w:val="24"/>
          <w:highlight w:val="yellow"/>
          <w:lang w:eastAsia="zh-CN"/>
        </w:rPr>
        <w:t>10</w:t>
      </w:r>
      <w:r w:rsidRPr="00EA7D7C">
        <w:rPr>
          <w:rFonts w:asciiTheme="minorHAnsi" w:eastAsiaTheme="minorEastAsia" w:hAnsiTheme="minorHAnsi" w:cs="Arial"/>
          <w:b/>
          <w:snapToGrid w:val="0"/>
          <w:szCs w:val="24"/>
          <w:highlight w:val="yellow"/>
          <w:lang w:eastAsia="zh-CN"/>
        </w:rPr>
        <w:t xml:space="preserve">: </w:t>
      </w:r>
      <w:r w:rsidR="00BC068B" w:rsidRPr="00AC3FB3">
        <w:rPr>
          <w:rFonts w:asciiTheme="minorHAnsi" w:eastAsiaTheme="minorEastAsia" w:hAnsiTheme="minorHAnsi" w:cs="Arial"/>
          <w:b/>
          <w:snapToGrid w:val="0"/>
          <w:szCs w:val="24"/>
          <w:highlight w:val="yellow"/>
          <w:lang w:eastAsia="zh-CN"/>
        </w:rPr>
        <w:t xml:space="preserve">Cohort 2 according to use of LLT pre and post </w:t>
      </w:r>
      <w:r w:rsidRPr="00AC3FB3">
        <w:rPr>
          <w:rFonts w:asciiTheme="minorHAnsi" w:eastAsiaTheme="minorEastAsia" w:hAnsiTheme="minorHAnsi" w:cs="Arial"/>
          <w:b/>
          <w:snapToGrid w:val="0"/>
          <w:szCs w:val="24"/>
          <w:highlight w:val="yellow"/>
          <w:lang w:eastAsia="zh-CN"/>
        </w:rPr>
        <w:t xml:space="preserve">ezetimibe initiation N=38,707 </w:t>
      </w:r>
    </w:p>
    <w:tbl>
      <w:tblPr>
        <w:tblStyle w:val="TableGrid17"/>
        <w:tblW w:w="9214" w:type="dxa"/>
        <w:tblInd w:w="28" w:type="dxa"/>
        <w:tblCellMar>
          <w:left w:w="28" w:type="dxa"/>
          <w:right w:w="28" w:type="dxa"/>
        </w:tblCellMar>
        <w:tblLook w:val="04A0" w:firstRow="1" w:lastRow="0" w:firstColumn="1" w:lastColumn="0" w:noHBand="0" w:noVBand="1"/>
      </w:tblPr>
      <w:tblGrid>
        <w:gridCol w:w="1701"/>
        <w:gridCol w:w="851"/>
        <w:gridCol w:w="1332"/>
        <w:gridCol w:w="1332"/>
        <w:gridCol w:w="1333"/>
        <w:gridCol w:w="1332"/>
        <w:gridCol w:w="1333"/>
      </w:tblGrid>
      <w:tr w:rsidR="002D2F13" w:rsidRPr="00C01A97" w:rsidTr="00847F3C">
        <w:tc>
          <w:tcPr>
            <w:tcW w:w="1701" w:type="dxa"/>
            <w:vMerge w:val="restart"/>
            <w:tcBorders>
              <w:right w:val="single" w:sz="4" w:space="0" w:color="auto"/>
            </w:tcBorders>
          </w:tcPr>
          <w:p w:rsidR="002D2F13" w:rsidRPr="00C01A97" w:rsidRDefault="002D2F13" w:rsidP="005A2287">
            <w:pPr>
              <w:widowControl w:val="0"/>
              <w:spacing w:before="60" w:after="60" w:line="259" w:lineRule="auto"/>
              <w:rPr>
                <w:rFonts w:ascii="Arial Narrow" w:eastAsiaTheme="minorEastAsia" w:hAnsi="Arial Narrow" w:cs="Arial"/>
                <w:b/>
                <w:snapToGrid w:val="0"/>
                <w:sz w:val="20"/>
                <w:szCs w:val="20"/>
                <w:lang w:eastAsia="zh-CN"/>
              </w:rPr>
            </w:pPr>
            <w:r w:rsidRPr="00C01A97">
              <w:rPr>
                <w:rFonts w:ascii="Arial Narrow" w:eastAsiaTheme="minorEastAsia" w:hAnsi="Arial Narrow" w:cs="Arial"/>
                <w:b/>
                <w:bCs/>
                <w:color w:val="000000"/>
                <w:sz w:val="20"/>
                <w:szCs w:val="20"/>
                <w:lang w:eastAsia="zh-CN"/>
              </w:rPr>
              <w:t>Pre Ezetimibe LLT</w:t>
            </w:r>
          </w:p>
        </w:tc>
        <w:tc>
          <w:tcPr>
            <w:tcW w:w="851" w:type="dxa"/>
            <w:vMerge w:val="restart"/>
            <w:tcBorders>
              <w:left w:val="single" w:sz="4" w:space="0" w:color="auto"/>
            </w:tcBorders>
          </w:tcPr>
          <w:p w:rsidR="002D2F13" w:rsidRPr="00C01A97" w:rsidRDefault="002D2F13" w:rsidP="005A2287">
            <w:pPr>
              <w:widowControl w:val="0"/>
              <w:spacing w:before="60" w:after="60" w:line="259" w:lineRule="auto"/>
              <w:rPr>
                <w:rFonts w:ascii="Arial Narrow" w:eastAsiaTheme="minorEastAsia" w:hAnsi="Arial Narrow" w:cs="Arial"/>
                <w:b/>
                <w:snapToGrid w:val="0"/>
                <w:sz w:val="20"/>
                <w:szCs w:val="20"/>
                <w:lang w:eastAsia="zh-CN"/>
              </w:rPr>
            </w:pPr>
            <w:r w:rsidRPr="00C01A97">
              <w:rPr>
                <w:rFonts w:ascii="Arial Narrow" w:eastAsiaTheme="minorEastAsia" w:hAnsi="Arial Narrow" w:cs="Arial"/>
                <w:b/>
                <w:snapToGrid w:val="0"/>
                <w:sz w:val="20"/>
                <w:szCs w:val="20"/>
                <w:lang w:eastAsia="zh-CN"/>
              </w:rPr>
              <w:t>N</w:t>
            </w:r>
          </w:p>
        </w:tc>
        <w:tc>
          <w:tcPr>
            <w:tcW w:w="6662" w:type="dxa"/>
            <w:gridSpan w:val="5"/>
            <w:vAlign w:val="center"/>
          </w:tcPr>
          <w:p w:rsidR="002D2F13" w:rsidRPr="00C01A97" w:rsidRDefault="002D2F13" w:rsidP="005A2287">
            <w:pPr>
              <w:widowControl w:val="0"/>
              <w:spacing w:before="60" w:after="60" w:line="259" w:lineRule="auto"/>
              <w:rPr>
                <w:rFonts w:ascii="Arial Narrow" w:eastAsiaTheme="minorEastAsia" w:hAnsi="Arial Narrow" w:cs="Arial"/>
                <w:b/>
                <w:snapToGrid w:val="0"/>
                <w:sz w:val="20"/>
                <w:szCs w:val="20"/>
                <w:lang w:eastAsia="zh-CN"/>
              </w:rPr>
            </w:pPr>
            <w:r w:rsidRPr="00C01A97">
              <w:rPr>
                <w:rFonts w:ascii="Arial Narrow" w:eastAsiaTheme="minorEastAsia" w:hAnsi="Arial Narrow" w:cs="Arial"/>
                <w:b/>
                <w:color w:val="000000"/>
                <w:sz w:val="20"/>
                <w:lang w:eastAsia="zh-CN"/>
              </w:rPr>
              <w:t>Post-ezetimibe LLT (followed for 12 months)</w:t>
            </w:r>
          </w:p>
        </w:tc>
      </w:tr>
      <w:tr w:rsidR="00BC068B" w:rsidRPr="00C01A97" w:rsidTr="00847F3C">
        <w:tc>
          <w:tcPr>
            <w:tcW w:w="1701" w:type="dxa"/>
            <w:vMerge/>
            <w:tcBorders>
              <w:right w:val="single" w:sz="4" w:space="0" w:color="auto"/>
            </w:tcBorders>
          </w:tcPr>
          <w:p w:rsidR="002D2F13" w:rsidRPr="00C01A97" w:rsidRDefault="002D2F13" w:rsidP="005A2287">
            <w:pPr>
              <w:widowControl w:val="0"/>
              <w:spacing w:before="60" w:after="60" w:line="259" w:lineRule="auto"/>
              <w:rPr>
                <w:rFonts w:ascii="Arial Narrow" w:eastAsiaTheme="minorEastAsia" w:hAnsi="Arial Narrow" w:cs="Arial"/>
                <w:snapToGrid w:val="0"/>
                <w:sz w:val="20"/>
                <w:szCs w:val="20"/>
                <w:lang w:eastAsia="zh-CN"/>
              </w:rPr>
            </w:pPr>
          </w:p>
        </w:tc>
        <w:tc>
          <w:tcPr>
            <w:tcW w:w="851" w:type="dxa"/>
            <w:vMerge/>
            <w:tcBorders>
              <w:left w:val="single" w:sz="4" w:space="0" w:color="auto"/>
            </w:tcBorders>
          </w:tcPr>
          <w:p w:rsidR="002D2F13" w:rsidRPr="00C01A97" w:rsidRDefault="002D2F13" w:rsidP="005A2287">
            <w:pPr>
              <w:widowControl w:val="0"/>
              <w:spacing w:before="60" w:after="60" w:line="259" w:lineRule="auto"/>
              <w:rPr>
                <w:rFonts w:ascii="Arial Narrow" w:eastAsiaTheme="minorEastAsia" w:hAnsi="Arial Narrow" w:cs="Arial"/>
                <w:snapToGrid w:val="0"/>
                <w:sz w:val="20"/>
                <w:szCs w:val="20"/>
                <w:lang w:eastAsia="zh-CN"/>
              </w:rPr>
            </w:pPr>
          </w:p>
        </w:tc>
        <w:tc>
          <w:tcPr>
            <w:tcW w:w="1332" w:type="dxa"/>
            <w:vAlign w:val="center"/>
          </w:tcPr>
          <w:p w:rsidR="002D2F13" w:rsidRPr="00C01A97" w:rsidRDefault="002D2F13" w:rsidP="005A2287">
            <w:pPr>
              <w:spacing w:before="60" w:after="60" w:line="259" w:lineRule="auto"/>
              <w:rPr>
                <w:rFonts w:ascii="Arial Narrow" w:eastAsiaTheme="minorEastAsia" w:hAnsi="Arial Narrow"/>
                <w:b/>
                <w:i/>
                <w:color w:val="000000"/>
                <w:sz w:val="20"/>
                <w:szCs w:val="20"/>
                <w:u w:val="single"/>
                <w:vertAlign w:val="superscript"/>
                <w:lang w:eastAsia="zh-CN"/>
              </w:rPr>
            </w:pPr>
            <w:r w:rsidRPr="00C01A97">
              <w:rPr>
                <w:rFonts w:ascii="Arial Narrow" w:eastAsiaTheme="minorEastAsia" w:hAnsi="Arial Narrow"/>
                <w:color w:val="000000"/>
                <w:sz w:val="20"/>
                <w:szCs w:val="20"/>
                <w:lang w:eastAsia="zh-CN"/>
              </w:rPr>
              <w:t>stay on ezetimibe monotherapy</w:t>
            </w:r>
            <w:r w:rsidRPr="00C01A97">
              <w:rPr>
                <w:rFonts w:ascii="Arial Narrow" w:eastAsiaTheme="minorEastAsia" w:hAnsi="Arial Narrow"/>
                <w:color w:val="000000"/>
                <w:sz w:val="20"/>
                <w:szCs w:val="20"/>
                <w:vertAlign w:val="superscript"/>
                <w:lang w:eastAsia="zh-CN"/>
              </w:rPr>
              <w:t>a</w:t>
            </w:r>
          </w:p>
        </w:tc>
        <w:tc>
          <w:tcPr>
            <w:tcW w:w="1332" w:type="dxa"/>
            <w:vAlign w:val="center"/>
          </w:tcPr>
          <w:p w:rsidR="002D2F13" w:rsidRPr="00C01A97" w:rsidRDefault="002D2F13" w:rsidP="005A2287">
            <w:pPr>
              <w:spacing w:before="60" w:after="60" w:line="259" w:lineRule="auto"/>
              <w:rPr>
                <w:rFonts w:ascii="Arial Narrow" w:eastAsiaTheme="minorEastAsia" w:hAnsi="Arial Narrow"/>
                <w:b/>
                <w:i/>
                <w:color w:val="000000"/>
                <w:sz w:val="20"/>
                <w:szCs w:val="20"/>
                <w:u w:val="single"/>
                <w:vertAlign w:val="superscript"/>
                <w:lang w:eastAsia="zh-CN"/>
              </w:rPr>
            </w:pPr>
            <w:r w:rsidRPr="00C01A97">
              <w:rPr>
                <w:rFonts w:ascii="Arial Narrow" w:eastAsiaTheme="minorEastAsia" w:hAnsi="Arial Narrow"/>
                <w:color w:val="000000"/>
                <w:sz w:val="20"/>
                <w:szCs w:val="20"/>
                <w:lang w:eastAsia="zh-CN"/>
              </w:rPr>
              <w:t>start/add/switch statin to higher dose*</w:t>
            </w:r>
            <w:r w:rsidRPr="00C01A97">
              <w:rPr>
                <w:rFonts w:ascii="Arial Narrow" w:eastAsiaTheme="minorEastAsia" w:hAnsi="Arial Narrow"/>
                <w:color w:val="000000"/>
                <w:sz w:val="20"/>
                <w:szCs w:val="20"/>
                <w:vertAlign w:val="superscript"/>
                <w:lang w:eastAsia="zh-CN"/>
              </w:rPr>
              <w:t>,b</w:t>
            </w:r>
          </w:p>
        </w:tc>
        <w:tc>
          <w:tcPr>
            <w:tcW w:w="1333" w:type="dxa"/>
            <w:vAlign w:val="center"/>
          </w:tcPr>
          <w:p w:rsidR="002D2F13" w:rsidRPr="00C01A97" w:rsidRDefault="002D2F13" w:rsidP="005A2287">
            <w:pPr>
              <w:spacing w:before="60" w:after="60" w:line="259" w:lineRule="auto"/>
              <w:rPr>
                <w:rFonts w:ascii="Arial Narrow" w:eastAsiaTheme="minorEastAsia" w:hAnsi="Arial Narrow"/>
                <w:color w:val="000000"/>
                <w:sz w:val="20"/>
                <w:szCs w:val="20"/>
                <w:vertAlign w:val="superscript"/>
                <w:lang w:eastAsia="zh-CN"/>
              </w:rPr>
            </w:pPr>
            <w:r w:rsidRPr="00C01A97">
              <w:rPr>
                <w:rFonts w:ascii="Arial Narrow" w:eastAsiaTheme="minorEastAsia" w:hAnsi="Arial Narrow"/>
                <w:color w:val="000000"/>
                <w:sz w:val="20"/>
                <w:szCs w:val="20"/>
                <w:lang w:eastAsia="zh-CN"/>
              </w:rPr>
              <w:t>start/add/switch statin to same dose**</w:t>
            </w:r>
            <w:r w:rsidRPr="00C01A97">
              <w:rPr>
                <w:rFonts w:ascii="Arial Narrow" w:eastAsiaTheme="minorEastAsia" w:hAnsi="Arial Narrow"/>
                <w:color w:val="000000"/>
                <w:sz w:val="20"/>
                <w:szCs w:val="20"/>
                <w:vertAlign w:val="superscript"/>
                <w:lang w:eastAsia="zh-CN"/>
              </w:rPr>
              <w:t>,b</w:t>
            </w:r>
          </w:p>
        </w:tc>
        <w:tc>
          <w:tcPr>
            <w:tcW w:w="1332" w:type="dxa"/>
            <w:vAlign w:val="center"/>
          </w:tcPr>
          <w:p w:rsidR="002D2F13" w:rsidRPr="00C01A97" w:rsidRDefault="002D2F13" w:rsidP="005A2287">
            <w:pPr>
              <w:spacing w:before="60" w:after="60" w:line="259" w:lineRule="auto"/>
              <w:rPr>
                <w:rFonts w:ascii="Arial Narrow" w:eastAsiaTheme="minorEastAsia" w:hAnsi="Arial Narrow"/>
                <w:color w:val="000000"/>
                <w:sz w:val="20"/>
                <w:szCs w:val="20"/>
                <w:vertAlign w:val="superscript"/>
                <w:lang w:eastAsia="zh-CN"/>
              </w:rPr>
            </w:pPr>
            <w:r w:rsidRPr="00C01A97">
              <w:rPr>
                <w:rFonts w:ascii="Arial Narrow" w:eastAsiaTheme="minorEastAsia" w:hAnsi="Arial Narrow"/>
                <w:color w:val="000000"/>
                <w:sz w:val="20"/>
                <w:szCs w:val="20"/>
                <w:lang w:eastAsia="zh-CN"/>
              </w:rPr>
              <w:t>start/add/switch statin to lower dose***</w:t>
            </w:r>
            <w:r w:rsidRPr="00C01A97">
              <w:rPr>
                <w:rFonts w:ascii="Arial Narrow" w:eastAsiaTheme="minorEastAsia" w:hAnsi="Arial Narrow"/>
                <w:color w:val="000000"/>
                <w:sz w:val="20"/>
                <w:szCs w:val="20"/>
                <w:vertAlign w:val="superscript"/>
                <w:lang w:eastAsia="zh-CN"/>
              </w:rPr>
              <w:t>,b</w:t>
            </w:r>
          </w:p>
        </w:tc>
        <w:tc>
          <w:tcPr>
            <w:tcW w:w="1333" w:type="dxa"/>
            <w:vAlign w:val="center"/>
          </w:tcPr>
          <w:p w:rsidR="002D2F13" w:rsidRPr="00C01A97" w:rsidRDefault="002D2F13" w:rsidP="005A2287">
            <w:pPr>
              <w:widowControl w:val="0"/>
              <w:spacing w:before="60" w:after="60" w:line="259" w:lineRule="auto"/>
              <w:rPr>
                <w:rFonts w:ascii="Arial Narrow" w:eastAsiaTheme="minorEastAsia" w:hAnsi="Arial Narrow" w:cs="Arial"/>
                <w:snapToGrid w:val="0"/>
                <w:sz w:val="20"/>
                <w:szCs w:val="20"/>
                <w:vertAlign w:val="superscript"/>
                <w:lang w:eastAsia="zh-CN"/>
              </w:rPr>
            </w:pPr>
            <w:r w:rsidRPr="00C01A97">
              <w:rPr>
                <w:rFonts w:ascii="Arial Narrow" w:eastAsiaTheme="minorEastAsia" w:hAnsi="Arial Narrow"/>
                <w:sz w:val="20"/>
                <w:szCs w:val="20"/>
                <w:lang w:eastAsia="zh-CN"/>
              </w:rPr>
              <w:t>start/stay/</w:t>
            </w:r>
            <w:r w:rsidRPr="00C01A97">
              <w:rPr>
                <w:rFonts w:ascii="Arial Narrow" w:eastAsiaTheme="minorEastAsia" w:hAnsi="Arial Narrow" w:cs="Arial"/>
                <w:snapToGrid w:val="0"/>
                <w:sz w:val="20"/>
                <w:szCs w:val="20"/>
                <w:lang w:eastAsia="zh-CN"/>
              </w:rPr>
              <w:t>add other LLT only</w:t>
            </w:r>
            <w:r w:rsidRPr="00C01A97">
              <w:rPr>
                <w:rFonts w:ascii="Arial Narrow" w:eastAsiaTheme="minorEastAsia" w:hAnsi="Arial Narrow" w:cs="Arial"/>
                <w:snapToGrid w:val="0"/>
                <w:sz w:val="20"/>
                <w:szCs w:val="20"/>
                <w:vertAlign w:val="superscript"/>
                <w:lang w:eastAsia="zh-CN"/>
              </w:rPr>
              <w:t>c</w:t>
            </w:r>
          </w:p>
        </w:tc>
      </w:tr>
      <w:tr w:rsidR="002D2F13" w:rsidRPr="00C01A97" w:rsidTr="00847F3C">
        <w:tc>
          <w:tcPr>
            <w:tcW w:w="1701" w:type="dxa"/>
            <w:tcBorders>
              <w:right w:val="single" w:sz="4" w:space="0" w:color="auto"/>
            </w:tcBorders>
            <w:vAlign w:val="bottom"/>
          </w:tcPr>
          <w:p w:rsidR="002D2F13" w:rsidRPr="00C01A97" w:rsidRDefault="002D2F13" w:rsidP="005A2287">
            <w:pPr>
              <w:widowControl w:val="0"/>
              <w:spacing w:before="60" w:after="60" w:line="259" w:lineRule="auto"/>
              <w:rPr>
                <w:rFonts w:ascii="Arial Narrow" w:eastAsiaTheme="minorEastAsia" w:hAnsi="Arial Narrow" w:cs="Arial"/>
                <w:snapToGrid w:val="0"/>
                <w:sz w:val="20"/>
                <w:szCs w:val="20"/>
                <w:lang w:eastAsia="zh-CN"/>
              </w:rPr>
            </w:pPr>
            <w:r w:rsidRPr="00C01A97">
              <w:rPr>
                <w:rFonts w:ascii="Arial Narrow" w:eastAsiaTheme="minorEastAsia" w:hAnsi="Arial Narrow" w:cs="Arial"/>
                <w:color w:val="000000"/>
                <w:sz w:val="20"/>
                <w:szCs w:val="20"/>
                <w:lang w:eastAsia="zh-CN"/>
              </w:rPr>
              <w:t>Ceased statin more than 6 months prior ezetimibe</w:t>
            </w:r>
          </w:p>
        </w:tc>
        <w:tc>
          <w:tcPr>
            <w:tcW w:w="851" w:type="dxa"/>
            <w:tcBorders>
              <w:left w:val="single" w:sz="4" w:space="0" w:color="auto"/>
            </w:tcBorders>
            <w:vAlign w:val="center"/>
          </w:tcPr>
          <w:p w:rsidR="002D2F13" w:rsidRPr="00C01A97" w:rsidRDefault="002D2F13" w:rsidP="005A2287">
            <w:pPr>
              <w:widowControl w:val="0"/>
              <w:spacing w:before="60" w:after="60" w:line="259" w:lineRule="auto"/>
              <w:ind w:right="114"/>
              <w:rPr>
                <w:rFonts w:ascii="Arial Narrow" w:eastAsiaTheme="minorEastAsia" w:hAnsi="Arial Narrow" w:cs="Arial"/>
                <w:b/>
                <w:i/>
                <w:snapToGrid w:val="0"/>
                <w:color w:val="000000"/>
                <w:szCs w:val="20"/>
                <w:u w:val="single"/>
                <w:lang w:eastAsia="zh-CN"/>
              </w:rPr>
            </w:pPr>
            <w:r w:rsidRPr="00C01A97">
              <w:rPr>
                <w:rFonts w:ascii="Arial Narrow" w:eastAsiaTheme="minorEastAsia" w:hAnsi="Arial Narrow" w:cs="Arial"/>
                <w:snapToGrid w:val="0"/>
                <w:szCs w:val="20"/>
                <w:lang w:eastAsia="zh-CN"/>
              </w:rPr>
              <w:t>7,327</w:t>
            </w:r>
          </w:p>
        </w:tc>
        <w:tc>
          <w:tcPr>
            <w:tcW w:w="1332" w:type="dxa"/>
            <w:shd w:val="clear" w:color="auto" w:fill="00B050"/>
            <w:vAlign w:val="center"/>
          </w:tcPr>
          <w:p w:rsidR="002D2F13" w:rsidRPr="00C01A97" w:rsidRDefault="002D2F13" w:rsidP="005A2287">
            <w:pPr>
              <w:widowControl w:val="0"/>
              <w:tabs>
                <w:tab w:val="left" w:pos="681"/>
              </w:tabs>
              <w:spacing w:before="60" w:after="60" w:line="259" w:lineRule="auto"/>
              <w:ind w:right="454"/>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3,327</w:t>
            </w:r>
          </w:p>
        </w:tc>
        <w:tc>
          <w:tcPr>
            <w:tcW w:w="1332" w:type="dxa"/>
            <w:shd w:val="clear" w:color="auto" w:fill="CC0000"/>
            <w:vAlign w:val="center"/>
          </w:tcPr>
          <w:p w:rsidR="002D2F13" w:rsidRPr="00C01A97" w:rsidRDefault="002D2F13" w:rsidP="005A2287">
            <w:pPr>
              <w:widowControl w:val="0"/>
              <w:spacing w:before="60" w:after="60" w:line="259" w:lineRule="auto"/>
              <w:ind w:right="456"/>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615</w:t>
            </w:r>
          </w:p>
        </w:tc>
        <w:tc>
          <w:tcPr>
            <w:tcW w:w="1333" w:type="dxa"/>
            <w:shd w:val="clear" w:color="auto" w:fill="FF6600"/>
            <w:vAlign w:val="center"/>
          </w:tcPr>
          <w:p w:rsidR="002D2F13" w:rsidRPr="00C01A97" w:rsidRDefault="002D2F13" w:rsidP="005A2287">
            <w:pPr>
              <w:widowControl w:val="0"/>
              <w:spacing w:before="60" w:after="60" w:line="259" w:lineRule="auto"/>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1,545</w:t>
            </w:r>
          </w:p>
        </w:tc>
        <w:tc>
          <w:tcPr>
            <w:tcW w:w="1332" w:type="dxa"/>
            <w:shd w:val="clear" w:color="auto" w:fill="00B050"/>
            <w:vAlign w:val="center"/>
          </w:tcPr>
          <w:p w:rsidR="002D2F13" w:rsidRPr="00C01A97" w:rsidRDefault="002D2F13" w:rsidP="005A2287">
            <w:pPr>
              <w:widowControl w:val="0"/>
              <w:spacing w:before="60" w:after="60" w:line="259" w:lineRule="auto"/>
              <w:ind w:right="456"/>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1,587</w:t>
            </w:r>
          </w:p>
        </w:tc>
        <w:tc>
          <w:tcPr>
            <w:tcW w:w="1333" w:type="dxa"/>
            <w:shd w:val="clear" w:color="auto" w:fill="00B050"/>
            <w:vAlign w:val="center"/>
          </w:tcPr>
          <w:p w:rsidR="002D2F13" w:rsidRPr="00C01A97" w:rsidRDefault="002D2F13" w:rsidP="005A2287">
            <w:pPr>
              <w:widowControl w:val="0"/>
              <w:tabs>
                <w:tab w:val="left" w:pos="596"/>
              </w:tabs>
              <w:spacing w:before="60" w:after="60" w:line="259" w:lineRule="auto"/>
              <w:ind w:right="457"/>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253</w:t>
            </w:r>
          </w:p>
        </w:tc>
      </w:tr>
      <w:tr w:rsidR="002D2F13" w:rsidRPr="00C01A97" w:rsidTr="00847F3C">
        <w:tc>
          <w:tcPr>
            <w:tcW w:w="1701" w:type="dxa"/>
            <w:tcBorders>
              <w:right w:val="single" w:sz="4" w:space="0" w:color="auto"/>
            </w:tcBorders>
            <w:shd w:val="clear" w:color="auto" w:fill="FFFFFF" w:themeFill="background1"/>
            <w:vAlign w:val="bottom"/>
          </w:tcPr>
          <w:p w:rsidR="002D2F13" w:rsidRPr="00C01A97" w:rsidRDefault="002D2F13" w:rsidP="005A2287">
            <w:pPr>
              <w:widowControl w:val="0"/>
              <w:spacing w:before="60" w:after="60" w:line="259" w:lineRule="auto"/>
              <w:rPr>
                <w:rFonts w:ascii="Arial Narrow" w:eastAsiaTheme="minorEastAsia" w:hAnsi="Arial Narrow" w:cs="Arial"/>
                <w:b/>
                <w:i/>
                <w:snapToGrid w:val="0"/>
                <w:color w:val="000000"/>
                <w:sz w:val="20"/>
                <w:szCs w:val="20"/>
                <w:u w:val="single"/>
                <w:lang w:eastAsia="zh-CN"/>
              </w:rPr>
            </w:pPr>
            <w:r w:rsidRPr="00C01A97">
              <w:rPr>
                <w:rFonts w:ascii="Arial Narrow" w:eastAsiaTheme="minorEastAsia" w:hAnsi="Arial Narrow" w:cs="Arial"/>
                <w:color w:val="000000"/>
                <w:sz w:val="20"/>
                <w:szCs w:val="20"/>
                <w:lang w:eastAsia="zh-CN"/>
              </w:rPr>
              <w:t>Down titrated statin or on lowest dose</w:t>
            </w:r>
          </w:p>
        </w:tc>
        <w:tc>
          <w:tcPr>
            <w:tcW w:w="851" w:type="dxa"/>
            <w:tcBorders>
              <w:left w:val="single" w:sz="4" w:space="0" w:color="auto"/>
            </w:tcBorders>
            <w:vAlign w:val="center"/>
          </w:tcPr>
          <w:p w:rsidR="002D2F13" w:rsidRPr="00C01A97" w:rsidRDefault="002D2F13" w:rsidP="005A2287">
            <w:pPr>
              <w:widowControl w:val="0"/>
              <w:spacing w:before="60" w:after="60" w:line="259" w:lineRule="auto"/>
              <w:ind w:right="114"/>
              <w:rPr>
                <w:rFonts w:ascii="Arial Narrow" w:eastAsiaTheme="minorEastAsia" w:hAnsi="Arial Narrow" w:cs="Arial"/>
                <w:b/>
                <w:i/>
                <w:snapToGrid w:val="0"/>
                <w:color w:val="000000"/>
                <w:szCs w:val="20"/>
                <w:u w:val="single"/>
                <w:lang w:eastAsia="zh-CN"/>
              </w:rPr>
            </w:pPr>
            <w:r w:rsidRPr="00C01A97">
              <w:rPr>
                <w:rFonts w:ascii="Arial Narrow" w:eastAsiaTheme="minorEastAsia" w:hAnsi="Arial Narrow" w:cs="Arial"/>
                <w:snapToGrid w:val="0"/>
                <w:szCs w:val="20"/>
                <w:lang w:eastAsia="zh-CN"/>
              </w:rPr>
              <w:t>2,837</w:t>
            </w:r>
          </w:p>
        </w:tc>
        <w:tc>
          <w:tcPr>
            <w:tcW w:w="1332" w:type="dxa"/>
            <w:shd w:val="clear" w:color="auto" w:fill="00B050"/>
            <w:vAlign w:val="center"/>
          </w:tcPr>
          <w:p w:rsidR="002D2F13" w:rsidRPr="00C01A97" w:rsidRDefault="002D2F13" w:rsidP="005A2287">
            <w:pPr>
              <w:widowControl w:val="0"/>
              <w:tabs>
                <w:tab w:val="left" w:pos="681"/>
              </w:tabs>
              <w:spacing w:before="60" w:after="60" w:line="259" w:lineRule="auto"/>
              <w:ind w:right="454"/>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912</w:t>
            </w:r>
          </w:p>
        </w:tc>
        <w:tc>
          <w:tcPr>
            <w:tcW w:w="1332" w:type="dxa"/>
            <w:shd w:val="clear" w:color="auto" w:fill="CC0000"/>
            <w:vAlign w:val="center"/>
          </w:tcPr>
          <w:p w:rsidR="002D2F13" w:rsidRPr="00C01A97" w:rsidRDefault="002D2F13" w:rsidP="005A2287">
            <w:pPr>
              <w:widowControl w:val="0"/>
              <w:spacing w:before="60" w:after="60" w:line="259" w:lineRule="auto"/>
              <w:ind w:right="456"/>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601</w:t>
            </w:r>
          </w:p>
        </w:tc>
        <w:tc>
          <w:tcPr>
            <w:tcW w:w="1333" w:type="dxa"/>
            <w:shd w:val="clear" w:color="auto" w:fill="00B050"/>
            <w:vAlign w:val="center"/>
          </w:tcPr>
          <w:p w:rsidR="002D2F13" w:rsidRPr="00C01A97" w:rsidRDefault="002D2F13" w:rsidP="005A2287">
            <w:pPr>
              <w:widowControl w:val="0"/>
              <w:spacing w:before="60" w:after="60" w:line="259" w:lineRule="auto"/>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1,022</w:t>
            </w:r>
          </w:p>
        </w:tc>
        <w:tc>
          <w:tcPr>
            <w:tcW w:w="1332" w:type="dxa"/>
            <w:shd w:val="clear" w:color="auto" w:fill="00B050"/>
            <w:vAlign w:val="center"/>
          </w:tcPr>
          <w:p w:rsidR="002D2F13" w:rsidRPr="00C01A97" w:rsidRDefault="002D2F13" w:rsidP="005A2287">
            <w:pPr>
              <w:widowControl w:val="0"/>
              <w:spacing w:before="60" w:after="60" w:line="259" w:lineRule="auto"/>
              <w:ind w:right="456"/>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222</w:t>
            </w:r>
          </w:p>
        </w:tc>
        <w:tc>
          <w:tcPr>
            <w:tcW w:w="1333" w:type="dxa"/>
            <w:shd w:val="clear" w:color="auto" w:fill="00B050"/>
            <w:vAlign w:val="center"/>
          </w:tcPr>
          <w:p w:rsidR="002D2F13" w:rsidRPr="00C01A97" w:rsidRDefault="002D2F13" w:rsidP="005A2287">
            <w:pPr>
              <w:widowControl w:val="0"/>
              <w:tabs>
                <w:tab w:val="left" w:pos="596"/>
              </w:tabs>
              <w:spacing w:before="60" w:after="60" w:line="259" w:lineRule="auto"/>
              <w:ind w:right="457"/>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80</w:t>
            </w:r>
          </w:p>
        </w:tc>
      </w:tr>
      <w:tr w:rsidR="002D2F13" w:rsidRPr="00C01A97" w:rsidTr="00847F3C">
        <w:tc>
          <w:tcPr>
            <w:tcW w:w="1701" w:type="dxa"/>
            <w:tcBorders>
              <w:right w:val="single" w:sz="4" w:space="0" w:color="auto"/>
            </w:tcBorders>
            <w:shd w:val="clear" w:color="auto" w:fill="FFFFFF" w:themeFill="background1"/>
            <w:vAlign w:val="bottom"/>
          </w:tcPr>
          <w:p w:rsidR="002D2F13" w:rsidRPr="00C01A97" w:rsidRDefault="002D2F13" w:rsidP="005A2287">
            <w:pPr>
              <w:widowControl w:val="0"/>
              <w:spacing w:before="60" w:after="60" w:line="259" w:lineRule="auto"/>
              <w:rPr>
                <w:rFonts w:ascii="Arial Narrow" w:eastAsiaTheme="minorEastAsia" w:hAnsi="Arial Narrow" w:cs="Arial"/>
                <w:b/>
                <w:i/>
                <w:snapToGrid w:val="0"/>
                <w:color w:val="000000"/>
                <w:sz w:val="20"/>
                <w:szCs w:val="20"/>
                <w:u w:val="single"/>
                <w:lang w:eastAsia="zh-CN"/>
              </w:rPr>
            </w:pPr>
            <w:r w:rsidRPr="00C01A97">
              <w:rPr>
                <w:rFonts w:ascii="Arial Narrow" w:eastAsiaTheme="minorEastAsia" w:hAnsi="Arial Narrow" w:cs="Arial"/>
                <w:color w:val="000000"/>
                <w:sz w:val="20"/>
                <w:szCs w:val="20"/>
                <w:lang w:eastAsia="zh-CN"/>
              </w:rPr>
              <w:t>Up titrated statin ( not on highest)</w:t>
            </w:r>
          </w:p>
        </w:tc>
        <w:tc>
          <w:tcPr>
            <w:tcW w:w="851" w:type="dxa"/>
            <w:tcBorders>
              <w:left w:val="single" w:sz="4" w:space="0" w:color="auto"/>
            </w:tcBorders>
            <w:vAlign w:val="center"/>
          </w:tcPr>
          <w:p w:rsidR="002D2F13" w:rsidRPr="00C01A97" w:rsidRDefault="002D2F13" w:rsidP="005A2287">
            <w:pPr>
              <w:widowControl w:val="0"/>
              <w:spacing w:before="60" w:after="60" w:line="259" w:lineRule="auto"/>
              <w:ind w:right="114"/>
              <w:rPr>
                <w:rFonts w:ascii="Arial Narrow" w:eastAsiaTheme="minorEastAsia" w:hAnsi="Arial Narrow" w:cs="Arial"/>
                <w:b/>
                <w:i/>
                <w:snapToGrid w:val="0"/>
                <w:color w:val="000000"/>
                <w:szCs w:val="20"/>
                <w:u w:val="single"/>
                <w:lang w:eastAsia="zh-CN"/>
              </w:rPr>
            </w:pPr>
            <w:r w:rsidRPr="00C01A97">
              <w:rPr>
                <w:rFonts w:ascii="Arial Narrow" w:eastAsiaTheme="minorEastAsia" w:hAnsi="Arial Narrow" w:cs="Arial"/>
                <w:snapToGrid w:val="0"/>
                <w:szCs w:val="20"/>
                <w:lang w:eastAsia="zh-CN"/>
              </w:rPr>
              <w:t>2,401</w:t>
            </w:r>
          </w:p>
        </w:tc>
        <w:tc>
          <w:tcPr>
            <w:tcW w:w="1332" w:type="dxa"/>
            <w:shd w:val="clear" w:color="auto" w:fill="CC0000"/>
            <w:vAlign w:val="center"/>
          </w:tcPr>
          <w:p w:rsidR="002D2F13" w:rsidRPr="00C01A97" w:rsidRDefault="002D2F13" w:rsidP="005A2287">
            <w:pPr>
              <w:widowControl w:val="0"/>
              <w:tabs>
                <w:tab w:val="left" w:pos="681"/>
              </w:tabs>
              <w:spacing w:before="60" w:after="60" w:line="259" w:lineRule="auto"/>
              <w:ind w:right="454"/>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306</w:t>
            </w:r>
          </w:p>
        </w:tc>
        <w:tc>
          <w:tcPr>
            <w:tcW w:w="1332" w:type="dxa"/>
            <w:shd w:val="clear" w:color="auto" w:fill="CC0000"/>
            <w:vAlign w:val="center"/>
          </w:tcPr>
          <w:p w:rsidR="002D2F13" w:rsidRPr="00C01A97" w:rsidRDefault="002D2F13" w:rsidP="005A2287">
            <w:pPr>
              <w:widowControl w:val="0"/>
              <w:spacing w:before="60" w:after="60" w:line="259" w:lineRule="auto"/>
              <w:ind w:right="456"/>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258</w:t>
            </w:r>
          </w:p>
        </w:tc>
        <w:tc>
          <w:tcPr>
            <w:tcW w:w="1333" w:type="dxa"/>
            <w:shd w:val="clear" w:color="auto" w:fill="00B050"/>
            <w:vAlign w:val="center"/>
          </w:tcPr>
          <w:p w:rsidR="002D2F13" w:rsidRPr="00C01A97" w:rsidRDefault="002D2F13" w:rsidP="005A2287">
            <w:pPr>
              <w:widowControl w:val="0"/>
              <w:spacing w:before="60" w:after="60" w:line="259" w:lineRule="auto"/>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1,285</w:t>
            </w:r>
          </w:p>
        </w:tc>
        <w:tc>
          <w:tcPr>
            <w:tcW w:w="1332" w:type="dxa"/>
            <w:shd w:val="clear" w:color="auto" w:fill="00B050"/>
            <w:vAlign w:val="center"/>
          </w:tcPr>
          <w:p w:rsidR="002D2F13" w:rsidRPr="00C01A97" w:rsidRDefault="002D2F13" w:rsidP="005A2287">
            <w:pPr>
              <w:widowControl w:val="0"/>
              <w:spacing w:before="60" w:after="60" w:line="259" w:lineRule="auto"/>
              <w:ind w:right="456"/>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515</w:t>
            </w:r>
          </w:p>
        </w:tc>
        <w:tc>
          <w:tcPr>
            <w:tcW w:w="1333" w:type="dxa"/>
            <w:shd w:val="clear" w:color="auto" w:fill="FF6600"/>
            <w:vAlign w:val="center"/>
          </w:tcPr>
          <w:p w:rsidR="002D2F13" w:rsidRPr="00C01A97" w:rsidRDefault="002D2F13" w:rsidP="005A2287">
            <w:pPr>
              <w:widowControl w:val="0"/>
              <w:tabs>
                <w:tab w:val="left" w:pos="596"/>
              </w:tabs>
              <w:spacing w:before="60" w:after="60" w:line="259" w:lineRule="auto"/>
              <w:ind w:right="457"/>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37</w:t>
            </w:r>
          </w:p>
        </w:tc>
      </w:tr>
      <w:tr w:rsidR="002D2F13" w:rsidRPr="00C01A97" w:rsidTr="00847F3C">
        <w:tc>
          <w:tcPr>
            <w:tcW w:w="1701" w:type="dxa"/>
            <w:tcBorders>
              <w:right w:val="single" w:sz="4" w:space="0" w:color="auto"/>
            </w:tcBorders>
            <w:shd w:val="clear" w:color="auto" w:fill="FFFFFF" w:themeFill="background1"/>
            <w:vAlign w:val="bottom"/>
          </w:tcPr>
          <w:p w:rsidR="002D2F13" w:rsidRPr="00C01A97" w:rsidRDefault="002D2F13" w:rsidP="005A2287">
            <w:pPr>
              <w:widowControl w:val="0"/>
              <w:spacing w:before="60" w:after="60" w:line="259" w:lineRule="auto"/>
              <w:rPr>
                <w:rFonts w:ascii="Arial Narrow" w:eastAsiaTheme="minorEastAsia" w:hAnsi="Arial Narrow" w:cs="Arial"/>
                <w:b/>
                <w:i/>
                <w:snapToGrid w:val="0"/>
                <w:color w:val="000000"/>
                <w:sz w:val="20"/>
                <w:szCs w:val="20"/>
                <w:u w:val="single"/>
                <w:lang w:eastAsia="zh-CN"/>
              </w:rPr>
            </w:pPr>
            <w:r w:rsidRPr="00C01A97">
              <w:rPr>
                <w:rFonts w:ascii="Arial Narrow" w:eastAsiaTheme="minorEastAsia" w:hAnsi="Arial Narrow" w:cs="Arial"/>
                <w:color w:val="000000"/>
                <w:sz w:val="20"/>
                <w:szCs w:val="20"/>
                <w:lang w:eastAsia="zh-CN"/>
              </w:rPr>
              <w:t>On highest dose of statin</w:t>
            </w:r>
          </w:p>
        </w:tc>
        <w:tc>
          <w:tcPr>
            <w:tcW w:w="851" w:type="dxa"/>
            <w:tcBorders>
              <w:left w:val="single" w:sz="4" w:space="0" w:color="auto"/>
            </w:tcBorders>
            <w:vAlign w:val="center"/>
          </w:tcPr>
          <w:p w:rsidR="002D2F13" w:rsidRPr="00C01A97" w:rsidRDefault="002D2F13" w:rsidP="005A2287">
            <w:pPr>
              <w:widowControl w:val="0"/>
              <w:spacing w:before="60" w:after="60" w:line="259" w:lineRule="auto"/>
              <w:ind w:right="114"/>
              <w:rPr>
                <w:rFonts w:ascii="Arial Narrow" w:eastAsiaTheme="minorEastAsia" w:hAnsi="Arial Narrow" w:cs="Arial"/>
                <w:b/>
                <w:i/>
                <w:snapToGrid w:val="0"/>
                <w:color w:val="000000"/>
                <w:szCs w:val="20"/>
                <w:u w:val="single"/>
                <w:lang w:eastAsia="zh-CN"/>
              </w:rPr>
            </w:pPr>
            <w:r w:rsidRPr="00C01A97">
              <w:rPr>
                <w:rFonts w:ascii="Arial Narrow" w:eastAsiaTheme="minorEastAsia" w:hAnsi="Arial Narrow" w:cs="Arial"/>
                <w:snapToGrid w:val="0"/>
                <w:szCs w:val="20"/>
                <w:lang w:eastAsia="zh-CN"/>
              </w:rPr>
              <w:t>6,986</w:t>
            </w:r>
          </w:p>
        </w:tc>
        <w:tc>
          <w:tcPr>
            <w:tcW w:w="1332" w:type="dxa"/>
            <w:shd w:val="clear" w:color="auto" w:fill="CC0000"/>
            <w:vAlign w:val="center"/>
          </w:tcPr>
          <w:p w:rsidR="002D2F13" w:rsidRPr="00C01A97" w:rsidRDefault="002D2F13" w:rsidP="005A2287">
            <w:pPr>
              <w:widowControl w:val="0"/>
              <w:tabs>
                <w:tab w:val="left" w:pos="681"/>
              </w:tabs>
              <w:spacing w:before="60" w:after="60" w:line="259" w:lineRule="auto"/>
              <w:ind w:right="454"/>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245</w:t>
            </w:r>
          </w:p>
        </w:tc>
        <w:tc>
          <w:tcPr>
            <w:tcW w:w="1332" w:type="dxa"/>
            <w:shd w:val="clear" w:color="auto" w:fill="auto"/>
            <w:vAlign w:val="center"/>
          </w:tcPr>
          <w:p w:rsidR="002D2F13" w:rsidRPr="00C01A97" w:rsidRDefault="002D2F13" w:rsidP="005A2287">
            <w:pPr>
              <w:widowControl w:val="0"/>
              <w:spacing w:before="60" w:after="60" w:line="259" w:lineRule="auto"/>
              <w:ind w:right="456"/>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N/A</w:t>
            </w:r>
          </w:p>
        </w:tc>
        <w:tc>
          <w:tcPr>
            <w:tcW w:w="1333" w:type="dxa"/>
            <w:shd w:val="clear" w:color="auto" w:fill="00B050"/>
            <w:vAlign w:val="center"/>
          </w:tcPr>
          <w:p w:rsidR="002D2F13" w:rsidRPr="00C01A97" w:rsidRDefault="002D2F13" w:rsidP="005A2287">
            <w:pPr>
              <w:widowControl w:val="0"/>
              <w:spacing w:before="60" w:after="60" w:line="259" w:lineRule="auto"/>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4,930</w:t>
            </w:r>
          </w:p>
        </w:tc>
        <w:tc>
          <w:tcPr>
            <w:tcW w:w="1332" w:type="dxa"/>
            <w:shd w:val="clear" w:color="auto" w:fill="00B050"/>
            <w:vAlign w:val="center"/>
          </w:tcPr>
          <w:p w:rsidR="002D2F13" w:rsidRPr="00C01A97" w:rsidRDefault="002D2F13" w:rsidP="005A2287">
            <w:pPr>
              <w:widowControl w:val="0"/>
              <w:spacing w:before="60" w:after="60" w:line="259" w:lineRule="auto"/>
              <w:ind w:right="456"/>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1,778</w:t>
            </w:r>
          </w:p>
        </w:tc>
        <w:tc>
          <w:tcPr>
            <w:tcW w:w="1333" w:type="dxa"/>
            <w:shd w:val="clear" w:color="auto" w:fill="00B050"/>
            <w:vAlign w:val="center"/>
          </w:tcPr>
          <w:p w:rsidR="002D2F13" w:rsidRPr="00C01A97" w:rsidRDefault="002D2F13" w:rsidP="005A2287">
            <w:pPr>
              <w:widowControl w:val="0"/>
              <w:tabs>
                <w:tab w:val="left" w:pos="596"/>
              </w:tabs>
              <w:spacing w:before="60" w:after="60" w:line="259" w:lineRule="auto"/>
              <w:ind w:right="457"/>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33</w:t>
            </w:r>
          </w:p>
        </w:tc>
      </w:tr>
      <w:tr w:rsidR="002D2F13" w:rsidRPr="00C01A97" w:rsidTr="00847F3C">
        <w:tc>
          <w:tcPr>
            <w:tcW w:w="1701" w:type="dxa"/>
            <w:tcBorders>
              <w:right w:val="single" w:sz="4" w:space="0" w:color="auto"/>
            </w:tcBorders>
            <w:shd w:val="clear" w:color="auto" w:fill="FFFFFF" w:themeFill="background1"/>
            <w:vAlign w:val="bottom"/>
          </w:tcPr>
          <w:p w:rsidR="002D2F13" w:rsidRPr="00C01A97" w:rsidRDefault="002D2F13" w:rsidP="005A2287">
            <w:pPr>
              <w:widowControl w:val="0"/>
              <w:spacing w:before="60" w:after="60" w:line="259" w:lineRule="auto"/>
              <w:rPr>
                <w:rFonts w:ascii="Arial Narrow" w:eastAsiaTheme="minorEastAsia" w:hAnsi="Arial Narrow" w:cs="Arial"/>
                <w:b/>
                <w:i/>
                <w:snapToGrid w:val="0"/>
                <w:color w:val="000000"/>
                <w:sz w:val="20"/>
                <w:szCs w:val="20"/>
                <w:u w:val="single"/>
                <w:lang w:eastAsia="zh-CN"/>
              </w:rPr>
            </w:pPr>
            <w:r w:rsidRPr="00C01A97">
              <w:rPr>
                <w:rFonts w:ascii="Arial Narrow" w:eastAsiaTheme="minorEastAsia" w:hAnsi="Arial Narrow" w:cs="Arial"/>
                <w:color w:val="000000"/>
                <w:sz w:val="20"/>
                <w:szCs w:val="20"/>
                <w:lang w:eastAsia="zh-CN"/>
              </w:rPr>
              <w:t>Stayed on same dose of statin</w:t>
            </w:r>
          </w:p>
        </w:tc>
        <w:tc>
          <w:tcPr>
            <w:tcW w:w="851" w:type="dxa"/>
            <w:tcBorders>
              <w:left w:val="single" w:sz="4" w:space="0" w:color="auto"/>
            </w:tcBorders>
            <w:vAlign w:val="center"/>
          </w:tcPr>
          <w:p w:rsidR="002D2F13" w:rsidRPr="00C01A97" w:rsidRDefault="002D2F13" w:rsidP="005A2287">
            <w:pPr>
              <w:widowControl w:val="0"/>
              <w:spacing w:before="60" w:after="60" w:line="259" w:lineRule="auto"/>
              <w:ind w:right="114"/>
              <w:rPr>
                <w:rFonts w:ascii="Arial Narrow" w:eastAsiaTheme="minorEastAsia" w:hAnsi="Arial Narrow" w:cs="Arial"/>
                <w:b/>
                <w:i/>
                <w:snapToGrid w:val="0"/>
                <w:color w:val="000000"/>
                <w:szCs w:val="20"/>
                <w:u w:val="single"/>
                <w:lang w:eastAsia="zh-CN"/>
              </w:rPr>
            </w:pPr>
            <w:r w:rsidRPr="00C01A97">
              <w:rPr>
                <w:rFonts w:ascii="Arial Narrow" w:eastAsiaTheme="minorEastAsia" w:hAnsi="Arial Narrow" w:cs="Arial"/>
                <w:snapToGrid w:val="0"/>
                <w:szCs w:val="20"/>
                <w:lang w:eastAsia="zh-CN"/>
              </w:rPr>
              <w:t>15,616</w:t>
            </w:r>
          </w:p>
        </w:tc>
        <w:tc>
          <w:tcPr>
            <w:tcW w:w="1332" w:type="dxa"/>
            <w:shd w:val="clear" w:color="auto" w:fill="FF6600"/>
            <w:vAlign w:val="center"/>
          </w:tcPr>
          <w:p w:rsidR="002D2F13" w:rsidRPr="00C01A97" w:rsidRDefault="002D2F13" w:rsidP="005A2287">
            <w:pPr>
              <w:widowControl w:val="0"/>
              <w:tabs>
                <w:tab w:val="left" w:pos="681"/>
              </w:tabs>
              <w:spacing w:before="60" w:after="60" w:line="259" w:lineRule="auto"/>
              <w:ind w:right="454"/>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3,147</w:t>
            </w:r>
          </w:p>
        </w:tc>
        <w:tc>
          <w:tcPr>
            <w:tcW w:w="1332" w:type="dxa"/>
            <w:shd w:val="clear" w:color="auto" w:fill="CC0000"/>
            <w:vAlign w:val="center"/>
          </w:tcPr>
          <w:p w:rsidR="002D2F13" w:rsidRPr="00C01A97" w:rsidRDefault="002D2F13" w:rsidP="005A2287">
            <w:pPr>
              <w:widowControl w:val="0"/>
              <w:spacing w:before="60" w:after="60" w:line="259" w:lineRule="auto"/>
              <w:ind w:right="456"/>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1,787</w:t>
            </w:r>
          </w:p>
        </w:tc>
        <w:tc>
          <w:tcPr>
            <w:tcW w:w="1333" w:type="dxa"/>
            <w:shd w:val="clear" w:color="auto" w:fill="FF6600"/>
            <w:vAlign w:val="center"/>
          </w:tcPr>
          <w:p w:rsidR="002D2F13" w:rsidRPr="00C01A97" w:rsidRDefault="002D2F13" w:rsidP="005A2287">
            <w:pPr>
              <w:widowControl w:val="0"/>
              <w:spacing w:before="60" w:after="60" w:line="259" w:lineRule="auto"/>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8,022</w:t>
            </w:r>
          </w:p>
        </w:tc>
        <w:tc>
          <w:tcPr>
            <w:tcW w:w="1332" w:type="dxa"/>
            <w:shd w:val="clear" w:color="auto" w:fill="00B050"/>
            <w:vAlign w:val="center"/>
          </w:tcPr>
          <w:p w:rsidR="002D2F13" w:rsidRPr="00C01A97" w:rsidRDefault="002D2F13" w:rsidP="005A2287">
            <w:pPr>
              <w:widowControl w:val="0"/>
              <w:spacing w:before="60" w:after="60" w:line="259" w:lineRule="auto"/>
              <w:ind w:right="456"/>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2,463</w:t>
            </w:r>
          </w:p>
        </w:tc>
        <w:tc>
          <w:tcPr>
            <w:tcW w:w="1333" w:type="dxa"/>
            <w:shd w:val="clear" w:color="auto" w:fill="00B050"/>
            <w:vAlign w:val="center"/>
          </w:tcPr>
          <w:p w:rsidR="002D2F13" w:rsidRPr="00C01A97" w:rsidRDefault="002D2F13" w:rsidP="005A2287">
            <w:pPr>
              <w:widowControl w:val="0"/>
              <w:tabs>
                <w:tab w:val="left" w:pos="596"/>
              </w:tabs>
              <w:spacing w:before="60" w:after="60" w:line="259" w:lineRule="auto"/>
              <w:ind w:right="457"/>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197</w:t>
            </w:r>
          </w:p>
        </w:tc>
      </w:tr>
      <w:tr w:rsidR="002D2F13" w:rsidRPr="00C01A97" w:rsidTr="00847F3C">
        <w:tc>
          <w:tcPr>
            <w:tcW w:w="1701" w:type="dxa"/>
            <w:tcBorders>
              <w:right w:val="single" w:sz="4" w:space="0" w:color="auto"/>
            </w:tcBorders>
            <w:shd w:val="clear" w:color="auto" w:fill="FFFFFF" w:themeFill="background1"/>
            <w:vAlign w:val="bottom"/>
          </w:tcPr>
          <w:p w:rsidR="002D2F13" w:rsidRPr="00C01A97" w:rsidRDefault="002D2F13" w:rsidP="005A2287">
            <w:pPr>
              <w:widowControl w:val="0"/>
              <w:spacing w:before="60" w:after="60" w:line="259" w:lineRule="auto"/>
              <w:rPr>
                <w:rFonts w:ascii="Arial Narrow" w:eastAsiaTheme="minorEastAsia" w:hAnsi="Arial Narrow" w:cs="Arial"/>
                <w:b/>
                <w:i/>
                <w:snapToGrid w:val="0"/>
                <w:color w:val="000000"/>
                <w:sz w:val="20"/>
                <w:szCs w:val="20"/>
                <w:u w:val="single"/>
                <w:lang w:eastAsia="zh-CN"/>
              </w:rPr>
            </w:pPr>
            <w:r w:rsidRPr="00C01A97">
              <w:rPr>
                <w:rFonts w:ascii="Arial Narrow" w:eastAsiaTheme="minorEastAsia" w:hAnsi="Arial Narrow" w:cs="Arial"/>
                <w:color w:val="000000"/>
                <w:sz w:val="20"/>
                <w:szCs w:val="20"/>
                <w:lang w:eastAsia="zh-CN"/>
              </w:rPr>
              <w:t>Up and down titrated statin</w:t>
            </w:r>
          </w:p>
        </w:tc>
        <w:tc>
          <w:tcPr>
            <w:tcW w:w="851" w:type="dxa"/>
            <w:tcBorders>
              <w:left w:val="single" w:sz="4" w:space="0" w:color="auto"/>
            </w:tcBorders>
            <w:vAlign w:val="center"/>
          </w:tcPr>
          <w:p w:rsidR="002D2F13" w:rsidRPr="00C01A97" w:rsidRDefault="002D2F13" w:rsidP="005A2287">
            <w:pPr>
              <w:widowControl w:val="0"/>
              <w:spacing w:before="60" w:after="60" w:line="259" w:lineRule="auto"/>
              <w:ind w:right="114"/>
              <w:rPr>
                <w:rFonts w:ascii="Arial Narrow" w:eastAsiaTheme="minorEastAsia" w:hAnsi="Arial Narrow" w:cs="Arial"/>
                <w:b/>
                <w:i/>
                <w:snapToGrid w:val="0"/>
                <w:color w:val="000000"/>
                <w:szCs w:val="20"/>
                <w:u w:val="single"/>
                <w:lang w:eastAsia="zh-CN"/>
              </w:rPr>
            </w:pPr>
            <w:r w:rsidRPr="00C01A97">
              <w:rPr>
                <w:rFonts w:ascii="Arial Narrow" w:eastAsiaTheme="minorEastAsia" w:hAnsi="Arial Narrow" w:cs="Arial"/>
                <w:snapToGrid w:val="0"/>
                <w:szCs w:val="20"/>
                <w:lang w:eastAsia="zh-CN"/>
              </w:rPr>
              <w:t>2,633</w:t>
            </w:r>
          </w:p>
        </w:tc>
        <w:tc>
          <w:tcPr>
            <w:tcW w:w="1332" w:type="dxa"/>
            <w:shd w:val="clear" w:color="auto" w:fill="00B050"/>
            <w:vAlign w:val="center"/>
          </w:tcPr>
          <w:p w:rsidR="002D2F13" w:rsidRPr="00C01A97" w:rsidRDefault="002D2F13" w:rsidP="005A2287">
            <w:pPr>
              <w:widowControl w:val="0"/>
              <w:tabs>
                <w:tab w:val="left" w:pos="681"/>
              </w:tabs>
              <w:spacing w:before="60" w:after="60" w:line="259" w:lineRule="auto"/>
              <w:ind w:right="454"/>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331</w:t>
            </w:r>
          </w:p>
        </w:tc>
        <w:tc>
          <w:tcPr>
            <w:tcW w:w="1332" w:type="dxa"/>
            <w:shd w:val="clear" w:color="auto" w:fill="CC0000"/>
            <w:vAlign w:val="center"/>
          </w:tcPr>
          <w:p w:rsidR="002D2F13" w:rsidRPr="00C01A97" w:rsidRDefault="002D2F13" w:rsidP="005A2287">
            <w:pPr>
              <w:widowControl w:val="0"/>
              <w:spacing w:before="60" w:after="60" w:line="259" w:lineRule="auto"/>
              <w:ind w:right="456"/>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517</w:t>
            </w:r>
          </w:p>
        </w:tc>
        <w:tc>
          <w:tcPr>
            <w:tcW w:w="1333" w:type="dxa"/>
            <w:shd w:val="clear" w:color="auto" w:fill="00B050"/>
            <w:vAlign w:val="center"/>
          </w:tcPr>
          <w:p w:rsidR="002D2F13" w:rsidRPr="00C01A97" w:rsidRDefault="002D2F13" w:rsidP="005A2287">
            <w:pPr>
              <w:widowControl w:val="0"/>
              <w:spacing w:before="60" w:after="60" w:line="259" w:lineRule="auto"/>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1,320</w:t>
            </w:r>
          </w:p>
        </w:tc>
        <w:tc>
          <w:tcPr>
            <w:tcW w:w="1332" w:type="dxa"/>
            <w:shd w:val="clear" w:color="auto" w:fill="00B050"/>
            <w:vAlign w:val="center"/>
          </w:tcPr>
          <w:p w:rsidR="002D2F13" w:rsidRPr="00C01A97" w:rsidRDefault="002D2F13" w:rsidP="005A2287">
            <w:pPr>
              <w:widowControl w:val="0"/>
              <w:spacing w:before="60" w:after="60" w:line="259" w:lineRule="auto"/>
              <w:ind w:right="456"/>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425</w:t>
            </w:r>
          </w:p>
        </w:tc>
        <w:tc>
          <w:tcPr>
            <w:tcW w:w="1333" w:type="dxa"/>
            <w:shd w:val="clear" w:color="auto" w:fill="00B050"/>
            <w:vAlign w:val="center"/>
          </w:tcPr>
          <w:p w:rsidR="002D2F13" w:rsidRPr="00C01A97" w:rsidRDefault="002D2F13" w:rsidP="005A2287">
            <w:pPr>
              <w:widowControl w:val="0"/>
              <w:tabs>
                <w:tab w:val="left" w:pos="596"/>
              </w:tabs>
              <w:spacing w:before="60" w:after="60" w:line="259" w:lineRule="auto"/>
              <w:ind w:right="457"/>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40</w:t>
            </w:r>
          </w:p>
        </w:tc>
      </w:tr>
      <w:tr w:rsidR="00BC068B" w:rsidRPr="00C01A97" w:rsidTr="00847F3C">
        <w:tc>
          <w:tcPr>
            <w:tcW w:w="1701" w:type="dxa"/>
            <w:tcBorders>
              <w:right w:val="single" w:sz="4" w:space="0" w:color="auto"/>
            </w:tcBorders>
            <w:vAlign w:val="bottom"/>
          </w:tcPr>
          <w:p w:rsidR="002D2F13" w:rsidRPr="00C01A97" w:rsidRDefault="002D2F13" w:rsidP="005A2287">
            <w:pPr>
              <w:widowControl w:val="0"/>
              <w:spacing w:before="60" w:after="60" w:line="259" w:lineRule="auto"/>
              <w:rPr>
                <w:rFonts w:ascii="Arial Narrow" w:eastAsiaTheme="minorEastAsia" w:hAnsi="Arial Narrow" w:cs="Arial"/>
                <w:b/>
                <w:i/>
                <w:snapToGrid w:val="0"/>
                <w:color w:val="000000"/>
                <w:sz w:val="20"/>
                <w:szCs w:val="20"/>
                <w:u w:val="single"/>
                <w:lang w:eastAsia="zh-CN"/>
              </w:rPr>
            </w:pPr>
            <w:r w:rsidRPr="00C01A97">
              <w:rPr>
                <w:rFonts w:ascii="Arial Narrow" w:eastAsiaTheme="minorEastAsia" w:hAnsi="Arial Narrow" w:cs="Arial"/>
                <w:color w:val="000000"/>
                <w:sz w:val="20"/>
                <w:szCs w:val="20"/>
                <w:lang w:eastAsia="zh-CN"/>
              </w:rPr>
              <w:t>All other LLT (no statin)</w:t>
            </w:r>
          </w:p>
        </w:tc>
        <w:tc>
          <w:tcPr>
            <w:tcW w:w="851" w:type="dxa"/>
            <w:tcBorders>
              <w:left w:val="single" w:sz="4" w:space="0" w:color="auto"/>
            </w:tcBorders>
            <w:vAlign w:val="center"/>
          </w:tcPr>
          <w:p w:rsidR="002D2F13" w:rsidRPr="00C01A97" w:rsidRDefault="002D2F13" w:rsidP="005A2287">
            <w:pPr>
              <w:widowControl w:val="0"/>
              <w:spacing w:before="60" w:after="60" w:line="259" w:lineRule="auto"/>
              <w:ind w:right="114"/>
              <w:rPr>
                <w:rFonts w:ascii="Arial Narrow" w:eastAsiaTheme="minorEastAsia" w:hAnsi="Arial Narrow" w:cs="Arial"/>
                <w:b/>
                <w:i/>
                <w:snapToGrid w:val="0"/>
                <w:color w:val="000000"/>
                <w:szCs w:val="20"/>
                <w:u w:val="single"/>
                <w:lang w:eastAsia="zh-CN"/>
              </w:rPr>
            </w:pPr>
            <w:r w:rsidRPr="00C01A97">
              <w:rPr>
                <w:rFonts w:ascii="Arial Narrow" w:eastAsiaTheme="minorEastAsia" w:hAnsi="Arial Narrow" w:cs="Arial"/>
                <w:snapToGrid w:val="0"/>
                <w:szCs w:val="20"/>
                <w:lang w:eastAsia="zh-CN"/>
              </w:rPr>
              <w:t>907</w:t>
            </w:r>
          </w:p>
        </w:tc>
        <w:tc>
          <w:tcPr>
            <w:tcW w:w="1332" w:type="dxa"/>
            <w:shd w:val="clear" w:color="auto" w:fill="00B050"/>
            <w:vAlign w:val="center"/>
          </w:tcPr>
          <w:p w:rsidR="002D2F13" w:rsidRPr="00C01A97" w:rsidRDefault="002D2F13" w:rsidP="005A2287">
            <w:pPr>
              <w:widowControl w:val="0"/>
              <w:tabs>
                <w:tab w:val="left" w:pos="681"/>
              </w:tabs>
              <w:spacing w:before="60" w:after="60" w:line="259" w:lineRule="auto"/>
              <w:ind w:right="454"/>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303</w:t>
            </w:r>
          </w:p>
        </w:tc>
        <w:tc>
          <w:tcPr>
            <w:tcW w:w="3997" w:type="dxa"/>
            <w:gridSpan w:val="3"/>
            <w:shd w:val="clear" w:color="auto" w:fill="CC0000"/>
            <w:vAlign w:val="center"/>
          </w:tcPr>
          <w:p w:rsidR="002D2F13" w:rsidRPr="00C01A97" w:rsidRDefault="002D2F13" w:rsidP="005A2287">
            <w:pPr>
              <w:widowControl w:val="0"/>
              <w:spacing w:before="60" w:after="60" w:line="259" w:lineRule="auto"/>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384</w:t>
            </w:r>
          </w:p>
        </w:tc>
        <w:tc>
          <w:tcPr>
            <w:tcW w:w="1333" w:type="dxa"/>
            <w:shd w:val="clear" w:color="auto" w:fill="00B050"/>
            <w:vAlign w:val="center"/>
          </w:tcPr>
          <w:p w:rsidR="002D2F13" w:rsidRPr="00C01A97" w:rsidRDefault="002D2F13" w:rsidP="005A2287">
            <w:pPr>
              <w:widowControl w:val="0"/>
              <w:tabs>
                <w:tab w:val="left" w:pos="596"/>
              </w:tabs>
              <w:spacing w:before="60" w:after="60" w:line="259" w:lineRule="auto"/>
              <w:ind w:right="457"/>
              <w:rPr>
                <w:rFonts w:ascii="Arial Narrow" w:eastAsiaTheme="minorEastAsia" w:hAnsi="Arial Narrow" w:cs="Arial"/>
                <w:b/>
                <w:i/>
                <w:snapToGrid w:val="0"/>
                <w:color w:val="FFFFFF" w:themeColor="background1"/>
                <w:szCs w:val="20"/>
                <w:u w:val="single"/>
                <w:lang w:eastAsia="zh-CN"/>
              </w:rPr>
            </w:pPr>
            <w:r w:rsidRPr="00C01A97">
              <w:rPr>
                <w:rFonts w:ascii="Arial Narrow" w:eastAsiaTheme="minorEastAsia" w:hAnsi="Arial Narrow" w:cs="Arial"/>
                <w:snapToGrid w:val="0"/>
                <w:color w:val="FFFFFF" w:themeColor="background1"/>
                <w:szCs w:val="20"/>
                <w:lang w:eastAsia="zh-CN"/>
              </w:rPr>
              <w:t>220</w:t>
            </w:r>
          </w:p>
        </w:tc>
      </w:tr>
    </w:tbl>
    <w:p w:rsidR="002D2F13" w:rsidRPr="00AC3FB3" w:rsidRDefault="002D2F13" w:rsidP="005A2287">
      <w:pPr>
        <w:spacing w:after="0" w:line="240" w:lineRule="auto"/>
        <w:rPr>
          <w:rFonts w:ascii="Arial Narrow" w:eastAsiaTheme="minorEastAsia" w:hAnsi="Arial Narrow"/>
          <w:color w:val="000000"/>
          <w:sz w:val="20"/>
          <w:szCs w:val="20"/>
          <w:highlight w:val="yellow"/>
          <w:lang w:eastAsia="zh-CN"/>
        </w:rPr>
      </w:pPr>
      <w:r w:rsidRPr="00AC3FB3">
        <w:rPr>
          <w:rFonts w:ascii="Arial Narrow" w:eastAsiaTheme="minorEastAsia" w:hAnsi="Arial Narrow"/>
          <w:color w:val="000000"/>
          <w:sz w:val="20"/>
          <w:szCs w:val="20"/>
          <w:highlight w:val="yellow"/>
          <w:lang w:eastAsia="zh-CN"/>
        </w:rPr>
        <w:t>N/A= not applicable, LLT = lipid lowering therapy</w:t>
      </w:r>
    </w:p>
    <w:p w:rsidR="002D2F13" w:rsidRPr="00AC3FB3" w:rsidRDefault="002D2F13" w:rsidP="005A2287">
      <w:pPr>
        <w:tabs>
          <w:tab w:val="left" w:pos="284"/>
        </w:tabs>
        <w:spacing w:after="0" w:line="240" w:lineRule="auto"/>
        <w:ind w:right="-188"/>
        <w:rPr>
          <w:rFonts w:ascii="Arial Narrow" w:eastAsiaTheme="minorEastAsia" w:hAnsi="Arial Narrow"/>
          <w:sz w:val="20"/>
          <w:szCs w:val="20"/>
          <w:highlight w:val="yellow"/>
          <w:lang w:eastAsia="zh-CN"/>
        </w:rPr>
      </w:pPr>
      <w:r w:rsidRPr="00AC3FB3">
        <w:rPr>
          <w:rFonts w:ascii="Arial Narrow" w:eastAsiaTheme="minorEastAsia" w:hAnsi="Arial Narrow"/>
          <w:color w:val="000000"/>
          <w:sz w:val="20"/>
          <w:szCs w:val="20"/>
          <w:highlight w:val="yellow"/>
          <w:lang w:eastAsia="zh-CN"/>
        </w:rPr>
        <w:lastRenderedPageBreak/>
        <w:t>Grey cells pre ezetimibe indicate that at least one statin prescription was dispensed in the 6 months prior to starting ezetimibe</w:t>
      </w:r>
    </w:p>
    <w:p w:rsidR="002D2F13" w:rsidRPr="00AC3FB3" w:rsidRDefault="002D2F13" w:rsidP="005A2287">
      <w:pPr>
        <w:tabs>
          <w:tab w:val="left" w:pos="284"/>
        </w:tabs>
        <w:spacing w:after="0" w:line="240" w:lineRule="auto"/>
        <w:ind w:right="-188"/>
        <w:rPr>
          <w:rFonts w:ascii="Arial Narrow" w:eastAsiaTheme="minorEastAsia" w:hAnsi="Arial Narrow"/>
          <w:sz w:val="20"/>
          <w:szCs w:val="20"/>
          <w:highlight w:val="yellow"/>
          <w:lang w:eastAsia="zh-CN"/>
        </w:rPr>
      </w:pPr>
      <w:r w:rsidRPr="00AC3FB3">
        <w:rPr>
          <w:rFonts w:ascii="Arial Narrow" w:eastAsiaTheme="minorEastAsia" w:hAnsi="Arial Narrow"/>
          <w:sz w:val="20"/>
          <w:szCs w:val="20"/>
          <w:highlight w:val="yellow"/>
          <w:lang w:eastAsia="zh-CN"/>
        </w:rPr>
        <w:t>*</w:t>
      </w:r>
      <w:r w:rsidRPr="00AC3FB3">
        <w:rPr>
          <w:rFonts w:ascii="Arial Narrow" w:eastAsiaTheme="minorEastAsia" w:hAnsi="Arial Narrow"/>
          <w:sz w:val="20"/>
          <w:szCs w:val="20"/>
          <w:highlight w:val="yellow"/>
          <w:lang w:eastAsia="zh-CN"/>
        </w:rPr>
        <w:tab/>
        <w:t>If any statin scripts post ezetimibe initiation (365 days) at higher dose than last statin strength dispensed before starting ezetimibe</w:t>
      </w:r>
    </w:p>
    <w:p w:rsidR="002D2F13" w:rsidRPr="00AC3FB3" w:rsidRDefault="002D2F13" w:rsidP="005A2287">
      <w:pPr>
        <w:tabs>
          <w:tab w:val="left" w:pos="284"/>
        </w:tabs>
        <w:spacing w:after="0" w:line="240" w:lineRule="auto"/>
        <w:ind w:right="-188"/>
        <w:rPr>
          <w:rFonts w:ascii="Arial Narrow" w:eastAsiaTheme="minorEastAsia" w:hAnsi="Arial Narrow"/>
          <w:sz w:val="20"/>
          <w:szCs w:val="20"/>
          <w:highlight w:val="yellow"/>
          <w:lang w:eastAsia="zh-CN"/>
        </w:rPr>
      </w:pPr>
      <w:r w:rsidRPr="00AC3FB3">
        <w:rPr>
          <w:rFonts w:ascii="Arial Narrow" w:eastAsiaTheme="minorEastAsia" w:hAnsi="Arial Narrow"/>
          <w:sz w:val="20"/>
          <w:szCs w:val="20"/>
          <w:highlight w:val="yellow"/>
          <w:lang w:eastAsia="zh-CN"/>
        </w:rPr>
        <w:t xml:space="preserve">** </w:t>
      </w:r>
      <w:r w:rsidRPr="00AC3FB3">
        <w:rPr>
          <w:rFonts w:ascii="Arial Narrow" w:eastAsiaTheme="minorEastAsia" w:hAnsi="Arial Narrow"/>
          <w:sz w:val="20"/>
          <w:szCs w:val="20"/>
          <w:highlight w:val="yellow"/>
          <w:lang w:eastAsia="zh-CN"/>
        </w:rPr>
        <w:tab/>
        <w:t>Patients with the highest intensity in all statins prescribed in post-ezetimibe period being equal in intensity to the last pre-ezetimibe statin</w:t>
      </w:r>
    </w:p>
    <w:p w:rsidR="002D2F13" w:rsidRPr="00AC3FB3" w:rsidRDefault="002D2F13" w:rsidP="005A2287">
      <w:pPr>
        <w:tabs>
          <w:tab w:val="left" w:pos="284"/>
        </w:tabs>
        <w:spacing w:after="0" w:line="240" w:lineRule="auto"/>
        <w:ind w:right="-188"/>
        <w:rPr>
          <w:rFonts w:ascii="Arial Narrow" w:eastAsiaTheme="minorEastAsia" w:hAnsi="Arial Narrow"/>
          <w:sz w:val="20"/>
          <w:szCs w:val="20"/>
          <w:highlight w:val="yellow"/>
          <w:lang w:eastAsia="zh-CN"/>
        </w:rPr>
      </w:pPr>
      <w:r w:rsidRPr="00AC3FB3">
        <w:rPr>
          <w:rFonts w:ascii="Arial Narrow" w:eastAsiaTheme="minorEastAsia" w:hAnsi="Arial Narrow"/>
          <w:sz w:val="20"/>
          <w:szCs w:val="20"/>
          <w:highlight w:val="yellow"/>
          <w:lang w:eastAsia="zh-CN"/>
        </w:rPr>
        <w:t xml:space="preserve">*** </w:t>
      </w:r>
      <w:r w:rsidRPr="00AC3FB3">
        <w:rPr>
          <w:rFonts w:ascii="Arial Narrow" w:eastAsiaTheme="minorEastAsia" w:hAnsi="Arial Narrow"/>
          <w:sz w:val="20"/>
          <w:szCs w:val="20"/>
          <w:highlight w:val="yellow"/>
          <w:lang w:eastAsia="zh-CN"/>
        </w:rPr>
        <w:tab/>
        <w:t>If all statin scripts post ezetimibe initiation at a lower dose than the last statin pre-ezetimibe statin script</w:t>
      </w:r>
    </w:p>
    <w:p w:rsidR="002D2F13" w:rsidRPr="00AC3FB3" w:rsidRDefault="002D2F13" w:rsidP="005A2287">
      <w:pPr>
        <w:tabs>
          <w:tab w:val="left" w:pos="284"/>
        </w:tabs>
        <w:spacing w:after="0" w:line="240" w:lineRule="auto"/>
        <w:ind w:right="-188"/>
        <w:rPr>
          <w:rFonts w:ascii="Arial Narrow" w:eastAsiaTheme="minorEastAsia" w:hAnsi="Arial Narrow"/>
          <w:sz w:val="20"/>
          <w:szCs w:val="20"/>
          <w:highlight w:val="yellow"/>
          <w:lang w:eastAsia="zh-CN"/>
        </w:rPr>
      </w:pPr>
      <w:r w:rsidRPr="00AC3FB3">
        <w:rPr>
          <w:rFonts w:ascii="Arial Narrow" w:eastAsiaTheme="minorEastAsia" w:hAnsi="Arial Narrow"/>
          <w:sz w:val="20"/>
          <w:szCs w:val="20"/>
          <w:highlight w:val="yellow"/>
          <w:vertAlign w:val="superscript"/>
          <w:lang w:eastAsia="zh-CN"/>
        </w:rPr>
        <w:t>a</w:t>
      </w:r>
      <w:r w:rsidRPr="00AC3FB3">
        <w:rPr>
          <w:rFonts w:ascii="Arial Narrow" w:eastAsiaTheme="minorEastAsia" w:hAnsi="Arial Narrow"/>
          <w:sz w:val="20"/>
          <w:szCs w:val="20"/>
          <w:highlight w:val="yellow"/>
          <w:vertAlign w:val="superscript"/>
          <w:lang w:eastAsia="zh-CN"/>
        </w:rPr>
        <w:tab/>
      </w:r>
      <w:r w:rsidRPr="00AC3FB3">
        <w:rPr>
          <w:rFonts w:ascii="Arial Narrow" w:eastAsiaTheme="minorEastAsia" w:hAnsi="Arial Narrow"/>
          <w:sz w:val="20"/>
          <w:szCs w:val="20"/>
          <w:highlight w:val="yellow"/>
          <w:lang w:eastAsia="zh-CN"/>
        </w:rPr>
        <w:t>only relevant to those initiating ezetimibe monotherapy</w:t>
      </w:r>
    </w:p>
    <w:p w:rsidR="002D2F13" w:rsidRPr="00AC3FB3" w:rsidRDefault="002D2F13" w:rsidP="005A2287">
      <w:pPr>
        <w:tabs>
          <w:tab w:val="left" w:pos="284"/>
        </w:tabs>
        <w:spacing w:after="0" w:line="240" w:lineRule="auto"/>
        <w:ind w:left="284" w:right="-188" w:hanging="284"/>
        <w:rPr>
          <w:rFonts w:ascii="Arial Narrow" w:eastAsiaTheme="minorEastAsia" w:hAnsi="Arial Narrow"/>
          <w:sz w:val="20"/>
          <w:szCs w:val="20"/>
          <w:highlight w:val="yellow"/>
          <w:lang w:eastAsia="zh-CN"/>
        </w:rPr>
      </w:pPr>
      <w:r w:rsidRPr="00AC3FB3">
        <w:rPr>
          <w:rFonts w:ascii="Arial Narrow" w:eastAsiaTheme="minorEastAsia" w:hAnsi="Arial Narrow"/>
          <w:sz w:val="20"/>
          <w:szCs w:val="20"/>
          <w:highlight w:val="yellow"/>
          <w:vertAlign w:val="superscript"/>
          <w:lang w:eastAsia="zh-CN"/>
        </w:rPr>
        <w:t>b</w:t>
      </w:r>
      <w:r w:rsidRPr="00AC3FB3">
        <w:rPr>
          <w:rFonts w:ascii="Arial Narrow" w:eastAsiaTheme="minorEastAsia" w:hAnsi="Arial Narrow"/>
          <w:sz w:val="20"/>
          <w:szCs w:val="20"/>
          <w:highlight w:val="yellow"/>
          <w:lang w:eastAsia="zh-CN"/>
        </w:rPr>
        <w:tab/>
        <w:t xml:space="preserve">applies to all initiators (ezetimibe monotherapy, ezetimibe + statin combination or ezetimibe + non-statin LLT) combination. </w:t>
      </w:r>
    </w:p>
    <w:p w:rsidR="002D2F13" w:rsidRPr="00AC3FB3" w:rsidRDefault="002D2F13" w:rsidP="005A2287">
      <w:pPr>
        <w:tabs>
          <w:tab w:val="left" w:pos="284"/>
        </w:tabs>
        <w:spacing w:after="0" w:line="240" w:lineRule="auto"/>
        <w:ind w:left="284" w:right="-188" w:hanging="284"/>
        <w:rPr>
          <w:rFonts w:ascii="Arial Narrow" w:eastAsiaTheme="minorEastAsia" w:hAnsi="Arial Narrow"/>
          <w:sz w:val="20"/>
          <w:szCs w:val="20"/>
          <w:highlight w:val="yellow"/>
          <w:lang w:eastAsia="zh-CN"/>
        </w:rPr>
      </w:pPr>
      <w:r w:rsidRPr="00AC3FB3">
        <w:rPr>
          <w:rFonts w:ascii="Arial Narrow" w:eastAsiaTheme="minorEastAsia" w:hAnsi="Arial Narrow"/>
          <w:sz w:val="20"/>
          <w:szCs w:val="20"/>
          <w:highlight w:val="yellow"/>
          <w:lang w:eastAsia="zh-CN"/>
        </w:rPr>
        <w:tab/>
        <w:t>For those initiating on ezetimibe + statin combination, this may represent the single initiating statin intensity</w:t>
      </w:r>
    </w:p>
    <w:p w:rsidR="002D2F13" w:rsidRPr="00AC3FB3" w:rsidRDefault="002D2F13" w:rsidP="005A2287">
      <w:pPr>
        <w:tabs>
          <w:tab w:val="left" w:pos="284"/>
        </w:tabs>
        <w:spacing w:after="0" w:line="240" w:lineRule="auto"/>
        <w:ind w:right="-188"/>
        <w:rPr>
          <w:rFonts w:ascii="Arial Narrow" w:eastAsiaTheme="minorEastAsia" w:hAnsi="Arial Narrow"/>
          <w:sz w:val="20"/>
          <w:szCs w:val="20"/>
          <w:highlight w:val="yellow"/>
          <w:lang w:eastAsia="zh-CN"/>
        </w:rPr>
      </w:pPr>
      <w:r w:rsidRPr="00AC3FB3">
        <w:rPr>
          <w:rFonts w:ascii="Arial Narrow" w:eastAsiaTheme="minorEastAsia" w:hAnsi="Arial Narrow"/>
          <w:sz w:val="20"/>
          <w:szCs w:val="20"/>
          <w:highlight w:val="yellow"/>
          <w:vertAlign w:val="superscript"/>
          <w:lang w:eastAsia="zh-CN"/>
        </w:rPr>
        <w:t>c</w:t>
      </w:r>
      <w:r w:rsidRPr="00AC3FB3">
        <w:rPr>
          <w:rFonts w:ascii="Arial Narrow" w:eastAsiaTheme="minorEastAsia" w:hAnsi="Arial Narrow"/>
          <w:sz w:val="20"/>
          <w:szCs w:val="20"/>
          <w:highlight w:val="yellow"/>
          <w:lang w:eastAsia="zh-CN"/>
        </w:rPr>
        <w:tab/>
        <w:t>only relevant to those initiating ezetimibe monotherapy and ezetimibe + non-statin LLT combination therapy</w:t>
      </w:r>
    </w:p>
    <w:p w:rsidR="009C01A7" w:rsidRPr="00AC3FB3" w:rsidRDefault="009C01A7" w:rsidP="005A2287">
      <w:pPr>
        <w:spacing w:after="240" w:line="240" w:lineRule="auto"/>
        <w:rPr>
          <w:rFonts w:asciiTheme="minorHAnsi" w:hAnsiTheme="minorHAnsi"/>
          <w:highlight w:val="yellow"/>
        </w:rPr>
      </w:pPr>
    </w:p>
    <w:p w:rsidR="009C01A7" w:rsidRPr="00AC3FB3" w:rsidRDefault="009C01A7" w:rsidP="00920324">
      <w:pPr>
        <w:spacing w:after="240" w:line="240" w:lineRule="auto"/>
        <w:rPr>
          <w:rFonts w:asciiTheme="minorHAnsi" w:hAnsiTheme="minorHAnsi" w:cstheme="minorHAnsi"/>
          <w:szCs w:val="20"/>
          <w:highlight w:val="yellow"/>
        </w:rPr>
      </w:pPr>
      <w:r w:rsidRPr="00AC3FB3">
        <w:rPr>
          <w:rFonts w:asciiTheme="minorHAnsi" w:hAnsiTheme="minorHAnsi" w:cstheme="minorHAnsi"/>
          <w:szCs w:val="20"/>
          <w:highlight w:val="yellow"/>
        </w:rPr>
        <w:t xml:space="preserve">Of the 45,645 patients included in </w:t>
      </w:r>
      <w:r w:rsidR="001751C4">
        <w:rPr>
          <w:rFonts w:asciiTheme="minorHAnsi" w:hAnsiTheme="minorHAnsi" w:cstheme="minorHAnsi"/>
          <w:szCs w:val="20"/>
          <w:highlight w:val="yellow"/>
        </w:rPr>
        <w:t xml:space="preserve">the March 2017 </w:t>
      </w:r>
      <w:r w:rsidR="004576DF" w:rsidRPr="00AC3FB3">
        <w:rPr>
          <w:rFonts w:asciiTheme="minorHAnsi" w:hAnsiTheme="minorHAnsi" w:cstheme="minorHAnsi"/>
          <w:szCs w:val="20"/>
          <w:highlight w:val="yellow"/>
        </w:rPr>
        <w:t>A</w:t>
      </w:r>
      <w:r w:rsidRPr="00AC3FB3">
        <w:rPr>
          <w:rFonts w:asciiTheme="minorHAnsi" w:hAnsiTheme="minorHAnsi" w:cstheme="minorHAnsi"/>
          <w:szCs w:val="20"/>
          <w:highlight w:val="yellow"/>
        </w:rPr>
        <w:t>nalysis</w:t>
      </w:r>
      <w:r w:rsidR="004576DF" w:rsidRPr="00AC3FB3">
        <w:rPr>
          <w:rFonts w:asciiTheme="minorHAnsi" w:hAnsiTheme="minorHAnsi" w:cstheme="minorHAnsi"/>
          <w:szCs w:val="20"/>
          <w:highlight w:val="yellow"/>
        </w:rPr>
        <w:t xml:space="preserve"> </w:t>
      </w:r>
      <w:r w:rsidRPr="00AC3FB3">
        <w:rPr>
          <w:rFonts w:asciiTheme="minorHAnsi" w:hAnsiTheme="minorHAnsi" w:cstheme="minorHAnsi"/>
          <w:szCs w:val="20"/>
          <w:highlight w:val="yellow"/>
        </w:rPr>
        <w:t>(Cohorts 1 and 2):</w:t>
      </w:r>
    </w:p>
    <w:p w:rsidR="009C01A7" w:rsidRPr="00AC3FB3" w:rsidRDefault="009C01A7">
      <w:pPr>
        <w:pStyle w:val="ListParagraph"/>
        <w:numPr>
          <w:ilvl w:val="0"/>
          <w:numId w:val="36"/>
        </w:numPr>
        <w:spacing w:after="240" w:line="240" w:lineRule="auto"/>
        <w:ind w:left="284" w:hanging="284"/>
        <w:rPr>
          <w:rFonts w:asciiTheme="minorHAnsi" w:hAnsiTheme="minorHAnsi" w:cstheme="minorHAnsi"/>
          <w:highlight w:val="yellow"/>
        </w:rPr>
      </w:pPr>
      <w:r w:rsidRPr="00AC3FB3">
        <w:rPr>
          <w:rFonts w:asciiTheme="minorHAnsi" w:hAnsiTheme="minorHAnsi" w:cstheme="minorHAnsi"/>
          <w:szCs w:val="20"/>
          <w:highlight w:val="yellow"/>
        </w:rPr>
        <w:t xml:space="preserve">143 + 21,243 = 21,386 (46.9%) filled LLT prescriptions in a manner that </w:t>
      </w:r>
      <w:r w:rsidRPr="00AC3FB3">
        <w:rPr>
          <w:rFonts w:asciiTheme="minorHAnsi" w:hAnsiTheme="minorHAnsi" w:cstheme="minorHAnsi"/>
          <w:i/>
          <w:szCs w:val="20"/>
          <w:highlight w:val="yellow"/>
        </w:rPr>
        <w:t>was in accordance with the PBS restriction</w:t>
      </w:r>
      <w:r w:rsidRPr="00AC3FB3">
        <w:rPr>
          <w:rFonts w:asciiTheme="minorHAnsi" w:hAnsiTheme="minorHAnsi" w:cstheme="minorHAnsi"/>
          <w:szCs w:val="20"/>
          <w:highlight w:val="yellow"/>
        </w:rPr>
        <w:t xml:space="preserve"> for ezetimibe;</w:t>
      </w:r>
    </w:p>
    <w:p w:rsidR="009C01A7" w:rsidRPr="00AC3FB3" w:rsidRDefault="009C01A7">
      <w:pPr>
        <w:pStyle w:val="ListParagraph"/>
        <w:numPr>
          <w:ilvl w:val="0"/>
          <w:numId w:val="36"/>
        </w:numPr>
        <w:spacing w:after="240" w:line="240" w:lineRule="auto"/>
        <w:ind w:left="284" w:hanging="284"/>
        <w:rPr>
          <w:rFonts w:asciiTheme="minorHAnsi" w:hAnsiTheme="minorHAnsi" w:cstheme="minorHAnsi"/>
          <w:highlight w:val="yellow"/>
        </w:rPr>
      </w:pPr>
      <w:r w:rsidRPr="00AC3FB3">
        <w:rPr>
          <w:rFonts w:asciiTheme="minorHAnsi" w:hAnsiTheme="minorHAnsi"/>
          <w:highlight w:val="yellow"/>
        </w:rPr>
        <w:t xml:space="preserve">3,647 + 4,713 = </w:t>
      </w:r>
      <w:r w:rsidRPr="00AC3FB3">
        <w:rPr>
          <w:rFonts w:asciiTheme="minorHAnsi" w:hAnsiTheme="minorHAnsi" w:cstheme="minorHAnsi"/>
          <w:szCs w:val="20"/>
          <w:highlight w:val="yellow"/>
        </w:rPr>
        <w:t xml:space="preserve">8,360 (18.4%) filled LLT prescriptions in a manner that was </w:t>
      </w:r>
      <w:r w:rsidRPr="00AC3FB3">
        <w:rPr>
          <w:rFonts w:asciiTheme="minorHAnsi" w:hAnsiTheme="minorHAnsi" w:cstheme="minorHAnsi"/>
          <w:i/>
          <w:szCs w:val="20"/>
          <w:highlight w:val="yellow"/>
        </w:rPr>
        <w:t>not in accordance with the PBS restriction</w:t>
      </w:r>
      <w:r w:rsidRPr="00AC3FB3">
        <w:rPr>
          <w:rFonts w:asciiTheme="minorHAnsi" w:hAnsiTheme="minorHAnsi" w:cstheme="minorHAnsi"/>
          <w:szCs w:val="20"/>
          <w:highlight w:val="yellow"/>
        </w:rPr>
        <w:t xml:space="preserve"> for ezetimibe; and </w:t>
      </w:r>
    </w:p>
    <w:p w:rsidR="009C01A7" w:rsidRPr="00AC3FB3" w:rsidRDefault="009C01A7">
      <w:pPr>
        <w:pStyle w:val="ListParagraph"/>
        <w:numPr>
          <w:ilvl w:val="0"/>
          <w:numId w:val="36"/>
        </w:numPr>
        <w:spacing w:after="240" w:line="240" w:lineRule="auto"/>
        <w:ind w:left="284" w:hanging="284"/>
        <w:rPr>
          <w:rFonts w:asciiTheme="minorHAnsi" w:hAnsiTheme="minorHAnsi"/>
          <w:highlight w:val="yellow"/>
        </w:rPr>
      </w:pPr>
      <w:r w:rsidRPr="00AC3FB3">
        <w:rPr>
          <w:rFonts w:asciiTheme="minorHAnsi" w:hAnsiTheme="minorHAnsi"/>
          <w:highlight w:val="yellow"/>
        </w:rPr>
        <w:t>3,148+ 12,751 = 15,899 (</w:t>
      </w:r>
      <w:r w:rsidRPr="00AC3FB3">
        <w:rPr>
          <w:rFonts w:asciiTheme="minorHAnsi" w:hAnsiTheme="minorHAnsi" w:cstheme="minorHAnsi"/>
          <w:szCs w:val="20"/>
          <w:highlight w:val="yellow"/>
        </w:rPr>
        <w:t>34.8</w:t>
      </w:r>
      <w:r w:rsidRPr="00AC3FB3">
        <w:rPr>
          <w:rFonts w:asciiTheme="minorHAnsi" w:hAnsiTheme="minorHAnsi"/>
          <w:highlight w:val="yellow"/>
        </w:rPr>
        <w:t xml:space="preserve">%) </w:t>
      </w:r>
      <w:r w:rsidRPr="00AC3FB3">
        <w:rPr>
          <w:rFonts w:asciiTheme="minorHAnsi" w:hAnsiTheme="minorHAnsi" w:cstheme="minorHAnsi"/>
          <w:szCs w:val="20"/>
          <w:highlight w:val="yellow"/>
        </w:rPr>
        <w:t xml:space="preserve">filled LLT prescriptions </w:t>
      </w:r>
      <w:r w:rsidRPr="00AC3FB3">
        <w:rPr>
          <w:rFonts w:asciiTheme="minorHAnsi" w:hAnsiTheme="minorHAnsi"/>
          <w:highlight w:val="yellow"/>
        </w:rPr>
        <w:t xml:space="preserve">in a manner in </w:t>
      </w:r>
      <w:r w:rsidRPr="00AC3FB3">
        <w:rPr>
          <w:rFonts w:asciiTheme="minorHAnsi" w:hAnsiTheme="minorHAnsi"/>
          <w:i/>
          <w:highlight w:val="yellow"/>
        </w:rPr>
        <w:t>which accordance with the PBS restriction for ezetimibe is unknown.</w:t>
      </w:r>
    </w:p>
    <w:p w:rsidR="0000686B" w:rsidRDefault="003848A8" w:rsidP="005A2287">
      <w:pPr>
        <w:pStyle w:val="Heading2"/>
      </w:pPr>
      <w:bookmarkStart w:id="52" w:name="_Toc482176946"/>
      <w:r>
        <w:t>1</w:t>
      </w:r>
      <w:r w:rsidR="00C05E80">
        <w:t>.</w:t>
      </w:r>
      <w:r w:rsidR="0000686B">
        <w:t>3</w:t>
      </w:r>
      <w:r w:rsidR="00F03B50">
        <w:tab/>
      </w:r>
      <w:r w:rsidR="0000686B" w:rsidRPr="00C46FCF">
        <w:t>Key issues raised by stakeholders in submissions to the Review and the forum</w:t>
      </w:r>
      <w:bookmarkEnd w:id="52"/>
    </w:p>
    <w:p w:rsidR="0000686B" w:rsidRDefault="0000686B" w:rsidP="00920324">
      <w:pPr>
        <w:spacing w:line="240" w:lineRule="auto"/>
        <w:rPr>
          <w:rFonts w:asciiTheme="minorHAnsi" w:hAnsiTheme="minorHAnsi"/>
          <w:b/>
        </w:rPr>
      </w:pPr>
      <w:r w:rsidRPr="00C46FCF">
        <w:rPr>
          <w:rFonts w:asciiTheme="minorHAnsi" w:hAnsiTheme="minorHAnsi"/>
        </w:rPr>
        <w:t xml:space="preserve">Details of the submissions to the Review and </w:t>
      </w:r>
      <w:r>
        <w:rPr>
          <w:rFonts w:asciiTheme="minorHAnsi" w:hAnsiTheme="minorHAnsi"/>
        </w:rPr>
        <w:t xml:space="preserve">responses to </w:t>
      </w:r>
      <w:r w:rsidRPr="00C46FCF">
        <w:rPr>
          <w:rFonts w:asciiTheme="minorHAnsi" w:hAnsiTheme="minorHAnsi"/>
        </w:rPr>
        <w:t xml:space="preserve">the November 2016 </w:t>
      </w:r>
      <w:r>
        <w:rPr>
          <w:rFonts w:asciiTheme="minorHAnsi" w:hAnsiTheme="minorHAnsi"/>
        </w:rPr>
        <w:t>S</w:t>
      </w:r>
      <w:r w:rsidRPr="00C46FCF">
        <w:rPr>
          <w:rFonts w:asciiTheme="minorHAnsi" w:hAnsiTheme="minorHAnsi"/>
        </w:rPr>
        <w:t xml:space="preserve">takeholder </w:t>
      </w:r>
      <w:r>
        <w:rPr>
          <w:rFonts w:asciiTheme="minorHAnsi" w:hAnsiTheme="minorHAnsi"/>
        </w:rPr>
        <w:t>F</w:t>
      </w:r>
      <w:r w:rsidRPr="00C46FCF">
        <w:rPr>
          <w:rFonts w:asciiTheme="minorHAnsi" w:hAnsiTheme="minorHAnsi"/>
        </w:rPr>
        <w:t xml:space="preserve">orum </w:t>
      </w:r>
      <w:r>
        <w:rPr>
          <w:rFonts w:asciiTheme="minorHAnsi" w:hAnsiTheme="minorHAnsi"/>
        </w:rPr>
        <w:t xml:space="preserve">Outcome Statement </w:t>
      </w:r>
      <w:r w:rsidRPr="00C46FCF">
        <w:rPr>
          <w:rFonts w:asciiTheme="minorHAnsi" w:hAnsiTheme="minorHAnsi"/>
        </w:rPr>
        <w:t xml:space="preserve">are provided in </w:t>
      </w:r>
      <w:r w:rsidRPr="00C46FCF">
        <w:rPr>
          <w:rFonts w:asciiTheme="minorHAnsi" w:hAnsiTheme="minorHAnsi"/>
          <w:b/>
        </w:rPr>
        <w:t>A</w:t>
      </w:r>
      <w:r>
        <w:rPr>
          <w:rFonts w:asciiTheme="minorHAnsi" w:hAnsiTheme="minorHAnsi"/>
          <w:b/>
        </w:rPr>
        <w:t xml:space="preserve">ppendix F </w:t>
      </w:r>
      <w:r w:rsidRPr="00E6660E">
        <w:rPr>
          <w:rFonts w:asciiTheme="minorHAnsi" w:hAnsiTheme="minorHAnsi"/>
        </w:rPr>
        <w:t>and</w:t>
      </w:r>
      <w:r>
        <w:rPr>
          <w:rFonts w:asciiTheme="minorHAnsi" w:hAnsiTheme="minorHAnsi"/>
          <w:b/>
        </w:rPr>
        <w:t xml:space="preserve"> Appendix H</w:t>
      </w:r>
      <w:r w:rsidRPr="00C46FCF">
        <w:rPr>
          <w:rFonts w:asciiTheme="minorHAnsi" w:hAnsiTheme="minorHAnsi"/>
          <w:b/>
        </w:rPr>
        <w:t xml:space="preserve">. </w:t>
      </w:r>
      <w:r>
        <w:rPr>
          <w:rFonts w:asciiTheme="minorHAnsi" w:hAnsiTheme="minorHAnsi"/>
          <w:b/>
        </w:rPr>
        <w:t xml:space="preserve"> </w:t>
      </w:r>
    </w:p>
    <w:p w:rsidR="0000686B" w:rsidRPr="002F173B" w:rsidRDefault="003848A8" w:rsidP="005A2287">
      <w:pPr>
        <w:pStyle w:val="Heading3"/>
        <w:jc w:val="left"/>
      </w:pPr>
      <w:bookmarkStart w:id="53" w:name="_Toc482176947"/>
      <w:r>
        <w:t>1</w:t>
      </w:r>
      <w:r w:rsidR="00C05E80">
        <w:t>.</w:t>
      </w:r>
      <w:r w:rsidR="0000686B">
        <w:t>3.1</w:t>
      </w:r>
      <w:r w:rsidR="0000686B">
        <w:tab/>
        <w:t>Stakeholder submissions to the review</w:t>
      </w:r>
      <w:bookmarkEnd w:id="53"/>
    </w:p>
    <w:p w:rsidR="0000686B" w:rsidRPr="00C32CA4" w:rsidRDefault="002B63EB" w:rsidP="00920324">
      <w:pPr>
        <w:spacing w:line="240" w:lineRule="auto"/>
        <w:rPr>
          <w:rFonts w:asciiTheme="minorHAnsi" w:hAnsiTheme="minorHAnsi"/>
        </w:rPr>
      </w:pPr>
      <w:r>
        <w:rPr>
          <w:rFonts w:asciiTheme="minorHAnsi" w:hAnsiTheme="minorHAnsi"/>
        </w:rPr>
        <w:t>In the seven week public consultation held between 4 March and 22 April 2016 s</w:t>
      </w:r>
      <w:r w:rsidR="0000686B">
        <w:rPr>
          <w:rFonts w:asciiTheme="minorHAnsi" w:hAnsiTheme="minorHAnsi"/>
        </w:rPr>
        <w:t>takeholders raised t</w:t>
      </w:r>
      <w:r w:rsidR="0000686B" w:rsidRPr="00C32CA4">
        <w:rPr>
          <w:rFonts w:asciiTheme="minorHAnsi" w:hAnsiTheme="minorHAnsi"/>
        </w:rPr>
        <w:t xml:space="preserve">he following </w:t>
      </w:r>
      <w:r w:rsidR="0000686B">
        <w:rPr>
          <w:rFonts w:asciiTheme="minorHAnsi" w:hAnsiTheme="minorHAnsi"/>
        </w:rPr>
        <w:t xml:space="preserve">key </w:t>
      </w:r>
      <w:r w:rsidR="0000686B" w:rsidRPr="00C32CA4">
        <w:rPr>
          <w:rFonts w:asciiTheme="minorHAnsi" w:hAnsiTheme="minorHAnsi"/>
        </w:rPr>
        <w:t xml:space="preserve">points </w:t>
      </w:r>
      <w:r>
        <w:rPr>
          <w:rFonts w:asciiTheme="minorHAnsi" w:hAnsiTheme="minorHAnsi"/>
        </w:rPr>
        <w:t xml:space="preserve">in </w:t>
      </w:r>
      <w:r w:rsidR="0000686B">
        <w:rPr>
          <w:rFonts w:asciiTheme="minorHAnsi" w:hAnsiTheme="minorHAnsi"/>
        </w:rPr>
        <w:t>in relation to Term of Reference 1:</w:t>
      </w:r>
    </w:p>
    <w:p w:rsidR="0000686B" w:rsidRPr="00C46FCF" w:rsidRDefault="0000686B">
      <w:pPr>
        <w:numPr>
          <w:ilvl w:val="0"/>
          <w:numId w:val="8"/>
        </w:numPr>
        <w:spacing w:after="120" w:line="240" w:lineRule="auto"/>
        <w:ind w:left="714" w:hanging="357"/>
        <w:rPr>
          <w:rFonts w:asciiTheme="minorHAnsi" w:hAnsiTheme="minorHAnsi"/>
        </w:rPr>
      </w:pPr>
      <w:r w:rsidRPr="00C46FCF">
        <w:rPr>
          <w:rFonts w:asciiTheme="minorHAnsi" w:hAnsiTheme="minorHAnsi"/>
        </w:rPr>
        <w:t xml:space="preserve">The majority of prescriptions are written by prescribers in the community setting. </w:t>
      </w:r>
    </w:p>
    <w:p w:rsidR="0000686B" w:rsidRDefault="0000686B">
      <w:pPr>
        <w:pStyle w:val="ListParagraph"/>
        <w:numPr>
          <w:ilvl w:val="0"/>
          <w:numId w:val="8"/>
        </w:numPr>
        <w:spacing w:after="120" w:line="240" w:lineRule="auto"/>
        <w:ind w:left="714" w:hanging="357"/>
        <w:contextualSpacing w:val="0"/>
        <w:rPr>
          <w:rFonts w:asciiTheme="minorHAnsi" w:hAnsiTheme="minorHAnsi"/>
        </w:rPr>
      </w:pPr>
      <w:r w:rsidRPr="00C32CA4">
        <w:rPr>
          <w:rFonts w:asciiTheme="minorHAnsi" w:hAnsiTheme="minorHAnsi"/>
        </w:rPr>
        <w:t>Access to non-statin therapies is important for patients who are unable to achieve treatment targets, or for those who are unable to tolerate statins.</w:t>
      </w:r>
    </w:p>
    <w:p w:rsidR="0000686B" w:rsidRPr="00C32CA4" w:rsidRDefault="0000686B">
      <w:pPr>
        <w:pStyle w:val="ListParagraph"/>
        <w:numPr>
          <w:ilvl w:val="0"/>
          <w:numId w:val="8"/>
        </w:numPr>
        <w:spacing w:after="120" w:line="240" w:lineRule="auto"/>
        <w:ind w:left="714" w:hanging="357"/>
        <w:contextualSpacing w:val="0"/>
        <w:rPr>
          <w:rFonts w:asciiTheme="minorHAnsi" w:hAnsiTheme="minorHAnsi"/>
        </w:rPr>
      </w:pPr>
      <w:r w:rsidRPr="00C32CA4">
        <w:rPr>
          <w:rFonts w:asciiTheme="minorHAnsi" w:hAnsiTheme="minorHAnsi"/>
        </w:rPr>
        <w:t>Ezetimibe is the predominant non-statin therapy reflecting the focus on LDL-C as the primary treatment target.</w:t>
      </w:r>
    </w:p>
    <w:p w:rsidR="0000686B" w:rsidRPr="0079040D" w:rsidRDefault="0000686B">
      <w:pPr>
        <w:numPr>
          <w:ilvl w:val="0"/>
          <w:numId w:val="8"/>
        </w:numPr>
        <w:spacing w:after="120" w:line="240" w:lineRule="auto"/>
        <w:ind w:left="714" w:hanging="357"/>
        <w:rPr>
          <w:rFonts w:asciiTheme="minorHAnsi" w:hAnsiTheme="minorHAnsi"/>
        </w:rPr>
      </w:pPr>
      <w:r>
        <w:rPr>
          <w:rFonts w:asciiTheme="minorHAnsi" w:hAnsiTheme="minorHAnsi"/>
        </w:rPr>
        <w:t xml:space="preserve">The </w:t>
      </w:r>
      <w:r w:rsidR="002B63EB">
        <w:rPr>
          <w:rFonts w:asciiTheme="minorHAnsi" w:hAnsiTheme="minorHAnsi"/>
        </w:rPr>
        <w:t xml:space="preserve">submission from the sponsor of ezetimibe </w:t>
      </w:r>
      <w:r w:rsidRPr="00C46FCF">
        <w:rPr>
          <w:rFonts w:asciiTheme="minorHAnsi" w:hAnsiTheme="minorHAnsi"/>
        </w:rPr>
        <w:t>included an analysis of PBS data (10% sample) between 2010 and 2015</w:t>
      </w:r>
      <w:r>
        <w:rPr>
          <w:rFonts w:asciiTheme="minorHAnsi" w:hAnsiTheme="minorHAnsi"/>
        </w:rPr>
        <w:t xml:space="preserve">. </w:t>
      </w:r>
      <w:r w:rsidRPr="00C46FCF">
        <w:rPr>
          <w:rFonts w:asciiTheme="minorHAnsi" w:hAnsiTheme="minorHAnsi"/>
        </w:rPr>
        <w:t xml:space="preserve">The sponsor claims that </w:t>
      </w:r>
      <w:r>
        <w:rPr>
          <w:rFonts w:asciiTheme="minorHAnsi" w:hAnsiTheme="minorHAnsi"/>
        </w:rPr>
        <w:t xml:space="preserve">88.5% </w:t>
      </w:r>
      <w:r w:rsidRPr="00C46FCF">
        <w:rPr>
          <w:rFonts w:asciiTheme="minorHAnsi" w:hAnsiTheme="minorHAnsi"/>
        </w:rPr>
        <w:t xml:space="preserve">percent of all PBS use of ezetimibe is in accordance with the PBS restriction. </w:t>
      </w:r>
      <w:r w:rsidRPr="0079040D">
        <w:rPr>
          <w:rFonts w:asciiTheme="minorHAnsi" w:hAnsiTheme="minorHAnsi"/>
        </w:rPr>
        <w:t>This analysis was limited to concessional patients and is potentially misleading as individual patients had the potential to initiate ezetimibe and ezetimibe/statin FDC on multiple occasions.</w:t>
      </w:r>
    </w:p>
    <w:p w:rsidR="0000686B" w:rsidRPr="002F173B" w:rsidRDefault="003848A8" w:rsidP="005A2287">
      <w:pPr>
        <w:pStyle w:val="Heading3"/>
        <w:jc w:val="left"/>
      </w:pPr>
      <w:bookmarkStart w:id="54" w:name="_Toc482176948"/>
      <w:r>
        <w:lastRenderedPageBreak/>
        <w:t>1</w:t>
      </w:r>
      <w:r w:rsidR="00C05E80">
        <w:t>.</w:t>
      </w:r>
      <w:r w:rsidR="0000686B">
        <w:t>3.2</w:t>
      </w:r>
      <w:r w:rsidR="0000686B">
        <w:tab/>
      </w:r>
      <w:r w:rsidR="0000686B" w:rsidRPr="002F173B">
        <w:t>Outcomes from the stakeholder forum</w:t>
      </w:r>
      <w:bookmarkEnd w:id="54"/>
    </w:p>
    <w:p w:rsidR="0000686B" w:rsidRDefault="0000686B" w:rsidP="00920324">
      <w:pPr>
        <w:spacing w:line="240" w:lineRule="auto"/>
        <w:rPr>
          <w:rFonts w:asciiTheme="minorHAnsi" w:hAnsiTheme="minorHAnsi"/>
        </w:rPr>
      </w:pPr>
      <w:r w:rsidRPr="00EA6D21">
        <w:rPr>
          <w:rFonts w:asciiTheme="minorHAnsi" w:hAnsiTheme="minorHAnsi"/>
        </w:rPr>
        <w:t xml:space="preserve">Participants made a number of comments relevant to </w:t>
      </w:r>
      <w:r>
        <w:rPr>
          <w:rFonts w:asciiTheme="minorHAnsi" w:hAnsiTheme="minorHAnsi"/>
        </w:rPr>
        <w:t xml:space="preserve">the evidence collated under </w:t>
      </w:r>
      <w:r w:rsidRPr="00EA6D21">
        <w:rPr>
          <w:rFonts w:asciiTheme="minorHAnsi" w:hAnsiTheme="minorHAnsi"/>
        </w:rPr>
        <w:t>T</w:t>
      </w:r>
      <w:r>
        <w:rPr>
          <w:rFonts w:asciiTheme="minorHAnsi" w:hAnsiTheme="minorHAnsi"/>
        </w:rPr>
        <w:t xml:space="preserve">erm </w:t>
      </w:r>
      <w:r w:rsidRPr="00EA6D21">
        <w:rPr>
          <w:rFonts w:asciiTheme="minorHAnsi" w:hAnsiTheme="minorHAnsi"/>
        </w:rPr>
        <w:t>o</w:t>
      </w:r>
      <w:r>
        <w:rPr>
          <w:rFonts w:asciiTheme="minorHAnsi" w:hAnsiTheme="minorHAnsi"/>
        </w:rPr>
        <w:t xml:space="preserve">f </w:t>
      </w:r>
      <w:r w:rsidRPr="00EA6D21">
        <w:rPr>
          <w:rFonts w:asciiTheme="minorHAnsi" w:hAnsiTheme="minorHAnsi"/>
        </w:rPr>
        <w:t>R</w:t>
      </w:r>
      <w:r>
        <w:rPr>
          <w:rFonts w:asciiTheme="minorHAnsi" w:hAnsiTheme="minorHAnsi"/>
        </w:rPr>
        <w:t>eference</w:t>
      </w:r>
      <w:r w:rsidRPr="00EA6D21">
        <w:rPr>
          <w:rFonts w:asciiTheme="minorHAnsi" w:hAnsiTheme="minorHAnsi"/>
        </w:rPr>
        <w:t xml:space="preserve"> 1</w:t>
      </w:r>
      <w:r>
        <w:rPr>
          <w:rFonts w:asciiTheme="minorHAnsi" w:hAnsiTheme="minorHAnsi"/>
        </w:rPr>
        <w:t xml:space="preserve"> and </w:t>
      </w:r>
      <w:r w:rsidR="002B63EB">
        <w:rPr>
          <w:rFonts w:asciiTheme="minorHAnsi" w:hAnsiTheme="minorHAnsi"/>
        </w:rPr>
        <w:t xml:space="preserve">the </w:t>
      </w:r>
      <w:r>
        <w:rPr>
          <w:rFonts w:asciiTheme="minorHAnsi" w:hAnsiTheme="minorHAnsi"/>
        </w:rPr>
        <w:t>questions posed by the Reference Group.</w:t>
      </w:r>
    </w:p>
    <w:p w:rsidR="0000686B" w:rsidRDefault="0000686B">
      <w:pPr>
        <w:spacing w:line="240" w:lineRule="auto"/>
        <w:rPr>
          <w:rFonts w:asciiTheme="minorHAnsi" w:hAnsiTheme="minorHAnsi"/>
        </w:rPr>
      </w:pPr>
      <w:r w:rsidRPr="00F1192F">
        <w:rPr>
          <w:rFonts w:asciiTheme="minorHAnsi" w:hAnsiTheme="minorHAnsi"/>
        </w:rPr>
        <w:t xml:space="preserve">In relation to the study findings that </w:t>
      </w:r>
      <w:r w:rsidR="002B63EB">
        <w:rPr>
          <w:rFonts w:asciiTheme="minorHAnsi" w:hAnsiTheme="minorHAnsi"/>
        </w:rPr>
        <w:t>68.9</w:t>
      </w:r>
      <w:r w:rsidRPr="00F1192F">
        <w:rPr>
          <w:rFonts w:asciiTheme="minorHAnsi" w:hAnsiTheme="minorHAnsi"/>
        </w:rPr>
        <w:t>% of Cohort 2 patients had not had their statin dose increased, it was suggested that clinicians may be choosing to not titrate to the maximum tolerated dose to avoid side-effects such as muscle aches and pains.</w:t>
      </w:r>
    </w:p>
    <w:p w:rsidR="0000686B" w:rsidRPr="001A6A79" w:rsidRDefault="0000686B">
      <w:pPr>
        <w:pStyle w:val="BodyText"/>
        <w:spacing w:after="200" w:line="240" w:lineRule="auto"/>
        <w:rPr>
          <w:rFonts w:asciiTheme="minorHAnsi" w:hAnsiTheme="minorHAnsi"/>
        </w:rPr>
      </w:pPr>
      <w:r w:rsidRPr="00AD5EE7">
        <w:rPr>
          <w:rFonts w:asciiTheme="minorHAnsi" w:hAnsiTheme="minorHAnsi"/>
        </w:rPr>
        <w:t>In considering sources of evidence available to assist in determining the size of the population truly contraindicated to statins</w:t>
      </w:r>
      <w:r>
        <w:rPr>
          <w:rFonts w:asciiTheme="minorHAnsi" w:hAnsiTheme="minorHAnsi"/>
        </w:rPr>
        <w:t xml:space="preserve">, participants </w:t>
      </w:r>
      <w:r w:rsidRPr="00AD5EE7">
        <w:rPr>
          <w:rFonts w:asciiTheme="minorHAnsi" w:hAnsiTheme="minorHAnsi"/>
        </w:rPr>
        <w:t xml:space="preserve">acknowledged that there were studies available and agreed to provide </w:t>
      </w:r>
      <w:r>
        <w:rPr>
          <w:rFonts w:asciiTheme="minorHAnsi" w:hAnsiTheme="minorHAnsi"/>
        </w:rPr>
        <w:t>information</w:t>
      </w:r>
      <w:r w:rsidRPr="00AD5EE7">
        <w:rPr>
          <w:rFonts w:asciiTheme="minorHAnsi" w:hAnsiTheme="minorHAnsi"/>
        </w:rPr>
        <w:t xml:space="preserve"> to the Review Secretariat.</w:t>
      </w:r>
      <w:r>
        <w:rPr>
          <w:rFonts w:asciiTheme="minorHAnsi" w:hAnsiTheme="minorHAnsi"/>
        </w:rPr>
        <w:t xml:space="preserve"> </w:t>
      </w:r>
      <w:r w:rsidRPr="001A6A79">
        <w:rPr>
          <w:rFonts w:asciiTheme="minorHAnsi" w:hAnsiTheme="minorHAnsi"/>
          <w:highlight w:val="yellow"/>
        </w:rPr>
        <w:t>Following the stakeholder forum the citations were provided by the sponsor.</w:t>
      </w:r>
      <w:r w:rsidRPr="001A6A79">
        <w:rPr>
          <w:rFonts w:asciiTheme="minorHAnsi" w:hAnsiTheme="minorHAnsi"/>
        </w:rPr>
        <w:t xml:space="preserve"> </w:t>
      </w:r>
    </w:p>
    <w:p w:rsidR="0000686B" w:rsidRDefault="0000686B">
      <w:pPr>
        <w:pStyle w:val="BodyText"/>
        <w:spacing w:after="200" w:line="240" w:lineRule="auto"/>
        <w:rPr>
          <w:rFonts w:asciiTheme="minorHAnsi" w:hAnsiTheme="minorHAnsi"/>
        </w:rPr>
      </w:pPr>
      <w:r>
        <w:rPr>
          <w:rFonts w:asciiTheme="minorHAnsi" w:hAnsiTheme="minorHAnsi"/>
        </w:rPr>
        <w:t>The difference between intolerance and contraindication was discussed. Participants suggested that although pat</w:t>
      </w:r>
      <w:r w:rsidRPr="00AD5EE7">
        <w:rPr>
          <w:rFonts w:asciiTheme="minorHAnsi" w:hAnsiTheme="minorHAnsi"/>
        </w:rPr>
        <w:t>ients s</w:t>
      </w:r>
      <w:r>
        <w:rPr>
          <w:rFonts w:asciiTheme="minorHAnsi" w:hAnsiTheme="minorHAnsi"/>
        </w:rPr>
        <w:t xml:space="preserve">ay </w:t>
      </w:r>
      <w:r w:rsidRPr="00AD5EE7">
        <w:rPr>
          <w:rFonts w:asciiTheme="minorHAnsi" w:hAnsiTheme="minorHAnsi"/>
        </w:rPr>
        <w:t>they are intolerant</w:t>
      </w:r>
      <w:r>
        <w:rPr>
          <w:rFonts w:asciiTheme="minorHAnsi" w:hAnsiTheme="minorHAnsi"/>
        </w:rPr>
        <w:t xml:space="preserve"> to statin therapy</w:t>
      </w:r>
      <w:r w:rsidRPr="00AD5EE7">
        <w:rPr>
          <w:rFonts w:asciiTheme="minorHAnsi" w:hAnsiTheme="minorHAnsi"/>
        </w:rPr>
        <w:t xml:space="preserve">, only a small proportion </w:t>
      </w:r>
      <w:r>
        <w:rPr>
          <w:rFonts w:asciiTheme="minorHAnsi" w:hAnsiTheme="minorHAnsi"/>
        </w:rPr>
        <w:t xml:space="preserve">of patients </w:t>
      </w:r>
      <w:r w:rsidRPr="00AD5EE7">
        <w:rPr>
          <w:rFonts w:asciiTheme="minorHAnsi" w:hAnsiTheme="minorHAnsi"/>
        </w:rPr>
        <w:t>are</w:t>
      </w:r>
      <w:r>
        <w:rPr>
          <w:rFonts w:asciiTheme="minorHAnsi" w:hAnsiTheme="minorHAnsi"/>
        </w:rPr>
        <w:t xml:space="preserve"> truly intolerant to statins. For example, clinical </w:t>
      </w:r>
      <w:r w:rsidRPr="00AD5EE7">
        <w:rPr>
          <w:rFonts w:asciiTheme="minorHAnsi" w:hAnsiTheme="minorHAnsi"/>
        </w:rPr>
        <w:t xml:space="preserve">trials show that </w:t>
      </w:r>
      <w:r>
        <w:rPr>
          <w:rFonts w:asciiTheme="minorHAnsi" w:hAnsiTheme="minorHAnsi"/>
        </w:rPr>
        <w:t xml:space="preserve">approximately </w:t>
      </w:r>
      <w:r w:rsidRPr="00AD5EE7">
        <w:rPr>
          <w:rFonts w:asciiTheme="minorHAnsi" w:hAnsiTheme="minorHAnsi"/>
        </w:rPr>
        <w:t xml:space="preserve">1-5% </w:t>
      </w:r>
      <w:r>
        <w:rPr>
          <w:rFonts w:asciiTheme="minorHAnsi" w:hAnsiTheme="minorHAnsi"/>
        </w:rPr>
        <w:t xml:space="preserve">of patients </w:t>
      </w:r>
      <w:r w:rsidRPr="00AD5EE7">
        <w:rPr>
          <w:rFonts w:asciiTheme="minorHAnsi" w:hAnsiTheme="minorHAnsi"/>
        </w:rPr>
        <w:t>are intolerant</w:t>
      </w:r>
      <w:r>
        <w:rPr>
          <w:rFonts w:asciiTheme="minorHAnsi" w:hAnsiTheme="minorHAnsi"/>
        </w:rPr>
        <w:t>, with possibly up to 10% of patients partially</w:t>
      </w:r>
      <w:r w:rsidRPr="00AD5EE7">
        <w:rPr>
          <w:rFonts w:asciiTheme="minorHAnsi" w:hAnsiTheme="minorHAnsi"/>
        </w:rPr>
        <w:t xml:space="preserve"> intolerant.</w:t>
      </w:r>
    </w:p>
    <w:p w:rsidR="0000686B" w:rsidRDefault="0000686B">
      <w:pPr>
        <w:spacing w:line="240" w:lineRule="auto"/>
        <w:rPr>
          <w:rFonts w:asciiTheme="minorHAnsi" w:hAnsiTheme="minorHAnsi"/>
        </w:rPr>
      </w:pPr>
      <w:r w:rsidRPr="00F1192F">
        <w:rPr>
          <w:rFonts w:asciiTheme="minorHAnsi" w:hAnsiTheme="minorHAnsi"/>
        </w:rPr>
        <w:t xml:space="preserve">Participants also commented that negative publicity from the Catalyst program (ABC, October 2013) has had a significant impact on patient perceptions and preferences and may impact on the proportion of patients that start ezetimibe without having first taken a statin. </w:t>
      </w:r>
    </w:p>
    <w:p w:rsidR="0000686B" w:rsidRPr="00EA6D21" w:rsidRDefault="0000686B">
      <w:pPr>
        <w:spacing w:line="240" w:lineRule="auto"/>
        <w:rPr>
          <w:rFonts w:asciiTheme="minorHAnsi" w:hAnsiTheme="minorHAnsi"/>
        </w:rPr>
      </w:pPr>
      <w:r>
        <w:rPr>
          <w:rFonts w:asciiTheme="minorHAnsi" w:hAnsiTheme="minorHAnsi"/>
        </w:rPr>
        <w:t xml:space="preserve">It was also suggested that in considering the rationale for initiating </w:t>
      </w:r>
      <w:r w:rsidRPr="00EA6D21">
        <w:rPr>
          <w:rFonts w:asciiTheme="minorHAnsi" w:hAnsiTheme="minorHAnsi"/>
        </w:rPr>
        <w:t>ezetimibe without first trialling a statin alone, the figure of 15% (</w:t>
      </w:r>
      <w:r w:rsidR="00BC068B">
        <w:rPr>
          <w:rFonts w:asciiTheme="minorHAnsi" w:hAnsiTheme="minorHAnsi"/>
        </w:rPr>
        <w:t>Cohort 1</w:t>
      </w:r>
      <w:r w:rsidRPr="00EA6D21">
        <w:rPr>
          <w:rFonts w:asciiTheme="minorHAnsi" w:hAnsiTheme="minorHAnsi"/>
        </w:rPr>
        <w:t xml:space="preserve"> patients </w:t>
      </w:r>
      <w:r w:rsidR="00BC068B">
        <w:rPr>
          <w:rFonts w:asciiTheme="minorHAnsi" w:hAnsiTheme="minorHAnsi"/>
        </w:rPr>
        <w:t xml:space="preserve">who </w:t>
      </w:r>
      <w:r w:rsidRPr="00EA6D21">
        <w:rPr>
          <w:rFonts w:asciiTheme="minorHAnsi" w:hAnsiTheme="minorHAnsi"/>
        </w:rPr>
        <w:t>initiated without a history of statins or other LLTs) needs to be understood in the context of:</w:t>
      </w:r>
    </w:p>
    <w:p w:rsidR="0000686B" w:rsidRPr="00EA6D21" w:rsidRDefault="0000686B">
      <w:pPr>
        <w:pStyle w:val="ListBullet"/>
        <w:spacing w:before="0" w:after="120" w:line="240" w:lineRule="auto"/>
        <w:jc w:val="both"/>
        <w:rPr>
          <w:rFonts w:eastAsiaTheme="minorHAnsi" w:cstheme="minorBidi"/>
          <w:sz w:val="24"/>
          <w:lang w:eastAsia="en-US"/>
        </w:rPr>
      </w:pPr>
      <w:r w:rsidRPr="00EA6D21">
        <w:rPr>
          <w:rFonts w:eastAsiaTheme="minorHAnsi" w:cstheme="minorBidi"/>
          <w:sz w:val="24"/>
          <w:lang w:eastAsia="en-US"/>
        </w:rPr>
        <w:t>the number of patients who are genuinely contraindicated</w:t>
      </w:r>
    </w:p>
    <w:p w:rsidR="0000686B" w:rsidRPr="00EA6D21" w:rsidRDefault="0000686B">
      <w:pPr>
        <w:pStyle w:val="ListBullet"/>
        <w:spacing w:before="0" w:after="120" w:line="240" w:lineRule="auto"/>
        <w:jc w:val="both"/>
        <w:rPr>
          <w:rFonts w:eastAsiaTheme="minorHAnsi" w:cstheme="minorBidi"/>
          <w:sz w:val="24"/>
          <w:lang w:eastAsia="en-US"/>
        </w:rPr>
      </w:pPr>
      <w:r w:rsidRPr="00EA6D21">
        <w:rPr>
          <w:rFonts w:eastAsiaTheme="minorHAnsi" w:cstheme="minorBidi"/>
          <w:sz w:val="24"/>
          <w:lang w:eastAsia="en-US"/>
        </w:rPr>
        <w:t>the number of patients who had a history of statins or other LLTs beyond the two years preceding initiation of ezetimibe</w:t>
      </w:r>
    </w:p>
    <w:p w:rsidR="0000686B" w:rsidRPr="00EA6D21" w:rsidRDefault="0000686B">
      <w:pPr>
        <w:pStyle w:val="ListBullet"/>
        <w:spacing w:before="0" w:after="120" w:line="240" w:lineRule="auto"/>
        <w:jc w:val="both"/>
        <w:rPr>
          <w:rFonts w:eastAsiaTheme="minorHAnsi" w:cstheme="minorBidi"/>
          <w:sz w:val="24"/>
          <w:lang w:eastAsia="en-US"/>
        </w:rPr>
      </w:pPr>
      <w:r w:rsidRPr="00EA6D21">
        <w:rPr>
          <w:rFonts w:eastAsiaTheme="minorHAnsi" w:cstheme="minorBidi"/>
          <w:sz w:val="24"/>
          <w:lang w:eastAsia="en-US"/>
        </w:rPr>
        <w:t>the number of patients who were dispensed statins privately as the price for some products is below the non-concessional co-payment</w:t>
      </w:r>
    </w:p>
    <w:p w:rsidR="0000686B" w:rsidRDefault="0000686B">
      <w:pPr>
        <w:pStyle w:val="ListBullet"/>
        <w:spacing w:before="0" w:after="120" w:line="240" w:lineRule="auto"/>
        <w:jc w:val="both"/>
        <w:rPr>
          <w:rFonts w:eastAsiaTheme="minorHAnsi" w:cstheme="minorBidi"/>
          <w:sz w:val="24"/>
          <w:lang w:eastAsia="en-US"/>
        </w:rPr>
      </w:pPr>
      <w:r w:rsidRPr="00EA6D21">
        <w:rPr>
          <w:rFonts w:eastAsiaTheme="minorHAnsi" w:cstheme="minorBidi"/>
          <w:sz w:val="24"/>
          <w:lang w:eastAsia="en-US"/>
        </w:rPr>
        <w:t xml:space="preserve">the number of patients who are prescribed ezetimibe and whose scripts are not dispensed – this was considered to be a very small percentage and not highly relevant. </w:t>
      </w:r>
    </w:p>
    <w:p w:rsidR="0000686B" w:rsidRPr="00EA6D21" w:rsidRDefault="0000686B">
      <w:pPr>
        <w:pStyle w:val="ListBullet"/>
        <w:numPr>
          <w:ilvl w:val="0"/>
          <w:numId w:val="0"/>
        </w:numPr>
        <w:ind w:left="425"/>
        <w:jc w:val="both"/>
        <w:rPr>
          <w:rFonts w:eastAsiaTheme="minorHAnsi" w:cstheme="minorBidi"/>
          <w:sz w:val="24"/>
          <w:lang w:eastAsia="en-US"/>
        </w:rPr>
      </w:pPr>
    </w:p>
    <w:p w:rsidR="0000686B" w:rsidRPr="000B0D3B" w:rsidRDefault="0000686B">
      <w:pPr>
        <w:pStyle w:val="BodyText"/>
        <w:spacing w:after="200" w:line="240" w:lineRule="auto"/>
        <w:rPr>
          <w:rFonts w:asciiTheme="minorHAnsi" w:hAnsiTheme="minorHAnsi"/>
          <w:szCs w:val="24"/>
        </w:rPr>
      </w:pPr>
      <w:r w:rsidRPr="000B0D3B">
        <w:rPr>
          <w:rFonts w:asciiTheme="minorHAnsi" w:hAnsiTheme="minorHAnsi"/>
          <w:szCs w:val="24"/>
        </w:rPr>
        <w:t xml:space="preserve">Some clinicians commented that initiation to a statin </w:t>
      </w:r>
      <w:r w:rsidR="002B63EB">
        <w:rPr>
          <w:rFonts w:asciiTheme="minorHAnsi" w:hAnsiTheme="minorHAnsi"/>
          <w:szCs w:val="24"/>
        </w:rPr>
        <w:t xml:space="preserve">plus </w:t>
      </w:r>
      <w:r w:rsidRPr="000B0D3B">
        <w:rPr>
          <w:rFonts w:asciiTheme="minorHAnsi" w:hAnsiTheme="minorHAnsi"/>
          <w:szCs w:val="24"/>
        </w:rPr>
        <w:t>ezetimibe combination without a statin trial may occur in the clinical situation where LDL-C is high and needs reducing quickly.</w:t>
      </w:r>
    </w:p>
    <w:p w:rsidR="0000686B" w:rsidRDefault="0000686B">
      <w:pPr>
        <w:spacing w:line="240" w:lineRule="auto"/>
        <w:rPr>
          <w:rStyle w:val="Hyperlink"/>
          <w:rFonts w:asciiTheme="minorHAnsi" w:hAnsiTheme="minorHAnsi"/>
          <w:szCs w:val="24"/>
        </w:rPr>
      </w:pPr>
      <w:r w:rsidRPr="00FA7D1A">
        <w:rPr>
          <w:rFonts w:asciiTheme="minorHAnsi" w:hAnsiTheme="minorHAnsi"/>
          <w:szCs w:val="24"/>
        </w:rPr>
        <w:t xml:space="preserve">Stakeholder responses to the Stakeholder Forum Outcome Statement are available </w:t>
      </w:r>
      <w:hyperlink r:id="rId20" w:history="1">
        <w:r w:rsidRPr="00154809">
          <w:rPr>
            <w:rStyle w:val="Hyperlink"/>
            <w:rFonts w:asciiTheme="minorHAnsi" w:hAnsiTheme="minorHAnsi"/>
            <w:szCs w:val="24"/>
          </w:rPr>
          <w:t>here</w:t>
        </w:r>
      </w:hyperlink>
      <w:r w:rsidR="009623C7" w:rsidRPr="009623C7">
        <w:rPr>
          <w:rStyle w:val="Hyperlink"/>
          <w:rFonts w:asciiTheme="minorHAnsi" w:hAnsiTheme="minorHAnsi"/>
          <w:color w:val="auto"/>
          <w:szCs w:val="24"/>
          <w:u w:val="none"/>
        </w:rPr>
        <w:t>.</w:t>
      </w:r>
    </w:p>
    <w:p w:rsidR="0000686B" w:rsidRPr="00154809" w:rsidRDefault="003848A8" w:rsidP="005A2287">
      <w:pPr>
        <w:pStyle w:val="Heading3"/>
        <w:jc w:val="left"/>
      </w:pPr>
      <w:bookmarkStart w:id="55" w:name="_Toc482176949"/>
      <w:r>
        <w:lastRenderedPageBreak/>
        <w:t>1.</w:t>
      </w:r>
      <w:r w:rsidR="0000686B" w:rsidRPr="00154809">
        <w:t>3.3 Stakeholder submissions to the draft Report</w:t>
      </w:r>
      <w:bookmarkEnd w:id="55"/>
    </w:p>
    <w:p w:rsidR="0000686B" w:rsidRPr="00424CB2" w:rsidRDefault="0000686B" w:rsidP="00920324">
      <w:pPr>
        <w:spacing w:line="240" w:lineRule="auto"/>
        <w:rPr>
          <w:rFonts w:asciiTheme="minorHAnsi" w:hAnsiTheme="minorHAnsi"/>
          <w:szCs w:val="24"/>
          <w:highlight w:val="yellow"/>
        </w:rPr>
      </w:pPr>
      <w:r w:rsidRPr="00424CB2">
        <w:rPr>
          <w:rFonts w:asciiTheme="minorHAnsi" w:hAnsiTheme="minorHAnsi"/>
          <w:szCs w:val="24"/>
          <w:highlight w:val="yellow"/>
        </w:rPr>
        <w:t>Stakeholders raised the following points in their responses to the draft Report provided on the PMR website for public consultation from 30 January – 10 February 2017.</w:t>
      </w:r>
    </w:p>
    <w:p w:rsidR="0000686B" w:rsidRPr="00424CB2" w:rsidRDefault="002B63EB">
      <w:pPr>
        <w:pStyle w:val="ListParagraph"/>
        <w:numPr>
          <w:ilvl w:val="0"/>
          <w:numId w:val="26"/>
        </w:numPr>
        <w:spacing w:line="240" w:lineRule="auto"/>
        <w:rPr>
          <w:rFonts w:asciiTheme="minorHAnsi" w:hAnsiTheme="minorHAnsi"/>
          <w:szCs w:val="24"/>
          <w:highlight w:val="yellow"/>
        </w:rPr>
      </w:pPr>
      <w:r>
        <w:rPr>
          <w:rFonts w:asciiTheme="minorHAnsi" w:hAnsiTheme="minorHAnsi"/>
          <w:szCs w:val="24"/>
          <w:highlight w:val="yellow"/>
        </w:rPr>
        <w:t xml:space="preserve">That a </w:t>
      </w:r>
      <w:r w:rsidR="0000686B" w:rsidRPr="00424CB2">
        <w:rPr>
          <w:rFonts w:asciiTheme="minorHAnsi" w:hAnsiTheme="minorHAnsi"/>
          <w:szCs w:val="24"/>
          <w:highlight w:val="yellow"/>
        </w:rPr>
        <w:t xml:space="preserve">small proportion of people were </w:t>
      </w:r>
      <w:r>
        <w:rPr>
          <w:rFonts w:asciiTheme="minorHAnsi" w:hAnsiTheme="minorHAnsi"/>
          <w:szCs w:val="24"/>
          <w:highlight w:val="yellow"/>
        </w:rPr>
        <w:t xml:space="preserve">likely to be </w:t>
      </w:r>
      <w:r w:rsidR="0000686B" w:rsidRPr="00424CB2">
        <w:rPr>
          <w:rFonts w:asciiTheme="minorHAnsi" w:hAnsiTheme="minorHAnsi"/>
          <w:szCs w:val="24"/>
          <w:highlight w:val="yellow"/>
        </w:rPr>
        <w:t>not adher</w:t>
      </w:r>
      <w:r>
        <w:rPr>
          <w:rFonts w:asciiTheme="minorHAnsi" w:hAnsiTheme="minorHAnsi"/>
          <w:szCs w:val="24"/>
          <w:highlight w:val="yellow"/>
        </w:rPr>
        <w:t>ent</w:t>
      </w:r>
      <w:r w:rsidR="0000686B" w:rsidRPr="00424CB2">
        <w:rPr>
          <w:rFonts w:asciiTheme="minorHAnsi" w:hAnsiTheme="minorHAnsi"/>
          <w:szCs w:val="24"/>
          <w:highlight w:val="yellow"/>
        </w:rPr>
        <w:t xml:space="preserve"> to the PBS restrictions but no submissions considered this was a significant problem.</w:t>
      </w:r>
    </w:p>
    <w:p w:rsidR="0000686B" w:rsidRPr="00424CB2" w:rsidRDefault="0000686B">
      <w:pPr>
        <w:pStyle w:val="ListParagraph"/>
        <w:numPr>
          <w:ilvl w:val="0"/>
          <w:numId w:val="26"/>
        </w:numPr>
        <w:spacing w:line="240" w:lineRule="auto"/>
        <w:rPr>
          <w:rFonts w:asciiTheme="minorHAnsi" w:hAnsiTheme="minorHAnsi"/>
          <w:szCs w:val="24"/>
          <w:highlight w:val="yellow"/>
        </w:rPr>
      </w:pPr>
      <w:r w:rsidRPr="00424CB2">
        <w:rPr>
          <w:rFonts w:ascii="Calibri" w:hAnsi="Calibri"/>
          <w:highlight w:val="yellow"/>
        </w:rPr>
        <w:t>Statin intolerance occurs in about 10% of patients but 20% of patients report side-effects, especially muscle aching.</w:t>
      </w:r>
      <w:r w:rsidRPr="00424CB2">
        <w:rPr>
          <w:rFonts w:asciiTheme="minorHAnsi" w:hAnsiTheme="minorHAnsi"/>
          <w:szCs w:val="24"/>
          <w:highlight w:val="yellow"/>
        </w:rPr>
        <w:t xml:space="preserve"> </w:t>
      </w:r>
    </w:p>
    <w:p w:rsidR="0000686B" w:rsidRPr="00424CB2" w:rsidRDefault="0000686B">
      <w:pPr>
        <w:pStyle w:val="ListParagraph"/>
        <w:numPr>
          <w:ilvl w:val="0"/>
          <w:numId w:val="26"/>
        </w:numPr>
        <w:spacing w:line="240" w:lineRule="auto"/>
        <w:rPr>
          <w:rFonts w:asciiTheme="minorHAnsi" w:hAnsiTheme="minorHAnsi"/>
          <w:szCs w:val="24"/>
          <w:highlight w:val="yellow"/>
        </w:rPr>
      </w:pPr>
      <w:r w:rsidRPr="00424CB2">
        <w:rPr>
          <w:rFonts w:asciiTheme="minorHAnsi" w:hAnsiTheme="minorHAnsi"/>
          <w:szCs w:val="24"/>
          <w:highlight w:val="yellow"/>
        </w:rPr>
        <w:t>The reasons put forward in the report for patients commencing ezetimibe without trialling maximal doses of statins were clinically reasonable.</w:t>
      </w:r>
    </w:p>
    <w:p w:rsidR="003A476E" w:rsidRDefault="0000686B">
      <w:pPr>
        <w:pStyle w:val="ListParagraph"/>
        <w:numPr>
          <w:ilvl w:val="0"/>
          <w:numId w:val="26"/>
        </w:numPr>
        <w:spacing w:line="240" w:lineRule="auto"/>
        <w:rPr>
          <w:rFonts w:asciiTheme="minorHAnsi" w:hAnsiTheme="minorHAnsi"/>
          <w:szCs w:val="24"/>
          <w:highlight w:val="yellow"/>
        </w:rPr>
      </w:pPr>
      <w:r w:rsidRPr="003A476E">
        <w:rPr>
          <w:rFonts w:asciiTheme="minorHAnsi" w:hAnsiTheme="minorHAnsi"/>
          <w:szCs w:val="24"/>
          <w:highlight w:val="yellow"/>
        </w:rPr>
        <w:t xml:space="preserve">Submissions were supportive of measures to improve prescriber, pharmacist and patient education and to promote programs that support patients being compliant to therapy. </w:t>
      </w:r>
    </w:p>
    <w:p w:rsidR="003A476E" w:rsidRPr="003A476E" w:rsidRDefault="0000686B">
      <w:pPr>
        <w:pStyle w:val="ListParagraph"/>
        <w:numPr>
          <w:ilvl w:val="0"/>
          <w:numId w:val="26"/>
        </w:numPr>
        <w:spacing w:line="240" w:lineRule="auto"/>
        <w:rPr>
          <w:rFonts w:asciiTheme="minorHAnsi" w:hAnsiTheme="minorHAnsi"/>
          <w:szCs w:val="24"/>
          <w:highlight w:val="yellow"/>
        </w:rPr>
      </w:pPr>
      <w:r w:rsidRPr="003A476E">
        <w:rPr>
          <w:rFonts w:asciiTheme="minorHAnsi" w:hAnsiTheme="minorHAnsi"/>
          <w:szCs w:val="24"/>
          <w:highlight w:val="yellow"/>
        </w:rPr>
        <w:t xml:space="preserve">prescribers and patients place significant value on ezetimibe’s ability to lower LDL-C and event risk without increasing the likelihood of </w:t>
      </w:r>
      <w:r w:rsidR="00C17B2A">
        <w:rPr>
          <w:rFonts w:asciiTheme="minorHAnsi" w:hAnsiTheme="minorHAnsi"/>
          <w:szCs w:val="24"/>
          <w:highlight w:val="yellow"/>
        </w:rPr>
        <w:t xml:space="preserve">adverse </w:t>
      </w:r>
      <w:r w:rsidRPr="003A476E">
        <w:rPr>
          <w:rFonts w:asciiTheme="minorHAnsi" w:hAnsiTheme="minorHAnsi"/>
          <w:szCs w:val="24"/>
          <w:highlight w:val="yellow"/>
        </w:rPr>
        <w:t xml:space="preserve">effects associated with higher statin doses (p.2 MSD response). </w:t>
      </w:r>
    </w:p>
    <w:p w:rsidR="0000686B" w:rsidRPr="0011354D" w:rsidRDefault="0000686B">
      <w:pPr>
        <w:spacing w:line="240" w:lineRule="auto"/>
        <w:rPr>
          <w:rFonts w:asciiTheme="minorHAnsi" w:hAnsiTheme="minorHAnsi"/>
          <w:szCs w:val="24"/>
        </w:rPr>
      </w:pPr>
      <w:r w:rsidRPr="0011354D">
        <w:rPr>
          <w:rFonts w:asciiTheme="minorHAnsi" w:hAnsiTheme="minorHAnsi"/>
          <w:szCs w:val="24"/>
          <w:highlight w:val="yellow"/>
        </w:rPr>
        <w:t xml:space="preserve">This </w:t>
      </w:r>
      <w:r w:rsidR="003A476E">
        <w:rPr>
          <w:rFonts w:asciiTheme="minorHAnsi" w:hAnsiTheme="minorHAnsi"/>
          <w:szCs w:val="24"/>
          <w:highlight w:val="yellow"/>
        </w:rPr>
        <w:t xml:space="preserve">last point </w:t>
      </w:r>
      <w:r w:rsidRPr="0011354D">
        <w:rPr>
          <w:rFonts w:asciiTheme="minorHAnsi" w:hAnsiTheme="minorHAnsi"/>
          <w:szCs w:val="24"/>
          <w:highlight w:val="yellow"/>
        </w:rPr>
        <w:t>further reinforced the Reference Group’s view that there is a significant patient population for whom ezetimibe is added to statin therapy before maximum tolerated doses of statins are trialled.</w:t>
      </w:r>
    </w:p>
    <w:p w:rsidR="0000686B" w:rsidRPr="004B11B2" w:rsidRDefault="003848A8" w:rsidP="005A2287">
      <w:pPr>
        <w:pStyle w:val="Heading2"/>
      </w:pPr>
      <w:bookmarkStart w:id="56" w:name="_Toc482176950"/>
      <w:r>
        <w:t>1.</w:t>
      </w:r>
      <w:r w:rsidR="0000686B">
        <w:t>4</w:t>
      </w:r>
      <w:r w:rsidR="0000686B" w:rsidRPr="00F73F7C">
        <w:tab/>
      </w:r>
      <w:r w:rsidR="0000686B">
        <w:t xml:space="preserve">Reference </w:t>
      </w:r>
      <w:r w:rsidR="0000686B" w:rsidRPr="00F03B50">
        <w:t>Group</w:t>
      </w:r>
      <w:r w:rsidR="0000686B">
        <w:t xml:space="preserve"> </w:t>
      </w:r>
      <w:r w:rsidR="003A476E">
        <w:t>Consideration</w:t>
      </w:r>
      <w:bookmarkEnd w:id="56"/>
      <w:r w:rsidR="003A476E">
        <w:t xml:space="preserve"> </w:t>
      </w:r>
    </w:p>
    <w:p w:rsidR="0000686B" w:rsidRPr="00675165" w:rsidRDefault="0000686B" w:rsidP="00920324">
      <w:pPr>
        <w:spacing w:line="240" w:lineRule="auto"/>
        <w:rPr>
          <w:rFonts w:asciiTheme="minorHAnsi" w:eastAsia="Calibri" w:hAnsiTheme="minorHAnsi" w:cs="Times New Roman"/>
        </w:rPr>
      </w:pPr>
      <w:r w:rsidRPr="00675165">
        <w:rPr>
          <w:rFonts w:asciiTheme="minorHAnsi" w:eastAsia="Calibri" w:hAnsiTheme="minorHAnsi" w:cs="Times New Roman"/>
        </w:rPr>
        <w:t>The Refer</w:t>
      </w:r>
      <w:r>
        <w:rPr>
          <w:rFonts w:asciiTheme="minorHAnsi" w:eastAsia="Calibri" w:hAnsiTheme="minorHAnsi" w:cs="Times New Roman"/>
        </w:rPr>
        <w:t>ence Group has considered the ev</w:t>
      </w:r>
      <w:r w:rsidRPr="00675165">
        <w:rPr>
          <w:rFonts w:asciiTheme="minorHAnsi" w:eastAsia="Calibri" w:hAnsiTheme="minorHAnsi" w:cs="Times New Roman"/>
        </w:rPr>
        <w:t xml:space="preserve">idence </w:t>
      </w:r>
      <w:r>
        <w:rPr>
          <w:rFonts w:asciiTheme="minorHAnsi" w:eastAsia="Calibri" w:hAnsiTheme="minorHAnsi" w:cs="Times New Roman"/>
        </w:rPr>
        <w:t xml:space="preserve">provided in the </w:t>
      </w:r>
      <w:r w:rsidRPr="00675165">
        <w:rPr>
          <w:rFonts w:asciiTheme="minorHAnsi" w:eastAsia="Calibri" w:hAnsiTheme="minorHAnsi" w:cs="Times New Roman"/>
        </w:rPr>
        <w:t>evaluators</w:t>
      </w:r>
      <w:r>
        <w:rPr>
          <w:rFonts w:asciiTheme="minorHAnsi" w:eastAsia="Calibri" w:hAnsiTheme="minorHAnsi" w:cs="Times New Roman"/>
        </w:rPr>
        <w:t>’</w:t>
      </w:r>
      <w:r w:rsidRPr="00675165">
        <w:rPr>
          <w:rFonts w:asciiTheme="minorHAnsi" w:eastAsia="Calibri" w:hAnsiTheme="minorHAnsi" w:cs="Times New Roman"/>
        </w:rPr>
        <w:t xml:space="preserve"> report</w:t>
      </w:r>
      <w:r>
        <w:rPr>
          <w:rFonts w:asciiTheme="minorHAnsi" w:eastAsia="Calibri" w:hAnsiTheme="minorHAnsi" w:cs="Times New Roman"/>
        </w:rPr>
        <w:t xml:space="preserve"> on current utilisation of PBS listed ezetimibe and ezetimibe combination products</w:t>
      </w:r>
      <w:r w:rsidRPr="00675165">
        <w:rPr>
          <w:rFonts w:asciiTheme="minorHAnsi" w:eastAsia="Calibri" w:hAnsiTheme="minorHAnsi" w:cs="Times New Roman"/>
        </w:rPr>
        <w:t xml:space="preserve">, </w:t>
      </w:r>
      <w:r>
        <w:rPr>
          <w:rFonts w:asciiTheme="minorHAnsi" w:eastAsia="Calibri" w:hAnsiTheme="minorHAnsi" w:cs="Times New Roman"/>
        </w:rPr>
        <w:t>stakeholder</w:t>
      </w:r>
      <w:r w:rsidRPr="00675165">
        <w:rPr>
          <w:rFonts w:asciiTheme="minorHAnsi" w:eastAsia="Calibri" w:hAnsiTheme="minorHAnsi" w:cs="Times New Roman"/>
        </w:rPr>
        <w:t xml:space="preserve"> input and its collective views for this term of reference</w:t>
      </w:r>
      <w:r w:rsidR="003A476E">
        <w:rPr>
          <w:rFonts w:asciiTheme="minorHAnsi" w:eastAsia="Calibri" w:hAnsiTheme="minorHAnsi" w:cs="Times New Roman"/>
        </w:rPr>
        <w:t>.</w:t>
      </w:r>
      <w:r w:rsidRPr="00675165">
        <w:rPr>
          <w:rFonts w:asciiTheme="minorHAnsi" w:eastAsia="Calibri" w:hAnsiTheme="minorHAnsi" w:cs="Times New Roman"/>
        </w:rPr>
        <w:t xml:space="preserve"> </w:t>
      </w:r>
    </w:p>
    <w:p w:rsidR="0000686B" w:rsidRPr="002F173B" w:rsidRDefault="003848A8" w:rsidP="005A2287">
      <w:pPr>
        <w:pStyle w:val="Heading3"/>
        <w:jc w:val="left"/>
      </w:pPr>
      <w:bookmarkStart w:id="57" w:name="_Toc482176951"/>
      <w:r>
        <w:t>1.</w:t>
      </w:r>
      <w:r w:rsidR="0000686B">
        <w:t>4.1</w:t>
      </w:r>
      <w:r w:rsidR="0000686B">
        <w:tab/>
      </w:r>
      <w:r w:rsidR="0000686B" w:rsidRPr="002F173B">
        <w:t>Compliance with PBS restrictions</w:t>
      </w:r>
      <w:bookmarkEnd w:id="57"/>
    </w:p>
    <w:p w:rsidR="0000686B" w:rsidRPr="00DF1E82" w:rsidRDefault="0000686B" w:rsidP="00920324">
      <w:pPr>
        <w:spacing w:line="240" w:lineRule="auto"/>
        <w:rPr>
          <w:rFonts w:asciiTheme="minorHAnsi" w:hAnsiTheme="minorHAnsi"/>
          <w:szCs w:val="24"/>
        </w:rPr>
      </w:pPr>
      <w:r w:rsidRPr="00DF1E82">
        <w:rPr>
          <w:rFonts w:asciiTheme="minorHAnsi" w:eastAsia="Calibri" w:hAnsiTheme="minorHAnsi" w:cs="Times New Roman"/>
          <w:szCs w:val="24"/>
        </w:rPr>
        <w:t xml:space="preserve">From </w:t>
      </w:r>
      <w:r w:rsidR="001751C4">
        <w:rPr>
          <w:rFonts w:asciiTheme="minorHAnsi" w:eastAsia="Calibri" w:hAnsiTheme="minorHAnsi" w:cs="Times New Roman"/>
          <w:szCs w:val="24"/>
        </w:rPr>
        <w:t xml:space="preserve">the December 2016 </w:t>
      </w:r>
      <w:r w:rsidR="001751C4" w:rsidRPr="00F45531">
        <w:rPr>
          <w:rFonts w:asciiTheme="minorHAnsi" w:eastAsia="Calibri" w:hAnsiTheme="minorHAnsi" w:cs="Times New Roman"/>
          <w:szCs w:val="24"/>
        </w:rPr>
        <w:t>Analysis</w:t>
      </w:r>
      <w:r w:rsidRPr="00DF1E82">
        <w:rPr>
          <w:rFonts w:asciiTheme="minorHAnsi" w:eastAsia="Calibri" w:hAnsiTheme="minorHAnsi" w:cs="Times New Roman"/>
          <w:szCs w:val="24"/>
        </w:rPr>
        <w:t xml:space="preserve">, 15% of patients had no prior exposure to statins or other LLT in the 24 months prior to the first use of ezetimibe. </w:t>
      </w:r>
      <w:r w:rsidRPr="00DF1E82">
        <w:rPr>
          <w:rFonts w:asciiTheme="minorHAnsi" w:hAnsiTheme="minorHAnsi"/>
          <w:szCs w:val="24"/>
        </w:rPr>
        <w:t xml:space="preserve">Analysis of all ezetimibe initiators in 2015-16 found that 6,408 (or 12%) had no prior lipid lowering therapy dispensed in the prior 36 months. This would indicate that a longer look back period is likely to detect further LLT history. The Reference Group noted stakeholder views that there are a number of reasons why the Cohort 1 patients initiate ezetimibe or ezetimibe statin combination therapy without prior statin use. It was also noted that the number of patients intolerant or contraindicated to statins was likely to be much lower than the 15% reported in the utilisation study, but that the final number was difficult to estimate from these data alone. </w:t>
      </w:r>
    </w:p>
    <w:p w:rsidR="0000686B" w:rsidRPr="00DF1E82" w:rsidRDefault="001751C4">
      <w:pPr>
        <w:spacing w:line="240" w:lineRule="auto"/>
        <w:rPr>
          <w:rFonts w:asciiTheme="minorHAnsi" w:eastAsia="Calibri" w:hAnsiTheme="minorHAnsi" w:cs="Times New Roman"/>
          <w:szCs w:val="24"/>
        </w:rPr>
      </w:pPr>
      <w:r>
        <w:rPr>
          <w:rFonts w:asciiTheme="minorHAnsi" w:eastAsia="Calibri" w:hAnsiTheme="minorHAnsi" w:cs="Times New Roman"/>
          <w:szCs w:val="24"/>
        </w:rPr>
        <w:t xml:space="preserve">The December 2016 </w:t>
      </w:r>
      <w:r w:rsidRPr="00F45531">
        <w:rPr>
          <w:rFonts w:asciiTheme="minorHAnsi" w:eastAsia="Calibri" w:hAnsiTheme="minorHAnsi" w:cs="Times New Roman"/>
          <w:szCs w:val="24"/>
        </w:rPr>
        <w:t>Analysis</w:t>
      </w:r>
      <w:r>
        <w:rPr>
          <w:rFonts w:asciiTheme="minorHAnsi" w:eastAsia="Calibri" w:hAnsiTheme="minorHAnsi" w:cs="Times New Roman"/>
          <w:szCs w:val="24"/>
        </w:rPr>
        <w:t xml:space="preserve"> </w:t>
      </w:r>
      <w:r w:rsidR="003A476E">
        <w:rPr>
          <w:rFonts w:asciiTheme="minorHAnsi" w:eastAsia="Calibri" w:hAnsiTheme="minorHAnsi" w:cs="Times New Roman"/>
          <w:szCs w:val="24"/>
        </w:rPr>
        <w:t xml:space="preserve">also reported </w:t>
      </w:r>
      <w:r w:rsidR="0000686B" w:rsidRPr="00DF1E82">
        <w:rPr>
          <w:rFonts w:asciiTheme="minorHAnsi" w:eastAsia="Calibri" w:hAnsiTheme="minorHAnsi" w:cs="Times New Roman"/>
          <w:szCs w:val="24"/>
        </w:rPr>
        <w:t xml:space="preserve">that 30% of patients with a prior history of statin or other LLT use (Cohort 2) have evidence of dose adjustment/manipulation, either up-titration or down-titration. This may reflect titration to increase response to the medicine, or be in response to the patient experiencing </w:t>
      </w:r>
      <w:r w:rsidR="00C17B2A" w:rsidRPr="00C17B2A">
        <w:rPr>
          <w:rFonts w:asciiTheme="minorHAnsi" w:eastAsia="Calibri" w:hAnsiTheme="minorHAnsi" w:cs="Times New Roman"/>
          <w:szCs w:val="24"/>
          <w:highlight w:val="yellow"/>
        </w:rPr>
        <w:t>adverse</w:t>
      </w:r>
      <w:r w:rsidR="00C17B2A">
        <w:rPr>
          <w:rFonts w:asciiTheme="minorHAnsi" w:eastAsia="Calibri" w:hAnsiTheme="minorHAnsi" w:cs="Times New Roman"/>
          <w:szCs w:val="24"/>
        </w:rPr>
        <w:t xml:space="preserve"> </w:t>
      </w:r>
      <w:r w:rsidR="0000686B" w:rsidRPr="00DF1E82">
        <w:rPr>
          <w:rFonts w:asciiTheme="minorHAnsi" w:eastAsia="Calibri" w:hAnsiTheme="minorHAnsi" w:cs="Times New Roman"/>
          <w:szCs w:val="24"/>
        </w:rPr>
        <w:t xml:space="preserve">effects. For the significant proportion of patients (70%) who remain on the same dose of statin, the data is insufficiently detailed to demonstrate that they were or were not already on the maximum tolerated dose of statin. </w:t>
      </w:r>
      <w:r w:rsidR="0000686B" w:rsidRPr="00DF1E82">
        <w:rPr>
          <w:rFonts w:asciiTheme="minorHAnsi" w:eastAsia="Calibri" w:hAnsiTheme="minorHAnsi" w:cs="Times New Roman"/>
          <w:szCs w:val="24"/>
        </w:rPr>
        <w:lastRenderedPageBreak/>
        <w:t>However, 50% of the patients remaining on the same dose appear to be using a high intensity statin.</w:t>
      </w:r>
    </w:p>
    <w:p w:rsidR="0000686B" w:rsidRPr="00DF1E82" w:rsidRDefault="00AC3FB3">
      <w:pPr>
        <w:spacing w:line="240" w:lineRule="auto"/>
        <w:rPr>
          <w:rFonts w:asciiTheme="minorHAnsi" w:eastAsia="Calibri" w:hAnsiTheme="minorHAnsi" w:cs="Times New Roman"/>
          <w:i/>
          <w:szCs w:val="24"/>
        </w:rPr>
      </w:pPr>
      <w:r>
        <w:rPr>
          <w:rFonts w:asciiTheme="minorHAnsi" w:eastAsia="Calibri" w:hAnsiTheme="minorHAnsi" w:cs="Times New Roman"/>
          <w:szCs w:val="24"/>
        </w:rPr>
        <w:t>From Cohort 1</w:t>
      </w:r>
      <w:r w:rsidR="00AC750A">
        <w:rPr>
          <w:rFonts w:asciiTheme="minorHAnsi" w:eastAsia="Calibri" w:hAnsiTheme="minorHAnsi" w:cs="Times New Roman"/>
          <w:szCs w:val="24"/>
        </w:rPr>
        <w:t>,</w:t>
      </w:r>
      <w:r w:rsidR="0000686B" w:rsidRPr="00DF1E82">
        <w:rPr>
          <w:rFonts w:asciiTheme="minorHAnsi" w:eastAsia="Calibri" w:hAnsiTheme="minorHAnsi" w:cs="Times New Roman"/>
          <w:szCs w:val="24"/>
        </w:rPr>
        <w:t xml:space="preserve"> 53% of statin naïve patients were initiated on ezetimibe monotherapy, 40% initiated ezetimibe as a FDC without prior history of statins or other LLT in the prior two years. These data are insufficiently detailed to show whether patients have had some statin exposure prior to the two year look back period, however, it may suggest that up to 45% of the initiations of ezetimibe (if initiators to the free pill combination are also included) are with the combination ezetimibe</w:t>
      </w:r>
      <w:r>
        <w:rPr>
          <w:rFonts w:asciiTheme="minorHAnsi" w:eastAsia="Calibri" w:hAnsiTheme="minorHAnsi" w:cs="Times New Roman"/>
          <w:szCs w:val="24"/>
        </w:rPr>
        <w:t xml:space="preserve"> products and would be considered</w:t>
      </w:r>
      <w:r w:rsidR="0000686B" w:rsidRPr="00DF1E82">
        <w:rPr>
          <w:rFonts w:asciiTheme="minorHAnsi" w:eastAsia="Calibri" w:hAnsiTheme="minorHAnsi" w:cs="Times New Roman"/>
          <w:szCs w:val="24"/>
        </w:rPr>
        <w:t xml:space="preserve"> outside the PBS restriction.</w:t>
      </w:r>
    </w:p>
    <w:p w:rsidR="0000686B" w:rsidRDefault="0000686B">
      <w:pPr>
        <w:spacing w:line="240" w:lineRule="auto"/>
        <w:rPr>
          <w:rFonts w:asciiTheme="minorHAnsi" w:eastAsia="Calibri" w:hAnsiTheme="minorHAnsi" w:cs="Times New Roman"/>
          <w:szCs w:val="24"/>
        </w:rPr>
      </w:pPr>
      <w:r w:rsidRPr="00DF1E82">
        <w:rPr>
          <w:rFonts w:asciiTheme="minorHAnsi" w:eastAsia="Calibri" w:hAnsiTheme="minorHAnsi" w:cs="Times New Roman"/>
          <w:szCs w:val="24"/>
        </w:rPr>
        <w:t xml:space="preserve">Whilst Cohort 2 patients initiated on ezetimibe </w:t>
      </w:r>
      <w:r w:rsidR="00AC750A">
        <w:rPr>
          <w:rFonts w:asciiTheme="minorHAnsi" w:eastAsia="Calibri" w:hAnsiTheme="minorHAnsi" w:cs="Times New Roman"/>
          <w:szCs w:val="24"/>
        </w:rPr>
        <w:t>plus</w:t>
      </w:r>
      <w:r w:rsidRPr="00DF1E82">
        <w:rPr>
          <w:rFonts w:asciiTheme="minorHAnsi" w:eastAsia="Calibri" w:hAnsiTheme="minorHAnsi" w:cs="Times New Roman"/>
          <w:szCs w:val="24"/>
        </w:rPr>
        <w:t xml:space="preserve"> statin combination therapy had a prior statin or LLT history, only 10% up-titrated their statin dose or switched to a statin of higher potency in the two year period. This indicates that statin use prior to the first prescription of ezetimibe was not at a maximally tolerated dose. This would also indicate use outside the</w:t>
      </w:r>
      <w:r w:rsidRPr="00D539ED">
        <w:rPr>
          <w:rFonts w:asciiTheme="minorHAnsi" w:eastAsia="Calibri" w:hAnsiTheme="minorHAnsi" w:cs="Times New Roman"/>
          <w:szCs w:val="24"/>
        </w:rPr>
        <w:t xml:space="preserve"> PBS restriction.</w:t>
      </w:r>
    </w:p>
    <w:p w:rsidR="00AC3FB3" w:rsidRPr="00AC3FB3" w:rsidRDefault="00AC3FB3">
      <w:pPr>
        <w:spacing w:line="240" w:lineRule="auto"/>
        <w:rPr>
          <w:rFonts w:asciiTheme="minorHAnsi" w:hAnsiTheme="minorHAnsi" w:cs="Arial"/>
          <w:szCs w:val="24"/>
          <w:highlight w:val="yellow"/>
        </w:rPr>
      </w:pPr>
      <w:r w:rsidRPr="00AC3FB3">
        <w:rPr>
          <w:rFonts w:asciiTheme="minorHAnsi" w:hAnsiTheme="minorHAnsi" w:cs="Arial"/>
          <w:szCs w:val="24"/>
          <w:highlight w:val="yellow"/>
        </w:rPr>
        <w:t xml:space="preserve">Taking the results of the </w:t>
      </w:r>
      <w:r w:rsidR="001751C4">
        <w:rPr>
          <w:rFonts w:asciiTheme="minorHAnsi" w:hAnsiTheme="minorHAnsi" w:cs="Arial"/>
          <w:szCs w:val="24"/>
          <w:highlight w:val="yellow"/>
        </w:rPr>
        <w:t xml:space="preserve">March 2017 </w:t>
      </w:r>
      <w:r w:rsidRPr="00AC3FB3">
        <w:rPr>
          <w:rFonts w:asciiTheme="minorHAnsi" w:hAnsiTheme="minorHAnsi" w:cs="Arial"/>
          <w:szCs w:val="24"/>
          <w:highlight w:val="yellow"/>
        </w:rPr>
        <w:t xml:space="preserve">Analysis into account, the Reference Group considered the estimate of ezetimibe use outside the PBS restriction would fall somewhere in the range of 18.4% - 53.2% i.e. the proportion of use categorised as red </w:t>
      </w:r>
      <w:r w:rsidR="00AC750A">
        <w:rPr>
          <w:rFonts w:asciiTheme="minorHAnsi" w:hAnsiTheme="minorHAnsi" w:cs="Arial"/>
          <w:szCs w:val="24"/>
          <w:highlight w:val="yellow"/>
        </w:rPr>
        <w:t>(outside restriction)</w:t>
      </w:r>
      <w:r w:rsidRPr="00AC3FB3">
        <w:rPr>
          <w:rFonts w:asciiTheme="minorHAnsi" w:hAnsiTheme="minorHAnsi" w:cs="Arial"/>
          <w:szCs w:val="24"/>
          <w:highlight w:val="yellow"/>
        </w:rPr>
        <w:t xml:space="preserve">and an unknown proportion </w:t>
      </w:r>
      <w:r w:rsidR="00AC750A">
        <w:rPr>
          <w:rFonts w:asciiTheme="minorHAnsi" w:hAnsiTheme="minorHAnsi" w:cs="Arial"/>
          <w:szCs w:val="24"/>
          <w:highlight w:val="yellow"/>
        </w:rPr>
        <w:t xml:space="preserve">of use </w:t>
      </w:r>
      <w:r w:rsidRPr="00AC3FB3">
        <w:rPr>
          <w:rFonts w:asciiTheme="minorHAnsi" w:hAnsiTheme="minorHAnsi" w:cs="Arial"/>
          <w:szCs w:val="24"/>
          <w:highlight w:val="yellow"/>
        </w:rPr>
        <w:t>categorised as orange</w:t>
      </w:r>
      <w:r w:rsidR="00AC750A">
        <w:rPr>
          <w:rFonts w:asciiTheme="minorHAnsi" w:hAnsiTheme="minorHAnsi" w:cs="Arial"/>
          <w:szCs w:val="24"/>
          <w:highlight w:val="yellow"/>
        </w:rPr>
        <w:t xml:space="preserve"> (uncertain)</w:t>
      </w:r>
      <w:r w:rsidRPr="00AC3FB3">
        <w:rPr>
          <w:rFonts w:asciiTheme="minorHAnsi" w:hAnsiTheme="minorHAnsi" w:cs="Arial"/>
          <w:szCs w:val="24"/>
          <w:highlight w:val="yellow"/>
        </w:rPr>
        <w:t xml:space="preserve">. </w:t>
      </w:r>
      <w:r w:rsidRPr="00AC3FB3">
        <w:rPr>
          <w:rFonts w:asciiTheme="minorHAnsi" w:hAnsiTheme="minorHAnsi"/>
          <w:szCs w:val="24"/>
          <w:highlight w:val="yellow"/>
        </w:rPr>
        <w:t xml:space="preserve">The Reference Group acknowledges </w:t>
      </w:r>
      <w:r w:rsidR="00AC750A">
        <w:rPr>
          <w:rFonts w:asciiTheme="minorHAnsi" w:hAnsiTheme="minorHAnsi"/>
          <w:szCs w:val="24"/>
          <w:highlight w:val="yellow"/>
        </w:rPr>
        <w:t xml:space="preserve">the wide range but considers </w:t>
      </w:r>
      <w:r w:rsidRPr="00AC3FB3">
        <w:rPr>
          <w:rFonts w:asciiTheme="minorHAnsi" w:hAnsiTheme="minorHAnsi"/>
          <w:szCs w:val="24"/>
          <w:highlight w:val="yellow"/>
        </w:rPr>
        <w:t xml:space="preserve">that this is the best estimate due to the limitations of </w:t>
      </w:r>
      <w:r w:rsidR="002D2FC2">
        <w:rPr>
          <w:rFonts w:asciiTheme="minorHAnsi" w:hAnsiTheme="minorHAnsi"/>
          <w:szCs w:val="24"/>
          <w:highlight w:val="yellow"/>
        </w:rPr>
        <w:t xml:space="preserve">the </w:t>
      </w:r>
      <w:r w:rsidRPr="00AC3FB3">
        <w:rPr>
          <w:rFonts w:asciiTheme="minorHAnsi" w:hAnsiTheme="minorHAnsi"/>
          <w:szCs w:val="24"/>
          <w:highlight w:val="yellow"/>
        </w:rPr>
        <w:t>PBS data. Ezetimibe use that does not appear to comply with the PBS restriction may in some cases be clinically appropriate, however is unlikely to be cost</w:t>
      </w:r>
      <w:r w:rsidR="00216B38">
        <w:rPr>
          <w:rFonts w:asciiTheme="minorHAnsi" w:hAnsiTheme="minorHAnsi"/>
          <w:szCs w:val="24"/>
          <w:highlight w:val="yellow"/>
        </w:rPr>
        <w:t>-</w:t>
      </w:r>
      <w:r w:rsidRPr="00AC3FB3">
        <w:rPr>
          <w:rFonts w:asciiTheme="minorHAnsi" w:hAnsiTheme="minorHAnsi"/>
          <w:szCs w:val="24"/>
          <w:highlight w:val="yellow"/>
        </w:rPr>
        <w:t xml:space="preserve">effective. </w:t>
      </w:r>
    </w:p>
    <w:p w:rsidR="00AC3FB3" w:rsidRPr="00AD1BBB" w:rsidRDefault="00AC3FB3">
      <w:pPr>
        <w:spacing w:after="0" w:line="240" w:lineRule="auto"/>
        <w:rPr>
          <w:rFonts w:asciiTheme="minorHAnsi" w:hAnsiTheme="minorHAnsi" w:cs="Arial"/>
          <w:szCs w:val="24"/>
        </w:rPr>
      </w:pPr>
      <w:r w:rsidRPr="00AC3FB3">
        <w:rPr>
          <w:rFonts w:asciiTheme="minorHAnsi" w:hAnsiTheme="minorHAnsi" w:cs="Arial"/>
          <w:szCs w:val="24"/>
          <w:highlight w:val="yellow"/>
        </w:rPr>
        <w:t>The Reference Group also suggested that for the 18.4% – 53.2 % of patients who use ezetimibe outside the PBS restriction, placebo is not the appropriate comparator for a cost effective analysis. The comparator for this group of patients should be a higher dose of statin or switching to a higher potency statin</w:t>
      </w:r>
    </w:p>
    <w:p w:rsidR="0000686B" w:rsidRPr="00EA7E98" w:rsidRDefault="003848A8" w:rsidP="005A2287">
      <w:pPr>
        <w:pStyle w:val="Heading3"/>
        <w:jc w:val="left"/>
      </w:pPr>
      <w:bookmarkStart w:id="58" w:name="_Toc482176952"/>
      <w:r>
        <w:t>1.</w:t>
      </w:r>
      <w:r w:rsidR="0000686B" w:rsidRPr="00EA7E98">
        <w:t>4.2</w:t>
      </w:r>
      <w:r w:rsidR="0000686B" w:rsidRPr="00EA7E98">
        <w:tab/>
        <w:t xml:space="preserve">Adherence </w:t>
      </w:r>
      <w:r w:rsidR="003A476E">
        <w:t xml:space="preserve">and persistence to LLT pre and post </w:t>
      </w:r>
      <w:r w:rsidR="00020350">
        <w:t>i</w:t>
      </w:r>
      <w:r w:rsidR="0000686B" w:rsidRPr="00EA7E98">
        <w:t>nitiation of ezetimibe therapy</w:t>
      </w:r>
      <w:bookmarkEnd w:id="58"/>
    </w:p>
    <w:p w:rsidR="00020350" w:rsidRDefault="003A476E" w:rsidP="00920324">
      <w:pPr>
        <w:spacing w:line="240" w:lineRule="auto"/>
        <w:rPr>
          <w:rFonts w:asciiTheme="minorHAnsi" w:eastAsia="Calibri" w:hAnsiTheme="minorHAnsi" w:cs="Times New Roman"/>
          <w:szCs w:val="24"/>
        </w:rPr>
      </w:pPr>
      <w:r>
        <w:rPr>
          <w:rFonts w:asciiTheme="minorHAnsi" w:eastAsia="Calibri" w:hAnsiTheme="minorHAnsi" w:cs="Times New Roman"/>
          <w:szCs w:val="24"/>
        </w:rPr>
        <w:t xml:space="preserve">According to </w:t>
      </w:r>
      <w:r w:rsidR="001751C4">
        <w:rPr>
          <w:rFonts w:asciiTheme="minorHAnsi" w:eastAsia="Calibri" w:hAnsiTheme="minorHAnsi" w:cs="Times New Roman"/>
          <w:szCs w:val="24"/>
        </w:rPr>
        <w:t xml:space="preserve">the December 2016 </w:t>
      </w:r>
      <w:r w:rsidR="001751C4" w:rsidRPr="00F45531">
        <w:rPr>
          <w:rFonts w:asciiTheme="minorHAnsi" w:eastAsia="Calibri" w:hAnsiTheme="minorHAnsi" w:cs="Times New Roman"/>
          <w:szCs w:val="24"/>
        </w:rPr>
        <w:t>Analysis</w:t>
      </w:r>
      <w:r w:rsidR="001751C4">
        <w:rPr>
          <w:rFonts w:asciiTheme="minorHAnsi" w:eastAsia="Calibri" w:hAnsiTheme="minorHAnsi" w:cs="Times New Roman"/>
          <w:szCs w:val="24"/>
        </w:rPr>
        <w:t xml:space="preserve"> </w:t>
      </w:r>
      <w:r>
        <w:rPr>
          <w:rFonts w:asciiTheme="minorHAnsi" w:eastAsia="Calibri" w:hAnsiTheme="minorHAnsi" w:cs="Times New Roman"/>
          <w:szCs w:val="24"/>
        </w:rPr>
        <w:t>t</w:t>
      </w:r>
      <w:r w:rsidRPr="00DF1E82">
        <w:rPr>
          <w:rFonts w:asciiTheme="minorHAnsi" w:eastAsia="Calibri" w:hAnsiTheme="minorHAnsi" w:cs="Times New Roman"/>
          <w:szCs w:val="24"/>
        </w:rPr>
        <w:t>here appears to be an adherence and persistence issue with long</w:t>
      </w:r>
      <w:r w:rsidR="00F7627D">
        <w:rPr>
          <w:rFonts w:asciiTheme="minorHAnsi" w:eastAsia="Calibri" w:hAnsiTheme="minorHAnsi" w:cs="Times New Roman"/>
          <w:szCs w:val="24"/>
        </w:rPr>
        <w:t>-</w:t>
      </w:r>
      <w:r w:rsidRPr="00DF1E82">
        <w:rPr>
          <w:rFonts w:asciiTheme="minorHAnsi" w:eastAsia="Calibri" w:hAnsiTheme="minorHAnsi" w:cs="Times New Roman"/>
          <w:szCs w:val="24"/>
        </w:rPr>
        <w:t xml:space="preserve">term lipid lowering therapy in the management of hyperlipidaemia in Australia. A significant proportion of patients prescribed ezetimibe had two or less </w:t>
      </w:r>
      <w:r w:rsidR="00020350">
        <w:rPr>
          <w:rFonts w:asciiTheme="minorHAnsi" w:eastAsia="Calibri" w:hAnsiTheme="minorHAnsi" w:cs="Times New Roman"/>
          <w:szCs w:val="24"/>
        </w:rPr>
        <w:t xml:space="preserve">statin </w:t>
      </w:r>
      <w:r w:rsidRPr="00DF1E82">
        <w:rPr>
          <w:rFonts w:asciiTheme="minorHAnsi" w:eastAsia="Calibri" w:hAnsiTheme="minorHAnsi" w:cs="Times New Roman"/>
          <w:szCs w:val="24"/>
        </w:rPr>
        <w:t xml:space="preserve">prescriptions dispensed in the previous six months. Due to poorer adherence, the effectiveness and cost-effectiveness of ezetimibe in clinical practice may differ from that demonstrated in clinical trials. </w:t>
      </w:r>
    </w:p>
    <w:p w:rsidR="00020350" w:rsidRDefault="00020350">
      <w:pPr>
        <w:spacing w:line="240" w:lineRule="auto"/>
        <w:rPr>
          <w:rFonts w:asciiTheme="minorHAnsi" w:eastAsia="Calibri" w:hAnsiTheme="minorHAnsi" w:cs="Times New Roman"/>
          <w:szCs w:val="24"/>
        </w:rPr>
      </w:pPr>
      <w:r>
        <w:rPr>
          <w:rFonts w:asciiTheme="minorHAnsi" w:eastAsia="Calibri" w:hAnsiTheme="minorHAnsi" w:cs="Times New Roman"/>
        </w:rPr>
        <w:t xml:space="preserve">Following initiation to ezetimibe a </w:t>
      </w:r>
      <w:r w:rsidRPr="007A7229">
        <w:rPr>
          <w:rFonts w:asciiTheme="minorHAnsi" w:eastAsia="Calibri" w:hAnsiTheme="minorHAnsi" w:cs="Times New Roman"/>
        </w:rPr>
        <w:t xml:space="preserve">significant proportion of </w:t>
      </w:r>
      <w:r>
        <w:rPr>
          <w:rFonts w:asciiTheme="minorHAnsi" w:eastAsia="Calibri" w:hAnsiTheme="minorHAnsi" w:cs="Times New Roman"/>
        </w:rPr>
        <w:t>patients did</w:t>
      </w:r>
      <w:r w:rsidRPr="007A7229">
        <w:rPr>
          <w:rFonts w:asciiTheme="minorHAnsi" w:eastAsia="Calibri" w:hAnsiTheme="minorHAnsi" w:cs="Times New Roman"/>
        </w:rPr>
        <w:t xml:space="preserve"> not </w:t>
      </w:r>
      <w:r>
        <w:rPr>
          <w:rFonts w:asciiTheme="minorHAnsi" w:eastAsia="Calibri" w:hAnsiTheme="minorHAnsi" w:cs="Times New Roman"/>
        </w:rPr>
        <w:t xml:space="preserve">continue to </w:t>
      </w:r>
      <w:r w:rsidRPr="007A7229">
        <w:rPr>
          <w:rFonts w:asciiTheme="minorHAnsi" w:eastAsia="Calibri" w:hAnsiTheme="minorHAnsi" w:cs="Times New Roman"/>
        </w:rPr>
        <w:t>receive</w:t>
      </w:r>
      <w:r>
        <w:rPr>
          <w:rFonts w:asciiTheme="minorHAnsi" w:eastAsia="Calibri" w:hAnsiTheme="minorHAnsi" w:cs="Times New Roman"/>
        </w:rPr>
        <w:t xml:space="preserve"> LLT</w:t>
      </w:r>
      <w:r w:rsidRPr="007A7229">
        <w:rPr>
          <w:rFonts w:asciiTheme="minorHAnsi" w:eastAsia="Calibri" w:hAnsiTheme="minorHAnsi" w:cs="Times New Roman"/>
        </w:rPr>
        <w:t xml:space="preserve"> therapy in the </w:t>
      </w:r>
      <w:r>
        <w:rPr>
          <w:rFonts w:asciiTheme="minorHAnsi" w:eastAsia="Calibri" w:hAnsiTheme="minorHAnsi" w:cs="Times New Roman"/>
        </w:rPr>
        <w:t xml:space="preserve">following </w:t>
      </w:r>
      <w:r w:rsidRPr="007A7229">
        <w:rPr>
          <w:rFonts w:asciiTheme="minorHAnsi" w:eastAsia="Calibri" w:hAnsiTheme="minorHAnsi" w:cs="Times New Roman"/>
        </w:rPr>
        <w:t>6-12 months</w:t>
      </w:r>
      <w:r>
        <w:rPr>
          <w:rFonts w:asciiTheme="minorHAnsi" w:eastAsia="Calibri" w:hAnsiTheme="minorHAnsi" w:cs="Times New Roman"/>
        </w:rPr>
        <w:t xml:space="preserve">.  For Cohort 1, 44% and for Cohort 2, 11.6% of ezetimibe initiators ceased taking LLT between 6 and 12 months after initiating ezetimibe. </w:t>
      </w:r>
    </w:p>
    <w:p w:rsidR="00020350" w:rsidRDefault="00020350">
      <w:pPr>
        <w:spacing w:line="240" w:lineRule="auto"/>
        <w:rPr>
          <w:rFonts w:asciiTheme="minorHAnsi" w:eastAsia="Calibri" w:hAnsiTheme="minorHAnsi" w:cs="Times New Roman"/>
        </w:rPr>
      </w:pPr>
      <w:r w:rsidRPr="00EA7E98">
        <w:rPr>
          <w:rFonts w:asciiTheme="minorHAnsi" w:eastAsia="Calibri" w:hAnsiTheme="minorHAnsi" w:cs="Times New Roman"/>
        </w:rPr>
        <w:t xml:space="preserve">The Reference Group noted that a substantive proportion of patients may have ceased therapy for other reasons (including death). However, the Reference Group </w:t>
      </w:r>
      <w:r w:rsidRPr="00EA7E98">
        <w:rPr>
          <w:rFonts w:asciiTheme="minorHAnsi" w:eastAsia="Calibri" w:hAnsiTheme="minorHAnsi" w:cs="Times New Roman"/>
        </w:rPr>
        <w:lastRenderedPageBreak/>
        <w:t xml:space="preserve">considered that these data show that </w:t>
      </w:r>
      <w:r>
        <w:rPr>
          <w:rFonts w:asciiTheme="minorHAnsi" w:eastAsia="Calibri" w:hAnsiTheme="minorHAnsi" w:cs="Times New Roman"/>
        </w:rPr>
        <w:t>persistence</w:t>
      </w:r>
      <w:r w:rsidRPr="00EA7E98">
        <w:rPr>
          <w:rFonts w:asciiTheme="minorHAnsi" w:eastAsia="Calibri" w:hAnsiTheme="minorHAnsi" w:cs="Times New Roman"/>
        </w:rPr>
        <w:t xml:space="preserve"> is particularly an issue when patients are commencing or recommencing LLT.</w:t>
      </w:r>
    </w:p>
    <w:p w:rsidR="00020350" w:rsidRDefault="00020350">
      <w:pPr>
        <w:spacing w:line="240" w:lineRule="auto"/>
        <w:rPr>
          <w:rFonts w:asciiTheme="minorHAnsi" w:hAnsiTheme="minorHAnsi"/>
        </w:rPr>
      </w:pPr>
      <w:r>
        <w:rPr>
          <w:rFonts w:asciiTheme="minorHAnsi" w:hAnsiTheme="minorHAnsi"/>
        </w:rPr>
        <w:t xml:space="preserve">The Reference Group considered that this presented an educational opportunity </w:t>
      </w:r>
      <w:r w:rsidRPr="00020350">
        <w:rPr>
          <w:rFonts w:asciiTheme="minorHAnsi" w:hAnsiTheme="minorHAnsi"/>
        </w:rPr>
        <w:t xml:space="preserve">for </w:t>
      </w:r>
      <w:r>
        <w:rPr>
          <w:rFonts w:asciiTheme="minorHAnsi" w:hAnsiTheme="minorHAnsi"/>
        </w:rPr>
        <w:t xml:space="preserve">prescribers and consumers in reinforcing and promoting the message that for Quality Use of Medicines and optimal management of LDL-C reduction, statins should be used first. Ezetimibe should only be prescribed after the statin dose has been optimised, unless the patient is contraindicated to statin therapy.  </w:t>
      </w:r>
    </w:p>
    <w:p w:rsidR="00106006" w:rsidRPr="00020350" w:rsidRDefault="00404D9D">
      <w:pPr>
        <w:spacing w:line="240" w:lineRule="auto"/>
        <w:rPr>
          <w:rFonts w:asciiTheme="minorHAnsi" w:eastAsia="Calibri" w:hAnsiTheme="minorHAnsi" w:cs="Times New Roman"/>
          <w:highlight w:val="yellow"/>
        </w:rPr>
      </w:pPr>
      <w:r w:rsidRPr="00020350">
        <w:rPr>
          <w:rFonts w:asciiTheme="minorHAnsi" w:eastAsia="Calibri" w:hAnsiTheme="minorHAnsi" w:cs="Times New Roman"/>
          <w:szCs w:val="24"/>
          <w:highlight w:val="yellow"/>
        </w:rPr>
        <w:t>R</w:t>
      </w:r>
      <w:r w:rsidR="0000686B" w:rsidRPr="00020350">
        <w:rPr>
          <w:rFonts w:asciiTheme="minorHAnsi" w:eastAsia="Calibri" w:hAnsiTheme="minorHAnsi" w:cs="Times New Roman"/>
          <w:szCs w:val="24"/>
          <w:highlight w:val="yellow"/>
        </w:rPr>
        <w:t xml:space="preserve">ecent literature </w:t>
      </w:r>
      <w:r w:rsidR="00020350" w:rsidRPr="00020350">
        <w:rPr>
          <w:rFonts w:asciiTheme="minorHAnsi" w:eastAsia="Calibri" w:hAnsiTheme="minorHAnsi" w:cs="Times New Roman"/>
          <w:szCs w:val="24"/>
          <w:highlight w:val="yellow"/>
        </w:rPr>
        <w:t xml:space="preserve">also </w:t>
      </w:r>
      <w:r w:rsidRPr="00020350">
        <w:rPr>
          <w:rFonts w:asciiTheme="minorHAnsi" w:eastAsia="Calibri" w:hAnsiTheme="minorHAnsi" w:cs="Times New Roman"/>
          <w:szCs w:val="24"/>
          <w:highlight w:val="yellow"/>
        </w:rPr>
        <w:t>suggest</w:t>
      </w:r>
      <w:r w:rsidR="00020350" w:rsidRPr="00020350">
        <w:rPr>
          <w:rFonts w:asciiTheme="minorHAnsi" w:eastAsia="Calibri" w:hAnsiTheme="minorHAnsi" w:cs="Times New Roman"/>
          <w:szCs w:val="24"/>
          <w:highlight w:val="yellow"/>
        </w:rPr>
        <w:t>s</w:t>
      </w:r>
      <w:r w:rsidRPr="00020350">
        <w:rPr>
          <w:rFonts w:asciiTheme="minorHAnsi" w:eastAsia="Calibri" w:hAnsiTheme="minorHAnsi" w:cs="Times New Roman"/>
          <w:szCs w:val="24"/>
          <w:highlight w:val="yellow"/>
        </w:rPr>
        <w:t xml:space="preserve"> </w:t>
      </w:r>
      <w:r w:rsidR="0000686B" w:rsidRPr="00020350">
        <w:rPr>
          <w:rFonts w:asciiTheme="minorHAnsi" w:eastAsia="Calibri" w:hAnsiTheme="minorHAnsi" w:cs="Times New Roman"/>
          <w:szCs w:val="24"/>
          <w:highlight w:val="yellow"/>
        </w:rPr>
        <w:t>that patients who take less than 80% of their statin dose have a 45% relative increase in total mortality compared with more adherent patients, an increase greater than that observed with poor adherence to other cardiac drugs.</w:t>
      </w:r>
      <w:r w:rsidR="005B045E" w:rsidRPr="00020350">
        <w:rPr>
          <w:rFonts w:asciiTheme="minorHAnsi" w:eastAsia="Calibri" w:hAnsiTheme="minorHAnsi" w:cs="Times New Roman"/>
          <w:szCs w:val="24"/>
          <w:highlight w:val="yellow"/>
        </w:rPr>
        <w:t xml:space="preserve"> Cessation of statin treatment is associated with worse cardiovascular outcomes.</w:t>
      </w:r>
      <w:r w:rsidR="00577BB3" w:rsidRPr="00020350">
        <w:rPr>
          <w:rFonts w:asciiTheme="minorHAnsi" w:eastAsia="Calibri" w:hAnsiTheme="minorHAnsi" w:cs="Times New Roman"/>
          <w:szCs w:val="24"/>
          <w:highlight w:val="yellow"/>
        </w:rPr>
        <w:t xml:space="preserve"> </w:t>
      </w:r>
      <w:r w:rsidR="00106006">
        <w:rPr>
          <w:rStyle w:val="EndnoteReference"/>
          <w:rFonts w:asciiTheme="minorHAnsi" w:eastAsia="Calibri" w:hAnsiTheme="minorHAnsi" w:cs="Times New Roman"/>
          <w:szCs w:val="24"/>
          <w:highlight w:val="yellow"/>
        </w:rPr>
        <w:endnoteReference w:id="26"/>
      </w:r>
      <w:r w:rsidR="00106006">
        <w:rPr>
          <w:rStyle w:val="EndnoteReference"/>
          <w:rFonts w:asciiTheme="minorHAnsi" w:eastAsia="Calibri" w:hAnsiTheme="minorHAnsi" w:cs="Times New Roman"/>
          <w:szCs w:val="24"/>
          <w:highlight w:val="yellow"/>
        </w:rPr>
        <w:endnoteReference w:id="27"/>
      </w:r>
    </w:p>
    <w:p w:rsidR="0000686B" w:rsidRPr="00020350" w:rsidRDefault="0000686B">
      <w:pPr>
        <w:spacing w:line="240" w:lineRule="auto"/>
        <w:rPr>
          <w:rFonts w:asciiTheme="minorHAnsi" w:eastAsia="Calibri" w:hAnsiTheme="minorHAnsi" w:cs="Times New Roman"/>
        </w:rPr>
      </w:pPr>
      <w:r w:rsidRPr="00D15002">
        <w:rPr>
          <w:rFonts w:asciiTheme="minorHAnsi" w:eastAsia="Calibri" w:hAnsiTheme="minorHAnsi" w:cs="Times New Roman"/>
          <w:highlight w:val="yellow"/>
        </w:rPr>
        <w:t xml:space="preserve">While </w:t>
      </w:r>
      <w:r w:rsidR="001751C4" w:rsidRPr="00D15002">
        <w:rPr>
          <w:rFonts w:asciiTheme="minorHAnsi" w:eastAsia="Calibri" w:hAnsiTheme="minorHAnsi" w:cs="Times New Roman"/>
          <w:highlight w:val="yellow"/>
        </w:rPr>
        <w:t xml:space="preserve">the </w:t>
      </w:r>
      <w:r w:rsidR="001751C4" w:rsidRPr="00D15002">
        <w:rPr>
          <w:rFonts w:asciiTheme="minorHAnsi" w:eastAsia="Calibri" w:hAnsiTheme="minorHAnsi" w:cs="Times New Roman"/>
          <w:szCs w:val="24"/>
          <w:highlight w:val="yellow"/>
        </w:rPr>
        <w:t>December 2016 Analysis</w:t>
      </w:r>
      <w:r w:rsidR="001751C4" w:rsidRPr="00D15002">
        <w:rPr>
          <w:rFonts w:asciiTheme="minorHAnsi" w:eastAsia="Calibri" w:hAnsiTheme="minorHAnsi" w:cs="Times New Roman"/>
          <w:highlight w:val="yellow"/>
        </w:rPr>
        <w:t xml:space="preserve"> </w:t>
      </w:r>
      <w:r w:rsidRPr="00D15002">
        <w:rPr>
          <w:rFonts w:asciiTheme="minorHAnsi" w:eastAsia="Calibri" w:hAnsiTheme="minorHAnsi" w:cs="Times New Roman"/>
          <w:highlight w:val="yellow"/>
        </w:rPr>
        <w:t xml:space="preserve">suggests poor adherence to therapy, the Reference Group acknowledges the DUSC </w:t>
      </w:r>
      <w:r w:rsidRPr="00020350">
        <w:rPr>
          <w:rFonts w:asciiTheme="minorHAnsi" w:eastAsia="Calibri" w:hAnsiTheme="minorHAnsi" w:cs="Times New Roman"/>
          <w:highlight w:val="yellow"/>
        </w:rPr>
        <w:t>advice that these studies were not designed specifically to examine questions of adherence or persistence. The analysis was limited to the population who were initiating ezetimibe and does not necessarily reflect adherence or persistence in the broader population taking statins. The DUSC agreed that new users of medicines are likely to be at higher risk of non-adherence.</w:t>
      </w:r>
    </w:p>
    <w:p w:rsidR="00896DF8" w:rsidRDefault="00896DF8" w:rsidP="005A2287">
      <w:pPr>
        <w:spacing w:after="0" w:line="240" w:lineRule="auto"/>
        <w:rPr>
          <w:rFonts w:asciiTheme="minorHAnsi" w:hAnsiTheme="minorHAnsi"/>
        </w:rPr>
      </w:pPr>
      <w:r>
        <w:rPr>
          <w:rFonts w:asciiTheme="minorHAnsi" w:hAnsiTheme="minorHAnsi"/>
        </w:rPr>
        <w:br w:type="page"/>
      </w:r>
    </w:p>
    <w:p w:rsidR="0000686B" w:rsidRPr="000B0D3B" w:rsidRDefault="002E1AAB" w:rsidP="00920324">
      <w:pPr>
        <w:pStyle w:val="Heading1"/>
      </w:pPr>
      <w:bookmarkStart w:id="59" w:name="_Toc482176953"/>
      <w:r w:rsidRPr="00A90FE3">
        <w:lastRenderedPageBreak/>
        <w:t>Section</w:t>
      </w:r>
      <w:r w:rsidR="001751C4">
        <w:t xml:space="preserve"> </w:t>
      </w:r>
      <w:r w:rsidR="002D2FC2">
        <w:t>2</w:t>
      </w:r>
      <w:r w:rsidR="00F03B50">
        <w:t>: TOR</w:t>
      </w:r>
      <w:r w:rsidR="0000686B" w:rsidRPr="000B0D3B">
        <w:t xml:space="preserve"> 2</w:t>
      </w:r>
      <w:r w:rsidR="0000686B" w:rsidRPr="000B0D3B">
        <w:br/>
      </w:r>
      <w:bookmarkEnd w:id="46"/>
      <w:r w:rsidR="0000686B" w:rsidRPr="000B0D3B">
        <w:t>Clinical Guidelines for the use of ezetimibe</w:t>
      </w:r>
      <w:bookmarkEnd w:id="59"/>
    </w:p>
    <w:p w:rsidR="0000686B" w:rsidRPr="008810FB" w:rsidRDefault="0000686B" w:rsidP="005A2287">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color w:val="365F91" w:themeColor="accent1" w:themeShade="BF"/>
          <w:szCs w:val="24"/>
        </w:rPr>
      </w:pPr>
      <w:bookmarkStart w:id="60" w:name="_Toc388453121"/>
      <w:r w:rsidRPr="008810FB">
        <w:rPr>
          <w:rFonts w:asciiTheme="minorHAnsi" w:hAnsiTheme="minorHAnsi"/>
          <w:color w:val="365F91" w:themeColor="accent1" w:themeShade="BF"/>
          <w:szCs w:val="24"/>
        </w:rPr>
        <w:t xml:space="preserve">Review recent clinical guidelines for the treatment of hypercholesterolaemia and compare this to how ezetimibe is currently used on the PBS. </w:t>
      </w:r>
    </w:p>
    <w:p w:rsidR="0000686B" w:rsidRPr="000B0D3B" w:rsidRDefault="003848A8" w:rsidP="005A2287">
      <w:pPr>
        <w:pStyle w:val="Heading2"/>
      </w:pPr>
      <w:bookmarkStart w:id="61" w:name="_Toc482176954"/>
      <w:r>
        <w:t>2.</w:t>
      </w:r>
      <w:r w:rsidR="0000686B">
        <w:t>1</w:t>
      </w:r>
      <w:r w:rsidR="0000686B">
        <w:tab/>
      </w:r>
      <w:r w:rsidR="0000686B" w:rsidRPr="000B0D3B">
        <w:t xml:space="preserve">Key findings </w:t>
      </w:r>
      <w:r w:rsidR="0000686B" w:rsidRPr="00F03B50">
        <w:t>for</w:t>
      </w:r>
      <w:r w:rsidR="0000686B" w:rsidRPr="000B0D3B">
        <w:t xml:space="preserve"> T</w:t>
      </w:r>
      <w:r w:rsidR="0000686B">
        <w:t xml:space="preserve">erm </w:t>
      </w:r>
      <w:r w:rsidR="0000686B" w:rsidRPr="000B0D3B">
        <w:t>o</w:t>
      </w:r>
      <w:r w:rsidR="0000686B">
        <w:t xml:space="preserve">f </w:t>
      </w:r>
      <w:r w:rsidR="0000686B" w:rsidRPr="000B0D3B">
        <w:t>R</w:t>
      </w:r>
      <w:r w:rsidR="0000686B">
        <w:t>eference</w:t>
      </w:r>
      <w:r w:rsidR="0000686B" w:rsidRPr="000B0D3B">
        <w:t xml:space="preserve"> 2</w:t>
      </w:r>
      <w:bookmarkEnd w:id="60"/>
      <w:bookmarkEnd w:id="61"/>
    </w:p>
    <w:p w:rsidR="0000686B" w:rsidRPr="00A100AF" w:rsidRDefault="0000686B" w:rsidP="00920324">
      <w:pPr>
        <w:pStyle w:val="ListParagraph"/>
        <w:numPr>
          <w:ilvl w:val="0"/>
          <w:numId w:val="20"/>
        </w:numPr>
        <w:spacing w:after="120" w:line="240" w:lineRule="auto"/>
        <w:ind w:left="714" w:hanging="357"/>
        <w:contextualSpacing w:val="0"/>
        <w:rPr>
          <w:rFonts w:asciiTheme="minorHAnsi" w:hAnsiTheme="minorHAnsi"/>
        </w:rPr>
      </w:pPr>
      <w:r w:rsidRPr="00A100AF">
        <w:rPr>
          <w:rFonts w:asciiTheme="minorHAnsi" w:hAnsiTheme="minorHAnsi"/>
        </w:rPr>
        <w:t>The approach to treatment to prevent cardiovascular events is similar across the identified guidelines. The variation between Australian and international guidelines reflects differences in absolute risk thresholds and pharmacot</w:t>
      </w:r>
      <w:r>
        <w:rPr>
          <w:rFonts w:asciiTheme="minorHAnsi" w:hAnsiTheme="minorHAnsi"/>
        </w:rPr>
        <w:t>herapy</w:t>
      </w:r>
      <w:r w:rsidR="000A7890" w:rsidRPr="000A7890">
        <w:rPr>
          <w:rFonts w:asciiTheme="minorHAnsi" w:hAnsiTheme="minorHAnsi"/>
        </w:rPr>
        <w:t xml:space="preserve"> </w:t>
      </w:r>
      <w:r w:rsidR="000A7890" w:rsidRPr="00A100AF">
        <w:rPr>
          <w:rFonts w:asciiTheme="minorHAnsi" w:hAnsiTheme="minorHAnsi"/>
        </w:rPr>
        <w:t>in each country</w:t>
      </w:r>
      <w:r>
        <w:rPr>
          <w:rFonts w:asciiTheme="minorHAnsi" w:hAnsiTheme="minorHAnsi"/>
        </w:rPr>
        <w:t>.</w:t>
      </w:r>
    </w:p>
    <w:p w:rsidR="0000686B" w:rsidRPr="00A100AF" w:rsidRDefault="0000686B">
      <w:pPr>
        <w:pStyle w:val="ListParagraph"/>
        <w:numPr>
          <w:ilvl w:val="0"/>
          <w:numId w:val="20"/>
        </w:numPr>
        <w:spacing w:after="120" w:line="240" w:lineRule="auto"/>
        <w:ind w:left="714" w:hanging="357"/>
        <w:contextualSpacing w:val="0"/>
        <w:rPr>
          <w:rFonts w:asciiTheme="minorHAnsi" w:hAnsiTheme="minorHAnsi"/>
        </w:rPr>
      </w:pPr>
      <w:r w:rsidRPr="00A100AF">
        <w:rPr>
          <w:rFonts w:asciiTheme="minorHAnsi" w:hAnsiTheme="minorHAnsi"/>
        </w:rPr>
        <w:t>All guidelines consider diet and exercise should be the first step for patients with an elevated cardiovascular risk. Stakeholders noted the import</w:t>
      </w:r>
      <w:r>
        <w:rPr>
          <w:rFonts w:asciiTheme="minorHAnsi" w:hAnsiTheme="minorHAnsi"/>
        </w:rPr>
        <w:t>ance of these lifestyle changes</w:t>
      </w:r>
      <w:r w:rsidR="002D2FC2">
        <w:rPr>
          <w:rFonts w:asciiTheme="minorHAnsi" w:hAnsiTheme="minorHAnsi"/>
        </w:rPr>
        <w:t xml:space="preserve"> to cardiovascular risk reduction.</w:t>
      </w:r>
    </w:p>
    <w:p w:rsidR="0000686B" w:rsidRDefault="0000686B">
      <w:pPr>
        <w:pStyle w:val="ListParagraph"/>
        <w:numPr>
          <w:ilvl w:val="0"/>
          <w:numId w:val="20"/>
        </w:numPr>
        <w:spacing w:after="120" w:line="240" w:lineRule="auto"/>
        <w:ind w:left="714" w:hanging="357"/>
        <w:contextualSpacing w:val="0"/>
        <w:rPr>
          <w:rFonts w:asciiTheme="minorHAnsi" w:hAnsiTheme="minorHAnsi"/>
        </w:rPr>
      </w:pPr>
      <w:r w:rsidRPr="00576DB9">
        <w:rPr>
          <w:rFonts w:asciiTheme="minorHAnsi" w:hAnsiTheme="minorHAnsi"/>
        </w:rPr>
        <w:t xml:space="preserve">The majority of </w:t>
      </w:r>
      <w:r w:rsidR="002D2FC2">
        <w:rPr>
          <w:rFonts w:asciiTheme="minorHAnsi" w:hAnsiTheme="minorHAnsi"/>
        </w:rPr>
        <w:t xml:space="preserve">the </w:t>
      </w:r>
      <w:r w:rsidRPr="00576DB9">
        <w:rPr>
          <w:rFonts w:asciiTheme="minorHAnsi" w:hAnsiTheme="minorHAnsi"/>
        </w:rPr>
        <w:t xml:space="preserve">guidelines list statins as the first pharmacotherapy of choice in patients who have increased risk of cardiovascular disease. Adding ezetimibe is usually recommended when patients require additional reduction of LDL-C. The rationale for this positioning of ezetimibe is not clearly articulated but is likely to </w:t>
      </w:r>
      <w:r w:rsidRPr="00367920">
        <w:rPr>
          <w:rFonts w:asciiTheme="minorHAnsi" w:hAnsiTheme="minorHAnsi"/>
        </w:rPr>
        <w:t xml:space="preserve">reflect the greater body of </w:t>
      </w:r>
      <w:r w:rsidRPr="00576DB9">
        <w:rPr>
          <w:rFonts w:asciiTheme="minorHAnsi" w:hAnsiTheme="minorHAnsi"/>
        </w:rPr>
        <w:t xml:space="preserve">evidence on clinical outcomes supporting statin </w:t>
      </w:r>
      <w:r w:rsidRPr="002D2FC2">
        <w:rPr>
          <w:rFonts w:asciiTheme="minorHAnsi" w:hAnsiTheme="minorHAnsi"/>
          <w:highlight w:val="yellow"/>
        </w:rPr>
        <w:t>use</w:t>
      </w:r>
      <w:r w:rsidR="002D2FC2" w:rsidRPr="002D2FC2">
        <w:rPr>
          <w:rFonts w:asciiTheme="minorHAnsi" w:hAnsiTheme="minorHAnsi"/>
          <w:highlight w:val="yellow"/>
        </w:rPr>
        <w:t xml:space="preserve"> and the greater percentage reduction of LDL-C with statins compared to ezetimibe monotherapy.</w:t>
      </w:r>
      <w:r w:rsidRPr="00576DB9">
        <w:rPr>
          <w:rFonts w:asciiTheme="minorHAnsi" w:hAnsiTheme="minorHAnsi"/>
        </w:rPr>
        <w:t xml:space="preserve"> </w:t>
      </w:r>
    </w:p>
    <w:p w:rsidR="0000686B" w:rsidRPr="00576DB9" w:rsidRDefault="0000686B">
      <w:pPr>
        <w:pStyle w:val="ListParagraph"/>
        <w:numPr>
          <w:ilvl w:val="0"/>
          <w:numId w:val="20"/>
        </w:numPr>
        <w:spacing w:after="120" w:line="240" w:lineRule="auto"/>
        <w:ind w:left="714" w:hanging="357"/>
        <w:contextualSpacing w:val="0"/>
        <w:rPr>
          <w:rFonts w:asciiTheme="minorHAnsi" w:hAnsiTheme="minorHAnsi"/>
        </w:rPr>
      </w:pPr>
      <w:r w:rsidRPr="00576DB9">
        <w:rPr>
          <w:rFonts w:asciiTheme="minorHAnsi" w:hAnsiTheme="minorHAnsi"/>
        </w:rPr>
        <w:t>The majority of patients (</w:t>
      </w:r>
      <w:r w:rsidR="000A7890">
        <w:rPr>
          <w:rFonts w:asciiTheme="minorHAnsi" w:hAnsiTheme="minorHAnsi"/>
        </w:rPr>
        <w:t>82.7</w:t>
      </w:r>
      <w:r w:rsidRPr="00576DB9">
        <w:rPr>
          <w:rFonts w:asciiTheme="minorHAnsi" w:hAnsiTheme="minorHAnsi"/>
        </w:rPr>
        <w:t xml:space="preserve">%) who commenced ezetimibe in the 2014/2015 period had a history of statin use in the 2 years prior to initiation. This would </w:t>
      </w:r>
      <w:r w:rsidR="000A7890" w:rsidRPr="00576DB9">
        <w:rPr>
          <w:rFonts w:asciiTheme="minorHAnsi" w:hAnsiTheme="minorHAnsi"/>
        </w:rPr>
        <w:t>su</w:t>
      </w:r>
      <w:r w:rsidR="000A7890">
        <w:rPr>
          <w:rFonts w:asciiTheme="minorHAnsi" w:hAnsiTheme="minorHAnsi"/>
        </w:rPr>
        <w:t>ggest</w:t>
      </w:r>
      <w:r w:rsidR="000A7890" w:rsidRPr="00576DB9">
        <w:rPr>
          <w:rFonts w:asciiTheme="minorHAnsi" w:hAnsiTheme="minorHAnsi"/>
        </w:rPr>
        <w:t xml:space="preserve"> </w:t>
      </w:r>
      <w:r w:rsidR="000A7890" w:rsidRPr="000A7890">
        <w:rPr>
          <w:rFonts w:asciiTheme="minorHAnsi" w:hAnsiTheme="minorHAnsi"/>
        </w:rPr>
        <w:t>that</w:t>
      </w:r>
      <w:r w:rsidRPr="000A7890">
        <w:rPr>
          <w:rFonts w:asciiTheme="minorHAnsi" w:hAnsiTheme="minorHAnsi"/>
        </w:rPr>
        <w:t xml:space="preserve"> a substantial proportion of prescribers</w:t>
      </w:r>
      <w:r>
        <w:rPr>
          <w:rFonts w:asciiTheme="minorHAnsi" w:hAnsiTheme="minorHAnsi"/>
        </w:rPr>
        <w:t xml:space="preserve"> use</w:t>
      </w:r>
      <w:r w:rsidRPr="00576DB9">
        <w:rPr>
          <w:rFonts w:asciiTheme="minorHAnsi" w:hAnsiTheme="minorHAnsi"/>
        </w:rPr>
        <w:t xml:space="preserve"> statins as first-line therapy in hyperlipidaemia</w:t>
      </w:r>
      <w:r>
        <w:rPr>
          <w:rFonts w:asciiTheme="minorHAnsi" w:hAnsiTheme="minorHAnsi"/>
        </w:rPr>
        <w:t>.</w:t>
      </w:r>
    </w:p>
    <w:p w:rsidR="00367920" w:rsidRPr="008810FB" w:rsidRDefault="0000686B">
      <w:pPr>
        <w:pStyle w:val="ListParagraph"/>
        <w:numPr>
          <w:ilvl w:val="0"/>
          <w:numId w:val="20"/>
        </w:numPr>
        <w:spacing w:after="120" w:line="240" w:lineRule="auto"/>
        <w:ind w:left="714" w:hanging="357"/>
        <w:contextualSpacing w:val="0"/>
        <w:rPr>
          <w:rFonts w:asciiTheme="minorHAnsi" w:hAnsiTheme="minorHAnsi"/>
          <w:highlight w:val="yellow"/>
        </w:rPr>
      </w:pPr>
      <w:r w:rsidRPr="008810FB">
        <w:rPr>
          <w:rFonts w:asciiTheme="minorHAnsi" w:hAnsiTheme="minorHAnsi"/>
          <w:highlight w:val="yellow"/>
        </w:rPr>
        <w:t>Pharmaceutical Benefits Scheme (PBS) restrictions may not reflect clinical guidelines.</w:t>
      </w:r>
      <w:r w:rsidRPr="00752C36">
        <w:rPr>
          <w:rFonts w:asciiTheme="minorHAnsi" w:hAnsiTheme="minorHAnsi"/>
          <w:highlight w:val="yellow"/>
        </w:rPr>
        <w:t xml:space="preserve"> </w:t>
      </w:r>
      <w:r w:rsidRPr="008810FB">
        <w:rPr>
          <w:rFonts w:asciiTheme="minorHAnsi" w:hAnsiTheme="minorHAnsi"/>
          <w:highlight w:val="yellow"/>
        </w:rPr>
        <w:t xml:space="preserve">The PBS restrictions consider both comparative effectiveness and cost-effectiveness while guidelines can take greater account of individual patient efficacy and </w:t>
      </w:r>
      <w:r w:rsidR="002B08BB" w:rsidRPr="008810FB">
        <w:rPr>
          <w:rFonts w:asciiTheme="minorHAnsi" w:hAnsiTheme="minorHAnsi"/>
          <w:highlight w:val="yellow"/>
        </w:rPr>
        <w:t xml:space="preserve">do </w:t>
      </w:r>
      <w:r w:rsidRPr="008810FB">
        <w:rPr>
          <w:rFonts w:asciiTheme="minorHAnsi" w:hAnsiTheme="minorHAnsi"/>
          <w:highlight w:val="yellow"/>
        </w:rPr>
        <w:t>not consider cost-effectiveness at the population level.</w:t>
      </w:r>
      <w:r w:rsidR="00F85C3C" w:rsidRPr="008810FB" w:rsidDel="00F85C3C">
        <w:rPr>
          <w:rFonts w:asciiTheme="minorHAnsi" w:hAnsiTheme="minorHAnsi"/>
        </w:rPr>
        <w:t xml:space="preserve"> </w:t>
      </w:r>
    </w:p>
    <w:p w:rsidR="0000686B" w:rsidRPr="00367920" w:rsidRDefault="0000686B">
      <w:pPr>
        <w:pStyle w:val="ListParagraph"/>
        <w:numPr>
          <w:ilvl w:val="0"/>
          <w:numId w:val="20"/>
        </w:numPr>
        <w:spacing w:after="120" w:line="240" w:lineRule="auto"/>
        <w:ind w:left="714" w:hanging="357"/>
        <w:contextualSpacing w:val="0"/>
        <w:rPr>
          <w:rFonts w:asciiTheme="minorHAnsi" w:hAnsiTheme="minorHAnsi"/>
          <w:highlight w:val="yellow"/>
        </w:rPr>
      </w:pPr>
      <w:r w:rsidRPr="00367920">
        <w:rPr>
          <w:rFonts w:asciiTheme="minorHAnsi" w:hAnsiTheme="minorHAnsi"/>
        </w:rPr>
        <w:t xml:space="preserve">Statins are </w:t>
      </w:r>
      <w:r w:rsidRPr="000A7890">
        <w:rPr>
          <w:rFonts w:asciiTheme="minorHAnsi" w:hAnsiTheme="minorHAnsi"/>
        </w:rPr>
        <w:t>well tolerated</w:t>
      </w:r>
      <w:r w:rsidRPr="00367920">
        <w:rPr>
          <w:rFonts w:asciiTheme="minorHAnsi" w:hAnsiTheme="minorHAnsi"/>
        </w:rPr>
        <w:t xml:space="preserve"> and the proportion of people who are truly contraindicated to statins is reported to be very small. </w:t>
      </w:r>
      <w:r w:rsidRPr="00367920">
        <w:rPr>
          <w:rFonts w:asciiTheme="minorHAnsi" w:hAnsiTheme="minorHAnsi"/>
          <w:highlight w:val="yellow"/>
        </w:rPr>
        <w:t>There is some dispute about the exact size of the intolerant and contraindicated populations in Australia. Overall figures of 5-10% were considered reasonable by the Reference Group.</w:t>
      </w:r>
    </w:p>
    <w:p w:rsidR="0000686B" w:rsidRPr="000A7890" w:rsidRDefault="0000686B">
      <w:pPr>
        <w:pStyle w:val="ListParagraph"/>
        <w:numPr>
          <w:ilvl w:val="0"/>
          <w:numId w:val="20"/>
        </w:numPr>
        <w:spacing w:after="120" w:line="240" w:lineRule="auto"/>
        <w:ind w:left="714" w:hanging="357"/>
        <w:contextualSpacing w:val="0"/>
        <w:rPr>
          <w:rFonts w:asciiTheme="minorHAnsi" w:hAnsiTheme="minorHAnsi"/>
          <w:highlight w:val="yellow"/>
        </w:rPr>
      </w:pPr>
      <w:r w:rsidRPr="000A7890">
        <w:rPr>
          <w:rFonts w:asciiTheme="minorHAnsi" w:hAnsiTheme="minorHAnsi"/>
          <w:highlight w:val="yellow"/>
        </w:rPr>
        <w:t>Ezetimibe is one of the treatment options for patients in whom statin therapy is contraindicated or not tolerated. Strategies for managing statin intolerance include prescribing a different statin, taking a treatment break and rechallenging or reducing the dose of statin.</w:t>
      </w:r>
    </w:p>
    <w:p w:rsidR="0000686B" w:rsidRDefault="0000686B">
      <w:pPr>
        <w:pStyle w:val="ListParagraph"/>
        <w:numPr>
          <w:ilvl w:val="0"/>
          <w:numId w:val="20"/>
        </w:numPr>
        <w:spacing w:after="120" w:line="240" w:lineRule="auto"/>
        <w:ind w:left="714" w:hanging="357"/>
        <w:contextualSpacing w:val="0"/>
        <w:rPr>
          <w:rFonts w:asciiTheme="minorHAnsi" w:hAnsiTheme="minorHAnsi"/>
        </w:rPr>
      </w:pPr>
      <w:r w:rsidRPr="00A100AF">
        <w:rPr>
          <w:rFonts w:asciiTheme="minorHAnsi" w:hAnsiTheme="minorHAnsi"/>
        </w:rPr>
        <w:t>There are small differences between the eligibility of patients for pharmacotherapy between the General Statement</w:t>
      </w:r>
      <w:r>
        <w:rPr>
          <w:rFonts w:asciiTheme="minorHAnsi" w:hAnsiTheme="minorHAnsi"/>
        </w:rPr>
        <w:t xml:space="preserve"> for Lipid Lowering Drugs (GSLLD)</w:t>
      </w:r>
      <w:r w:rsidRPr="00A100AF">
        <w:rPr>
          <w:rFonts w:asciiTheme="minorHAnsi" w:hAnsiTheme="minorHAnsi"/>
        </w:rPr>
        <w:t xml:space="preserve"> and the Australian guidelines for treatment. The effect of these </w:t>
      </w:r>
      <w:r w:rsidRPr="00A100AF">
        <w:rPr>
          <w:rFonts w:asciiTheme="minorHAnsi" w:hAnsiTheme="minorHAnsi"/>
        </w:rPr>
        <w:lastRenderedPageBreak/>
        <w:t>differences has not been quantified, with one study indicating that it may not be substantial</w:t>
      </w:r>
      <w:r w:rsidR="002A465C">
        <w:rPr>
          <w:rStyle w:val="EndnoteReference"/>
          <w:rFonts w:asciiTheme="minorHAnsi" w:hAnsiTheme="minorHAnsi"/>
        </w:rPr>
        <w:endnoteReference w:id="28"/>
      </w:r>
      <w:r>
        <w:rPr>
          <w:rFonts w:asciiTheme="minorHAnsi" w:hAnsiTheme="minorHAnsi"/>
        </w:rPr>
        <w:t xml:space="preserve"> </w:t>
      </w:r>
    </w:p>
    <w:p w:rsidR="000A7890" w:rsidRPr="00C01A97" w:rsidRDefault="0000686B">
      <w:pPr>
        <w:pStyle w:val="ListParagraph"/>
        <w:numPr>
          <w:ilvl w:val="0"/>
          <w:numId w:val="20"/>
        </w:numPr>
        <w:spacing w:after="120" w:line="240" w:lineRule="auto"/>
        <w:ind w:left="709" w:hanging="283"/>
        <w:contextualSpacing w:val="0"/>
        <w:rPr>
          <w:rFonts w:asciiTheme="minorHAnsi" w:hAnsiTheme="minorHAnsi"/>
          <w:highlight w:val="yellow"/>
        </w:rPr>
      </w:pPr>
      <w:r w:rsidRPr="00C01A97">
        <w:rPr>
          <w:rFonts w:asciiTheme="minorHAnsi" w:hAnsiTheme="minorHAnsi"/>
          <w:szCs w:val="24"/>
          <w:highlight w:val="yellow"/>
        </w:rPr>
        <w:t>The Bohula et al</w:t>
      </w:r>
      <w:r w:rsidR="00106006">
        <w:rPr>
          <w:rStyle w:val="EndnoteReference"/>
          <w:rFonts w:asciiTheme="minorHAnsi" w:hAnsiTheme="minorHAnsi"/>
          <w:szCs w:val="24"/>
          <w:highlight w:val="yellow"/>
        </w:rPr>
        <w:endnoteReference w:id="29"/>
      </w:r>
      <w:r w:rsidR="00106006" w:rsidRPr="00C01A97">
        <w:rPr>
          <w:rFonts w:asciiTheme="minorHAnsi" w:hAnsiTheme="minorHAnsi"/>
          <w:szCs w:val="24"/>
          <w:highlight w:val="yellow"/>
          <w:vertAlign w:val="superscript"/>
        </w:rPr>
        <w:t xml:space="preserve"> </w:t>
      </w:r>
      <w:r w:rsidRPr="00C01A97">
        <w:rPr>
          <w:rFonts w:asciiTheme="minorHAnsi" w:hAnsiTheme="minorHAnsi"/>
          <w:szCs w:val="24"/>
          <w:highlight w:val="yellow"/>
        </w:rPr>
        <w:t xml:space="preserve"> </w:t>
      </w:r>
      <w:r w:rsidR="000A7890" w:rsidRPr="00C01A97">
        <w:rPr>
          <w:rFonts w:asciiTheme="minorHAnsi" w:hAnsiTheme="minorHAnsi"/>
          <w:szCs w:val="24"/>
          <w:highlight w:val="yellow"/>
        </w:rPr>
        <w:t>re-</w:t>
      </w:r>
      <w:r w:rsidRPr="00C01A97">
        <w:rPr>
          <w:rFonts w:asciiTheme="minorHAnsi" w:hAnsiTheme="minorHAnsi"/>
          <w:szCs w:val="24"/>
          <w:highlight w:val="yellow"/>
        </w:rPr>
        <w:t>analysis of the IMPROVE-IT trial defined subgroups of participants according to the level of atherothrombotic risk. They found those who showed significant benefit from ezetimibe/statin therapy were in the highest cardiovascular risk category i.e.</w:t>
      </w:r>
      <w:r w:rsidR="00367920" w:rsidRPr="00C01A97">
        <w:rPr>
          <w:rFonts w:asciiTheme="minorHAnsi" w:hAnsiTheme="minorHAnsi"/>
          <w:szCs w:val="24"/>
          <w:highlight w:val="yellow"/>
        </w:rPr>
        <w:t xml:space="preserve"> </w:t>
      </w:r>
      <w:r w:rsidRPr="00C01A97">
        <w:rPr>
          <w:rFonts w:asciiTheme="minorHAnsi" w:hAnsiTheme="minorHAnsi"/>
          <w:szCs w:val="24"/>
          <w:highlight w:val="yellow"/>
        </w:rPr>
        <w:t xml:space="preserve">the secondary prevention group with three or more additional risk factors. </w:t>
      </w:r>
      <w:r w:rsidR="00402432" w:rsidRPr="00C01A97">
        <w:rPr>
          <w:rFonts w:asciiTheme="minorHAnsi" w:hAnsiTheme="minorHAnsi"/>
          <w:szCs w:val="24"/>
          <w:highlight w:val="yellow"/>
        </w:rPr>
        <w:t>This underlines the importance of restricting PBS subsidised use of ezetimibe to the high risk population.</w:t>
      </w:r>
    </w:p>
    <w:p w:rsidR="00C01A97" w:rsidRPr="00C01A97" w:rsidRDefault="00367920">
      <w:pPr>
        <w:pStyle w:val="ListParagraph"/>
        <w:numPr>
          <w:ilvl w:val="0"/>
          <w:numId w:val="20"/>
        </w:numPr>
        <w:spacing w:after="120" w:line="240" w:lineRule="auto"/>
        <w:ind w:left="709" w:hanging="283"/>
        <w:contextualSpacing w:val="0"/>
        <w:rPr>
          <w:rFonts w:asciiTheme="minorHAnsi" w:hAnsiTheme="minorHAnsi"/>
          <w:highlight w:val="yellow"/>
        </w:rPr>
      </w:pPr>
      <w:r w:rsidRPr="00C01A97">
        <w:rPr>
          <w:rFonts w:asciiTheme="minorHAnsi" w:hAnsiTheme="minorHAnsi"/>
          <w:highlight w:val="yellow"/>
        </w:rPr>
        <w:t xml:space="preserve">The use of LLT is now an established approach to reduce cardiovascular risk. </w:t>
      </w:r>
    </w:p>
    <w:p w:rsidR="0000686B" w:rsidRPr="000B0D3B" w:rsidRDefault="003848A8">
      <w:pPr>
        <w:pStyle w:val="Heading2"/>
      </w:pPr>
      <w:bookmarkStart w:id="62" w:name="_Toc388453122"/>
      <w:bookmarkStart w:id="63" w:name="_Toc482176955"/>
      <w:r>
        <w:t>2.</w:t>
      </w:r>
      <w:r w:rsidR="0000686B" w:rsidRPr="000B0D3B">
        <w:t>2</w:t>
      </w:r>
      <w:r w:rsidR="0000686B" w:rsidRPr="000B0D3B">
        <w:tab/>
        <w:t>Published evidence</w:t>
      </w:r>
      <w:bookmarkEnd w:id="62"/>
      <w:bookmarkEnd w:id="63"/>
      <w:r w:rsidR="0000686B" w:rsidRPr="000B0D3B">
        <w:t xml:space="preserve"> </w:t>
      </w:r>
    </w:p>
    <w:p w:rsidR="0000686B" w:rsidRPr="00204D95" w:rsidRDefault="003848A8" w:rsidP="005A2287">
      <w:pPr>
        <w:pStyle w:val="Heading3"/>
        <w:jc w:val="left"/>
      </w:pPr>
      <w:bookmarkStart w:id="64" w:name="_Toc482176956"/>
      <w:r>
        <w:t>2.</w:t>
      </w:r>
      <w:r w:rsidR="0000686B" w:rsidRPr="00204D95">
        <w:t>2.1</w:t>
      </w:r>
      <w:r w:rsidR="0000686B" w:rsidRPr="00204D95">
        <w:tab/>
      </w:r>
      <w:r w:rsidR="0000686B">
        <w:t>Approach to the review</w:t>
      </w:r>
      <w:bookmarkEnd w:id="64"/>
      <w:r w:rsidR="0000686B" w:rsidRPr="00204D95">
        <w:t xml:space="preserve"> </w:t>
      </w:r>
    </w:p>
    <w:p w:rsidR="0000686B" w:rsidRDefault="0000686B" w:rsidP="005A2287">
      <w:pPr>
        <w:spacing w:line="240" w:lineRule="auto"/>
        <w:rPr>
          <w:rFonts w:asciiTheme="minorHAnsi" w:hAnsiTheme="minorHAnsi"/>
        </w:rPr>
      </w:pPr>
      <w:r>
        <w:rPr>
          <w:rFonts w:asciiTheme="minorHAnsi" w:hAnsiTheme="minorHAnsi"/>
        </w:rPr>
        <w:t xml:space="preserve">A review </w:t>
      </w:r>
      <w:r w:rsidRPr="007F2906">
        <w:rPr>
          <w:rFonts w:asciiTheme="minorHAnsi" w:hAnsiTheme="minorHAnsi"/>
        </w:rPr>
        <w:t>of</w:t>
      </w:r>
      <w:r>
        <w:rPr>
          <w:rFonts w:asciiTheme="minorHAnsi" w:hAnsiTheme="minorHAnsi"/>
        </w:rPr>
        <w:t xml:space="preserve"> the most recent Australian and i</w:t>
      </w:r>
      <w:r w:rsidRPr="007F2906">
        <w:rPr>
          <w:rFonts w:asciiTheme="minorHAnsi" w:hAnsiTheme="minorHAnsi"/>
        </w:rPr>
        <w:t>nternational Clinical Treatment Guidelines for management of metabolic lipid disorders to prevent cardiovascular outcomes</w:t>
      </w:r>
      <w:r>
        <w:rPr>
          <w:rFonts w:asciiTheme="minorHAnsi" w:hAnsiTheme="minorHAnsi"/>
        </w:rPr>
        <w:t xml:space="preserve"> was undertaken.</w:t>
      </w:r>
      <w:r w:rsidRPr="00392C70">
        <w:rPr>
          <w:rFonts w:asciiTheme="minorHAnsi" w:hAnsiTheme="minorHAnsi"/>
        </w:rPr>
        <w:t xml:space="preserve"> </w:t>
      </w:r>
      <w:r w:rsidRPr="007F2906">
        <w:rPr>
          <w:rFonts w:asciiTheme="minorHAnsi" w:hAnsiTheme="minorHAnsi"/>
        </w:rPr>
        <w:t xml:space="preserve">Eleven guidelines were identified through a systematic literature review. Details of the source, approach, risk categories, use of lipid serum </w:t>
      </w:r>
      <w:r w:rsidR="00C25005" w:rsidRPr="00C25005">
        <w:rPr>
          <w:rFonts w:asciiTheme="minorHAnsi" w:eastAsia="Times New Roman" w:hAnsiTheme="minorHAnsi" w:cs="Arial"/>
          <w:color w:val="222222"/>
          <w:szCs w:val="24"/>
          <w:highlight w:val="yellow"/>
          <w:lang w:eastAsia="en-AU"/>
        </w:rPr>
        <w:t>concentrations</w:t>
      </w:r>
      <w:r w:rsidR="00C25005" w:rsidRPr="007F2906">
        <w:rPr>
          <w:rFonts w:asciiTheme="minorHAnsi" w:hAnsiTheme="minorHAnsi"/>
        </w:rPr>
        <w:t xml:space="preserve"> </w:t>
      </w:r>
      <w:r w:rsidRPr="007F2906">
        <w:rPr>
          <w:rFonts w:asciiTheme="minorHAnsi" w:hAnsiTheme="minorHAnsi"/>
        </w:rPr>
        <w:t>and recommendations for treatment were extracted.</w:t>
      </w:r>
    </w:p>
    <w:p w:rsidR="0000686B" w:rsidRPr="0029756E" w:rsidRDefault="0000686B" w:rsidP="005A2287">
      <w:pPr>
        <w:spacing w:line="240" w:lineRule="auto"/>
        <w:rPr>
          <w:rFonts w:asciiTheme="minorHAnsi" w:hAnsiTheme="minorHAnsi"/>
        </w:rPr>
      </w:pPr>
      <w:r w:rsidRPr="0029756E">
        <w:rPr>
          <w:rFonts w:asciiTheme="minorHAnsi" w:hAnsiTheme="minorHAnsi"/>
        </w:rPr>
        <w:t xml:space="preserve">In addition, a number of publications on comparison of the </w:t>
      </w:r>
      <w:r>
        <w:rPr>
          <w:rFonts w:asciiTheme="minorHAnsi" w:hAnsiTheme="minorHAnsi"/>
        </w:rPr>
        <w:t>i</w:t>
      </w:r>
      <w:r w:rsidRPr="0029756E">
        <w:rPr>
          <w:rFonts w:asciiTheme="minorHAnsi" w:hAnsiTheme="minorHAnsi"/>
        </w:rPr>
        <w:t xml:space="preserve">nternational guidelines was identified and studied to inform the outcomes of this </w:t>
      </w:r>
      <w:r w:rsidRPr="00074D93">
        <w:rPr>
          <w:rFonts w:asciiTheme="minorHAnsi" w:hAnsiTheme="minorHAnsi"/>
        </w:rPr>
        <w:t>review</w:t>
      </w:r>
      <w:r w:rsidR="002A465C">
        <w:rPr>
          <w:rStyle w:val="EndnoteReference"/>
          <w:rFonts w:asciiTheme="minorHAnsi" w:hAnsiTheme="minorHAnsi"/>
        </w:rPr>
        <w:endnoteReference w:id="30"/>
      </w:r>
      <w:r w:rsidR="002A465C">
        <w:rPr>
          <w:rStyle w:val="EndnoteReference"/>
          <w:rFonts w:asciiTheme="minorHAnsi" w:hAnsiTheme="minorHAnsi"/>
        </w:rPr>
        <w:endnoteReference w:id="31"/>
      </w:r>
      <w:r w:rsidR="00C454CC">
        <w:rPr>
          <w:rStyle w:val="EndnoteReference"/>
          <w:rFonts w:asciiTheme="minorHAnsi" w:hAnsiTheme="minorHAnsi"/>
        </w:rPr>
        <w:endnoteReference w:id="32"/>
      </w:r>
      <w:r w:rsidR="00C454CC">
        <w:rPr>
          <w:rStyle w:val="EndnoteReference"/>
          <w:rFonts w:asciiTheme="minorHAnsi" w:hAnsiTheme="minorHAnsi"/>
        </w:rPr>
        <w:endnoteReference w:id="33"/>
      </w:r>
      <w:r w:rsidR="00C454CC">
        <w:rPr>
          <w:rStyle w:val="EndnoteReference"/>
          <w:rFonts w:asciiTheme="minorHAnsi" w:hAnsiTheme="minorHAnsi"/>
        </w:rPr>
        <w:endnoteReference w:id="34"/>
      </w:r>
      <w:r w:rsidRPr="00074D93">
        <w:rPr>
          <w:rFonts w:asciiTheme="minorHAnsi" w:hAnsiTheme="minorHAnsi"/>
        </w:rPr>
        <w:t>.</w:t>
      </w:r>
      <w:r w:rsidRPr="0029756E">
        <w:rPr>
          <w:rFonts w:asciiTheme="minorHAnsi" w:hAnsiTheme="minorHAnsi"/>
        </w:rPr>
        <w:t xml:space="preserve"> </w:t>
      </w:r>
    </w:p>
    <w:p w:rsidR="0000686B" w:rsidRPr="007F2906" w:rsidRDefault="0000686B" w:rsidP="005A2287">
      <w:pPr>
        <w:spacing w:line="240" w:lineRule="auto"/>
        <w:rPr>
          <w:rFonts w:asciiTheme="minorHAnsi" w:hAnsiTheme="minorHAnsi"/>
        </w:rPr>
      </w:pPr>
      <w:r w:rsidRPr="007F2906">
        <w:rPr>
          <w:rFonts w:asciiTheme="minorHAnsi" w:hAnsiTheme="minorHAnsi"/>
        </w:rPr>
        <w:t xml:space="preserve">For additional details and a more comprehensive review of the evidence </w:t>
      </w:r>
      <w:r>
        <w:rPr>
          <w:rFonts w:asciiTheme="minorHAnsi" w:hAnsiTheme="minorHAnsi"/>
        </w:rPr>
        <w:t xml:space="preserve">gathered to inform </w:t>
      </w:r>
      <w:r w:rsidRPr="007F2906">
        <w:rPr>
          <w:rFonts w:asciiTheme="minorHAnsi" w:hAnsiTheme="minorHAnsi"/>
        </w:rPr>
        <w:t>T</w:t>
      </w:r>
      <w:r>
        <w:rPr>
          <w:rFonts w:asciiTheme="minorHAnsi" w:hAnsiTheme="minorHAnsi"/>
        </w:rPr>
        <w:t xml:space="preserve">erm of </w:t>
      </w:r>
      <w:r w:rsidRPr="007F2906">
        <w:rPr>
          <w:rFonts w:asciiTheme="minorHAnsi" w:hAnsiTheme="minorHAnsi"/>
        </w:rPr>
        <w:t>R</w:t>
      </w:r>
      <w:r>
        <w:rPr>
          <w:rFonts w:asciiTheme="minorHAnsi" w:hAnsiTheme="minorHAnsi"/>
        </w:rPr>
        <w:t>eference</w:t>
      </w:r>
      <w:r w:rsidRPr="007F2906">
        <w:rPr>
          <w:rFonts w:asciiTheme="minorHAnsi" w:hAnsiTheme="minorHAnsi"/>
        </w:rPr>
        <w:t xml:space="preserve"> 2</w:t>
      </w:r>
      <w:r>
        <w:rPr>
          <w:rFonts w:asciiTheme="minorHAnsi" w:hAnsiTheme="minorHAnsi"/>
        </w:rPr>
        <w:t>,</w:t>
      </w:r>
      <w:r w:rsidRPr="007F2906">
        <w:rPr>
          <w:rFonts w:asciiTheme="minorHAnsi" w:hAnsiTheme="minorHAnsi"/>
        </w:rPr>
        <w:t xml:space="preserve"> refer to the Review of Clinical Guidelines undertaken by the Centre for Population Health Research</w:t>
      </w:r>
      <w:r>
        <w:rPr>
          <w:rFonts w:asciiTheme="minorHAnsi" w:hAnsiTheme="minorHAnsi"/>
        </w:rPr>
        <w:t xml:space="preserve"> (CPHR)</w:t>
      </w:r>
      <w:r w:rsidRPr="007F2906">
        <w:rPr>
          <w:rFonts w:asciiTheme="minorHAnsi" w:hAnsiTheme="minorHAnsi"/>
        </w:rPr>
        <w:t xml:space="preserve">, Deakin University </w:t>
      </w:r>
      <w:r>
        <w:rPr>
          <w:rFonts w:asciiTheme="minorHAnsi" w:hAnsiTheme="minorHAnsi"/>
          <w:b/>
        </w:rPr>
        <w:t>(Appendix G</w:t>
      </w:r>
      <w:r w:rsidRPr="003C654A">
        <w:rPr>
          <w:rFonts w:asciiTheme="minorHAnsi" w:hAnsiTheme="minorHAnsi"/>
          <w:b/>
        </w:rPr>
        <w:t>).</w:t>
      </w:r>
    </w:p>
    <w:p w:rsidR="0000686B" w:rsidRPr="00204D95" w:rsidRDefault="003848A8" w:rsidP="005A2287">
      <w:pPr>
        <w:pStyle w:val="Heading3"/>
        <w:jc w:val="left"/>
      </w:pPr>
      <w:bookmarkStart w:id="65" w:name="_Toc482176957"/>
      <w:r>
        <w:t>2.</w:t>
      </w:r>
      <w:r w:rsidR="0000686B" w:rsidRPr="00204D95">
        <w:t>2.2</w:t>
      </w:r>
      <w:r w:rsidR="0000686B" w:rsidRPr="00204D95">
        <w:tab/>
        <w:t xml:space="preserve">Comparison of Australian and </w:t>
      </w:r>
      <w:r w:rsidR="0000686B">
        <w:t>i</w:t>
      </w:r>
      <w:r w:rsidR="0000686B" w:rsidRPr="00204D95">
        <w:t>nternational treatment guidelines</w:t>
      </w:r>
      <w:bookmarkEnd w:id="65"/>
    </w:p>
    <w:p w:rsidR="0000686B" w:rsidRPr="00D539ED" w:rsidRDefault="0000686B" w:rsidP="00920324">
      <w:pPr>
        <w:spacing w:line="240" w:lineRule="auto"/>
        <w:rPr>
          <w:rFonts w:asciiTheme="minorHAnsi" w:hAnsiTheme="minorHAnsi"/>
          <w:szCs w:val="24"/>
        </w:rPr>
      </w:pPr>
      <w:r w:rsidRPr="00D539ED">
        <w:rPr>
          <w:rFonts w:asciiTheme="minorHAnsi" w:hAnsiTheme="minorHAnsi"/>
          <w:szCs w:val="24"/>
        </w:rPr>
        <w:t xml:space="preserve">All current guidelines recommend treatment based on an individual patient’s risk of having a cardiovascular event. </w:t>
      </w:r>
    </w:p>
    <w:p w:rsidR="0000686B" w:rsidRPr="00D539ED" w:rsidRDefault="0000686B">
      <w:pPr>
        <w:spacing w:line="240" w:lineRule="auto"/>
        <w:rPr>
          <w:rFonts w:asciiTheme="minorHAnsi" w:hAnsiTheme="minorHAnsi"/>
          <w:szCs w:val="24"/>
        </w:rPr>
      </w:pPr>
      <w:r w:rsidRPr="00D539ED">
        <w:rPr>
          <w:rFonts w:asciiTheme="minorHAnsi" w:hAnsiTheme="minorHAnsi"/>
          <w:szCs w:val="24"/>
        </w:rPr>
        <w:t>Guidelines separate patients into one of two groups: 1) patients who have not had a cardiovascular event (primary prevention); and 2) those who have had a cardiovascular event (secondary prevention). Within each group</w:t>
      </w:r>
      <w:r>
        <w:rPr>
          <w:rFonts w:asciiTheme="minorHAnsi" w:hAnsiTheme="minorHAnsi"/>
          <w:szCs w:val="24"/>
        </w:rPr>
        <w:t>,</w:t>
      </w:r>
      <w:r w:rsidRPr="00D539ED">
        <w:rPr>
          <w:rFonts w:asciiTheme="minorHAnsi" w:hAnsiTheme="minorHAnsi"/>
          <w:szCs w:val="24"/>
        </w:rPr>
        <w:t xml:space="preserve"> guidelines link treatment to the presence of a number of risk factors that have been identified though large epidemiological studies such as the Framingham Study.</w:t>
      </w:r>
    </w:p>
    <w:p w:rsidR="0000686B" w:rsidRPr="00D539ED" w:rsidRDefault="0000686B">
      <w:pPr>
        <w:spacing w:line="240" w:lineRule="auto"/>
        <w:rPr>
          <w:rFonts w:asciiTheme="minorHAnsi" w:hAnsiTheme="minorHAnsi"/>
          <w:szCs w:val="24"/>
        </w:rPr>
      </w:pPr>
      <w:r>
        <w:rPr>
          <w:rFonts w:asciiTheme="minorHAnsi" w:hAnsiTheme="minorHAnsi"/>
          <w:szCs w:val="24"/>
        </w:rPr>
        <w:t>All of t</w:t>
      </w:r>
      <w:r w:rsidRPr="00D539ED">
        <w:rPr>
          <w:rFonts w:asciiTheme="minorHAnsi" w:hAnsiTheme="minorHAnsi"/>
          <w:szCs w:val="24"/>
        </w:rPr>
        <w:t>he guidelines use an absolute risk approach. Absolute risk is the probability of a cardiovascular event occurring. The absolute risk can sometimes be modified by changing exposure to factors that are associated with cardiovascular disease. Modifiable risk factors include reducing serum lipid</w:t>
      </w:r>
      <w:r w:rsidR="00C25005" w:rsidRPr="00C25005">
        <w:rPr>
          <w:rFonts w:asciiTheme="minorHAnsi" w:eastAsia="Times New Roman" w:hAnsiTheme="minorHAnsi" w:cs="Arial"/>
          <w:color w:val="222222"/>
          <w:szCs w:val="24"/>
          <w:highlight w:val="yellow"/>
          <w:lang w:eastAsia="en-AU"/>
        </w:rPr>
        <w:t xml:space="preserve"> concentrations</w:t>
      </w:r>
      <w:r w:rsidRPr="00D539ED">
        <w:rPr>
          <w:rFonts w:asciiTheme="minorHAnsi" w:hAnsiTheme="minorHAnsi"/>
          <w:szCs w:val="24"/>
        </w:rPr>
        <w:t xml:space="preserve">, smoking </w:t>
      </w:r>
      <w:r>
        <w:rPr>
          <w:rFonts w:asciiTheme="minorHAnsi" w:hAnsiTheme="minorHAnsi"/>
          <w:szCs w:val="24"/>
        </w:rPr>
        <w:t xml:space="preserve">cessation </w:t>
      </w:r>
      <w:r w:rsidRPr="00D539ED">
        <w:rPr>
          <w:rFonts w:asciiTheme="minorHAnsi" w:hAnsiTheme="minorHAnsi"/>
          <w:szCs w:val="24"/>
        </w:rPr>
        <w:t>and increas</w:t>
      </w:r>
      <w:r>
        <w:rPr>
          <w:rFonts w:asciiTheme="minorHAnsi" w:hAnsiTheme="minorHAnsi"/>
          <w:szCs w:val="24"/>
        </w:rPr>
        <w:t xml:space="preserve">ed </w:t>
      </w:r>
      <w:r w:rsidRPr="00D539ED">
        <w:rPr>
          <w:rFonts w:asciiTheme="minorHAnsi" w:hAnsiTheme="minorHAnsi"/>
          <w:szCs w:val="24"/>
        </w:rPr>
        <w:t>physical activity. Some risk factors are not modifiable</w:t>
      </w:r>
      <w:r>
        <w:rPr>
          <w:rFonts w:asciiTheme="minorHAnsi" w:hAnsiTheme="minorHAnsi"/>
          <w:szCs w:val="24"/>
        </w:rPr>
        <w:t xml:space="preserve"> </w:t>
      </w:r>
      <w:r w:rsidRPr="00C86012">
        <w:rPr>
          <w:rFonts w:asciiTheme="minorHAnsi" w:hAnsiTheme="minorHAnsi"/>
          <w:szCs w:val="24"/>
        </w:rPr>
        <w:t xml:space="preserve">e.g. age, </w:t>
      </w:r>
      <w:r>
        <w:rPr>
          <w:rFonts w:asciiTheme="minorHAnsi" w:hAnsiTheme="minorHAnsi"/>
          <w:szCs w:val="24"/>
        </w:rPr>
        <w:t>gender.</w:t>
      </w:r>
    </w:p>
    <w:p w:rsidR="0000686B" w:rsidRPr="00D539ED" w:rsidRDefault="0000686B">
      <w:pPr>
        <w:spacing w:line="240" w:lineRule="auto"/>
        <w:rPr>
          <w:rFonts w:asciiTheme="minorHAnsi" w:hAnsiTheme="minorHAnsi"/>
          <w:szCs w:val="24"/>
        </w:rPr>
      </w:pPr>
      <w:r w:rsidRPr="00D539ED">
        <w:rPr>
          <w:rFonts w:asciiTheme="minorHAnsi" w:hAnsiTheme="minorHAnsi"/>
          <w:szCs w:val="24"/>
        </w:rPr>
        <w:t xml:space="preserve">Each guideline derives an assessment of the risk of cardiovascular disease for a patient based on algorithms that apply the absolute risk from epidemiological studies with patient specific inputs. The equations used differ between the various guidelines and the patient information also varies. For example, some guidelines use </w:t>
      </w:r>
      <w:r w:rsidRPr="00D539ED">
        <w:rPr>
          <w:rFonts w:asciiTheme="minorHAnsi" w:hAnsiTheme="minorHAnsi"/>
          <w:szCs w:val="24"/>
        </w:rPr>
        <w:lastRenderedPageBreak/>
        <w:t xml:space="preserve">a 10 year risk of an event and others 5 years. Most calculations require the serum LDL-C </w:t>
      </w:r>
      <w:r w:rsidRPr="00484B00">
        <w:rPr>
          <w:rFonts w:asciiTheme="minorHAnsi" w:hAnsiTheme="minorHAnsi"/>
          <w:szCs w:val="24"/>
          <w:highlight w:val="yellow"/>
        </w:rPr>
        <w:t>concentration</w:t>
      </w:r>
      <w:r w:rsidRPr="00D539ED">
        <w:rPr>
          <w:rFonts w:asciiTheme="minorHAnsi" w:hAnsiTheme="minorHAnsi"/>
          <w:szCs w:val="24"/>
        </w:rPr>
        <w:t xml:space="preserve"> measurement to be entered into the algorithm. The Australian National Vascular Disease Prevention Alliance (NVDPA-2012) guidelines list target </w:t>
      </w:r>
      <w:r w:rsidR="00C25005" w:rsidRPr="00C25005">
        <w:rPr>
          <w:rFonts w:asciiTheme="minorHAnsi" w:eastAsia="Times New Roman" w:hAnsiTheme="minorHAnsi" w:cs="Arial"/>
          <w:color w:val="222222"/>
          <w:szCs w:val="24"/>
          <w:highlight w:val="yellow"/>
          <w:lang w:eastAsia="en-AU"/>
        </w:rPr>
        <w:t>concentrations</w:t>
      </w:r>
      <w:r w:rsidR="00C25005" w:rsidRPr="00D539ED">
        <w:rPr>
          <w:rFonts w:asciiTheme="minorHAnsi" w:hAnsiTheme="minorHAnsi"/>
          <w:szCs w:val="24"/>
        </w:rPr>
        <w:t xml:space="preserve"> </w:t>
      </w:r>
      <w:r w:rsidRPr="00D539ED">
        <w:rPr>
          <w:rFonts w:asciiTheme="minorHAnsi" w:hAnsiTheme="minorHAnsi"/>
          <w:szCs w:val="24"/>
        </w:rPr>
        <w:t xml:space="preserve">for a wide range of lipid measures (LDL-C, triglycerides, HDL-C, total cholesterol). </w:t>
      </w:r>
    </w:p>
    <w:p w:rsidR="0000686B" w:rsidRPr="00D539ED" w:rsidRDefault="0000686B">
      <w:pPr>
        <w:spacing w:line="240" w:lineRule="auto"/>
        <w:rPr>
          <w:rFonts w:asciiTheme="minorHAnsi" w:hAnsiTheme="minorHAnsi"/>
          <w:szCs w:val="24"/>
        </w:rPr>
      </w:pPr>
      <w:r w:rsidRPr="00D539ED">
        <w:rPr>
          <w:rFonts w:asciiTheme="minorHAnsi" w:hAnsiTheme="minorHAnsi"/>
          <w:szCs w:val="24"/>
        </w:rPr>
        <w:t xml:space="preserve">The calculated risk of having a cardiovascular event will vary according to which guidelines </w:t>
      </w:r>
      <w:r>
        <w:rPr>
          <w:rFonts w:asciiTheme="minorHAnsi" w:hAnsiTheme="minorHAnsi"/>
          <w:szCs w:val="24"/>
        </w:rPr>
        <w:t xml:space="preserve">and </w:t>
      </w:r>
      <w:r w:rsidRPr="00D539ED">
        <w:rPr>
          <w:rFonts w:asciiTheme="minorHAnsi" w:hAnsiTheme="minorHAnsi"/>
          <w:szCs w:val="24"/>
        </w:rPr>
        <w:t xml:space="preserve">absolute risk calculator </w:t>
      </w:r>
      <w:r>
        <w:rPr>
          <w:rFonts w:asciiTheme="minorHAnsi" w:hAnsiTheme="minorHAnsi"/>
          <w:szCs w:val="24"/>
        </w:rPr>
        <w:t xml:space="preserve">are </w:t>
      </w:r>
      <w:r w:rsidRPr="00D539ED">
        <w:rPr>
          <w:rFonts w:asciiTheme="minorHAnsi" w:hAnsiTheme="minorHAnsi"/>
          <w:szCs w:val="24"/>
        </w:rPr>
        <w:t>used. Each calculator assigns a patient to a “risk category”. The number of categories varies from two to five.</w:t>
      </w:r>
    </w:p>
    <w:p w:rsidR="0000686B" w:rsidRPr="00D539ED" w:rsidRDefault="0000686B">
      <w:pPr>
        <w:spacing w:line="240" w:lineRule="auto"/>
        <w:rPr>
          <w:rFonts w:asciiTheme="minorHAnsi" w:hAnsiTheme="minorHAnsi"/>
          <w:szCs w:val="24"/>
        </w:rPr>
      </w:pPr>
      <w:r w:rsidRPr="00D539ED">
        <w:rPr>
          <w:rFonts w:asciiTheme="minorHAnsi" w:hAnsiTheme="minorHAnsi"/>
          <w:szCs w:val="24"/>
        </w:rPr>
        <w:t>There are three Australian guidelines for clinicians who treat patients at</w:t>
      </w:r>
      <w:r>
        <w:rPr>
          <w:rFonts w:asciiTheme="minorHAnsi" w:hAnsiTheme="minorHAnsi"/>
          <w:szCs w:val="24"/>
        </w:rPr>
        <w:t xml:space="preserve"> an elevated </w:t>
      </w:r>
      <w:r w:rsidRPr="00D539ED">
        <w:rPr>
          <w:rFonts w:asciiTheme="minorHAnsi" w:hAnsiTheme="minorHAnsi"/>
          <w:szCs w:val="24"/>
        </w:rPr>
        <w:t>risk of cardiovascular events. These are the NVDPA-2012 which focuses on primary prevention, the National Heart Foundation (NHF-2012) focusing on secondary prevention and the Cardiac Society of Australia and New Zealand (CSANZ) guidelines for diagnosis and management of familial hypercholesterolaemia.</w:t>
      </w:r>
    </w:p>
    <w:p w:rsidR="0000686B" w:rsidRPr="00204D95" w:rsidRDefault="003848A8" w:rsidP="005A2287">
      <w:pPr>
        <w:pStyle w:val="Heading3"/>
        <w:jc w:val="left"/>
      </w:pPr>
      <w:bookmarkStart w:id="66" w:name="_Toc482176958"/>
      <w:r>
        <w:t>2.</w:t>
      </w:r>
      <w:r w:rsidR="0000686B" w:rsidRPr="00204D95">
        <w:t>2.3</w:t>
      </w:r>
      <w:r w:rsidR="0000686B" w:rsidRPr="00204D95">
        <w:tab/>
        <w:t>Approaches to therapeutic treatment in the guidelines</w:t>
      </w:r>
      <w:bookmarkEnd w:id="66"/>
    </w:p>
    <w:p w:rsidR="0000686B" w:rsidRPr="00D539ED" w:rsidRDefault="0000686B" w:rsidP="00920324">
      <w:pPr>
        <w:spacing w:line="240" w:lineRule="auto"/>
        <w:rPr>
          <w:rFonts w:asciiTheme="minorHAnsi" w:hAnsiTheme="minorHAnsi"/>
          <w:szCs w:val="24"/>
        </w:rPr>
      </w:pPr>
      <w:r w:rsidRPr="00D539ED">
        <w:rPr>
          <w:rFonts w:asciiTheme="minorHAnsi" w:hAnsiTheme="minorHAnsi"/>
          <w:szCs w:val="24"/>
        </w:rPr>
        <w:t xml:space="preserve">Treatments to lower non-HDL-C serum </w:t>
      </w:r>
      <w:r w:rsidR="00C25005" w:rsidRPr="00C25005">
        <w:rPr>
          <w:rFonts w:asciiTheme="minorHAnsi" w:eastAsia="Times New Roman" w:hAnsiTheme="minorHAnsi" w:cs="Arial"/>
          <w:color w:val="222222"/>
          <w:szCs w:val="24"/>
          <w:highlight w:val="yellow"/>
          <w:lang w:eastAsia="en-AU"/>
        </w:rPr>
        <w:t>concentrations</w:t>
      </w:r>
      <w:r w:rsidR="00C25005" w:rsidRPr="00D539ED">
        <w:rPr>
          <w:rFonts w:asciiTheme="minorHAnsi" w:hAnsiTheme="minorHAnsi"/>
          <w:szCs w:val="24"/>
        </w:rPr>
        <w:t xml:space="preserve"> </w:t>
      </w:r>
      <w:r w:rsidRPr="00D539ED">
        <w:rPr>
          <w:rFonts w:asciiTheme="minorHAnsi" w:hAnsiTheme="minorHAnsi"/>
          <w:szCs w:val="24"/>
        </w:rPr>
        <w:t xml:space="preserve">include diet, lifestyle modification and pharmacotherapies. Recommendations are linked to the patient’s risk of an event. Where patients have a high risk of an event, commencing pharmacotherapy immediately is recommended. An HMGCo-reductase medicine (a statin) is universally recommended as first line therapy. </w:t>
      </w:r>
    </w:p>
    <w:p w:rsidR="0000686B" w:rsidRPr="00D539ED" w:rsidRDefault="0000686B">
      <w:pPr>
        <w:spacing w:line="240" w:lineRule="auto"/>
        <w:rPr>
          <w:rFonts w:asciiTheme="minorHAnsi" w:hAnsiTheme="minorHAnsi"/>
          <w:szCs w:val="24"/>
        </w:rPr>
      </w:pPr>
      <w:r w:rsidRPr="00D539ED">
        <w:rPr>
          <w:rFonts w:asciiTheme="minorHAnsi" w:hAnsiTheme="minorHAnsi"/>
          <w:szCs w:val="24"/>
        </w:rPr>
        <w:t xml:space="preserve">Where, in spite of </w:t>
      </w:r>
      <w:r>
        <w:rPr>
          <w:rFonts w:asciiTheme="minorHAnsi" w:hAnsiTheme="minorHAnsi"/>
          <w:szCs w:val="24"/>
        </w:rPr>
        <w:t xml:space="preserve">maximum tolerated doses of </w:t>
      </w:r>
      <w:r w:rsidRPr="00D539ED">
        <w:rPr>
          <w:rFonts w:asciiTheme="minorHAnsi" w:hAnsiTheme="minorHAnsi"/>
          <w:szCs w:val="24"/>
        </w:rPr>
        <w:t xml:space="preserve">statin therapy, the lipid </w:t>
      </w:r>
      <w:r w:rsidR="004C1339" w:rsidRPr="00484B00">
        <w:rPr>
          <w:rFonts w:asciiTheme="minorHAnsi" w:eastAsia="Times New Roman" w:hAnsiTheme="minorHAnsi" w:cs="Arial"/>
          <w:color w:val="222222"/>
          <w:szCs w:val="24"/>
          <w:highlight w:val="yellow"/>
          <w:lang w:eastAsia="en-AU"/>
        </w:rPr>
        <w:t>concentration</w:t>
      </w:r>
      <w:r w:rsidR="004C1339">
        <w:rPr>
          <w:rFonts w:asciiTheme="minorHAnsi" w:eastAsia="Times New Roman" w:hAnsiTheme="minorHAnsi" w:cs="Arial"/>
          <w:color w:val="222222"/>
          <w:szCs w:val="24"/>
          <w:lang w:eastAsia="en-AU"/>
        </w:rPr>
        <w:t xml:space="preserve"> </w:t>
      </w:r>
      <w:r w:rsidRPr="00D539ED">
        <w:rPr>
          <w:rFonts w:asciiTheme="minorHAnsi" w:hAnsiTheme="minorHAnsi"/>
          <w:szCs w:val="24"/>
        </w:rPr>
        <w:t xml:space="preserve">needs to be further reduced, additional treatment is recommended. Categories of patients </w:t>
      </w:r>
      <w:r>
        <w:rPr>
          <w:rFonts w:asciiTheme="minorHAnsi" w:hAnsiTheme="minorHAnsi"/>
          <w:szCs w:val="24"/>
        </w:rPr>
        <w:t xml:space="preserve">for whom additional treatment is considered necessary </w:t>
      </w:r>
      <w:r w:rsidRPr="00D539ED">
        <w:rPr>
          <w:rFonts w:asciiTheme="minorHAnsi" w:hAnsiTheme="minorHAnsi"/>
          <w:szCs w:val="24"/>
        </w:rPr>
        <w:t xml:space="preserve">include those who: have increased the statin dose to the maximum level tolerable; are contraindicated to statins; or are no longer responding to treatment. Ezetimibe is one of the choices of non-statin therapies for these patient groups. </w:t>
      </w:r>
    </w:p>
    <w:p w:rsidR="0000686B" w:rsidRPr="00D539ED" w:rsidRDefault="0000686B">
      <w:pPr>
        <w:autoSpaceDE w:val="0"/>
        <w:autoSpaceDN w:val="0"/>
        <w:adjustRightInd w:val="0"/>
        <w:spacing w:line="240" w:lineRule="auto"/>
        <w:rPr>
          <w:rFonts w:asciiTheme="minorHAnsi" w:hAnsiTheme="minorHAnsi"/>
          <w:szCs w:val="24"/>
        </w:rPr>
      </w:pPr>
      <w:r w:rsidRPr="00D539ED">
        <w:rPr>
          <w:rFonts w:asciiTheme="minorHAnsi" w:hAnsiTheme="minorHAnsi"/>
          <w:szCs w:val="24"/>
        </w:rPr>
        <w:t xml:space="preserve">Guidelines vary when ezetimibe is the optimal treatment choice. For example, some guidelines restrict the use of ezetimibe plus a statin to higher risk groups, whereas the NVDPA-2012 guidelines position ezetimibe as second line when LDL-C serum </w:t>
      </w:r>
      <w:r w:rsidR="0076247E" w:rsidRPr="0076247E">
        <w:rPr>
          <w:rFonts w:asciiTheme="minorHAnsi" w:eastAsia="Times New Roman" w:hAnsiTheme="minorHAnsi" w:cs="Arial"/>
          <w:color w:val="222222"/>
          <w:szCs w:val="24"/>
          <w:highlight w:val="yellow"/>
          <w:lang w:eastAsia="en-AU"/>
        </w:rPr>
        <w:t>concentrations</w:t>
      </w:r>
      <w:r w:rsidR="0076247E" w:rsidRPr="00D539ED">
        <w:rPr>
          <w:rFonts w:asciiTheme="minorHAnsi" w:hAnsiTheme="minorHAnsi"/>
          <w:szCs w:val="24"/>
        </w:rPr>
        <w:t xml:space="preserve"> </w:t>
      </w:r>
      <w:r w:rsidRPr="00D539ED">
        <w:rPr>
          <w:rFonts w:asciiTheme="minorHAnsi" w:hAnsiTheme="minorHAnsi"/>
          <w:szCs w:val="24"/>
        </w:rPr>
        <w:t>are not sufficiently reduced on maximally tolerated doses of a statin. The NHF-2012 guidelines recommend that all patients who have coronary heart disease should be treated with a statin; but also recommend ezetimibe as monotherapy or in combination with a statin. That is, the NHF-2012 guidelines did not explicitly position ezetimibe as a second line therapy.</w:t>
      </w:r>
    </w:p>
    <w:p w:rsidR="0000686B" w:rsidRDefault="0000686B">
      <w:pPr>
        <w:spacing w:line="240" w:lineRule="auto"/>
        <w:rPr>
          <w:rFonts w:asciiTheme="minorHAnsi" w:hAnsiTheme="minorHAnsi"/>
          <w:szCs w:val="24"/>
        </w:rPr>
      </w:pPr>
      <w:r w:rsidRPr="00E13756">
        <w:rPr>
          <w:rFonts w:asciiTheme="minorHAnsi" w:hAnsiTheme="minorHAnsi"/>
          <w:szCs w:val="24"/>
        </w:rPr>
        <w:t>The approach to treatment to prevent cardiovascular events is similar across the identified guidelines. The variation between guidelines reflects differences: in baseline a</w:t>
      </w:r>
      <w:r>
        <w:rPr>
          <w:rFonts w:asciiTheme="minorHAnsi" w:hAnsiTheme="minorHAnsi"/>
          <w:szCs w:val="24"/>
        </w:rPr>
        <w:t>bsolute risk in each country;</w:t>
      </w:r>
      <w:r w:rsidRPr="00E13756">
        <w:rPr>
          <w:rFonts w:asciiTheme="minorHAnsi" w:hAnsiTheme="minorHAnsi"/>
          <w:szCs w:val="24"/>
        </w:rPr>
        <w:t xml:space="preserve"> which risk values are used (five year or ten year); and the approach to which pharmacotherapy is preferred where further reduction in lipids </w:t>
      </w:r>
      <w:r>
        <w:rPr>
          <w:rFonts w:asciiTheme="minorHAnsi" w:hAnsiTheme="minorHAnsi"/>
          <w:szCs w:val="24"/>
        </w:rPr>
        <w:t xml:space="preserve">is </w:t>
      </w:r>
      <w:r w:rsidRPr="00E13756">
        <w:rPr>
          <w:rFonts w:asciiTheme="minorHAnsi" w:hAnsiTheme="minorHAnsi"/>
          <w:szCs w:val="24"/>
        </w:rPr>
        <w:t xml:space="preserve">required. </w:t>
      </w:r>
    </w:p>
    <w:p w:rsidR="0000686B" w:rsidRDefault="003848A8" w:rsidP="005A2287">
      <w:pPr>
        <w:pStyle w:val="Heading3"/>
        <w:jc w:val="left"/>
      </w:pPr>
      <w:bookmarkStart w:id="67" w:name="_Toc482176959"/>
      <w:r>
        <w:rPr>
          <w:highlight w:val="yellow"/>
        </w:rPr>
        <w:t>2.</w:t>
      </w:r>
      <w:r w:rsidR="0000686B" w:rsidRPr="001A5A52">
        <w:rPr>
          <w:highlight w:val="yellow"/>
        </w:rPr>
        <w:t>2.4 Recently published literature</w:t>
      </w:r>
      <w:bookmarkEnd w:id="67"/>
    </w:p>
    <w:p w:rsidR="0000686B" w:rsidRPr="00C01A97" w:rsidRDefault="0000686B" w:rsidP="00920324">
      <w:pPr>
        <w:spacing w:after="0" w:line="240" w:lineRule="auto"/>
        <w:rPr>
          <w:highlight w:val="yellow"/>
        </w:rPr>
      </w:pPr>
      <w:r w:rsidRPr="00C01A97">
        <w:rPr>
          <w:rFonts w:asciiTheme="minorHAnsi" w:hAnsiTheme="minorHAnsi"/>
          <w:szCs w:val="24"/>
          <w:highlight w:val="yellow"/>
        </w:rPr>
        <w:t>In addition to the CHPR review of clinical guidelines, the Reference Group considered a</w:t>
      </w:r>
      <w:r w:rsidR="00A2779C" w:rsidRPr="00C01A97">
        <w:rPr>
          <w:rFonts w:asciiTheme="minorHAnsi" w:hAnsiTheme="minorHAnsi"/>
          <w:szCs w:val="24"/>
          <w:highlight w:val="yellow"/>
        </w:rPr>
        <w:t xml:space="preserve"> number of</w:t>
      </w:r>
      <w:r w:rsidR="00C01A97" w:rsidRPr="00C01A97">
        <w:rPr>
          <w:rFonts w:asciiTheme="minorHAnsi" w:hAnsiTheme="minorHAnsi"/>
          <w:szCs w:val="24"/>
          <w:highlight w:val="yellow"/>
        </w:rPr>
        <w:t xml:space="preserve"> additional more recent </w:t>
      </w:r>
      <w:r w:rsidR="00A2779C" w:rsidRPr="00C01A97">
        <w:rPr>
          <w:rFonts w:asciiTheme="minorHAnsi" w:hAnsiTheme="minorHAnsi"/>
          <w:szCs w:val="24"/>
          <w:highlight w:val="yellow"/>
        </w:rPr>
        <w:t xml:space="preserve">research papers relevant to the Review. The </w:t>
      </w:r>
      <w:r w:rsidRPr="00C01A97">
        <w:rPr>
          <w:rFonts w:asciiTheme="minorHAnsi" w:hAnsiTheme="minorHAnsi"/>
          <w:szCs w:val="24"/>
          <w:highlight w:val="yellow"/>
        </w:rPr>
        <w:lastRenderedPageBreak/>
        <w:t xml:space="preserve">study </w:t>
      </w:r>
      <w:r w:rsidR="00C01A97" w:rsidRPr="00C01A97">
        <w:rPr>
          <w:rFonts w:asciiTheme="minorHAnsi" w:hAnsiTheme="minorHAnsi"/>
          <w:szCs w:val="24"/>
          <w:highlight w:val="yellow"/>
        </w:rPr>
        <w:t xml:space="preserve">by </w:t>
      </w:r>
      <w:r w:rsidRPr="00C01A97">
        <w:rPr>
          <w:rFonts w:asciiTheme="minorHAnsi" w:hAnsiTheme="minorHAnsi"/>
          <w:szCs w:val="24"/>
          <w:highlight w:val="yellow"/>
        </w:rPr>
        <w:t>Bohula et al</w:t>
      </w:r>
      <w:r w:rsidR="00D81EE3">
        <w:rPr>
          <w:rStyle w:val="EndnoteReference"/>
          <w:rFonts w:asciiTheme="minorHAnsi" w:hAnsiTheme="minorHAnsi"/>
          <w:szCs w:val="24"/>
          <w:highlight w:val="yellow"/>
        </w:rPr>
        <w:endnoteReference w:id="35"/>
      </w:r>
      <w:r w:rsidR="00D81EE3" w:rsidRPr="00C01A97">
        <w:rPr>
          <w:rFonts w:asciiTheme="minorHAnsi" w:hAnsiTheme="minorHAnsi"/>
          <w:szCs w:val="24"/>
          <w:highlight w:val="yellow"/>
        </w:rPr>
        <w:t xml:space="preserve"> </w:t>
      </w:r>
      <w:r w:rsidRPr="00C01A97">
        <w:rPr>
          <w:rFonts w:asciiTheme="minorHAnsi" w:hAnsiTheme="minorHAnsi"/>
          <w:szCs w:val="24"/>
          <w:highlight w:val="yellow"/>
        </w:rPr>
        <w:t xml:space="preserve">defines subgroups of IMPROVE-IT participants </w:t>
      </w:r>
      <w:r w:rsidRPr="00C01A97">
        <w:rPr>
          <w:rFonts w:asciiTheme="minorHAnsi" w:hAnsiTheme="minorHAnsi"/>
          <w:highlight w:val="yellow"/>
        </w:rPr>
        <w:t>who benefitted most from ezetimibe</w:t>
      </w:r>
      <w:r w:rsidR="00AA3B4D" w:rsidRPr="00C01A97">
        <w:rPr>
          <w:rFonts w:asciiTheme="minorHAnsi" w:hAnsiTheme="minorHAnsi"/>
          <w:highlight w:val="yellow"/>
        </w:rPr>
        <w:t>. T</w:t>
      </w:r>
      <w:r w:rsidR="00AA3B4D" w:rsidRPr="00C01A97">
        <w:rPr>
          <w:rFonts w:asciiTheme="minorHAnsi" w:hAnsiTheme="minorHAnsi"/>
          <w:szCs w:val="24"/>
          <w:highlight w:val="yellow"/>
        </w:rPr>
        <w:t xml:space="preserve">hose who showed significant benefit from ezetimibe/statin therapy were in the highest cardiovascular risk category i.e. the secondary prevention group with three or more additional risk factors. This </w:t>
      </w:r>
      <w:r w:rsidRPr="00C01A97">
        <w:rPr>
          <w:rFonts w:asciiTheme="minorHAnsi" w:hAnsiTheme="minorHAnsi"/>
          <w:highlight w:val="yellow"/>
        </w:rPr>
        <w:t xml:space="preserve">reconfirms ezetimibe’s place in therapy as second line to statins and in patients with highest risk. </w:t>
      </w:r>
    </w:p>
    <w:p w:rsidR="0000686B" w:rsidRPr="00C01A97" w:rsidRDefault="0000686B" w:rsidP="00920324">
      <w:pPr>
        <w:spacing w:after="0" w:line="240" w:lineRule="auto"/>
        <w:rPr>
          <w:rFonts w:asciiTheme="minorHAnsi" w:hAnsiTheme="minorHAnsi"/>
          <w:highlight w:val="yellow"/>
        </w:rPr>
      </w:pPr>
    </w:p>
    <w:p w:rsidR="0000686B" w:rsidRPr="00C01A97" w:rsidRDefault="0000686B">
      <w:pPr>
        <w:spacing w:after="0" w:line="240" w:lineRule="auto"/>
        <w:rPr>
          <w:rFonts w:asciiTheme="minorHAnsi" w:hAnsiTheme="minorHAnsi"/>
          <w:highlight w:val="yellow"/>
        </w:rPr>
      </w:pPr>
      <w:r w:rsidRPr="00C01A97">
        <w:rPr>
          <w:rFonts w:asciiTheme="minorHAnsi" w:hAnsiTheme="minorHAnsi"/>
          <w:highlight w:val="yellow"/>
        </w:rPr>
        <w:t>For further details on this study refer to Term of Reference 3</w:t>
      </w:r>
      <w:r w:rsidR="00847F3C">
        <w:rPr>
          <w:rFonts w:asciiTheme="minorHAnsi" w:hAnsiTheme="minorHAnsi"/>
          <w:highlight w:val="yellow"/>
        </w:rPr>
        <w:t>.</w:t>
      </w:r>
    </w:p>
    <w:p w:rsidR="00D533CF" w:rsidRPr="00C01A97" w:rsidRDefault="00D533CF">
      <w:pPr>
        <w:spacing w:after="0" w:line="240" w:lineRule="auto"/>
        <w:rPr>
          <w:rFonts w:asciiTheme="minorHAnsi" w:hAnsiTheme="minorHAnsi"/>
          <w:highlight w:val="yellow"/>
        </w:rPr>
      </w:pPr>
    </w:p>
    <w:p w:rsidR="0000686B" w:rsidRPr="00C01A97" w:rsidRDefault="00D533CF">
      <w:pPr>
        <w:spacing w:after="0" w:line="240" w:lineRule="auto"/>
        <w:rPr>
          <w:rFonts w:asciiTheme="minorHAnsi" w:hAnsiTheme="minorHAnsi"/>
          <w:szCs w:val="24"/>
          <w:highlight w:val="yellow"/>
        </w:rPr>
      </w:pPr>
      <w:r w:rsidRPr="00C01A97">
        <w:rPr>
          <w:szCs w:val="24"/>
          <w:highlight w:val="yellow"/>
        </w:rPr>
        <w:t xml:space="preserve">A </w:t>
      </w:r>
      <w:r w:rsidRPr="00C01A97">
        <w:rPr>
          <w:rFonts w:asciiTheme="minorHAnsi" w:hAnsiTheme="minorHAnsi"/>
          <w:szCs w:val="24"/>
          <w:highlight w:val="yellow"/>
        </w:rPr>
        <w:t>sub group analysis of the IMPROVE-It trial in high risk patients</w:t>
      </w:r>
      <w:r w:rsidR="00D81EE3">
        <w:rPr>
          <w:rStyle w:val="EndnoteReference"/>
          <w:rFonts w:asciiTheme="minorHAnsi" w:hAnsiTheme="minorHAnsi"/>
          <w:szCs w:val="24"/>
          <w:highlight w:val="yellow"/>
        </w:rPr>
        <w:endnoteReference w:id="36"/>
      </w:r>
      <w:r w:rsidR="00D81EE3">
        <w:rPr>
          <w:rFonts w:asciiTheme="minorHAnsi" w:hAnsiTheme="minorHAnsi"/>
          <w:szCs w:val="24"/>
          <w:highlight w:val="yellow"/>
        </w:rPr>
        <w:t xml:space="preserve"> </w:t>
      </w:r>
      <w:r w:rsidRPr="00C01A97">
        <w:rPr>
          <w:rFonts w:asciiTheme="minorHAnsi" w:hAnsiTheme="minorHAnsi"/>
          <w:szCs w:val="24"/>
          <w:highlight w:val="yellow"/>
        </w:rPr>
        <w:t>and accompanying editorial</w:t>
      </w:r>
      <w:r w:rsidR="00D81EE3" w:rsidRPr="00C01A97">
        <w:rPr>
          <w:rFonts w:asciiTheme="minorHAnsi" w:hAnsiTheme="minorHAnsi"/>
          <w:highlight w:val="yellow"/>
          <w:vertAlign w:val="superscript"/>
        </w:rPr>
        <w:endnoteReference w:id="37"/>
      </w:r>
      <w:r w:rsidR="00D81EE3" w:rsidRPr="00C01A97">
        <w:rPr>
          <w:rFonts w:asciiTheme="minorHAnsi" w:hAnsiTheme="minorHAnsi"/>
          <w:szCs w:val="24"/>
          <w:highlight w:val="yellow"/>
        </w:rPr>
        <w:t xml:space="preserve"> </w:t>
      </w:r>
      <w:r w:rsidR="00AA3B4D" w:rsidRPr="00C01A97">
        <w:rPr>
          <w:rFonts w:asciiTheme="minorHAnsi" w:hAnsiTheme="minorHAnsi"/>
          <w:szCs w:val="24"/>
          <w:highlight w:val="yellow"/>
        </w:rPr>
        <w:t xml:space="preserve">also </w:t>
      </w:r>
      <w:r w:rsidRPr="00C01A97">
        <w:rPr>
          <w:rFonts w:asciiTheme="minorHAnsi" w:hAnsiTheme="minorHAnsi"/>
          <w:szCs w:val="24"/>
          <w:highlight w:val="yellow"/>
        </w:rPr>
        <w:t>suggests that benefit from ezetimibe is restricted to those with high risk in a secondary prevention population</w:t>
      </w:r>
      <w:r w:rsidR="00E1330E" w:rsidRPr="00C01A97">
        <w:rPr>
          <w:rFonts w:asciiTheme="minorHAnsi" w:hAnsiTheme="minorHAnsi"/>
          <w:szCs w:val="24"/>
          <w:highlight w:val="yellow"/>
        </w:rPr>
        <w:t xml:space="preserve">, in this case those with prior coronary artery bypass surgery </w:t>
      </w:r>
      <w:r w:rsidR="00A2217A" w:rsidRPr="00C01A97">
        <w:rPr>
          <w:rFonts w:asciiTheme="minorHAnsi" w:hAnsiTheme="minorHAnsi"/>
          <w:szCs w:val="24"/>
          <w:highlight w:val="yellow"/>
        </w:rPr>
        <w:t xml:space="preserve">(CABG) </w:t>
      </w:r>
      <w:r w:rsidR="00E1330E" w:rsidRPr="00C01A97">
        <w:rPr>
          <w:rFonts w:asciiTheme="minorHAnsi" w:hAnsiTheme="minorHAnsi"/>
          <w:szCs w:val="24"/>
          <w:highlight w:val="yellow"/>
        </w:rPr>
        <w:t>and acute coronary syndrome.</w:t>
      </w:r>
      <w:r w:rsidR="00A2217A" w:rsidRPr="00C01A97">
        <w:rPr>
          <w:rFonts w:asciiTheme="minorHAnsi" w:hAnsiTheme="minorHAnsi"/>
          <w:szCs w:val="24"/>
          <w:highlight w:val="yellow"/>
        </w:rPr>
        <w:t xml:space="preserve"> Patients with prior CABG received significantly greater benefit from treatment with ezetimibe in addition to simvastatin compared to those without prior CABG (Absolute Risk Reduction of 8.8% versus 1.3%).</w:t>
      </w:r>
    </w:p>
    <w:p w:rsidR="00D533CF" w:rsidRPr="00C01A97" w:rsidRDefault="00D533CF">
      <w:pPr>
        <w:spacing w:after="0" w:line="240" w:lineRule="auto"/>
        <w:rPr>
          <w:szCs w:val="24"/>
          <w:highlight w:val="yellow"/>
        </w:rPr>
      </w:pPr>
    </w:p>
    <w:p w:rsidR="00C01A97" w:rsidRPr="009623C7" w:rsidRDefault="00484A70" w:rsidP="009623C7">
      <w:pPr>
        <w:spacing w:after="0" w:line="240" w:lineRule="auto"/>
        <w:rPr>
          <w:rFonts w:asciiTheme="minorHAnsi" w:hAnsiTheme="minorHAnsi"/>
          <w:szCs w:val="24"/>
        </w:rPr>
      </w:pPr>
      <w:r w:rsidRPr="00C01A97">
        <w:rPr>
          <w:rFonts w:asciiTheme="minorHAnsi" w:hAnsiTheme="minorHAnsi"/>
          <w:szCs w:val="24"/>
          <w:highlight w:val="yellow"/>
        </w:rPr>
        <w:t xml:space="preserve">A recently published </w:t>
      </w:r>
      <w:r w:rsidR="006F249B" w:rsidRPr="00C01A97">
        <w:rPr>
          <w:rFonts w:asciiTheme="minorHAnsi" w:hAnsiTheme="minorHAnsi"/>
          <w:szCs w:val="24"/>
          <w:highlight w:val="yellow"/>
        </w:rPr>
        <w:t xml:space="preserve">paper </w:t>
      </w:r>
      <w:r w:rsidRPr="00C01A97">
        <w:rPr>
          <w:rFonts w:asciiTheme="minorHAnsi" w:hAnsiTheme="minorHAnsi"/>
          <w:szCs w:val="24"/>
          <w:highlight w:val="yellow"/>
        </w:rPr>
        <w:t xml:space="preserve">by </w:t>
      </w:r>
      <w:r w:rsidR="00FC1FA8" w:rsidRPr="00C01A97">
        <w:rPr>
          <w:rFonts w:asciiTheme="minorHAnsi" w:hAnsiTheme="minorHAnsi"/>
          <w:szCs w:val="24"/>
          <w:highlight w:val="yellow"/>
        </w:rPr>
        <w:t xml:space="preserve">Yang et al </w:t>
      </w:r>
      <w:r w:rsidR="00D81EE3">
        <w:rPr>
          <w:rStyle w:val="EndnoteReference"/>
          <w:rFonts w:asciiTheme="minorHAnsi" w:hAnsiTheme="minorHAnsi"/>
          <w:szCs w:val="24"/>
          <w:highlight w:val="yellow"/>
        </w:rPr>
        <w:endnoteReference w:id="38"/>
      </w:r>
      <w:r w:rsidR="00D81EE3" w:rsidRPr="00C01A97">
        <w:rPr>
          <w:rFonts w:asciiTheme="minorHAnsi" w:hAnsiTheme="minorHAnsi"/>
          <w:szCs w:val="24"/>
          <w:highlight w:val="yellow"/>
        </w:rPr>
        <w:t xml:space="preserve"> </w:t>
      </w:r>
      <w:r w:rsidR="006F249B" w:rsidRPr="00C01A97">
        <w:rPr>
          <w:rFonts w:asciiTheme="minorHAnsi" w:hAnsiTheme="minorHAnsi"/>
          <w:szCs w:val="24"/>
          <w:highlight w:val="yellow"/>
        </w:rPr>
        <w:t xml:space="preserve">also supports benefit of statin/ezetimibe combination therapy in those patients with high risk. This study enrolled </w:t>
      </w:r>
      <w:r w:rsidR="00FC1FA8" w:rsidRPr="00C01A97">
        <w:rPr>
          <w:rFonts w:asciiTheme="minorHAnsi" w:hAnsiTheme="minorHAnsi"/>
          <w:szCs w:val="24"/>
          <w:highlight w:val="yellow"/>
        </w:rPr>
        <w:t>245 patients with high or moderately high risk of CVD as defined by the National Cholesterol Education Program Adult Treatment Panel 3.</w:t>
      </w:r>
      <w:r w:rsidR="001A5A52" w:rsidRPr="00C01A97">
        <w:rPr>
          <w:rFonts w:asciiTheme="minorHAnsi" w:hAnsiTheme="minorHAnsi"/>
          <w:szCs w:val="24"/>
          <w:highlight w:val="yellow"/>
        </w:rPr>
        <w:t xml:space="preserve"> </w:t>
      </w:r>
      <w:r w:rsidR="00FC1FA8" w:rsidRPr="00C01A97">
        <w:rPr>
          <w:rFonts w:asciiTheme="minorHAnsi" w:hAnsiTheme="minorHAnsi"/>
          <w:szCs w:val="24"/>
          <w:highlight w:val="yellow"/>
        </w:rPr>
        <w:t xml:space="preserve">Patients received one of six </w:t>
      </w:r>
      <w:r w:rsidRPr="00C01A97">
        <w:rPr>
          <w:rFonts w:asciiTheme="minorHAnsi" w:hAnsiTheme="minorHAnsi"/>
          <w:szCs w:val="24"/>
          <w:highlight w:val="yellow"/>
        </w:rPr>
        <w:t>rosuvastatin</w:t>
      </w:r>
      <w:r w:rsidR="00FC1FA8" w:rsidRPr="00C01A97">
        <w:rPr>
          <w:rFonts w:asciiTheme="minorHAnsi" w:hAnsiTheme="minorHAnsi"/>
          <w:szCs w:val="24"/>
          <w:highlight w:val="yellow"/>
        </w:rPr>
        <w:t xml:space="preserve"> monotherapy or </w:t>
      </w:r>
      <w:r w:rsidRPr="00C01A97">
        <w:rPr>
          <w:rFonts w:asciiTheme="minorHAnsi" w:hAnsiTheme="minorHAnsi"/>
          <w:szCs w:val="24"/>
          <w:highlight w:val="yellow"/>
        </w:rPr>
        <w:t>rosuvastatin</w:t>
      </w:r>
      <w:r w:rsidR="00FC1FA8" w:rsidRPr="00C01A97">
        <w:rPr>
          <w:rFonts w:asciiTheme="minorHAnsi" w:hAnsiTheme="minorHAnsi"/>
          <w:szCs w:val="24"/>
          <w:highlight w:val="yellow"/>
        </w:rPr>
        <w:t xml:space="preserve">/ezetimibe combination regimens for eight weeks. Adverse events were not specifically different between the </w:t>
      </w:r>
      <w:r w:rsidRPr="00C01A97">
        <w:rPr>
          <w:rFonts w:asciiTheme="minorHAnsi" w:hAnsiTheme="minorHAnsi"/>
          <w:szCs w:val="24"/>
          <w:highlight w:val="yellow"/>
        </w:rPr>
        <w:t xml:space="preserve">monotherapy and combination therapy </w:t>
      </w:r>
      <w:r w:rsidR="00FC1FA8" w:rsidRPr="00C01A97">
        <w:rPr>
          <w:rFonts w:asciiTheme="minorHAnsi" w:hAnsiTheme="minorHAnsi"/>
          <w:szCs w:val="24"/>
          <w:highlight w:val="yellow"/>
        </w:rPr>
        <w:t xml:space="preserve">groups. The combination therapy lowered LDL-C </w:t>
      </w:r>
      <w:r w:rsidR="0076247E" w:rsidRPr="0076247E">
        <w:rPr>
          <w:rFonts w:asciiTheme="minorHAnsi" w:eastAsia="Times New Roman" w:hAnsiTheme="minorHAnsi" w:cs="Arial"/>
          <w:color w:val="222222"/>
          <w:szCs w:val="24"/>
          <w:highlight w:val="yellow"/>
          <w:lang w:eastAsia="en-AU"/>
        </w:rPr>
        <w:t>concentrations</w:t>
      </w:r>
      <w:r w:rsidR="0076247E" w:rsidRPr="0076247E">
        <w:rPr>
          <w:rFonts w:asciiTheme="minorHAnsi" w:hAnsiTheme="minorHAnsi"/>
          <w:szCs w:val="24"/>
          <w:highlight w:val="yellow"/>
        </w:rPr>
        <w:t xml:space="preserve"> </w:t>
      </w:r>
      <w:r w:rsidR="00FC1FA8" w:rsidRPr="0076247E">
        <w:rPr>
          <w:rFonts w:asciiTheme="minorHAnsi" w:hAnsiTheme="minorHAnsi"/>
          <w:szCs w:val="24"/>
          <w:highlight w:val="yellow"/>
        </w:rPr>
        <w:t xml:space="preserve">and achieved the LDL-C target in </w:t>
      </w:r>
      <w:r w:rsidRPr="0076247E">
        <w:rPr>
          <w:rFonts w:asciiTheme="minorHAnsi" w:hAnsiTheme="minorHAnsi"/>
          <w:szCs w:val="24"/>
          <w:highlight w:val="yellow"/>
        </w:rPr>
        <w:t xml:space="preserve">patients </w:t>
      </w:r>
      <w:r w:rsidR="00FC1FA8" w:rsidRPr="0076247E">
        <w:rPr>
          <w:rFonts w:asciiTheme="minorHAnsi" w:hAnsiTheme="minorHAnsi"/>
          <w:szCs w:val="24"/>
          <w:highlight w:val="yellow"/>
        </w:rPr>
        <w:t xml:space="preserve">with high </w:t>
      </w:r>
      <w:r w:rsidR="00FC1FA8" w:rsidRPr="00C01A97">
        <w:rPr>
          <w:rFonts w:asciiTheme="minorHAnsi" w:hAnsiTheme="minorHAnsi"/>
          <w:szCs w:val="24"/>
          <w:highlight w:val="yellow"/>
        </w:rPr>
        <w:t>cardiovascular risk.</w:t>
      </w:r>
    </w:p>
    <w:p w:rsidR="0000686B" w:rsidRPr="00204D95" w:rsidRDefault="003848A8" w:rsidP="005A2287">
      <w:pPr>
        <w:pStyle w:val="Heading3"/>
        <w:jc w:val="left"/>
      </w:pPr>
      <w:bookmarkStart w:id="68" w:name="_Toc482176960"/>
      <w:r>
        <w:t>2.</w:t>
      </w:r>
      <w:r w:rsidR="0000686B" w:rsidRPr="00204D95">
        <w:t>2.</w:t>
      </w:r>
      <w:r w:rsidR="0000686B">
        <w:t>5</w:t>
      </w:r>
      <w:r w:rsidR="0000686B" w:rsidRPr="00204D95">
        <w:tab/>
        <w:t>Australian Guidelines compared to the PBS General Statement on Lipid Lowering Drugs</w:t>
      </w:r>
      <w:r w:rsidR="0000686B">
        <w:t xml:space="preserve"> (GSLLD)</w:t>
      </w:r>
      <w:bookmarkEnd w:id="68"/>
    </w:p>
    <w:p w:rsidR="0000686B" w:rsidRPr="001174E6" w:rsidRDefault="0000686B" w:rsidP="00920324">
      <w:pPr>
        <w:spacing w:line="240" w:lineRule="auto"/>
        <w:rPr>
          <w:rFonts w:asciiTheme="minorHAnsi" w:hAnsiTheme="minorHAnsi"/>
        </w:rPr>
      </w:pPr>
      <w:r w:rsidRPr="001174E6">
        <w:rPr>
          <w:rFonts w:asciiTheme="minorHAnsi" w:hAnsiTheme="minorHAnsi"/>
        </w:rPr>
        <w:t>In examining the differences between the NVDPA-2012 and the G</w:t>
      </w:r>
      <w:r>
        <w:rPr>
          <w:rFonts w:asciiTheme="minorHAnsi" w:hAnsiTheme="minorHAnsi"/>
        </w:rPr>
        <w:t xml:space="preserve">SLLD, </w:t>
      </w:r>
      <w:r w:rsidRPr="001174E6">
        <w:rPr>
          <w:rFonts w:asciiTheme="minorHAnsi" w:hAnsiTheme="minorHAnsi"/>
        </w:rPr>
        <w:t xml:space="preserve">the </w:t>
      </w:r>
      <w:r>
        <w:rPr>
          <w:rFonts w:asciiTheme="minorHAnsi" w:hAnsiTheme="minorHAnsi"/>
        </w:rPr>
        <w:t xml:space="preserve">Reference Group </w:t>
      </w:r>
      <w:r w:rsidRPr="001174E6">
        <w:rPr>
          <w:rFonts w:asciiTheme="minorHAnsi" w:hAnsiTheme="minorHAnsi"/>
        </w:rPr>
        <w:t xml:space="preserve">noted that the purpose of each document is different. The NVDPA-2012 provides guidance for therapy, including pharmacotherapy, in individual patients at risk of </w:t>
      </w:r>
      <w:r>
        <w:rPr>
          <w:rFonts w:asciiTheme="minorHAnsi" w:hAnsiTheme="minorHAnsi"/>
        </w:rPr>
        <w:t>Cardiovascular Disease (</w:t>
      </w:r>
      <w:r w:rsidRPr="001174E6">
        <w:rPr>
          <w:rFonts w:asciiTheme="minorHAnsi" w:hAnsiTheme="minorHAnsi"/>
        </w:rPr>
        <w:t>CVD</w:t>
      </w:r>
      <w:r>
        <w:rPr>
          <w:rFonts w:asciiTheme="minorHAnsi" w:hAnsiTheme="minorHAnsi"/>
        </w:rPr>
        <w:t>)</w:t>
      </w:r>
      <w:r w:rsidRPr="001174E6">
        <w:rPr>
          <w:rFonts w:asciiTheme="minorHAnsi" w:hAnsiTheme="minorHAnsi"/>
        </w:rPr>
        <w:t>. The G</w:t>
      </w:r>
      <w:r>
        <w:rPr>
          <w:rFonts w:asciiTheme="minorHAnsi" w:hAnsiTheme="minorHAnsi"/>
        </w:rPr>
        <w:t>SLLD</w:t>
      </w:r>
      <w:r w:rsidRPr="001174E6">
        <w:rPr>
          <w:rFonts w:asciiTheme="minorHAnsi" w:hAnsiTheme="minorHAnsi"/>
        </w:rPr>
        <w:t xml:space="preserve"> is constructed from sequential considerations of evidence of relative effectiveness and cost</w:t>
      </w:r>
      <w:r w:rsidR="00216B38">
        <w:rPr>
          <w:rFonts w:asciiTheme="minorHAnsi" w:hAnsiTheme="minorHAnsi"/>
        </w:rPr>
        <w:t>-</w:t>
      </w:r>
      <w:r w:rsidRPr="001174E6">
        <w:rPr>
          <w:rFonts w:asciiTheme="minorHAnsi" w:hAnsiTheme="minorHAnsi"/>
        </w:rPr>
        <w:t>effectiveness considered by the PBAC for the purposes of subsidy on the PBS</w:t>
      </w:r>
      <w:r>
        <w:rPr>
          <w:rFonts w:asciiTheme="minorHAnsi" w:hAnsiTheme="minorHAnsi"/>
        </w:rPr>
        <w:t>.</w:t>
      </w:r>
    </w:p>
    <w:p w:rsidR="0000686B" w:rsidRDefault="0000686B">
      <w:pPr>
        <w:spacing w:line="240" w:lineRule="auto"/>
        <w:rPr>
          <w:rFonts w:asciiTheme="minorHAnsi" w:hAnsiTheme="minorHAnsi"/>
        </w:rPr>
      </w:pPr>
      <w:r w:rsidRPr="001174E6">
        <w:rPr>
          <w:rFonts w:asciiTheme="minorHAnsi" w:hAnsiTheme="minorHAnsi"/>
        </w:rPr>
        <w:t>The G</w:t>
      </w:r>
      <w:r>
        <w:rPr>
          <w:rFonts w:asciiTheme="minorHAnsi" w:hAnsiTheme="minorHAnsi"/>
        </w:rPr>
        <w:t>SLLD</w:t>
      </w:r>
      <w:r w:rsidRPr="001174E6">
        <w:rPr>
          <w:rFonts w:asciiTheme="minorHAnsi" w:hAnsiTheme="minorHAnsi"/>
        </w:rPr>
        <w:t xml:space="preserve"> and NVDPA-2012 guidelines are broadly consistent in terms of the risk factors that are considered prior to commencing treatment. The main differences are:</w:t>
      </w:r>
    </w:p>
    <w:p w:rsidR="0000686B" w:rsidRPr="00EA5381" w:rsidRDefault="0000686B">
      <w:pPr>
        <w:pStyle w:val="ListParagraph"/>
        <w:numPr>
          <w:ilvl w:val="0"/>
          <w:numId w:val="12"/>
        </w:numPr>
        <w:spacing w:after="120" w:line="240" w:lineRule="auto"/>
        <w:ind w:left="426" w:hanging="426"/>
        <w:contextualSpacing w:val="0"/>
        <w:rPr>
          <w:rFonts w:asciiTheme="minorHAnsi" w:hAnsiTheme="minorHAnsi"/>
        </w:rPr>
      </w:pPr>
      <w:r w:rsidRPr="00EA5381">
        <w:rPr>
          <w:rFonts w:asciiTheme="minorHAnsi" w:hAnsiTheme="minorHAnsi"/>
        </w:rPr>
        <w:t xml:space="preserve">Target </w:t>
      </w:r>
      <w:r w:rsidR="0076247E" w:rsidRPr="0076247E">
        <w:rPr>
          <w:rFonts w:asciiTheme="minorHAnsi" w:eastAsia="Times New Roman" w:hAnsiTheme="minorHAnsi" w:cs="Arial"/>
          <w:color w:val="222222"/>
          <w:szCs w:val="24"/>
          <w:highlight w:val="yellow"/>
          <w:lang w:eastAsia="en-AU"/>
        </w:rPr>
        <w:t>concentrations</w:t>
      </w:r>
      <w:r w:rsidRPr="00EA5381">
        <w:rPr>
          <w:rFonts w:asciiTheme="minorHAnsi" w:hAnsiTheme="minorHAnsi"/>
        </w:rPr>
        <w:t xml:space="preserve"> of LDL-C, TG and HDL-C that provide thresholds for commencing pharmacotherapy are slightly different. The serum lipid </w:t>
      </w:r>
      <w:r w:rsidR="0076247E" w:rsidRPr="0076247E">
        <w:rPr>
          <w:rFonts w:asciiTheme="minorHAnsi" w:eastAsia="Times New Roman" w:hAnsiTheme="minorHAnsi" w:cs="Arial"/>
          <w:color w:val="222222"/>
          <w:szCs w:val="24"/>
          <w:highlight w:val="yellow"/>
          <w:lang w:eastAsia="en-AU"/>
        </w:rPr>
        <w:t>concentrations</w:t>
      </w:r>
      <w:r w:rsidR="0076247E" w:rsidRPr="00EA5381">
        <w:rPr>
          <w:rFonts w:asciiTheme="minorHAnsi" w:hAnsiTheme="minorHAnsi"/>
        </w:rPr>
        <w:t xml:space="preserve"> </w:t>
      </w:r>
      <w:r w:rsidRPr="00EA5381">
        <w:rPr>
          <w:rFonts w:asciiTheme="minorHAnsi" w:hAnsiTheme="minorHAnsi"/>
        </w:rPr>
        <w:t>form one part of the absolute risk categorisation. Some patients could be eligible for subsidised drugs because of their serum lipids when considered in isolation, but would not be eligible according to their calculated risk. Conversely, some patients have higher risk according to the NVDPA-2012 but do not have dyslipidaemia</w:t>
      </w:r>
      <w:r w:rsidR="00C454CC" w:rsidRPr="00EA5381">
        <w:rPr>
          <w:rStyle w:val="EndnoteReference"/>
          <w:rFonts w:asciiTheme="minorHAnsi" w:hAnsiTheme="minorHAnsi"/>
        </w:rPr>
        <w:endnoteReference w:id="39"/>
      </w:r>
      <w:r w:rsidRPr="00EA5381">
        <w:rPr>
          <w:rFonts w:asciiTheme="minorHAnsi" w:hAnsiTheme="minorHAnsi"/>
        </w:rPr>
        <w:t xml:space="preserve">  </w:t>
      </w:r>
    </w:p>
    <w:p w:rsidR="0000686B" w:rsidRPr="0076247E" w:rsidRDefault="0000686B">
      <w:pPr>
        <w:pStyle w:val="ListParagraph"/>
        <w:numPr>
          <w:ilvl w:val="1"/>
          <w:numId w:val="12"/>
        </w:numPr>
        <w:spacing w:after="120" w:line="240" w:lineRule="auto"/>
        <w:ind w:left="851"/>
        <w:contextualSpacing w:val="0"/>
        <w:rPr>
          <w:rFonts w:asciiTheme="minorHAnsi" w:hAnsiTheme="minorHAnsi"/>
          <w:highlight w:val="yellow"/>
        </w:rPr>
      </w:pPr>
      <w:r w:rsidRPr="00D30132">
        <w:rPr>
          <w:rFonts w:asciiTheme="minorHAnsi" w:hAnsiTheme="minorHAnsi"/>
        </w:rPr>
        <w:lastRenderedPageBreak/>
        <w:t>While</w:t>
      </w:r>
      <w:r>
        <w:rPr>
          <w:rFonts w:asciiTheme="minorHAnsi" w:hAnsiTheme="minorHAnsi"/>
          <w:b/>
        </w:rPr>
        <w:t xml:space="preserve"> </w:t>
      </w:r>
      <w:r>
        <w:rPr>
          <w:rFonts w:asciiTheme="minorHAnsi" w:hAnsiTheme="minorHAnsi"/>
        </w:rPr>
        <w:t>t</w:t>
      </w:r>
      <w:r w:rsidRPr="00D30132">
        <w:rPr>
          <w:rFonts w:asciiTheme="minorHAnsi" w:hAnsiTheme="minorHAnsi"/>
        </w:rPr>
        <w:t>he actual numbers have not been examined in any published study</w:t>
      </w:r>
      <w:r>
        <w:rPr>
          <w:rFonts w:asciiTheme="minorHAnsi" w:hAnsiTheme="minorHAnsi"/>
        </w:rPr>
        <w:t>,</w:t>
      </w:r>
      <w:r w:rsidRPr="00D30132">
        <w:rPr>
          <w:rFonts w:asciiTheme="minorHAnsi" w:hAnsiTheme="minorHAnsi"/>
        </w:rPr>
        <w:t xml:space="preserve"> in their comparison of eligibility for pharmacotherapy in a cohort of 3</w:t>
      </w:r>
      <w:r>
        <w:rPr>
          <w:rFonts w:asciiTheme="minorHAnsi" w:hAnsiTheme="minorHAnsi"/>
        </w:rPr>
        <w:t>,</w:t>
      </w:r>
      <w:r w:rsidRPr="00D30132">
        <w:rPr>
          <w:rFonts w:asciiTheme="minorHAnsi" w:hAnsiTheme="minorHAnsi"/>
        </w:rPr>
        <w:t>627 subjects from the AusDiab study (2004-5)</w:t>
      </w:r>
      <w:r w:rsidR="00C454CC">
        <w:rPr>
          <w:rStyle w:val="EndnoteReference"/>
          <w:rFonts w:asciiTheme="minorHAnsi" w:hAnsiTheme="minorHAnsi"/>
        </w:rPr>
        <w:endnoteReference w:id="40"/>
      </w:r>
      <w:r>
        <w:rPr>
          <w:rFonts w:asciiTheme="minorHAnsi" w:hAnsiTheme="minorHAnsi"/>
        </w:rPr>
        <w:t>,</w:t>
      </w:r>
      <w:r w:rsidRPr="00D30132">
        <w:rPr>
          <w:rFonts w:asciiTheme="minorHAnsi" w:hAnsiTheme="minorHAnsi"/>
        </w:rPr>
        <w:t xml:space="preserve"> 2% of patients would be eligible for treatment in spite of having normal blood pressure and LDL-C serum</w:t>
      </w:r>
      <w:r w:rsidR="0076247E">
        <w:rPr>
          <w:rFonts w:asciiTheme="minorHAnsi" w:hAnsiTheme="minorHAnsi"/>
        </w:rPr>
        <w:t xml:space="preserve"> </w:t>
      </w:r>
      <w:r w:rsidR="0076247E" w:rsidRPr="0076247E">
        <w:rPr>
          <w:rFonts w:asciiTheme="minorHAnsi" w:eastAsia="Times New Roman" w:hAnsiTheme="minorHAnsi" w:cs="Arial"/>
          <w:color w:val="222222"/>
          <w:szCs w:val="24"/>
          <w:highlight w:val="yellow"/>
          <w:lang w:eastAsia="en-AU"/>
        </w:rPr>
        <w:t>concentrations</w:t>
      </w:r>
      <w:r w:rsidRPr="0076247E">
        <w:rPr>
          <w:rFonts w:asciiTheme="minorHAnsi" w:hAnsiTheme="minorHAnsi"/>
          <w:highlight w:val="yellow"/>
        </w:rPr>
        <w:t xml:space="preserve">. </w:t>
      </w:r>
    </w:p>
    <w:p w:rsidR="0000686B" w:rsidRPr="001174E6" w:rsidRDefault="0000686B">
      <w:pPr>
        <w:pStyle w:val="ListParagraph"/>
        <w:numPr>
          <w:ilvl w:val="0"/>
          <w:numId w:val="12"/>
        </w:numPr>
        <w:spacing w:after="120" w:line="240" w:lineRule="auto"/>
        <w:ind w:left="426" w:hanging="426"/>
        <w:contextualSpacing w:val="0"/>
        <w:rPr>
          <w:rFonts w:asciiTheme="minorHAnsi" w:hAnsiTheme="minorHAnsi"/>
        </w:rPr>
      </w:pPr>
      <w:r w:rsidRPr="00246C8C">
        <w:rPr>
          <w:rFonts w:asciiTheme="minorHAnsi" w:hAnsiTheme="minorHAnsi"/>
        </w:rPr>
        <w:t>The</w:t>
      </w:r>
      <w:r w:rsidRPr="001174E6">
        <w:rPr>
          <w:rFonts w:asciiTheme="minorHAnsi" w:hAnsiTheme="minorHAnsi"/>
        </w:rPr>
        <w:t xml:space="preserve"> G</w:t>
      </w:r>
      <w:r>
        <w:rPr>
          <w:rFonts w:asciiTheme="minorHAnsi" w:hAnsiTheme="minorHAnsi"/>
        </w:rPr>
        <w:t>SLLD</w:t>
      </w:r>
      <w:r w:rsidRPr="001174E6">
        <w:rPr>
          <w:rFonts w:asciiTheme="minorHAnsi" w:hAnsiTheme="minorHAnsi"/>
        </w:rPr>
        <w:t xml:space="preserve"> does not include consideration of chronic kidney disease as a risk factor. The other factors considered in NVDPA-2012 are present in the G</w:t>
      </w:r>
      <w:r>
        <w:rPr>
          <w:rFonts w:asciiTheme="minorHAnsi" w:hAnsiTheme="minorHAnsi"/>
        </w:rPr>
        <w:t>SLLD.</w:t>
      </w:r>
    </w:p>
    <w:p w:rsidR="0000686B" w:rsidRPr="001174E6" w:rsidRDefault="0000686B">
      <w:pPr>
        <w:pStyle w:val="ListParagraph"/>
        <w:numPr>
          <w:ilvl w:val="0"/>
          <w:numId w:val="12"/>
        </w:numPr>
        <w:spacing w:after="120" w:line="240" w:lineRule="auto"/>
        <w:ind w:left="426" w:hanging="426"/>
        <w:contextualSpacing w:val="0"/>
        <w:rPr>
          <w:rFonts w:asciiTheme="minorHAnsi" w:hAnsiTheme="minorHAnsi"/>
        </w:rPr>
      </w:pPr>
      <w:r w:rsidRPr="001174E6">
        <w:rPr>
          <w:rFonts w:asciiTheme="minorHAnsi" w:hAnsiTheme="minorHAnsi"/>
        </w:rPr>
        <w:t>The G</w:t>
      </w:r>
      <w:r>
        <w:rPr>
          <w:rFonts w:asciiTheme="minorHAnsi" w:hAnsiTheme="minorHAnsi"/>
        </w:rPr>
        <w:t>SLLD</w:t>
      </w:r>
      <w:r w:rsidRPr="001174E6">
        <w:rPr>
          <w:rFonts w:asciiTheme="minorHAnsi" w:hAnsiTheme="minorHAnsi"/>
        </w:rPr>
        <w:t xml:space="preserve"> does not include a consideration of age while the NVDPA-2012 is recommended for the age range of 35 – 75</w:t>
      </w:r>
      <w:r>
        <w:rPr>
          <w:rFonts w:asciiTheme="minorHAnsi" w:hAnsiTheme="minorHAnsi"/>
        </w:rPr>
        <w:t xml:space="preserve"> </w:t>
      </w:r>
      <w:r w:rsidRPr="001174E6">
        <w:rPr>
          <w:rFonts w:asciiTheme="minorHAnsi" w:hAnsiTheme="minorHAnsi"/>
        </w:rPr>
        <w:t>years.</w:t>
      </w:r>
    </w:p>
    <w:p w:rsidR="0000686B" w:rsidRDefault="0000686B">
      <w:pPr>
        <w:spacing w:line="240" w:lineRule="auto"/>
        <w:rPr>
          <w:rFonts w:asciiTheme="minorHAnsi" w:hAnsiTheme="minorHAnsi"/>
        </w:rPr>
      </w:pPr>
      <w:r w:rsidRPr="00204D95">
        <w:rPr>
          <w:rFonts w:asciiTheme="minorHAnsi" w:hAnsiTheme="minorHAnsi"/>
        </w:rPr>
        <w:t xml:space="preserve">Table </w:t>
      </w:r>
      <w:r w:rsidR="00EA7D7C">
        <w:rPr>
          <w:rFonts w:asciiTheme="minorHAnsi" w:hAnsiTheme="minorHAnsi"/>
        </w:rPr>
        <w:t>11</w:t>
      </w:r>
      <w:r w:rsidR="001142C3">
        <w:rPr>
          <w:rFonts w:asciiTheme="minorHAnsi" w:hAnsiTheme="minorHAnsi"/>
        </w:rPr>
        <w:t xml:space="preserve"> </w:t>
      </w:r>
      <w:r>
        <w:rPr>
          <w:rFonts w:asciiTheme="minorHAnsi" w:hAnsiTheme="minorHAnsi"/>
        </w:rPr>
        <w:t xml:space="preserve">shows </w:t>
      </w:r>
      <w:r w:rsidRPr="001174E6">
        <w:rPr>
          <w:rFonts w:asciiTheme="minorHAnsi" w:hAnsiTheme="minorHAnsi"/>
        </w:rPr>
        <w:t>additional det</w:t>
      </w:r>
      <w:r>
        <w:rPr>
          <w:rFonts w:asciiTheme="minorHAnsi" w:hAnsiTheme="minorHAnsi"/>
        </w:rPr>
        <w:t>a</w:t>
      </w:r>
      <w:r w:rsidRPr="001174E6">
        <w:rPr>
          <w:rFonts w:asciiTheme="minorHAnsi" w:hAnsiTheme="minorHAnsi"/>
        </w:rPr>
        <w:t>ils of the comparison</w:t>
      </w:r>
      <w:r>
        <w:rPr>
          <w:rFonts w:asciiTheme="minorHAnsi" w:hAnsiTheme="minorHAnsi"/>
        </w:rPr>
        <w:t xml:space="preserve"> between the GSLLD and NVDPA-2012</w:t>
      </w:r>
      <w:r w:rsidRPr="001174E6">
        <w:rPr>
          <w:rFonts w:asciiTheme="minorHAnsi" w:hAnsiTheme="minorHAnsi"/>
        </w:rPr>
        <w:t>.</w:t>
      </w:r>
    </w:p>
    <w:p w:rsidR="0000686B" w:rsidRPr="00847F3C" w:rsidRDefault="001142C3" w:rsidP="005A2287">
      <w:pPr>
        <w:widowControl w:val="0"/>
        <w:spacing w:after="0" w:line="259" w:lineRule="auto"/>
        <w:rPr>
          <w:rFonts w:asciiTheme="minorHAnsi" w:eastAsiaTheme="minorEastAsia" w:hAnsiTheme="minorHAnsi" w:cs="Arial"/>
          <w:b/>
          <w:snapToGrid w:val="0"/>
          <w:szCs w:val="24"/>
          <w:lang w:eastAsia="zh-CN"/>
        </w:rPr>
      </w:pPr>
      <w:bookmarkStart w:id="69" w:name="_Toc461644654"/>
      <w:r>
        <w:rPr>
          <w:rFonts w:asciiTheme="minorHAnsi" w:eastAsiaTheme="minorEastAsia" w:hAnsiTheme="minorHAnsi" w:cs="Arial"/>
          <w:b/>
          <w:snapToGrid w:val="0"/>
          <w:szCs w:val="24"/>
          <w:lang w:eastAsia="zh-CN"/>
        </w:rPr>
        <w:t xml:space="preserve">Table </w:t>
      </w:r>
      <w:r w:rsidR="00EA7D7C">
        <w:rPr>
          <w:rFonts w:asciiTheme="minorHAnsi" w:eastAsiaTheme="minorEastAsia" w:hAnsiTheme="minorHAnsi" w:cs="Arial"/>
          <w:b/>
          <w:snapToGrid w:val="0"/>
          <w:szCs w:val="24"/>
          <w:lang w:eastAsia="zh-CN"/>
        </w:rPr>
        <w:t>11</w:t>
      </w:r>
      <w:r w:rsidR="0000686B" w:rsidRPr="00847F3C">
        <w:rPr>
          <w:rFonts w:asciiTheme="minorHAnsi" w:eastAsiaTheme="minorEastAsia" w:hAnsiTheme="minorHAnsi" w:cs="Arial"/>
          <w:b/>
          <w:snapToGrid w:val="0"/>
          <w:szCs w:val="24"/>
          <w:lang w:eastAsia="zh-CN"/>
        </w:rPr>
        <w:t>: Discrepancies in risk factors corresponding to the high risk of a CVD event</w:t>
      </w:r>
      <w:bookmarkEnd w:id="69"/>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3004"/>
        <w:gridCol w:w="3004"/>
      </w:tblGrid>
      <w:tr w:rsidR="0000686B" w:rsidTr="00847F3C">
        <w:tc>
          <w:tcPr>
            <w:tcW w:w="3003" w:type="dxa"/>
            <w:shd w:val="clear" w:color="auto" w:fill="BFBFBF" w:themeFill="background1" w:themeFillShade="BF"/>
          </w:tcPr>
          <w:p w:rsidR="0000686B" w:rsidRPr="0029756E" w:rsidRDefault="0000686B" w:rsidP="005A2287">
            <w:pPr>
              <w:spacing w:before="60" w:after="60"/>
              <w:rPr>
                <w:rFonts w:ascii="Calibri" w:hAnsi="Calibri"/>
                <w:b/>
                <w:sz w:val="22"/>
              </w:rPr>
            </w:pPr>
            <w:r w:rsidRPr="0029756E">
              <w:rPr>
                <w:rFonts w:ascii="Calibri" w:hAnsi="Calibri"/>
                <w:b/>
                <w:sz w:val="22"/>
              </w:rPr>
              <w:t>Risk factor</w:t>
            </w:r>
          </w:p>
        </w:tc>
        <w:tc>
          <w:tcPr>
            <w:tcW w:w="3004" w:type="dxa"/>
            <w:shd w:val="clear" w:color="auto" w:fill="BFBFBF" w:themeFill="background1" w:themeFillShade="BF"/>
          </w:tcPr>
          <w:p w:rsidR="0000686B" w:rsidRPr="0029756E" w:rsidRDefault="0000686B" w:rsidP="005A2287">
            <w:pPr>
              <w:spacing w:before="60" w:after="60"/>
              <w:rPr>
                <w:rFonts w:ascii="Calibri" w:hAnsi="Calibri"/>
                <w:b/>
                <w:sz w:val="22"/>
              </w:rPr>
            </w:pPr>
            <w:r w:rsidRPr="0029756E">
              <w:rPr>
                <w:rFonts w:ascii="Calibri" w:hAnsi="Calibri"/>
                <w:b/>
                <w:sz w:val="22"/>
              </w:rPr>
              <w:t>Included in GSLLD</w:t>
            </w:r>
          </w:p>
        </w:tc>
        <w:tc>
          <w:tcPr>
            <w:tcW w:w="3004" w:type="dxa"/>
            <w:shd w:val="clear" w:color="auto" w:fill="BFBFBF" w:themeFill="background1" w:themeFillShade="BF"/>
          </w:tcPr>
          <w:p w:rsidR="0000686B" w:rsidRPr="0029756E" w:rsidRDefault="0000686B" w:rsidP="005A2287">
            <w:pPr>
              <w:spacing w:before="60" w:after="60"/>
              <w:rPr>
                <w:rFonts w:ascii="Calibri" w:hAnsi="Calibri"/>
                <w:b/>
                <w:sz w:val="22"/>
              </w:rPr>
            </w:pPr>
            <w:r w:rsidRPr="0029756E">
              <w:rPr>
                <w:rFonts w:ascii="Calibri" w:hAnsi="Calibri"/>
                <w:b/>
                <w:sz w:val="22"/>
              </w:rPr>
              <w:t>Included in NVDPA-2012</w:t>
            </w:r>
          </w:p>
        </w:tc>
      </w:tr>
      <w:tr w:rsidR="0000686B" w:rsidRPr="00752C36" w:rsidTr="00847F3C">
        <w:tc>
          <w:tcPr>
            <w:tcW w:w="3003" w:type="dxa"/>
          </w:tcPr>
          <w:p w:rsidR="0000686B" w:rsidRPr="00752C36" w:rsidRDefault="0000686B" w:rsidP="00136551">
            <w:pPr>
              <w:spacing w:before="60" w:after="0" w:line="0" w:lineRule="atLeast"/>
              <w:jc w:val="left"/>
              <w:rPr>
                <w:rFonts w:asciiTheme="minorHAnsi" w:hAnsiTheme="minorHAnsi"/>
              </w:rPr>
            </w:pPr>
            <w:r w:rsidRPr="00752C36">
              <w:rPr>
                <w:rFonts w:asciiTheme="minorHAnsi" w:hAnsiTheme="minorHAnsi"/>
              </w:rPr>
              <w:t>moderate or severe chronic kidney disease (CKD)</w:t>
            </w:r>
          </w:p>
        </w:tc>
        <w:tc>
          <w:tcPr>
            <w:tcW w:w="3004" w:type="dxa"/>
          </w:tcPr>
          <w:p w:rsidR="0000686B" w:rsidRPr="00752C36" w:rsidRDefault="0000686B" w:rsidP="00136551">
            <w:pPr>
              <w:spacing w:before="60" w:after="0" w:line="0" w:lineRule="atLeast"/>
              <w:jc w:val="left"/>
              <w:rPr>
                <w:rFonts w:asciiTheme="minorHAnsi" w:hAnsiTheme="minorHAnsi"/>
                <w:b/>
                <w:i/>
                <w:color w:val="000000"/>
                <w:u w:val="single"/>
              </w:rPr>
            </w:pPr>
            <w:r w:rsidRPr="00752C36">
              <w:rPr>
                <w:rFonts w:asciiTheme="minorHAnsi" w:hAnsiTheme="minorHAnsi"/>
              </w:rPr>
              <w:t>no</w:t>
            </w:r>
          </w:p>
        </w:tc>
        <w:tc>
          <w:tcPr>
            <w:tcW w:w="3004" w:type="dxa"/>
          </w:tcPr>
          <w:p w:rsidR="0000686B" w:rsidRPr="00752C36" w:rsidRDefault="0000686B" w:rsidP="00136551">
            <w:pPr>
              <w:spacing w:before="60" w:after="60"/>
              <w:jc w:val="left"/>
              <w:rPr>
                <w:rFonts w:asciiTheme="minorHAnsi" w:hAnsiTheme="minorHAnsi"/>
                <w:b/>
                <w:i/>
                <w:color w:val="000000"/>
                <w:u w:val="single"/>
              </w:rPr>
            </w:pPr>
            <w:r w:rsidRPr="00752C36">
              <w:rPr>
                <w:rFonts w:asciiTheme="minorHAnsi" w:hAnsiTheme="minorHAnsi"/>
              </w:rPr>
              <w:t>yes</w:t>
            </w:r>
          </w:p>
        </w:tc>
      </w:tr>
      <w:tr w:rsidR="0000686B" w:rsidTr="00847F3C">
        <w:tc>
          <w:tcPr>
            <w:tcW w:w="3003" w:type="dxa"/>
          </w:tcPr>
          <w:p w:rsidR="0000686B" w:rsidRPr="0029756E" w:rsidRDefault="0000686B" w:rsidP="00136551">
            <w:pPr>
              <w:spacing w:before="60" w:after="0" w:line="0" w:lineRule="atLeast"/>
              <w:jc w:val="left"/>
              <w:rPr>
                <w:rFonts w:asciiTheme="minorHAnsi" w:hAnsiTheme="minorHAnsi"/>
                <w:b/>
                <w:i/>
                <w:color w:val="000000"/>
                <w:u w:val="single"/>
              </w:rPr>
            </w:pPr>
            <w:r w:rsidRPr="0029756E">
              <w:rPr>
                <w:rFonts w:asciiTheme="minorHAnsi" w:hAnsiTheme="minorHAnsi"/>
              </w:rPr>
              <w:t>family history of CHD which has become symptomatic before the age of 55 years in two or more 1st degree relatives</w:t>
            </w:r>
          </w:p>
        </w:tc>
        <w:tc>
          <w:tcPr>
            <w:tcW w:w="3004" w:type="dxa"/>
          </w:tcPr>
          <w:p w:rsidR="0000686B" w:rsidRPr="0029756E" w:rsidRDefault="0000686B" w:rsidP="00136551">
            <w:pPr>
              <w:spacing w:before="60" w:after="0" w:line="0" w:lineRule="atLeast"/>
              <w:jc w:val="left"/>
              <w:rPr>
                <w:rFonts w:asciiTheme="minorHAnsi" w:hAnsiTheme="minorHAnsi"/>
                <w:b/>
                <w:i/>
                <w:color w:val="000000"/>
                <w:u w:val="single"/>
              </w:rPr>
            </w:pPr>
            <w:r w:rsidRPr="0029756E">
              <w:rPr>
                <w:rFonts w:asciiTheme="minorHAnsi" w:hAnsiTheme="minorHAnsi"/>
              </w:rPr>
              <w:t>yes</w:t>
            </w:r>
          </w:p>
        </w:tc>
        <w:tc>
          <w:tcPr>
            <w:tcW w:w="3004" w:type="dxa"/>
          </w:tcPr>
          <w:p w:rsidR="0000686B" w:rsidRPr="0029756E" w:rsidRDefault="0000686B" w:rsidP="00136551">
            <w:pPr>
              <w:spacing w:before="60" w:after="60"/>
              <w:jc w:val="left"/>
              <w:rPr>
                <w:rFonts w:asciiTheme="minorHAnsi" w:hAnsiTheme="minorHAnsi"/>
                <w:b/>
                <w:i/>
                <w:color w:val="000000"/>
                <w:u w:val="single"/>
              </w:rPr>
            </w:pPr>
            <w:r w:rsidRPr="0029756E">
              <w:rPr>
                <w:rFonts w:asciiTheme="minorHAnsi" w:hAnsiTheme="minorHAnsi"/>
              </w:rPr>
              <w:t xml:space="preserve">Not explicitly, but carries additional weight in the calculation of a cardiovascular risk with a web calculator or a chart </w:t>
            </w:r>
          </w:p>
        </w:tc>
      </w:tr>
      <w:tr w:rsidR="0000686B" w:rsidTr="00847F3C">
        <w:tc>
          <w:tcPr>
            <w:tcW w:w="3003" w:type="dxa"/>
          </w:tcPr>
          <w:p w:rsidR="0000686B" w:rsidRPr="0029756E" w:rsidRDefault="0000686B" w:rsidP="00136551">
            <w:pPr>
              <w:spacing w:before="60" w:after="0" w:line="0" w:lineRule="atLeast"/>
              <w:jc w:val="left"/>
              <w:rPr>
                <w:rFonts w:asciiTheme="minorHAnsi" w:hAnsiTheme="minorHAnsi"/>
                <w:b/>
                <w:i/>
                <w:color w:val="000000"/>
                <w:u w:val="single"/>
              </w:rPr>
            </w:pPr>
            <w:r w:rsidRPr="0029756E">
              <w:rPr>
                <w:rFonts w:asciiTheme="minorHAnsi" w:hAnsiTheme="minorHAnsi"/>
              </w:rPr>
              <w:t>family history of CHD which has become symptomatic before the age of 45 years in one or more 1st degree relatives</w:t>
            </w:r>
          </w:p>
        </w:tc>
        <w:tc>
          <w:tcPr>
            <w:tcW w:w="3004" w:type="dxa"/>
          </w:tcPr>
          <w:p w:rsidR="0000686B" w:rsidRPr="0029756E" w:rsidRDefault="0000686B" w:rsidP="00136551">
            <w:pPr>
              <w:spacing w:before="60" w:after="0" w:line="0" w:lineRule="atLeast"/>
              <w:jc w:val="left"/>
              <w:rPr>
                <w:rFonts w:asciiTheme="minorHAnsi" w:hAnsiTheme="minorHAnsi"/>
                <w:b/>
                <w:i/>
                <w:color w:val="000000"/>
                <w:u w:val="single"/>
              </w:rPr>
            </w:pPr>
            <w:r w:rsidRPr="0029756E">
              <w:rPr>
                <w:rFonts w:asciiTheme="minorHAnsi" w:hAnsiTheme="minorHAnsi"/>
              </w:rPr>
              <w:t>yes</w:t>
            </w:r>
          </w:p>
        </w:tc>
        <w:tc>
          <w:tcPr>
            <w:tcW w:w="3004" w:type="dxa"/>
          </w:tcPr>
          <w:p w:rsidR="0000686B" w:rsidRPr="0029756E" w:rsidRDefault="0000686B" w:rsidP="00136551">
            <w:pPr>
              <w:spacing w:before="60" w:after="60"/>
              <w:jc w:val="left"/>
              <w:rPr>
                <w:rFonts w:asciiTheme="minorHAnsi" w:hAnsiTheme="minorHAnsi"/>
                <w:b/>
                <w:i/>
                <w:color w:val="000000"/>
                <w:u w:val="single"/>
              </w:rPr>
            </w:pPr>
            <w:r w:rsidRPr="0029756E">
              <w:rPr>
                <w:rFonts w:asciiTheme="minorHAnsi" w:hAnsiTheme="minorHAnsi"/>
              </w:rPr>
              <w:t>Not explicitly, but carries additional weight in the calculation of a cardiovascular risk with a web calculator or a chart</w:t>
            </w:r>
          </w:p>
        </w:tc>
      </w:tr>
      <w:tr w:rsidR="0000686B" w:rsidTr="00847F3C">
        <w:tc>
          <w:tcPr>
            <w:tcW w:w="3003" w:type="dxa"/>
          </w:tcPr>
          <w:p w:rsidR="0000686B" w:rsidRPr="0029756E" w:rsidRDefault="0000686B" w:rsidP="00136551">
            <w:pPr>
              <w:spacing w:before="60" w:after="0" w:line="0" w:lineRule="atLeast"/>
              <w:jc w:val="left"/>
              <w:rPr>
                <w:rFonts w:asciiTheme="minorHAnsi" w:hAnsiTheme="minorHAnsi"/>
                <w:b/>
                <w:i/>
                <w:color w:val="000000"/>
                <w:u w:val="single"/>
              </w:rPr>
            </w:pPr>
            <w:r w:rsidRPr="0029756E">
              <w:rPr>
                <w:rFonts w:asciiTheme="minorHAnsi" w:hAnsiTheme="minorHAnsi"/>
              </w:rPr>
              <w:t>A previous diagnosis of familial hypercholesterolaemia</w:t>
            </w:r>
          </w:p>
        </w:tc>
        <w:tc>
          <w:tcPr>
            <w:tcW w:w="3004" w:type="dxa"/>
          </w:tcPr>
          <w:p w:rsidR="0000686B" w:rsidRPr="0029756E" w:rsidRDefault="0000686B" w:rsidP="00136551">
            <w:pPr>
              <w:spacing w:before="60" w:after="0" w:line="0" w:lineRule="atLeast"/>
              <w:jc w:val="left"/>
              <w:rPr>
                <w:rFonts w:asciiTheme="minorHAnsi" w:hAnsiTheme="minorHAnsi"/>
                <w:b/>
                <w:i/>
                <w:color w:val="000000"/>
                <w:u w:val="single"/>
              </w:rPr>
            </w:pPr>
            <w:r w:rsidRPr="0029756E">
              <w:rPr>
                <w:rFonts w:asciiTheme="minorHAnsi" w:hAnsiTheme="minorHAnsi"/>
              </w:rPr>
              <w:t>Yes, conditional on the specified threshold in cholesterol level as in Table 2.4.</w:t>
            </w:r>
          </w:p>
        </w:tc>
        <w:tc>
          <w:tcPr>
            <w:tcW w:w="3004" w:type="dxa"/>
          </w:tcPr>
          <w:p w:rsidR="0000686B" w:rsidRPr="0029756E" w:rsidRDefault="0000686B" w:rsidP="00136551">
            <w:pPr>
              <w:spacing w:before="60" w:after="60"/>
              <w:jc w:val="left"/>
              <w:rPr>
                <w:rFonts w:asciiTheme="minorHAnsi" w:hAnsiTheme="minorHAnsi"/>
                <w:b/>
                <w:i/>
                <w:color w:val="000000"/>
                <w:u w:val="single"/>
              </w:rPr>
            </w:pPr>
            <w:r w:rsidRPr="0029756E">
              <w:rPr>
                <w:rFonts w:asciiTheme="minorHAnsi" w:hAnsiTheme="minorHAnsi"/>
              </w:rPr>
              <w:t>Yes, unconditionally^</w:t>
            </w:r>
          </w:p>
        </w:tc>
      </w:tr>
      <w:tr w:rsidR="0000686B" w:rsidTr="00847F3C">
        <w:tc>
          <w:tcPr>
            <w:tcW w:w="3003" w:type="dxa"/>
          </w:tcPr>
          <w:p w:rsidR="0000686B" w:rsidRPr="0029756E" w:rsidRDefault="0000686B" w:rsidP="00136551">
            <w:pPr>
              <w:spacing w:before="60" w:after="0" w:line="0" w:lineRule="atLeast"/>
              <w:jc w:val="left"/>
              <w:rPr>
                <w:rFonts w:asciiTheme="minorHAnsi" w:hAnsiTheme="minorHAnsi"/>
                <w:b/>
                <w:i/>
                <w:color w:val="000000"/>
                <w:u w:val="single"/>
              </w:rPr>
            </w:pPr>
            <w:r w:rsidRPr="0029756E">
              <w:rPr>
                <w:rFonts w:asciiTheme="minorHAnsi" w:hAnsiTheme="minorHAnsi"/>
              </w:rPr>
              <w:t>Systolic blood pressure ≥180 mmHg or diastolic blood pressure ≥110 mmHg</w:t>
            </w:r>
          </w:p>
        </w:tc>
        <w:tc>
          <w:tcPr>
            <w:tcW w:w="3004" w:type="dxa"/>
          </w:tcPr>
          <w:p w:rsidR="0000686B" w:rsidRPr="0029756E" w:rsidRDefault="0000686B" w:rsidP="00136551">
            <w:pPr>
              <w:spacing w:before="60" w:after="0" w:line="0" w:lineRule="atLeast"/>
              <w:jc w:val="left"/>
              <w:rPr>
                <w:rFonts w:asciiTheme="minorHAnsi" w:hAnsiTheme="minorHAnsi"/>
                <w:b/>
                <w:i/>
                <w:color w:val="000000"/>
                <w:u w:val="single"/>
              </w:rPr>
            </w:pPr>
            <w:r w:rsidRPr="0029756E">
              <w:rPr>
                <w:rFonts w:asciiTheme="minorHAnsi" w:hAnsiTheme="minorHAnsi"/>
              </w:rPr>
              <w:t>Patients with hypertension (without specified thresholds) need to meet the specified cholesterol level thresholds as in Table 2.4.</w:t>
            </w:r>
          </w:p>
        </w:tc>
        <w:tc>
          <w:tcPr>
            <w:tcW w:w="3004" w:type="dxa"/>
          </w:tcPr>
          <w:p w:rsidR="0000686B" w:rsidRPr="0029756E" w:rsidRDefault="0000686B" w:rsidP="00136551">
            <w:pPr>
              <w:spacing w:before="60" w:after="60"/>
              <w:jc w:val="left"/>
              <w:rPr>
                <w:rFonts w:asciiTheme="minorHAnsi" w:hAnsiTheme="minorHAnsi"/>
                <w:b/>
                <w:i/>
                <w:color w:val="000000"/>
                <w:u w:val="single"/>
              </w:rPr>
            </w:pPr>
            <w:r w:rsidRPr="0029756E">
              <w:rPr>
                <w:rFonts w:asciiTheme="minorHAnsi" w:hAnsiTheme="minorHAnsi"/>
              </w:rPr>
              <w:t>Yes, unconditionally</w:t>
            </w:r>
          </w:p>
        </w:tc>
      </w:tr>
      <w:tr w:rsidR="0000686B" w:rsidTr="00847F3C">
        <w:tc>
          <w:tcPr>
            <w:tcW w:w="3003" w:type="dxa"/>
          </w:tcPr>
          <w:p w:rsidR="0000686B" w:rsidRPr="0029756E" w:rsidRDefault="0000686B" w:rsidP="004B1768">
            <w:pPr>
              <w:spacing w:before="60" w:after="0" w:line="0" w:lineRule="atLeast"/>
              <w:jc w:val="left"/>
              <w:rPr>
                <w:rFonts w:asciiTheme="minorHAnsi" w:hAnsiTheme="minorHAnsi"/>
                <w:b/>
                <w:i/>
                <w:color w:val="000000"/>
                <w:u w:val="single"/>
              </w:rPr>
            </w:pPr>
            <w:r w:rsidRPr="0029756E">
              <w:rPr>
                <w:rFonts w:asciiTheme="minorHAnsi" w:hAnsiTheme="minorHAnsi"/>
              </w:rPr>
              <w:t>Serum total cholesterol &gt;7.5mmol/L</w:t>
            </w:r>
          </w:p>
        </w:tc>
        <w:tc>
          <w:tcPr>
            <w:tcW w:w="3004" w:type="dxa"/>
          </w:tcPr>
          <w:p w:rsidR="0000686B" w:rsidRPr="0029756E" w:rsidRDefault="0000686B" w:rsidP="00136551">
            <w:pPr>
              <w:spacing w:before="60" w:after="0" w:line="0" w:lineRule="atLeast"/>
              <w:jc w:val="left"/>
              <w:rPr>
                <w:rFonts w:asciiTheme="minorHAnsi" w:hAnsiTheme="minorHAnsi"/>
                <w:b/>
                <w:i/>
                <w:color w:val="000000"/>
                <w:u w:val="single"/>
              </w:rPr>
            </w:pPr>
            <w:r w:rsidRPr="0029756E">
              <w:rPr>
                <w:rFonts w:asciiTheme="minorHAnsi" w:hAnsiTheme="minorHAnsi"/>
              </w:rPr>
              <w:t>No, except for males aged 35-75 years and post-menopausal women Table 2.4.</w:t>
            </w:r>
          </w:p>
        </w:tc>
        <w:tc>
          <w:tcPr>
            <w:tcW w:w="3004" w:type="dxa"/>
          </w:tcPr>
          <w:p w:rsidR="0000686B" w:rsidRPr="0029756E" w:rsidRDefault="0000686B" w:rsidP="00136551">
            <w:pPr>
              <w:spacing w:before="60" w:after="60"/>
              <w:jc w:val="left"/>
              <w:rPr>
                <w:rFonts w:asciiTheme="minorHAnsi" w:hAnsiTheme="minorHAnsi"/>
                <w:b/>
                <w:i/>
                <w:color w:val="000000"/>
                <w:u w:val="single"/>
              </w:rPr>
            </w:pPr>
            <w:r w:rsidRPr="0029756E">
              <w:rPr>
                <w:rFonts w:asciiTheme="minorHAnsi" w:hAnsiTheme="minorHAnsi"/>
              </w:rPr>
              <w:t>Yes, unconditionally</w:t>
            </w:r>
          </w:p>
        </w:tc>
      </w:tr>
    </w:tbl>
    <w:p w:rsidR="0000686B" w:rsidRPr="00954B04" w:rsidRDefault="0000686B" w:rsidP="005A2287">
      <w:pPr>
        <w:spacing w:after="0" w:line="240" w:lineRule="auto"/>
        <w:rPr>
          <w:rFonts w:asciiTheme="minorHAnsi" w:hAnsiTheme="minorHAnsi"/>
          <w:sz w:val="20"/>
          <w:szCs w:val="20"/>
        </w:rPr>
      </w:pPr>
      <w:r w:rsidRPr="00C226DE">
        <w:rPr>
          <w:sz w:val="18"/>
          <w:szCs w:val="18"/>
        </w:rPr>
        <w:t>^</w:t>
      </w:r>
      <w:r w:rsidRPr="00954B04">
        <w:rPr>
          <w:rFonts w:asciiTheme="minorHAnsi" w:hAnsiTheme="minorHAnsi"/>
          <w:sz w:val="20"/>
          <w:szCs w:val="20"/>
        </w:rPr>
        <w:t>consistent with guidelines identification and management of familial hypercholesterolaemia (Table A2.1 in appendix)</w:t>
      </w:r>
    </w:p>
    <w:p w:rsidR="0000686B" w:rsidRPr="00954B04" w:rsidRDefault="0000686B" w:rsidP="005A2287">
      <w:pPr>
        <w:spacing w:line="240" w:lineRule="auto"/>
        <w:rPr>
          <w:rFonts w:asciiTheme="minorHAnsi" w:hAnsiTheme="minorHAnsi"/>
          <w:sz w:val="20"/>
          <w:szCs w:val="20"/>
        </w:rPr>
      </w:pPr>
      <w:r w:rsidRPr="00954B04">
        <w:rPr>
          <w:rFonts w:asciiTheme="minorHAnsi" w:hAnsiTheme="minorHAnsi"/>
          <w:sz w:val="20"/>
          <w:szCs w:val="20"/>
        </w:rPr>
        <w:t>Source: Table 2.2, p16 of the CPHR report</w:t>
      </w:r>
    </w:p>
    <w:p w:rsidR="0000686B" w:rsidRDefault="0000686B" w:rsidP="00920324">
      <w:pPr>
        <w:spacing w:line="240" w:lineRule="auto"/>
        <w:rPr>
          <w:rFonts w:asciiTheme="minorHAnsi" w:hAnsiTheme="minorHAnsi"/>
        </w:rPr>
      </w:pPr>
      <w:r w:rsidRPr="00910A11">
        <w:rPr>
          <w:rFonts w:asciiTheme="minorHAnsi" w:hAnsiTheme="minorHAnsi"/>
        </w:rPr>
        <w:lastRenderedPageBreak/>
        <w:t>There are small differences between the eligibility of patients for pharmacotherapy between the GSLLD and Australian guidelines for treatment. The effect of these differences has not been quantified, with one study indicating that it may not be substantial</w:t>
      </w:r>
      <w:r w:rsidR="00C454CC">
        <w:rPr>
          <w:rStyle w:val="EndnoteReference"/>
          <w:rFonts w:asciiTheme="minorHAnsi" w:hAnsiTheme="minorHAnsi"/>
        </w:rPr>
        <w:endnoteReference w:id="41"/>
      </w:r>
      <w:r w:rsidRPr="00910A11">
        <w:rPr>
          <w:rFonts w:asciiTheme="minorHAnsi" w:hAnsiTheme="minorHAnsi"/>
        </w:rPr>
        <w:t>. Th</w:t>
      </w:r>
      <w:r w:rsidR="00C454CC">
        <w:rPr>
          <w:rFonts w:asciiTheme="minorHAnsi" w:hAnsiTheme="minorHAnsi"/>
        </w:rPr>
        <w:t>is</w:t>
      </w:r>
      <w:r w:rsidRPr="00910A11">
        <w:rPr>
          <w:rFonts w:asciiTheme="minorHAnsi" w:hAnsiTheme="minorHAnsi"/>
        </w:rPr>
        <w:t xml:space="preserve"> study indicated that using individual factors to determine eligibility rather than the absolute risk calculator showed some under-treatment of high risk patients and some over</w:t>
      </w:r>
      <w:r>
        <w:rPr>
          <w:rFonts w:asciiTheme="minorHAnsi" w:hAnsiTheme="minorHAnsi"/>
        </w:rPr>
        <w:t>-</w:t>
      </w:r>
      <w:r w:rsidRPr="00910A11">
        <w:rPr>
          <w:rFonts w:asciiTheme="minorHAnsi" w:hAnsiTheme="minorHAnsi"/>
        </w:rPr>
        <w:t>treatment of lower risk patients.</w:t>
      </w:r>
    </w:p>
    <w:p w:rsidR="0000686B" w:rsidRPr="005715DF" w:rsidRDefault="003848A8">
      <w:pPr>
        <w:pStyle w:val="Heading2"/>
      </w:pPr>
      <w:bookmarkStart w:id="70" w:name="_Toc482176961"/>
      <w:r>
        <w:t>2.</w:t>
      </w:r>
      <w:r w:rsidR="0000686B">
        <w:t>3</w:t>
      </w:r>
      <w:r w:rsidR="0000686B" w:rsidRPr="005715DF">
        <w:t xml:space="preserve"> Key issues raised </w:t>
      </w:r>
      <w:r w:rsidR="0000686B">
        <w:t xml:space="preserve">in </w:t>
      </w:r>
      <w:r w:rsidR="0000686B" w:rsidRPr="005715DF">
        <w:t xml:space="preserve">stakeholder submissions to the </w:t>
      </w:r>
      <w:r w:rsidR="0000686B">
        <w:t>R</w:t>
      </w:r>
      <w:r w:rsidR="0000686B" w:rsidRPr="005715DF">
        <w:t xml:space="preserve">eview and the </w:t>
      </w:r>
      <w:r w:rsidR="0000686B">
        <w:t xml:space="preserve">stakeholder </w:t>
      </w:r>
      <w:r w:rsidR="0000686B" w:rsidRPr="005715DF">
        <w:t>forum</w:t>
      </w:r>
      <w:bookmarkEnd w:id="70"/>
    </w:p>
    <w:p w:rsidR="0000686B" w:rsidRDefault="0000686B" w:rsidP="005A2287">
      <w:pPr>
        <w:spacing w:line="240" w:lineRule="auto"/>
        <w:rPr>
          <w:rFonts w:asciiTheme="minorHAnsi" w:hAnsiTheme="minorHAnsi"/>
          <w:b/>
        </w:rPr>
      </w:pPr>
      <w:r w:rsidRPr="00C46FCF">
        <w:rPr>
          <w:rFonts w:asciiTheme="minorHAnsi" w:hAnsiTheme="minorHAnsi"/>
        </w:rPr>
        <w:t xml:space="preserve">Details of the submissions to the Review and </w:t>
      </w:r>
      <w:r>
        <w:rPr>
          <w:rFonts w:asciiTheme="minorHAnsi" w:hAnsiTheme="minorHAnsi"/>
        </w:rPr>
        <w:t xml:space="preserve">responses to </w:t>
      </w:r>
      <w:r w:rsidRPr="00C46FCF">
        <w:rPr>
          <w:rFonts w:asciiTheme="minorHAnsi" w:hAnsiTheme="minorHAnsi"/>
        </w:rPr>
        <w:t xml:space="preserve">the November 2016 </w:t>
      </w:r>
      <w:r>
        <w:rPr>
          <w:rFonts w:asciiTheme="minorHAnsi" w:hAnsiTheme="minorHAnsi"/>
        </w:rPr>
        <w:t>S</w:t>
      </w:r>
      <w:r w:rsidRPr="00C46FCF">
        <w:rPr>
          <w:rFonts w:asciiTheme="minorHAnsi" w:hAnsiTheme="minorHAnsi"/>
        </w:rPr>
        <w:t xml:space="preserve">takeholder </w:t>
      </w:r>
      <w:r>
        <w:rPr>
          <w:rFonts w:asciiTheme="minorHAnsi" w:hAnsiTheme="minorHAnsi"/>
        </w:rPr>
        <w:t>F</w:t>
      </w:r>
      <w:r w:rsidRPr="00C46FCF">
        <w:rPr>
          <w:rFonts w:asciiTheme="minorHAnsi" w:hAnsiTheme="minorHAnsi"/>
        </w:rPr>
        <w:t xml:space="preserve">orum </w:t>
      </w:r>
      <w:r>
        <w:rPr>
          <w:rFonts w:asciiTheme="minorHAnsi" w:hAnsiTheme="minorHAnsi"/>
        </w:rPr>
        <w:t xml:space="preserve">Outcome Statement </w:t>
      </w:r>
      <w:r w:rsidRPr="00C46FCF">
        <w:rPr>
          <w:rFonts w:asciiTheme="minorHAnsi" w:hAnsiTheme="minorHAnsi"/>
        </w:rPr>
        <w:t xml:space="preserve">are provided in </w:t>
      </w:r>
      <w:r w:rsidRPr="00C46FCF">
        <w:rPr>
          <w:rFonts w:asciiTheme="minorHAnsi" w:hAnsiTheme="minorHAnsi"/>
          <w:b/>
        </w:rPr>
        <w:t>A</w:t>
      </w:r>
      <w:r>
        <w:rPr>
          <w:rFonts w:asciiTheme="minorHAnsi" w:hAnsiTheme="minorHAnsi"/>
          <w:b/>
        </w:rPr>
        <w:t xml:space="preserve">ppendix F </w:t>
      </w:r>
      <w:r w:rsidRPr="00E6660E">
        <w:rPr>
          <w:rFonts w:asciiTheme="minorHAnsi" w:hAnsiTheme="minorHAnsi"/>
        </w:rPr>
        <w:t>and</w:t>
      </w:r>
      <w:r>
        <w:rPr>
          <w:rFonts w:asciiTheme="minorHAnsi" w:hAnsiTheme="minorHAnsi"/>
          <w:b/>
        </w:rPr>
        <w:t xml:space="preserve"> Appendix H</w:t>
      </w:r>
      <w:r w:rsidRPr="00C46FCF">
        <w:rPr>
          <w:rFonts w:asciiTheme="minorHAnsi" w:hAnsiTheme="minorHAnsi"/>
          <w:b/>
        </w:rPr>
        <w:t>.</w:t>
      </w:r>
    </w:p>
    <w:p w:rsidR="0000686B" w:rsidRPr="005936F5" w:rsidRDefault="003848A8" w:rsidP="005A2287">
      <w:pPr>
        <w:pStyle w:val="Heading3"/>
        <w:jc w:val="left"/>
      </w:pPr>
      <w:bookmarkStart w:id="71" w:name="_Toc482176962"/>
      <w:r>
        <w:t>2.</w:t>
      </w:r>
      <w:r w:rsidR="0000686B" w:rsidRPr="005936F5">
        <w:t xml:space="preserve">3.1 Submissions to the </w:t>
      </w:r>
      <w:r w:rsidR="005936F5" w:rsidRPr="005936F5">
        <w:t>Review Terms of Reference</w:t>
      </w:r>
      <w:bookmarkEnd w:id="71"/>
    </w:p>
    <w:p w:rsidR="0000686B" w:rsidRPr="00C32CA4" w:rsidRDefault="009405EA" w:rsidP="00920324">
      <w:pPr>
        <w:spacing w:line="240" w:lineRule="auto"/>
        <w:rPr>
          <w:rFonts w:asciiTheme="minorHAnsi" w:hAnsiTheme="minorHAnsi"/>
        </w:rPr>
      </w:pPr>
      <w:r>
        <w:rPr>
          <w:rFonts w:asciiTheme="minorHAnsi" w:hAnsiTheme="minorHAnsi"/>
        </w:rPr>
        <w:t xml:space="preserve">In the seven week public consultation </w:t>
      </w:r>
      <w:r w:rsidR="0000686B">
        <w:rPr>
          <w:rFonts w:asciiTheme="minorHAnsi" w:hAnsiTheme="minorHAnsi"/>
        </w:rPr>
        <w:t xml:space="preserve">held between 4 March and 22 April 2016 </w:t>
      </w:r>
      <w:r>
        <w:rPr>
          <w:rFonts w:asciiTheme="minorHAnsi" w:hAnsiTheme="minorHAnsi"/>
        </w:rPr>
        <w:t xml:space="preserve">stakeholders raised the following key points </w:t>
      </w:r>
      <w:r w:rsidR="0000686B">
        <w:rPr>
          <w:rFonts w:asciiTheme="minorHAnsi" w:hAnsiTheme="minorHAnsi"/>
        </w:rPr>
        <w:t>in relation to Term of Reference 2:</w:t>
      </w:r>
    </w:p>
    <w:p w:rsidR="0000686B" w:rsidRPr="00EB20FB" w:rsidRDefault="0000686B">
      <w:pPr>
        <w:pStyle w:val="ListParagraph"/>
        <w:numPr>
          <w:ilvl w:val="0"/>
          <w:numId w:val="8"/>
        </w:numPr>
        <w:spacing w:after="120" w:line="240" w:lineRule="auto"/>
        <w:ind w:left="714" w:hanging="357"/>
        <w:contextualSpacing w:val="0"/>
        <w:rPr>
          <w:rFonts w:asciiTheme="minorHAnsi" w:hAnsiTheme="minorHAnsi"/>
        </w:rPr>
      </w:pPr>
      <w:r w:rsidRPr="00EB20FB">
        <w:rPr>
          <w:rFonts w:asciiTheme="minorHAnsi" w:hAnsiTheme="minorHAnsi"/>
        </w:rPr>
        <w:t>Clinical management guidelines for reducing cardiovascular disease and its consequences include consideration of dyslipidaemia and other risk factors.</w:t>
      </w:r>
    </w:p>
    <w:p w:rsidR="0000686B" w:rsidRPr="00EB20FB" w:rsidRDefault="0000686B">
      <w:pPr>
        <w:pStyle w:val="ListParagraph"/>
        <w:numPr>
          <w:ilvl w:val="0"/>
          <w:numId w:val="8"/>
        </w:numPr>
        <w:spacing w:after="120" w:line="240" w:lineRule="auto"/>
        <w:ind w:left="714" w:hanging="357"/>
        <w:contextualSpacing w:val="0"/>
        <w:rPr>
          <w:rFonts w:asciiTheme="minorHAnsi" w:hAnsiTheme="minorHAnsi"/>
        </w:rPr>
      </w:pPr>
      <w:r w:rsidRPr="00EB20FB">
        <w:rPr>
          <w:rFonts w:asciiTheme="minorHAnsi" w:hAnsiTheme="minorHAnsi"/>
        </w:rPr>
        <w:t xml:space="preserve">LDL-C </w:t>
      </w:r>
      <w:r>
        <w:rPr>
          <w:rFonts w:asciiTheme="minorHAnsi" w:hAnsiTheme="minorHAnsi"/>
        </w:rPr>
        <w:t>is</w:t>
      </w:r>
      <w:r w:rsidRPr="00EB20FB">
        <w:rPr>
          <w:rFonts w:asciiTheme="minorHAnsi" w:hAnsiTheme="minorHAnsi"/>
        </w:rPr>
        <w:t xml:space="preserve"> increasingly recognised as the primary lipid treatment target</w:t>
      </w:r>
      <w:r>
        <w:rPr>
          <w:rFonts w:asciiTheme="minorHAnsi" w:hAnsiTheme="minorHAnsi"/>
        </w:rPr>
        <w:t xml:space="preserve"> in patients with high cardiovascular risk</w:t>
      </w:r>
      <w:r w:rsidRPr="00EB20FB">
        <w:rPr>
          <w:rFonts w:asciiTheme="minorHAnsi" w:hAnsiTheme="minorHAnsi"/>
        </w:rPr>
        <w:t>. LDL-C treatment targets to be achieved through pharmacotherapy have become progressively lower over time</w:t>
      </w:r>
      <w:r>
        <w:rPr>
          <w:rFonts w:asciiTheme="minorHAnsi" w:hAnsiTheme="minorHAnsi"/>
        </w:rPr>
        <w:t>.</w:t>
      </w:r>
    </w:p>
    <w:p w:rsidR="0000686B" w:rsidRPr="00EB20FB" w:rsidRDefault="0000686B">
      <w:pPr>
        <w:pStyle w:val="ListParagraph"/>
        <w:numPr>
          <w:ilvl w:val="0"/>
          <w:numId w:val="8"/>
        </w:numPr>
        <w:spacing w:after="120" w:line="240" w:lineRule="auto"/>
        <w:ind w:left="714" w:hanging="357"/>
        <w:contextualSpacing w:val="0"/>
        <w:rPr>
          <w:rFonts w:asciiTheme="minorHAnsi" w:hAnsiTheme="minorHAnsi"/>
        </w:rPr>
      </w:pPr>
      <w:r w:rsidRPr="00EB20FB">
        <w:rPr>
          <w:rFonts w:asciiTheme="minorHAnsi" w:hAnsiTheme="minorHAnsi"/>
        </w:rPr>
        <w:t xml:space="preserve">There may be differences between approaches to treatment in hospital and the community. The current guidelines are </w:t>
      </w:r>
      <w:r>
        <w:rPr>
          <w:rFonts w:asciiTheme="minorHAnsi" w:hAnsiTheme="minorHAnsi"/>
        </w:rPr>
        <w:t xml:space="preserve">generally </w:t>
      </w:r>
      <w:r w:rsidRPr="00EB20FB">
        <w:rPr>
          <w:rFonts w:asciiTheme="minorHAnsi" w:hAnsiTheme="minorHAnsi"/>
        </w:rPr>
        <w:t>consistent with the General Statement for lipid lowering drugs subsidised on the PBS.</w:t>
      </w:r>
    </w:p>
    <w:p w:rsidR="0000686B" w:rsidRDefault="0000686B" w:rsidP="005A2287">
      <w:pPr>
        <w:pStyle w:val="ListParagraph"/>
        <w:numPr>
          <w:ilvl w:val="0"/>
          <w:numId w:val="8"/>
        </w:numPr>
        <w:spacing w:after="120" w:line="240" w:lineRule="auto"/>
        <w:ind w:left="714" w:hanging="357"/>
        <w:contextualSpacing w:val="0"/>
      </w:pPr>
      <w:r w:rsidRPr="00590ECF">
        <w:rPr>
          <w:rFonts w:asciiTheme="minorHAnsi" w:hAnsiTheme="minorHAnsi"/>
        </w:rPr>
        <w:t xml:space="preserve">Some overseas guidelines, namely those from the American College of Cardiology and the American Heart Association, have been recently revised to recommend the additional use of non-statin cholesterol-lowering medicines such as ezetimibe to high risk patients who do not reach targets with statins alone. </w:t>
      </w:r>
    </w:p>
    <w:p w:rsidR="0000686B" w:rsidRPr="00204D95" w:rsidRDefault="003848A8" w:rsidP="005A2287">
      <w:pPr>
        <w:pStyle w:val="Heading3"/>
        <w:jc w:val="left"/>
      </w:pPr>
      <w:bookmarkStart w:id="72" w:name="_Toc482176963"/>
      <w:r>
        <w:t>2.</w:t>
      </w:r>
      <w:r w:rsidR="0000686B">
        <w:t>3.2</w:t>
      </w:r>
      <w:r w:rsidR="0000686B" w:rsidRPr="00204D95">
        <w:t xml:space="preserve"> Outcomes from the stakeholder forum</w:t>
      </w:r>
      <w:bookmarkEnd w:id="72"/>
    </w:p>
    <w:p w:rsidR="0000686B" w:rsidRPr="00590ECF" w:rsidRDefault="0000686B" w:rsidP="00920324">
      <w:pPr>
        <w:spacing w:line="240" w:lineRule="auto"/>
        <w:rPr>
          <w:rFonts w:asciiTheme="minorHAnsi" w:hAnsiTheme="minorHAnsi"/>
        </w:rPr>
      </w:pPr>
      <w:r>
        <w:rPr>
          <w:rFonts w:asciiTheme="minorHAnsi" w:hAnsiTheme="minorHAnsi"/>
        </w:rPr>
        <w:t>In the stakeholder forum, t</w:t>
      </w:r>
      <w:r w:rsidRPr="00590ECF">
        <w:rPr>
          <w:rFonts w:asciiTheme="minorHAnsi" w:hAnsiTheme="minorHAnsi"/>
        </w:rPr>
        <w:t xml:space="preserve">he </w:t>
      </w:r>
      <w:r>
        <w:rPr>
          <w:rFonts w:asciiTheme="minorHAnsi" w:hAnsiTheme="minorHAnsi"/>
        </w:rPr>
        <w:t>R</w:t>
      </w:r>
      <w:r w:rsidRPr="00590ECF">
        <w:rPr>
          <w:rFonts w:asciiTheme="minorHAnsi" w:hAnsiTheme="minorHAnsi"/>
        </w:rPr>
        <w:t xml:space="preserve">eference Group was </w:t>
      </w:r>
      <w:r>
        <w:rPr>
          <w:rFonts w:asciiTheme="minorHAnsi" w:hAnsiTheme="minorHAnsi"/>
        </w:rPr>
        <w:t>interested in stakeholders’ views on why ezetimibe should be positioned as second line therapy through PBS restrictions. A recent systematic review and meta-analysis (Silverman et al</w:t>
      </w:r>
      <w:r w:rsidR="00203087">
        <w:rPr>
          <w:rStyle w:val="EndnoteReference"/>
          <w:rFonts w:asciiTheme="minorHAnsi" w:hAnsiTheme="minorHAnsi"/>
        </w:rPr>
        <w:endnoteReference w:id="42"/>
      </w:r>
      <w:r w:rsidR="00203087">
        <w:rPr>
          <w:rFonts w:asciiTheme="minorHAnsi" w:hAnsiTheme="minorHAnsi"/>
        </w:rPr>
        <w:t>)</w:t>
      </w:r>
      <w:r>
        <w:rPr>
          <w:rFonts w:asciiTheme="minorHAnsi" w:hAnsiTheme="minorHAnsi"/>
        </w:rPr>
        <w:t xml:space="preserve"> suggests that </w:t>
      </w:r>
      <w:r w:rsidRPr="00590ECF">
        <w:rPr>
          <w:rFonts w:asciiTheme="minorHAnsi" w:hAnsiTheme="minorHAnsi"/>
        </w:rPr>
        <w:t>the order of lipid lowering therapy used to achieve a reduction in LDL-C is not important in reducing patients’ risk of cardiovascular events.</w:t>
      </w:r>
      <w:r>
        <w:rPr>
          <w:rFonts w:asciiTheme="minorHAnsi" w:hAnsiTheme="minorHAnsi"/>
        </w:rPr>
        <w:t xml:space="preserve"> </w:t>
      </w:r>
      <w:r w:rsidRPr="00590ECF">
        <w:rPr>
          <w:rFonts w:asciiTheme="minorHAnsi" w:hAnsiTheme="minorHAnsi"/>
        </w:rPr>
        <w:t>Comments made by participants in relation to this question included:</w:t>
      </w:r>
    </w:p>
    <w:p w:rsidR="0000686B" w:rsidRPr="00B4717A" w:rsidRDefault="0000686B" w:rsidP="00920324">
      <w:pPr>
        <w:pStyle w:val="ListBullet"/>
        <w:spacing w:before="0" w:after="120" w:line="240" w:lineRule="auto"/>
        <w:jc w:val="both"/>
        <w:rPr>
          <w:rFonts w:eastAsiaTheme="minorHAnsi" w:cstheme="minorBidi"/>
          <w:sz w:val="24"/>
          <w:lang w:eastAsia="en-US"/>
        </w:rPr>
      </w:pPr>
      <w:r w:rsidRPr="00B4717A">
        <w:rPr>
          <w:rFonts w:eastAsiaTheme="minorHAnsi" w:cstheme="minorBidi"/>
          <w:sz w:val="24"/>
          <w:lang w:eastAsia="en-US"/>
        </w:rPr>
        <w:t>its use is supported by internationally-accepted standards and guidelines</w:t>
      </w:r>
    </w:p>
    <w:p w:rsidR="0000686B" w:rsidRPr="00B4717A" w:rsidRDefault="0000686B">
      <w:pPr>
        <w:pStyle w:val="ListBullet"/>
        <w:spacing w:before="0" w:after="120" w:line="240" w:lineRule="auto"/>
        <w:jc w:val="both"/>
        <w:rPr>
          <w:rFonts w:eastAsiaTheme="minorHAnsi" w:cstheme="minorBidi"/>
          <w:sz w:val="24"/>
          <w:lang w:eastAsia="en-US"/>
        </w:rPr>
      </w:pPr>
      <w:r w:rsidRPr="00EA5381">
        <w:rPr>
          <w:rFonts w:eastAsiaTheme="minorHAnsi" w:cstheme="minorBidi"/>
          <w:sz w:val="24"/>
          <w:lang w:eastAsia="en-US"/>
        </w:rPr>
        <w:t>the Silverman et al.</w:t>
      </w:r>
      <w:r w:rsidR="004A06F1" w:rsidRPr="00EA5381">
        <w:rPr>
          <w:rStyle w:val="EndnoteReference"/>
          <w:rFonts w:eastAsiaTheme="minorHAnsi" w:cstheme="minorBidi"/>
          <w:sz w:val="24"/>
          <w:lang w:eastAsia="en-US"/>
        </w:rPr>
        <w:endnoteReference w:id="43"/>
      </w:r>
      <w:r w:rsidRPr="00EA5381">
        <w:rPr>
          <w:rFonts w:eastAsiaTheme="minorHAnsi" w:cstheme="minorBidi"/>
          <w:sz w:val="24"/>
          <w:lang w:eastAsia="en-US"/>
        </w:rPr>
        <w:t xml:space="preserve"> paper showed that lowering LDL–C resulted in a</w:t>
      </w:r>
      <w:r w:rsidRPr="00B4717A">
        <w:rPr>
          <w:rFonts w:eastAsiaTheme="minorHAnsi" w:cstheme="minorBidi"/>
          <w:sz w:val="24"/>
          <w:lang w:eastAsia="en-US"/>
        </w:rPr>
        <w:t xml:space="preserve"> greater reduction of risk</w:t>
      </w:r>
      <w:r>
        <w:rPr>
          <w:rFonts w:eastAsiaTheme="minorHAnsi" w:cstheme="minorBidi"/>
          <w:sz w:val="24"/>
          <w:lang w:eastAsia="en-US"/>
        </w:rPr>
        <w:t>;</w:t>
      </w:r>
      <w:r w:rsidRPr="00B4717A">
        <w:rPr>
          <w:rFonts w:eastAsiaTheme="minorHAnsi" w:cstheme="minorBidi"/>
          <w:sz w:val="24"/>
          <w:lang w:eastAsia="en-US"/>
        </w:rPr>
        <w:t xml:space="preserve"> it did not discuss the ordering of these </w:t>
      </w:r>
      <w:r>
        <w:rPr>
          <w:rFonts w:eastAsiaTheme="minorHAnsi" w:cstheme="minorBidi"/>
          <w:sz w:val="24"/>
          <w:lang w:eastAsia="en-US"/>
        </w:rPr>
        <w:t xml:space="preserve">medicines used in treatment </w:t>
      </w:r>
    </w:p>
    <w:p w:rsidR="0000686B" w:rsidRPr="00B4717A" w:rsidRDefault="0000686B">
      <w:pPr>
        <w:pStyle w:val="ListBullet"/>
        <w:spacing w:before="0" w:after="120" w:line="240" w:lineRule="auto"/>
        <w:jc w:val="both"/>
        <w:rPr>
          <w:rFonts w:eastAsiaTheme="minorHAnsi" w:cstheme="minorBidi"/>
          <w:sz w:val="24"/>
          <w:lang w:eastAsia="en-US"/>
        </w:rPr>
      </w:pPr>
      <w:r w:rsidRPr="00B4717A">
        <w:rPr>
          <w:rFonts w:eastAsiaTheme="minorHAnsi" w:cstheme="minorBidi"/>
          <w:sz w:val="24"/>
          <w:lang w:eastAsia="en-US"/>
        </w:rPr>
        <w:lastRenderedPageBreak/>
        <w:t>recent E</w:t>
      </w:r>
      <w:r>
        <w:rPr>
          <w:rFonts w:eastAsiaTheme="minorHAnsi" w:cstheme="minorBidi"/>
          <w:sz w:val="24"/>
          <w:lang w:eastAsia="en-US"/>
        </w:rPr>
        <w:t>uropean (EU)</w:t>
      </w:r>
      <w:r w:rsidRPr="00B4717A">
        <w:rPr>
          <w:rFonts w:eastAsiaTheme="minorHAnsi" w:cstheme="minorBidi"/>
          <w:sz w:val="24"/>
          <w:lang w:eastAsia="en-US"/>
        </w:rPr>
        <w:t xml:space="preserve"> and </w:t>
      </w:r>
      <w:r>
        <w:rPr>
          <w:rFonts w:eastAsiaTheme="minorHAnsi" w:cstheme="minorBidi"/>
          <w:sz w:val="24"/>
          <w:lang w:eastAsia="en-US"/>
        </w:rPr>
        <w:t>American</w:t>
      </w:r>
      <w:r w:rsidRPr="00B4717A">
        <w:rPr>
          <w:rFonts w:eastAsiaTheme="minorHAnsi" w:cstheme="minorBidi"/>
          <w:sz w:val="24"/>
          <w:lang w:eastAsia="en-US"/>
        </w:rPr>
        <w:t xml:space="preserve"> </w:t>
      </w:r>
      <w:r>
        <w:rPr>
          <w:rFonts w:eastAsiaTheme="minorHAnsi" w:cstheme="minorBidi"/>
          <w:sz w:val="24"/>
          <w:lang w:eastAsia="en-US"/>
        </w:rPr>
        <w:t xml:space="preserve">(USA) </w:t>
      </w:r>
      <w:r w:rsidRPr="00B4717A">
        <w:rPr>
          <w:rFonts w:eastAsiaTheme="minorHAnsi" w:cstheme="minorBidi"/>
          <w:sz w:val="24"/>
          <w:lang w:eastAsia="en-US"/>
        </w:rPr>
        <w:t>guidelines promoting the current hierarchy in treatment</w:t>
      </w:r>
      <w:r>
        <w:rPr>
          <w:rFonts w:eastAsiaTheme="minorHAnsi" w:cstheme="minorBidi"/>
          <w:sz w:val="24"/>
          <w:lang w:eastAsia="en-US"/>
        </w:rPr>
        <w:t xml:space="preserve"> – that is, ezetimibe used as second line therapy – </w:t>
      </w:r>
      <w:r w:rsidRPr="00B4717A">
        <w:rPr>
          <w:rFonts w:eastAsiaTheme="minorHAnsi" w:cstheme="minorBidi"/>
          <w:sz w:val="24"/>
          <w:lang w:eastAsia="en-US"/>
        </w:rPr>
        <w:t>have also been supported by other papers</w:t>
      </w:r>
    </w:p>
    <w:p w:rsidR="0000686B" w:rsidRPr="00B4717A" w:rsidRDefault="0000686B">
      <w:pPr>
        <w:pStyle w:val="ListBullet"/>
        <w:spacing w:before="0" w:after="120" w:line="240" w:lineRule="auto"/>
        <w:jc w:val="both"/>
        <w:rPr>
          <w:rFonts w:eastAsiaTheme="minorHAnsi" w:cstheme="minorBidi"/>
          <w:sz w:val="24"/>
          <w:lang w:eastAsia="en-US"/>
        </w:rPr>
      </w:pPr>
      <w:r w:rsidRPr="00B4717A">
        <w:rPr>
          <w:rFonts w:eastAsiaTheme="minorHAnsi" w:cstheme="minorBidi"/>
          <w:sz w:val="24"/>
          <w:lang w:eastAsia="en-US"/>
        </w:rPr>
        <w:t>there is more confidence in the greater LDL-C lowering effect of statins than ezetimibe</w:t>
      </w:r>
    </w:p>
    <w:p w:rsidR="0000686B" w:rsidRPr="00B4717A" w:rsidRDefault="0000686B">
      <w:pPr>
        <w:pStyle w:val="ListBullet"/>
        <w:spacing w:before="0" w:after="120" w:line="240" w:lineRule="auto"/>
        <w:jc w:val="both"/>
        <w:rPr>
          <w:rFonts w:eastAsiaTheme="minorHAnsi" w:cstheme="minorBidi"/>
          <w:sz w:val="24"/>
          <w:lang w:eastAsia="en-US"/>
        </w:rPr>
      </w:pPr>
      <w:r w:rsidRPr="00B4717A">
        <w:rPr>
          <w:rFonts w:eastAsiaTheme="minorHAnsi" w:cstheme="minorBidi"/>
          <w:sz w:val="24"/>
          <w:lang w:eastAsia="en-US"/>
        </w:rPr>
        <w:t>ezetimibe as a second line therapy may be justified due to the significant reductions in the price of statins, resulting in ezetimibe’s price, relative to statin therapy, being higher than at the time of initial listing.</w:t>
      </w:r>
    </w:p>
    <w:p w:rsidR="0000686B" w:rsidRPr="00204D95" w:rsidRDefault="0000686B">
      <w:pPr>
        <w:spacing w:line="240" w:lineRule="auto"/>
        <w:rPr>
          <w:rFonts w:asciiTheme="minorHAnsi" w:hAnsiTheme="minorHAnsi"/>
          <w:szCs w:val="24"/>
        </w:rPr>
      </w:pPr>
      <w:r w:rsidRPr="00204D95">
        <w:rPr>
          <w:rFonts w:asciiTheme="minorHAnsi" w:hAnsiTheme="minorHAnsi"/>
          <w:szCs w:val="24"/>
        </w:rPr>
        <w:t>Participants were asked whether the General Statement for Lipid-Lowering Drugs is still relevant and if so</w:t>
      </w:r>
      <w:r>
        <w:rPr>
          <w:rFonts w:asciiTheme="minorHAnsi" w:hAnsiTheme="minorHAnsi"/>
          <w:szCs w:val="24"/>
        </w:rPr>
        <w:t>,</w:t>
      </w:r>
      <w:r w:rsidRPr="00204D95">
        <w:rPr>
          <w:rFonts w:asciiTheme="minorHAnsi" w:hAnsiTheme="minorHAnsi"/>
          <w:szCs w:val="24"/>
        </w:rPr>
        <w:t xml:space="preserve"> should it be revised. Participants noted that while the General Statement did not explicitly refer to ezetimibe, it did cross-reference the ezetimibe PBS restrictions, and the PBS restrictions do not fully reflect prescribing practice. While it was suggested that the General Statement remains relevant, it was </w:t>
      </w:r>
      <w:r>
        <w:rPr>
          <w:rFonts w:asciiTheme="minorHAnsi" w:hAnsiTheme="minorHAnsi"/>
          <w:szCs w:val="24"/>
        </w:rPr>
        <w:t xml:space="preserve">further </w:t>
      </w:r>
      <w:r w:rsidRPr="00204D95">
        <w:rPr>
          <w:rFonts w:asciiTheme="minorHAnsi" w:hAnsiTheme="minorHAnsi"/>
          <w:szCs w:val="24"/>
        </w:rPr>
        <w:t xml:space="preserve">noted that </w:t>
      </w:r>
      <w:r w:rsidRPr="00B56527">
        <w:rPr>
          <w:rFonts w:asciiTheme="minorHAnsi" w:hAnsiTheme="minorHAnsi"/>
          <w:szCs w:val="24"/>
        </w:rPr>
        <w:t xml:space="preserve">PBS restrictions are based on the outcomes of the PBAC’s cost-effectiveness deliberations (which is a legislative requirement of the </w:t>
      </w:r>
      <w:r w:rsidRPr="00B56527">
        <w:rPr>
          <w:rFonts w:asciiTheme="minorHAnsi" w:hAnsiTheme="minorHAnsi"/>
          <w:i/>
          <w:szCs w:val="24"/>
        </w:rPr>
        <w:t>National Health Act 1953</w:t>
      </w:r>
      <w:r w:rsidRPr="00B56527">
        <w:rPr>
          <w:rFonts w:asciiTheme="minorHAnsi" w:hAnsiTheme="minorHAnsi"/>
          <w:szCs w:val="24"/>
        </w:rPr>
        <w:t>).</w:t>
      </w:r>
      <w:r w:rsidRPr="007D23B5">
        <w:rPr>
          <w:rFonts w:asciiTheme="minorHAnsi" w:hAnsiTheme="minorHAnsi"/>
          <w:szCs w:val="24"/>
        </w:rPr>
        <w:t xml:space="preserve"> This can result in some differences between PBS restrictions and clinical guidel</w:t>
      </w:r>
      <w:r w:rsidRPr="00B56527">
        <w:rPr>
          <w:rFonts w:asciiTheme="minorHAnsi" w:hAnsiTheme="minorHAnsi"/>
          <w:szCs w:val="24"/>
        </w:rPr>
        <w:t>ines. Some participants commented that the General Statement is complicated and revision may be beneficial.</w:t>
      </w:r>
    </w:p>
    <w:p w:rsidR="0000686B" w:rsidRDefault="0000686B">
      <w:pPr>
        <w:spacing w:line="240" w:lineRule="auto"/>
        <w:rPr>
          <w:rStyle w:val="Hyperlink"/>
          <w:rFonts w:asciiTheme="minorHAnsi" w:hAnsiTheme="minorHAnsi" w:cs="Times New Roman"/>
          <w:sz w:val="22"/>
          <w:szCs w:val="24"/>
          <w:lang w:eastAsia="en-AU"/>
        </w:rPr>
      </w:pPr>
      <w:r w:rsidRPr="00204D95">
        <w:rPr>
          <w:rFonts w:asciiTheme="minorHAnsi" w:hAnsiTheme="minorHAnsi"/>
          <w:szCs w:val="24"/>
        </w:rPr>
        <w:t xml:space="preserve">Stakeholder responses to the Stakeholder Forum Outcome Statement are available </w:t>
      </w:r>
      <w:hyperlink r:id="rId21" w:history="1">
        <w:r w:rsidRPr="00E356D6">
          <w:rPr>
            <w:rStyle w:val="Hyperlink"/>
            <w:rFonts w:asciiTheme="minorHAnsi" w:hAnsiTheme="minorHAnsi"/>
            <w:szCs w:val="24"/>
          </w:rPr>
          <w:t>here</w:t>
        </w:r>
      </w:hyperlink>
    </w:p>
    <w:p w:rsidR="0000686B" w:rsidRPr="005936F5" w:rsidRDefault="003848A8" w:rsidP="005A2287">
      <w:pPr>
        <w:pStyle w:val="Heading3"/>
        <w:jc w:val="left"/>
      </w:pPr>
      <w:bookmarkStart w:id="73" w:name="_Toc482176964"/>
      <w:r>
        <w:rPr>
          <w:highlight w:val="yellow"/>
        </w:rPr>
        <w:t>2.</w:t>
      </w:r>
      <w:r w:rsidR="0000686B" w:rsidRPr="005936F5">
        <w:rPr>
          <w:highlight w:val="yellow"/>
        </w:rPr>
        <w:t>3.3 Stakeholder submissions to the draft Report</w:t>
      </w:r>
      <w:bookmarkEnd w:id="73"/>
    </w:p>
    <w:p w:rsidR="0000686B" w:rsidRPr="00E1330E" w:rsidRDefault="0000686B" w:rsidP="00920324">
      <w:pPr>
        <w:spacing w:line="240" w:lineRule="auto"/>
        <w:rPr>
          <w:rFonts w:asciiTheme="minorHAnsi" w:hAnsiTheme="minorHAnsi"/>
          <w:szCs w:val="24"/>
          <w:highlight w:val="yellow"/>
        </w:rPr>
      </w:pPr>
      <w:r w:rsidRPr="00E1330E">
        <w:rPr>
          <w:rFonts w:asciiTheme="minorHAnsi" w:hAnsiTheme="minorHAnsi"/>
          <w:szCs w:val="24"/>
          <w:highlight w:val="yellow"/>
        </w:rPr>
        <w:t>Stakeholders raised the following points in their responses to the draft Report provided on the PMR website from 30 January to 10 February 2017.</w:t>
      </w:r>
    </w:p>
    <w:p w:rsidR="0000686B" w:rsidRPr="00E1330E" w:rsidRDefault="0000686B">
      <w:pPr>
        <w:pStyle w:val="ListParagraph"/>
        <w:numPr>
          <w:ilvl w:val="0"/>
          <w:numId w:val="25"/>
        </w:numPr>
        <w:spacing w:line="240" w:lineRule="auto"/>
        <w:rPr>
          <w:rFonts w:asciiTheme="minorHAnsi" w:hAnsiTheme="minorHAnsi"/>
          <w:szCs w:val="24"/>
          <w:highlight w:val="yellow"/>
        </w:rPr>
      </w:pPr>
      <w:r w:rsidRPr="00E1330E">
        <w:rPr>
          <w:rFonts w:asciiTheme="minorHAnsi" w:hAnsiTheme="minorHAnsi"/>
          <w:szCs w:val="24"/>
          <w:highlight w:val="yellow"/>
        </w:rPr>
        <w:t xml:space="preserve">Ezetimibe has an established and important role in clinical practice. Ezetimibe remains essential for treating patients who are unable to tolerate increasing doses of statins, have high base-line cardiovascular event risk or are unable to take statins at all. </w:t>
      </w:r>
    </w:p>
    <w:p w:rsidR="0000686B" w:rsidRPr="00E1330E" w:rsidRDefault="0000686B">
      <w:pPr>
        <w:pStyle w:val="ListParagraph"/>
        <w:numPr>
          <w:ilvl w:val="0"/>
          <w:numId w:val="25"/>
        </w:numPr>
        <w:spacing w:line="240" w:lineRule="auto"/>
        <w:rPr>
          <w:rFonts w:asciiTheme="minorHAnsi" w:hAnsiTheme="minorHAnsi"/>
          <w:szCs w:val="24"/>
          <w:highlight w:val="yellow"/>
        </w:rPr>
      </w:pPr>
      <w:r w:rsidRPr="00E1330E">
        <w:rPr>
          <w:rFonts w:asciiTheme="minorHAnsi" w:hAnsiTheme="minorHAnsi"/>
          <w:szCs w:val="24"/>
          <w:highlight w:val="yellow"/>
        </w:rPr>
        <w:t>A number of submissions expressed approval at reducing ezetimibe to restricted benefit but one submission considered authority required remains appropriate to support the place of ezetimibe as second line therapy.</w:t>
      </w:r>
    </w:p>
    <w:p w:rsidR="0000686B" w:rsidRPr="00E1330E" w:rsidRDefault="0000686B">
      <w:pPr>
        <w:pStyle w:val="ListParagraph"/>
        <w:numPr>
          <w:ilvl w:val="0"/>
          <w:numId w:val="25"/>
        </w:numPr>
        <w:spacing w:line="240" w:lineRule="auto"/>
        <w:rPr>
          <w:rFonts w:asciiTheme="minorHAnsi" w:hAnsiTheme="minorHAnsi"/>
          <w:szCs w:val="24"/>
          <w:highlight w:val="yellow"/>
        </w:rPr>
      </w:pPr>
      <w:r w:rsidRPr="00E1330E">
        <w:rPr>
          <w:rFonts w:asciiTheme="minorHAnsi" w:hAnsiTheme="minorHAnsi"/>
          <w:szCs w:val="24"/>
          <w:highlight w:val="yellow"/>
        </w:rPr>
        <w:t>The PBS General Statement for Lipid Lowering Therapies should be removed for statins.</w:t>
      </w:r>
    </w:p>
    <w:p w:rsidR="0000686B" w:rsidRPr="00910A11" w:rsidRDefault="003848A8" w:rsidP="005A2287">
      <w:pPr>
        <w:pStyle w:val="Heading2"/>
      </w:pPr>
      <w:bookmarkStart w:id="74" w:name="_Toc482176965"/>
      <w:r>
        <w:t>2.</w:t>
      </w:r>
      <w:r w:rsidR="0000686B" w:rsidRPr="00910A11">
        <w:t>4</w:t>
      </w:r>
      <w:r w:rsidR="0000686B" w:rsidRPr="00910A11">
        <w:tab/>
      </w:r>
      <w:r w:rsidR="0000686B" w:rsidRPr="008810FB">
        <w:t>Reference</w:t>
      </w:r>
      <w:r w:rsidR="0000686B" w:rsidRPr="00910A11">
        <w:t xml:space="preserve"> Group </w:t>
      </w:r>
      <w:r w:rsidR="005936F5">
        <w:t>Consideration</w:t>
      </w:r>
      <w:bookmarkEnd w:id="74"/>
    </w:p>
    <w:p w:rsidR="0000686B" w:rsidRDefault="0000686B" w:rsidP="00920324">
      <w:pPr>
        <w:spacing w:line="240" w:lineRule="auto"/>
        <w:rPr>
          <w:rFonts w:asciiTheme="minorHAnsi" w:hAnsiTheme="minorHAnsi"/>
        </w:rPr>
      </w:pPr>
      <w:r>
        <w:rPr>
          <w:rFonts w:asciiTheme="minorHAnsi" w:hAnsiTheme="minorHAnsi"/>
        </w:rPr>
        <w:t xml:space="preserve">The Reference Group noted that all current treatment Guidelines for management of hypercholesterolaemia </w:t>
      </w:r>
      <w:r w:rsidRPr="00204D95">
        <w:rPr>
          <w:rFonts w:asciiTheme="minorHAnsi" w:hAnsiTheme="minorHAnsi"/>
        </w:rPr>
        <w:t xml:space="preserve">recommend the use of statins as first line pharmacotherapy to lower LDL-C </w:t>
      </w:r>
      <w:r w:rsidRPr="00484B00">
        <w:rPr>
          <w:rFonts w:asciiTheme="minorHAnsi" w:hAnsiTheme="minorHAnsi"/>
          <w:highlight w:val="yellow"/>
        </w:rPr>
        <w:t>concentrations.</w:t>
      </w:r>
      <w:r>
        <w:rPr>
          <w:rFonts w:asciiTheme="minorHAnsi" w:hAnsiTheme="minorHAnsi"/>
        </w:rPr>
        <w:t xml:space="preserve"> Two guidelines released in 2016 continue to support this approach: </w:t>
      </w:r>
    </w:p>
    <w:p w:rsidR="0000686B" w:rsidRPr="00BB2AB8" w:rsidRDefault="0000686B">
      <w:pPr>
        <w:pStyle w:val="ListParagraph"/>
        <w:numPr>
          <w:ilvl w:val="0"/>
          <w:numId w:val="23"/>
        </w:numPr>
        <w:spacing w:after="120" w:line="240" w:lineRule="auto"/>
        <w:contextualSpacing w:val="0"/>
        <w:rPr>
          <w:rFonts w:asciiTheme="minorHAnsi" w:hAnsiTheme="minorHAnsi"/>
        </w:rPr>
      </w:pPr>
      <w:r w:rsidRPr="00BB2AB8">
        <w:rPr>
          <w:rFonts w:asciiTheme="minorHAnsi" w:hAnsiTheme="minorHAnsi"/>
        </w:rPr>
        <w:t xml:space="preserve">2016 </w:t>
      </w:r>
      <w:r>
        <w:rPr>
          <w:rFonts w:asciiTheme="minorHAnsi" w:hAnsiTheme="minorHAnsi"/>
        </w:rPr>
        <w:t>American College of Cardiology (</w:t>
      </w:r>
      <w:r w:rsidRPr="00BB2AB8">
        <w:rPr>
          <w:rFonts w:asciiTheme="minorHAnsi" w:hAnsiTheme="minorHAnsi"/>
        </w:rPr>
        <w:t>ACC</w:t>
      </w:r>
      <w:r>
        <w:rPr>
          <w:rFonts w:asciiTheme="minorHAnsi" w:hAnsiTheme="minorHAnsi"/>
        </w:rPr>
        <w:t>)</w:t>
      </w:r>
      <w:r w:rsidRPr="00BB2AB8">
        <w:rPr>
          <w:rFonts w:asciiTheme="minorHAnsi" w:hAnsiTheme="minorHAnsi"/>
        </w:rPr>
        <w:t xml:space="preserve"> Expert Consensus Decision Pathway on the Role of Non-Statin Therapies for LDL-Cholesterol Lowering in the Management of Atherosclerotic Cardiovascular Disease Risk </w:t>
      </w:r>
    </w:p>
    <w:p w:rsidR="0000686B" w:rsidRPr="00BB2AB8" w:rsidRDefault="0000686B">
      <w:pPr>
        <w:pStyle w:val="ListParagraph"/>
        <w:numPr>
          <w:ilvl w:val="0"/>
          <w:numId w:val="23"/>
        </w:numPr>
        <w:spacing w:after="120" w:line="240" w:lineRule="auto"/>
        <w:contextualSpacing w:val="0"/>
        <w:rPr>
          <w:rFonts w:asciiTheme="minorHAnsi" w:hAnsiTheme="minorHAnsi"/>
        </w:rPr>
      </w:pPr>
      <w:r w:rsidRPr="00BB2AB8">
        <w:rPr>
          <w:rFonts w:asciiTheme="minorHAnsi" w:hAnsiTheme="minorHAnsi"/>
        </w:rPr>
        <w:lastRenderedPageBreak/>
        <w:t xml:space="preserve">2016 </w:t>
      </w:r>
      <w:r>
        <w:rPr>
          <w:rFonts w:asciiTheme="minorHAnsi" w:hAnsiTheme="minorHAnsi"/>
        </w:rPr>
        <w:t xml:space="preserve">European Society of Cardiology </w:t>
      </w:r>
      <w:r w:rsidRPr="00BB2AB8">
        <w:rPr>
          <w:rFonts w:asciiTheme="minorHAnsi" w:hAnsiTheme="minorHAnsi"/>
        </w:rPr>
        <w:t>/</w:t>
      </w:r>
      <w:r>
        <w:rPr>
          <w:rFonts w:asciiTheme="minorHAnsi" w:hAnsiTheme="minorHAnsi"/>
        </w:rPr>
        <w:t xml:space="preserve"> European Atherosclerosis Society (</w:t>
      </w:r>
      <w:r w:rsidRPr="00BB2AB8">
        <w:rPr>
          <w:rFonts w:asciiTheme="minorHAnsi" w:hAnsiTheme="minorHAnsi"/>
        </w:rPr>
        <w:t>EAS</w:t>
      </w:r>
      <w:r>
        <w:rPr>
          <w:rFonts w:asciiTheme="minorHAnsi" w:hAnsiTheme="minorHAnsi"/>
        </w:rPr>
        <w:t>)</w:t>
      </w:r>
      <w:r w:rsidRPr="00BB2AB8">
        <w:rPr>
          <w:rFonts w:asciiTheme="minorHAnsi" w:hAnsiTheme="minorHAnsi"/>
        </w:rPr>
        <w:t xml:space="preserve"> Guidelines for the Management of Dyslipidaemias </w:t>
      </w:r>
    </w:p>
    <w:p w:rsidR="0000686B" w:rsidRPr="00204D95" w:rsidRDefault="0000686B">
      <w:pPr>
        <w:pStyle w:val="Default"/>
        <w:spacing w:after="200"/>
        <w:jc w:val="both"/>
        <w:rPr>
          <w:rFonts w:asciiTheme="minorHAnsi" w:eastAsiaTheme="minorHAnsi" w:hAnsiTheme="minorHAnsi" w:cstheme="minorBidi"/>
          <w:color w:val="auto"/>
          <w:lang w:eastAsia="en-US"/>
        </w:rPr>
      </w:pPr>
      <w:r w:rsidRPr="00204D95">
        <w:rPr>
          <w:rFonts w:asciiTheme="minorHAnsi" w:eastAsiaTheme="minorHAnsi" w:hAnsiTheme="minorHAnsi" w:cstheme="minorBidi"/>
          <w:color w:val="auto"/>
          <w:lang w:eastAsia="en-US"/>
        </w:rPr>
        <w:t>This is due to the quality and volume of clinical evidence available that</w:t>
      </w:r>
      <w:r>
        <w:rPr>
          <w:rFonts w:asciiTheme="minorHAnsi" w:eastAsiaTheme="minorHAnsi" w:hAnsiTheme="minorHAnsi" w:cstheme="minorBidi"/>
          <w:color w:val="auto"/>
          <w:lang w:eastAsia="en-US"/>
        </w:rPr>
        <w:t xml:space="preserve"> indicate that</w:t>
      </w:r>
      <w:r w:rsidRPr="00204D95">
        <w:rPr>
          <w:rFonts w:asciiTheme="minorHAnsi" w:eastAsiaTheme="minorHAnsi" w:hAnsiTheme="minorHAnsi" w:cstheme="minorBidi"/>
          <w:color w:val="auto"/>
          <w:lang w:eastAsia="en-US"/>
        </w:rPr>
        <w:t xml:space="preserve"> lowering LDL-C by statins translates to a reduction in risk of cardiovascular events. Ezetimibe is placed after statins on the basis of the limited data available, with only one trial (IMPROVE-IT) showing outcome data. IMPROVE-IT demonstrates a reduction in LDL-C by ezetimibe lowers CV risk as predicted and there are no toxicity signals</w:t>
      </w:r>
      <w:r>
        <w:rPr>
          <w:rFonts w:asciiTheme="minorHAnsi" w:eastAsiaTheme="minorHAnsi" w:hAnsiTheme="minorHAnsi" w:cstheme="minorBidi"/>
          <w:color w:val="auto"/>
          <w:lang w:eastAsia="en-US"/>
        </w:rPr>
        <w:t>.</w:t>
      </w:r>
      <w:r w:rsidRPr="00204D95">
        <w:rPr>
          <w:rFonts w:asciiTheme="minorHAnsi" w:eastAsiaTheme="minorHAnsi" w:hAnsiTheme="minorHAnsi" w:cstheme="minorBidi"/>
          <w:color w:val="auto"/>
          <w:lang w:eastAsia="en-US"/>
        </w:rPr>
        <w:t xml:space="preserve"> However, IMPROVE-IT included a specific secondary prevention population that may not reflect the population of patients </w:t>
      </w:r>
      <w:r>
        <w:rPr>
          <w:rFonts w:asciiTheme="minorHAnsi" w:eastAsiaTheme="minorHAnsi" w:hAnsiTheme="minorHAnsi" w:cstheme="minorBidi"/>
          <w:color w:val="auto"/>
          <w:lang w:eastAsia="en-US"/>
        </w:rPr>
        <w:t xml:space="preserve">being treated </w:t>
      </w:r>
      <w:r w:rsidRPr="00204D95">
        <w:rPr>
          <w:rFonts w:asciiTheme="minorHAnsi" w:eastAsiaTheme="minorHAnsi" w:hAnsiTheme="minorHAnsi" w:cstheme="minorBidi"/>
          <w:color w:val="auto"/>
          <w:lang w:eastAsia="en-US"/>
        </w:rPr>
        <w:t>under th</w:t>
      </w:r>
      <w:r>
        <w:rPr>
          <w:rFonts w:asciiTheme="minorHAnsi" w:eastAsiaTheme="minorHAnsi" w:hAnsiTheme="minorHAnsi" w:cstheme="minorBidi"/>
          <w:color w:val="auto"/>
          <w:lang w:eastAsia="en-US"/>
        </w:rPr>
        <w:t>e current Australian guidelines.</w:t>
      </w:r>
      <w:r w:rsidRPr="00204D95">
        <w:rPr>
          <w:rFonts w:asciiTheme="minorHAnsi" w:eastAsiaTheme="minorHAnsi" w:hAnsiTheme="minorHAnsi" w:cstheme="minorBidi"/>
          <w:color w:val="auto"/>
          <w:lang w:eastAsia="en-US"/>
        </w:rPr>
        <w:t xml:space="preserve"> </w:t>
      </w:r>
      <w:r>
        <w:rPr>
          <w:rFonts w:asciiTheme="minorHAnsi" w:eastAsiaTheme="minorHAnsi" w:hAnsiTheme="minorHAnsi" w:cstheme="minorBidi"/>
          <w:color w:val="auto"/>
          <w:lang w:eastAsia="en-US"/>
        </w:rPr>
        <w:t>T</w:t>
      </w:r>
      <w:r w:rsidRPr="00204D95">
        <w:rPr>
          <w:rFonts w:asciiTheme="minorHAnsi" w:eastAsiaTheme="minorHAnsi" w:hAnsiTheme="minorHAnsi" w:cstheme="minorBidi"/>
          <w:color w:val="auto"/>
          <w:lang w:eastAsia="en-US"/>
        </w:rPr>
        <w:t xml:space="preserve">herefore there are some limitations within the generalisability of the results. </w:t>
      </w:r>
    </w:p>
    <w:p w:rsidR="0000686B" w:rsidRPr="00E1330E" w:rsidRDefault="0000686B">
      <w:pPr>
        <w:pStyle w:val="Default"/>
        <w:spacing w:after="200"/>
        <w:jc w:val="both"/>
        <w:rPr>
          <w:rFonts w:asciiTheme="minorHAnsi" w:hAnsiTheme="minorHAnsi"/>
          <w:color w:val="auto"/>
        </w:rPr>
      </w:pPr>
      <w:r w:rsidRPr="00E1330E">
        <w:rPr>
          <w:rFonts w:asciiTheme="minorHAnsi" w:hAnsiTheme="minorHAnsi"/>
          <w:color w:val="auto"/>
          <w:highlight w:val="yellow"/>
        </w:rPr>
        <w:t>The Reference Group accepts that a reduction in LDL-C is a valid surrogate for</w:t>
      </w:r>
      <w:r w:rsidR="00150546" w:rsidRPr="00E1330E">
        <w:rPr>
          <w:rFonts w:asciiTheme="minorHAnsi" w:hAnsiTheme="minorHAnsi"/>
          <w:color w:val="auto"/>
          <w:highlight w:val="yellow"/>
        </w:rPr>
        <w:t xml:space="preserve"> </w:t>
      </w:r>
      <w:r w:rsidRPr="00E1330E">
        <w:rPr>
          <w:rFonts w:asciiTheme="minorHAnsi" w:hAnsiTheme="minorHAnsi"/>
          <w:color w:val="auto"/>
          <w:highlight w:val="yellow"/>
        </w:rPr>
        <w:t>measuring reduction of cardiovascular risk for both ezetimibe and statins. The initial use of statins and up-titration of statins prior to using ezetimibe should be promoted. When using pharmacotherapy to lower LDL-C</w:t>
      </w:r>
      <w:r w:rsidR="00150546" w:rsidRPr="00E1330E">
        <w:rPr>
          <w:rFonts w:asciiTheme="minorHAnsi" w:hAnsiTheme="minorHAnsi"/>
          <w:color w:val="auto"/>
          <w:highlight w:val="yellow"/>
        </w:rPr>
        <w:t xml:space="preserve"> </w:t>
      </w:r>
      <w:r w:rsidRPr="00E1330E">
        <w:rPr>
          <w:rFonts w:asciiTheme="minorHAnsi" w:hAnsiTheme="minorHAnsi"/>
          <w:color w:val="auto"/>
          <w:highlight w:val="yellow"/>
        </w:rPr>
        <w:t>the choice of therapy is dependent on clinical preference.  However the Reference Group noted that guidelines generally recommend statins as the initial therapy, reserving other LLT including ezetimibe for second-line therapies, as noted above.</w:t>
      </w:r>
    </w:p>
    <w:p w:rsidR="00CA28A3" w:rsidRPr="005936F5" w:rsidRDefault="00CA28A3">
      <w:pPr>
        <w:spacing w:line="240" w:lineRule="auto"/>
        <w:rPr>
          <w:rFonts w:asciiTheme="minorHAnsi" w:hAnsiTheme="minorHAnsi"/>
          <w:szCs w:val="24"/>
          <w:highlight w:val="yellow"/>
        </w:rPr>
      </w:pPr>
      <w:r w:rsidRPr="005936F5">
        <w:rPr>
          <w:rFonts w:asciiTheme="minorHAnsi" w:hAnsiTheme="minorHAnsi"/>
          <w:szCs w:val="24"/>
          <w:highlight w:val="yellow"/>
        </w:rPr>
        <w:t xml:space="preserve">As noted previously (Term of Reference 1, section 1.3.3) the sponsor’s response to the draft report stated that prescribers and patients place significant value on ezetimibe’s ability to lower LDL-C and event risk without increasing the likelihood of </w:t>
      </w:r>
      <w:r w:rsidR="00C17B2A">
        <w:rPr>
          <w:rFonts w:asciiTheme="minorHAnsi" w:hAnsiTheme="minorHAnsi"/>
          <w:szCs w:val="24"/>
          <w:highlight w:val="yellow"/>
        </w:rPr>
        <w:t xml:space="preserve">adverse </w:t>
      </w:r>
      <w:r w:rsidRPr="005936F5">
        <w:rPr>
          <w:rFonts w:asciiTheme="minorHAnsi" w:hAnsiTheme="minorHAnsi"/>
          <w:szCs w:val="24"/>
          <w:highlight w:val="yellow"/>
        </w:rPr>
        <w:t>effects associated with higher statin doses (p.2 MSD response</w:t>
      </w:r>
      <w:r w:rsidR="00C454CC">
        <w:rPr>
          <w:rFonts w:asciiTheme="minorHAnsi" w:hAnsiTheme="minorHAnsi"/>
          <w:szCs w:val="24"/>
          <w:highlight w:val="yellow"/>
        </w:rPr>
        <w:t xml:space="preserve"> to the draft report</w:t>
      </w:r>
      <w:r w:rsidRPr="005936F5">
        <w:rPr>
          <w:rFonts w:asciiTheme="minorHAnsi" w:hAnsiTheme="minorHAnsi"/>
          <w:szCs w:val="24"/>
          <w:highlight w:val="yellow"/>
        </w:rPr>
        <w:t>). This further reinforced the Reference Group’s view that there is a significant patient population for whom ezetimibe is added to statin therapy before maximum tolerated doses of statins are trialled.</w:t>
      </w:r>
    </w:p>
    <w:p w:rsidR="0048730F" w:rsidRPr="005936F5" w:rsidRDefault="00AA3B4D">
      <w:pPr>
        <w:spacing w:line="240" w:lineRule="auto"/>
        <w:rPr>
          <w:rFonts w:asciiTheme="minorHAnsi" w:eastAsia="Calibri" w:hAnsiTheme="minorHAnsi" w:cs="Times New Roman"/>
          <w:szCs w:val="24"/>
          <w:highlight w:val="yellow"/>
        </w:rPr>
      </w:pPr>
      <w:r w:rsidRPr="005936F5">
        <w:rPr>
          <w:rFonts w:asciiTheme="minorHAnsi" w:eastAsia="Calibri" w:hAnsiTheme="minorHAnsi" w:cs="Times New Roman"/>
          <w:szCs w:val="24"/>
          <w:highlight w:val="yellow"/>
        </w:rPr>
        <w:t>The Reference Group noted from recent literature that diagnosing true statin-associated muscle symptoms is difficult. Whether statins cause muscle symptoms with no or only mild creatinine kinase elevations is irrelevant as if a patient believes statins are responsible it is difficult to convince them otherwise</w:t>
      </w:r>
      <w:r w:rsidR="00F21D61">
        <w:rPr>
          <w:rStyle w:val="EndnoteReference"/>
          <w:rFonts w:asciiTheme="minorHAnsi" w:eastAsia="Calibri" w:hAnsiTheme="minorHAnsi" w:cs="Times New Roman"/>
          <w:szCs w:val="24"/>
          <w:highlight w:val="yellow"/>
        </w:rPr>
        <w:endnoteReference w:id="44"/>
      </w:r>
      <w:r w:rsidR="00F21D61" w:rsidRPr="005936F5">
        <w:rPr>
          <w:rFonts w:asciiTheme="minorHAnsi" w:eastAsia="Calibri" w:hAnsiTheme="minorHAnsi" w:cs="Times New Roman"/>
          <w:szCs w:val="24"/>
          <w:highlight w:val="yellow"/>
        </w:rPr>
        <w:t>.</w:t>
      </w:r>
      <w:r w:rsidRPr="005936F5">
        <w:rPr>
          <w:rFonts w:asciiTheme="minorHAnsi" w:eastAsia="Calibri" w:hAnsiTheme="minorHAnsi" w:cs="Times New Roman"/>
          <w:szCs w:val="24"/>
          <w:highlight w:val="yellow"/>
        </w:rPr>
        <w:t xml:space="preserve"> </w:t>
      </w:r>
      <w:r w:rsidR="0048730F" w:rsidRPr="005936F5">
        <w:rPr>
          <w:rFonts w:asciiTheme="minorHAnsi" w:eastAsia="Calibri" w:hAnsiTheme="minorHAnsi" w:cs="Times New Roman"/>
          <w:szCs w:val="24"/>
          <w:highlight w:val="yellow"/>
        </w:rPr>
        <w:t>T</w:t>
      </w:r>
      <w:r w:rsidRPr="005936F5">
        <w:rPr>
          <w:rFonts w:asciiTheme="minorHAnsi" w:eastAsia="Calibri" w:hAnsiTheme="minorHAnsi" w:cs="Times New Roman"/>
          <w:szCs w:val="24"/>
          <w:highlight w:val="yellow"/>
        </w:rPr>
        <w:t>he incidence of statin myalgia has been estimated at 10% from observational studies</w:t>
      </w:r>
      <w:r w:rsidR="00F21D61">
        <w:rPr>
          <w:rStyle w:val="EndnoteReference"/>
          <w:rFonts w:asciiTheme="minorHAnsi" w:eastAsia="Calibri" w:hAnsiTheme="minorHAnsi" w:cs="Times New Roman"/>
          <w:szCs w:val="24"/>
          <w:highlight w:val="yellow"/>
        </w:rPr>
        <w:endnoteReference w:id="45"/>
      </w:r>
      <w:r w:rsidR="00F21D61">
        <w:rPr>
          <w:rFonts w:asciiTheme="minorHAnsi" w:eastAsia="Calibri" w:hAnsiTheme="minorHAnsi" w:cs="Times New Roman"/>
          <w:szCs w:val="24"/>
          <w:highlight w:val="yellow"/>
        </w:rPr>
        <w:t>.</w:t>
      </w:r>
      <w:r w:rsidRPr="005936F5">
        <w:rPr>
          <w:rFonts w:asciiTheme="minorHAnsi" w:eastAsia="Calibri" w:hAnsiTheme="minorHAnsi" w:cs="Times New Roman"/>
          <w:szCs w:val="24"/>
          <w:highlight w:val="yellow"/>
        </w:rPr>
        <w:t xml:space="preserve"> </w:t>
      </w:r>
    </w:p>
    <w:p w:rsidR="00AA3B4D" w:rsidRPr="005936F5" w:rsidRDefault="005B045E">
      <w:pPr>
        <w:spacing w:line="240" w:lineRule="auto"/>
        <w:rPr>
          <w:rFonts w:asciiTheme="minorHAnsi" w:eastAsia="Calibri" w:hAnsiTheme="minorHAnsi" w:cs="Times New Roman"/>
          <w:highlight w:val="yellow"/>
        </w:rPr>
      </w:pPr>
      <w:r w:rsidRPr="005936F5">
        <w:rPr>
          <w:rFonts w:asciiTheme="minorHAnsi" w:eastAsia="Calibri" w:hAnsiTheme="minorHAnsi" w:cs="Times New Roman"/>
          <w:szCs w:val="24"/>
          <w:highlight w:val="yellow"/>
        </w:rPr>
        <w:t>Cohen et al suggests that whilst s</w:t>
      </w:r>
      <w:r w:rsidR="00AA3B4D" w:rsidRPr="005936F5">
        <w:rPr>
          <w:rFonts w:asciiTheme="minorHAnsi" w:eastAsia="Calibri" w:hAnsiTheme="minorHAnsi" w:cs="Times New Roman"/>
          <w:szCs w:val="24"/>
          <w:highlight w:val="yellow"/>
        </w:rPr>
        <w:t>tatin</w:t>
      </w:r>
      <w:r w:rsidRPr="005936F5">
        <w:rPr>
          <w:rFonts w:asciiTheme="minorHAnsi" w:eastAsia="Calibri" w:hAnsiTheme="minorHAnsi" w:cs="Times New Roman"/>
          <w:szCs w:val="24"/>
          <w:highlight w:val="yellow"/>
        </w:rPr>
        <w:t>s</w:t>
      </w:r>
      <w:r w:rsidR="00AA3B4D" w:rsidRPr="005936F5">
        <w:rPr>
          <w:rFonts w:asciiTheme="minorHAnsi" w:eastAsia="Calibri" w:hAnsiTheme="minorHAnsi" w:cs="Times New Roman"/>
          <w:szCs w:val="24"/>
          <w:highlight w:val="yellow"/>
        </w:rPr>
        <w:t xml:space="preserve"> are well tolerated, statin associated </w:t>
      </w:r>
      <w:r w:rsidR="00C17B2A">
        <w:rPr>
          <w:rFonts w:asciiTheme="minorHAnsi" w:eastAsia="Calibri" w:hAnsiTheme="minorHAnsi" w:cs="Times New Roman"/>
          <w:szCs w:val="24"/>
          <w:highlight w:val="yellow"/>
        </w:rPr>
        <w:t xml:space="preserve">adverse </w:t>
      </w:r>
      <w:r w:rsidR="00AA3B4D" w:rsidRPr="005936F5">
        <w:rPr>
          <w:rFonts w:asciiTheme="minorHAnsi" w:eastAsia="Calibri" w:hAnsiTheme="minorHAnsi" w:cs="Times New Roman"/>
          <w:szCs w:val="24"/>
          <w:highlight w:val="yellow"/>
        </w:rPr>
        <w:t>effects are clinically important. Statin associated muscle side-effects are reported by 10-25% of patients taking statin therapies</w:t>
      </w:r>
      <w:r w:rsidR="00F21D61">
        <w:rPr>
          <w:rStyle w:val="EndnoteReference"/>
          <w:rFonts w:asciiTheme="minorHAnsi" w:eastAsia="Calibri" w:hAnsiTheme="minorHAnsi" w:cs="Times New Roman"/>
          <w:szCs w:val="24"/>
          <w:highlight w:val="yellow"/>
        </w:rPr>
        <w:endnoteReference w:id="46"/>
      </w:r>
      <w:r w:rsidR="00F21D61" w:rsidRPr="005936F5">
        <w:rPr>
          <w:rFonts w:asciiTheme="minorHAnsi" w:eastAsia="Calibri" w:hAnsiTheme="minorHAnsi" w:cs="Times New Roman"/>
          <w:szCs w:val="24"/>
          <w:highlight w:val="yellow"/>
        </w:rPr>
        <w:t>.</w:t>
      </w:r>
      <w:r w:rsidR="00AA3B4D" w:rsidRPr="005936F5">
        <w:rPr>
          <w:rFonts w:asciiTheme="minorHAnsi" w:eastAsia="Calibri" w:hAnsiTheme="minorHAnsi" w:cs="Times New Roman"/>
          <w:szCs w:val="24"/>
          <w:highlight w:val="yellow"/>
        </w:rPr>
        <w:t xml:space="preserve"> </w:t>
      </w:r>
    </w:p>
    <w:p w:rsidR="00402432" w:rsidRPr="005936F5" w:rsidRDefault="00402432">
      <w:pPr>
        <w:tabs>
          <w:tab w:val="left" w:pos="0"/>
        </w:tabs>
        <w:spacing w:after="120" w:line="240" w:lineRule="auto"/>
        <w:rPr>
          <w:rFonts w:asciiTheme="minorHAnsi" w:hAnsiTheme="minorHAnsi"/>
        </w:rPr>
      </w:pPr>
      <w:r w:rsidRPr="005936F5">
        <w:rPr>
          <w:rFonts w:asciiTheme="minorHAnsi" w:hAnsiTheme="minorHAnsi"/>
          <w:highlight w:val="yellow"/>
        </w:rPr>
        <w:t xml:space="preserve">The Reference Group </w:t>
      </w:r>
      <w:r w:rsidR="005B045E" w:rsidRPr="005936F5">
        <w:rPr>
          <w:rFonts w:asciiTheme="minorHAnsi" w:hAnsiTheme="minorHAnsi"/>
          <w:highlight w:val="yellow"/>
        </w:rPr>
        <w:t xml:space="preserve">considered </w:t>
      </w:r>
      <w:r w:rsidRPr="005936F5">
        <w:rPr>
          <w:rFonts w:asciiTheme="minorHAnsi" w:hAnsiTheme="minorHAnsi"/>
          <w:highlight w:val="yellow"/>
        </w:rPr>
        <w:t>that whilst ezetimibe is one of the treatment options for patients in whom statin therapy is contraindicated or not tolerated, strategies for managing statin intolerance include prescribing a different statin, taking a treatment break and rechallenging or reducing the dose of statin.</w:t>
      </w:r>
    </w:p>
    <w:p w:rsidR="0000686B" w:rsidRPr="0023772D" w:rsidRDefault="0000686B">
      <w:pPr>
        <w:spacing w:line="240" w:lineRule="auto"/>
        <w:rPr>
          <w:rFonts w:asciiTheme="minorHAnsi" w:hAnsiTheme="minorHAnsi"/>
          <w:szCs w:val="24"/>
        </w:rPr>
      </w:pPr>
      <w:r w:rsidRPr="0023772D">
        <w:rPr>
          <w:rFonts w:asciiTheme="minorHAnsi" w:hAnsiTheme="minorHAnsi"/>
          <w:szCs w:val="24"/>
        </w:rPr>
        <w:t xml:space="preserve">All guidelines take an absolute risk reduction approach. </w:t>
      </w:r>
      <w:r w:rsidRPr="0023772D">
        <w:rPr>
          <w:rFonts w:asciiTheme="minorHAnsi" w:hAnsiTheme="minorHAnsi"/>
          <w:szCs w:val="24"/>
          <w:highlight w:val="yellow"/>
        </w:rPr>
        <w:t>This means that multiple measurable factors are taken into account, the sum of which lead to a categorisation of the risk of a CV event over a specified time period (either 5-year or 10</w:t>
      </w:r>
      <w:r w:rsidR="00EA5381">
        <w:rPr>
          <w:rFonts w:asciiTheme="minorHAnsi" w:hAnsiTheme="minorHAnsi"/>
          <w:szCs w:val="24"/>
          <w:highlight w:val="yellow"/>
        </w:rPr>
        <w:t>-</w:t>
      </w:r>
      <w:r w:rsidRPr="0023772D">
        <w:rPr>
          <w:rFonts w:asciiTheme="minorHAnsi" w:hAnsiTheme="minorHAnsi"/>
          <w:szCs w:val="24"/>
          <w:highlight w:val="yellow"/>
        </w:rPr>
        <w:t>year period depending on the guidelines)</w:t>
      </w:r>
      <w:r w:rsidR="00376BB8" w:rsidRPr="0023772D">
        <w:rPr>
          <w:rFonts w:asciiTheme="minorHAnsi" w:hAnsiTheme="minorHAnsi"/>
          <w:szCs w:val="24"/>
          <w:highlight w:val="yellow"/>
        </w:rPr>
        <w:t>.</w:t>
      </w:r>
      <w:r w:rsidRPr="0023772D">
        <w:rPr>
          <w:rFonts w:asciiTheme="minorHAnsi" w:hAnsiTheme="minorHAnsi"/>
          <w:szCs w:val="24"/>
        </w:rPr>
        <w:t xml:space="preserve"> The GSLLD uses an absolute risk over a 15 year period as its basis </w:t>
      </w:r>
      <w:r w:rsidRPr="0023772D">
        <w:rPr>
          <w:rFonts w:asciiTheme="minorHAnsi" w:hAnsiTheme="minorHAnsi"/>
          <w:szCs w:val="24"/>
          <w:highlight w:val="yellow"/>
        </w:rPr>
        <w:t>and commencing treatment with a LLT depends more on consideration of individual risk factors.</w:t>
      </w:r>
      <w:r w:rsidRPr="0023772D">
        <w:rPr>
          <w:rFonts w:asciiTheme="minorHAnsi" w:hAnsiTheme="minorHAnsi"/>
          <w:szCs w:val="24"/>
        </w:rPr>
        <w:t xml:space="preserve"> </w:t>
      </w:r>
      <w:r w:rsidRPr="0023772D">
        <w:rPr>
          <w:rFonts w:asciiTheme="minorHAnsi" w:hAnsiTheme="minorHAnsi"/>
          <w:szCs w:val="24"/>
          <w:highlight w:val="yellow"/>
        </w:rPr>
        <w:t xml:space="preserve">The Reference Group noted that since the inception of the </w:t>
      </w:r>
      <w:r w:rsidRPr="0023772D">
        <w:rPr>
          <w:rFonts w:asciiTheme="minorHAnsi" w:hAnsiTheme="minorHAnsi"/>
          <w:szCs w:val="24"/>
          <w:highlight w:val="yellow"/>
        </w:rPr>
        <w:lastRenderedPageBreak/>
        <w:t>GSLLD,</w:t>
      </w:r>
      <w:r w:rsidRPr="0023772D">
        <w:rPr>
          <w:rFonts w:asciiTheme="minorHAnsi" w:hAnsiTheme="minorHAnsi"/>
          <w:szCs w:val="24"/>
        </w:rPr>
        <w:t xml:space="preserve"> clinical management of cardiovascular risk has </w:t>
      </w:r>
      <w:r w:rsidRPr="0023772D">
        <w:rPr>
          <w:rFonts w:asciiTheme="minorHAnsi" w:hAnsiTheme="minorHAnsi"/>
          <w:szCs w:val="24"/>
          <w:highlight w:val="yellow"/>
        </w:rPr>
        <w:t>developed with more research into risk factors.</w:t>
      </w:r>
      <w:r w:rsidRPr="0023772D">
        <w:rPr>
          <w:rFonts w:asciiTheme="minorHAnsi" w:hAnsiTheme="minorHAnsi"/>
          <w:szCs w:val="24"/>
        </w:rPr>
        <w:t xml:space="preserve"> </w:t>
      </w:r>
      <w:r w:rsidRPr="0023772D">
        <w:rPr>
          <w:rFonts w:asciiTheme="minorHAnsi" w:hAnsiTheme="minorHAnsi"/>
          <w:szCs w:val="24"/>
          <w:highlight w:val="yellow"/>
        </w:rPr>
        <w:t>An example of the differences in approach between the GSLLD and an absolute risk calculator approach is</w:t>
      </w:r>
      <w:r w:rsidRPr="0023772D">
        <w:rPr>
          <w:rFonts w:asciiTheme="minorHAnsi" w:hAnsiTheme="minorHAnsi"/>
          <w:szCs w:val="24"/>
        </w:rPr>
        <w:t xml:space="preserve"> found in patients with primary prevention. </w:t>
      </w:r>
      <w:r w:rsidRPr="0023772D">
        <w:rPr>
          <w:rFonts w:asciiTheme="minorHAnsi" w:hAnsiTheme="minorHAnsi"/>
          <w:szCs w:val="24"/>
          <w:highlight w:val="yellow"/>
        </w:rPr>
        <w:t>Whereas</w:t>
      </w:r>
      <w:r w:rsidRPr="0023772D">
        <w:rPr>
          <w:rFonts w:asciiTheme="minorHAnsi" w:hAnsiTheme="minorHAnsi"/>
          <w:szCs w:val="24"/>
        </w:rPr>
        <w:t xml:space="preserve"> most clinicians would commence patients on a LLT at total cholesterol </w:t>
      </w:r>
      <w:r w:rsidRPr="00484B00">
        <w:rPr>
          <w:rFonts w:asciiTheme="minorHAnsi" w:hAnsiTheme="minorHAnsi"/>
          <w:szCs w:val="24"/>
          <w:highlight w:val="yellow"/>
        </w:rPr>
        <w:t>concentrations</w:t>
      </w:r>
      <w:r w:rsidRPr="0023772D">
        <w:rPr>
          <w:rFonts w:asciiTheme="minorHAnsi" w:hAnsiTheme="minorHAnsi"/>
          <w:szCs w:val="24"/>
        </w:rPr>
        <w:t xml:space="preserve"> lower than 9mmol /L threshold, </w:t>
      </w:r>
      <w:r w:rsidRPr="0023772D">
        <w:rPr>
          <w:rFonts w:asciiTheme="minorHAnsi" w:hAnsiTheme="minorHAnsi"/>
          <w:szCs w:val="24"/>
          <w:highlight w:val="yellow"/>
        </w:rPr>
        <w:t>depending on risk factors</w:t>
      </w:r>
      <w:r w:rsidRPr="0023772D">
        <w:rPr>
          <w:rFonts w:asciiTheme="minorHAnsi" w:hAnsiTheme="minorHAnsi"/>
          <w:szCs w:val="24"/>
        </w:rPr>
        <w:t xml:space="preserve">, the GSLLD </w:t>
      </w:r>
      <w:r w:rsidRPr="0023772D">
        <w:rPr>
          <w:rFonts w:asciiTheme="minorHAnsi" w:hAnsiTheme="minorHAnsi"/>
          <w:szCs w:val="24"/>
          <w:highlight w:val="yellow"/>
        </w:rPr>
        <w:t>limits initiation of treatment</w:t>
      </w:r>
      <w:r w:rsidRPr="0023772D">
        <w:rPr>
          <w:rFonts w:asciiTheme="minorHAnsi" w:hAnsiTheme="minorHAnsi"/>
          <w:szCs w:val="24"/>
        </w:rPr>
        <w:t xml:space="preserve"> for patients not otherwise included in other categories </w:t>
      </w:r>
      <w:r w:rsidRPr="0023772D">
        <w:rPr>
          <w:rFonts w:asciiTheme="minorHAnsi" w:hAnsiTheme="minorHAnsi"/>
          <w:szCs w:val="24"/>
          <w:highlight w:val="yellow"/>
        </w:rPr>
        <w:t>to this high threshold.</w:t>
      </w:r>
      <w:r w:rsidRPr="0023772D">
        <w:rPr>
          <w:rFonts w:asciiTheme="minorHAnsi" w:hAnsiTheme="minorHAnsi"/>
          <w:szCs w:val="24"/>
        </w:rPr>
        <w:t xml:space="preserve"> </w:t>
      </w:r>
    </w:p>
    <w:p w:rsidR="0000686B" w:rsidRPr="0023772D" w:rsidRDefault="0000686B">
      <w:pPr>
        <w:spacing w:line="240" w:lineRule="auto"/>
        <w:rPr>
          <w:rFonts w:asciiTheme="minorHAnsi" w:hAnsiTheme="minorHAnsi"/>
          <w:szCs w:val="24"/>
        </w:rPr>
      </w:pPr>
      <w:r w:rsidRPr="00204D95">
        <w:rPr>
          <w:rFonts w:asciiTheme="minorHAnsi" w:hAnsiTheme="minorHAnsi"/>
          <w:szCs w:val="24"/>
        </w:rPr>
        <w:t xml:space="preserve">The Reference Group discussed the role of PBS restrictions and acknowledged the importance of PBS restrictions being contemporary and not obstructing clinical guidelines. </w:t>
      </w:r>
      <w:r w:rsidR="00CA28A3">
        <w:rPr>
          <w:rFonts w:asciiTheme="minorHAnsi" w:hAnsiTheme="minorHAnsi"/>
          <w:szCs w:val="24"/>
        </w:rPr>
        <w:t>I</w:t>
      </w:r>
      <w:r w:rsidRPr="00204D95">
        <w:rPr>
          <w:rFonts w:asciiTheme="minorHAnsi" w:hAnsiTheme="minorHAnsi"/>
          <w:szCs w:val="24"/>
        </w:rPr>
        <w:t xml:space="preserve">n a number of therapeutic areas e.g. oncology the PBS restrictions place therapies as second and third line on the basis of clinical trial data and the patient population used in the pivotal trials, clinical efficacy, justification of a higher price, on the presumption the appropriate comparator in this context is placebo or best supportive care. However, this is not the case for ezetimibe. Ezetimibe is placed second line in the clinical </w:t>
      </w:r>
      <w:r w:rsidRPr="0023772D">
        <w:rPr>
          <w:rFonts w:asciiTheme="minorHAnsi" w:hAnsiTheme="minorHAnsi"/>
          <w:szCs w:val="24"/>
        </w:rPr>
        <w:t>guidelines because clinicians generally have more confidence in the</w:t>
      </w:r>
      <w:r w:rsidR="008F32A5" w:rsidRPr="0023772D">
        <w:rPr>
          <w:rFonts w:asciiTheme="minorHAnsi" w:hAnsiTheme="minorHAnsi"/>
          <w:szCs w:val="24"/>
        </w:rPr>
        <w:t xml:space="preserve"> </w:t>
      </w:r>
      <w:r w:rsidR="008F32A5" w:rsidRPr="0023772D">
        <w:rPr>
          <w:rFonts w:asciiTheme="minorHAnsi" w:hAnsiTheme="minorHAnsi"/>
          <w:szCs w:val="24"/>
          <w:highlight w:val="yellow"/>
        </w:rPr>
        <w:t>quality and quantity of trial data showing improved health outcomes underpinning</w:t>
      </w:r>
      <w:r w:rsidRPr="0023772D">
        <w:rPr>
          <w:rFonts w:asciiTheme="minorHAnsi" w:hAnsiTheme="minorHAnsi"/>
          <w:szCs w:val="24"/>
          <w:highlight w:val="yellow"/>
        </w:rPr>
        <w:t xml:space="preserve"> u</w:t>
      </w:r>
      <w:r w:rsidRPr="0023772D">
        <w:rPr>
          <w:rFonts w:asciiTheme="minorHAnsi" w:hAnsiTheme="minorHAnsi"/>
          <w:szCs w:val="24"/>
        </w:rPr>
        <w:t>se of statins</w:t>
      </w:r>
      <w:r w:rsidRPr="0023772D">
        <w:rPr>
          <w:rFonts w:asciiTheme="minorHAnsi" w:hAnsiTheme="minorHAnsi"/>
          <w:szCs w:val="24"/>
          <w:highlight w:val="yellow"/>
        </w:rPr>
        <w:t>.</w:t>
      </w:r>
      <w:r w:rsidRPr="0023772D">
        <w:rPr>
          <w:rFonts w:asciiTheme="minorHAnsi" w:hAnsiTheme="minorHAnsi"/>
          <w:szCs w:val="24"/>
        </w:rPr>
        <w:t xml:space="preserve"> </w:t>
      </w:r>
      <w:r w:rsidRPr="0023772D">
        <w:rPr>
          <w:rFonts w:asciiTheme="minorHAnsi" w:hAnsiTheme="minorHAnsi"/>
          <w:szCs w:val="24"/>
          <w:highlight w:val="yellow"/>
        </w:rPr>
        <w:t>Studies identified in this review show that</w:t>
      </w:r>
      <w:r w:rsidRPr="0023772D">
        <w:rPr>
          <w:rFonts w:asciiTheme="minorHAnsi" w:hAnsiTheme="minorHAnsi"/>
          <w:szCs w:val="24"/>
        </w:rPr>
        <w:t xml:space="preserve"> statins reduce baseline LDL-C by 30%-50% in contrast to ezetimibe which achieves an 18% reduction. </w:t>
      </w:r>
    </w:p>
    <w:p w:rsidR="0023772D" w:rsidRPr="00791419" w:rsidRDefault="0000686B">
      <w:pPr>
        <w:spacing w:line="240" w:lineRule="auto"/>
        <w:rPr>
          <w:rFonts w:asciiTheme="minorHAnsi" w:hAnsiTheme="minorHAnsi"/>
          <w:szCs w:val="24"/>
        </w:rPr>
      </w:pPr>
      <w:r w:rsidRPr="00DA269F">
        <w:rPr>
          <w:rFonts w:asciiTheme="minorHAnsi" w:hAnsiTheme="minorHAnsi"/>
          <w:szCs w:val="24"/>
          <w:highlight w:val="yellow"/>
        </w:rPr>
        <w:t>The Reference Group considered there were a number of reasons supporting making statin</w:t>
      </w:r>
      <w:r w:rsidR="009F7197" w:rsidRPr="00DA269F">
        <w:rPr>
          <w:rFonts w:asciiTheme="minorHAnsi" w:hAnsiTheme="minorHAnsi"/>
          <w:szCs w:val="24"/>
          <w:highlight w:val="yellow"/>
        </w:rPr>
        <w:t>s</w:t>
      </w:r>
      <w:r w:rsidRPr="00DA269F">
        <w:rPr>
          <w:rFonts w:asciiTheme="minorHAnsi" w:hAnsiTheme="minorHAnsi"/>
          <w:szCs w:val="24"/>
          <w:highlight w:val="yellow"/>
        </w:rPr>
        <w:t xml:space="preserve"> unrestricted. These include substantial reduction</w:t>
      </w:r>
      <w:r w:rsidR="00791419" w:rsidRPr="00DA269F">
        <w:rPr>
          <w:rFonts w:asciiTheme="minorHAnsi" w:hAnsiTheme="minorHAnsi"/>
          <w:szCs w:val="24"/>
          <w:highlight w:val="yellow"/>
        </w:rPr>
        <w:t>s</w:t>
      </w:r>
      <w:r w:rsidRPr="00DA269F">
        <w:rPr>
          <w:rFonts w:asciiTheme="minorHAnsi" w:hAnsiTheme="minorHAnsi"/>
          <w:szCs w:val="24"/>
          <w:highlight w:val="yellow"/>
        </w:rPr>
        <w:t xml:space="preserve"> in statin price, providing support for use of statins when initiating pharmacotherapy and the mature market. </w:t>
      </w:r>
      <w:r w:rsidR="00DA269F" w:rsidRPr="00DA269F">
        <w:rPr>
          <w:rFonts w:asciiTheme="minorHAnsi" w:hAnsiTheme="minorHAnsi"/>
          <w:szCs w:val="24"/>
          <w:highlight w:val="yellow"/>
        </w:rPr>
        <w:t>P</w:t>
      </w:r>
      <w:r w:rsidR="005A3367" w:rsidRPr="00DA269F">
        <w:rPr>
          <w:rFonts w:asciiTheme="minorHAnsi" w:hAnsiTheme="minorHAnsi"/>
          <w:szCs w:val="24"/>
          <w:highlight w:val="yellow"/>
        </w:rPr>
        <w:t xml:space="preserve">lacing ezetimibe as </w:t>
      </w:r>
      <w:r w:rsidR="00DA269F" w:rsidRPr="00DA269F">
        <w:rPr>
          <w:rFonts w:asciiTheme="minorHAnsi" w:hAnsiTheme="minorHAnsi"/>
          <w:szCs w:val="24"/>
          <w:highlight w:val="yellow"/>
        </w:rPr>
        <w:t xml:space="preserve">a </w:t>
      </w:r>
      <w:r w:rsidR="005A3367" w:rsidRPr="00DA269F">
        <w:rPr>
          <w:rFonts w:asciiTheme="minorHAnsi" w:hAnsiTheme="minorHAnsi"/>
          <w:szCs w:val="24"/>
          <w:highlight w:val="yellow"/>
        </w:rPr>
        <w:t>restricted</w:t>
      </w:r>
      <w:r w:rsidR="00DA269F" w:rsidRPr="00DA269F">
        <w:rPr>
          <w:rFonts w:asciiTheme="minorHAnsi" w:hAnsiTheme="minorHAnsi"/>
          <w:szCs w:val="24"/>
          <w:highlight w:val="yellow"/>
        </w:rPr>
        <w:t xml:space="preserve"> benefit </w:t>
      </w:r>
      <w:r w:rsidR="00DA269F">
        <w:rPr>
          <w:rFonts w:asciiTheme="minorHAnsi" w:hAnsiTheme="minorHAnsi"/>
          <w:szCs w:val="24"/>
          <w:highlight w:val="yellow"/>
        </w:rPr>
        <w:t xml:space="preserve">may </w:t>
      </w:r>
      <w:r w:rsidR="005A3367" w:rsidRPr="00DA269F">
        <w:rPr>
          <w:rFonts w:asciiTheme="minorHAnsi" w:hAnsiTheme="minorHAnsi"/>
          <w:szCs w:val="24"/>
          <w:highlight w:val="yellow"/>
        </w:rPr>
        <w:t>send a message to prescribers that</w:t>
      </w:r>
      <w:r w:rsidR="00DA269F">
        <w:rPr>
          <w:rFonts w:asciiTheme="minorHAnsi" w:hAnsiTheme="minorHAnsi"/>
          <w:szCs w:val="24"/>
          <w:highlight w:val="yellow"/>
        </w:rPr>
        <w:t xml:space="preserve"> the PBS</w:t>
      </w:r>
      <w:r w:rsidR="005A3367" w:rsidRPr="00DA269F">
        <w:rPr>
          <w:rFonts w:asciiTheme="minorHAnsi" w:hAnsiTheme="minorHAnsi"/>
          <w:szCs w:val="24"/>
          <w:highlight w:val="yellow"/>
        </w:rPr>
        <w:t xml:space="preserve"> does</w:t>
      </w:r>
      <w:r w:rsidR="00DA269F">
        <w:rPr>
          <w:rFonts w:asciiTheme="minorHAnsi" w:hAnsiTheme="minorHAnsi"/>
          <w:szCs w:val="24"/>
          <w:highlight w:val="yellow"/>
        </w:rPr>
        <w:t xml:space="preserve"> consider it second line to statins.</w:t>
      </w:r>
      <w:r w:rsidRPr="00DA269F">
        <w:rPr>
          <w:rFonts w:asciiTheme="minorHAnsi" w:hAnsiTheme="minorHAnsi"/>
          <w:szCs w:val="24"/>
          <w:highlight w:val="yellow"/>
        </w:rPr>
        <w:t xml:space="preserve"> </w:t>
      </w:r>
      <w:r w:rsidR="00791419" w:rsidRPr="00DA269F">
        <w:rPr>
          <w:rFonts w:asciiTheme="minorHAnsi" w:hAnsiTheme="minorHAnsi"/>
          <w:szCs w:val="24"/>
          <w:highlight w:val="yellow"/>
        </w:rPr>
        <w:t>T</w:t>
      </w:r>
      <w:r w:rsidR="00791419" w:rsidRPr="00DA269F">
        <w:rPr>
          <w:rFonts w:asciiTheme="minorHAnsi" w:hAnsiTheme="minorHAnsi"/>
          <w:highlight w:val="yellow"/>
        </w:rPr>
        <w:t>he</w:t>
      </w:r>
      <w:r w:rsidR="00DA269F">
        <w:rPr>
          <w:rFonts w:asciiTheme="minorHAnsi" w:hAnsiTheme="minorHAnsi"/>
          <w:highlight w:val="yellow"/>
        </w:rPr>
        <w:t xml:space="preserve"> </w:t>
      </w:r>
      <w:r w:rsidR="00DA269F" w:rsidRPr="00791419">
        <w:rPr>
          <w:rFonts w:asciiTheme="minorHAnsi" w:hAnsiTheme="minorHAnsi"/>
          <w:highlight w:val="yellow"/>
        </w:rPr>
        <w:t>existing Authority Required (Streamlined) listing</w:t>
      </w:r>
      <w:r w:rsidR="00DA269F" w:rsidRPr="00DA269F">
        <w:rPr>
          <w:rFonts w:asciiTheme="minorHAnsi" w:hAnsiTheme="minorHAnsi"/>
          <w:highlight w:val="yellow"/>
        </w:rPr>
        <w:t xml:space="preserve"> </w:t>
      </w:r>
      <w:r w:rsidR="00791419" w:rsidRPr="00DA269F">
        <w:rPr>
          <w:rFonts w:asciiTheme="minorHAnsi" w:hAnsiTheme="minorHAnsi"/>
          <w:highlight w:val="yellow"/>
        </w:rPr>
        <w:t xml:space="preserve">of ezetimibe </w:t>
      </w:r>
      <w:r w:rsidR="00DA269F">
        <w:rPr>
          <w:rFonts w:asciiTheme="minorHAnsi" w:hAnsiTheme="minorHAnsi"/>
          <w:highlight w:val="yellow"/>
        </w:rPr>
        <w:t>as</w:t>
      </w:r>
      <w:r w:rsidR="00791419" w:rsidRPr="00DA269F">
        <w:rPr>
          <w:rFonts w:asciiTheme="minorHAnsi" w:hAnsiTheme="minorHAnsi"/>
          <w:highlight w:val="yellow"/>
        </w:rPr>
        <w:t xml:space="preserve"> second line therapy </w:t>
      </w:r>
      <w:r w:rsidR="00DA269F">
        <w:rPr>
          <w:rFonts w:asciiTheme="minorHAnsi" w:hAnsiTheme="minorHAnsi"/>
          <w:highlight w:val="yellow"/>
        </w:rPr>
        <w:t xml:space="preserve">is also </w:t>
      </w:r>
      <w:r w:rsidR="00791419" w:rsidRPr="00DA269F">
        <w:rPr>
          <w:rFonts w:asciiTheme="minorHAnsi" w:hAnsiTheme="minorHAnsi"/>
          <w:highlight w:val="yellow"/>
        </w:rPr>
        <w:t xml:space="preserve">compatible with </w:t>
      </w:r>
      <w:r w:rsidR="00791419" w:rsidRPr="00791419">
        <w:rPr>
          <w:rFonts w:asciiTheme="minorHAnsi" w:hAnsiTheme="minorHAnsi"/>
          <w:highlight w:val="yellow"/>
        </w:rPr>
        <w:t>clinical guidelines</w:t>
      </w:r>
      <w:r w:rsidR="00DA269F">
        <w:rPr>
          <w:rFonts w:asciiTheme="minorHAnsi" w:hAnsiTheme="minorHAnsi"/>
          <w:highlight w:val="yellow"/>
        </w:rPr>
        <w:t>.</w:t>
      </w:r>
      <w:r w:rsidR="00791419" w:rsidRPr="00791419">
        <w:rPr>
          <w:rFonts w:asciiTheme="minorHAnsi" w:hAnsiTheme="minorHAnsi"/>
          <w:highlight w:val="yellow"/>
        </w:rPr>
        <w:t xml:space="preserve"> </w:t>
      </w:r>
    </w:p>
    <w:p w:rsidR="00791419" w:rsidRPr="00752C36" w:rsidRDefault="00F60E6A">
      <w:pPr>
        <w:spacing w:line="240" w:lineRule="auto"/>
        <w:rPr>
          <w:rFonts w:asciiTheme="minorHAnsi" w:hAnsiTheme="minorHAnsi"/>
        </w:rPr>
      </w:pPr>
      <w:r w:rsidRPr="00204D95">
        <w:rPr>
          <w:rFonts w:asciiTheme="minorHAnsi" w:hAnsiTheme="minorHAnsi"/>
          <w:szCs w:val="24"/>
        </w:rPr>
        <w:t xml:space="preserve">The Reference Group considered that the </w:t>
      </w:r>
      <w:r w:rsidRPr="00DA269F">
        <w:rPr>
          <w:rFonts w:asciiTheme="minorHAnsi" w:hAnsiTheme="minorHAnsi"/>
          <w:szCs w:val="24"/>
        </w:rPr>
        <w:t>statin</w:t>
      </w:r>
      <w:r>
        <w:rPr>
          <w:rFonts w:asciiTheme="minorHAnsi" w:hAnsiTheme="minorHAnsi"/>
          <w:szCs w:val="24"/>
        </w:rPr>
        <w:t xml:space="preserve"> </w:t>
      </w:r>
      <w:r w:rsidRPr="00204D95">
        <w:rPr>
          <w:rFonts w:asciiTheme="minorHAnsi" w:hAnsiTheme="minorHAnsi"/>
          <w:szCs w:val="24"/>
        </w:rPr>
        <w:t xml:space="preserve">market is now mature </w:t>
      </w:r>
      <w:r w:rsidRPr="009405EA">
        <w:rPr>
          <w:rFonts w:asciiTheme="minorHAnsi" w:hAnsiTheme="minorHAnsi"/>
          <w:szCs w:val="24"/>
          <w:highlight w:val="yellow"/>
        </w:rPr>
        <w:t>and that the GSLLD</w:t>
      </w:r>
      <w:r w:rsidRPr="00204D95">
        <w:rPr>
          <w:rFonts w:asciiTheme="minorHAnsi" w:hAnsiTheme="minorHAnsi"/>
          <w:szCs w:val="24"/>
        </w:rPr>
        <w:t xml:space="preserve"> does not reflect contemporary use of lipid lowering therapy. The PBAC may wish to consider removing the GSLLD since the use of lipid </w:t>
      </w:r>
      <w:r w:rsidRPr="0023772D">
        <w:rPr>
          <w:rFonts w:asciiTheme="minorHAnsi" w:hAnsiTheme="minorHAnsi"/>
          <w:szCs w:val="24"/>
        </w:rPr>
        <w:t xml:space="preserve">lowering therapy is now firmly established </w:t>
      </w:r>
      <w:r w:rsidRPr="0023772D">
        <w:rPr>
          <w:rFonts w:asciiTheme="minorHAnsi" w:hAnsiTheme="minorHAnsi"/>
          <w:szCs w:val="24"/>
          <w:highlight w:val="yellow"/>
        </w:rPr>
        <w:t>in well publicised guidelines</w:t>
      </w:r>
      <w:r w:rsidRPr="0023772D">
        <w:rPr>
          <w:rFonts w:asciiTheme="minorHAnsi" w:hAnsiTheme="minorHAnsi"/>
          <w:szCs w:val="24"/>
        </w:rPr>
        <w:t xml:space="preserve"> </w:t>
      </w:r>
      <w:r w:rsidRPr="0023772D">
        <w:rPr>
          <w:rFonts w:asciiTheme="minorHAnsi" w:hAnsiTheme="minorHAnsi"/>
          <w:szCs w:val="24"/>
          <w:highlight w:val="yellow"/>
        </w:rPr>
        <w:t>and</w:t>
      </w:r>
      <w:r w:rsidRPr="0023772D">
        <w:rPr>
          <w:rFonts w:asciiTheme="minorHAnsi" w:hAnsiTheme="minorHAnsi"/>
          <w:szCs w:val="24"/>
        </w:rPr>
        <w:t xml:space="preserve"> the </w:t>
      </w:r>
      <w:r w:rsidRPr="0023772D">
        <w:rPr>
          <w:rFonts w:asciiTheme="minorHAnsi" w:hAnsiTheme="minorHAnsi"/>
          <w:szCs w:val="24"/>
          <w:highlight w:val="yellow"/>
        </w:rPr>
        <w:t xml:space="preserve">recommended </w:t>
      </w:r>
      <w:r w:rsidRPr="0023772D">
        <w:rPr>
          <w:rFonts w:asciiTheme="minorHAnsi" w:hAnsiTheme="minorHAnsi"/>
          <w:szCs w:val="24"/>
        </w:rPr>
        <w:t xml:space="preserve">approach used by clinicians to cardiovascular risk reduction </w:t>
      </w:r>
      <w:r w:rsidRPr="0023772D">
        <w:rPr>
          <w:rFonts w:asciiTheme="minorHAnsi" w:hAnsiTheme="minorHAnsi"/>
          <w:szCs w:val="24"/>
          <w:highlight w:val="yellow"/>
        </w:rPr>
        <w:t>is well founded in evidence</w:t>
      </w:r>
      <w:r w:rsidR="00752C36">
        <w:rPr>
          <w:rFonts w:asciiTheme="minorHAnsi" w:hAnsiTheme="minorHAnsi"/>
          <w:szCs w:val="24"/>
        </w:rPr>
        <w:t>.</w:t>
      </w:r>
    </w:p>
    <w:p w:rsidR="0000686B" w:rsidRPr="005936F5" w:rsidRDefault="0000686B">
      <w:pPr>
        <w:spacing w:line="240" w:lineRule="auto"/>
        <w:rPr>
          <w:rFonts w:asciiTheme="minorHAnsi" w:hAnsiTheme="minorHAnsi"/>
          <w:szCs w:val="24"/>
          <w:highlight w:val="yellow"/>
        </w:rPr>
      </w:pPr>
      <w:r w:rsidRPr="005936F5">
        <w:rPr>
          <w:rFonts w:asciiTheme="minorHAnsi" w:hAnsiTheme="minorHAnsi"/>
          <w:szCs w:val="24"/>
          <w:highlight w:val="yellow"/>
        </w:rPr>
        <w:t>The Drug Utilisation Sub-Committee (DUSC) agreed that the statin market is mature and that Australia’s statin use (DDD/1000population/day) is one of the highest of all OECD countries</w:t>
      </w:r>
      <w:r w:rsidR="00C454CC">
        <w:rPr>
          <w:rStyle w:val="EndnoteReference"/>
          <w:rFonts w:asciiTheme="minorHAnsi" w:hAnsiTheme="minorHAnsi"/>
          <w:szCs w:val="24"/>
          <w:highlight w:val="yellow"/>
        </w:rPr>
        <w:endnoteReference w:id="47"/>
      </w:r>
      <w:r w:rsidRPr="005936F5">
        <w:rPr>
          <w:rFonts w:asciiTheme="minorHAnsi" w:hAnsiTheme="minorHAnsi"/>
          <w:szCs w:val="24"/>
          <w:highlight w:val="yellow"/>
        </w:rPr>
        <w:t>. The DUSC also agreed that any relaxation of the PBS statin restriction is unlikely to substantially change the utilisation of statins.</w:t>
      </w:r>
    </w:p>
    <w:p w:rsidR="00EA5381" w:rsidRDefault="0000686B" w:rsidP="00752C36">
      <w:pPr>
        <w:rPr>
          <w:rFonts w:asciiTheme="minorHAnsi" w:hAnsiTheme="minorHAnsi"/>
          <w:szCs w:val="24"/>
        </w:rPr>
      </w:pPr>
      <w:r w:rsidRPr="005936F5">
        <w:rPr>
          <w:rFonts w:asciiTheme="minorHAnsi" w:hAnsiTheme="minorHAnsi"/>
          <w:szCs w:val="24"/>
          <w:highlight w:val="yellow"/>
        </w:rPr>
        <w:t xml:space="preserve">However, DUSC considered the utilisation of ezetimibe is still growing, particularly in fixed dose combination use with statins. </w:t>
      </w:r>
      <w:r w:rsidR="00F863DB" w:rsidRPr="005936F5">
        <w:rPr>
          <w:rFonts w:asciiTheme="minorHAnsi" w:hAnsiTheme="minorHAnsi"/>
          <w:szCs w:val="24"/>
          <w:highlight w:val="yellow"/>
        </w:rPr>
        <w:t>T</w:t>
      </w:r>
      <w:r w:rsidRPr="005936F5">
        <w:rPr>
          <w:rFonts w:asciiTheme="minorHAnsi" w:hAnsiTheme="minorHAnsi"/>
          <w:szCs w:val="24"/>
          <w:highlight w:val="yellow"/>
        </w:rPr>
        <w:t>he following graph (</w:t>
      </w:r>
      <w:r w:rsidR="00EA7D7C">
        <w:rPr>
          <w:rFonts w:asciiTheme="minorHAnsi" w:hAnsiTheme="minorHAnsi"/>
          <w:szCs w:val="24"/>
          <w:highlight w:val="yellow"/>
        </w:rPr>
        <w:t>F</w:t>
      </w:r>
      <w:r w:rsidRPr="005936F5">
        <w:rPr>
          <w:rFonts w:asciiTheme="minorHAnsi" w:hAnsiTheme="minorHAnsi"/>
          <w:szCs w:val="24"/>
          <w:highlight w:val="yellow"/>
        </w:rPr>
        <w:t xml:space="preserve">igure </w:t>
      </w:r>
      <w:r w:rsidR="00EA7D7C">
        <w:rPr>
          <w:rFonts w:asciiTheme="minorHAnsi" w:hAnsiTheme="minorHAnsi"/>
          <w:szCs w:val="24"/>
          <w:highlight w:val="yellow"/>
        </w:rPr>
        <w:t>2</w:t>
      </w:r>
      <w:r w:rsidR="00EA5381" w:rsidRPr="005936F5">
        <w:rPr>
          <w:rFonts w:asciiTheme="minorHAnsi" w:hAnsiTheme="minorHAnsi"/>
          <w:szCs w:val="24"/>
          <w:highlight w:val="yellow"/>
        </w:rPr>
        <w:t>)</w:t>
      </w:r>
      <w:r w:rsidRPr="005936F5">
        <w:rPr>
          <w:rFonts w:asciiTheme="minorHAnsi" w:hAnsiTheme="minorHAnsi"/>
          <w:szCs w:val="24"/>
          <w:highlight w:val="yellow"/>
        </w:rPr>
        <w:t xml:space="preserve"> reaffirm</w:t>
      </w:r>
      <w:r w:rsidR="00F863DB" w:rsidRPr="005936F5">
        <w:rPr>
          <w:rFonts w:asciiTheme="minorHAnsi" w:hAnsiTheme="minorHAnsi"/>
          <w:szCs w:val="24"/>
          <w:highlight w:val="yellow"/>
        </w:rPr>
        <w:t xml:space="preserve">s </w:t>
      </w:r>
      <w:r w:rsidRPr="005936F5">
        <w:rPr>
          <w:rFonts w:asciiTheme="minorHAnsi" w:hAnsiTheme="minorHAnsi"/>
          <w:szCs w:val="24"/>
          <w:highlight w:val="yellow"/>
        </w:rPr>
        <w:t>the DUSC’s position that ezetimibe use is growing. The DUSC also considered relaxing the restriction would further grow the ezetimibe market and potentially increase use in the population where cost</w:t>
      </w:r>
      <w:r w:rsidR="00216B38">
        <w:rPr>
          <w:rFonts w:asciiTheme="minorHAnsi" w:hAnsiTheme="minorHAnsi"/>
          <w:szCs w:val="24"/>
          <w:highlight w:val="yellow"/>
        </w:rPr>
        <w:t>-</w:t>
      </w:r>
      <w:r w:rsidRPr="005936F5">
        <w:rPr>
          <w:rFonts w:asciiTheme="minorHAnsi" w:hAnsiTheme="minorHAnsi"/>
          <w:szCs w:val="24"/>
          <w:highlight w:val="yellow"/>
        </w:rPr>
        <w:t xml:space="preserve">effectiveness is uncertain i.e. those patients who have not been treated with maximally tolerated doses of statins prior to </w:t>
      </w:r>
      <w:r w:rsidR="009405EA">
        <w:rPr>
          <w:rFonts w:asciiTheme="minorHAnsi" w:hAnsiTheme="minorHAnsi"/>
          <w:szCs w:val="24"/>
          <w:highlight w:val="yellow"/>
        </w:rPr>
        <w:t>initiating</w:t>
      </w:r>
      <w:r w:rsidRPr="005936F5">
        <w:rPr>
          <w:rFonts w:asciiTheme="minorHAnsi" w:hAnsiTheme="minorHAnsi"/>
          <w:szCs w:val="24"/>
          <w:highlight w:val="yellow"/>
        </w:rPr>
        <w:t xml:space="preserve"> ezetimibe. Retaining an Authority Required (Streamlined) listing would </w:t>
      </w:r>
      <w:r w:rsidR="009405EA">
        <w:rPr>
          <w:rFonts w:asciiTheme="minorHAnsi" w:hAnsiTheme="minorHAnsi"/>
          <w:szCs w:val="24"/>
          <w:highlight w:val="yellow"/>
        </w:rPr>
        <w:t>reflect</w:t>
      </w:r>
      <w:r w:rsidRPr="005936F5">
        <w:rPr>
          <w:rFonts w:asciiTheme="minorHAnsi" w:hAnsiTheme="minorHAnsi"/>
          <w:szCs w:val="24"/>
          <w:highlight w:val="yellow"/>
        </w:rPr>
        <w:t xml:space="preserve"> the </w:t>
      </w:r>
      <w:r w:rsidRPr="005936F5">
        <w:rPr>
          <w:rFonts w:asciiTheme="minorHAnsi" w:hAnsiTheme="minorHAnsi"/>
          <w:szCs w:val="24"/>
          <w:highlight w:val="yellow"/>
        </w:rPr>
        <w:lastRenderedPageBreak/>
        <w:t xml:space="preserve">evidence that ezetimibe should remain second line therapy </w:t>
      </w:r>
      <w:r w:rsidR="003306B9">
        <w:rPr>
          <w:rFonts w:asciiTheme="minorHAnsi" w:hAnsiTheme="minorHAnsi"/>
          <w:szCs w:val="24"/>
          <w:highlight w:val="yellow"/>
        </w:rPr>
        <w:t xml:space="preserve">to statins </w:t>
      </w:r>
      <w:r w:rsidR="00752C36">
        <w:rPr>
          <w:rFonts w:asciiTheme="minorHAnsi" w:hAnsiTheme="minorHAnsi"/>
          <w:szCs w:val="24"/>
          <w:highlight w:val="yellow"/>
        </w:rPr>
        <w:t>for hypercholesterolaemia</w:t>
      </w:r>
      <w:r w:rsidR="00752C36">
        <w:rPr>
          <w:rFonts w:asciiTheme="minorHAnsi" w:hAnsiTheme="minorHAnsi"/>
          <w:szCs w:val="24"/>
        </w:rPr>
        <w:t>.</w:t>
      </w:r>
    </w:p>
    <w:p w:rsidR="00EA5381" w:rsidRDefault="00EA5381">
      <w:pPr>
        <w:spacing w:after="0" w:line="240" w:lineRule="auto"/>
        <w:jc w:val="left"/>
        <w:rPr>
          <w:rFonts w:asciiTheme="minorHAnsi" w:hAnsiTheme="minorHAnsi"/>
          <w:szCs w:val="24"/>
        </w:rPr>
      </w:pPr>
      <w:r>
        <w:rPr>
          <w:rFonts w:asciiTheme="minorHAnsi" w:hAnsiTheme="minorHAnsi"/>
          <w:szCs w:val="24"/>
        </w:rPr>
        <w:br w:type="page"/>
      </w:r>
    </w:p>
    <w:p w:rsidR="0023772D" w:rsidRPr="005936F5" w:rsidRDefault="0023772D" w:rsidP="00752C36">
      <w:pPr>
        <w:rPr>
          <w:rFonts w:asciiTheme="minorHAnsi" w:hAnsiTheme="minorHAnsi"/>
          <w:szCs w:val="24"/>
        </w:rPr>
      </w:pPr>
    </w:p>
    <w:p w:rsidR="00B07002" w:rsidRPr="005936F5" w:rsidRDefault="00B07002" w:rsidP="005A2287">
      <w:pPr>
        <w:pStyle w:val="TableName"/>
        <w:jc w:val="both"/>
      </w:pPr>
      <w:r w:rsidRPr="00EA7D7C">
        <w:rPr>
          <w:highlight w:val="yellow"/>
        </w:rPr>
        <w:t xml:space="preserve">Figure </w:t>
      </w:r>
      <w:r w:rsidR="00EA7D7C" w:rsidRPr="00EA7D7C">
        <w:rPr>
          <w:highlight w:val="yellow"/>
        </w:rPr>
        <w:t>2</w:t>
      </w:r>
      <w:r w:rsidRPr="00EA7D7C">
        <w:rPr>
          <w:highlight w:val="yellow"/>
        </w:rPr>
        <w:t>: RPBS/PBS prescriptions for ezetimibe 1 July 2011 - 31 December 2016</w:t>
      </w:r>
    </w:p>
    <w:p w:rsidR="00B07002" w:rsidRPr="005936F5" w:rsidRDefault="00B07002" w:rsidP="005A2287">
      <w:pPr>
        <w:spacing w:after="0" w:line="240" w:lineRule="auto"/>
        <w:rPr>
          <w:rFonts w:ascii="Arial" w:hAnsi="Arial" w:cs="Arial"/>
          <w:i/>
          <w:sz w:val="20"/>
          <w:szCs w:val="20"/>
          <w:highlight w:val="yellow"/>
        </w:rPr>
      </w:pPr>
      <w:r w:rsidRPr="005936F5">
        <w:rPr>
          <w:rFonts w:ascii="Arial" w:hAnsi="Arial" w:cs="Arial"/>
          <w:i/>
          <w:noProof/>
          <w:sz w:val="20"/>
          <w:szCs w:val="20"/>
          <w:lang w:eastAsia="en-AU"/>
        </w:rPr>
        <w:drawing>
          <wp:anchor distT="0" distB="0" distL="114300" distR="114300" simplePos="0" relativeHeight="251658240" behindDoc="0" locked="0" layoutInCell="1" allowOverlap="1" wp14:anchorId="2FCA0979" wp14:editId="74DA3D92">
            <wp:simplePos x="0" y="0"/>
            <wp:positionH relativeFrom="column">
              <wp:posOffset>-168910</wp:posOffset>
            </wp:positionH>
            <wp:positionV relativeFrom="paragraph">
              <wp:posOffset>0</wp:posOffset>
            </wp:positionV>
            <wp:extent cx="5988685" cy="3717290"/>
            <wp:effectExtent l="0" t="0" r="12065" b="1651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Pr="005936F5">
        <w:rPr>
          <w:rFonts w:ascii="Arial" w:hAnsi="Arial" w:cs="Arial"/>
          <w:i/>
          <w:sz w:val="20"/>
          <w:szCs w:val="20"/>
        </w:rPr>
        <w:t xml:space="preserve">PBS Information Product, DUSC Database accessed 5 April 2017 </w:t>
      </w:r>
    </w:p>
    <w:p w:rsidR="0067506D" w:rsidRDefault="0067506D" w:rsidP="005A2287">
      <w:pPr>
        <w:spacing w:line="240" w:lineRule="auto"/>
        <w:rPr>
          <w:rFonts w:asciiTheme="minorHAnsi" w:hAnsiTheme="minorHAnsi"/>
          <w:szCs w:val="24"/>
        </w:rPr>
      </w:pPr>
    </w:p>
    <w:p w:rsidR="00AB3222" w:rsidRDefault="0067506D">
      <w:pPr>
        <w:pStyle w:val="ListParagraph"/>
        <w:spacing w:after="120" w:line="240" w:lineRule="auto"/>
        <w:ind w:left="0"/>
        <w:rPr>
          <w:rFonts w:asciiTheme="minorHAnsi" w:hAnsiTheme="minorHAnsi"/>
          <w:highlight w:val="yellow"/>
        </w:rPr>
      </w:pPr>
      <w:r w:rsidRPr="005936F5">
        <w:rPr>
          <w:rFonts w:asciiTheme="minorHAnsi" w:hAnsiTheme="minorHAnsi"/>
          <w:szCs w:val="24"/>
          <w:highlight w:val="yellow"/>
        </w:rPr>
        <w:t>Removal of the GSLLD would require revision of the ezetimibe restrictions as for most patients access to PBS subsidised ezetimibe requires a trial of statin therapy. The Reference Group provided a possible revised restriction for ezetimibe. In making this recommendation, the Reference Group acknowledged successful im</w:t>
      </w:r>
      <w:r w:rsidRPr="005936F5">
        <w:rPr>
          <w:rFonts w:asciiTheme="minorHAnsi" w:hAnsiTheme="minorHAnsi"/>
          <w:highlight w:val="yellow"/>
        </w:rPr>
        <w:t>plementation will require education to promote the importance of absolute risk reduction in the approach to cardiovascular disease management. The Reference Group also noted that the Australian Risk Calculator</w:t>
      </w:r>
      <w:r w:rsidR="00A12F22">
        <w:rPr>
          <w:rStyle w:val="EndnoteReference"/>
          <w:rFonts w:asciiTheme="minorHAnsi" w:hAnsiTheme="minorHAnsi"/>
          <w:highlight w:val="yellow"/>
        </w:rPr>
        <w:endnoteReference w:id="48"/>
      </w:r>
      <w:r w:rsidRPr="005936F5">
        <w:rPr>
          <w:rFonts w:asciiTheme="minorHAnsi" w:hAnsiTheme="minorHAnsi"/>
          <w:highlight w:val="yellow"/>
        </w:rPr>
        <w:t xml:space="preserve"> is used by prescribers to calculate an individual’s risk of cardiovascular events but is not validated to monitor or quantify risk reduction following commencement of LLT. </w:t>
      </w:r>
      <w:r w:rsidR="003306B9">
        <w:rPr>
          <w:rFonts w:asciiTheme="minorHAnsi" w:hAnsiTheme="minorHAnsi"/>
          <w:highlight w:val="yellow"/>
        </w:rPr>
        <w:t>T</w:t>
      </w:r>
      <w:r w:rsidRPr="005936F5">
        <w:rPr>
          <w:rFonts w:asciiTheme="minorHAnsi" w:hAnsiTheme="minorHAnsi"/>
          <w:highlight w:val="yellow"/>
        </w:rPr>
        <w:t>he PBAC may wish to apply a contemporary absolute risk threshold approach to the ezetimibe restriction</w:t>
      </w:r>
      <w:r w:rsidR="00AB3222">
        <w:rPr>
          <w:rFonts w:asciiTheme="minorHAnsi" w:hAnsiTheme="minorHAnsi"/>
          <w:highlight w:val="yellow"/>
        </w:rPr>
        <w:t>.</w:t>
      </w:r>
    </w:p>
    <w:p w:rsidR="00C930D4" w:rsidRPr="005936F5" w:rsidRDefault="00C930D4">
      <w:pPr>
        <w:pStyle w:val="ListParagraph"/>
        <w:spacing w:after="120" w:line="240" w:lineRule="auto"/>
        <w:ind w:left="0"/>
        <w:rPr>
          <w:rFonts w:asciiTheme="minorHAnsi" w:hAnsiTheme="minorHAnsi"/>
        </w:rPr>
      </w:pPr>
      <w:r w:rsidRPr="005936F5">
        <w:rPr>
          <w:rFonts w:asciiTheme="minorHAnsi" w:hAnsiTheme="minorHAnsi"/>
          <w:highlight w:val="yellow"/>
        </w:rPr>
        <w:t>The Reference Group considered the criterion ‘treatment must be in conjunction with dietary therapy and exercise’ could be removed as there was little evidence supporting the interaction between diet /exercise and cholesterol reduction</w:t>
      </w:r>
      <w:r w:rsidR="003306B9">
        <w:rPr>
          <w:rFonts w:asciiTheme="minorHAnsi" w:hAnsiTheme="minorHAnsi"/>
          <w:highlight w:val="yellow"/>
        </w:rPr>
        <w:t xml:space="preserve"> but acknowledged the benefits of such interventions in cardiovascular risk reduction e.g</w:t>
      </w:r>
      <w:r w:rsidR="00B577F2">
        <w:rPr>
          <w:rFonts w:asciiTheme="minorHAnsi" w:hAnsiTheme="minorHAnsi"/>
          <w:highlight w:val="yellow"/>
        </w:rPr>
        <w:t>.</w:t>
      </w:r>
      <w:r w:rsidR="003306B9">
        <w:rPr>
          <w:rFonts w:asciiTheme="minorHAnsi" w:hAnsiTheme="minorHAnsi"/>
          <w:highlight w:val="yellow"/>
        </w:rPr>
        <w:t xml:space="preserve"> weight reduction, blood pressure lowering</w:t>
      </w:r>
      <w:r w:rsidRPr="005936F5">
        <w:rPr>
          <w:rFonts w:asciiTheme="minorHAnsi" w:hAnsiTheme="minorHAnsi"/>
          <w:highlight w:val="yellow"/>
        </w:rPr>
        <w:t xml:space="preserve">. </w:t>
      </w:r>
    </w:p>
    <w:p w:rsidR="00C930D4" w:rsidRPr="005936F5" w:rsidRDefault="00C930D4">
      <w:pPr>
        <w:pStyle w:val="ListParagraph"/>
        <w:spacing w:after="120" w:line="240" w:lineRule="auto"/>
        <w:ind w:left="0"/>
        <w:rPr>
          <w:rFonts w:asciiTheme="minorHAnsi" w:hAnsiTheme="minorHAnsi"/>
        </w:rPr>
      </w:pPr>
    </w:p>
    <w:p w:rsidR="00C930D4" w:rsidRPr="00C930D4" w:rsidRDefault="00C930D4">
      <w:pPr>
        <w:spacing w:line="240" w:lineRule="auto"/>
        <w:rPr>
          <w:rFonts w:asciiTheme="minorHAnsi" w:hAnsiTheme="minorHAnsi"/>
          <w:color w:val="FF0000"/>
          <w:szCs w:val="24"/>
        </w:rPr>
      </w:pPr>
      <w:r w:rsidRPr="00C930D4">
        <w:rPr>
          <w:rFonts w:asciiTheme="minorHAnsi" w:hAnsiTheme="minorHAnsi"/>
        </w:rPr>
        <w:t>The Reference Group considered that changing restrictions presented an educational opportunity</w:t>
      </w:r>
      <w:r w:rsidR="006111BC">
        <w:rPr>
          <w:rFonts w:asciiTheme="minorHAnsi" w:hAnsiTheme="minorHAnsi"/>
        </w:rPr>
        <w:t>.</w:t>
      </w:r>
      <w:r w:rsidRPr="00C930D4">
        <w:rPr>
          <w:rFonts w:asciiTheme="minorHAnsi" w:hAnsiTheme="minorHAnsi"/>
        </w:rPr>
        <w:t xml:space="preserve"> </w:t>
      </w:r>
      <w:r w:rsidR="00404D9D">
        <w:rPr>
          <w:rFonts w:asciiTheme="minorHAnsi" w:hAnsiTheme="minorHAnsi"/>
        </w:rPr>
        <w:t>O</w:t>
      </w:r>
      <w:r w:rsidRPr="00C930D4">
        <w:rPr>
          <w:rFonts w:asciiTheme="minorHAnsi" w:hAnsiTheme="minorHAnsi"/>
        </w:rPr>
        <w:t>pportunities</w:t>
      </w:r>
      <w:r w:rsidR="006111BC">
        <w:rPr>
          <w:rFonts w:asciiTheme="minorHAnsi" w:hAnsiTheme="minorHAnsi"/>
        </w:rPr>
        <w:t xml:space="preserve"> </w:t>
      </w:r>
      <w:r w:rsidR="006111BC" w:rsidRPr="005936F5">
        <w:rPr>
          <w:rFonts w:asciiTheme="minorHAnsi" w:hAnsiTheme="minorHAnsi"/>
        </w:rPr>
        <w:t>should be sought</w:t>
      </w:r>
      <w:r w:rsidR="006111BC">
        <w:rPr>
          <w:rFonts w:asciiTheme="minorHAnsi" w:hAnsiTheme="minorHAnsi"/>
        </w:rPr>
        <w:t xml:space="preserve"> </w:t>
      </w:r>
      <w:r w:rsidRPr="00C930D4">
        <w:rPr>
          <w:rFonts w:asciiTheme="minorHAnsi" w:hAnsiTheme="minorHAnsi"/>
        </w:rPr>
        <w:t>to promote the message that for Quality Use of Medicines</w:t>
      </w:r>
      <w:r w:rsidR="003306B9">
        <w:rPr>
          <w:rFonts w:asciiTheme="minorHAnsi" w:hAnsiTheme="minorHAnsi"/>
        </w:rPr>
        <w:t>,</w:t>
      </w:r>
      <w:r w:rsidRPr="00C930D4">
        <w:rPr>
          <w:rFonts w:asciiTheme="minorHAnsi" w:hAnsiTheme="minorHAnsi"/>
        </w:rPr>
        <w:t xml:space="preserve"> optimal management of LDL-C reduction requires statins should be first choice</w:t>
      </w:r>
      <w:r w:rsidR="003306B9">
        <w:rPr>
          <w:rFonts w:asciiTheme="minorHAnsi" w:hAnsiTheme="minorHAnsi"/>
        </w:rPr>
        <w:t>. C</w:t>
      </w:r>
      <w:r w:rsidRPr="00C930D4">
        <w:rPr>
          <w:rFonts w:asciiTheme="minorHAnsi" w:hAnsiTheme="minorHAnsi"/>
        </w:rPr>
        <w:t xml:space="preserve">ompliance with therapy </w:t>
      </w:r>
      <w:r w:rsidR="003306B9">
        <w:rPr>
          <w:rFonts w:asciiTheme="minorHAnsi" w:hAnsiTheme="minorHAnsi"/>
        </w:rPr>
        <w:t xml:space="preserve">is essential in order to </w:t>
      </w:r>
      <w:r w:rsidRPr="00C930D4">
        <w:rPr>
          <w:rFonts w:asciiTheme="minorHAnsi" w:hAnsiTheme="minorHAnsi"/>
        </w:rPr>
        <w:t>ensure</w:t>
      </w:r>
      <w:r w:rsidR="003306B9">
        <w:rPr>
          <w:rFonts w:asciiTheme="minorHAnsi" w:hAnsiTheme="minorHAnsi"/>
        </w:rPr>
        <w:t xml:space="preserve"> that</w:t>
      </w:r>
      <w:r w:rsidRPr="00C930D4">
        <w:rPr>
          <w:rFonts w:asciiTheme="minorHAnsi" w:hAnsiTheme="minorHAnsi"/>
        </w:rPr>
        <w:t xml:space="preserve"> optimal health benefit is achieved. Ezetimibe should only be prescribed after the </w:t>
      </w:r>
      <w:r w:rsidRPr="00C930D4">
        <w:rPr>
          <w:rFonts w:asciiTheme="minorHAnsi" w:hAnsiTheme="minorHAnsi"/>
        </w:rPr>
        <w:lastRenderedPageBreak/>
        <w:t>statin dose has been optimised, unless the patient is contraindicated to statin therapy</w:t>
      </w:r>
      <w:r>
        <w:rPr>
          <w:rFonts w:asciiTheme="minorHAnsi" w:hAnsiTheme="minorHAnsi"/>
        </w:rPr>
        <w:t xml:space="preserve">. </w:t>
      </w:r>
    </w:p>
    <w:p w:rsidR="005F7E9E" w:rsidRPr="007C6BF9" w:rsidRDefault="005F7E9E">
      <w:pPr>
        <w:spacing w:after="120" w:line="240" w:lineRule="auto"/>
        <w:rPr>
          <w:rFonts w:asciiTheme="minorHAnsi" w:hAnsiTheme="minorHAnsi"/>
        </w:rPr>
      </w:pPr>
      <w:r w:rsidRPr="007C6BF9">
        <w:rPr>
          <w:rFonts w:asciiTheme="minorHAnsi" w:hAnsiTheme="minorHAnsi"/>
          <w:szCs w:val="24"/>
          <w:highlight w:val="yellow"/>
        </w:rPr>
        <w:t>The PBAC may wish to consider the following revised restriction</w:t>
      </w:r>
      <w:r w:rsidR="000B1F8F">
        <w:rPr>
          <w:rFonts w:asciiTheme="minorHAnsi" w:hAnsiTheme="minorHAnsi"/>
          <w:szCs w:val="24"/>
          <w:highlight w:val="yellow"/>
        </w:rPr>
        <w:t>s</w:t>
      </w:r>
      <w:r w:rsidRPr="007C6BF9">
        <w:rPr>
          <w:rFonts w:asciiTheme="minorHAnsi" w:hAnsiTheme="minorHAnsi"/>
          <w:szCs w:val="24"/>
          <w:highlight w:val="yellow"/>
        </w:rPr>
        <w:t xml:space="preserve"> for ezetimibe. </w:t>
      </w:r>
      <w:r w:rsidRPr="007C6BF9">
        <w:rPr>
          <w:rFonts w:asciiTheme="minorHAnsi" w:hAnsiTheme="minorHAnsi"/>
          <w:highlight w:val="yellow"/>
        </w:rPr>
        <w:t xml:space="preserve">In the future, the PBAC may wish to apply a contemporary absolute risk threshold approach to the </w:t>
      </w:r>
      <w:r w:rsidR="0056425D">
        <w:rPr>
          <w:rFonts w:asciiTheme="minorHAnsi" w:hAnsiTheme="minorHAnsi"/>
          <w:highlight w:val="yellow"/>
        </w:rPr>
        <w:t xml:space="preserve">PBS </w:t>
      </w:r>
      <w:r w:rsidRPr="007C6BF9">
        <w:rPr>
          <w:rFonts w:asciiTheme="minorHAnsi" w:hAnsiTheme="minorHAnsi"/>
          <w:highlight w:val="yellow"/>
        </w:rPr>
        <w:t>ezetimibe restriction for both the high and low cardiovascular risk populations</w:t>
      </w:r>
      <w:r w:rsidRPr="007C6BF9">
        <w:rPr>
          <w:rFonts w:asciiTheme="minorHAnsi" w:hAnsiTheme="minorHAnsi"/>
        </w:rPr>
        <w:t xml:space="preserve"> </w:t>
      </w:r>
    </w:p>
    <w:p w:rsidR="00766A52" w:rsidRDefault="00766A52" w:rsidP="005A2287">
      <w:pPr>
        <w:pStyle w:val="ListParagraph"/>
        <w:spacing w:after="120" w:line="240" w:lineRule="auto"/>
        <w:rPr>
          <w:rFonts w:asciiTheme="minorHAnsi" w:hAnsiTheme="minorHAnsi"/>
          <w:b/>
        </w:rPr>
      </w:pPr>
    </w:p>
    <w:p w:rsidR="00221CE2" w:rsidRPr="00C92E45" w:rsidRDefault="000B1F8F" w:rsidP="005A2287">
      <w:pPr>
        <w:pStyle w:val="ListParagraph"/>
        <w:numPr>
          <w:ilvl w:val="0"/>
          <w:numId w:val="47"/>
        </w:numPr>
        <w:spacing w:after="120" w:line="240" w:lineRule="auto"/>
        <w:ind w:hanging="720"/>
        <w:rPr>
          <w:rFonts w:asciiTheme="minorHAnsi" w:hAnsiTheme="minorHAnsi"/>
          <w:b/>
          <w:highlight w:val="yellow"/>
        </w:rPr>
      </w:pPr>
      <w:r w:rsidRPr="00C92E45">
        <w:rPr>
          <w:rFonts w:asciiTheme="minorHAnsi" w:hAnsiTheme="minorHAnsi"/>
          <w:b/>
          <w:szCs w:val="24"/>
          <w:highlight w:val="yellow"/>
        </w:rPr>
        <w:t>ezet</w:t>
      </w:r>
      <w:r w:rsidR="00E816CE" w:rsidRPr="00C92E45">
        <w:rPr>
          <w:rFonts w:asciiTheme="minorHAnsi" w:hAnsiTheme="minorHAnsi"/>
          <w:b/>
          <w:szCs w:val="24"/>
          <w:highlight w:val="yellow"/>
        </w:rPr>
        <w:t>i</w:t>
      </w:r>
      <w:r w:rsidRPr="00C92E45">
        <w:rPr>
          <w:rFonts w:asciiTheme="minorHAnsi" w:hAnsiTheme="minorHAnsi"/>
          <w:b/>
          <w:szCs w:val="24"/>
          <w:highlight w:val="yellow"/>
        </w:rPr>
        <w:t xml:space="preserve">mibe 10mg </w:t>
      </w:r>
    </w:p>
    <w:p w:rsidR="0000686B" w:rsidRPr="00221CE2" w:rsidRDefault="0000686B" w:rsidP="005A2287">
      <w:pPr>
        <w:pStyle w:val="ListParagraph"/>
        <w:spacing w:after="120" w:line="240" w:lineRule="auto"/>
        <w:ind w:hanging="720"/>
        <w:rPr>
          <w:rFonts w:asciiTheme="minorHAnsi" w:hAnsiTheme="minorHAnsi"/>
          <w:b/>
          <w:highlight w:val="yellow"/>
        </w:rPr>
      </w:pPr>
      <w:r w:rsidRPr="00221CE2">
        <w:rPr>
          <w:rFonts w:asciiTheme="minorHAnsi" w:hAnsiTheme="minorHAnsi"/>
          <w:b/>
          <w:highlight w:val="yellow"/>
        </w:rPr>
        <w:t>Authority Required (Streamlined)</w:t>
      </w:r>
    </w:p>
    <w:p w:rsidR="0000686B" w:rsidRPr="00221CE2" w:rsidRDefault="0000686B" w:rsidP="005A2287">
      <w:pPr>
        <w:spacing w:before="100" w:beforeAutospacing="1" w:after="100" w:afterAutospacing="1" w:line="240" w:lineRule="auto"/>
        <w:rPr>
          <w:rFonts w:asciiTheme="minorHAnsi" w:hAnsiTheme="minorHAnsi"/>
          <w:b/>
          <w:highlight w:val="yellow"/>
        </w:rPr>
      </w:pPr>
      <w:r w:rsidRPr="00221CE2">
        <w:rPr>
          <w:rFonts w:asciiTheme="minorHAnsi" w:hAnsiTheme="minorHAnsi"/>
          <w:b/>
          <w:highlight w:val="yellow"/>
        </w:rPr>
        <w:t>Hypercholesterolaemia</w:t>
      </w:r>
    </w:p>
    <w:p w:rsidR="0000686B" w:rsidRPr="00221CE2" w:rsidRDefault="0000686B" w:rsidP="005A2287">
      <w:pPr>
        <w:spacing w:before="100" w:beforeAutospacing="1" w:after="100" w:afterAutospacing="1" w:line="240" w:lineRule="auto"/>
        <w:rPr>
          <w:rFonts w:asciiTheme="minorHAnsi" w:hAnsiTheme="minorHAnsi"/>
          <w:highlight w:val="yellow"/>
          <w:u w:val="single"/>
        </w:rPr>
      </w:pPr>
      <w:r w:rsidRPr="00221CE2">
        <w:rPr>
          <w:rFonts w:asciiTheme="minorHAnsi" w:hAnsiTheme="minorHAnsi"/>
          <w:highlight w:val="yellow"/>
          <w:u w:val="single"/>
        </w:rPr>
        <w:t>Clinical Criteria</w:t>
      </w:r>
    </w:p>
    <w:p w:rsidR="0000686B" w:rsidRPr="00221CE2" w:rsidRDefault="0000686B">
      <w:pPr>
        <w:pStyle w:val="ListParagraph"/>
        <w:numPr>
          <w:ilvl w:val="0"/>
          <w:numId w:val="29"/>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The treatment must be co-administered with an HMG CoA reductase inhibitor (statin)</w:t>
      </w:r>
    </w:p>
    <w:p w:rsidR="0000686B" w:rsidRPr="00221CE2" w:rsidRDefault="0000686B">
      <w:pPr>
        <w:spacing w:before="100" w:beforeAutospacing="1" w:after="100" w:afterAutospacing="1" w:line="240" w:lineRule="auto"/>
        <w:rPr>
          <w:rFonts w:asciiTheme="minorHAnsi" w:hAnsiTheme="minorHAnsi"/>
          <w:b/>
          <w:highlight w:val="yellow"/>
        </w:rPr>
      </w:pPr>
      <w:r w:rsidRPr="00221CE2">
        <w:rPr>
          <w:rFonts w:asciiTheme="minorHAnsi" w:hAnsiTheme="minorHAnsi"/>
          <w:b/>
          <w:highlight w:val="yellow"/>
        </w:rPr>
        <w:t>AND</w:t>
      </w:r>
    </w:p>
    <w:p w:rsidR="0000686B" w:rsidRPr="00221CE2" w:rsidRDefault="0000686B">
      <w:pPr>
        <w:pStyle w:val="ListParagraph"/>
        <w:numPr>
          <w:ilvl w:val="0"/>
          <w:numId w:val="29"/>
        </w:numPr>
        <w:spacing w:before="100" w:beforeAutospacing="1" w:after="100" w:afterAutospacing="1" w:line="240" w:lineRule="auto"/>
        <w:rPr>
          <w:rFonts w:asciiTheme="minorHAnsi" w:hAnsiTheme="minorHAnsi"/>
          <w:highlight w:val="yellow"/>
        </w:rPr>
      </w:pPr>
      <w:r w:rsidRPr="0076247E">
        <w:rPr>
          <w:rFonts w:asciiTheme="minorHAnsi" w:hAnsiTheme="minorHAnsi"/>
        </w:rPr>
        <w:t xml:space="preserve">Patient must have cholesterol </w:t>
      </w:r>
      <w:r w:rsidR="0076247E" w:rsidRPr="0076247E">
        <w:rPr>
          <w:rFonts w:asciiTheme="minorHAnsi" w:eastAsia="Times New Roman" w:hAnsiTheme="minorHAnsi" w:cs="Arial"/>
          <w:color w:val="222222"/>
          <w:szCs w:val="24"/>
          <w:highlight w:val="yellow"/>
          <w:lang w:eastAsia="en-AU"/>
        </w:rPr>
        <w:t>concentrations</w:t>
      </w:r>
      <w:r w:rsidRPr="0076247E">
        <w:rPr>
          <w:rFonts w:asciiTheme="minorHAnsi" w:hAnsiTheme="minorHAnsi"/>
        </w:rPr>
        <w:t xml:space="preserve"> that are inadequately controlled with an HMG CoA reductase inhibitor (statin). Inadequate control is a </w:t>
      </w:r>
      <w:r w:rsidRPr="00221CE2">
        <w:rPr>
          <w:rFonts w:asciiTheme="minorHAnsi" w:hAnsiTheme="minorHAnsi"/>
          <w:highlight w:val="yellow"/>
        </w:rPr>
        <w:t xml:space="preserve">cholesterol </w:t>
      </w:r>
      <w:r w:rsidR="004C1339" w:rsidRPr="004C1339">
        <w:rPr>
          <w:rFonts w:asciiTheme="minorHAnsi" w:eastAsia="Times New Roman" w:hAnsiTheme="minorHAnsi" w:cs="Arial"/>
          <w:color w:val="222222"/>
          <w:szCs w:val="24"/>
          <w:highlight w:val="yellow"/>
          <w:lang w:eastAsia="en-AU"/>
        </w:rPr>
        <w:t>concentration</w:t>
      </w:r>
      <w:r w:rsidR="004C1339" w:rsidRPr="004C1339">
        <w:rPr>
          <w:rFonts w:asciiTheme="minorHAnsi" w:hAnsiTheme="minorHAnsi"/>
          <w:highlight w:val="yellow"/>
        </w:rPr>
        <w:t xml:space="preserve"> </w:t>
      </w:r>
      <w:r w:rsidRPr="004C1339">
        <w:rPr>
          <w:rFonts w:asciiTheme="minorHAnsi" w:hAnsiTheme="minorHAnsi"/>
          <w:highlight w:val="yellow"/>
        </w:rPr>
        <w:t xml:space="preserve">in </w:t>
      </w:r>
      <w:r w:rsidRPr="00221CE2">
        <w:rPr>
          <w:rFonts w:asciiTheme="minorHAnsi" w:hAnsiTheme="minorHAnsi"/>
          <w:highlight w:val="yellow"/>
        </w:rPr>
        <w:t xml:space="preserve">excess of 4mmol per L after at least 3 months of treatment at a maximum tolerated dose of a statin. The dose and duration of statin treatment </w:t>
      </w:r>
      <w:r w:rsidRPr="0076247E">
        <w:rPr>
          <w:rFonts w:asciiTheme="minorHAnsi" w:hAnsiTheme="minorHAnsi"/>
          <w:highlight w:val="yellow"/>
        </w:rPr>
        <w:t xml:space="preserve">and the cholesterol </w:t>
      </w:r>
      <w:r w:rsidR="0076247E" w:rsidRPr="0076247E">
        <w:rPr>
          <w:rFonts w:asciiTheme="minorHAnsi" w:eastAsia="Times New Roman" w:hAnsiTheme="minorHAnsi" w:cs="Arial"/>
          <w:color w:val="222222"/>
          <w:szCs w:val="24"/>
          <w:highlight w:val="yellow"/>
          <w:lang w:eastAsia="en-AU"/>
        </w:rPr>
        <w:t>concentration</w:t>
      </w:r>
      <w:r w:rsidR="0076247E" w:rsidRPr="0076247E">
        <w:rPr>
          <w:rFonts w:asciiTheme="minorHAnsi" w:hAnsiTheme="minorHAnsi"/>
          <w:highlight w:val="yellow"/>
        </w:rPr>
        <w:t xml:space="preserve"> </w:t>
      </w:r>
      <w:r w:rsidRPr="0076247E">
        <w:rPr>
          <w:rFonts w:asciiTheme="minorHAnsi" w:hAnsiTheme="minorHAnsi"/>
          <w:highlight w:val="yellow"/>
        </w:rPr>
        <w:t xml:space="preserve">which shows inadequate control must be </w:t>
      </w:r>
      <w:r w:rsidRPr="00221CE2">
        <w:rPr>
          <w:rFonts w:asciiTheme="minorHAnsi" w:hAnsiTheme="minorHAnsi"/>
          <w:highlight w:val="yellow"/>
        </w:rPr>
        <w:t>documented in the patient’s medical records when ezetimibe is initiated.</w:t>
      </w:r>
    </w:p>
    <w:p w:rsidR="007C6BF9" w:rsidRPr="00221CE2" w:rsidRDefault="007C6BF9">
      <w:pPr>
        <w:pStyle w:val="ListParagraph"/>
        <w:spacing w:after="120" w:line="240" w:lineRule="auto"/>
        <w:ind w:left="0"/>
        <w:contextualSpacing w:val="0"/>
        <w:rPr>
          <w:rFonts w:asciiTheme="minorHAnsi" w:hAnsiTheme="minorHAnsi"/>
          <w:b/>
          <w:highlight w:val="yellow"/>
        </w:rPr>
      </w:pPr>
    </w:p>
    <w:p w:rsidR="0000686B" w:rsidRPr="00221CE2" w:rsidRDefault="0000686B">
      <w:pPr>
        <w:pStyle w:val="ListParagraph"/>
        <w:spacing w:after="120" w:line="240" w:lineRule="auto"/>
        <w:ind w:left="0"/>
        <w:contextualSpacing w:val="0"/>
        <w:rPr>
          <w:rFonts w:asciiTheme="minorHAnsi" w:hAnsiTheme="minorHAnsi"/>
          <w:b/>
          <w:highlight w:val="yellow"/>
        </w:rPr>
      </w:pPr>
      <w:r w:rsidRPr="00221CE2">
        <w:rPr>
          <w:rFonts w:asciiTheme="minorHAnsi" w:hAnsiTheme="minorHAnsi"/>
          <w:b/>
          <w:highlight w:val="yellow"/>
        </w:rPr>
        <w:t>AND</w:t>
      </w:r>
    </w:p>
    <w:p w:rsidR="0000686B" w:rsidRPr="00221CE2" w:rsidRDefault="0000686B">
      <w:pPr>
        <w:pStyle w:val="ListParagraph"/>
        <w:numPr>
          <w:ilvl w:val="0"/>
          <w:numId w:val="29"/>
        </w:numPr>
        <w:spacing w:before="100" w:beforeAutospacing="1" w:after="100" w:afterAutospacing="1" w:line="240" w:lineRule="auto"/>
        <w:rPr>
          <w:rFonts w:ascii="Times New Roman" w:eastAsia="Times New Roman" w:hAnsi="Times New Roman" w:cs="Times New Roman"/>
          <w:szCs w:val="24"/>
          <w:highlight w:val="yellow"/>
          <w:lang w:eastAsia="en-AU"/>
        </w:rPr>
      </w:pPr>
      <w:r w:rsidRPr="00221CE2">
        <w:rPr>
          <w:rFonts w:asciiTheme="minorHAnsi" w:hAnsiTheme="minorHAnsi"/>
          <w:highlight w:val="yellow"/>
        </w:rPr>
        <w:t xml:space="preserve">Patient falls into </w:t>
      </w:r>
      <w:r w:rsidR="0067506D" w:rsidRPr="00221CE2">
        <w:rPr>
          <w:rFonts w:asciiTheme="minorHAnsi" w:hAnsiTheme="minorHAnsi"/>
          <w:highlight w:val="yellow"/>
        </w:rPr>
        <w:t>at least one  of the</w:t>
      </w:r>
      <w:r w:rsidRPr="00221CE2">
        <w:rPr>
          <w:rFonts w:asciiTheme="minorHAnsi" w:hAnsiTheme="minorHAnsi"/>
          <w:highlight w:val="yellow"/>
        </w:rPr>
        <w:t xml:space="preserve"> very high risk categor</w:t>
      </w:r>
      <w:r w:rsidR="0067506D" w:rsidRPr="00221CE2">
        <w:rPr>
          <w:rFonts w:asciiTheme="minorHAnsi" w:hAnsiTheme="minorHAnsi"/>
          <w:highlight w:val="yellow"/>
        </w:rPr>
        <w:t xml:space="preserve">ies </w:t>
      </w:r>
      <w:r w:rsidRPr="00221CE2">
        <w:rPr>
          <w:rFonts w:asciiTheme="minorHAnsi" w:hAnsiTheme="minorHAnsi"/>
          <w:highlight w:val="yellow"/>
        </w:rPr>
        <w:t xml:space="preserve">described as </w:t>
      </w:r>
    </w:p>
    <w:p w:rsidR="0000686B" w:rsidRPr="00221CE2" w:rsidRDefault="0000686B">
      <w:pPr>
        <w:numPr>
          <w:ilvl w:val="0"/>
          <w:numId w:val="33"/>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coronary heart disease which has become symptomatic</w:t>
      </w:r>
    </w:p>
    <w:p w:rsidR="0000686B" w:rsidRPr="00221CE2" w:rsidRDefault="0000686B">
      <w:pPr>
        <w:numPr>
          <w:ilvl w:val="0"/>
          <w:numId w:val="33"/>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cerebrovascular disease which has become symptomatic</w:t>
      </w:r>
    </w:p>
    <w:p w:rsidR="0000686B" w:rsidRPr="00221CE2" w:rsidRDefault="0000686B">
      <w:pPr>
        <w:numPr>
          <w:ilvl w:val="0"/>
          <w:numId w:val="33"/>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peripheral vascular disease which has become symptomatic</w:t>
      </w:r>
    </w:p>
    <w:p w:rsidR="0000686B" w:rsidRPr="00221CE2" w:rsidRDefault="0000686B">
      <w:pPr>
        <w:numPr>
          <w:ilvl w:val="0"/>
          <w:numId w:val="33"/>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 xml:space="preserve">diabetes mellitus with microalbuminuria (defined as urinary albumin excretion rate of &gt;20mcg/min or urinary albumin to creatinine ratio of &gt; 2.5 for males, &gt; 3.5 for females) </w:t>
      </w:r>
    </w:p>
    <w:p w:rsidR="0000686B" w:rsidRPr="00221CE2" w:rsidRDefault="0000686B">
      <w:pPr>
        <w:numPr>
          <w:ilvl w:val="0"/>
          <w:numId w:val="33"/>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diabetes mellitus in Aboriginal or Torres Strait Islander patients</w:t>
      </w:r>
    </w:p>
    <w:p w:rsidR="0000686B" w:rsidRPr="00221CE2" w:rsidRDefault="0000686B">
      <w:pPr>
        <w:numPr>
          <w:ilvl w:val="0"/>
          <w:numId w:val="33"/>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diabetes mellitus in patients aged 60 years or more</w:t>
      </w:r>
    </w:p>
    <w:p w:rsidR="0000686B" w:rsidRPr="00221CE2" w:rsidRDefault="0000686B">
      <w:pPr>
        <w:numPr>
          <w:ilvl w:val="0"/>
          <w:numId w:val="33"/>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 xml:space="preserve">family history of coronary heart disease which has become symptomatic before the age of 55 years in two or more first degree relatives </w:t>
      </w:r>
    </w:p>
    <w:p w:rsidR="0000686B" w:rsidRPr="00221CE2" w:rsidRDefault="0000686B">
      <w:pPr>
        <w:numPr>
          <w:ilvl w:val="0"/>
          <w:numId w:val="33"/>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 xml:space="preserve">family history of coronary heart disease which has become symptomatic before the age of 45 years in one or more first degree relatives </w:t>
      </w:r>
    </w:p>
    <w:p w:rsidR="005A0CF1" w:rsidRPr="00221CE2" w:rsidRDefault="005A0CF1">
      <w:pPr>
        <w:pStyle w:val="ListParagraph"/>
        <w:numPr>
          <w:ilvl w:val="0"/>
          <w:numId w:val="33"/>
        </w:numPr>
        <w:spacing w:after="120" w:line="240" w:lineRule="auto"/>
        <w:rPr>
          <w:rFonts w:asciiTheme="minorHAnsi" w:hAnsiTheme="minorHAnsi"/>
          <w:highlight w:val="yellow"/>
        </w:rPr>
      </w:pPr>
      <w:r w:rsidRPr="00221CE2">
        <w:rPr>
          <w:rFonts w:asciiTheme="minorHAnsi" w:hAnsiTheme="minorHAnsi"/>
          <w:highlight w:val="yellow"/>
        </w:rPr>
        <w:t>Heterozygous/Homozygous familial hypercholesterolaemia.</w:t>
      </w:r>
    </w:p>
    <w:p w:rsidR="007C6BF9" w:rsidRPr="00221CE2" w:rsidRDefault="007C6BF9">
      <w:pPr>
        <w:pStyle w:val="ListParagraph"/>
        <w:tabs>
          <w:tab w:val="num" w:pos="0"/>
        </w:tabs>
        <w:spacing w:after="120" w:line="240" w:lineRule="auto"/>
        <w:ind w:left="0"/>
        <w:contextualSpacing w:val="0"/>
        <w:rPr>
          <w:rFonts w:asciiTheme="minorHAnsi" w:hAnsiTheme="minorHAnsi"/>
          <w:b/>
          <w:highlight w:val="yellow"/>
        </w:rPr>
      </w:pPr>
    </w:p>
    <w:p w:rsidR="0000686B" w:rsidRPr="00221CE2" w:rsidRDefault="0000686B">
      <w:pPr>
        <w:pStyle w:val="ListParagraph"/>
        <w:tabs>
          <w:tab w:val="num" w:pos="0"/>
        </w:tabs>
        <w:spacing w:after="120" w:line="240" w:lineRule="auto"/>
        <w:ind w:left="0"/>
        <w:contextualSpacing w:val="0"/>
        <w:rPr>
          <w:rFonts w:asciiTheme="minorHAnsi" w:hAnsiTheme="minorHAnsi"/>
          <w:b/>
          <w:highlight w:val="yellow"/>
        </w:rPr>
      </w:pPr>
      <w:r w:rsidRPr="00221CE2">
        <w:rPr>
          <w:rFonts w:asciiTheme="minorHAnsi" w:hAnsiTheme="minorHAnsi"/>
          <w:b/>
          <w:highlight w:val="yellow"/>
        </w:rPr>
        <w:t>OR</w:t>
      </w:r>
    </w:p>
    <w:p w:rsidR="0000686B" w:rsidRDefault="0000686B">
      <w:pPr>
        <w:pStyle w:val="ListParagraph"/>
        <w:numPr>
          <w:ilvl w:val="0"/>
          <w:numId w:val="29"/>
        </w:numPr>
        <w:spacing w:after="120" w:line="240" w:lineRule="auto"/>
        <w:contextualSpacing w:val="0"/>
        <w:rPr>
          <w:rFonts w:asciiTheme="minorHAnsi" w:hAnsiTheme="minorHAnsi"/>
          <w:highlight w:val="yellow"/>
        </w:rPr>
      </w:pPr>
      <w:r w:rsidRPr="00221CE2">
        <w:rPr>
          <w:rFonts w:asciiTheme="minorHAnsi" w:hAnsiTheme="minorHAnsi"/>
          <w:highlight w:val="yellow"/>
        </w:rPr>
        <w:lastRenderedPageBreak/>
        <w:t>Where a patient’s level of absolute risk of a cardiovascular event is greater than 15% over 5 years as calculated by the Australian Absolute cardiovascular disease risk calculator (National Vascular Disease Prevention Alliance)</w:t>
      </w:r>
    </w:p>
    <w:p w:rsidR="00150B45" w:rsidRPr="00221CE2" w:rsidRDefault="00150B45">
      <w:pPr>
        <w:pStyle w:val="ListParagraph"/>
        <w:spacing w:after="120" w:line="240" w:lineRule="auto"/>
        <w:rPr>
          <w:rFonts w:asciiTheme="minorHAnsi" w:hAnsiTheme="minorHAnsi"/>
          <w:highlight w:val="yellow"/>
        </w:rPr>
      </w:pPr>
    </w:p>
    <w:p w:rsidR="00150B45" w:rsidRPr="0056425D" w:rsidRDefault="00150B45" w:rsidP="005A2287">
      <w:pPr>
        <w:pStyle w:val="ListParagraph"/>
        <w:numPr>
          <w:ilvl w:val="0"/>
          <w:numId w:val="47"/>
        </w:numPr>
        <w:spacing w:after="120" w:line="240" w:lineRule="auto"/>
        <w:ind w:left="426"/>
        <w:rPr>
          <w:rFonts w:asciiTheme="minorHAnsi" w:hAnsiTheme="minorHAnsi"/>
          <w:b/>
          <w:szCs w:val="24"/>
          <w:highlight w:val="yellow"/>
        </w:rPr>
      </w:pPr>
      <w:r w:rsidRPr="0056425D">
        <w:rPr>
          <w:rFonts w:asciiTheme="minorHAnsi" w:hAnsiTheme="minorHAnsi"/>
          <w:b/>
          <w:szCs w:val="24"/>
          <w:highlight w:val="yellow"/>
        </w:rPr>
        <w:t xml:space="preserve">ezetimibe 10mg </w:t>
      </w:r>
    </w:p>
    <w:p w:rsidR="00150B45" w:rsidRPr="00221CE2" w:rsidRDefault="00150B45">
      <w:pPr>
        <w:pStyle w:val="ListParagraph"/>
        <w:spacing w:after="120" w:line="240" w:lineRule="auto"/>
        <w:ind w:hanging="720"/>
        <w:rPr>
          <w:rFonts w:asciiTheme="minorHAnsi" w:hAnsiTheme="minorHAnsi"/>
          <w:b/>
          <w:highlight w:val="yellow"/>
        </w:rPr>
      </w:pPr>
      <w:r w:rsidRPr="00221CE2">
        <w:rPr>
          <w:rFonts w:asciiTheme="minorHAnsi" w:hAnsiTheme="minorHAnsi"/>
          <w:b/>
          <w:highlight w:val="yellow"/>
        </w:rPr>
        <w:t>Authority Required (Streamlined)</w:t>
      </w:r>
    </w:p>
    <w:p w:rsidR="00150B45" w:rsidRPr="00221CE2" w:rsidRDefault="00150B45">
      <w:pPr>
        <w:spacing w:after="120" w:line="240" w:lineRule="auto"/>
        <w:rPr>
          <w:rFonts w:ascii="Times New Roman" w:eastAsia="Times New Roman" w:hAnsi="Times New Roman" w:cs="Times New Roman"/>
          <w:b/>
          <w:szCs w:val="24"/>
          <w:highlight w:val="yellow"/>
          <w:lang w:eastAsia="en-AU"/>
        </w:rPr>
      </w:pPr>
      <w:r w:rsidRPr="00221CE2">
        <w:rPr>
          <w:rFonts w:asciiTheme="minorHAnsi" w:hAnsiTheme="minorHAnsi"/>
          <w:b/>
          <w:highlight w:val="yellow"/>
        </w:rPr>
        <w:t>Hypercholesterolaemia</w:t>
      </w:r>
      <w:r w:rsidRPr="00221CE2">
        <w:rPr>
          <w:rFonts w:ascii="Times New Roman" w:eastAsia="Times New Roman" w:hAnsi="Times New Roman" w:cs="Times New Roman"/>
          <w:b/>
          <w:szCs w:val="24"/>
          <w:highlight w:val="yellow"/>
          <w:lang w:eastAsia="en-AU"/>
        </w:rPr>
        <w:t xml:space="preserve"> </w:t>
      </w:r>
    </w:p>
    <w:p w:rsidR="00150B45" w:rsidRPr="00221CE2" w:rsidRDefault="00150B45">
      <w:pPr>
        <w:spacing w:after="120" w:line="240" w:lineRule="auto"/>
        <w:rPr>
          <w:rFonts w:asciiTheme="minorHAnsi" w:hAnsiTheme="minorHAnsi"/>
          <w:highlight w:val="yellow"/>
          <w:u w:val="single"/>
        </w:rPr>
      </w:pPr>
      <w:r w:rsidRPr="00221CE2">
        <w:rPr>
          <w:rFonts w:asciiTheme="minorHAnsi" w:hAnsiTheme="minorHAnsi"/>
          <w:highlight w:val="yellow"/>
          <w:u w:val="single"/>
        </w:rPr>
        <w:t>Clinical criteria</w:t>
      </w:r>
    </w:p>
    <w:p w:rsidR="00150B45" w:rsidRPr="00221CE2" w:rsidRDefault="00150B45">
      <w:pPr>
        <w:pStyle w:val="ListParagraph"/>
        <w:numPr>
          <w:ilvl w:val="1"/>
          <w:numId w:val="15"/>
        </w:numPr>
        <w:spacing w:before="100" w:beforeAutospacing="1" w:after="100" w:afterAutospacing="1" w:line="240" w:lineRule="auto"/>
        <w:ind w:left="426"/>
        <w:rPr>
          <w:rFonts w:asciiTheme="minorHAnsi" w:hAnsiTheme="minorHAnsi"/>
          <w:highlight w:val="yellow"/>
        </w:rPr>
      </w:pPr>
      <w:r w:rsidRPr="00221CE2">
        <w:rPr>
          <w:rFonts w:asciiTheme="minorHAnsi" w:hAnsiTheme="minorHAnsi"/>
          <w:highlight w:val="yellow"/>
        </w:rPr>
        <w:t xml:space="preserve">Patient must be one in whom treatment with an HMG CoA reductase inhibitor (statin) is contraindicated. </w:t>
      </w:r>
    </w:p>
    <w:p w:rsidR="00150B45" w:rsidRPr="00221CE2" w:rsidRDefault="00150B45">
      <w:pPr>
        <w:pStyle w:val="ListParagraph"/>
        <w:spacing w:after="120" w:line="240" w:lineRule="auto"/>
        <w:ind w:left="0"/>
        <w:contextualSpacing w:val="0"/>
        <w:rPr>
          <w:rFonts w:asciiTheme="minorHAnsi" w:hAnsiTheme="minorHAnsi"/>
          <w:b/>
          <w:highlight w:val="yellow"/>
        </w:rPr>
      </w:pPr>
    </w:p>
    <w:p w:rsidR="00150B45" w:rsidRPr="00221CE2" w:rsidRDefault="00150B45">
      <w:pPr>
        <w:pStyle w:val="ListParagraph"/>
        <w:spacing w:after="120" w:line="240" w:lineRule="auto"/>
        <w:ind w:left="0"/>
        <w:contextualSpacing w:val="0"/>
        <w:rPr>
          <w:rFonts w:asciiTheme="minorHAnsi" w:hAnsiTheme="minorHAnsi"/>
          <w:b/>
          <w:highlight w:val="yellow"/>
        </w:rPr>
      </w:pPr>
      <w:r w:rsidRPr="00221CE2">
        <w:rPr>
          <w:rFonts w:asciiTheme="minorHAnsi" w:hAnsiTheme="minorHAnsi"/>
          <w:b/>
          <w:highlight w:val="yellow"/>
        </w:rPr>
        <w:t>AND</w:t>
      </w:r>
    </w:p>
    <w:p w:rsidR="00150B45" w:rsidRPr="00221CE2" w:rsidRDefault="00150B45">
      <w:pPr>
        <w:pStyle w:val="ListParagraph"/>
        <w:numPr>
          <w:ilvl w:val="0"/>
          <w:numId w:val="29"/>
        </w:numPr>
        <w:spacing w:before="100" w:beforeAutospacing="1" w:after="100" w:afterAutospacing="1" w:line="240" w:lineRule="auto"/>
        <w:rPr>
          <w:rFonts w:ascii="Times New Roman" w:eastAsia="Times New Roman" w:hAnsi="Times New Roman" w:cs="Times New Roman"/>
          <w:szCs w:val="24"/>
          <w:highlight w:val="yellow"/>
          <w:lang w:eastAsia="en-AU"/>
        </w:rPr>
      </w:pPr>
      <w:r w:rsidRPr="00221CE2">
        <w:rPr>
          <w:rFonts w:asciiTheme="minorHAnsi" w:hAnsiTheme="minorHAnsi"/>
          <w:highlight w:val="yellow"/>
        </w:rPr>
        <w:t xml:space="preserve">Patient falls into a very high risk category described as </w:t>
      </w:r>
    </w:p>
    <w:p w:rsidR="00150B45" w:rsidRPr="00221CE2" w:rsidRDefault="00150B45">
      <w:pPr>
        <w:numPr>
          <w:ilvl w:val="0"/>
          <w:numId w:val="30"/>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coronary heart disease which has become symptomatic</w:t>
      </w:r>
    </w:p>
    <w:p w:rsidR="00150B45" w:rsidRPr="00221CE2" w:rsidRDefault="00150B45">
      <w:pPr>
        <w:numPr>
          <w:ilvl w:val="0"/>
          <w:numId w:val="30"/>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cerebrovascular disease which has become symptomatic</w:t>
      </w:r>
    </w:p>
    <w:p w:rsidR="00150B45" w:rsidRPr="00221CE2" w:rsidRDefault="00150B45">
      <w:pPr>
        <w:numPr>
          <w:ilvl w:val="0"/>
          <w:numId w:val="30"/>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peripheral vascular disease which has become symptomatic</w:t>
      </w:r>
    </w:p>
    <w:p w:rsidR="00150B45" w:rsidRPr="00221CE2" w:rsidRDefault="00150B45">
      <w:pPr>
        <w:numPr>
          <w:ilvl w:val="0"/>
          <w:numId w:val="30"/>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 xml:space="preserve">diabetes mellitus with microalbuminuria (defined as urinary albumin excretion rate of &gt;20mcg/min or urinary albumin to creatinine ratio of &gt; 2.5 for males, &gt; 3.5 for females) </w:t>
      </w:r>
    </w:p>
    <w:p w:rsidR="00150B45" w:rsidRPr="00221CE2" w:rsidRDefault="00150B45">
      <w:pPr>
        <w:numPr>
          <w:ilvl w:val="0"/>
          <w:numId w:val="30"/>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diabetes mellitus in Aboriginal or Torres Strait Islander patients</w:t>
      </w:r>
    </w:p>
    <w:p w:rsidR="00150B45" w:rsidRPr="00221CE2" w:rsidRDefault="00150B45">
      <w:pPr>
        <w:numPr>
          <w:ilvl w:val="0"/>
          <w:numId w:val="30"/>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diabetes mellitus in patients aged 60 years or more</w:t>
      </w:r>
    </w:p>
    <w:p w:rsidR="00150B45" w:rsidRPr="00221CE2" w:rsidRDefault="00150B45">
      <w:pPr>
        <w:numPr>
          <w:ilvl w:val="0"/>
          <w:numId w:val="30"/>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 xml:space="preserve">family history of coronary heart disease which has become symptomatic before the age of 55 years in two or more first degree relatives </w:t>
      </w:r>
    </w:p>
    <w:p w:rsidR="00150B45" w:rsidRPr="00221CE2" w:rsidRDefault="00150B45">
      <w:pPr>
        <w:numPr>
          <w:ilvl w:val="0"/>
          <w:numId w:val="30"/>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 xml:space="preserve">family history of coronary heart disease which has become symptomatic before the age of 45 years in one or more first degree relatives </w:t>
      </w:r>
    </w:p>
    <w:p w:rsidR="00150B45" w:rsidRPr="00221CE2" w:rsidRDefault="00150B45">
      <w:pPr>
        <w:pStyle w:val="ListParagraph"/>
        <w:numPr>
          <w:ilvl w:val="0"/>
          <w:numId w:val="30"/>
        </w:numPr>
        <w:spacing w:after="120" w:line="240" w:lineRule="auto"/>
        <w:rPr>
          <w:rFonts w:asciiTheme="minorHAnsi" w:hAnsiTheme="minorHAnsi"/>
          <w:highlight w:val="yellow"/>
        </w:rPr>
      </w:pPr>
      <w:r w:rsidRPr="00221CE2">
        <w:rPr>
          <w:rFonts w:asciiTheme="minorHAnsi" w:hAnsiTheme="minorHAnsi"/>
          <w:highlight w:val="yellow"/>
        </w:rPr>
        <w:t>Heterozygous/Homozygous familial hypercholesterolaemia.</w:t>
      </w:r>
    </w:p>
    <w:p w:rsidR="00150B45" w:rsidRPr="00221CE2" w:rsidRDefault="00150B45">
      <w:pPr>
        <w:pStyle w:val="ListParagraph"/>
        <w:tabs>
          <w:tab w:val="num" w:pos="0"/>
        </w:tabs>
        <w:spacing w:after="120" w:line="240" w:lineRule="auto"/>
        <w:ind w:left="0"/>
        <w:contextualSpacing w:val="0"/>
        <w:rPr>
          <w:rFonts w:asciiTheme="minorHAnsi" w:hAnsiTheme="minorHAnsi"/>
          <w:b/>
          <w:highlight w:val="yellow"/>
        </w:rPr>
      </w:pPr>
    </w:p>
    <w:p w:rsidR="00150B45" w:rsidRPr="00221CE2" w:rsidRDefault="00150B45">
      <w:pPr>
        <w:pStyle w:val="ListParagraph"/>
        <w:tabs>
          <w:tab w:val="num" w:pos="0"/>
        </w:tabs>
        <w:spacing w:after="120" w:line="240" w:lineRule="auto"/>
        <w:ind w:left="0"/>
        <w:contextualSpacing w:val="0"/>
        <w:rPr>
          <w:rFonts w:asciiTheme="minorHAnsi" w:hAnsiTheme="minorHAnsi"/>
          <w:b/>
          <w:highlight w:val="yellow"/>
        </w:rPr>
      </w:pPr>
      <w:r w:rsidRPr="00221CE2">
        <w:rPr>
          <w:rFonts w:asciiTheme="minorHAnsi" w:hAnsiTheme="minorHAnsi"/>
          <w:b/>
          <w:highlight w:val="yellow"/>
        </w:rPr>
        <w:t>OR</w:t>
      </w:r>
    </w:p>
    <w:p w:rsidR="00150B45" w:rsidRDefault="00150B45">
      <w:pPr>
        <w:pStyle w:val="ListParagraph"/>
        <w:numPr>
          <w:ilvl w:val="0"/>
          <w:numId w:val="29"/>
        </w:numPr>
        <w:spacing w:after="120" w:line="240" w:lineRule="auto"/>
        <w:contextualSpacing w:val="0"/>
        <w:rPr>
          <w:rFonts w:asciiTheme="minorHAnsi" w:hAnsiTheme="minorHAnsi"/>
          <w:highlight w:val="yellow"/>
        </w:rPr>
      </w:pPr>
      <w:r w:rsidRPr="00E816CE">
        <w:rPr>
          <w:rFonts w:asciiTheme="minorHAnsi" w:hAnsiTheme="minorHAnsi"/>
          <w:highlight w:val="yellow"/>
        </w:rPr>
        <w:t>Where a patient’s level of absolute risk of a cardiovascular event is greater than 15% over 5 years as calculated by the Australian Absolute cardiovascular disease risk calculator (National Vascular Disease Prevention Alliance)</w:t>
      </w:r>
    </w:p>
    <w:p w:rsidR="00150B45" w:rsidRPr="00E816CE" w:rsidRDefault="00150B45">
      <w:pPr>
        <w:pStyle w:val="ListParagraph"/>
        <w:spacing w:after="120" w:line="240" w:lineRule="auto"/>
        <w:ind w:left="360"/>
        <w:contextualSpacing w:val="0"/>
        <w:rPr>
          <w:rFonts w:asciiTheme="minorHAnsi" w:hAnsiTheme="minorHAnsi"/>
          <w:highlight w:val="yellow"/>
        </w:rPr>
      </w:pPr>
    </w:p>
    <w:p w:rsidR="00150B45" w:rsidRPr="0056425D" w:rsidRDefault="00150B45" w:rsidP="005A2287">
      <w:pPr>
        <w:pStyle w:val="ListParagraph"/>
        <w:numPr>
          <w:ilvl w:val="0"/>
          <w:numId w:val="49"/>
        </w:numPr>
        <w:spacing w:after="120" w:line="240" w:lineRule="auto"/>
        <w:rPr>
          <w:rFonts w:asciiTheme="minorHAnsi" w:hAnsiTheme="minorHAnsi"/>
          <w:b/>
          <w:szCs w:val="24"/>
          <w:highlight w:val="yellow"/>
        </w:rPr>
      </w:pPr>
      <w:r w:rsidRPr="0056425D">
        <w:rPr>
          <w:rFonts w:asciiTheme="minorHAnsi" w:hAnsiTheme="minorHAnsi"/>
          <w:b/>
          <w:szCs w:val="24"/>
          <w:highlight w:val="yellow"/>
        </w:rPr>
        <w:t xml:space="preserve">ezetimibe 10mg </w:t>
      </w:r>
    </w:p>
    <w:p w:rsidR="00150B45" w:rsidRPr="00E816CE" w:rsidRDefault="00150B45" w:rsidP="005A2287">
      <w:pPr>
        <w:spacing w:after="120" w:line="240" w:lineRule="auto"/>
        <w:ind w:left="360" w:hanging="360"/>
        <w:rPr>
          <w:rFonts w:asciiTheme="minorHAnsi" w:hAnsiTheme="minorHAnsi"/>
          <w:b/>
          <w:highlight w:val="yellow"/>
        </w:rPr>
      </w:pPr>
      <w:r w:rsidRPr="00E816CE">
        <w:rPr>
          <w:rFonts w:asciiTheme="minorHAnsi" w:hAnsiTheme="minorHAnsi"/>
          <w:b/>
          <w:highlight w:val="yellow"/>
        </w:rPr>
        <w:t>Authority Required (Streamlined)</w:t>
      </w:r>
    </w:p>
    <w:p w:rsidR="00150B45" w:rsidRPr="00E816CE" w:rsidRDefault="00150B45" w:rsidP="005A2287">
      <w:pPr>
        <w:spacing w:after="120" w:line="240" w:lineRule="auto"/>
        <w:rPr>
          <w:rFonts w:asciiTheme="minorHAnsi" w:hAnsiTheme="minorHAnsi"/>
          <w:b/>
          <w:highlight w:val="yellow"/>
        </w:rPr>
      </w:pPr>
      <w:r w:rsidRPr="00E816CE">
        <w:rPr>
          <w:rFonts w:asciiTheme="minorHAnsi" w:hAnsiTheme="minorHAnsi"/>
          <w:b/>
          <w:highlight w:val="yellow"/>
        </w:rPr>
        <w:t>Hypercholesterolaemia</w:t>
      </w:r>
    </w:p>
    <w:p w:rsidR="00150B45" w:rsidRDefault="00150B45" w:rsidP="005A2287">
      <w:pPr>
        <w:spacing w:after="120" w:line="240" w:lineRule="auto"/>
        <w:rPr>
          <w:rFonts w:asciiTheme="minorHAnsi" w:hAnsiTheme="minorHAnsi"/>
          <w:highlight w:val="yellow"/>
          <w:u w:val="single"/>
        </w:rPr>
      </w:pPr>
      <w:r w:rsidRPr="00E816CE">
        <w:rPr>
          <w:rFonts w:asciiTheme="minorHAnsi" w:hAnsiTheme="minorHAnsi"/>
          <w:highlight w:val="yellow"/>
          <w:u w:val="single"/>
        </w:rPr>
        <w:t>Clinical criteria</w:t>
      </w:r>
    </w:p>
    <w:p w:rsidR="00204BF1" w:rsidRPr="00E816CE" w:rsidRDefault="00204BF1" w:rsidP="005A2287">
      <w:pPr>
        <w:spacing w:after="120" w:line="240" w:lineRule="auto"/>
        <w:rPr>
          <w:rFonts w:asciiTheme="minorHAnsi" w:hAnsiTheme="minorHAnsi"/>
          <w:highlight w:val="yellow"/>
          <w:u w:val="single"/>
        </w:rPr>
      </w:pPr>
    </w:p>
    <w:p w:rsidR="00150B45" w:rsidRPr="00E816CE" w:rsidRDefault="00150B45">
      <w:pPr>
        <w:pStyle w:val="ListParagraph"/>
        <w:numPr>
          <w:ilvl w:val="1"/>
          <w:numId w:val="15"/>
        </w:numPr>
        <w:spacing w:before="100" w:beforeAutospacing="1" w:after="100" w:afterAutospacing="1" w:line="240" w:lineRule="auto"/>
        <w:ind w:left="426"/>
        <w:rPr>
          <w:rFonts w:asciiTheme="minorHAnsi" w:hAnsiTheme="minorHAnsi"/>
          <w:highlight w:val="yellow"/>
        </w:rPr>
      </w:pPr>
      <w:r w:rsidRPr="00E816CE">
        <w:rPr>
          <w:rFonts w:asciiTheme="minorHAnsi" w:hAnsiTheme="minorHAnsi"/>
          <w:highlight w:val="yellow"/>
        </w:rPr>
        <w:t xml:space="preserve">Patient must have developed a clinically important product-related adverse event during treatment with an HMG CoA reductase inhibitor (statin) </w:t>
      </w:r>
      <w:r w:rsidRPr="00E816CE">
        <w:rPr>
          <w:rFonts w:asciiTheme="minorHAnsi" w:hAnsiTheme="minorHAnsi"/>
          <w:highlight w:val="yellow"/>
        </w:rPr>
        <w:lastRenderedPageBreak/>
        <w:t xml:space="preserve">necessitating a reduction in statin dose. The type and severity of the adverse event must be documented in the patient’s medical records. </w:t>
      </w:r>
    </w:p>
    <w:p w:rsidR="00150B45" w:rsidRDefault="00150B45">
      <w:pPr>
        <w:pStyle w:val="ListParagraph"/>
        <w:spacing w:before="100" w:beforeAutospacing="1" w:after="100" w:afterAutospacing="1" w:line="240" w:lineRule="auto"/>
        <w:ind w:left="426"/>
        <w:rPr>
          <w:rFonts w:asciiTheme="minorHAnsi" w:hAnsiTheme="minorHAnsi"/>
          <w:b/>
          <w:highlight w:val="yellow"/>
        </w:rPr>
      </w:pPr>
    </w:p>
    <w:p w:rsidR="00204BF1" w:rsidRPr="00221CE2" w:rsidRDefault="00204BF1">
      <w:pPr>
        <w:pStyle w:val="ListParagraph"/>
        <w:spacing w:after="120" w:line="240" w:lineRule="auto"/>
        <w:ind w:left="0"/>
        <w:contextualSpacing w:val="0"/>
        <w:rPr>
          <w:rFonts w:asciiTheme="minorHAnsi" w:hAnsiTheme="minorHAnsi"/>
          <w:b/>
          <w:highlight w:val="yellow"/>
        </w:rPr>
      </w:pPr>
      <w:r w:rsidRPr="00221CE2">
        <w:rPr>
          <w:rFonts w:asciiTheme="minorHAnsi" w:hAnsiTheme="minorHAnsi"/>
          <w:b/>
          <w:highlight w:val="yellow"/>
        </w:rPr>
        <w:t>AND</w:t>
      </w:r>
    </w:p>
    <w:p w:rsidR="00204BF1" w:rsidRPr="00221CE2" w:rsidRDefault="00204BF1">
      <w:pPr>
        <w:pStyle w:val="ListParagraph"/>
        <w:numPr>
          <w:ilvl w:val="0"/>
          <w:numId w:val="29"/>
        </w:numPr>
        <w:spacing w:before="100" w:beforeAutospacing="1" w:after="100" w:afterAutospacing="1" w:line="240" w:lineRule="auto"/>
        <w:rPr>
          <w:rFonts w:ascii="Times New Roman" w:eastAsia="Times New Roman" w:hAnsi="Times New Roman" w:cs="Times New Roman"/>
          <w:szCs w:val="24"/>
          <w:highlight w:val="yellow"/>
          <w:lang w:eastAsia="en-AU"/>
        </w:rPr>
      </w:pPr>
      <w:r w:rsidRPr="00221CE2">
        <w:rPr>
          <w:rFonts w:asciiTheme="minorHAnsi" w:hAnsiTheme="minorHAnsi"/>
          <w:highlight w:val="yellow"/>
        </w:rPr>
        <w:t xml:space="preserve">Patient falls into a very high risk category described as </w:t>
      </w:r>
    </w:p>
    <w:p w:rsidR="00204BF1" w:rsidRPr="00221CE2" w:rsidRDefault="00204BF1">
      <w:pPr>
        <w:numPr>
          <w:ilvl w:val="0"/>
          <w:numId w:val="52"/>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coronary heart disease which has become symptomatic</w:t>
      </w:r>
    </w:p>
    <w:p w:rsidR="00204BF1" w:rsidRPr="00221CE2" w:rsidRDefault="00204BF1">
      <w:pPr>
        <w:numPr>
          <w:ilvl w:val="0"/>
          <w:numId w:val="52"/>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cerebrovascular disease which has become symptomatic</w:t>
      </w:r>
    </w:p>
    <w:p w:rsidR="00204BF1" w:rsidRPr="00221CE2" w:rsidRDefault="00204BF1">
      <w:pPr>
        <w:numPr>
          <w:ilvl w:val="0"/>
          <w:numId w:val="52"/>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peripheral vascular disease which has become symptomatic</w:t>
      </w:r>
    </w:p>
    <w:p w:rsidR="00204BF1" w:rsidRPr="00221CE2" w:rsidRDefault="00204BF1">
      <w:pPr>
        <w:numPr>
          <w:ilvl w:val="0"/>
          <w:numId w:val="52"/>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 xml:space="preserve">diabetes mellitus with microalbuminuria (defined as urinary albumin excretion rate of &gt;20mcg/min or urinary albumin to creatinine ratio of &gt; 2.5 for males, &gt; 3.5 for females) </w:t>
      </w:r>
    </w:p>
    <w:p w:rsidR="00204BF1" w:rsidRPr="00221CE2" w:rsidRDefault="00204BF1">
      <w:pPr>
        <w:numPr>
          <w:ilvl w:val="0"/>
          <w:numId w:val="52"/>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diabetes mellitus in Aboriginal or Torres Strait Islander patients</w:t>
      </w:r>
    </w:p>
    <w:p w:rsidR="00204BF1" w:rsidRPr="00221CE2" w:rsidRDefault="00204BF1">
      <w:pPr>
        <w:numPr>
          <w:ilvl w:val="0"/>
          <w:numId w:val="52"/>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diabetes mellitus in patients aged 60 years or more</w:t>
      </w:r>
    </w:p>
    <w:p w:rsidR="00204BF1" w:rsidRPr="00221CE2" w:rsidRDefault="00204BF1">
      <w:pPr>
        <w:numPr>
          <w:ilvl w:val="0"/>
          <w:numId w:val="52"/>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 xml:space="preserve">family history of coronary heart disease which has become symptomatic before the age of 55 years in two or more first degree relatives </w:t>
      </w:r>
    </w:p>
    <w:p w:rsidR="00204BF1" w:rsidRPr="00221CE2" w:rsidRDefault="00204BF1">
      <w:pPr>
        <w:numPr>
          <w:ilvl w:val="0"/>
          <w:numId w:val="52"/>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 xml:space="preserve">family history of coronary heart disease which has become symptomatic before the age of 45 years in one or more first degree relatives </w:t>
      </w:r>
    </w:p>
    <w:p w:rsidR="00204BF1" w:rsidRPr="00221CE2" w:rsidRDefault="00204BF1">
      <w:pPr>
        <w:pStyle w:val="ListParagraph"/>
        <w:numPr>
          <w:ilvl w:val="0"/>
          <w:numId w:val="52"/>
        </w:numPr>
        <w:spacing w:after="120" w:line="240" w:lineRule="auto"/>
        <w:rPr>
          <w:rFonts w:asciiTheme="minorHAnsi" w:hAnsiTheme="minorHAnsi"/>
          <w:highlight w:val="yellow"/>
        </w:rPr>
      </w:pPr>
      <w:r w:rsidRPr="00221CE2">
        <w:rPr>
          <w:rFonts w:asciiTheme="minorHAnsi" w:hAnsiTheme="minorHAnsi"/>
          <w:highlight w:val="yellow"/>
        </w:rPr>
        <w:t>Heterozygous/Homozygous familial hypercholesterolaemia.</w:t>
      </w:r>
    </w:p>
    <w:p w:rsidR="00204BF1" w:rsidRPr="00221CE2" w:rsidRDefault="00204BF1">
      <w:pPr>
        <w:pStyle w:val="ListParagraph"/>
        <w:tabs>
          <w:tab w:val="num" w:pos="0"/>
        </w:tabs>
        <w:spacing w:after="120" w:line="240" w:lineRule="auto"/>
        <w:ind w:left="0"/>
        <w:contextualSpacing w:val="0"/>
        <w:rPr>
          <w:rFonts w:asciiTheme="minorHAnsi" w:hAnsiTheme="minorHAnsi"/>
          <w:b/>
          <w:highlight w:val="yellow"/>
        </w:rPr>
      </w:pPr>
    </w:p>
    <w:p w:rsidR="00204BF1" w:rsidRPr="00221CE2" w:rsidRDefault="00204BF1">
      <w:pPr>
        <w:pStyle w:val="ListParagraph"/>
        <w:tabs>
          <w:tab w:val="num" w:pos="0"/>
        </w:tabs>
        <w:spacing w:after="120" w:line="240" w:lineRule="auto"/>
        <w:ind w:left="0"/>
        <w:contextualSpacing w:val="0"/>
        <w:rPr>
          <w:rFonts w:asciiTheme="minorHAnsi" w:hAnsiTheme="minorHAnsi"/>
          <w:b/>
          <w:highlight w:val="yellow"/>
        </w:rPr>
      </w:pPr>
      <w:r w:rsidRPr="00221CE2">
        <w:rPr>
          <w:rFonts w:asciiTheme="minorHAnsi" w:hAnsiTheme="minorHAnsi"/>
          <w:b/>
          <w:highlight w:val="yellow"/>
        </w:rPr>
        <w:t>OR</w:t>
      </w:r>
    </w:p>
    <w:p w:rsidR="00204BF1" w:rsidRDefault="00204BF1">
      <w:pPr>
        <w:pStyle w:val="ListParagraph"/>
        <w:numPr>
          <w:ilvl w:val="0"/>
          <w:numId w:val="29"/>
        </w:numPr>
        <w:spacing w:after="120" w:line="240" w:lineRule="auto"/>
        <w:contextualSpacing w:val="0"/>
        <w:rPr>
          <w:rFonts w:asciiTheme="minorHAnsi" w:hAnsiTheme="minorHAnsi"/>
          <w:highlight w:val="yellow"/>
        </w:rPr>
      </w:pPr>
      <w:r w:rsidRPr="00E816CE">
        <w:rPr>
          <w:rFonts w:asciiTheme="minorHAnsi" w:hAnsiTheme="minorHAnsi"/>
          <w:highlight w:val="yellow"/>
        </w:rPr>
        <w:t>Where a patient’s level of absolute risk of a cardiovascular event is greater than 15% over 5 years as calculated by the Australian Absolute cardiovascular disease risk calculator (National Vascular Disease Prevention Alliance)</w:t>
      </w:r>
    </w:p>
    <w:p w:rsidR="00204BF1" w:rsidRPr="00E816CE" w:rsidRDefault="00204BF1">
      <w:pPr>
        <w:spacing w:before="100" w:beforeAutospacing="1" w:after="100" w:afterAutospacing="1" w:line="240" w:lineRule="auto"/>
        <w:rPr>
          <w:rFonts w:asciiTheme="minorHAnsi" w:hAnsiTheme="minorHAnsi"/>
          <w:highlight w:val="yellow"/>
        </w:rPr>
      </w:pPr>
      <w:r w:rsidRPr="00E816CE">
        <w:rPr>
          <w:rFonts w:ascii="Times New Roman" w:eastAsia="Times New Roman" w:hAnsi="Times New Roman" w:cs="Times New Roman"/>
          <w:szCs w:val="24"/>
          <w:highlight w:val="yellow"/>
          <w:lang w:eastAsia="en-AU"/>
        </w:rPr>
        <w:t xml:space="preserve">A </w:t>
      </w:r>
      <w:r w:rsidRPr="00E816CE">
        <w:rPr>
          <w:rFonts w:asciiTheme="minorHAnsi" w:hAnsiTheme="minorHAnsi"/>
          <w:highlight w:val="yellow"/>
        </w:rPr>
        <w:t xml:space="preserve">clinically important product-related adverse event is defined as follows: </w:t>
      </w:r>
    </w:p>
    <w:p w:rsidR="00204BF1" w:rsidRPr="00E816CE" w:rsidRDefault="00204BF1">
      <w:pPr>
        <w:spacing w:before="100" w:beforeAutospacing="1" w:after="100" w:afterAutospacing="1" w:line="240" w:lineRule="auto"/>
        <w:rPr>
          <w:rFonts w:asciiTheme="minorHAnsi" w:hAnsiTheme="minorHAnsi"/>
          <w:highlight w:val="yellow"/>
        </w:rPr>
      </w:pPr>
      <w:r w:rsidRPr="00E816CE">
        <w:rPr>
          <w:rFonts w:asciiTheme="minorHAnsi" w:hAnsiTheme="minorHAnsi"/>
          <w:highlight w:val="yellow"/>
        </w:rPr>
        <w:t xml:space="preserve">(i) Severe myalgia (muscle symptoms without creatine kinase elevation) which is proven to be temporally associated with statin treatment; or </w:t>
      </w:r>
    </w:p>
    <w:p w:rsidR="00204BF1" w:rsidRPr="00E816CE" w:rsidRDefault="00204BF1">
      <w:pPr>
        <w:spacing w:before="100" w:beforeAutospacing="1" w:after="100" w:afterAutospacing="1" w:line="240" w:lineRule="auto"/>
        <w:rPr>
          <w:rFonts w:asciiTheme="minorHAnsi" w:hAnsiTheme="minorHAnsi"/>
          <w:highlight w:val="yellow"/>
        </w:rPr>
      </w:pPr>
      <w:r w:rsidRPr="00E816CE">
        <w:rPr>
          <w:rFonts w:asciiTheme="minorHAnsi" w:hAnsiTheme="minorHAnsi"/>
          <w:highlight w:val="yellow"/>
        </w:rPr>
        <w:t xml:space="preserve">(ii) Myositis (clinically important creatine kinase elevation, with or without muscle symptoms) demonstrated by results twice the upper limit of normal on a single reading or a rising pattern on consecutive measurements and which is unexplained by other causes; or </w:t>
      </w:r>
    </w:p>
    <w:p w:rsidR="00204BF1" w:rsidRPr="00E816CE" w:rsidRDefault="00204BF1" w:rsidP="005A2287">
      <w:pPr>
        <w:spacing w:before="100" w:beforeAutospacing="1" w:after="100" w:afterAutospacing="1" w:line="240" w:lineRule="auto"/>
        <w:rPr>
          <w:rFonts w:asciiTheme="minorHAnsi" w:hAnsiTheme="minorHAnsi"/>
        </w:rPr>
      </w:pPr>
      <w:r w:rsidRPr="00E816CE">
        <w:rPr>
          <w:rFonts w:asciiTheme="minorHAnsi" w:hAnsiTheme="minorHAnsi"/>
          <w:highlight w:val="yellow"/>
        </w:rPr>
        <w:t>(iii) Unexplained, persistent elevations of serum transaminases (greater than 3 times the upper limit of normal) during treatment with a statin.</w:t>
      </w:r>
      <w:r w:rsidRPr="00E816CE">
        <w:rPr>
          <w:rFonts w:asciiTheme="minorHAnsi" w:hAnsiTheme="minorHAnsi"/>
        </w:rPr>
        <w:t xml:space="preserve"> </w:t>
      </w:r>
    </w:p>
    <w:p w:rsidR="00204BF1" w:rsidRDefault="00204BF1">
      <w:pPr>
        <w:pStyle w:val="ListParagraph"/>
        <w:spacing w:before="100" w:beforeAutospacing="1" w:after="100" w:afterAutospacing="1" w:line="240" w:lineRule="auto"/>
        <w:ind w:left="426"/>
        <w:rPr>
          <w:rFonts w:asciiTheme="minorHAnsi" w:hAnsiTheme="minorHAnsi"/>
          <w:b/>
          <w:highlight w:val="yellow"/>
        </w:rPr>
      </w:pPr>
    </w:p>
    <w:p w:rsidR="00752C36" w:rsidRDefault="00752C36">
      <w:pPr>
        <w:spacing w:after="0" w:line="240" w:lineRule="auto"/>
        <w:jc w:val="left"/>
        <w:rPr>
          <w:rFonts w:asciiTheme="minorHAnsi" w:hAnsiTheme="minorHAnsi"/>
          <w:b/>
          <w:highlight w:val="yellow"/>
        </w:rPr>
      </w:pPr>
      <w:r>
        <w:rPr>
          <w:rFonts w:asciiTheme="minorHAnsi" w:hAnsiTheme="minorHAnsi"/>
          <w:b/>
          <w:highlight w:val="yellow"/>
        </w:rPr>
        <w:br w:type="page"/>
      </w:r>
    </w:p>
    <w:p w:rsidR="00204BF1" w:rsidRDefault="00204BF1">
      <w:pPr>
        <w:pStyle w:val="ListParagraph"/>
        <w:spacing w:before="100" w:beforeAutospacing="1" w:after="100" w:afterAutospacing="1" w:line="240" w:lineRule="auto"/>
        <w:ind w:left="426"/>
        <w:rPr>
          <w:rFonts w:asciiTheme="minorHAnsi" w:hAnsiTheme="minorHAnsi"/>
          <w:b/>
          <w:highlight w:val="yellow"/>
        </w:rPr>
      </w:pPr>
    </w:p>
    <w:p w:rsidR="00756992" w:rsidRPr="0056425D" w:rsidRDefault="00756992" w:rsidP="005A2287">
      <w:pPr>
        <w:pStyle w:val="ListParagraph"/>
        <w:numPr>
          <w:ilvl w:val="0"/>
          <w:numId w:val="49"/>
        </w:numPr>
        <w:spacing w:after="120" w:line="240" w:lineRule="auto"/>
        <w:rPr>
          <w:rFonts w:asciiTheme="minorHAnsi" w:hAnsiTheme="minorHAnsi"/>
          <w:b/>
          <w:szCs w:val="24"/>
          <w:highlight w:val="yellow"/>
        </w:rPr>
      </w:pPr>
      <w:r w:rsidRPr="0056425D">
        <w:rPr>
          <w:rFonts w:asciiTheme="minorHAnsi" w:hAnsiTheme="minorHAnsi"/>
          <w:b/>
          <w:szCs w:val="24"/>
          <w:highlight w:val="yellow"/>
        </w:rPr>
        <w:t xml:space="preserve">ezetimibe 10mg </w:t>
      </w:r>
    </w:p>
    <w:p w:rsidR="00756992" w:rsidRPr="00E816CE" w:rsidRDefault="00756992" w:rsidP="005A2287">
      <w:pPr>
        <w:spacing w:after="120" w:line="240" w:lineRule="auto"/>
        <w:ind w:left="360" w:hanging="360"/>
        <w:rPr>
          <w:rFonts w:asciiTheme="minorHAnsi" w:hAnsiTheme="minorHAnsi"/>
          <w:b/>
          <w:highlight w:val="yellow"/>
        </w:rPr>
      </w:pPr>
      <w:r w:rsidRPr="00E816CE">
        <w:rPr>
          <w:rFonts w:asciiTheme="minorHAnsi" w:hAnsiTheme="minorHAnsi"/>
          <w:b/>
          <w:highlight w:val="yellow"/>
        </w:rPr>
        <w:t>Authority Required (Streamlined)</w:t>
      </w:r>
    </w:p>
    <w:p w:rsidR="00756992" w:rsidRPr="00E816CE" w:rsidRDefault="00756992" w:rsidP="005A2287">
      <w:pPr>
        <w:spacing w:after="120" w:line="240" w:lineRule="auto"/>
        <w:rPr>
          <w:rFonts w:asciiTheme="minorHAnsi" w:hAnsiTheme="minorHAnsi"/>
          <w:b/>
          <w:highlight w:val="yellow"/>
        </w:rPr>
      </w:pPr>
      <w:r w:rsidRPr="00E816CE">
        <w:rPr>
          <w:rFonts w:asciiTheme="minorHAnsi" w:hAnsiTheme="minorHAnsi"/>
          <w:b/>
          <w:highlight w:val="yellow"/>
        </w:rPr>
        <w:t>Hypercholesterolaemia</w:t>
      </w:r>
    </w:p>
    <w:p w:rsidR="00204BF1" w:rsidRDefault="00204BF1">
      <w:pPr>
        <w:pStyle w:val="ListParagraph"/>
        <w:spacing w:before="100" w:beforeAutospacing="1" w:after="100" w:afterAutospacing="1" w:line="240" w:lineRule="auto"/>
        <w:ind w:left="426"/>
        <w:rPr>
          <w:rFonts w:asciiTheme="minorHAnsi" w:hAnsiTheme="minorHAnsi"/>
          <w:b/>
          <w:highlight w:val="yellow"/>
        </w:rPr>
      </w:pPr>
    </w:p>
    <w:p w:rsidR="00756992" w:rsidRPr="0056425D" w:rsidRDefault="00756992">
      <w:pPr>
        <w:pStyle w:val="ListParagraph"/>
        <w:numPr>
          <w:ilvl w:val="1"/>
          <w:numId w:val="48"/>
        </w:numPr>
        <w:spacing w:before="100" w:beforeAutospacing="1" w:after="100" w:afterAutospacing="1" w:line="240" w:lineRule="auto"/>
        <w:ind w:left="426"/>
        <w:rPr>
          <w:rFonts w:asciiTheme="minorHAnsi" w:hAnsiTheme="minorHAnsi"/>
          <w:highlight w:val="yellow"/>
        </w:rPr>
      </w:pPr>
      <w:r w:rsidRPr="0056425D">
        <w:rPr>
          <w:rFonts w:asciiTheme="minorHAnsi" w:hAnsiTheme="minorHAnsi"/>
          <w:highlight w:val="yellow"/>
        </w:rPr>
        <w:t>Patient must have developed a clinically important product-related adverse event during treatment with an HMG CoA reductase inhibitor (statin) necessitating a withdrawal of the statin treatment. The type and severity of the adverse event must be documented in the patient’s medical records.</w:t>
      </w:r>
    </w:p>
    <w:p w:rsidR="00204BF1" w:rsidRDefault="00204BF1">
      <w:pPr>
        <w:pStyle w:val="ListParagraph"/>
        <w:spacing w:before="100" w:beforeAutospacing="1" w:after="100" w:afterAutospacing="1" w:line="240" w:lineRule="auto"/>
        <w:ind w:left="426"/>
        <w:rPr>
          <w:rFonts w:asciiTheme="minorHAnsi" w:hAnsiTheme="minorHAnsi"/>
          <w:b/>
          <w:highlight w:val="yellow"/>
        </w:rPr>
      </w:pPr>
    </w:p>
    <w:p w:rsidR="00204BF1" w:rsidRPr="00221CE2" w:rsidRDefault="00204BF1">
      <w:pPr>
        <w:pStyle w:val="ListParagraph"/>
        <w:spacing w:after="120" w:line="240" w:lineRule="auto"/>
        <w:ind w:left="0"/>
        <w:contextualSpacing w:val="0"/>
        <w:rPr>
          <w:rFonts w:asciiTheme="minorHAnsi" w:hAnsiTheme="minorHAnsi"/>
          <w:b/>
          <w:highlight w:val="yellow"/>
        </w:rPr>
      </w:pPr>
      <w:r w:rsidRPr="00221CE2">
        <w:rPr>
          <w:rFonts w:asciiTheme="minorHAnsi" w:hAnsiTheme="minorHAnsi"/>
          <w:b/>
          <w:highlight w:val="yellow"/>
        </w:rPr>
        <w:t>AND</w:t>
      </w:r>
    </w:p>
    <w:p w:rsidR="00204BF1" w:rsidRPr="00221CE2" w:rsidRDefault="00204BF1">
      <w:pPr>
        <w:pStyle w:val="ListParagraph"/>
        <w:numPr>
          <w:ilvl w:val="0"/>
          <w:numId w:val="29"/>
        </w:numPr>
        <w:spacing w:before="100" w:beforeAutospacing="1" w:after="100" w:afterAutospacing="1" w:line="240" w:lineRule="auto"/>
        <w:rPr>
          <w:rFonts w:ascii="Times New Roman" w:eastAsia="Times New Roman" w:hAnsi="Times New Roman" w:cs="Times New Roman"/>
          <w:szCs w:val="24"/>
          <w:highlight w:val="yellow"/>
          <w:lang w:eastAsia="en-AU"/>
        </w:rPr>
      </w:pPr>
      <w:r w:rsidRPr="00221CE2">
        <w:rPr>
          <w:rFonts w:asciiTheme="minorHAnsi" w:hAnsiTheme="minorHAnsi"/>
          <w:highlight w:val="yellow"/>
        </w:rPr>
        <w:t xml:space="preserve">Patient falls into a very high risk category described as </w:t>
      </w:r>
    </w:p>
    <w:p w:rsidR="00204BF1" w:rsidRPr="00221CE2" w:rsidRDefault="00204BF1">
      <w:pPr>
        <w:numPr>
          <w:ilvl w:val="0"/>
          <w:numId w:val="53"/>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coronary heart disease which has become symptomatic</w:t>
      </w:r>
    </w:p>
    <w:p w:rsidR="00204BF1" w:rsidRPr="00221CE2" w:rsidRDefault="00204BF1">
      <w:pPr>
        <w:numPr>
          <w:ilvl w:val="0"/>
          <w:numId w:val="53"/>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cerebrovascular disease which has become symptomatic</w:t>
      </w:r>
    </w:p>
    <w:p w:rsidR="00204BF1" w:rsidRPr="00221CE2" w:rsidRDefault="00204BF1">
      <w:pPr>
        <w:numPr>
          <w:ilvl w:val="0"/>
          <w:numId w:val="53"/>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peripheral vascular disease which has become symptomatic</w:t>
      </w:r>
    </w:p>
    <w:p w:rsidR="00204BF1" w:rsidRPr="00221CE2" w:rsidRDefault="00204BF1">
      <w:pPr>
        <w:numPr>
          <w:ilvl w:val="0"/>
          <w:numId w:val="53"/>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 xml:space="preserve">diabetes mellitus with microalbuminuria (defined as urinary albumin excretion rate of &gt;20mcg/min or urinary albumin to creatinine ratio of &gt; 2.5 for males, &gt; 3.5 for females) </w:t>
      </w:r>
    </w:p>
    <w:p w:rsidR="00204BF1" w:rsidRPr="00221CE2" w:rsidRDefault="00204BF1">
      <w:pPr>
        <w:numPr>
          <w:ilvl w:val="0"/>
          <w:numId w:val="53"/>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diabetes mellitus in Aboriginal or Torres Strait Islander patients</w:t>
      </w:r>
    </w:p>
    <w:p w:rsidR="00204BF1" w:rsidRPr="00221CE2" w:rsidRDefault="00204BF1">
      <w:pPr>
        <w:numPr>
          <w:ilvl w:val="0"/>
          <w:numId w:val="53"/>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diabetes mellitus in patients aged 60 years or more</w:t>
      </w:r>
    </w:p>
    <w:p w:rsidR="00204BF1" w:rsidRPr="00221CE2" w:rsidRDefault="00204BF1">
      <w:pPr>
        <w:numPr>
          <w:ilvl w:val="0"/>
          <w:numId w:val="53"/>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 xml:space="preserve">family history of coronary heart disease which has become symptomatic before the age of 55 years in two or more first degree relatives </w:t>
      </w:r>
    </w:p>
    <w:p w:rsidR="00204BF1" w:rsidRPr="00221CE2" w:rsidRDefault="00204BF1">
      <w:pPr>
        <w:numPr>
          <w:ilvl w:val="0"/>
          <w:numId w:val="53"/>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 xml:space="preserve">family history of coronary heart disease which has become symptomatic before the age of 45 years in one or more first degree relatives </w:t>
      </w:r>
    </w:p>
    <w:p w:rsidR="00204BF1" w:rsidRPr="00221CE2" w:rsidRDefault="00204BF1">
      <w:pPr>
        <w:pStyle w:val="ListParagraph"/>
        <w:numPr>
          <w:ilvl w:val="0"/>
          <w:numId w:val="53"/>
        </w:numPr>
        <w:spacing w:after="120" w:line="240" w:lineRule="auto"/>
        <w:rPr>
          <w:rFonts w:asciiTheme="minorHAnsi" w:hAnsiTheme="minorHAnsi"/>
          <w:highlight w:val="yellow"/>
        </w:rPr>
      </w:pPr>
      <w:r w:rsidRPr="00221CE2">
        <w:rPr>
          <w:rFonts w:asciiTheme="minorHAnsi" w:hAnsiTheme="minorHAnsi"/>
          <w:highlight w:val="yellow"/>
        </w:rPr>
        <w:t>Heterozygous/Homozygous familial hypercholesterolaemia.</w:t>
      </w:r>
    </w:p>
    <w:p w:rsidR="00204BF1" w:rsidRPr="00221CE2" w:rsidRDefault="00204BF1">
      <w:pPr>
        <w:pStyle w:val="ListParagraph"/>
        <w:tabs>
          <w:tab w:val="num" w:pos="0"/>
        </w:tabs>
        <w:spacing w:after="120" w:line="240" w:lineRule="auto"/>
        <w:ind w:left="0"/>
        <w:contextualSpacing w:val="0"/>
        <w:rPr>
          <w:rFonts w:asciiTheme="minorHAnsi" w:hAnsiTheme="minorHAnsi"/>
          <w:b/>
          <w:highlight w:val="yellow"/>
        </w:rPr>
      </w:pPr>
    </w:p>
    <w:p w:rsidR="00204BF1" w:rsidRPr="00221CE2" w:rsidRDefault="00204BF1">
      <w:pPr>
        <w:pStyle w:val="ListParagraph"/>
        <w:tabs>
          <w:tab w:val="num" w:pos="0"/>
        </w:tabs>
        <w:spacing w:after="120" w:line="240" w:lineRule="auto"/>
        <w:ind w:left="0"/>
        <w:contextualSpacing w:val="0"/>
        <w:rPr>
          <w:rFonts w:asciiTheme="minorHAnsi" w:hAnsiTheme="minorHAnsi"/>
          <w:b/>
          <w:highlight w:val="yellow"/>
        </w:rPr>
      </w:pPr>
      <w:r w:rsidRPr="00221CE2">
        <w:rPr>
          <w:rFonts w:asciiTheme="minorHAnsi" w:hAnsiTheme="minorHAnsi"/>
          <w:b/>
          <w:highlight w:val="yellow"/>
        </w:rPr>
        <w:t>OR</w:t>
      </w:r>
    </w:p>
    <w:p w:rsidR="00204BF1" w:rsidRDefault="00204BF1">
      <w:pPr>
        <w:pStyle w:val="ListParagraph"/>
        <w:numPr>
          <w:ilvl w:val="0"/>
          <w:numId w:val="29"/>
        </w:numPr>
        <w:spacing w:after="120" w:line="240" w:lineRule="auto"/>
        <w:contextualSpacing w:val="0"/>
        <w:rPr>
          <w:rFonts w:asciiTheme="minorHAnsi" w:hAnsiTheme="minorHAnsi"/>
          <w:highlight w:val="yellow"/>
        </w:rPr>
      </w:pPr>
      <w:r w:rsidRPr="00E816CE">
        <w:rPr>
          <w:rFonts w:asciiTheme="minorHAnsi" w:hAnsiTheme="minorHAnsi"/>
          <w:highlight w:val="yellow"/>
        </w:rPr>
        <w:t>Where a patient’s level of absolute risk of a cardiovascular event is greater than 15% over 5 years as calculated by the Australian Absolute cardiovascular disease risk calculator (National Vascular Disease Prevention Alliance)</w:t>
      </w:r>
    </w:p>
    <w:p w:rsidR="00150B45" w:rsidRPr="00E816CE" w:rsidRDefault="00150B45">
      <w:pPr>
        <w:pStyle w:val="ListParagraph"/>
        <w:tabs>
          <w:tab w:val="left" w:pos="426"/>
        </w:tabs>
        <w:spacing w:after="120" w:line="240" w:lineRule="auto"/>
        <w:ind w:left="426"/>
        <w:rPr>
          <w:rFonts w:asciiTheme="minorHAnsi" w:hAnsiTheme="minorHAnsi"/>
          <w:highlight w:val="yellow"/>
        </w:rPr>
      </w:pPr>
    </w:p>
    <w:p w:rsidR="00150B45" w:rsidRPr="00E816CE" w:rsidRDefault="00150B45">
      <w:pPr>
        <w:spacing w:before="100" w:beforeAutospacing="1" w:after="100" w:afterAutospacing="1" w:line="240" w:lineRule="auto"/>
        <w:rPr>
          <w:rFonts w:asciiTheme="minorHAnsi" w:hAnsiTheme="minorHAnsi"/>
          <w:highlight w:val="yellow"/>
        </w:rPr>
      </w:pPr>
      <w:r w:rsidRPr="00E816CE">
        <w:rPr>
          <w:rFonts w:ascii="Times New Roman" w:eastAsia="Times New Roman" w:hAnsi="Times New Roman" w:cs="Times New Roman"/>
          <w:szCs w:val="24"/>
          <w:highlight w:val="yellow"/>
          <w:lang w:eastAsia="en-AU"/>
        </w:rPr>
        <w:t xml:space="preserve">A </w:t>
      </w:r>
      <w:r w:rsidRPr="00E816CE">
        <w:rPr>
          <w:rFonts w:asciiTheme="minorHAnsi" w:hAnsiTheme="minorHAnsi"/>
          <w:highlight w:val="yellow"/>
        </w:rPr>
        <w:t xml:space="preserve">clinically important product-related adverse event is defined as follows: </w:t>
      </w:r>
    </w:p>
    <w:p w:rsidR="00150B45" w:rsidRPr="00E816CE" w:rsidRDefault="00150B45">
      <w:pPr>
        <w:spacing w:before="100" w:beforeAutospacing="1" w:after="100" w:afterAutospacing="1" w:line="240" w:lineRule="auto"/>
        <w:rPr>
          <w:rFonts w:asciiTheme="minorHAnsi" w:hAnsiTheme="minorHAnsi"/>
          <w:highlight w:val="yellow"/>
        </w:rPr>
      </w:pPr>
      <w:r w:rsidRPr="00E816CE">
        <w:rPr>
          <w:rFonts w:asciiTheme="minorHAnsi" w:hAnsiTheme="minorHAnsi"/>
          <w:highlight w:val="yellow"/>
        </w:rPr>
        <w:t xml:space="preserve">(i) Severe myalgia (muscle symptoms without creatine kinase elevation) which is proven to be temporally associated with statin treatment; or </w:t>
      </w:r>
    </w:p>
    <w:p w:rsidR="00150B45" w:rsidRPr="00E816CE" w:rsidRDefault="00150B45">
      <w:pPr>
        <w:spacing w:before="100" w:beforeAutospacing="1" w:after="100" w:afterAutospacing="1" w:line="240" w:lineRule="auto"/>
        <w:rPr>
          <w:rFonts w:asciiTheme="minorHAnsi" w:hAnsiTheme="minorHAnsi"/>
          <w:highlight w:val="yellow"/>
        </w:rPr>
      </w:pPr>
      <w:r w:rsidRPr="00E816CE">
        <w:rPr>
          <w:rFonts w:asciiTheme="minorHAnsi" w:hAnsiTheme="minorHAnsi"/>
          <w:highlight w:val="yellow"/>
        </w:rPr>
        <w:t xml:space="preserve">(ii) Myositis (clinically important creatine kinase elevation, with or without muscle symptoms) demonstrated by results twice the upper limit of normal on a single reading or a rising pattern on consecutive measurements and which is unexplained by other causes; or </w:t>
      </w:r>
    </w:p>
    <w:p w:rsidR="00150B45" w:rsidRPr="00E816CE" w:rsidRDefault="00150B45" w:rsidP="005A2287">
      <w:pPr>
        <w:spacing w:before="100" w:beforeAutospacing="1" w:after="100" w:afterAutospacing="1" w:line="240" w:lineRule="auto"/>
        <w:rPr>
          <w:rFonts w:asciiTheme="minorHAnsi" w:hAnsiTheme="minorHAnsi"/>
        </w:rPr>
      </w:pPr>
      <w:r w:rsidRPr="00E816CE">
        <w:rPr>
          <w:rFonts w:asciiTheme="minorHAnsi" w:hAnsiTheme="minorHAnsi"/>
          <w:highlight w:val="yellow"/>
        </w:rPr>
        <w:lastRenderedPageBreak/>
        <w:t>(iii) Unexplained, persistent elevations of serum transaminases (greater than 3 times the upper limit of normal) during treatment with a statin.</w:t>
      </w:r>
      <w:r w:rsidRPr="00E816CE">
        <w:rPr>
          <w:rFonts w:asciiTheme="minorHAnsi" w:hAnsiTheme="minorHAnsi"/>
        </w:rPr>
        <w:t xml:space="preserve"> </w:t>
      </w:r>
    </w:p>
    <w:p w:rsidR="00150B45" w:rsidRDefault="00150B45" w:rsidP="005A2287">
      <w:pPr>
        <w:pStyle w:val="ListParagraph"/>
        <w:numPr>
          <w:ilvl w:val="0"/>
          <w:numId w:val="50"/>
        </w:numPr>
        <w:spacing w:after="120" w:line="240" w:lineRule="auto"/>
        <w:ind w:left="426"/>
        <w:rPr>
          <w:rFonts w:asciiTheme="minorHAnsi" w:hAnsiTheme="minorHAnsi"/>
          <w:b/>
          <w:szCs w:val="24"/>
          <w:highlight w:val="yellow"/>
        </w:rPr>
      </w:pPr>
      <w:r>
        <w:rPr>
          <w:rFonts w:asciiTheme="minorHAnsi" w:hAnsiTheme="minorHAnsi"/>
          <w:b/>
          <w:szCs w:val="24"/>
          <w:highlight w:val="yellow"/>
        </w:rPr>
        <w:t xml:space="preserve">ezetimibe 10mg </w:t>
      </w:r>
    </w:p>
    <w:p w:rsidR="00150B45" w:rsidRDefault="00150B45">
      <w:pPr>
        <w:spacing w:after="120" w:line="240" w:lineRule="auto"/>
        <w:rPr>
          <w:rFonts w:asciiTheme="minorHAnsi" w:hAnsiTheme="minorHAnsi"/>
          <w:b/>
          <w:highlight w:val="yellow"/>
        </w:rPr>
      </w:pPr>
      <w:r>
        <w:rPr>
          <w:rFonts w:asciiTheme="minorHAnsi" w:hAnsiTheme="minorHAnsi"/>
          <w:b/>
          <w:highlight w:val="yellow"/>
        </w:rPr>
        <w:t>Authority Required (Streamlined)</w:t>
      </w:r>
    </w:p>
    <w:p w:rsidR="00150B45" w:rsidRDefault="00150B45">
      <w:pPr>
        <w:spacing w:before="100" w:beforeAutospacing="1" w:after="100" w:afterAutospacing="1" w:line="240" w:lineRule="auto"/>
        <w:rPr>
          <w:rFonts w:asciiTheme="minorHAnsi" w:hAnsiTheme="minorHAnsi"/>
          <w:b/>
          <w:highlight w:val="yellow"/>
        </w:rPr>
      </w:pPr>
      <w:r>
        <w:rPr>
          <w:rFonts w:asciiTheme="minorHAnsi" w:hAnsiTheme="minorHAnsi"/>
          <w:b/>
          <w:highlight w:val="yellow"/>
        </w:rPr>
        <w:t>Hypercholesterolaemia</w:t>
      </w:r>
    </w:p>
    <w:p w:rsidR="00150B45" w:rsidRDefault="00150B45">
      <w:pPr>
        <w:spacing w:after="120" w:line="240" w:lineRule="auto"/>
        <w:rPr>
          <w:rFonts w:asciiTheme="minorHAnsi" w:hAnsiTheme="minorHAnsi"/>
          <w:highlight w:val="yellow"/>
          <w:u w:val="single"/>
        </w:rPr>
      </w:pPr>
      <w:r>
        <w:rPr>
          <w:rFonts w:asciiTheme="minorHAnsi" w:hAnsiTheme="minorHAnsi"/>
          <w:highlight w:val="yellow"/>
          <w:u w:val="single"/>
        </w:rPr>
        <w:t>Clinical Criteria</w:t>
      </w:r>
    </w:p>
    <w:p w:rsidR="00150B45" w:rsidRDefault="00150B45">
      <w:pPr>
        <w:pStyle w:val="ListParagraph"/>
        <w:numPr>
          <w:ilvl w:val="1"/>
          <w:numId w:val="51"/>
        </w:numPr>
        <w:spacing w:after="120" w:line="240" w:lineRule="auto"/>
        <w:ind w:left="426" w:hanging="284"/>
        <w:rPr>
          <w:rFonts w:asciiTheme="minorHAnsi" w:hAnsiTheme="minorHAnsi"/>
          <w:highlight w:val="yellow"/>
        </w:rPr>
      </w:pPr>
      <w:r>
        <w:rPr>
          <w:rFonts w:asciiTheme="minorHAnsi" w:hAnsiTheme="minorHAnsi"/>
          <w:highlight w:val="yellow"/>
        </w:rPr>
        <w:t>Homozygous sitosterolaemia.</w:t>
      </w:r>
    </w:p>
    <w:p w:rsidR="00150B45" w:rsidRDefault="00150B45">
      <w:pPr>
        <w:pStyle w:val="ListParagraph"/>
        <w:spacing w:after="120" w:line="240" w:lineRule="auto"/>
        <w:ind w:left="360"/>
        <w:contextualSpacing w:val="0"/>
        <w:rPr>
          <w:rFonts w:asciiTheme="minorHAnsi" w:hAnsiTheme="minorHAnsi"/>
          <w:highlight w:val="yellow"/>
        </w:rPr>
      </w:pPr>
    </w:p>
    <w:p w:rsidR="00C92E45" w:rsidRDefault="00C92E45" w:rsidP="005A2287">
      <w:pPr>
        <w:pStyle w:val="ListParagraph"/>
        <w:numPr>
          <w:ilvl w:val="0"/>
          <w:numId w:val="47"/>
        </w:numPr>
        <w:spacing w:after="120" w:line="240" w:lineRule="auto"/>
        <w:rPr>
          <w:rFonts w:asciiTheme="minorHAnsi" w:hAnsiTheme="minorHAnsi"/>
          <w:b/>
          <w:szCs w:val="24"/>
          <w:highlight w:val="yellow"/>
        </w:rPr>
      </w:pPr>
      <w:r w:rsidRPr="00221CE2">
        <w:rPr>
          <w:rFonts w:asciiTheme="minorHAnsi" w:hAnsiTheme="minorHAnsi"/>
          <w:b/>
          <w:szCs w:val="24"/>
          <w:highlight w:val="yellow"/>
        </w:rPr>
        <w:t>ezetimibe in combination with statin</w:t>
      </w:r>
    </w:p>
    <w:p w:rsidR="00C92E45" w:rsidRPr="00221CE2" w:rsidRDefault="00C92E45" w:rsidP="005A2287">
      <w:pPr>
        <w:pStyle w:val="ListParagraph"/>
        <w:spacing w:after="120" w:line="240" w:lineRule="auto"/>
        <w:ind w:hanging="720"/>
        <w:rPr>
          <w:rFonts w:asciiTheme="minorHAnsi" w:hAnsiTheme="minorHAnsi"/>
          <w:b/>
          <w:highlight w:val="yellow"/>
        </w:rPr>
      </w:pPr>
      <w:r w:rsidRPr="00221CE2">
        <w:rPr>
          <w:rFonts w:asciiTheme="minorHAnsi" w:hAnsiTheme="minorHAnsi"/>
          <w:b/>
          <w:highlight w:val="yellow"/>
        </w:rPr>
        <w:t>PBS Authority Required (Streamlined)</w:t>
      </w:r>
    </w:p>
    <w:p w:rsidR="00C92E45" w:rsidRPr="00221CE2" w:rsidRDefault="00C92E45" w:rsidP="005A2287">
      <w:pPr>
        <w:spacing w:before="100" w:beforeAutospacing="1" w:after="100" w:afterAutospacing="1" w:line="240" w:lineRule="auto"/>
        <w:rPr>
          <w:rFonts w:asciiTheme="minorHAnsi" w:hAnsiTheme="minorHAnsi"/>
          <w:b/>
          <w:highlight w:val="yellow"/>
        </w:rPr>
      </w:pPr>
      <w:r w:rsidRPr="00221CE2">
        <w:rPr>
          <w:rFonts w:asciiTheme="minorHAnsi" w:hAnsiTheme="minorHAnsi"/>
          <w:b/>
          <w:highlight w:val="yellow"/>
        </w:rPr>
        <w:t>Hypercholesterolaemia</w:t>
      </w:r>
    </w:p>
    <w:p w:rsidR="00C92E45" w:rsidRPr="00221CE2" w:rsidRDefault="00C92E45" w:rsidP="005A2287">
      <w:pPr>
        <w:spacing w:before="100" w:beforeAutospacing="1" w:after="100" w:afterAutospacing="1" w:line="240" w:lineRule="auto"/>
        <w:rPr>
          <w:rFonts w:asciiTheme="minorHAnsi" w:hAnsiTheme="minorHAnsi"/>
          <w:highlight w:val="yellow"/>
          <w:u w:val="single"/>
        </w:rPr>
      </w:pPr>
      <w:r w:rsidRPr="00221CE2">
        <w:rPr>
          <w:rFonts w:asciiTheme="minorHAnsi" w:hAnsiTheme="minorHAnsi"/>
          <w:highlight w:val="yellow"/>
          <w:u w:val="single"/>
        </w:rPr>
        <w:t>Clinical Criteria</w:t>
      </w:r>
    </w:p>
    <w:p w:rsidR="00C92E45" w:rsidRPr="004C1339" w:rsidRDefault="00C92E45">
      <w:pPr>
        <w:pStyle w:val="ListParagraph"/>
        <w:numPr>
          <w:ilvl w:val="0"/>
          <w:numId w:val="29"/>
        </w:numPr>
        <w:spacing w:before="100" w:beforeAutospacing="1" w:after="100" w:afterAutospacing="1" w:line="240" w:lineRule="auto"/>
        <w:rPr>
          <w:rFonts w:asciiTheme="minorHAnsi" w:hAnsiTheme="minorHAnsi"/>
          <w:highlight w:val="yellow"/>
        </w:rPr>
      </w:pPr>
      <w:r w:rsidRPr="004C1339">
        <w:rPr>
          <w:rFonts w:asciiTheme="minorHAnsi" w:hAnsiTheme="minorHAnsi"/>
          <w:highlight w:val="yellow"/>
        </w:rPr>
        <w:t xml:space="preserve">Patient must have cholesterol </w:t>
      </w:r>
      <w:r w:rsidR="0076247E" w:rsidRPr="004C1339">
        <w:rPr>
          <w:rFonts w:asciiTheme="minorHAnsi" w:eastAsia="Times New Roman" w:hAnsiTheme="minorHAnsi" w:cs="Arial"/>
          <w:color w:val="222222"/>
          <w:szCs w:val="24"/>
          <w:highlight w:val="yellow"/>
          <w:lang w:eastAsia="en-AU"/>
        </w:rPr>
        <w:t>concentrations</w:t>
      </w:r>
      <w:r w:rsidR="0076247E" w:rsidRPr="004C1339">
        <w:rPr>
          <w:rFonts w:asciiTheme="minorHAnsi" w:hAnsiTheme="minorHAnsi"/>
          <w:highlight w:val="yellow"/>
        </w:rPr>
        <w:t xml:space="preserve"> </w:t>
      </w:r>
      <w:r w:rsidRPr="004C1339">
        <w:rPr>
          <w:rFonts w:asciiTheme="minorHAnsi" w:hAnsiTheme="minorHAnsi"/>
          <w:highlight w:val="yellow"/>
        </w:rPr>
        <w:t xml:space="preserve">that are inadequately controlled with an HMG CoA reductase inhibitor (statin). Inadequate control is a cholesterol </w:t>
      </w:r>
      <w:r w:rsidR="0076247E" w:rsidRPr="004C1339">
        <w:rPr>
          <w:rFonts w:asciiTheme="minorHAnsi" w:eastAsia="Times New Roman" w:hAnsiTheme="minorHAnsi" w:cs="Arial"/>
          <w:color w:val="222222"/>
          <w:szCs w:val="24"/>
          <w:highlight w:val="yellow"/>
          <w:lang w:eastAsia="en-AU"/>
        </w:rPr>
        <w:t xml:space="preserve">concentration </w:t>
      </w:r>
      <w:r w:rsidRPr="004C1339">
        <w:rPr>
          <w:rFonts w:asciiTheme="minorHAnsi" w:hAnsiTheme="minorHAnsi"/>
          <w:highlight w:val="yellow"/>
        </w:rPr>
        <w:t xml:space="preserve">in excess of 4mmol per L after at least 3 months of treatment at a maximum tolerated dose of a statin. The dose and duration of statin treatment and the cholesterol </w:t>
      </w:r>
      <w:r w:rsidR="004C1339" w:rsidRPr="004C1339">
        <w:rPr>
          <w:rFonts w:asciiTheme="minorHAnsi" w:eastAsia="Times New Roman" w:hAnsiTheme="minorHAnsi" w:cs="Arial"/>
          <w:color w:val="222222"/>
          <w:szCs w:val="24"/>
          <w:highlight w:val="yellow"/>
          <w:lang w:eastAsia="en-AU"/>
        </w:rPr>
        <w:t>concentration</w:t>
      </w:r>
      <w:r w:rsidRPr="004C1339">
        <w:rPr>
          <w:rFonts w:asciiTheme="minorHAnsi" w:hAnsiTheme="minorHAnsi"/>
          <w:highlight w:val="yellow"/>
        </w:rPr>
        <w:t xml:space="preserve"> which shows inadequate control must be documented in the patient’s medical records when ezetimibe is initiated.</w:t>
      </w:r>
    </w:p>
    <w:p w:rsidR="00C92E45" w:rsidRPr="00221CE2" w:rsidRDefault="00C92E45">
      <w:pPr>
        <w:pStyle w:val="ListParagraph"/>
        <w:spacing w:after="120" w:line="240" w:lineRule="auto"/>
        <w:ind w:left="0"/>
        <w:contextualSpacing w:val="0"/>
        <w:rPr>
          <w:rFonts w:asciiTheme="minorHAnsi" w:hAnsiTheme="minorHAnsi"/>
          <w:b/>
          <w:highlight w:val="yellow"/>
        </w:rPr>
      </w:pPr>
    </w:p>
    <w:p w:rsidR="00C92E45" w:rsidRPr="00221CE2" w:rsidRDefault="00C92E45">
      <w:pPr>
        <w:pStyle w:val="ListParagraph"/>
        <w:spacing w:after="120" w:line="240" w:lineRule="auto"/>
        <w:ind w:left="0"/>
        <w:contextualSpacing w:val="0"/>
        <w:rPr>
          <w:rFonts w:asciiTheme="minorHAnsi" w:hAnsiTheme="minorHAnsi"/>
          <w:b/>
          <w:highlight w:val="yellow"/>
        </w:rPr>
      </w:pPr>
      <w:r w:rsidRPr="00221CE2">
        <w:rPr>
          <w:rFonts w:asciiTheme="minorHAnsi" w:hAnsiTheme="minorHAnsi"/>
          <w:b/>
          <w:highlight w:val="yellow"/>
        </w:rPr>
        <w:t>AND</w:t>
      </w:r>
    </w:p>
    <w:p w:rsidR="00C92E45" w:rsidRPr="00221CE2" w:rsidRDefault="00C92E45">
      <w:pPr>
        <w:pStyle w:val="ListParagraph"/>
        <w:numPr>
          <w:ilvl w:val="0"/>
          <w:numId w:val="29"/>
        </w:numPr>
        <w:spacing w:before="100" w:beforeAutospacing="1" w:after="100" w:afterAutospacing="1" w:line="240" w:lineRule="auto"/>
        <w:rPr>
          <w:rFonts w:ascii="Times New Roman" w:eastAsia="Times New Roman" w:hAnsi="Times New Roman" w:cs="Times New Roman"/>
          <w:szCs w:val="24"/>
          <w:highlight w:val="yellow"/>
          <w:lang w:eastAsia="en-AU"/>
        </w:rPr>
      </w:pPr>
      <w:r w:rsidRPr="00221CE2">
        <w:rPr>
          <w:rFonts w:asciiTheme="minorHAnsi" w:hAnsiTheme="minorHAnsi"/>
          <w:highlight w:val="yellow"/>
        </w:rPr>
        <w:t xml:space="preserve">Patient falls into at least one of the very high risk categories described as </w:t>
      </w:r>
    </w:p>
    <w:p w:rsidR="00C92E45" w:rsidRPr="00221CE2" w:rsidRDefault="00C92E45" w:rsidP="00EA7D7C">
      <w:pPr>
        <w:numPr>
          <w:ilvl w:val="0"/>
          <w:numId w:val="58"/>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coronary heart disease which has become symptomatic</w:t>
      </w:r>
    </w:p>
    <w:p w:rsidR="00C92E45" w:rsidRPr="00221CE2" w:rsidRDefault="00C92E45" w:rsidP="00EA7D7C">
      <w:pPr>
        <w:numPr>
          <w:ilvl w:val="0"/>
          <w:numId w:val="58"/>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cerebrovascular disease which has become symptomatic</w:t>
      </w:r>
    </w:p>
    <w:p w:rsidR="00C92E45" w:rsidRPr="00221CE2" w:rsidRDefault="00C92E45" w:rsidP="00EA7D7C">
      <w:pPr>
        <w:numPr>
          <w:ilvl w:val="0"/>
          <w:numId w:val="58"/>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peripheral vascular disease which has become symptomatic</w:t>
      </w:r>
    </w:p>
    <w:p w:rsidR="00C92E45" w:rsidRPr="00221CE2" w:rsidRDefault="00C92E45" w:rsidP="00EA7D7C">
      <w:pPr>
        <w:numPr>
          <w:ilvl w:val="0"/>
          <w:numId w:val="58"/>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 xml:space="preserve">diabetes mellitus with microalbuminuria (defined as urinary albumin excretion rate of &gt;20mcg/min or urinary albumin to creatinine ratio of &gt; 2.5 for males, &gt; 3.5 for females) </w:t>
      </w:r>
    </w:p>
    <w:p w:rsidR="00C92E45" w:rsidRPr="00221CE2" w:rsidRDefault="00C92E45" w:rsidP="00EA7D7C">
      <w:pPr>
        <w:numPr>
          <w:ilvl w:val="0"/>
          <w:numId w:val="58"/>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diabetes mellitus in Aboriginal or Torres Strait Islander patients</w:t>
      </w:r>
    </w:p>
    <w:p w:rsidR="00C92E45" w:rsidRPr="00221CE2" w:rsidRDefault="00C92E45" w:rsidP="00EA7D7C">
      <w:pPr>
        <w:numPr>
          <w:ilvl w:val="0"/>
          <w:numId w:val="58"/>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diabetes mellitus in patients aged 60 years or more</w:t>
      </w:r>
    </w:p>
    <w:p w:rsidR="00C92E45" w:rsidRPr="00221CE2" w:rsidRDefault="00C92E45" w:rsidP="00EA7D7C">
      <w:pPr>
        <w:numPr>
          <w:ilvl w:val="0"/>
          <w:numId w:val="58"/>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 xml:space="preserve">family history of coronary heart disease which has become symptomatic before the age of 55 years in two or more first degree relatives </w:t>
      </w:r>
    </w:p>
    <w:p w:rsidR="00C92E45" w:rsidRPr="00221CE2" w:rsidRDefault="00C92E45" w:rsidP="00EA7D7C">
      <w:pPr>
        <w:numPr>
          <w:ilvl w:val="0"/>
          <w:numId w:val="58"/>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 xml:space="preserve">family history of coronary heart disease which has become symptomatic before the age of 45 years in one or more first degree relatives </w:t>
      </w:r>
    </w:p>
    <w:p w:rsidR="00C92E45" w:rsidRPr="00221CE2" w:rsidRDefault="00C92E45" w:rsidP="00EA7D7C">
      <w:pPr>
        <w:pStyle w:val="ListParagraph"/>
        <w:numPr>
          <w:ilvl w:val="0"/>
          <w:numId w:val="58"/>
        </w:numPr>
        <w:spacing w:after="120" w:line="240" w:lineRule="auto"/>
        <w:rPr>
          <w:rFonts w:asciiTheme="minorHAnsi" w:hAnsiTheme="minorHAnsi"/>
          <w:highlight w:val="yellow"/>
        </w:rPr>
      </w:pPr>
      <w:r w:rsidRPr="00221CE2">
        <w:rPr>
          <w:rFonts w:asciiTheme="minorHAnsi" w:hAnsiTheme="minorHAnsi"/>
          <w:highlight w:val="yellow"/>
        </w:rPr>
        <w:t>Heterozygous/Homozygous familial hypercholesterolaemia.</w:t>
      </w:r>
    </w:p>
    <w:p w:rsidR="00C92E45" w:rsidRPr="00221CE2" w:rsidRDefault="00C92E45">
      <w:pPr>
        <w:pStyle w:val="ListParagraph"/>
        <w:tabs>
          <w:tab w:val="num" w:pos="0"/>
        </w:tabs>
        <w:spacing w:after="120" w:line="240" w:lineRule="auto"/>
        <w:ind w:left="0"/>
        <w:contextualSpacing w:val="0"/>
        <w:rPr>
          <w:rFonts w:asciiTheme="minorHAnsi" w:hAnsiTheme="minorHAnsi"/>
          <w:b/>
          <w:highlight w:val="yellow"/>
        </w:rPr>
      </w:pPr>
    </w:p>
    <w:p w:rsidR="00C92E45" w:rsidRPr="00221CE2" w:rsidRDefault="00C92E45">
      <w:pPr>
        <w:pStyle w:val="ListParagraph"/>
        <w:tabs>
          <w:tab w:val="num" w:pos="0"/>
        </w:tabs>
        <w:spacing w:after="120" w:line="240" w:lineRule="auto"/>
        <w:ind w:left="0"/>
        <w:contextualSpacing w:val="0"/>
        <w:rPr>
          <w:rFonts w:asciiTheme="minorHAnsi" w:hAnsiTheme="minorHAnsi"/>
          <w:b/>
          <w:highlight w:val="yellow"/>
        </w:rPr>
      </w:pPr>
      <w:r w:rsidRPr="00221CE2">
        <w:rPr>
          <w:rFonts w:asciiTheme="minorHAnsi" w:hAnsiTheme="minorHAnsi"/>
          <w:b/>
          <w:highlight w:val="yellow"/>
        </w:rPr>
        <w:t>OR</w:t>
      </w:r>
    </w:p>
    <w:p w:rsidR="00C92E45" w:rsidRPr="00221CE2" w:rsidRDefault="00C92E45">
      <w:pPr>
        <w:pStyle w:val="ListParagraph"/>
        <w:numPr>
          <w:ilvl w:val="0"/>
          <w:numId w:val="29"/>
        </w:numPr>
        <w:spacing w:after="120" w:line="240" w:lineRule="auto"/>
        <w:contextualSpacing w:val="0"/>
        <w:rPr>
          <w:rFonts w:asciiTheme="minorHAnsi" w:hAnsiTheme="minorHAnsi"/>
          <w:highlight w:val="yellow"/>
        </w:rPr>
      </w:pPr>
      <w:r w:rsidRPr="00221CE2">
        <w:rPr>
          <w:rFonts w:asciiTheme="minorHAnsi" w:hAnsiTheme="minorHAnsi"/>
          <w:highlight w:val="yellow"/>
        </w:rPr>
        <w:lastRenderedPageBreak/>
        <w:t>Where a patient’s level of absolute risk of a cardiovascular event is greater than 15% over 5 years as calculated by the Australian Absolute cardiovascular disease risk calculator (National Vascular Disease Prevention Alliance)</w:t>
      </w:r>
    </w:p>
    <w:p w:rsidR="0000686B" w:rsidRDefault="0000686B">
      <w:pPr>
        <w:pStyle w:val="ListParagraph"/>
        <w:spacing w:after="120" w:line="240" w:lineRule="auto"/>
        <w:ind w:left="426"/>
        <w:rPr>
          <w:rFonts w:asciiTheme="minorHAnsi" w:hAnsiTheme="minorHAnsi"/>
          <w:highlight w:val="yellow"/>
        </w:rPr>
      </w:pPr>
    </w:p>
    <w:p w:rsidR="00E816CE" w:rsidRPr="00221CE2" w:rsidRDefault="00E816CE" w:rsidP="005A2287">
      <w:pPr>
        <w:pStyle w:val="ListParagraph"/>
        <w:numPr>
          <w:ilvl w:val="0"/>
          <w:numId w:val="47"/>
        </w:numPr>
        <w:spacing w:after="120" w:line="240" w:lineRule="auto"/>
        <w:ind w:left="426"/>
        <w:rPr>
          <w:rFonts w:asciiTheme="minorHAnsi" w:hAnsiTheme="minorHAnsi"/>
          <w:b/>
          <w:szCs w:val="24"/>
          <w:highlight w:val="yellow"/>
        </w:rPr>
      </w:pPr>
      <w:r w:rsidRPr="00221CE2">
        <w:rPr>
          <w:rFonts w:asciiTheme="minorHAnsi" w:hAnsiTheme="minorHAnsi"/>
          <w:b/>
          <w:szCs w:val="24"/>
          <w:highlight w:val="yellow"/>
        </w:rPr>
        <w:t>ezetimibe in combination with statin</w:t>
      </w:r>
    </w:p>
    <w:p w:rsidR="00E816CE" w:rsidRDefault="00E816CE" w:rsidP="005A2287">
      <w:pPr>
        <w:pStyle w:val="ListParagraph"/>
        <w:spacing w:after="120" w:line="240" w:lineRule="auto"/>
        <w:ind w:left="426" w:hanging="720"/>
        <w:rPr>
          <w:rFonts w:asciiTheme="minorHAnsi" w:hAnsiTheme="minorHAnsi"/>
          <w:b/>
          <w:highlight w:val="yellow"/>
        </w:rPr>
      </w:pPr>
    </w:p>
    <w:p w:rsidR="00E816CE" w:rsidRPr="00E816CE" w:rsidRDefault="00E816CE" w:rsidP="005A2287">
      <w:pPr>
        <w:spacing w:after="120" w:line="240" w:lineRule="auto"/>
        <w:ind w:left="360" w:hanging="360"/>
        <w:rPr>
          <w:rFonts w:asciiTheme="minorHAnsi" w:hAnsiTheme="minorHAnsi"/>
          <w:b/>
          <w:highlight w:val="yellow"/>
        </w:rPr>
      </w:pPr>
      <w:r w:rsidRPr="00E816CE">
        <w:rPr>
          <w:rFonts w:asciiTheme="minorHAnsi" w:hAnsiTheme="minorHAnsi"/>
          <w:b/>
          <w:highlight w:val="yellow"/>
        </w:rPr>
        <w:t>Authority Required (STREAMLINED)</w:t>
      </w:r>
    </w:p>
    <w:p w:rsidR="00E816CE" w:rsidRPr="00E816CE" w:rsidRDefault="00E816CE" w:rsidP="005A2287">
      <w:pPr>
        <w:spacing w:after="120" w:line="240" w:lineRule="auto"/>
        <w:rPr>
          <w:rFonts w:asciiTheme="minorHAnsi" w:hAnsiTheme="minorHAnsi"/>
          <w:b/>
          <w:highlight w:val="yellow"/>
        </w:rPr>
      </w:pPr>
      <w:r w:rsidRPr="00E816CE">
        <w:rPr>
          <w:rFonts w:asciiTheme="minorHAnsi" w:hAnsiTheme="minorHAnsi"/>
          <w:b/>
          <w:highlight w:val="yellow"/>
        </w:rPr>
        <w:t>Hypercholesterolaemia</w:t>
      </w:r>
    </w:p>
    <w:p w:rsidR="00E816CE" w:rsidRPr="00E816CE" w:rsidRDefault="00E816CE" w:rsidP="005A2287">
      <w:pPr>
        <w:spacing w:after="120" w:line="240" w:lineRule="auto"/>
        <w:rPr>
          <w:rFonts w:asciiTheme="minorHAnsi" w:hAnsiTheme="minorHAnsi"/>
          <w:highlight w:val="yellow"/>
          <w:u w:val="single"/>
        </w:rPr>
      </w:pPr>
      <w:r w:rsidRPr="00E816CE">
        <w:rPr>
          <w:rFonts w:asciiTheme="minorHAnsi" w:hAnsiTheme="minorHAnsi"/>
          <w:highlight w:val="yellow"/>
          <w:u w:val="single"/>
        </w:rPr>
        <w:t>Clinical criteria</w:t>
      </w:r>
    </w:p>
    <w:p w:rsidR="00E816CE" w:rsidRPr="00E816CE" w:rsidRDefault="00E816CE" w:rsidP="005A2287">
      <w:pPr>
        <w:pStyle w:val="ListParagraph"/>
        <w:numPr>
          <w:ilvl w:val="1"/>
          <w:numId w:val="15"/>
        </w:numPr>
        <w:spacing w:before="100" w:beforeAutospacing="1" w:after="100" w:afterAutospacing="1" w:line="240" w:lineRule="auto"/>
        <w:ind w:left="426"/>
        <w:rPr>
          <w:rFonts w:asciiTheme="minorHAnsi" w:hAnsiTheme="minorHAnsi"/>
          <w:highlight w:val="yellow"/>
        </w:rPr>
      </w:pPr>
      <w:r w:rsidRPr="00E816CE">
        <w:rPr>
          <w:rFonts w:asciiTheme="minorHAnsi" w:hAnsiTheme="minorHAnsi"/>
          <w:highlight w:val="yellow"/>
        </w:rPr>
        <w:t xml:space="preserve">Patient must have developed a clinically important product-related adverse event during treatment with an HMG CoA reductase inhibitor (statin) necessitating a reduction in statin dose. The type and severity of the adverse event must be documented in the patient’s medical records. </w:t>
      </w:r>
    </w:p>
    <w:p w:rsidR="00756992" w:rsidRDefault="00756992">
      <w:pPr>
        <w:pStyle w:val="ListParagraph"/>
        <w:spacing w:after="120" w:line="240" w:lineRule="auto"/>
        <w:ind w:left="0"/>
        <w:contextualSpacing w:val="0"/>
        <w:rPr>
          <w:rFonts w:asciiTheme="minorHAnsi" w:hAnsiTheme="minorHAnsi"/>
          <w:b/>
          <w:highlight w:val="yellow"/>
        </w:rPr>
      </w:pPr>
    </w:p>
    <w:p w:rsidR="00756992" w:rsidRPr="00221CE2" w:rsidRDefault="00756992">
      <w:pPr>
        <w:pStyle w:val="ListParagraph"/>
        <w:spacing w:after="120" w:line="240" w:lineRule="auto"/>
        <w:ind w:left="0"/>
        <w:contextualSpacing w:val="0"/>
        <w:rPr>
          <w:rFonts w:asciiTheme="minorHAnsi" w:hAnsiTheme="minorHAnsi"/>
          <w:b/>
          <w:highlight w:val="yellow"/>
        </w:rPr>
      </w:pPr>
      <w:r w:rsidRPr="00221CE2">
        <w:rPr>
          <w:rFonts w:asciiTheme="minorHAnsi" w:hAnsiTheme="minorHAnsi"/>
          <w:b/>
          <w:highlight w:val="yellow"/>
        </w:rPr>
        <w:t>AND</w:t>
      </w:r>
    </w:p>
    <w:p w:rsidR="00756992" w:rsidRPr="00221CE2" w:rsidRDefault="00756992">
      <w:pPr>
        <w:pStyle w:val="ListParagraph"/>
        <w:numPr>
          <w:ilvl w:val="0"/>
          <w:numId w:val="29"/>
        </w:numPr>
        <w:spacing w:before="100" w:beforeAutospacing="1" w:after="100" w:afterAutospacing="1" w:line="240" w:lineRule="auto"/>
        <w:rPr>
          <w:rFonts w:ascii="Times New Roman" w:eastAsia="Times New Roman" w:hAnsi="Times New Roman" w:cs="Times New Roman"/>
          <w:szCs w:val="24"/>
          <w:highlight w:val="yellow"/>
          <w:lang w:eastAsia="en-AU"/>
        </w:rPr>
      </w:pPr>
      <w:r w:rsidRPr="00221CE2">
        <w:rPr>
          <w:rFonts w:asciiTheme="minorHAnsi" w:hAnsiTheme="minorHAnsi"/>
          <w:highlight w:val="yellow"/>
        </w:rPr>
        <w:t xml:space="preserve">Patient falls into a very high risk category described as </w:t>
      </w:r>
    </w:p>
    <w:p w:rsidR="00756992" w:rsidRPr="00221CE2" w:rsidRDefault="00756992">
      <w:pPr>
        <w:numPr>
          <w:ilvl w:val="0"/>
          <w:numId w:val="54"/>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coronary heart disease which has become symptomatic</w:t>
      </w:r>
    </w:p>
    <w:p w:rsidR="00756992" w:rsidRPr="00221CE2" w:rsidRDefault="00756992">
      <w:pPr>
        <w:numPr>
          <w:ilvl w:val="0"/>
          <w:numId w:val="54"/>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cerebrovascular disease which has become symptomatic</w:t>
      </w:r>
    </w:p>
    <w:p w:rsidR="00756992" w:rsidRPr="00221CE2" w:rsidRDefault="00756992">
      <w:pPr>
        <w:numPr>
          <w:ilvl w:val="0"/>
          <w:numId w:val="54"/>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peripheral vascular disease which has become symptomatic</w:t>
      </w:r>
    </w:p>
    <w:p w:rsidR="00756992" w:rsidRPr="00221CE2" w:rsidRDefault="00756992">
      <w:pPr>
        <w:numPr>
          <w:ilvl w:val="0"/>
          <w:numId w:val="54"/>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 xml:space="preserve">diabetes mellitus with microalbuminuria (defined as urinary albumin excretion rate of &gt;20mcg/min or urinary albumin to creatinine ratio of &gt; 2.5 for males, &gt; 3.5 for females) </w:t>
      </w:r>
    </w:p>
    <w:p w:rsidR="00756992" w:rsidRPr="00221CE2" w:rsidRDefault="00756992">
      <w:pPr>
        <w:numPr>
          <w:ilvl w:val="0"/>
          <w:numId w:val="54"/>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diabetes mellitus in Aboriginal or Torres Strait Islander patients</w:t>
      </w:r>
    </w:p>
    <w:p w:rsidR="00756992" w:rsidRPr="00221CE2" w:rsidRDefault="00756992">
      <w:pPr>
        <w:numPr>
          <w:ilvl w:val="0"/>
          <w:numId w:val="54"/>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diabetes mellitus in patients aged 60 years or more</w:t>
      </w:r>
    </w:p>
    <w:p w:rsidR="00756992" w:rsidRPr="00221CE2" w:rsidRDefault="00756992">
      <w:pPr>
        <w:numPr>
          <w:ilvl w:val="0"/>
          <w:numId w:val="54"/>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 xml:space="preserve">family history of coronary heart disease which has become symptomatic before the age of 55 years in two or more first degree relatives </w:t>
      </w:r>
    </w:p>
    <w:p w:rsidR="00756992" w:rsidRPr="00221CE2" w:rsidRDefault="00756992">
      <w:pPr>
        <w:numPr>
          <w:ilvl w:val="0"/>
          <w:numId w:val="54"/>
        </w:numPr>
        <w:spacing w:before="100" w:beforeAutospacing="1" w:after="100" w:afterAutospacing="1" w:line="240" w:lineRule="auto"/>
        <w:rPr>
          <w:rFonts w:asciiTheme="minorHAnsi" w:hAnsiTheme="minorHAnsi"/>
          <w:highlight w:val="yellow"/>
        </w:rPr>
      </w:pPr>
      <w:r w:rsidRPr="00221CE2">
        <w:rPr>
          <w:rFonts w:asciiTheme="minorHAnsi" w:hAnsiTheme="minorHAnsi"/>
          <w:highlight w:val="yellow"/>
        </w:rPr>
        <w:t xml:space="preserve">family history of coronary heart disease which has become symptomatic before the age of 45 years in one or more first degree relatives </w:t>
      </w:r>
    </w:p>
    <w:p w:rsidR="00756992" w:rsidRPr="00221CE2" w:rsidRDefault="00756992">
      <w:pPr>
        <w:pStyle w:val="ListParagraph"/>
        <w:numPr>
          <w:ilvl w:val="0"/>
          <w:numId w:val="54"/>
        </w:numPr>
        <w:spacing w:after="120" w:line="240" w:lineRule="auto"/>
        <w:rPr>
          <w:rFonts w:asciiTheme="minorHAnsi" w:hAnsiTheme="minorHAnsi"/>
          <w:highlight w:val="yellow"/>
        </w:rPr>
      </w:pPr>
      <w:r w:rsidRPr="00221CE2">
        <w:rPr>
          <w:rFonts w:asciiTheme="minorHAnsi" w:hAnsiTheme="minorHAnsi"/>
          <w:highlight w:val="yellow"/>
        </w:rPr>
        <w:t>Heterozygous/Homozygous familial hypercholesterolaemia.</w:t>
      </w:r>
    </w:p>
    <w:p w:rsidR="00756992" w:rsidRPr="00221CE2" w:rsidRDefault="00756992">
      <w:pPr>
        <w:pStyle w:val="ListParagraph"/>
        <w:tabs>
          <w:tab w:val="num" w:pos="0"/>
        </w:tabs>
        <w:spacing w:after="120" w:line="240" w:lineRule="auto"/>
        <w:ind w:left="0"/>
        <w:contextualSpacing w:val="0"/>
        <w:rPr>
          <w:rFonts w:asciiTheme="minorHAnsi" w:hAnsiTheme="minorHAnsi"/>
          <w:b/>
          <w:highlight w:val="yellow"/>
        </w:rPr>
      </w:pPr>
    </w:p>
    <w:p w:rsidR="00756992" w:rsidRPr="00221CE2" w:rsidRDefault="00756992">
      <w:pPr>
        <w:pStyle w:val="ListParagraph"/>
        <w:tabs>
          <w:tab w:val="num" w:pos="0"/>
        </w:tabs>
        <w:spacing w:after="120" w:line="240" w:lineRule="auto"/>
        <w:ind w:left="0"/>
        <w:contextualSpacing w:val="0"/>
        <w:rPr>
          <w:rFonts w:asciiTheme="minorHAnsi" w:hAnsiTheme="minorHAnsi"/>
          <w:b/>
          <w:highlight w:val="yellow"/>
        </w:rPr>
      </w:pPr>
      <w:r w:rsidRPr="00221CE2">
        <w:rPr>
          <w:rFonts w:asciiTheme="minorHAnsi" w:hAnsiTheme="minorHAnsi"/>
          <w:b/>
          <w:highlight w:val="yellow"/>
        </w:rPr>
        <w:t>OR</w:t>
      </w:r>
    </w:p>
    <w:p w:rsidR="00756992" w:rsidRDefault="00756992">
      <w:pPr>
        <w:pStyle w:val="ListParagraph"/>
        <w:numPr>
          <w:ilvl w:val="0"/>
          <w:numId w:val="29"/>
        </w:numPr>
        <w:spacing w:after="120" w:line="240" w:lineRule="auto"/>
        <w:contextualSpacing w:val="0"/>
        <w:rPr>
          <w:rFonts w:asciiTheme="minorHAnsi" w:hAnsiTheme="minorHAnsi"/>
          <w:highlight w:val="yellow"/>
        </w:rPr>
      </w:pPr>
      <w:r w:rsidRPr="00E816CE">
        <w:rPr>
          <w:rFonts w:asciiTheme="minorHAnsi" w:hAnsiTheme="minorHAnsi"/>
          <w:highlight w:val="yellow"/>
        </w:rPr>
        <w:t>Where a patient’s level of absolute risk of a cardiovascular event is greater than 15% over 5 years as calculated by the Australian Absolute cardiovascular disease risk calculator (National Vascular Disease Prevention Alliance)</w:t>
      </w:r>
    </w:p>
    <w:p w:rsidR="00756992" w:rsidRPr="00E816CE" w:rsidRDefault="00756992">
      <w:pPr>
        <w:pStyle w:val="ListParagraph"/>
        <w:tabs>
          <w:tab w:val="left" w:pos="426"/>
        </w:tabs>
        <w:spacing w:after="120" w:line="240" w:lineRule="auto"/>
        <w:ind w:left="426"/>
        <w:rPr>
          <w:rFonts w:asciiTheme="minorHAnsi" w:hAnsiTheme="minorHAnsi"/>
          <w:highlight w:val="yellow"/>
        </w:rPr>
      </w:pPr>
    </w:p>
    <w:p w:rsidR="00756992" w:rsidRPr="00E816CE" w:rsidRDefault="00756992">
      <w:pPr>
        <w:spacing w:before="100" w:beforeAutospacing="1" w:after="100" w:afterAutospacing="1" w:line="240" w:lineRule="auto"/>
        <w:rPr>
          <w:rFonts w:asciiTheme="minorHAnsi" w:hAnsiTheme="minorHAnsi"/>
          <w:highlight w:val="yellow"/>
        </w:rPr>
      </w:pPr>
      <w:r w:rsidRPr="00E816CE">
        <w:rPr>
          <w:rFonts w:ascii="Times New Roman" w:eastAsia="Times New Roman" w:hAnsi="Times New Roman" w:cs="Times New Roman"/>
          <w:szCs w:val="24"/>
          <w:highlight w:val="yellow"/>
          <w:lang w:eastAsia="en-AU"/>
        </w:rPr>
        <w:t xml:space="preserve">A </w:t>
      </w:r>
      <w:r w:rsidRPr="00E816CE">
        <w:rPr>
          <w:rFonts w:asciiTheme="minorHAnsi" w:hAnsiTheme="minorHAnsi"/>
          <w:highlight w:val="yellow"/>
        </w:rPr>
        <w:t xml:space="preserve">clinically important product-related adverse event is defined as follows: </w:t>
      </w:r>
    </w:p>
    <w:p w:rsidR="00756992" w:rsidRPr="00E816CE" w:rsidRDefault="00756992">
      <w:pPr>
        <w:spacing w:before="100" w:beforeAutospacing="1" w:after="100" w:afterAutospacing="1" w:line="240" w:lineRule="auto"/>
        <w:rPr>
          <w:rFonts w:asciiTheme="minorHAnsi" w:hAnsiTheme="minorHAnsi"/>
          <w:highlight w:val="yellow"/>
        </w:rPr>
      </w:pPr>
      <w:r w:rsidRPr="00E816CE">
        <w:rPr>
          <w:rFonts w:asciiTheme="minorHAnsi" w:hAnsiTheme="minorHAnsi"/>
          <w:highlight w:val="yellow"/>
        </w:rPr>
        <w:t xml:space="preserve">(i) Severe myalgia (muscle symptoms without creatine kinase elevation) which is proven to be temporally associated with statin treatment; or </w:t>
      </w:r>
    </w:p>
    <w:p w:rsidR="00756992" w:rsidRPr="00E816CE" w:rsidRDefault="00756992">
      <w:pPr>
        <w:spacing w:before="100" w:beforeAutospacing="1" w:after="100" w:afterAutospacing="1" w:line="240" w:lineRule="auto"/>
        <w:rPr>
          <w:rFonts w:asciiTheme="minorHAnsi" w:hAnsiTheme="minorHAnsi"/>
          <w:highlight w:val="yellow"/>
        </w:rPr>
      </w:pPr>
      <w:r w:rsidRPr="00E816CE">
        <w:rPr>
          <w:rFonts w:asciiTheme="minorHAnsi" w:hAnsiTheme="minorHAnsi"/>
          <w:highlight w:val="yellow"/>
        </w:rPr>
        <w:lastRenderedPageBreak/>
        <w:t xml:space="preserve">(ii) Myositis (clinically important creatine kinase elevation, with or without muscle symptoms) demonstrated by results twice the upper limit of normal on a single reading or a rising pattern on consecutive measurements and which is unexplained by other causes; or </w:t>
      </w:r>
    </w:p>
    <w:p w:rsidR="00756992" w:rsidRPr="00E816CE" w:rsidRDefault="00756992" w:rsidP="005A2287">
      <w:pPr>
        <w:spacing w:before="100" w:beforeAutospacing="1" w:after="100" w:afterAutospacing="1" w:line="240" w:lineRule="auto"/>
        <w:rPr>
          <w:rFonts w:asciiTheme="minorHAnsi" w:hAnsiTheme="minorHAnsi"/>
        </w:rPr>
      </w:pPr>
      <w:r w:rsidRPr="00E816CE">
        <w:rPr>
          <w:rFonts w:asciiTheme="minorHAnsi" w:hAnsiTheme="minorHAnsi"/>
          <w:highlight w:val="yellow"/>
        </w:rPr>
        <w:t>(iii) Unexplained, persistent elevations of serum transaminases (greater than 3 times the upper limit of normal) during treatment with a statin.</w:t>
      </w:r>
      <w:r w:rsidRPr="00E816CE">
        <w:rPr>
          <w:rFonts w:asciiTheme="minorHAnsi" w:hAnsiTheme="minorHAnsi"/>
        </w:rPr>
        <w:t xml:space="preserve"> </w:t>
      </w:r>
    </w:p>
    <w:p w:rsidR="00EC6DA4" w:rsidRDefault="00EC6DA4" w:rsidP="005A2287">
      <w:pPr>
        <w:spacing w:after="0" w:line="240" w:lineRule="auto"/>
        <w:rPr>
          <w:rFonts w:asciiTheme="minorHAnsi" w:eastAsiaTheme="majorEastAsia" w:hAnsiTheme="minorHAnsi" w:cstheme="majorBidi"/>
          <w:b/>
          <w:bCs/>
          <w:color w:val="548DD4" w:themeColor="text2" w:themeTint="99"/>
          <w:sz w:val="40"/>
          <w:szCs w:val="40"/>
        </w:rPr>
      </w:pPr>
      <w:bookmarkStart w:id="75" w:name="_Toc388453125"/>
      <w:r>
        <w:rPr>
          <w:rFonts w:asciiTheme="minorHAnsi" w:eastAsiaTheme="majorEastAsia" w:hAnsiTheme="minorHAnsi" w:cstheme="majorBidi"/>
          <w:b/>
          <w:bCs/>
          <w:color w:val="548DD4" w:themeColor="text2" w:themeTint="99"/>
          <w:sz w:val="40"/>
          <w:szCs w:val="40"/>
        </w:rPr>
        <w:br w:type="page"/>
      </w:r>
    </w:p>
    <w:p w:rsidR="0000686B" w:rsidRPr="008810FB" w:rsidRDefault="0000686B" w:rsidP="00920324">
      <w:pPr>
        <w:pStyle w:val="Heading1"/>
      </w:pPr>
      <w:bookmarkStart w:id="76" w:name="_Toc482176966"/>
      <w:r w:rsidRPr="00204D95">
        <w:lastRenderedPageBreak/>
        <w:t xml:space="preserve">Section </w:t>
      </w:r>
      <w:r w:rsidR="003306B9">
        <w:t>3</w:t>
      </w:r>
      <w:r w:rsidR="008810FB">
        <w:t>: TOR 3</w:t>
      </w:r>
      <w:bookmarkEnd w:id="75"/>
      <w:r w:rsidR="008810FB">
        <w:br/>
      </w:r>
      <w:r w:rsidRPr="000B59B6">
        <w:t xml:space="preserve">Clinical and </w:t>
      </w:r>
      <w:r w:rsidRPr="008810FB">
        <w:t>cost</w:t>
      </w:r>
      <w:r w:rsidRPr="000B59B6">
        <w:t>-effectiveness of</w:t>
      </w:r>
      <w:r w:rsidRPr="00204D95">
        <w:t xml:space="preserve"> ezetimibe</w:t>
      </w:r>
      <w:bookmarkEnd w:id="76"/>
    </w:p>
    <w:p w:rsidR="0000686B" w:rsidRPr="008810FB" w:rsidRDefault="0000686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color w:val="365F91" w:themeColor="accent1" w:themeShade="BF"/>
        </w:rPr>
      </w:pPr>
      <w:bookmarkStart w:id="77" w:name="_Toc388453126"/>
      <w:r w:rsidRPr="008810FB">
        <w:rPr>
          <w:rFonts w:asciiTheme="minorHAnsi" w:hAnsiTheme="minorHAnsi"/>
          <w:color w:val="365F91" w:themeColor="accent1" w:themeShade="BF"/>
        </w:rPr>
        <w:t>Collate and evaluate any recent clinical studies of ezetimibe that report on long</w:t>
      </w:r>
      <w:r w:rsidR="00F7627D">
        <w:rPr>
          <w:rFonts w:asciiTheme="minorHAnsi" w:hAnsiTheme="minorHAnsi"/>
          <w:color w:val="365F91" w:themeColor="accent1" w:themeShade="BF"/>
        </w:rPr>
        <w:t>-</w:t>
      </w:r>
      <w:r w:rsidRPr="008810FB">
        <w:rPr>
          <w:rFonts w:asciiTheme="minorHAnsi" w:hAnsiTheme="minorHAnsi"/>
          <w:color w:val="365F91" w:themeColor="accent1" w:themeShade="BF"/>
        </w:rPr>
        <w:t xml:space="preserve">term patient relevant outcomes, and use this data to review the cost-effectiveness of ezetimibe.  </w:t>
      </w:r>
    </w:p>
    <w:p w:rsidR="0000686B" w:rsidRPr="00204D95" w:rsidRDefault="003848A8">
      <w:pPr>
        <w:pStyle w:val="Heading2"/>
      </w:pPr>
      <w:bookmarkStart w:id="78" w:name="_Toc482176967"/>
      <w:r>
        <w:t>3.</w:t>
      </w:r>
      <w:r w:rsidR="0000686B" w:rsidRPr="00204D95">
        <w:t>1</w:t>
      </w:r>
      <w:r w:rsidR="0000686B" w:rsidRPr="00204D95">
        <w:tab/>
        <w:t>Key findings for T</w:t>
      </w:r>
      <w:r w:rsidR="0000686B">
        <w:t xml:space="preserve">erm </w:t>
      </w:r>
      <w:r w:rsidR="0000686B" w:rsidRPr="00204D95">
        <w:t>o</w:t>
      </w:r>
      <w:r w:rsidR="0000686B">
        <w:t xml:space="preserve">f </w:t>
      </w:r>
      <w:r w:rsidR="0000686B" w:rsidRPr="00204D95">
        <w:t>R</w:t>
      </w:r>
      <w:r w:rsidR="0000686B">
        <w:t xml:space="preserve">eference </w:t>
      </w:r>
      <w:r w:rsidR="0000686B" w:rsidRPr="00204D95">
        <w:t>3</w:t>
      </w:r>
      <w:bookmarkEnd w:id="77"/>
      <w:bookmarkEnd w:id="78"/>
    </w:p>
    <w:p w:rsidR="00C45AF0" w:rsidRPr="00C45AF0" w:rsidRDefault="003848A8" w:rsidP="005A2287">
      <w:pPr>
        <w:pStyle w:val="Heading3"/>
        <w:jc w:val="left"/>
        <w:rPr>
          <w:highlight w:val="yellow"/>
        </w:rPr>
      </w:pPr>
      <w:bookmarkStart w:id="79" w:name="_Toc482176968"/>
      <w:bookmarkStart w:id="80" w:name="_Toc388453130"/>
      <w:r>
        <w:rPr>
          <w:highlight w:val="yellow"/>
        </w:rPr>
        <w:t>3.</w:t>
      </w:r>
      <w:r w:rsidR="008810FB">
        <w:rPr>
          <w:highlight w:val="yellow"/>
        </w:rPr>
        <w:t>1.1</w:t>
      </w:r>
      <w:r w:rsidR="008810FB">
        <w:rPr>
          <w:highlight w:val="yellow"/>
        </w:rPr>
        <w:tab/>
      </w:r>
      <w:r w:rsidR="00C45AF0" w:rsidRPr="00C45AF0">
        <w:rPr>
          <w:highlight w:val="yellow"/>
        </w:rPr>
        <w:t>Evidence review on the clinical effectiveness of ezetimibe</w:t>
      </w:r>
      <w:bookmarkEnd w:id="79"/>
    </w:p>
    <w:p w:rsidR="0000686B" w:rsidRPr="00A35A60" w:rsidRDefault="0000686B" w:rsidP="00920324">
      <w:pPr>
        <w:pStyle w:val="ListParagraph"/>
        <w:spacing w:after="120" w:line="240" w:lineRule="auto"/>
        <w:ind w:left="0"/>
        <w:contextualSpacing w:val="0"/>
        <w:rPr>
          <w:rFonts w:asciiTheme="minorHAnsi" w:hAnsiTheme="minorHAnsi"/>
          <w:szCs w:val="24"/>
        </w:rPr>
      </w:pPr>
      <w:r w:rsidRPr="00C930D4">
        <w:rPr>
          <w:rFonts w:asciiTheme="minorHAnsi" w:eastAsia="Calibri" w:hAnsiTheme="minorHAnsi"/>
          <w:szCs w:val="24"/>
          <w:highlight w:val="yellow"/>
        </w:rPr>
        <w:t>The Literature Review sought to identify recent clinical studies of ezetimibe reporting on long</w:t>
      </w:r>
      <w:r w:rsidR="00F7627D">
        <w:rPr>
          <w:rFonts w:asciiTheme="minorHAnsi" w:eastAsia="Calibri" w:hAnsiTheme="minorHAnsi"/>
          <w:szCs w:val="24"/>
          <w:highlight w:val="yellow"/>
        </w:rPr>
        <w:t>-</w:t>
      </w:r>
      <w:r w:rsidRPr="00C930D4">
        <w:rPr>
          <w:rFonts w:asciiTheme="minorHAnsi" w:eastAsia="Calibri" w:hAnsiTheme="minorHAnsi"/>
          <w:szCs w:val="24"/>
          <w:highlight w:val="yellow"/>
        </w:rPr>
        <w:t xml:space="preserve">term patient relevant outcomes. </w:t>
      </w:r>
      <w:r w:rsidR="00C45AF0">
        <w:rPr>
          <w:rFonts w:asciiTheme="minorHAnsi" w:hAnsiTheme="minorHAnsi"/>
          <w:szCs w:val="24"/>
          <w:highlight w:val="yellow"/>
        </w:rPr>
        <w:t>One study was identified that reported patient relevant outcomes -</w:t>
      </w:r>
      <w:r w:rsidRPr="00C930D4">
        <w:rPr>
          <w:rFonts w:asciiTheme="minorHAnsi" w:hAnsiTheme="minorHAnsi"/>
          <w:szCs w:val="24"/>
          <w:highlight w:val="yellow"/>
        </w:rPr>
        <w:t xml:space="preserve"> the </w:t>
      </w:r>
      <w:r w:rsidR="00C45AF0">
        <w:rPr>
          <w:rFonts w:asciiTheme="minorHAnsi" w:hAnsiTheme="minorHAnsi"/>
          <w:szCs w:val="24"/>
          <w:highlight w:val="yellow"/>
        </w:rPr>
        <w:t xml:space="preserve">IMPROVE-IT trial, and </w:t>
      </w:r>
      <w:r w:rsidRPr="00C930D4">
        <w:rPr>
          <w:rFonts w:asciiTheme="minorHAnsi" w:hAnsiTheme="minorHAnsi"/>
          <w:szCs w:val="24"/>
          <w:highlight w:val="yellow"/>
        </w:rPr>
        <w:t>w</w:t>
      </w:r>
      <w:r w:rsidR="00C45AF0">
        <w:rPr>
          <w:rFonts w:asciiTheme="minorHAnsi" w:hAnsiTheme="minorHAnsi"/>
          <w:szCs w:val="24"/>
          <w:highlight w:val="yellow"/>
        </w:rPr>
        <w:t>as</w:t>
      </w:r>
      <w:r w:rsidRPr="00C930D4">
        <w:rPr>
          <w:rFonts w:asciiTheme="minorHAnsi" w:hAnsiTheme="minorHAnsi"/>
          <w:szCs w:val="24"/>
          <w:highlight w:val="yellow"/>
        </w:rPr>
        <w:t xml:space="preserve"> considered alongside other evidence</w:t>
      </w:r>
      <w:r w:rsidR="00C45AF0">
        <w:rPr>
          <w:rFonts w:asciiTheme="minorHAnsi" w:hAnsiTheme="minorHAnsi"/>
          <w:szCs w:val="24"/>
          <w:highlight w:val="yellow"/>
        </w:rPr>
        <w:t xml:space="preserve"> on the effect of ezetimibe on LDL-C lowering </w:t>
      </w:r>
      <w:r w:rsidRPr="00C930D4">
        <w:rPr>
          <w:rFonts w:asciiTheme="minorHAnsi" w:hAnsiTheme="minorHAnsi"/>
          <w:szCs w:val="24"/>
          <w:highlight w:val="yellow"/>
        </w:rPr>
        <w:t>to inform the Review’s response to Term of</w:t>
      </w:r>
      <w:r>
        <w:rPr>
          <w:rFonts w:asciiTheme="minorHAnsi" w:hAnsiTheme="minorHAnsi"/>
          <w:szCs w:val="24"/>
        </w:rPr>
        <w:t xml:space="preserve"> </w:t>
      </w:r>
      <w:r w:rsidRPr="00A35A60">
        <w:rPr>
          <w:rFonts w:asciiTheme="minorHAnsi" w:hAnsiTheme="minorHAnsi"/>
          <w:szCs w:val="24"/>
        </w:rPr>
        <w:t>R</w:t>
      </w:r>
      <w:r>
        <w:rPr>
          <w:rFonts w:asciiTheme="minorHAnsi" w:hAnsiTheme="minorHAnsi"/>
          <w:szCs w:val="24"/>
        </w:rPr>
        <w:t>eference</w:t>
      </w:r>
      <w:r w:rsidRPr="00A35A60">
        <w:rPr>
          <w:rFonts w:asciiTheme="minorHAnsi" w:hAnsiTheme="minorHAnsi"/>
          <w:szCs w:val="24"/>
        </w:rPr>
        <w:t xml:space="preserve"> 3.</w:t>
      </w:r>
      <w:r w:rsidR="00C45AF0">
        <w:rPr>
          <w:rFonts w:asciiTheme="minorHAnsi" w:hAnsiTheme="minorHAnsi"/>
          <w:szCs w:val="24"/>
        </w:rPr>
        <w:t xml:space="preserve"> </w:t>
      </w:r>
      <w:r w:rsidR="00C45AF0" w:rsidRPr="00BA106C">
        <w:rPr>
          <w:rFonts w:asciiTheme="minorHAnsi" w:hAnsiTheme="minorHAnsi"/>
          <w:szCs w:val="24"/>
          <w:highlight w:val="yellow"/>
        </w:rPr>
        <w:t xml:space="preserve">No trials were identified that reported on </w:t>
      </w:r>
      <w:r w:rsidR="00BA106C" w:rsidRPr="00BA106C">
        <w:rPr>
          <w:rFonts w:asciiTheme="minorHAnsi" w:hAnsiTheme="minorHAnsi"/>
          <w:szCs w:val="24"/>
          <w:highlight w:val="yellow"/>
        </w:rPr>
        <w:t>patient relevant outcomes in those treated with ezetimibe monotherapy.</w:t>
      </w:r>
    </w:p>
    <w:p w:rsidR="0000686B" w:rsidRPr="00910A11" w:rsidRDefault="0000686B">
      <w:pPr>
        <w:pStyle w:val="ListParagraph"/>
        <w:numPr>
          <w:ilvl w:val="0"/>
          <w:numId w:val="21"/>
        </w:numPr>
        <w:spacing w:after="120" w:line="240" w:lineRule="auto"/>
        <w:ind w:left="425" w:hanging="425"/>
        <w:contextualSpacing w:val="0"/>
        <w:rPr>
          <w:rFonts w:asciiTheme="minorHAnsi" w:eastAsia="Calibri" w:hAnsiTheme="minorHAnsi"/>
          <w:szCs w:val="24"/>
        </w:rPr>
      </w:pPr>
      <w:r w:rsidRPr="00910A11">
        <w:rPr>
          <w:rFonts w:asciiTheme="minorHAnsi" w:eastAsia="Calibri" w:hAnsiTheme="minorHAnsi"/>
          <w:szCs w:val="24"/>
        </w:rPr>
        <w:t xml:space="preserve">There was </w:t>
      </w:r>
      <w:r w:rsidRPr="00C930D4">
        <w:rPr>
          <w:rFonts w:asciiTheme="minorHAnsi" w:eastAsia="Calibri" w:hAnsiTheme="minorHAnsi"/>
          <w:szCs w:val="24"/>
        </w:rPr>
        <w:t xml:space="preserve">insufficient </w:t>
      </w:r>
      <w:r w:rsidR="000B1F8F">
        <w:rPr>
          <w:rFonts w:asciiTheme="minorHAnsi" w:eastAsia="Calibri" w:hAnsiTheme="minorHAnsi"/>
          <w:szCs w:val="24"/>
        </w:rPr>
        <w:t>c</w:t>
      </w:r>
      <w:r w:rsidRPr="00C930D4">
        <w:rPr>
          <w:rFonts w:asciiTheme="minorHAnsi" w:eastAsia="Calibri" w:hAnsiTheme="minorHAnsi"/>
          <w:szCs w:val="24"/>
          <w:highlight w:val="yellow"/>
        </w:rPr>
        <w:t xml:space="preserve">linical trial </w:t>
      </w:r>
      <w:r w:rsidRPr="00C930D4">
        <w:rPr>
          <w:rFonts w:asciiTheme="minorHAnsi" w:eastAsia="Calibri" w:hAnsiTheme="minorHAnsi"/>
          <w:szCs w:val="24"/>
        </w:rPr>
        <w:t>evidence</w:t>
      </w:r>
      <w:r w:rsidR="000B1F8F">
        <w:rPr>
          <w:rFonts w:asciiTheme="minorHAnsi" w:eastAsia="Calibri" w:hAnsiTheme="minorHAnsi"/>
          <w:szCs w:val="24"/>
        </w:rPr>
        <w:t xml:space="preserve"> in addition </w:t>
      </w:r>
      <w:r w:rsidRPr="00C930D4">
        <w:rPr>
          <w:rFonts w:asciiTheme="minorHAnsi" w:eastAsia="Calibri" w:hAnsiTheme="minorHAnsi"/>
          <w:szCs w:val="24"/>
          <w:highlight w:val="yellow"/>
        </w:rPr>
        <w:t xml:space="preserve">to that </w:t>
      </w:r>
      <w:r w:rsidR="006879F5">
        <w:rPr>
          <w:rFonts w:asciiTheme="minorHAnsi" w:eastAsia="Calibri" w:hAnsiTheme="minorHAnsi"/>
          <w:szCs w:val="24"/>
          <w:highlight w:val="yellow"/>
        </w:rPr>
        <w:t xml:space="preserve">previously considered by </w:t>
      </w:r>
      <w:r w:rsidRPr="00C930D4">
        <w:rPr>
          <w:rFonts w:asciiTheme="minorHAnsi" w:eastAsia="Calibri" w:hAnsiTheme="minorHAnsi"/>
          <w:szCs w:val="24"/>
          <w:highlight w:val="yellow"/>
        </w:rPr>
        <w:t>the PBAC,</w:t>
      </w:r>
      <w:r w:rsidRPr="00C930D4">
        <w:rPr>
          <w:rFonts w:asciiTheme="minorHAnsi" w:eastAsia="Calibri" w:hAnsiTheme="minorHAnsi"/>
          <w:szCs w:val="24"/>
        </w:rPr>
        <w:t xml:space="preserve"> available to assess whether </w:t>
      </w:r>
      <w:r w:rsidR="006879F5">
        <w:rPr>
          <w:rFonts w:asciiTheme="minorHAnsi" w:eastAsia="Calibri" w:hAnsiTheme="minorHAnsi"/>
          <w:szCs w:val="24"/>
        </w:rPr>
        <w:t>adding</w:t>
      </w:r>
      <w:r w:rsidRPr="00C930D4">
        <w:rPr>
          <w:rFonts w:asciiTheme="minorHAnsi" w:eastAsia="Calibri" w:hAnsiTheme="minorHAnsi"/>
          <w:szCs w:val="24"/>
        </w:rPr>
        <w:t xml:space="preserve"> ezetimibe to the maximum tolerated dose of a statin, </w:t>
      </w:r>
      <w:r w:rsidRPr="00F708E4">
        <w:rPr>
          <w:rFonts w:asciiTheme="minorHAnsi" w:eastAsia="Calibri" w:hAnsiTheme="minorHAnsi"/>
          <w:szCs w:val="24"/>
        </w:rPr>
        <w:t xml:space="preserve">compared to a placebo </w:t>
      </w:r>
      <w:r w:rsidR="003306B9">
        <w:rPr>
          <w:rFonts w:asciiTheme="minorHAnsi" w:eastAsia="Calibri" w:hAnsiTheme="minorHAnsi"/>
          <w:szCs w:val="24"/>
        </w:rPr>
        <w:t xml:space="preserve">plus </w:t>
      </w:r>
      <w:r w:rsidRPr="00F708E4">
        <w:rPr>
          <w:rFonts w:asciiTheme="minorHAnsi" w:eastAsia="Calibri" w:hAnsiTheme="minorHAnsi"/>
          <w:szCs w:val="24"/>
        </w:rPr>
        <w:t>maximum tolerated dose of a statin was associated with</w:t>
      </w:r>
      <w:r w:rsidR="00BA106C">
        <w:rPr>
          <w:rFonts w:asciiTheme="minorHAnsi" w:eastAsia="Calibri" w:hAnsiTheme="minorHAnsi"/>
          <w:szCs w:val="24"/>
        </w:rPr>
        <w:t>:</w:t>
      </w:r>
      <w:r w:rsidRPr="00F708E4">
        <w:rPr>
          <w:rFonts w:asciiTheme="minorHAnsi" w:eastAsia="Calibri" w:hAnsiTheme="minorHAnsi"/>
          <w:szCs w:val="24"/>
        </w:rPr>
        <w:t xml:space="preserve"> superior long</w:t>
      </w:r>
      <w:r w:rsidR="00EE16D2">
        <w:rPr>
          <w:rFonts w:asciiTheme="minorHAnsi" w:eastAsia="Calibri" w:hAnsiTheme="minorHAnsi"/>
          <w:szCs w:val="24"/>
        </w:rPr>
        <w:t>-</w:t>
      </w:r>
      <w:r w:rsidRPr="00F708E4">
        <w:rPr>
          <w:rFonts w:asciiTheme="minorHAnsi" w:eastAsia="Calibri" w:hAnsiTheme="minorHAnsi"/>
          <w:szCs w:val="24"/>
        </w:rPr>
        <w:t xml:space="preserve">term outcomes </w:t>
      </w:r>
      <w:r w:rsidRPr="00910A11">
        <w:rPr>
          <w:rFonts w:asciiTheme="minorHAnsi" w:eastAsia="Calibri" w:hAnsiTheme="minorHAnsi"/>
          <w:szCs w:val="24"/>
        </w:rPr>
        <w:t>of survival</w:t>
      </w:r>
      <w:r w:rsidR="00BA106C">
        <w:rPr>
          <w:rFonts w:asciiTheme="minorHAnsi" w:eastAsia="Calibri" w:hAnsiTheme="minorHAnsi"/>
          <w:szCs w:val="24"/>
        </w:rPr>
        <w:t>;</w:t>
      </w:r>
      <w:r w:rsidRPr="00910A11">
        <w:rPr>
          <w:rFonts w:asciiTheme="minorHAnsi" w:eastAsia="Calibri" w:hAnsiTheme="minorHAnsi"/>
          <w:szCs w:val="24"/>
        </w:rPr>
        <w:t xml:space="preserve"> quality–adjusted survival</w:t>
      </w:r>
      <w:r w:rsidR="00BA106C">
        <w:rPr>
          <w:rFonts w:asciiTheme="minorHAnsi" w:eastAsia="Calibri" w:hAnsiTheme="minorHAnsi"/>
          <w:szCs w:val="24"/>
        </w:rPr>
        <w:t xml:space="preserve">; </w:t>
      </w:r>
      <w:r w:rsidRPr="00910A11">
        <w:rPr>
          <w:rFonts w:asciiTheme="minorHAnsi" w:eastAsia="Calibri" w:hAnsiTheme="minorHAnsi"/>
          <w:szCs w:val="24"/>
        </w:rPr>
        <w:t xml:space="preserve"> fatal and non</w:t>
      </w:r>
      <w:r>
        <w:rPr>
          <w:rFonts w:asciiTheme="minorHAnsi" w:eastAsia="Calibri" w:hAnsiTheme="minorHAnsi"/>
          <w:szCs w:val="24"/>
        </w:rPr>
        <w:t>-</w:t>
      </w:r>
      <w:r w:rsidRPr="00910A11">
        <w:rPr>
          <w:rFonts w:asciiTheme="minorHAnsi" w:eastAsia="Calibri" w:hAnsiTheme="minorHAnsi"/>
          <w:szCs w:val="24"/>
        </w:rPr>
        <w:t>fatal CV events</w:t>
      </w:r>
      <w:r w:rsidR="00BA106C">
        <w:rPr>
          <w:rFonts w:asciiTheme="minorHAnsi" w:eastAsia="Calibri" w:hAnsiTheme="minorHAnsi"/>
          <w:szCs w:val="24"/>
        </w:rPr>
        <w:t>;</w:t>
      </w:r>
      <w:r w:rsidRPr="00910A11">
        <w:rPr>
          <w:rFonts w:asciiTheme="minorHAnsi" w:eastAsia="Calibri" w:hAnsiTheme="minorHAnsi"/>
          <w:szCs w:val="24"/>
        </w:rPr>
        <w:t xml:space="preserve"> or superior surrogate outcomes i.e. lipid endpoints including total cholesterol (TC), LDL-cholesterol (LDL-C) and HDL-cholesterol (HDL-C).</w:t>
      </w:r>
    </w:p>
    <w:p w:rsidR="006879F5" w:rsidRPr="006879F5" w:rsidRDefault="0000686B">
      <w:pPr>
        <w:pStyle w:val="ListParagraph"/>
        <w:numPr>
          <w:ilvl w:val="0"/>
          <w:numId w:val="21"/>
        </w:numPr>
        <w:spacing w:after="120" w:line="240" w:lineRule="auto"/>
        <w:ind w:left="425" w:hanging="425"/>
        <w:contextualSpacing w:val="0"/>
        <w:rPr>
          <w:rFonts w:asciiTheme="minorHAnsi" w:hAnsiTheme="minorHAnsi"/>
          <w:szCs w:val="24"/>
        </w:rPr>
      </w:pPr>
      <w:r w:rsidRPr="00C930D4">
        <w:rPr>
          <w:rFonts w:asciiTheme="minorHAnsi" w:hAnsiTheme="minorHAnsi"/>
          <w:szCs w:val="24"/>
          <w:highlight w:val="yellow"/>
        </w:rPr>
        <w:t>There was one study of long</w:t>
      </w:r>
      <w:r w:rsidR="00EE16D2">
        <w:rPr>
          <w:rFonts w:asciiTheme="minorHAnsi" w:hAnsiTheme="minorHAnsi"/>
          <w:szCs w:val="24"/>
          <w:highlight w:val="yellow"/>
        </w:rPr>
        <w:t>-</w:t>
      </w:r>
      <w:r w:rsidRPr="00C930D4">
        <w:rPr>
          <w:rFonts w:asciiTheme="minorHAnsi" w:hAnsiTheme="minorHAnsi"/>
          <w:szCs w:val="24"/>
          <w:highlight w:val="yellow"/>
        </w:rPr>
        <w:t>term outcomes that is applicable to a subset of the Australian population</w:t>
      </w:r>
      <w:r w:rsidR="007B1F52" w:rsidRPr="007B1F52">
        <w:rPr>
          <w:rFonts w:asciiTheme="minorHAnsi" w:hAnsiTheme="minorHAnsi"/>
          <w:szCs w:val="24"/>
          <w:highlight w:val="yellow"/>
        </w:rPr>
        <w:t>.</w:t>
      </w:r>
      <w:r w:rsidR="007B1F52">
        <w:rPr>
          <w:rFonts w:asciiTheme="minorHAnsi" w:hAnsiTheme="minorHAnsi"/>
          <w:szCs w:val="24"/>
        </w:rPr>
        <w:t xml:space="preserve"> IMPROVE</w:t>
      </w:r>
      <w:r w:rsidRPr="00910A11">
        <w:rPr>
          <w:rFonts w:asciiTheme="minorHAnsi" w:eastAsia="Calibri" w:hAnsiTheme="minorHAnsi"/>
          <w:szCs w:val="24"/>
        </w:rPr>
        <w:t xml:space="preserve">-IT </w:t>
      </w:r>
      <w:r w:rsidR="007D17F0">
        <w:rPr>
          <w:rStyle w:val="EndnoteReference"/>
          <w:rFonts w:asciiTheme="minorHAnsi" w:eastAsia="Calibri" w:hAnsiTheme="minorHAnsi"/>
          <w:szCs w:val="24"/>
        </w:rPr>
        <w:endnoteReference w:id="49"/>
      </w:r>
      <w:r w:rsidRPr="00910A11">
        <w:rPr>
          <w:rFonts w:asciiTheme="minorHAnsi" w:eastAsia="Calibri" w:hAnsiTheme="minorHAnsi"/>
          <w:szCs w:val="24"/>
        </w:rPr>
        <w:t xml:space="preserve"> was </w:t>
      </w:r>
      <w:r w:rsidR="006879F5">
        <w:rPr>
          <w:rFonts w:asciiTheme="minorHAnsi" w:eastAsia="Calibri" w:hAnsiTheme="minorHAnsi"/>
          <w:szCs w:val="24"/>
        </w:rPr>
        <w:t xml:space="preserve">conducted in </w:t>
      </w:r>
      <w:r w:rsidRPr="00910A11">
        <w:rPr>
          <w:rFonts w:asciiTheme="minorHAnsi" w:hAnsiTheme="minorHAnsi"/>
          <w:szCs w:val="24"/>
        </w:rPr>
        <w:t xml:space="preserve">a secondary prevention </w:t>
      </w:r>
      <w:r w:rsidR="006879F5">
        <w:rPr>
          <w:rFonts w:asciiTheme="minorHAnsi" w:hAnsiTheme="minorHAnsi"/>
          <w:szCs w:val="24"/>
        </w:rPr>
        <w:t>population</w:t>
      </w:r>
      <w:r w:rsidRPr="00910A11">
        <w:rPr>
          <w:rFonts w:asciiTheme="minorHAnsi" w:hAnsiTheme="minorHAnsi"/>
          <w:szCs w:val="24"/>
        </w:rPr>
        <w:t xml:space="preserve"> </w:t>
      </w:r>
      <w:r w:rsidRPr="00910A11">
        <w:rPr>
          <w:rFonts w:asciiTheme="minorHAnsi" w:eastAsia="Calibri" w:hAnsiTheme="minorHAnsi"/>
          <w:szCs w:val="24"/>
        </w:rPr>
        <w:t>that assessed long</w:t>
      </w:r>
      <w:r w:rsidR="00EE16D2">
        <w:rPr>
          <w:rFonts w:asciiTheme="minorHAnsi" w:eastAsia="Calibri" w:hAnsiTheme="minorHAnsi"/>
          <w:szCs w:val="24"/>
        </w:rPr>
        <w:t>-</w:t>
      </w:r>
      <w:r w:rsidRPr="00910A11">
        <w:rPr>
          <w:rFonts w:asciiTheme="minorHAnsi" w:eastAsia="Calibri" w:hAnsiTheme="minorHAnsi"/>
          <w:szCs w:val="24"/>
        </w:rPr>
        <w:t>term patient outcomes associated with the addition of ezetimibe</w:t>
      </w:r>
      <w:r w:rsidR="006879F5">
        <w:rPr>
          <w:rFonts w:asciiTheme="minorHAnsi" w:eastAsia="Calibri" w:hAnsiTheme="minorHAnsi"/>
          <w:szCs w:val="24"/>
        </w:rPr>
        <w:t xml:space="preserve"> 10mg </w:t>
      </w:r>
      <w:r w:rsidRPr="00910A11">
        <w:rPr>
          <w:rFonts w:asciiTheme="minorHAnsi" w:eastAsia="Calibri" w:hAnsiTheme="minorHAnsi"/>
          <w:szCs w:val="24"/>
        </w:rPr>
        <w:t>to simvastatin</w:t>
      </w:r>
      <w:r w:rsidR="006879F5">
        <w:rPr>
          <w:rFonts w:asciiTheme="minorHAnsi" w:eastAsia="Calibri" w:hAnsiTheme="minorHAnsi"/>
          <w:szCs w:val="24"/>
        </w:rPr>
        <w:t xml:space="preserve"> 40mg versus simvastatin 40mg </w:t>
      </w:r>
      <w:r w:rsidR="003306B9">
        <w:rPr>
          <w:rFonts w:asciiTheme="minorHAnsi" w:eastAsia="Calibri" w:hAnsiTheme="minorHAnsi"/>
          <w:szCs w:val="24"/>
        </w:rPr>
        <w:t xml:space="preserve">plus </w:t>
      </w:r>
      <w:r w:rsidR="006879F5">
        <w:rPr>
          <w:rFonts w:asciiTheme="minorHAnsi" w:eastAsia="Calibri" w:hAnsiTheme="minorHAnsi"/>
          <w:szCs w:val="24"/>
        </w:rPr>
        <w:t>placebo</w:t>
      </w:r>
      <w:r w:rsidRPr="00910A11">
        <w:rPr>
          <w:rFonts w:asciiTheme="minorHAnsi" w:eastAsia="Calibri" w:hAnsiTheme="minorHAnsi"/>
          <w:szCs w:val="24"/>
        </w:rPr>
        <w:t>.</w:t>
      </w:r>
    </w:p>
    <w:p w:rsidR="006879F5" w:rsidRDefault="0000686B">
      <w:pPr>
        <w:pStyle w:val="ListParagraph"/>
        <w:numPr>
          <w:ilvl w:val="0"/>
          <w:numId w:val="21"/>
        </w:numPr>
        <w:spacing w:after="120" w:line="240" w:lineRule="auto"/>
        <w:ind w:left="425" w:hanging="425"/>
        <w:contextualSpacing w:val="0"/>
        <w:rPr>
          <w:rFonts w:asciiTheme="minorHAnsi" w:hAnsiTheme="minorHAnsi"/>
          <w:szCs w:val="24"/>
        </w:rPr>
      </w:pPr>
      <w:r w:rsidRPr="00910A11">
        <w:rPr>
          <w:rFonts w:asciiTheme="minorHAnsi" w:eastAsia="Calibri" w:hAnsiTheme="minorHAnsi"/>
          <w:szCs w:val="24"/>
        </w:rPr>
        <w:t xml:space="preserve">The clinical outcomes of IMPROVE-IT </w:t>
      </w:r>
      <w:r w:rsidRPr="00910A11">
        <w:rPr>
          <w:rFonts w:asciiTheme="minorHAnsi" w:hAnsiTheme="minorHAnsi"/>
          <w:szCs w:val="24"/>
        </w:rPr>
        <w:t xml:space="preserve">confirm the acceptability of the absolute reduction in LDL-C as a valid surrogate for the reduction of the relative risk of major vascular events in patients receiving ezetimibe. The reduction in cardiovascular event rate was as predicted by the known relationship between absolute reduction in LDL-C and the relative risk reduction. Clinical outcomes from the IMPROVE-IT trial are the first to justify the role of ezetimibe as a non-statin LLT option for the reduction of cardiovascular risk. </w:t>
      </w:r>
    </w:p>
    <w:p w:rsidR="0000686B" w:rsidRPr="00910A11" w:rsidRDefault="0000686B">
      <w:pPr>
        <w:pStyle w:val="ListParagraph"/>
        <w:numPr>
          <w:ilvl w:val="0"/>
          <w:numId w:val="21"/>
        </w:numPr>
        <w:spacing w:after="120" w:line="240" w:lineRule="auto"/>
        <w:ind w:left="425" w:hanging="425"/>
        <w:contextualSpacing w:val="0"/>
        <w:rPr>
          <w:rFonts w:asciiTheme="minorHAnsi" w:hAnsiTheme="minorHAnsi"/>
          <w:szCs w:val="24"/>
        </w:rPr>
      </w:pPr>
      <w:r w:rsidRPr="00910A11">
        <w:rPr>
          <w:rFonts w:asciiTheme="minorHAnsi" w:hAnsiTheme="minorHAnsi"/>
          <w:szCs w:val="24"/>
        </w:rPr>
        <w:t>On the basis of IMPROVE-IT outcomes, long</w:t>
      </w:r>
      <w:r w:rsidR="00EE16D2">
        <w:rPr>
          <w:rFonts w:asciiTheme="minorHAnsi" w:hAnsiTheme="minorHAnsi"/>
          <w:szCs w:val="24"/>
        </w:rPr>
        <w:t>-</w:t>
      </w:r>
      <w:r w:rsidRPr="00910A11">
        <w:rPr>
          <w:rFonts w:asciiTheme="minorHAnsi" w:hAnsiTheme="minorHAnsi"/>
          <w:szCs w:val="24"/>
        </w:rPr>
        <w:t>term use of ezetimibe appears to be safe.</w:t>
      </w:r>
    </w:p>
    <w:p w:rsidR="0000686B" w:rsidRDefault="0000686B">
      <w:pPr>
        <w:pStyle w:val="ListParagraph"/>
        <w:numPr>
          <w:ilvl w:val="0"/>
          <w:numId w:val="21"/>
        </w:numPr>
        <w:tabs>
          <w:tab w:val="left" w:pos="426"/>
        </w:tabs>
        <w:spacing w:after="120" w:line="240" w:lineRule="auto"/>
        <w:ind w:left="425" w:hanging="425"/>
        <w:contextualSpacing w:val="0"/>
        <w:rPr>
          <w:rFonts w:asciiTheme="minorHAnsi" w:hAnsiTheme="minorHAnsi"/>
          <w:szCs w:val="24"/>
        </w:rPr>
      </w:pPr>
      <w:r w:rsidRPr="00A35A60">
        <w:rPr>
          <w:rFonts w:asciiTheme="minorHAnsi" w:hAnsiTheme="minorHAnsi"/>
          <w:szCs w:val="24"/>
        </w:rPr>
        <w:t xml:space="preserve">However, the IMPROVE-IT </w:t>
      </w:r>
      <w:r>
        <w:rPr>
          <w:rFonts w:asciiTheme="minorHAnsi" w:hAnsiTheme="minorHAnsi"/>
          <w:szCs w:val="24"/>
        </w:rPr>
        <w:t xml:space="preserve">study </w:t>
      </w:r>
      <w:r w:rsidRPr="00A35A60">
        <w:rPr>
          <w:rFonts w:asciiTheme="minorHAnsi" w:hAnsiTheme="minorHAnsi"/>
          <w:szCs w:val="24"/>
        </w:rPr>
        <w:t xml:space="preserve">enrolled a trial population which </w:t>
      </w:r>
      <w:r>
        <w:rPr>
          <w:rFonts w:asciiTheme="minorHAnsi" w:hAnsiTheme="minorHAnsi"/>
          <w:szCs w:val="24"/>
        </w:rPr>
        <w:t>does</w:t>
      </w:r>
      <w:r w:rsidRPr="00A35A60">
        <w:rPr>
          <w:rFonts w:asciiTheme="minorHAnsi" w:hAnsiTheme="minorHAnsi"/>
          <w:szCs w:val="24"/>
        </w:rPr>
        <w:t xml:space="preserve"> not meet the PBS eligibility criteria for subsidised prescription of ezetimibe. Patients were treated with </w:t>
      </w:r>
      <w:r w:rsidRPr="000B59B6">
        <w:rPr>
          <w:rFonts w:asciiTheme="minorHAnsi" w:hAnsiTheme="minorHAnsi"/>
          <w:szCs w:val="24"/>
        </w:rPr>
        <w:t xml:space="preserve">fixed doses of simvastatin with no up-titration to maximally tolerated doses or switch to statin of a higher </w:t>
      </w:r>
      <w:r w:rsidR="006879F5">
        <w:rPr>
          <w:rFonts w:asciiTheme="minorHAnsi" w:hAnsiTheme="minorHAnsi"/>
          <w:szCs w:val="24"/>
        </w:rPr>
        <w:t>potency</w:t>
      </w:r>
      <w:r w:rsidRPr="000B59B6">
        <w:rPr>
          <w:rFonts w:asciiTheme="minorHAnsi" w:hAnsiTheme="minorHAnsi"/>
          <w:szCs w:val="24"/>
        </w:rPr>
        <w:t xml:space="preserve"> as required by the current PBS restriction for ezetimibe. The</w:t>
      </w:r>
      <w:r w:rsidRPr="00A35A60">
        <w:rPr>
          <w:rFonts w:asciiTheme="minorHAnsi" w:hAnsiTheme="minorHAnsi"/>
          <w:szCs w:val="24"/>
        </w:rPr>
        <w:t xml:space="preserve"> </w:t>
      </w:r>
      <w:r w:rsidR="006879F5">
        <w:rPr>
          <w:rFonts w:asciiTheme="minorHAnsi" w:hAnsiTheme="minorHAnsi"/>
          <w:szCs w:val="24"/>
        </w:rPr>
        <w:t xml:space="preserve">study </w:t>
      </w:r>
      <w:r w:rsidRPr="00A35A60">
        <w:rPr>
          <w:rFonts w:asciiTheme="minorHAnsi" w:hAnsiTheme="minorHAnsi"/>
          <w:szCs w:val="24"/>
        </w:rPr>
        <w:t xml:space="preserve">population was restricted to the </w:t>
      </w:r>
      <w:r w:rsidRPr="00A35A60">
        <w:rPr>
          <w:rFonts w:asciiTheme="minorHAnsi" w:hAnsiTheme="minorHAnsi"/>
          <w:szCs w:val="24"/>
        </w:rPr>
        <w:lastRenderedPageBreak/>
        <w:t xml:space="preserve">secondary prevention population </w:t>
      </w:r>
      <w:r w:rsidR="00580F9E">
        <w:rPr>
          <w:rFonts w:asciiTheme="minorHAnsi" w:hAnsiTheme="minorHAnsi"/>
          <w:szCs w:val="24"/>
        </w:rPr>
        <w:t xml:space="preserve">i.e. </w:t>
      </w:r>
      <w:r w:rsidRPr="00A35A60">
        <w:rPr>
          <w:rFonts w:asciiTheme="minorHAnsi" w:hAnsiTheme="minorHAnsi"/>
          <w:szCs w:val="24"/>
        </w:rPr>
        <w:t>patients who had been hospitalised for an acute coronary syn</w:t>
      </w:r>
      <w:r>
        <w:rPr>
          <w:rFonts w:asciiTheme="minorHAnsi" w:hAnsiTheme="minorHAnsi"/>
          <w:szCs w:val="24"/>
        </w:rPr>
        <w:t>drome in the preceding 10 days.</w:t>
      </w:r>
    </w:p>
    <w:p w:rsidR="00CC7811" w:rsidRDefault="00CC7811">
      <w:pPr>
        <w:pStyle w:val="ListParagraph"/>
        <w:numPr>
          <w:ilvl w:val="0"/>
          <w:numId w:val="21"/>
        </w:numPr>
        <w:spacing w:after="120" w:line="240" w:lineRule="auto"/>
        <w:ind w:left="425" w:hanging="425"/>
        <w:contextualSpacing w:val="0"/>
        <w:rPr>
          <w:rFonts w:asciiTheme="minorHAnsi" w:eastAsia="Calibri" w:hAnsiTheme="minorHAnsi" w:cs="Times New Roman"/>
          <w:szCs w:val="24"/>
        </w:rPr>
      </w:pPr>
      <w:r w:rsidRPr="00910A11">
        <w:rPr>
          <w:rFonts w:asciiTheme="minorHAnsi" w:eastAsia="Calibri" w:hAnsiTheme="minorHAnsi" w:cs="Times New Roman"/>
          <w:szCs w:val="24"/>
        </w:rPr>
        <w:t>For ezetimibe monotherapy, results of the meta-analyses of eight randomised controlled trials (nine for HDL-C results) reported in the systematic review by Pandor</w:t>
      </w:r>
      <w:r w:rsidR="00A12F22">
        <w:rPr>
          <w:rStyle w:val="EndnoteReference"/>
          <w:rFonts w:asciiTheme="minorHAnsi" w:eastAsia="Calibri" w:hAnsiTheme="minorHAnsi" w:cs="Times New Roman"/>
          <w:szCs w:val="24"/>
        </w:rPr>
        <w:endnoteReference w:id="50"/>
      </w:r>
      <w:r w:rsidRPr="00910A11">
        <w:rPr>
          <w:rFonts w:asciiTheme="minorHAnsi" w:eastAsia="Calibri" w:hAnsiTheme="minorHAnsi" w:cs="Times New Roman"/>
          <w:szCs w:val="24"/>
        </w:rPr>
        <w:t>, and confirmed by the independent assessment cond</w:t>
      </w:r>
      <w:r w:rsidR="00BA106C">
        <w:rPr>
          <w:rFonts w:asciiTheme="minorHAnsi" w:eastAsia="Calibri" w:hAnsiTheme="minorHAnsi" w:cs="Times New Roman"/>
          <w:szCs w:val="24"/>
        </w:rPr>
        <w:t>ucted for this review, indicate t</w:t>
      </w:r>
      <w:r w:rsidRPr="00910A11">
        <w:rPr>
          <w:rFonts w:asciiTheme="minorHAnsi" w:eastAsia="Calibri" w:hAnsiTheme="minorHAnsi" w:cs="Times New Roman"/>
          <w:szCs w:val="24"/>
        </w:rPr>
        <w:t xml:space="preserve">hat ezetimibe monotherapy reduced LDL-C </w:t>
      </w:r>
      <w:r w:rsidRPr="00484B00">
        <w:rPr>
          <w:rFonts w:asciiTheme="minorHAnsi" w:eastAsia="Calibri" w:hAnsiTheme="minorHAnsi" w:cs="Times New Roman"/>
          <w:szCs w:val="24"/>
          <w:highlight w:val="yellow"/>
        </w:rPr>
        <w:t>concentrations</w:t>
      </w:r>
      <w:r w:rsidRPr="00910A11">
        <w:rPr>
          <w:rFonts w:asciiTheme="minorHAnsi" w:eastAsia="Calibri" w:hAnsiTheme="minorHAnsi" w:cs="Times New Roman"/>
          <w:szCs w:val="24"/>
        </w:rPr>
        <w:t xml:space="preserve"> by approximately 20% from baseline compared with placebo. By comparison, statins, </w:t>
      </w:r>
      <w:r w:rsidRPr="00910A11">
        <w:rPr>
          <w:rFonts w:asciiTheme="minorHAnsi" w:hAnsiTheme="minorHAnsi"/>
          <w:szCs w:val="24"/>
        </w:rPr>
        <w:t xml:space="preserve">depending on dose and potency, reduce LDL-C by at least 30-50% from baseline. </w:t>
      </w:r>
      <w:r w:rsidRPr="00910A11">
        <w:rPr>
          <w:rFonts w:asciiTheme="minorHAnsi" w:eastAsia="Calibri" w:hAnsiTheme="minorHAnsi" w:cs="Times New Roman"/>
          <w:szCs w:val="24"/>
        </w:rPr>
        <w:t>None of the trials included in the meta-analyses enrolled patients with confirmed statin intolerance or contraindication to statin therapy.</w:t>
      </w:r>
    </w:p>
    <w:p w:rsidR="00CC7811" w:rsidRPr="00CC7811" w:rsidRDefault="00AB3222">
      <w:pPr>
        <w:pStyle w:val="ListParagraph"/>
        <w:numPr>
          <w:ilvl w:val="0"/>
          <w:numId w:val="21"/>
        </w:numPr>
        <w:spacing w:after="120" w:line="240" w:lineRule="auto"/>
        <w:ind w:left="425" w:hanging="425"/>
        <w:contextualSpacing w:val="0"/>
        <w:rPr>
          <w:rFonts w:asciiTheme="minorHAnsi" w:eastAsia="Calibri" w:hAnsiTheme="minorHAnsi" w:cs="Times New Roman"/>
          <w:szCs w:val="24"/>
          <w:highlight w:val="yellow"/>
        </w:rPr>
      </w:pPr>
      <w:r w:rsidRPr="00CC7811">
        <w:rPr>
          <w:rFonts w:asciiTheme="minorHAnsi" w:eastAsia="Calibri" w:hAnsiTheme="minorHAnsi" w:cs="Times New Roman"/>
          <w:szCs w:val="24"/>
        </w:rPr>
        <w:t>It is acknowledged that ezetimibe and statin</w:t>
      </w:r>
      <w:r w:rsidR="002C4ABC">
        <w:rPr>
          <w:rFonts w:asciiTheme="minorHAnsi" w:eastAsia="Calibri" w:hAnsiTheme="minorHAnsi" w:cs="Times New Roman"/>
          <w:szCs w:val="24"/>
        </w:rPr>
        <w:t>s</w:t>
      </w:r>
      <w:r w:rsidRPr="00CC7811">
        <w:rPr>
          <w:rFonts w:asciiTheme="minorHAnsi" w:eastAsia="Calibri" w:hAnsiTheme="minorHAnsi" w:cs="Times New Roman"/>
          <w:szCs w:val="24"/>
        </w:rPr>
        <w:t xml:space="preserve"> have independent </w:t>
      </w:r>
      <w:r w:rsidR="00CC7811" w:rsidRPr="00CC7811">
        <w:rPr>
          <w:rFonts w:asciiTheme="minorHAnsi" w:eastAsia="Calibri" w:hAnsiTheme="minorHAnsi" w:cs="Times New Roman"/>
          <w:szCs w:val="24"/>
        </w:rPr>
        <w:t xml:space="preserve">mechanisms of action. </w:t>
      </w:r>
      <w:r w:rsidR="002C4ABC">
        <w:rPr>
          <w:rFonts w:asciiTheme="minorHAnsi" w:eastAsia="Calibri" w:hAnsiTheme="minorHAnsi" w:cs="Times New Roman"/>
          <w:szCs w:val="24"/>
        </w:rPr>
        <w:t>However t</w:t>
      </w:r>
      <w:r w:rsidRPr="00CC7811">
        <w:rPr>
          <w:rFonts w:asciiTheme="minorHAnsi" w:eastAsia="Calibri" w:hAnsiTheme="minorHAnsi" w:cs="Times New Roman"/>
          <w:szCs w:val="24"/>
        </w:rPr>
        <w:t>he</w:t>
      </w:r>
      <w:r w:rsidR="002C4ABC">
        <w:rPr>
          <w:rFonts w:asciiTheme="minorHAnsi" w:eastAsia="Calibri" w:hAnsiTheme="minorHAnsi" w:cs="Times New Roman"/>
          <w:szCs w:val="24"/>
        </w:rPr>
        <w:t xml:space="preserve"> </w:t>
      </w:r>
      <w:r w:rsidRPr="00CC7811">
        <w:rPr>
          <w:rFonts w:asciiTheme="minorHAnsi" w:eastAsia="Calibri" w:hAnsiTheme="minorHAnsi" w:cs="Times New Roman"/>
          <w:szCs w:val="24"/>
        </w:rPr>
        <w:t>dose of ezetimibe</w:t>
      </w:r>
      <w:r w:rsidR="002C4ABC">
        <w:rPr>
          <w:rFonts w:asciiTheme="minorHAnsi" w:eastAsia="Calibri" w:hAnsiTheme="minorHAnsi" w:cs="Times New Roman"/>
          <w:szCs w:val="24"/>
        </w:rPr>
        <w:t xml:space="preserve"> is fixed whereas with statins there is the </w:t>
      </w:r>
      <w:r w:rsidR="00CC7811" w:rsidRPr="00CC7811">
        <w:rPr>
          <w:rFonts w:asciiTheme="minorHAnsi" w:eastAsia="Calibri" w:hAnsiTheme="minorHAnsi" w:cs="Times New Roman"/>
          <w:szCs w:val="24"/>
        </w:rPr>
        <w:t>capacity to up-titrate the potency or dose</w:t>
      </w:r>
      <w:r w:rsidR="002C4ABC">
        <w:rPr>
          <w:rFonts w:asciiTheme="minorHAnsi" w:eastAsia="Calibri" w:hAnsiTheme="minorHAnsi" w:cs="Times New Roman"/>
          <w:szCs w:val="24"/>
        </w:rPr>
        <w:t>.</w:t>
      </w:r>
      <w:r w:rsidR="00CC7811" w:rsidRPr="00CC7811">
        <w:rPr>
          <w:rFonts w:asciiTheme="minorHAnsi" w:eastAsia="Calibri" w:hAnsiTheme="minorHAnsi" w:cs="Times New Roman"/>
          <w:szCs w:val="24"/>
        </w:rPr>
        <w:t xml:space="preserve"> While t</w:t>
      </w:r>
      <w:r w:rsidRPr="00CC7811">
        <w:rPr>
          <w:rFonts w:asciiTheme="minorHAnsi" w:eastAsia="Calibri" w:hAnsiTheme="minorHAnsi" w:cs="Times New Roman"/>
          <w:szCs w:val="24"/>
        </w:rPr>
        <w:t>he LDL-</w:t>
      </w:r>
      <w:r w:rsidR="002C4ABC">
        <w:rPr>
          <w:rFonts w:asciiTheme="minorHAnsi" w:eastAsia="Calibri" w:hAnsiTheme="minorHAnsi" w:cs="Times New Roman"/>
          <w:szCs w:val="24"/>
        </w:rPr>
        <w:t>C</w:t>
      </w:r>
      <w:r w:rsidRPr="00CC7811">
        <w:rPr>
          <w:rFonts w:asciiTheme="minorHAnsi" w:eastAsia="Calibri" w:hAnsiTheme="minorHAnsi" w:cs="Times New Roman"/>
          <w:szCs w:val="24"/>
        </w:rPr>
        <w:t xml:space="preserve"> lowering capacity of statin</w:t>
      </w:r>
      <w:r w:rsidR="000B04D0">
        <w:rPr>
          <w:rFonts w:asciiTheme="minorHAnsi" w:eastAsia="Calibri" w:hAnsiTheme="minorHAnsi" w:cs="Times New Roman"/>
          <w:szCs w:val="24"/>
        </w:rPr>
        <w:t>s</w:t>
      </w:r>
      <w:r w:rsidRPr="00CC7811">
        <w:rPr>
          <w:rFonts w:asciiTheme="minorHAnsi" w:eastAsia="Calibri" w:hAnsiTheme="minorHAnsi" w:cs="Times New Roman"/>
          <w:szCs w:val="24"/>
        </w:rPr>
        <w:t xml:space="preserve"> does plateau with increasing dose</w:t>
      </w:r>
      <w:r w:rsidR="00CC7811" w:rsidRPr="00CC7811">
        <w:rPr>
          <w:rFonts w:asciiTheme="minorHAnsi" w:eastAsia="Calibri" w:hAnsiTheme="minorHAnsi" w:cs="Times New Roman"/>
          <w:szCs w:val="24"/>
        </w:rPr>
        <w:t>, t</w:t>
      </w:r>
      <w:r w:rsidRPr="00CC7811">
        <w:rPr>
          <w:rFonts w:asciiTheme="minorHAnsi" w:eastAsia="Calibri" w:hAnsiTheme="minorHAnsi" w:cs="Times New Roman"/>
          <w:szCs w:val="24"/>
        </w:rPr>
        <w:t xml:space="preserve">he </w:t>
      </w:r>
      <w:r w:rsidR="002C4ABC">
        <w:rPr>
          <w:rFonts w:asciiTheme="minorHAnsi" w:eastAsia="Calibri" w:hAnsiTheme="minorHAnsi" w:cs="Times New Roman"/>
          <w:szCs w:val="24"/>
        </w:rPr>
        <w:t xml:space="preserve">greatest </w:t>
      </w:r>
      <w:r w:rsidRPr="00CC7811">
        <w:rPr>
          <w:rFonts w:asciiTheme="minorHAnsi" w:eastAsia="Calibri" w:hAnsiTheme="minorHAnsi" w:cs="Times New Roman"/>
          <w:szCs w:val="24"/>
        </w:rPr>
        <w:t>absolute reduction in LDL</w:t>
      </w:r>
      <w:r w:rsidR="002C4ABC">
        <w:rPr>
          <w:rFonts w:asciiTheme="minorHAnsi" w:eastAsia="Calibri" w:hAnsiTheme="minorHAnsi" w:cs="Times New Roman"/>
          <w:szCs w:val="24"/>
        </w:rPr>
        <w:t xml:space="preserve">-C (and CV risk reduction) can be achieved with use of higher doses statins prior to adding ezetimibe. </w:t>
      </w:r>
      <w:r w:rsidR="00CC7811" w:rsidRPr="00CC7811">
        <w:rPr>
          <w:rFonts w:asciiTheme="minorHAnsi" w:eastAsia="Calibri" w:hAnsiTheme="minorHAnsi" w:cs="Times New Roman"/>
          <w:szCs w:val="24"/>
        </w:rPr>
        <w:t xml:space="preserve">Therefore the magnitude of the </w:t>
      </w:r>
      <w:r w:rsidR="003306B9" w:rsidRPr="000D7BE3">
        <w:rPr>
          <w:rFonts w:asciiTheme="minorHAnsi" w:eastAsia="Calibri" w:hAnsiTheme="minorHAnsi" w:cs="Times New Roman"/>
          <w:szCs w:val="24"/>
          <w:highlight w:val="yellow"/>
        </w:rPr>
        <w:t>absolute</w:t>
      </w:r>
      <w:r w:rsidR="003306B9">
        <w:rPr>
          <w:rFonts w:asciiTheme="minorHAnsi" w:eastAsia="Calibri" w:hAnsiTheme="minorHAnsi" w:cs="Times New Roman"/>
          <w:szCs w:val="24"/>
        </w:rPr>
        <w:t xml:space="preserve"> </w:t>
      </w:r>
      <w:r w:rsidR="00CC7811" w:rsidRPr="00CC7811">
        <w:rPr>
          <w:rFonts w:asciiTheme="minorHAnsi" w:eastAsia="Calibri" w:hAnsiTheme="minorHAnsi" w:cs="Times New Roman"/>
          <w:szCs w:val="24"/>
        </w:rPr>
        <w:t>reduction in LDL through the addition of ezetimibe is depend</w:t>
      </w:r>
      <w:r w:rsidR="003306B9">
        <w:rPr>
          <w:rFonts w:asciiTheme="minorHAnsi" w:eastAsia="Calibri" w:hAnsiTheme="minorHAnsi" w:cs="Times New Roman"/>
          <w:szCs w:val="24"/>
        </w:rPr>
        <w:t>e</w:t>
      </w:r>
      <w:r w:rsidR="00CC7811" w:rsidRPr="00CC7811">
        <w:rPr>
          <w:rFonts w:asciiTheme="minorHAnsi" w:eastAsia="Calibri" w:hAnsiTheme="minorHAnsi" w:cs="Times New Roman"/>
          <w:szCs w:val="24"/>
        </w:rPr>
        <w:t>nt on the LDL</w:t>
      </w:r>
      <w:r w:rsidR="003306B9">
        <w:rPr>
          <w:rFonts w:asciiTheme="minorHAnsi" w:eastAsia="Calibri" w:hAnsiTheme="minorHAnsi" w:cs="Times New Roman"/>
          <w:szCs w:val="24"/>
        </w:rPr>
        <w:t>-C</w:t>
      </w:r>
      <w:r w:rsidR="00CC7811" w:rsidRPr="00CC7811">
        <w:rPr>
          <w:rFonts w:asciiTheme="minorHAnsi" w:eastAsia="Calibri" w:hAnsiTheme="minorHAnsi" w:cs="Times New Roman"/>
          <w:szCs w:val="24"/>
        </w:rPr>
        <w:t xml:space="preserve"> </w:t>
      </w:r>
      <w:r w:rsidR="0076247E" w:rsidRPr="00484B00">
        <w:rPr>
          <w:rFonts w:asciiTheme="minorHAnsi" w:eastAsia="Times New Roman" w:hAnsiTheme="minorHAnsi" w:cs="Arial"/>
          <w:color w:val="222222"/>
          <w:szCs w:val="24"/>
          <w:highlight w:val="yellow"/>
          <w:lang w:eastAsia="en-AU"/>
        </w:rPr>
        <w:t>concentration</w:t>
      </w:r>
      <w:r w:rsidR="0076247E">
        <w:rPr>
          <w:rFonts w:asciiTheme="minorHAnsi" w:eastAsia="Times New Roman" w:hAnsiTheme="minorHAnsi" w:cs="Arial"/>
          <w:color w:val="222222"/>
          <w:szCs w:val="24"/>
          <w:lang w:eastAsia="en-AU"/>
        </w:rPr>
        <w:t xml:space="preserve"> </w:t>
      </w:r>
      <w:r w:rsidR="00CC7811" w:rsidRPr="00CC7811">
        <w:rPr>
          <w:rFonts w:asciiTheme="minorHAnsi" w:eastAsia="Calibri" w:hAnsiTheme="minorHAnsi" w:cs="Times New Roman"/>
          <w:szCs w:val="24"/>
        </w:rPr>
        <w:t xml:space="preserve">following treatment with a maximum tolerated doses of statin. </w:t>
      </w:r>
    </w:p>
    <w:p w:rsidR="00206511" w:rsidRDefault="00CC7811">
      <w:pPr>
        <w:pStyle w:val="ListParagraph"/>
        <w:numPr>
          <w:ilvl w:val="0"/>
          <w:numId w:val="21"/>
        </w:numPr>
        <w:spacing w:after="120" w:line="240" w:lineRule="auto"/>
        <w:ind w:left="425" w:hanging="425"/>
        <w:contextualSpacing w:val="0"/>
        <w:rPr>
          <w:rFonts w:asciiTheme="minorHAnsi" w:eastAsia="Calibri" w:hAnsiTheme="minorHAnsi" w:cs="Times New Roman"/>
          <w:szCs w:val="24"/>
        </w:rPr>
      </w:pPr>
      <w:r w:rsidRPr="00206511">
        <w:rPr>
          <w:rFonts w:asciiTheme="minorHAnsi" w:eastAsia="Calibri" w:hAnsiTheme="minorHAnsi" w:cs="Times New Roman"/>
          <w:szCs w:val="24"/>
        </w:rPr>
        <w:t xml:space="preserve">The greater </w:t>
      </w:r>
      <w:r w:rsidR="00206511" w:rsidRPr="00206511">
        <w:rPr>
          <w:rFonts w:asciiTheme="minorHAnsi" w:eastAsia="Calibri" w:hAnsiTheme="minorHAnsi" w:cs="Times New Roman"/>
          <w:szCs w:val="24"/>
        </w:rPr>
        <w:t xml:space="preserve">absolute reduction in </w:t>
      </w:r>
      <w:r w:rsidRPr="00206511">
        <w:rPr>
          <w:rFonts w:asciiTheme="minorHAnsi" w:eastAsia="Calibri" w:hAnsiTheme="minorHAnsi" w:cs="Times New Roman"/>
          <w:szCs w:val="24"/>
        </w:rPr>
        <w:t>LDL achieved by</w:t>
      </w:r>
      <w:r w:rsidR="00206511" w:rsidRPr="00206511">
        <w:rPr>
          <w:rFonts w:asciiTheme="minorHAnsi" w:eastAsia="Calibri" w:hAnsiTheme="minorHAnsi" w:cs="Times New Roman"/>
          <w:szCs w:val="24"/>
        </w:rPr>
        <w:t xml:space="preserve"> most </w:t>
      </w:r>
      <w:r w:rsidR="0000686B" w:rsidRPr="00206511">
        <w:rPr>
          <w:rFonts w:asciiTheme="minorHAnsi" w:eastAsia="Calibri" w:hAnsiTheme="minorHAnsi" w:cs="Times New Roman"/>
          <w:szCs w:val="24"/>
          <w:highlight w:val="yellow"/>
        </w:rPr>
        <w:t>strengths and types</w:t>
      </w:r>
      <w:r w:rsidR="0000686B" w:rsidRPr="00206511">
        <w:rPr>
          <w:rFonts w:asciiTheme="minorHAnsi" w:eastAsia="Calibri" w:hAnsiTheme="minorHAnsi" w:cs="Times New Roman"/>
          <w:szCs w:val="24"/>
        </w:rPr>
        <w:t xml:space="preserve"> of statins </w:t>
      </w:r>
      <w:r w:rsidR="00206511">
        <w:rPr>
          <w:rFonts w:asciiTheme="minorHAnsi" w:eastAsia="Calibri" w:hAnsiTheme="minorHAnsi" w:cs="Times New Roman"/>
          <w:szCs w:val="24"/>
        </w:rPr>
        <w:t xml:space="preserve">support statins </w:t>
      </w:r>
      <w:r w:rsidR="000B04D0">
        <w:rPr>
          <w:rFonts w:asciiTheme="minorHAnsi" w:eastAsia="Calibri" w:hAnsiTheme="minorHAnsi" w:cs="Times New Roman"/>
          <w:szCs w:val="24"/>
        </w:rPr>
        <w:t>as first line therapy for hypercholesteroaemia.</w:t>
      </w:r>
      <w:r w:rsidR="00206511">
        <w:rPr>
          <w:rFonts w:asciiTheme="minorHAnsi" w:eastAsia="Calibri" w:hAnsiTheme="minorHAnsi" w:cs="Times New Roman"/>
          <w:szCs w:val="24"/>
        </w:rPr>
        <w:t xml:space="preserve"> For patients</w:t>
      </w:r>
      <w:r w:rsidR="000B04D0">
        <w:rPr>
          <w:rFonts w:asciiTheme="minorHAnsi" w:eastAsia="Calibri" w:hAnsiTheme="minorHAnsi" w:cs="Times New Roman"/>
          <w:szCs w:val="24"/>
        </w:rPr>
        <w:t xml:space="preserve"> who are</w:t>
      </w:r>
      <w:r w:rsidR="00206511">
        <w:rPr>
          <w:rFonts w:asciiTheme="minorHAnsi" w:eastAsia="Calibri" w:hAnsiTheme="minorHAnsi" w:cs="Times New Roman"/>
          <w:szCs w:val="24"/>
        </w:rPr>
        <w:t xml:space="preserve"> contra-indicated or cannot tolerate</w:t>
      </w:r>
      <w:r w:rsidR="000B04D0">
        <w:rPr>
          <w:rFonts w:asciiTheme="minorHAnsi" w:eastAsia="Calibri" w:hAnsiTheme="minorHAnsi" w:cs="Times New Roman"/>
          <w:szCs w:val="24"/>
        </w:rPr>
        <w:t xml:space="preserve"> higher </w:t>
      </w:r>
      <w:r w:rsidR="00206511">
        <w:rPr>
          <w:rFonts w:asciiTheme="minorHAnsi" w:eastAsia="Calibri" w:hAnsiTheme="minorHAnsi" w:cs="Times New Roman"/>
          <w:szCs w:val="24"/>
        </w:rPr>
        <w:t>statin</w:t>
      </w:r>
      <w:r w:rsidR="000B04D0">
        <w:rPr>
          <w:rFonts w:asciiTheme="minorHAnsi" w:eastAsia="Calibri" w:hAnsiTheme="minorHAnsi" w:cs="Times New Roman"/>
          <w:szCs w:val="24"/>
        </w:rPr>
        <w:t xml:space="preserve"> doses</w:t>
      </w:r>
      <w:r w:rsidR="00206511">
        <w:rPr>
          <w:rFonts w:asciiTheme="minorHAnsi" w:eastAsia="Calibri" w:hAnsiTheme="minorHAnsi" w:cs="Times New Roman"/>
          <w:szCs w:val="24"/>
        </w:rPr>
        <w:t>, ezetimibe will provide additional benefits that could not otherwise be achieved.</w:t>
      </w:r>
    </w:p>
    <w:p w:rsidR="0000686B" w:rsidRPr="007D17F0" w:rsidRDefault="0000686B">
      <w:pPr>
        <w:pStyle w:val="ListParagraph"/>
        <w:numPr>
          <w:ilvl w:val="0"/>
          <w:numId w:val="21"/>
        </w:numPr>
        <w:spacing w:after="120" w:line="240" w:lineRule="auto"/>
        <w:ind w:left="425" w:hanging="425"/>
        <w:contextualSpacing w:val="0"/>
        <w:rPr>
          <w:rFonts w:asciiTheme="minorHAnsi" w:eastAsia="Calibri" w:hAnsiTheme="minorHAnsi" w:cs="Times New Roman"/>
          <w:szCs w:val="24"/>
        </w:rPr>
      </w:pPr>
      <w:r w:rsidRPr="00206511">
        <w:rPr>
          <w:rFonts w:asciiTheme="minorHAnsi" w:eastAsia="Calibri" w:hAnsiTheme="minorHAnsi" w:cs="Times New Roman"/>
          <w:szCs w:val="24"/>
        </w:rPr>
        <w:t xml:space="preserve">Ezetimibe monotherapy appeared to be well tolerated with a safety profile </w:t>
      </w:r>
      <w:r w:rsidRPr="007D17F0">
        <w:rPr>
          <w:rFonts w:asciiTheme="minorHAnsi" w:eastAsia="Calibri" w:hAnsiTheme="minorHAnsi" w:cs="Times New Roman"/>
          <w:szCs w:val="24"/>
        </w:rPr>
        <w:t xml:space="preserve">similar to placebo. </w:t>
      </w:r>
    </w:p>
    <w:p w:rsidR="000D7BE3" w:rsidRPr="007D17F0" w:rsidRDefault="00343939">
      <w:pPr>
        <w:pStyle w:val="ListParagraph"/>
        <w:numPr>
          <w:ilvl w:val="0"/>
          <w:numId w:val="21"/>
        </w:numPr>
        <w:spacing w:after="120" w:line="240" w:lineRule="auto"/>
        <w:ind w:left="426"/>
        <w:contextualSpacing w:val="0"/>
        <w:rPr>
          <w:rFonts w:asciiTheme="minorHAnsi" w:hAnsiTheme="minorHAnsi"/>
          <w:highlight w:val="yellow"/>
        </w:rPr>
      </w:pPr>
      <w:r w:rsidRPr="007D17F0">
        <w:rPr>
          <w:rFonts w:asciiTheme="minorHAnsi" w:hAnsiTheme="minorHAnsi"/>
          <w:highlight w:val="yellow"/>
        </w:rPr>
        <w:t xml:space="preserve">The results of the </w:t>
      </w:r>
      <w:r w:rsidRPr="007D17F0">
        <w:rPr>
          <w:rFonts w:asciiTheme="minorHAnsi" w:hAnsiTheme="minorHAnsi"/>
          <w:szCs w:val="24"/>
          <w:highlight w:val="yellow"/>
        </w:rPr>
        <w:t>Bohula et al</w:t>
      </w:r>
      <w:r w:rsidR="00A12F22">
        <w:rPr>
          <w:rStyle w:val="EndnoteReference"/>
          <w:rFonts w:asciiTheme="minorHAnsi" w:hAnsiTheme="minorHAnsi"/>
          <w:szCs w:val="24"/>
          <w:highlight w:val="yellow"/>
        </w:rPr>
        <w:endnoteReference w:id="51"/>
      </w:r>
      <w:r w:rsidR="004A06F1" w:rsidRPr="007D17F0">
        <w:rPr>
          <w:rFonts w:asciiTheme="minorHAnsi" w:hAnsiTheme="minorHAnsi"/>
          <w:szCs w:val="24"/>
          <w:highlight w:val="yellow"/>
        </w:rPr>
        <w:t xml:space="preserve"> </w:t>
      </w:r>
      <w:r w:rsidRPr="007D17F0">
        <w:rPr>
          <w:rFonts w:asciiTheme="minorHAnsi" w:hAnsiTheme="minorHAnsi"/>
          <w:szCs w:val="24"/>
          <w:highlight w:val="yellow"/>
        </w:rPr>
        <w:t xml:space="preserve">analysis of IMPROVE-IT showed significant benefit of ezetimibe/statin combination therapy only in those patients with very high cardiovascular risk. This </w:t>
      </w:r>
      <w:r w:rsidRPr="007D17F0">
        <w:rPr>
          <w:rFonts w:asciiTheme="minorHAnsi" w:hAnsiTheme="minorHAnsi"/>
          <w:highlight w:val="yellow"/>
        </w:rPr>
        <w:t>underlines the importance of restricting use of ezetimibe to second line therapy following optimal use of statins and in those patients with very high risk</w:t>
      </w:r>
      <w:r w:rsidR="003306B9" w:rsidRPr="007D17F0">
        <w:rPr>
          <w:rFonts w:asciiTheme="minorHAnsi" w:hAnsiTheme="minorHAnsi"/>
          <w:highlight w:val="yellow"/>
        </w:rPr>
        <w:t>.</w:t>
      </w:r>
    </w:p>
    <w:p w:rsidR="000B04D0" w:rsidRPr="007D17F0" w:rsidRDefault="0000686B">
      <w:pPr>
        <w:pStyle w:val="ListParagraph"/>
        <w:numPr>
          <w:ilvl w:val="0"/>
          <w:numId w:val="21"/>
        </w:numPr>
        <w:spacing w:after="120" w:line="240" w:lineRule="auto"/>
        <w:ind w:left="426"/>
        <w:contextualSpacing w:val="0"/>
        <w:rPr>
          <w:rFonts w:asciiTheme="minorHAnsi" w:hAnsiTheme="minorHAnsi"/>
          <w:highlight w:val="yellow"/>
        </w:rPr>
      </w:pPr>
      <w:r w:rsidRPr="007D17F0">
        <w:rPr>
          <w:rFonts w:asciiTheme="minorHAnsi" w:eastAsia="Calibri" w:hAnsiTheme="minorHAnsi" w:cs="Times New Roman"/>
          <w:szCs w:val="24"/>
        </w:rPr>
        <w:t xml:space="preserve">The </w:t>
      </w:r>
      <w:r w:rsidR="000B04D0" w:rsidRPr="007D17F0">
        <w:rPr>
          <w:rFonts w:asciiTheme="minorHAnsi" w:eastAsia="Calibri" w:hAnsiTheme="minorHAnsi" w:cs="Times New Roman"/>
          <w:szCs w:val="24"/>
        </w:rPr>
        <w:t xml:space="preserve">limited clinical </w:t>
      </w:r>
      <w:r w:rsidRPr="007D17F0">
        <w:rPr>
          <w:rFonts w:asciiTheme="minorHAnsi" w:eastAsia="Calibri" w:hAnsiTheme="minorHAnsi" w:cs="Times New Roman"/>
          <w:szCs w:val="24"/>
        </w:rPr>
        <w:t>evidence</w:t>
      </w:r>
      <w:r w:rsidR="000B04D0" w:rsidRPr="007D17F0">
        <w:rPr>
          <w:rFonts w:asciiTheme="minorHAnsi" w:eastAsia="Calibri" w:hAnsiTheme="minorHAnsi" w:cs="Times New Roman"/>
          <w:szCs w:val="24"/>
        </w:rPr>
        <w:t xml:space="preserve"> on long</w:t>
      </w:r>
      <w:r w:rsidR="00EE16D2">
        <w:rPr>
          <w:rFonts w:asciiTheme="minorHAnsi" w:eastAsia="Calibri" w:hAnsiTheme="minorHAnsi" w:cs="Times New Roman"/>
          <w:szCs w:val="24"/>
        </w:rPr>
        <w:t>-</w:t>
      </w:r>
      <w:r w:rsidR="000B04D0" w:rsidRPr="007D17F0">
        <w:rPr>
          <w:rFonts w:asciiTheme="minorHAnsi" w:eastAsia="Calibri" w:hAnsiTheme="minorHAnsi" w:cs="Times New Roman"/>
          <w:szCs w:val="24"/>
        </w:rPr>
        <w:t xml:space="preserve">term patient relevant outcomes, and lack of applicability to the PBS population </w:t>
      </w:r>
      <w:r w:rsidRPr="007D17F0">
        <w:rPr>
          <w:rFonts w:asciiTheme="minorHAnsi" w:eastAsia="Calibri" w:hAnsiTheme="minorHAnsi" w:cs="Times New Roman"/>
          <w:szCs w:val="24"/>
        </w:rPr>
        <w:t>casts uncertainty over cost-effectiveness of ezetimibe in combination with statin versus</w:t>
      </w:r>
      <w:r w:rsidR="000B04D0" w:rsidRPr="007D17F0">
        <w:rPr>
          <w:rFonts w:asciiTheme="minorHAnsi" w:eastAsia="Calibri" w:hAnsiTheme="minorHAnsi" w:cs="Times New Roman"/>
          <w:szCs w:val="24"/>
        </w:rPr>
        <w:t xml:space="preserve"> maximally tolerated </w:t>
      </w:r>
      <w:r w:rsidRPr="007D17F0">
        <w:rPr>
          <w:rFonts w:asciiTheme="minorHAnsi" w:eastAsia="Calibri" w:hAnsiTheme="minorHAnsi" w:cs="Times New Roman"/>
          <w:szCs w:val="24"/>
        </w:rPr>
        <w:t>statin.</w:t>
      </w:r>
    </w:p>
    <w:p w:rsidR="00C45AF0" w:rsidRDefault="003848A8" w:rsidP="005A2287">
      <w:pPr>
        <w:pStyle w:val="Heading3"/>
        <w:jc w:val="left"/>
        <w:rPr>
          <w:highlight w:val="yellow"/>
        </w:rPr>
      </w:pPr>
      <w:bookmarkStart w:id="81" w:name="_Toc482176969"/>
      <w:r>
        <w:rPr>
          <w:highlight w:val="yellow"/>
        </w:rPr>
        <w:t>3.</w:t>
      </w:r>
      <w:r w:rsidR="008810FB">
        <w:rPr>
          <w:highlight w:val="yellow"/>
        </w:rPr>
        <w:t>1.2</w:t>
      </w:r>
      <w:r w:rsidR="008810FB">
        <w:rPr>
          <w:highlight w:val="yellow"/>
        </w:rPr>
        <w:tab/>
      </w:r>
      <w:r w:rsidR="00BA106C" w:rsidRPr="00BA106C">
        <w:rPr>
          <w:highlight w:val="yellow"/>
        </w:rPr>
        <w:t>Review of the economic modelling of ezetimibe</w:t>
      </w:r>
      <w:bookmarkEnd w:id="81"/>
      <w:r w:rsidR="00BA106C" w:rsidRPr="00BA106C">
        <w:rPr>
          <w:highlight w:val="yellow"/>
        </w:rPr>
        <w:t xml:space="preserve"> </w:t>
      </w:r>
    </w:p>
    <w:p w:rsidR="006C6A60" w:rsidRDefault="006C6A60" w:rsidP="00920324">
      <w:pPr>
        <w:pStyle w:val="ListParagraph"/>
        <w:numPr>
          <w:ilvl w:val="0"/>
          <w:numId w:val="41"/>
        </w:numPr>
        <w:spacing w:after="120" w:line="240" w:lineRule="auto"/>
        <w:contextualSpacing w:val="0"/>
        <w:rPr>
          <w:rFonts w:asciiTheme="minorHAnsi" w:hAnsiTheme="minorHAnsi"/>
        </w:rPr>
      </w:pPr>
      <w:r w:rsidRPr="006C6A60">
        <w:rPr>
          <w:rFonts w:asciiTheme="minorHAnsi" w:hAnsiTheme="minorHAnsi"/>
          <w:highlight w:val="yellow"/>
        </w:rPr>
        <w:t>The base case Incremental Cost</w:t>
      </w:r>
      <w:r w:rsidR="00F7627D">
        <w:rPr>
          <w:rFonts w:asciiTheme="minorHAnsi" w:hAnsiTheme="minorHAnsi"/>
          <w:highlight w:val="yellow"/>
        </w:rPr>
        <w:t>-</w:t>
      </w:r>
      <w:r w:rsidRPr="006C6A60">
        <w:rPr>
          <w:rFonts w:asciiTheme="minorHAnsi" w:hAnsiTheme="minorHAnsi"/>
          <w:highlight w:val="yellow"/>
        </w:rPr>
        <w:t>Effectiveness Ratio (ICER) presented in the sponsor’s submission is considered uncertain. This is because the approach used for extrapolating the benefits beyond the period of the trial follow-up is likely to have overestimated the incremental long</w:t>
      </w:r>
      <w:r w:rsidR="00F7627D">
        <w:rPr>
          <w:rFonts w:asciiTheme="minorHAnsi" w:hAnsiTheme="minorHAnsi"/>
          <w:highlight w:val="yellow"/>
        </w:rPr>
        <w:t>-</w:t>
      </w:r>
      <w:r w:rsidRPr="006C6A60">
        <w:rPr>
          <w:rFonts w:asciiTheme="minorHAnsi" w:hAnsiTheme="minorHAnsi"/>
          <w:highlight w:val="yellow"/>
        </w:rPr>
        <w:t>term benefits associated with a combination of ezetimibe and a statin.</w:t>
      </w:r>
    </w:p>
    <w:p w:rsidR="006C6A60" w:rsidRPr="006C6A60" w:rsidRDefault="006C6A60" w:rsidP="00920324">
      <w:pPr>
        <w:pStyle w:val="ListParagraph"/>
        <w:numPr>
          <w:ilvl w:val="0"/>
          <w:numId w:val="41"/>
        </w:numPr>
        <w:spacing w:after="120" w:line="240" w:lineRule="auto"/>
        <w:rPr>
          <w:rFonts w:asciiTheme="minorHAnsi" w:eastAsia="Calibri" w:hAnsiTheme="minorHAnsi" w:cs="Times New Roman"/>
          <w:szCs w:val="24"/>
          <w:highlight w:val="yellow"/>
        </w:rPr>
      </w:pPr>
      <w:r w:rsidRPr="006C6A60">
        <w:rPr>
          <w:rFonts w:asciiTheme="minorHAnsi" w:eastAsia="Calibri" w:hAnsiTheme="minorHAnsi" w:cs="Times New Roman"/>
          <w:szCs w:val="24"/>
          <w:highlight w:val="yellow"/>
        </w:rPr>
        <w:t>The evidence reporting on long</w:t>
      </w:r>
      <w:r w:rsidR="00F7627D">
        <w:rPr>
          <w:rFonts w:asciiTheme="minorHAnsi" w:eastAsia="Calibri" w:hAnsiTheme="minorHAnsi" w:cs="Times New Roman"/>
          <w:szCs w:val="24"/>
          <w:highlight w:val="yellow"/>
        </w:rPr>
        <w:t>-</w:t>
      </w:r>
      <w:r w:rsidRPr="006C6A60">
        <w:rPr>
          <w:rFonts w:asciiTheme="minorHAnsi" w:eastAsia="Calibri" w:hAnsiTheme="minorHAnsi" w:cs="Times New Roman"/>
          <w:szCs w:val="24"/>
          <w:highlight w:val="yellow"/>
        </w:rPr>
        <w:t xml:space="preserve">term patient relevant outcomes casts uncertainty over the cost-effectiveness of ezetimibe in combination with statin versus statin monotherapy. This arises from the </w:t>
      </w:r>
      <w:r>
        <w:rPr>
          <w:rFonts w:asciiTheme="minorHAnsi" w:eastAsia="Calibri" w:hAnsiTheme="minorHAnsi" w:cs="Times New Roman"/>
          <w:szCs w:val="24"/>
          <w:highlight w:val="yellow"/>
        </w:rPr>
        <w:t xml:space="preserve">sensitivity of the ICER to the </w:t>
      </w:r>
      <w:r w:rsidRPr="006C6A60">
        <w:rPr>
          <w:rFonts w:asciiTheme="minorHAnsi" w:eastAsia="Calibri" w:hAnsiTheme="minorHAnsi" w:cs="Times New Roman"/>
          <w:szCs w:val="24"/>
          <w:highlight w:val="yellow"/>
        </w:rPr>
        <w:t>estimates of clinical efficacy in terms of TC: HDL ratio</w:t>
      </w:r>
      <w:r>
        <w:rPr>
          <w:rFonts w:asciiTheme="minorHAnsi" w:eastAsia="Calibri" w:hAnsiTheme="minorHAnsi" w:cs="Times New Roman"/>
          <w:szCs w:val="24"/>
          <w:highlight w:val="yellow"/>
        </w:rPr>
        <w:t xml:space="preserve"> provided in the sponsor’s submission an</w:t>
      </w:r>
      <w:r w:rsidR="00B94AAC">
        <w:rPr>
          <w:rFonts w:asciiTheme="minorHAnsi" w:eastAsia="Calibri" w:hAnsiTheme="minorHAnsi" w:cs="Times New Roman"/>
          <w:szCs w:val="24"/>
          <w:highlight w:val="yellow"/>
        </w:rPr>
        <w:t>d those derived during the post-</w:t>
      </w:r>
      <w:r>
        <w:rPr>
          <w:rFonts w:asciiTheme="minorHAnsi" w:eastAsia="Calibri" w:hAnsiTheme="minorHAnsi" w:cs="Times New Roman"/>
          <w:szCs w:val="24"/>
          <w:highlight w:val="yellow"/>
        </w:rPr>
        <w:t>market review</w:t>
      </w:r>
      <w:r w:rsidR="00BE4210">
        <w:rPr>
          <w:rFonts w:asciiTheme="minorHAnsi" w:eastAsia="Calibri" w:hAnsiTheme="minorHAnsi" w:cs="Times New Roman"/>
          <w:szCs w:val="24"/>
          <w:highlight w:val="yellow"/>
        </w:rPr>
        <w:t xml:space="preserve">. </w:t>
      </w:r>
      <w:r w:rsidR="00772922">
        <w:rPr>
          <w:rFonts w:asciiTheme="minorHAnsi" w:eastAsia="Calibri" w:hAnsiTheme="minorHAnsi" w:cs="Times New Roman"/>
          <w:szCs w:val="24"/>
          <w:highlight w:val="yellow"/>
        </w:rPr>
        <w:t>A</w:t>
      </w:r>
      <w:r w:rsidR="00772922" w:rsidRPr="00343939">
        <w:rPr>
          <w:rFonts w:asciiTheme="minorHAnsi" w:eastAsiaTheme="minorEastAsia" w:hAnsiTheme="minorHAnsi"/>
          <w:highlight w:val="yellow"/>
          <w:lang w:eastAsia="zh-CN"/>
        </w:rPr>
        <w:t xml:space="preserve">lternative </w:t>
      </w:r>
      <w:r w:rsidR="00772922" w:rsidRPr="00343939">
        <w:rPr>
          <w:rFonts w:asciiTheme="minorHAnsi" w:hAnsiTheme="minorHAnsi"/>
          <w:highlight w:val="yellow"/>
        </w:rPr>
        <w:t>efficacy</w:t>
      </w:r>
      <w:r w:rsidR="00772922" w:rsidRPr="00343939">
        <w:rPr>
          <w:rFonts w:asciiTheme="minorHAnsi" w:eastAsiaTheme="minorEastAsia" w:hAnsiTheme="minorHAnsi"/>
          <w:highlight w:val="yellow"/>
          <w:lang w:eastAsia="zh-CN"/>
        </w:rPr>
        <w:t xml:space="preserve"> estimates </w:t>
      </w:r>
      <w:r w:rsidR="00772922" w:rsidRPr="00343939">
        <w:rPr>
          <w:rFonts w:asciiTheme="minorHAnsi" w:eastAsiaTheme="minorEastAsia" w:hAnsiTheme="minorHAnsi"/>
          <w:highlight w:val="yellow"/>
          <w:lang w:eastAsia="zh-CN"/>
        </w:rPr>
        <w:lastRenderedPageBreak/>
        <w:t>were obtained for a sensitivity analysis from the meta-analysis of trials that enrolled primary, secondary or mixed prevention population</w:t>
      </w:r>
      <w:r w:rsidR="00772922">
        <w:rPr>
          <w:rFonts w:asciiTheme="minorHAnsi" w:eastAsiaTheme="minorEastAsia" w:hAnsiTheme="minorHAnsi"/>
          <w:highlight w:val="yellow"/>
          <w:lang w:eastAsia="zh-CN"/>
        </w:rPr>
        <w:t xml:space="preserve">s. </w:t>
      </w:r>
      <w:r w:rsidR="00D07235">
        <w:rPr>
          <w:rFonts w:asciiTheme="minorHAnsi" w:eastAsiaTheme="minorEastAsia" w:hAnsiTheme="minorHAnsi"/>
          <w:highlight w:val="yellow"/>
          <w:lang w:eastAsia="zh-CN"/>
        </w:rPr>
        <w:t>When t</w:t>
      </w:r>
      <w:r w:rsidR="00772922">
        <w:rPr>
          <w:rFonts w:asciiTheme="minorHAnsi" w:eastAsiaTheme="minorEastAsia" w:hAnsiTheme="minorHAnsi"/>
          <w:highlight w:val="yellow"/>
          <w:lang w:eastAsia="zh-CN"/>
        </w:rPr>
        <w:t>he</w:t>
      </w:r>
      <w:r w:rsidR="00174DDF">
        <w:rPr>
          <w:rFonts w:asciiTheme="minorHAnsi" w:eastAsiaTheme="minorEastAsia" w:hAnsiTheme="minorHAnsi"/>
          <w:highlight w:val="yellow"/>
          <w:lang w:eastAsia="zh-CN"/>
        </w:rPr>
        <w:t>se</w:t>
      </w:r>
      <w:r w:rsidR="00772922">
        <w:rPr>
          <w:rFonts w:asciiTheme="minorHAnsi" w:eastAsiaTheme="minorEastAsia" w:hAnsiTheme="minorHAnsi"/>
          <w:highlight w:val="yellow"/>
          <w:lang w:eastAsia="zh-CN"/>
        </w:rPr>
        <w:t xml:space="preserve"> results </w:t>
      </w:r>
      <w:r w:rsidR="003F6888">
        <w:rPr>
          <w:rFonts w:asciiTheme="minorHAnsi" w:eastAsiaTheme="minorEastAsia" w:hAnsiTheme="minorHAnsi"/>
          <w:highlight w:val="yellow"/>
          <w:lang w:eastAsia="zh-CN"/>
        </w:rPr>
        <w:t xml:space="preserve">were </w:t>
      </w:r>
      <w:r w:rsidR="00772922">
        <w:rPr>
          <w:rFonts w:asciiTheme="minorHAnsi" w:eastAsiaTheme="minorEastAsia" w:hAnsiTheme="minorHAnsi"/>
          <w:highlight w:val="yellow"/>
          <w:lang w:eastAsia="zh-CN"/>
        </w:rPr>
        <w:t>used</w:t>
      </w:r>
      <w:r w:rsidR="00BE4210">
        <w:rPr>
          <w:rFonts w:asciiTheme="minorHAnsi" w:eastAsiaTheme="minorEastAsia" w:hAnsiTheme="minorHAnsi"/>
          <w:highlight w:val="yellow"/>
          <w:lang w:eastAsia="zh-CN"/>
        </w:rPr>
        <w:t xml:space="preserve"> as input to the model </w:t>
      </w:r>
      <w:r w:rsidR="00BE4210" w:rsidRPr="00343939">
        <w:rPr>
          <w:rFonts w:asciiTheme="minorHAnsi" w:eastAsiaTheme="minorEastAsia" w:hAnsiTheme="minorHAnsi"/>
          <w:highlight w:val="yellow"/>
          <w:lang w:eastAsia="zh-CN"/>
        </w:rPr>
        <w:t>(</w:t>
      </w:r>
      <w:r w:rsidR="00B577F2">
        <w:rPr>
          <w:rFonts w:asciiTheme="minorHAnsi" w:eastAsiaTheme="minorEastAsia" w:hAnsiTheme="minorHAnsi"/>
          <w:highlight w:val="yellow"/>
          <w:lang w:eastAsia="zh-CN"/>
        </w:rPr>
        <w:t xml:space="preserve">reduction in </w:t>
      </w:r>
      <w:r w:rsidR="00BE4210" w:rsidRPr="00343939">
        <w:rPr>
          <w:rFonts w:asciiTheme="minorHAnsi" w:eastAsiaTheme="minorEastAsia" w:hAnsiTheme="minorHAnsi"/>
          <w:highlight w:val="yellow"/>
          <w:lang w:eastAsia="zh-CN"/>
        </w:rPr>
        <w:t>TC:</w:t>
      </w:r>
      <w:r w:rsidR="00BE4210">
        <w:rPr>
          <w:rFonts w:asciiTheme="minorHAnsi" w:eastAsiaTheme="minorEastAsia" w:hAnsiTheme="minorHAnsi"/>
          <w:highlight w:val="yellow"/>
          <w:lang w:eastAsia="zh-CN"/>
        </w:rPr>
        <w:t xml:space="preserve"> </w:t>
      </w:r>
      <w:r w:rsidR="00BE4210" w:rsidRPr="00343939">
        <w:rPr>
          <w:rFonts w:asciiTheme="minorHAnsi" w:eastAsiaTheme="minorEastAsia" w:hAnsiTheme="minorHAnsi"/>
          <w:highlight w:val="yellow"/>
          <w:lang w:eastAsia="zh-CN"/>
        </w:rPr>
        <w:t xml:space="preserve">HDL </w:t>
      </w:r>
      <w:r w:rsidR="00B577F2">
        <w:rPr>
          <w:rFonts w:asciiTheme="minorHAnsi" w:eastAsiaTheme="minorEastAsia" w:hAnsiTheme="minorHAnsi"/>
          <w:highlight w:val="yellow"/>
          <w:lang w:eastAsia="zh-CN"/>
        </w:rPr>
        <w:t>ratios of -</w:t>
      </w:r>
      <w:r w:rsidR="00BE4210" w:rsidRPr="00343939">
        <w:rPr>
          <w:rFonts w:asciiTheme="minorHAnsi" w:eastAsiaTheme="minorEastAsia" w:hAnsiTheme="minorHAnsi"/>
          <w:highlight w:val="yellow"/>
          <w:lang w:eastAsia="zh-CN"/>
        </w:rPr>
        <w:t>18.84% v</w:t>
      </w:r>
      <w:r w:rsidR="00B577F2">
        <w:rPr>
          <w:rFonts w:asciiTheme="minorHAnsi" w:eastAsiaTheme="minorEastAsia" w:hAnsiTheme="minorHAnsi"/>
          <w:highlight w:val="yellow"/>
          <w:lang w:eastAsia="zh-CN"/>
        </w:rPr>
        <w:t>ersus</w:t>
      </w:r>
      <w:r w:rsidR="00BE4210" w:rsidRPr="00343939">
        <w:rPr>
          <w:rFonts w:asciiTheme="minorHAnsi" w:eastAsiaTheme="minorEastAsia" w:hAnsiTheme="minorHAnsi"/>
          <w:highlight w:val="yellow"/>
          <w:lang w:eastAsia="zh-CN"/>
        </w:rPr>
        <w:t xml:space="preserve"> </w:t>
      </w:r>
      <w:r w:rsidR="00B577F2">
        <w:rPr>
          <w:rFonts w:asciiTheme="minorHAnsi" w:eastAsiaTheme="minorEastAsia" w:hAnsiTheme="minorHAnsi"/>
          <w:highlight w:val="yellow"/>
          <w:lang w:eastAsia="zh-CN"/>
        </w:rPr>
        <w:t>-</w:t>
      </w:r>
      <w:r w:rsidR="00BE4210" w:rsidRPr="00343939">
        <w:rPr>
          <w:rFonts w:asciiTheme="minorHAnsi" w:eastAsiaTheme="minorEastAsia" w:hAnsiTheme="minorHAnsi"/>
          <w:highlight w:val="yellow"/>
          <w:lang w:eastAsia="zh-CN"/>
        </w:rPr>
        <w:t>9.65%</w:t>
      </w:r>
      <w:r w:rsidR="00B577F2">
        <w:rPr>
          <w:rFonts w:asciiTheme="minorHAnsi" w:eastAsiaTheme="minorEastAsia" w:hAnsiTheme="minorHAnsi"/>
          <w:highlight w:val="yellow"/>
          <w:lang w:eastAsia="zh-CN"/>
        </w:rPr>
        <w:t xml:space="preserve"> in ezetimibe and comparator arms respectively</w:t>
      </w:r>
      <w:r w:rsidR="00BE4210" w:rsidRPr="00343939">
        <w:rPr>
          <w:rFonts w:asciiTheme="minorHAnsi" w:eastAsiaTheme="minorEastAsia" w:hAnsiTheme="minorHAnsi"/>
          <w:highlight w:val="yellow"/>
          <w:lang w:eastAsia="zh-CN"/>
        </w:rPr>
        <w:t>)</w:t>
      </w:r>
      <w:r w:rsidR="00BE4210">
        <w:rPr>
          <w:rFonts w:asciiTheme="minorHAnsi" w:eastAsiaTheme="minorEastAsia" w:hAnsiTheme="minorHAnsi"/>
          <w:highlight w:val="yellow"/>
          <w:lang w:eastAsia="zh-CN"/>
        </w:rPr>
        <w:t xml:space="preserve"> rather than the sponsor</w:t>
      </w:r>
      <w:r w:rsidR="003F6888">
        <w:rPr>
          <w:rFonts w:asciiTheme="minorHAnsi" w:eastAsiaTheme="minorEastAsia" w:hAnsiTheme="minorHAnsi"/>
          <w:highlight w:val="yellow"/>
          <w:lang w:eastAsia="zh-CN"/>
        </w:rPr>
        <w:t>’s estimate</w:t>
      </w:r>
      <w:r w:rsidR="00174DDF">
        <w:rPr>
          <w:rFonts w:asciiTheme="minorHAnsi" w:eastAsiaTheme="minorEastAsia" w:hAnsiTheme="minorHAnsi"/>
          <w:highlight w:val="yellow"/>
          <w:lang w:eastAsia="zh-CN"/>
        </w:rPr>
        <w:t>s</w:t>
      </w:r>
      <w:r w:rsidR="003F6888">
        <w:rPr>
          <w:rFonts w:asciiTheme="minorHAnsi" w:eastAsiaTheme="minorEastAsia" w:hAnsiTheme="minorHAnsi"/>
          <w:highlight w:val="yellow"/>
          <w:lang w:eastAsia="zh-CN"/>
        </w:rPr>
        <w:t>, t</w:t>
      </w:r>
      <w:r w:rsidR="00BE4210">
        <w:rPr>
          <w:rFonts w:asciiTheme="minorHAnsi" w:eastAsiaTheme="minorEastAsia" w:hAnsiTheme="minorHAnsi"/>
          <w:highlight w:val="yellow"/>
          <w:lang w:eastAsia="zh-CN"/>
        </w:rPr>
        <w:t xml:space="preserve">he base case </w:t>
      </w:r>
      <w:r w:rsidR="00BE4210" w:rsidRPr="00343939">
        <w:rPr>
          <w:rFonts w:asciiTheme="minorHAnsi" w:eastAsiaTheme="minorEastAsia" w:hAnsiTheme="minorHAnsi"/>
          <w:highlight w:val="yellow"/>
          <w:lang w:eastAsia="zh-CN"/>
        </w:rPr>
        <w:t>ICER</w:t>
      </w:r>
      <w:r w:rsidR="00BE4210">
        <w:rPr>
          <w:rFonts w:asciiTheme="minorHAnsi" w:eastAsiaTheme="minorEastAsia" w:hAnsiTheme="minorHAnsi"/>
          <w:highlight w:val="yellow"/>
          <w:lang w:eastAsia="zh-CN"/>
        </w:rPr>
        <w:t xml:space="preserve"> </w:t>
      </w:r>
      <w:r w:rsidR="00BE4210" w:rsidRPr="00343939">
        <w:rPr>
          <w:rFonts w:asciiTheme="minorHAnsi" w:eastAsiaTheme="minorEastAsia" w:hAnsiTheme="minorHAnsi"/>
          <w:highlight w:val="yellow"/>
          <w:lang w:eastAsia="zh-CN"/>
        </w:rPr>
        <w:t xml:space="preserve">almost doubled </w:t>
      </w:r>
      <w:r w:rsidR="00174DDF">
        <w:rPr>
          <w:rFonts w:asciiTheme="minorHAnsi" w:eastAsiaTheme="minorEastAsia" w:hAnsiTheme="minorHAnsi"/>
          <w:highlight w:val="yellow"/>
          <w:lang w:eastAsia="zh-CN"/>
        </w:rPr>
        <w:t>across all time horizons</w:t>
      </w:r>
      <w:r w:rsidR="00BE4210">
        <w:rPr>
          <w:rFonts w:asciiTheme="minorHAnsi" w:eastAsiaTheme="minorEastAsia" w:hAnsiTheme="minorHAnsi"/>
          <w:highlight w:val="yellow"/>
          <w:lang w:eastAsia="zh-CN"/>
        </w:rPr>
        <w:t>.</w:t>
      </w:r>
    </w:p>
    <w:p w:rsidR="006C6A60" w:rsidRPr="006C6A60" w:rsidRDefault="006C6A60">
      <w:pPr>
        <w:pStyle w:val="ListParagraph"/>
        <w:numPr>
          <w:ilvl w:val="0"/>
          <w:numId w:val="41"/>
        </w:numPr>
        <w:spacing w:after="120" w:line="240" w:lineRule="auto"/>
        <w:contextualSpacing w:val="0"/>
        <w:rPr>
          <w:rFonts w:asciiTheme="minorHAnsi" w:hAnsiTheme="minorHAnsi"/>
          <w:highlight w:val="yellow"/>
        </w:rPr>
      </w:pPr>
      <w:r w:rsidRPr="006C6A60">
        <w:rPr>
          <w:rFonts w:asciiTheme="minorHAnsi" w:hAnsiTheme="minorHAnsi"/>
          <w:highlight w:val="yellow"/>
        </w:rPr>
        <w:t>An economic model based on the results of the IMPROVE-IT trial would not provide a reasonable estimate of the cost</w:t>
      </w:r>
      <w:r w:rsidR="00216B38">
        <w:rPr>
          <w:rFonts w:asciiTheme="minorHAnsi" w:hAnsiTheme="minorHAnsi"/>
          <w:highlight w:val="yellow"/>
        </w:rPr>
        <w:t>-</w:t>
      </w:r>
      <w:r w:rsidRPr="006C6A60">
        <w:rPr>
          <w:rFonts w:asciiTheme="minorHAnsi" w:hAnsiTheme="minorHAnsi"/>
          <w:highlight w:val="yellow"/>
        </w:rPr>
        <w:t>effectiveness of current ezetimibe use on the PBS due to applicability issues.</w:t>
      </w:r>
    </w:p>
    <w:p w:rsidR="006C6A60" w:rsidRPr="006C6A60" w:rsidRDefault="006C6A60">
      <w:pPr>
        <w:pStyle w:val="ListParagraph"/>
        <w:numPr>
          <w:ilvl w:val="0"/>
          <w:numId w:val="41"/>
        </w:numPr>
        <w:spacing w:after="120" w:line="240" w:lineRule="auto"/>
        <w:rPr>
          <w:rFonts w:asciiTheme="minorHAnsi" w:hAnsiTheme="minorHAnsi"/>
          <w:highlight w:val="yellow"/>
        </w:rPr>
      </w:pPr>
      <w:r w:rsidRPr="006C6A60">
        <w:rPr>
          <w:rFonts w:asciiTheme="minorHAnsi" w:eastAsia="Calibri" w:hAnsiTheme="minorHAnsi" w:cs="Times New Roman"/>
          <w:szCs w:val="24"/>
          <w:highlight w:val="yellow"/>
        </w:rPr>
        <w:t xml:space="preserve">The Reference Group agreed </w:t>
      </w:r>
      <w:r w:rsidR="000D7BE3">
        <w:rPr>
          <w:rFonts w:asciiTheme="minorHAnsi" w:eastAsia="Calibri" w:hAnsiTheme="minorHAnsi" w:cs="Times New Roman"/>
          <w:szCs w:val="24"/>
          <w:highlight w:val="yellow"/>
        </w:rPr>
        <w:t xml:space="preserve">that </w:t>
      </w:r>
      <w:r w:rsidRPr="006C6A60">
        <w:rPr>
          <w:rFonts w:asciiTheme="minorHAnsi" w:eastAsia="Calibri" w:hAnsiTheme="minorHAnsi" w:cs="Times New Roman"/>
          <w:szCs w:val="24"/>
          <w:highlight w:val="yellow"/>
        </w:rPr>
        <w:t>in consider</w:t>
      </w:r>
      <w:r w:rsidR="00D07235">
        <w:rPr>
          <w:rFonts w:asciiTheme="minorHAnsi" w:eastAsia="Calibri" w:hAnsiTheme="minorHAnsi" w:cs="Times New Roman"/>
          <w:szCs w:val="24"/>
          <w:highlight w:val="yellow"/>
        </w:rPr>
        <w:t xml:space="preserve">ing </w:t>
      </w:r>
      <w:r w:rsidRPr="006C6A60">
        <w:rPr>
          <w:rFonts w:asciiTheme="minorHAnsi" w:eastAsia="Calibri" w:hAnsiTheme="minorHAnsi" w:cs="Times New Roman"/>
          <w:szCs w:val="24"/>
          <w:highlight w:val="yellow"/>
        </w:rPr>
        <w:t>the cost-effectiveness of ezetimibe the</w:t>
      </w:r>
      <w:r w:rsidR="00D07235">
        <w:rPr>
          <w:rFonts w:asciiTheme="minorHAnsi" w:eastAsia="Calibri" w:hAnsiTheme="minorHAnsi" w:cs="Times New Roman"/>
          <w:szCs w:val="24"/>
          <w:highlight w:val="yellow"/>
        </w:rPr>
        <w:t xml:space="preserve"> </w:t>
      </w:r>
      <w:r w:rsidRPr="006C6A60">
        <w:rPr>
          <w:rFonts w:asciiTheme="minorHAnsi" w:eastAsia="Calibri" w:hAnsiTheme="minorHAnsi" w:cs="Times New Roman"/>
          <w:szCs w:val="24"/>
          <w:highlight w:val="yellow"/>
        </w:rPr>
        <w:t>comparators</w:t>
      </w:r>
      <w:r w:rsidR="00D07235">
        <w:rPr>
          <w:rFonts w:asciiTheme="minorHAnsi" w:eastAsia="Calibri" w:hAnsiTheme="minorHAnsi" w:cs="Times New Roman"/>
          <w:szCs w:val="24"/>
          <w:highlight w:val="yellow"/>
        </w:rPr>
        <w:t xml:space="preserve"> include</w:t>
      </w:r>
      <w:r w:rsidRPr="006C6A60">
        <w:rPr>
          <w:rFonts w:asciiTheme="minorHAnsi" w:eastAsia="Calibri" w:hAnsiTheme="minorHAnsi" w:cs="Times New Roman"/>
          <w:szCs w:val="24"/>
          <w:highlight w:val="yellow"/>
        </w:rPr>
        <w:t xml:space="preserve">: </w:t>
      </w:r>
    </w:p>
    <w:p w:rsidR="006C6A60" w:rsidRPr="006C6A60" w:rsidRDefault="006C6A60">
      <w:pPr>
        <w:pStyle w:val="ListParagraph"/>
        <w:numPr>
          <w:ilvl w:val="1"/>
          <w:numId w:val="41"/>
        </w:numPr>
        <w:spacing w:after="120" w:line="240" w:lineRule="auto"/>
        <w:contextualSpacing w:val="0"/>
        <w:rPr>
          <w:rFonts w:asciiTheme="minorHAnsi" w:eastAsia="Calibri" w:hAnsiTheme="minorHAnsi" w:cs="Times New Roman"/>
          <w:szCs w:val="24"/>
          <w:highlight w:val="yellow"/>
        </w:rPr>
      </w:pPr>
      <w:r w:rsidRPr="006C6A60">
        <w:rPr>
          <w:rFonts w:asciiTheme="minorHAnsi" w:eastAsia="Calibri" w:hAnsiTheme="minorHAnsi" w:cs="Times New Roman"/>
          <w:szCs w:val="24"/>
          <w:highlight w:val="yellow"/>
        </w:rPr>
        <w:t>placebo/non statin LLT for those patients contraindicated to statins and</w:t>
      </w:r>
    </w:p>
    <w:p w:rsidR="000D24F1" w:rsidRPr="007173D3" w:rsidRDefault="006C6A60">
      <w:pPr>
        <w:pStyle w:val="ListParagraph"/>
        <w:numPr>
          <w:ilvl w:val="1"/>
          <w:numId w:val="41"/>
        </w:numPr>
        <w:spacing w:after="120" w:line="240" w:lineRule="auto"/>
        <w:rPr>
          <w:rFonts w:asciiTheme="minorHAnsi" w:eastAsia="Calibri" w:hAnsiTheme="minorHAnsi" w:cs="Times New Roman"/>
          <w:szCs w:val="24"/>
          <w:highlight w:val="yellow"/>
        </w:rPr>
      </w:pPr>
      <w:r w:rsidRPr="006C6A60">
        <w:rPr>
          <w:rFonts w:asciiTheme="minorHAnsi" w:eastAsia="Calibri" w:hAnsiTheme="minorHAnsi" w:cs="Times New Roman"/>
          <w:szCs w:val="24"/>
          <w:highlight w:val="yellow"/>
        </w:rPr>
        <w:t>up-titration of statin to maximum tolerated dose/switching to a higher potency statin.</w:t>
      </w:r>
    </w:p>
    <w:p w:rsidR="0000686B" w:rsidRPr="000B682C" w:rsidRDefault="003848A8" w:rsidP="005A2287">
      <w:pPr>
        <w:pStyle w:val="Heading2"/>
      </w:pPr>
      <w:bookmarkStart w:id="82" w:name="_Toc482176970"/>
      <w:r>
        <w:t>3.</w:t>
      </w:r>
      <w:r w:rsidR="0000686B" w:rsidRPr="000B682C">
        <w:t>2</w:t>
      </w:r>
      <w:r w:rsidR="0000686B" w:rsidRPr="000B682C">
        <w:tab/>
      </w:r>
      <w:r w:rsidR="007173D3" w:rsidRPr="008810FB">
        <w:t>Evidence</w:t>
      </w:r>
      <w:r w:rsidR="007173D3">
        <w:t xml:space="preserve"> review on the clinical effectiveness of ezetimibe</w:t>
      </w:r>
      <w:bookmarkEnd w:id="82"/>
    </w:p>
    <w:p w:rsidR="0000686B" w:rsidRPr="001D1155" w:rsidRDefault="0000686B" w:rsidP="00920324">
      <w:pPr>
        <w:pStyle w:val="ListParagraph"/>
        <w:spacing w:line="240" w:lineRule="auto"/>
        <w:ind w:left="0"/>
        <w:contextualSpacing w:val="0"/>
        <w:rPr>
          <w:rFonts w:ascii="Calibri" w:eastAsia="Calibri" w:hAnsi="Calibri"/>
          <w:b/>
        </w:rPr>
      </w:pPr>
      <w:r w:rsidRPr="001D1155">
        <w:rPr>
          <w:rFonts w:ascii="Calibri" w:eastAsia="Calibri" w:hAnsi="Calibri"/>
        </w:rPr>
        <w:t xml:space="preserve">The full systematic literature review prepared by the </w:t>
      </w:r>
      <w:r w:rsidRPr="001D1155">
        <w:rPr>
          <w:rFonts w:asciiTheme="minorHAnsi" w:hAnsiTheme="minorHAnsi"/>
        </w:rPr>
        <w:t>Centre for Population Health Research (CPHR), Deakin University</w:t>
      </w:r>
      <w:r w:rsidRPr="001D1155">
        <w:rPr>
          <w:rFonts w:ascii="Calibri" w:eastAsia="Calibri" w:hAnsi="Calibri"/>
        </w:rPr>
        <w:t xml:space="preserve">, is provided at </w:t>
      </w:r>
      <w:r>
        <w:rPr>
          <w:rFonts w:ascii="Calibri" w:eastAsia="Calibri" w:hAnsi="Calibri"/>
          <w:b/>
        </w:rPr>
        <w:t>Appendix I</w:t>
      </w:r>
      <w:r w:rsidRPr="001D1155">
        <w:rPr>
          <w:rFonts w:ascii="Calibri" w:eastAsia="Calibri" w:hAnsi="Calibri"/>
          <w:b/>
        </w:rPr>
        <w:t>.</w:t>
      </w:r>
    </w:p>
    <w:p w:rsidR="0000686B" w:rsidRPr="00D539ED" w:rsidRDefault="003848A8" w:rsidP="005A2287">
      <w:pPr>
        <w:pStyle w:val="Heading3"/>
        <w:jc w:val="left"/>
      </w:pPr>
      <w:bookmarkStart w:id="83" w:name="_Toc482176971"/>
      <w:r>
        <w:t>3.</w:t>
      </w:r>
      <w:r w:rsidR="0000686B" w:rsidRPr="00D539ED">
        <w:t>2.1</w:t>
      </w:r>
      <w:r w:rsidR="0000686B" w:rsidRPr="00D539ED">
        <w:tab/>
        <w:t>Summary of the PBAC consideration and listing history</w:t>
      </w:r>
      <w:bookmarkEnd w:id="83"/>
      <w:r w:rsidR="0000686B" w:rsidRPr="00D539ED">
        <w:t xml:space="preserve"> </w:t>
      </w:r>
    </w:p>
    <w:p w:rsidR="0000686B" w:rsidRDefault="0000686B" w:rsidP="00920324">
      <w:pPr>
        <w:spacing w:line="240" w:lineRule="auto"/>
        <w:rPr>
          <w:rFonts w:asciiTheme="minorHAnsi" w:hAnsiTheme="minorHAnsi"/>
        </w:rPr>
      </w:pPr>
      <w:r>
        <w:rPr>
          <w:rFonts w:asciiTheme="minorHAnsi" w:hAnsiTheme="minorHAnsi"/>
        </w:rPr>
        <w:t xml:space="preserve">A Review of the PBS listing history of ezetimibe and ezetimibe/statin combination products is presented in </w:t>
      </w:r>
      <w:r w:rsidRPr="007F2906">
        <w:rPr>
          <w:rFonts w:asciiTheme="minorHAnsi" w:hAnsiTheme="minorHAnsi"/>
        </w:rPr>
        <w:t xml:space="preserve">the </w:t>
      </w:r>
      <w:r>
        <w:rPr>
          <w:rFonts w:asciiTheme="minorHAnsi" w:hAnsiTheme="minorHAnsi"/>
        </w:rPr>
        <w:t xml:space="preserve">Systematic Literature Review </w:t>
      </w:r>
      <w:r w:rsidRPr="007F2906">
        <w:rPr>
          <w:rFonts w:asciiTheme="minorHAnsi" w:hAnsiTheme="minorHAnsi"/>
        </w:rPr>
        <w:t>(</w:t>
      </w:r>
      <w:r>
        <w:rPr>
          <w:rFonts w:asciiTheme="minorHAnsi" w:hAnsiTheme="minorHAnsi"/>
          <w:b/>
        </w:rPr>
        <w:t>Appendix I</w:t>
      </w:r>
      <w:r w:rsidRPr="007F2906">
        <w:rPr>
          <w:rFonts w:asciiTheme="minorHAnsi" w:hAnsiTheme="minorHAnsi"/>
        </w:rPr>
        <w:t>).</w:t>
      </w:r>
    </w:p>
    <w:p w:rsidR="0000686B" w:rsidRPr="00D539ED" w:rsidRDefault="003848A8" w:rsidP="005A2287">
      <w:pPr>
        <w:pStyle w:val="Heading3"/>
        <w:jc w:val="left"/>
      </w:pPr>
      <w:bookmarkStart w:id="84" w:name="_Toc482176972"/>
      <w:r>
        <w:t>3.</w:t>
      </w:r>
      <w:r w:rsidR="0000686B" w:rsidRPr="00D539ED">
        <w:t>2.2</w:t>
      </w:r>
      <w:r w:rsidR="0000686B" w:rsidRPr="00D539ED">
        <w:tab/>
        <w:t>Systematic literature review</w:t>
      </w:r>
      <w:bookmarkEnd w:id="84"/>
    </w:p>
    <w:p w:rsidR="0000686B" w:rsidRPr="00AE4232" w:rsidRDefault="0000686B" w:rsidP="00920324">
      <w:pPr>
        <w:spacing w:line="240" w:lineRule="auto"/>
        <w:rPr>
          <w:rFonts w:asciiTheme="minorHAnsi" w:hAnsiTheme="minorHAnsi"/>
        </w:rPr>
      </w:pPr>
      <w:r>
        <w:rPr>
          <w:rFonts w:asciiTheme="minorHAnsi" w:hAnsiTheme="minorHAnsi"/>
        </w:rPr>
        <w:t>The</w:t>
      </w:r>
      <w:r w:rsidRPr="00AE4232">
        <w:rPr>
          <w:rFonts w:asciiTheme="minorHAnsi" w:hAnsiTheme="minorHAnsi"/>
        </w:rPr>
        <w:t xml:space="preserve"> liter</w:t>
      </w:r>
      <w:r>
        <w:rPr>
          <w:rFonts w:asciiTheme="minorHAnsi" w:hAnsiTheme="minorHAnsi"/>
        </w:rPr>
        <w:t>ature search identified all randomised controlled</w:t>
      </w:r>
      <w:r w:rsidRPr="00AE4232">
        <w:rPr>
          <w:rFonts w:asciiTheme="minorHAnsi" w:hAnsiTheme="minorHAnsi"/>
        </w:rPr>
        <w:t xml:space="preserve"> </w:t>
      </w:r>
      <w:r>
        <w:rPr>
          <w:rFonts w:asciiTheme="minorHAnsi" w:hAnsiTheme="minorHAnsi"/>
        </w:rPr>
        <w:t>trials (RCTs) or meta-analyses</w:t>
      </w:r>
      <w:r w:rsidRPr="00AE4232">
        <w:rPr>
          <w:rFonts w:asciiTheme="minorHAnsi" w:hAnsiTheme="minorHAnsi"/>
        </w:rPr>
        <w:t xml:space="preserve"> that evaluated the effect of ezetimibe as monotherapy </w:t>
      </w:r>
      <w:r>
        <w:rPr>
          <w:rFonts w:asciiTheme="minorHAnsi" w:hAnsiTheme="minorHAnsi"/>
        </w:rPr>
        <w:t xml:space="preserve">or in combination with a statin. </w:t>
      </w:r>
    </w:p>
    <w:p w:rsidR="0000686B" w:rsidRDefault="0000686B">
      <w:pPr>
        <w:spacing w:line="240" w:lineRule="auto"/>
        <w:rPr>
          <w:rFonts w:asciiTheme="minorHAnsi" w:hAnsiTheme="minorHAnsi"/>
        </w:rPr>
      </w:pPr>
      <w:r w:rsidRPr="008C041A">
        <w:rPr>
          <w:rFonts w:asciiTheme="minorHAnsi" w:hAnsiTheme="minorHAnsi"/>
        </w:rPr>
        <w:t>The major databases including MEDLINE, EMBASE, and Cochrane databases were searched to identify peer-reviewed publications relat</w:t>
      </w:r>
      <w:r>
        <w:rPr>
          <w:rFonts w:asciiTheme="minorHAnsi" w:hAnsiTheme="minorHAnsi"/>
        </w:rPr>
        <w:t>ing</w:t>
      </w:r>
      <w:r w:rsidRPr="008C041A">
        <w:rPr>
          <w:rFonts w:asciiTheme="minorHAnsi" w:hAnsiTheme="minorHAnsi"/>
        </w:rPr>
        <w:t xml:space="preserve"> to ezetimibe in treating adult patients with familial or non-familial hypercholesterolemia. </w:t>
      </w:r>
      <w:r>
        <w:rPr>
          <w:rFonts w:asciiTheme="minorHAnsi" w:hAnsiTheme="minorHAnsi"/>
        </w:rPr>
        <w:t>R</w:t>
      </w:r>
      <w:r w:rsidRPr="008C041A">
        <w:rPr>
          <w:rFonts w:asciiTheme="minorHAnsi" w:hAnsiTheme="minorHAnsi"/>
        </w:rPr>
        <w:t xml:space="preserve">egistries of </w:t>
      </w:r>
      <w:r>
        <w:rPr>
          <w:rFonts w:asciiTheme="minorHAnsi" w:hAnsiTheme="minorHAnsi"/>
        </w:rPr>
        <w:t>RCTs,</w:t>
      </w:r>
      <w:r w:rsidRPr="008C041A">
        <w:rPr>
          <w:rFonts w:asciiTheme="minorHAnsi" w:hAnsiTheme="minorHAnsi"/>
        </w:rPr>
        <w:t xml:space="preserve"> sponsors</w:t>
      </w:r>
      <w:r>
        <w:rPr>
          <w:rFonts w:asciiTheme="minorHAnsi" w:hAnsiTheme="minorHAnsi"/>
        </w:rPr>
        <w:t>’</w:t>
      </w:r>
      <w:r w:rsidRPr="008C041A">
        <w:rPr>
          <w:rFonts w:asciiTheme="minorHAnsi" w:hAnsiTheme="minorHAnsi"/>
        </w:rPr>
        <w:t xml:space="preserve"> PBAC submissions</w:t>
      </w:r>
      <w:r>
        <w:rPr>
          <w:rFonts w:asciiTheme="minorHAnsi" w:hAnsiTheme="minorHAnsi"/>
        </w:rPr>
        <w:t xml:space="preserve"> and PBAC</w:t>
      </w:r>
      <w:r w:rsidRPr="008C041A">
        <w:rPr>
          <w:rFonts w:asciiTheme="minorHAnsi" w:hAnsiTheme="minorHAnsi"/>
        </w:rPr>
        <w:t xml:space="preserve"> commentaries </w:t>
      </w:r>
      <w:r>
        <w:rPr>
          <w:rFonts w:asciiTheme="minorHAnsi" w:hAnsiTheme="minorHAnsi"/>
        </w:rPr>
        <w:t>were searched</w:t>
      </w:r>
      <w:r w:rsidRPr="008C041A">
        <w:rPr>
          <w:rFonts w:asciiTheme="minorHAnsi" w:hAnsiTheme="minorHAnsi"/>
        </w:rPr>
        <w:t xml:space="preserve">. </w:t>
      </w:r>
      <w:r>
        <w:rPr>
          <w:rFonts w:asciiTheme="minorHAnsi" w:hAnsiTheme="minorHAnsi"/>
        </w:rPr>
        <w:t>A m</w:t>
      </w:r>
      <w:r w:rsidRPr="008C041A">
        <w:rPr>
          <w:rFonts w:asciiTheme="minorHAnsi" w:hAnsiTheme="minorHAnsi"/>
        </w:rPr>
        <w:t xml:space="preserve">anual search of reference lists of all relevant publications was undertaken. The Clinical Trial Registry (https://clinicaltrials.gov/ct2/home) was accessed to identify any registered and completed phase III or IV clinical trials involving ezetimibe for treatment of hypercholesterolaemia. Selection criteria are </w:t>
      </w:r>
      <w:r>
        <w:rPr>
          <w:rFonts w:asciiTheme="minorHAnsi" w:hAnsiTheme="minorHAnsi"/>
        </w:rPr>
        <w:t>presented in the CPHR, Systematic Literature Review, Table 2.2.1, p9 (</w:t>
      </w:r>
      <w:r w:rsidRPr="00D468D6">
        <w:rPr>
          <w:rFonts w:asciiTheme="minorHAnsi" w:hAnsiTheme="minorHAnsi"/>
          <w:b/>
        </w:rPr>
        <w:t>A</w:t>
      </w:r>
      <w:r>
        <w:rPr>
          <w:rFonts w:asciiTheme="minorHAnsi" w:hAnsiTheme="minorHAnsi"/>
          <w:b/>
        </w:rPr>
        <w:t>ppendix I</w:t>
      </w:r>
      <w:r>
        <w:rPr>
          <w:rFonts w:asciiTheme="minorHAnsi" w:hAnsiTheme="minorHAnsi"/>
        </w:rPr>
        <w:t>).</w:t>
      </w:r>
    </w:p>
    <w:p w:rsidR="0000686B" w:rsidRDefault="0000686B">
      <w:pPr>
        <w:spacing w:line="240" w:lineRule="auto"/>
        <w:rPr>
          <w:rFonts w:asciiTheme="minorHAnsi" w:hAnsiTheme="minorHAnsi"/>
        </w:rPr>
      </w:pPr>
      <w:r>
        <w:rPr>
          <w:rFonts w:asciiTheme="minorHAnsi" w:hAnsiTheme="minorHAnsi"/>
        </w:rPr>
        <w:t>The search identified 14 publications presenting results of 11 systematic reviews and 62 publications that provided results from 30 RCTs.</w:t>
      </w:r>
    </w:p>
    <w:p w:rsidR="0000686B" w:rsidRPr="00905C95" w:rsidRDefault="003848A8" w:rsidP="005A2287">
      <w:pPr>
        <w:pStyle w:val="Heading3"/>
        <w:jc w:val="left"/>
      </w:pPr>
      <w:bookmarkStart w:id="85" w:name="_Toc482176973"/>
      <w:r>
        <w:t>3.</w:t>
      </w:r>
      <w:r w:rsidR="0000686B" w:rsidRPr="00905C95">
        <w:t>2.3</w:t>
      </w:r>
      <w:r w:rsidR="0000686B" w:rsidRPr="00905C95">
        <w:tab/>
        <w:t>Recently published literature</w:t>
      </w:r>
      <w:bookmarkEnd w:id="85"/>
    </w:p>
    <w:p w:rsidR="0000686B" w:rsidRDefault="0000686B" w:rsidP="00920324">
      <w:pPr>
        <w:spacing w:line="240" w:lineRule="auto"/>
        <w:rPr>
          <w:rFonts w:asciiTheme="minorHAnsi" w:hAnsiTheme="minorHAnsi"/>
        </w:rPr>
      </w:pPr>
      <w:r w:rsidRPr="007A1B61">
        <w:rPr>
          <w:rFonts w:asciiTheme="minorHAnsi" w:hAnsiTheme="minorHAnsi"/>
        </w:rPr>
        <w:t xml:space="preserve">In addition to the </w:t>
      </w:r>
      <w:r>
        <w:rPr>
          <w:rFonts w:asciiTheme="minorHAnsi" w:hAnsiTheme="minorHAnsi"/>
        </w:rPr>
        <w:t>published evidence in the CPHR</w:t>
      </w:r>
      <w:r w:rsidR="00BA106C">
        <w:rPr>
          <w:rFonts w:asciiTheme="minorHAnsi" w:hAnsiTheme="minorHAnsi"/>
        </w:rPr>
        <w:t xml:space="preserve"> </w:t>
      </w:r>
      <w:r>
        <w:rPr>
          <w:rFonts w:asciiTheme="minorHAnsi" w:hAnsiTheme="minorHAnsi"/>
        </w:rPr>
        <w:t>literature review, the R</w:t>
      </w:r>
      <w:r w:rsidRPr="007A1B61">
        <w:rPr>
          <w:rFonts w:asciiTheme="minorHAnsi" w:hAnsiTheme="minorHAnsi"/>
        </w:rPr>
        <w:t>eference Group considered recently published literature</w:t>
      </w:r>
      <w:r w:rsidR="00F21D61">
        <w:rPr>
          <w:rStyle w:val="EndnoteReference"/>
          <w:rFonts w:asciiTheme="minorHAnsi" w:hAnsiTheme="minorHAnsi"/>
        </w:rPr>
        <w:endnoteReference w:id="52"/>
      </w:r>
      <w:r w:rsidR="00F21D61">
        <w:rPr>
          <w:rStyle w:val="EndnoteReference"/>
          <w:rFonts w:asciiTheme="minorHAnsi" w:hAnsiTheme="minorHAnsi"/>
        </w:rPr>
        <w:endnoteReference w:id="53"/>
      </w:r>
      <w:r w:rsidR="00F21D61">
        <w:rPr>
          <w:rStyle w:val="EndnoteReference"/>
          <w:rFonts w:asciiTheme="minorHAnsi" w:hAnsiTheme="minorHAnsi"/>
        </w:rPr>
        <w:endnoteReference w:id="54"/>
      </w:r>
      <w:r w:rsidR="00F21D61">
        <w:rPr>
          <w:rStyle w:val="EndnoteReference"/>
          <w:rFonts w:asciiTheme="minorHAnsi" w:hAnsiTheme="minorHAnsi"/>
        </w:rPr>
        <w:endnoteReference w:id="55"/>
      </w:r>
      <w:r w:rsidR="00F21D61">
        <w:rPr>
          <w:rFonts w:asciiTheme="minorHAnsi" w:hAnsiTheme="minorHAnsi"/>
        </w:rPr>
        <w:t xml:space="preserve"> </w:t>
      </w:r>
      <w:r w:rsidR="00F01861" w:rsidRPr="007A1B61">
        <w:rPr>
          <w:rFonts w:asciiTheme="minorHAnsi" w:hAnsiTheme="minorHAnsi"/>
        </w:rPr>
        <w:t>t</w:t>
      </w:r>
      <w:r w:rsidRPr="007A1B61">
        <w:rPr>
          <w:rFonts w:asciiTheme="minorHAnsi" w:hAnsiTheme="minorHAnsi"/>
        </w:rPr>
        <w:t>o inform the response to T</w:t>
      </w:r>
      <w:r>
        <w:rPr>
          <w:rFonts w:asciiTheme="minorHAnsi" w:hAnsiTheme="minorHAnsi"/>
        </w:rPr>
        <w:t xml:space="preserve">erm </w:t>
      </w:r>
      <w:r w:rsidRPr="007A1B61">
        <w:rPr>
          <w:rFonts w:asciiTheme="minorHAnsi" w:hAnsiTheme="minorHAnsi"/>
        </w:rPr>
        <w:t>o</w:t>
      </w:r>
      <w:r>
        <w:rPr>
          <w:rFonts w:asciiTheme="minorHAnsi" w:hAnsiTheme="minorHAnsi"/>
        </w:rPr>
        <w:t xml:space="preserve">f </w:t>
      </w:r>
      <w:r w:rsidRPr="007A1B61">
        <w:rPr>
          <w:rFonts w:asciiTheme="minorHAnsi" w:hAnsiTheme="minorHAnsi"/>
        </w:rPr>
        <w:t>R</w:t>
      </w:r>
      <w:r>
        <w:rPr>
          <w:rFonts w:asciiTheme="minorHAnsi" w:hAnsiTheme="minorHAnsi"/>
        </w:rPr>
        <w:t>eference</w:t>
      </w:r>
      <w:r w:rsidRPr="007A1B61">
        <w:rPr>
          <w:rFonts w:asciiTheme="minorHAnsi" w:hAnsiTheme="minorHAnsi"/>
        </w:rPr>
        <w:t xml:space="preserve"> 3</w:t>
      </w:r>
      <w:r>
        <w:rPr>
          <w:rFonts w:asciiTheme="minorHAnsi" w:hAnsiTheme="minorHAnsi"/>
        </w:rPr>
        <w:t xml:space="preserve">. In particular, the Reference Group sought information on the </w:t>
      </w:r>
      <w:r>
        <w:rPr>
          <w:rFonts w:asciiTheme="minorHAnsi" w:hAnsiTheme="minorHAnsi"/>
        </w:rPr>
        <w:lastRenderedPageBreak/>
        <w:t>costs and uncertainties around the benefits of adding non-statin LLTs to statin therapy, the ordering of LLT and the cost</w:t>
      </w:r>
      <w:r w:rsidR="00216B38">
        <w:rPr>
          <w:rFonts w:asciiTheme="minorHAnsi" w:hAnsiTheme="minorHAnsi"/>
        </w:rPr>
        <w:t>-</w:t>
      </w:r>
      <w:r>
        <w:rPr>
          <w:rFonts w:asciiTheme="minorHAnsi" w:hAnsiTheme="minorHAnsi"/>
        </w:rPr>
        <w:t xml:space="preserve">effectiveness of a more aggressive approach in lowering baseline LDL-C </w:t>
      </w:r>
      <w:r w:rsidRPr="00484B00">
        <w:rPr>
          <w:rFonts w:asciiTheme="minorHAnsi" w:hAnsiTheme="minorHAnsi"/>
          <w:highlight w:val="yellow"/>
        </w:rPr>
        <w:t>concentrations.</w:t>
      </w:r>
    </w:p>
    <w:p w:rsidR="0000686B" w:rsidRPr="005936F5" w:rsidRDefault="0000686B">
      <w:pPr>
        <w:spacing w:line="240" w:lineRule="auto"/>
        <w:rPr>
          <w:rFonts w:asciiTheme="minorHAnsi" w:hAnsiTheme="minorHAnsi"/>
          <w:highlight w:val="yellow"/>
        </w:rPr>
      </w:pPr>
      <w:r w:rsidRPr="005936F5">
        <w:rPr>
          <w:rFonts w:asciiTheme="minorHAnsi" w:hAnsiTheme="minorHAnsi"/>
          <w:szCs w:val="24"/>
          <w:highlight w:val="yellow"/>
        </w:rPr>
        <w:t xml:space="preserve">The Reference Group </w:t>
      </w:r>
      <w:r w:rsidR="005B045E" w:rsidRPr="005936F5">
        <w:rPr>
          <w:rFonts w:asciiTheme="minorHAnsi" w:hAnsiTheme="minorHAnsi"/>
          <w:szCs w:val="24"/>
          <w:highlight w:val="yellow"/>
        </w:rPr>
        <w:t xml:space="preserve">noted </w:t>
      </w:r>
      <w:r w:rsidRPr="005936F5">
        <w:rPr>
          <w:rFonts w:asciiTheme="minorHAnsi" w:hAnsiTheme="minorHAnsi"/>
          <w:szCs w:val="24"/>
          <w:highlight w:val="yellow"/>
        </w:rPr>
        <w:t>a recently published study (Bohula et al)</w:t>
      </w:r>
      <w:r w:rsidR="00F21D61">
        <w:rPr>
          <w:rStyle w:val="EndnoteReference"/>
          <w:rFonts w:asciiTheme="minorHAnsi" w:hAnsiTheme="minorHAnsi"/>
          <w:szCs w:val="24"/>
          <w:highlight w:val="yellow"/>
        </w:rPr>
        <w:endnoteReference w:id="56"/>
      </w:r>
      <w:r w:rsidR="00F21D61" w:rsidRPr="005936F5">
        <w:rPr>
          <w:rFonts w:asciiTheme="minorHAnsi" w:hAnsiTheme="minorHAnsi"/>
          <w:szCs w:val="24"/>
          <w:highlight w:val="yellow"/>
        </w:rPr>
        <w:t>,</w:t>
      </w:r>
      <w:r w:rsidR="00D562EB" w:rsidRPr="005936F5">
        <w:rPr>
          <w:rFonts w:asciiTheme="minorHAnsi" w:hAnsiTheme="minorHAnsi"/>
          <w:szCs w:val="24"/>
          <w:highlight w:val="yellow"/>
        </w:rPr>
        <w:t xml:space="preserve"> which was an </w:t>
      </w:r>
      <w:r w:rsidR="00D562EB" w:rsidRPr="005936F5">
        <w:rPr>
          <w:rFonts w:asciiTheme="minorHAnsi" w:hAnsiTheme="minorHAnsi"/>
          <w:highlight w:val="yellow"/>
        </w:rPr>
        <w:t>analysis of the IMPROVE-IT trial.</w:t>
      </w:r>
      <w:r w:rsidRPr="005936F5">
        <w:rPr>
          <w:rFonts w:asciiTheme="minorHAnsi" w:hAnsiTheme="minorHAnsi"/>
          <w:szCs w:val="24"/>
          <w:highlight w:val="yellow"/>
        </w:rPr>
        <w:t xml:space="preserve"> </w:t>
      </w:r>
      <w:r w:rsidRPr="005936F5">
        <w:rPr>
          <w:rFonts w:asciiTheme="minorHAnsi" w:hAnsiTheme="minorHAnsi"/>
          <w:highlight w:val="yellow"/>
        </w:rPr>
        <w:t>The study tested the hypothesis that atherothrombotic risk stratification may be useful to identify post acute coronary syndrome (ACS) patients who have the greatest potential for benefit from the addition of ezetimibe to statin therapy. The study used the TIMI (Thrombolysis In Myocardial Infarction) Risk Score for Secondary Prevention (TRS2ºP), a 9 point stratification tool previously developed in a large population with atherothrombosis to predict CV death, MI, and ischaemic stroke. The TRS2ºP risk indicators were congestive heart failure, hypertension, age 75 years or older, diabetes mellitus, prior stroke, prior coronary artery bypass graft, peripheral artery disease, estimated glomerular filtration rate less than 60 mL/min and smoking. The tool was applied prospectively to 17,700 (IMPROVE-IT) post ACS patients randomised to ezetimibe + simvastatin or simvastatin + placebo. Treatment efficacy was assessed by baseline risk for cardiovascular (CV) death/ myocardial infarction (MI) /ischaemic stroke, the IMPROVE-IT composite endpoints and individual component endpoints at 7 years.</w:t>
      </w:r>
    </w:p>
    <w:p w:rsidR="0000686B" w:rsidRPr="005936F5" w:rsidRDefault="0000686B">
      <w:pPr>
        <w:spacing w:after="0" w:line="240" w:lineRule="auto"/>
        <w:rPr>
          <w:rFonts w:asciiTheme="minorHAnsi" w:hAnsiTheme="minorHAnsi"/>
          <w:highlight w:val="yellow"/>
        </w:rPr>
      </w:pPr>
      <w:r w:rsidRPr="005936F5">
        <w:rPr>
          <w:rFonts w:asciiTheme="minorHAnsi" w:hAnsiTheme="minorHAnsi"/>
          <w:highlight w:val="yellow"/>
        </w:rPr>
        <w:t xml:space="preserve">All 9 clinical variables in the TRS2ºP were independent risk indicators for CV death/MI/ischaemic stroke. The integer based scheme showed a strong graded relationship with the rate of CV death/MI/ischaemic stroke, the trial composite endpoints and the individual components. The paper concluded atherothrombotic risk stratification using the TRS2ºP identifies high risk patients who derive greatest benefit from the addition of ezetimibe to statin therapy for secondary prevention following ACS. High risk patients (those with 3 or more risk indicators) had an absolute risk reduction of 6.3%, (95% CI: 2.9%-9.7%). Intermediate risk patients (2 risk indicators) had a 2.2% absolute risk reduction, whilst low risk patients (nil to 1 risk factor) showed no benefit from the addition of ezetimibe. </w:t>
      </w:r>
    </w:p>
    <w:p w:rsidR="0000686B" w:rsidRPr="005936F5" w:rsidRDefault="0000686B" w:rsidP="005A2287">
      <w:pPr>
        <w:spacing w:line="240" w:lineRule="auto"/>
        <w:rPr>
          <w:rFonts w:asciiTheme="minorHAnsi" w:hAnsiTheme="minorHAnsi"/>
          <w:highlight w:val="yellow"/>
        </w:rPr>
      </w:pPr>
    </w:p>
    <w:p w:rsidR="0000686B" w:rsidRPr="005936F5" w:rsidRDefault="0000686B" w:rsidP="00920324">
      <w:pPr>
        <w:spacing w:after="0" w:line="240" w:lineRule="auto"/>
        <w:rPr>
          <w:rFonts w:asciiTheme="minorHAnsi" w:hAnsiTheme="minorHAnsi"/>
        </w:rPr>
      </w:pPr>
      <w:r w:rsidRPr="005936F5">
        <w:rPr>
          <w:rFonts w:asciiTheme="minorHAnsi" w:hAnsiTheme="minorHAnsi"/>
          <w:highlight w:val="yellow"/>
        </w:rPr>
        <w:t>Th</w:t>
      </w:r>
      <w:r w:rsidR="000D7BE3">
        <w:rPr>
          <w:rFonts w:asciiTheme="minorHAnsi" w:hAnsiTheme="minorHAnsi"/>
          <w:highlight w:val="yellow"/>
        </w:rPr>
        <w:t xml:space="preserve">is observation, together with the fact that </w:t>
      </w:r>
      <w:r w:rsidR="0097121A" w:rsidRPr="005936F5">
        <w:rPr>
          <w:rFonts w:asciiTheme="minorHAnsi" w:hAnsiTheme="minorHAnsi"/>
          <w:highlight w:val="yellow"/>
        </w:rPr>
        <w:t xml:space="preserve">IMPROVE-IT </w:t>
      </w:r>
      <w:r w:rsidR="000D7BE3">
        <w:rPr>
          <w:rFonts w:asciiTheme="minorHAnsi" w:hAnsiTheme="minorHAnsi"/>
          <w:highlight w:val="yellow"/>
        </w:rPr>
        <w:t xml:space="preserve">is </w:t>
      </w:r>
      <w:r w:rsidR="0097121A" w:rsidRPr="005936F5">
        <w:rPr>
          <w:rFonts w:asciiTheme="minorHAnsi" w:hAnsiTheme="minorHAnsi"/>
          <w:highlight w:val="yellow"/>
        </w:rPr>
        <w:t xml:space="preserve">the </w:t>
      </w:r>
      <w:r w:rsidR="009A136F" w:rsidRPr="005936F5">
        <w:rPr>
          <w:rFonts w:asciiTheme="minorHAnsi" w:hAnsiTheme="minorHAnsi"/>
          <w:highlight w:val="yellow"/>
        </w:rPr>
        <w:t xml:space="preserve">only clinical trial </w:t>
      </w:r>
      <w:r w:rsidRPr="005936F5">
        <w:rPr>
          <w:rFonts w:asciiTheme="minorHAnsi" w:hAnsiTheme="minorHAnsi"/>
          <w:highlight w:val="yellow"/>
        </w:rPr>
        <w:t>showing patient relevant outcomes</w:t>
      </w:r>
      <w:r w:rsidR="00E25060" w:rsidRPr="005936F5">
        <w:rPr>
          <w:rFonts w:asciiTheme="minorHAnsi" w:hAnsiTheme="minorHAnsi"/>
          <w:highlight w:val="yellow"/>
        </w:rPr>
        <w:t xml:space="preserve"> (however </w:t>
      </w:r>
      <w:r w:rsidRPr="005936F5">
        <w:rPr>
          <w:rFonts w:asciiTheme="minorHAnsi" w:hAnsiTheme="minorHAnsi"/>
          <w:highlight w:val="yellow"/>
        </w:rPr>
        <w:t>no mortality benefit</w:t>
      </w:r>
      <w:r w:rsidR="00E25060" w:rsidRPr="005936F5">
        <w:rPr>
          <w:rFonts w:asciiTheme="minorHAnsi" w:hAnsiTheme="minorHAnsi"/>
          <w:highlight w:val="yellow"/>
        </w:rPr>
        <w:t>)</w:t>
      </w:r>
      <w:r w:rsidR="00254A75" w:rsidRPr="005936F5">
        <w:rPr>
          <w:rFonts w:asciiTheme="minorHAnsi" w:hAnsiTheme="minorHAnsi"/>
          <w:highlight w:val="yellow"/>
        </w:rPr>
        <w:t xml:space="preserve">, </w:t>
      </w:r>
      <w:r w:rsidR="006A1EC2">
        <w:rPr>
          <w:rFonts w:asciiTheme="minorHAnsi" w:hAnsiTheme="minorHAnsi"/>
          <w:highlight w:val="yellow"/>
        </w:rPr>
        <w:t xml:space="preserve">that </w:t>
      </w:r>
      <w:r w:rsidR="00254A75" w:rsidRPr="005936F5">
        <w:rPr>
          <w:rFonts w:asciiTheme="minorHAnsi" w:hAnsiTheme="minorHAnsi"/>
          <w:highlight w:val="yellow"/>
        </w:rPr>
        <w:t xml:space="preserve">clinical guidelines </w:t>
      </w:r>
      <w:r w:rsidR="000D7BE3">
        <w:rPr>
          <w:rFonts w:asciiTheme="minorHAnsi" w:hAnsiTheme="minorHAnsi"/>
          <w:highlight w:val="yellow"/>
        </w:rPr>
        <w:t xml:space="preserve">continue to </w:t>
      </w:r>
      <w:r w:rsidR="00254A75" w:rsidRPr="005936F5">
        <w:rPr>
          <w:rFonts w:asciiTheme="minorHAnsi" w:hAnsiTheme="minorHAnsi"/>
          <w:highlight w:val="yellow"/>
        </w:rPr>
        <w:t>plac</w:t>
      </w:r>
      <w:r w:rsidR="000D7BE3">
        <w:rPr>
          <w:rFonts w:asciiTheme="minorHAnsi" w:hAnsiTheme="minorHAnsi"/>
          <w:highlight w:val="yellow"/>
        </w:rPr>
        <w:t>e</w:t>
      </w:r>
      <w:r w:rsidR="00254A75" w:rsidRPr="005936F5">
        <w:rPr>
          <w:rFonts w:asciiTheme="minorHAnsi" w:hAnsiTheme="minorHAnsi"/>
          <w:highlight w:val="yellow"/>
        </w:rPr>
        <w:t xml:space="preserve"> ezetimibe second line</w:t>
      </w:r>
      <w:r w:rsidRPr="005936F5">
        <w:rPr>
          <w:rFonts w:asciiTheme="minorHAnsi" w:hAnsiTheme="minorHAnsi"/>
          <w:highlight w:val="yellow"/>
        </w:rPr>
        <w:t xml:space="preserve"> and</w:t>
      </w:r>
      <w:r w:rsidR="000D7BE3">
        <w:rPr>
          <w:rFonts w:asciiTheme="minorHAnsi" w:hAnsiTheme="minorHAnsi"/>
          <w:highlight w:val="yellow"/>
        </w:rPr>
        <w:t xml:space="preserve"> that </w:t>
      </w:r>
      <w:r w:rsidRPr="005936F5">
        <w:rPr>
          <w:rFonts w:asciiTheme="minorHAnsi" w:hAnsiTheme="minorHAnsi"/>
          <w:highlight w:val="yellow"/>
        </w:rPr>
        <w:t>ezetimibe lower</w:t>
      </w:r>
      <w:r w:rsidR="000D7BE3">
        <w:rPr>
          <w:rFonts w:asciiTheme="minorHAnsi" w:hAnsiTheme="minorHAnsi"/>
          <w:highlight w:val="yellow"/>
        </w:rPr>
        <w:t>s</w:t>
      </w:r>
      <w:r w:rsidR="00E25060" w:rsidRPr="005936F5">
        <w:rPr>
          <w:rFonts w:asciiTheme="minorHAnsi" w:hAnsiTheme="minorHAnsi"/>
          <w:highlight w:val="yellow"/>
        </w:rPr>
        <w:t xml:space="preserve"> </w:t>
      </w:r>
      <w:r w:rsidRPr="005936F5">
        <w:rPr>
          <w:rFonts w:asciiTheme="minorHAnsi" w:hAnsiTheme="minorHAnsi"/>
          <w:highlight w:val="yellow"/>
        </w:rPr>
        <w:t xml:space="preserve">LDL-C </w:t>
      </w:r>
      <w:r w:rsidR="0076247E" w:rsidRPr="0076247E">
        <w:rPr>
          <w:rFonts w:asciiTheme="minorHAnsi" w:eastAsia="Times New Roman" w:hAnsiTheme="minorHAnsi" w:cs="Arial"/>
          <w:color w:val="222222"/>
          <w:szCs w:val="24"/>
          <w:highlight w:val="yellow"/>
          <w:lang w:eastAsia="en-AU"/>
        </w:rPr>
        <w:t>concentrations</w:t>
      </w:r>
      <w:r w:rsidR="0076247E" w:rsidRPr="0076247E">
        <w:rPr>
          <w:rFonts w:asciiTheme="minorHAnsi" w:hAnsiTheme="minorHAnsi"/>
          <w:highlight w:val="yellow"/>
        </w:rPr>
        <w:t xml:space="preserve"> </w:t>
      </w:r>
      <w:r w:rsidRPr="0076247E">
        <w:rPr>
          <w:rFonts w:asciiTheme="minorHAnsi" w:hAnsiTheme="minorHAnsi"/>
          <w:highlight w:val="yellow"/>
        </w:rPr>
        <w:t xml:space="preserve">less than statins </w:t>
      </w:r>
      <w:r w:rsidR="006A1EC2" w:rsidRPr="0076247E">
        <w:rPr>
          <w:rFonts w:asciiTheme="minorHAnsi" w:hAnsiTheme="minorHAnsi"/>
          <w:highlight w:val="yellow"/>
        </w:rPr>
        <w:t xml:space="preserve">all </w:t>
      </w:r>
      <w:r w:rsidRPr="0076247E">
        <w:rPr>
          <w:rFonts w:asciiTheme="minorHAnsi" w:hAnsiTheme="minorHAnsi"/>
          <w:highlight w:val="yellow"/>
        </w:rPr>
        <w:t xml:space="preserve">underline the importance of restricting use of </w:t>
      </w:r>
      <w:r w:rsidRPr="005936F5">
        <w:rPr>
          <w:rFonts w:asciiTheme="minorHAnsi" w:hAnsiTheme="minorHAnsi"/>
          <w:highlight w:val="yellow"/>
        </w:rPr>
        <w:t>ezetimibe to second line</w:t>
      </w:r>
      <w:r w:rsidR="00E25060" w:rsidRPr="005936F5">
        <w:rPr>
          <w:rFonts w:asciiTheme="minorHAnsi" w:hAnsiTheme="minorHAnsi"/>
          <w:highlight w:val="yellow"/>
        </w:rPr>
        <w:t xml:space="preserve"> therapy</w:t>
      </w:r>
      <w:r w:rsidRPr="005936F5">
        <w:rPr>
          <w:rFonts w:asciiTheme="minorHAnsi" w:hAnsiTheme="minorHAnsi"/>
          <w:highlight w:val="yellow"/>
        </w:rPr>
        <w:t xml:space="preserve"> following optimal use of statins in those patients with very high risk</w:t>
      </w:r>
      <w:r w:rsidR="000D7BE3">
        <w:rPr>
          <w:rFonts w:asciiTheme="minorHAnsi" w:hAnsiTheme="minorHAnsi"/>
          <w:highlight w:val="yellow"/>
        </w:rPr>
        <w:t>.</w:t>
      </w:r>
    </w:p>
    <w:p w:rsidR="0000686B" w:rsidRPr="00905C95" w:rsidRDefault="003848A8" w:rsidP="005A2287">
      <w:pPr>
        <w:pStyle w:val="Heading3"/>
        <w:jc w:val="left"/>
      </w:pPr>
      <w:bookmarkStart w:id="86" w:name="_Toc482176974"/>
      <w:r>
        <w:t>3.</w:t>
      </w:r>
      <w:r w:rsidR="0000686B" w:rsidRPr="00905C95">
        <w:t>2.4</w:t>
      </w:r>
      <w:r w:rsidR="0000686B" w:rsidRPr="00905C95">
        <w:tab/>
        <w:t>Clinical efficacy and safety of ezetimibe as monotherapy and in combination with a statin</w:t>
      </w:r>
      <w:bookmarkEnd w:id="86"/>
      <w:r w:rsidR="0000686B" w:rsidRPr="00905C95">
        <w:rPr>
          <w:color w:val="365F91" w:themeColor="accent1" w:themeShade="BF"/>
        </w:rPr>
        <w:t xml:space="preserve"> </w:t>
      </w:r>
    </w:p>
    <w:p w:rsidR="0000686B" w:rsidRDefault="0000686B" w:rsidP="00920324">
      <w:pPr>
        <w:pStyle w:val="ListParagraph"/>
        <w:spacing w:line="240" w:lineRule="auto"/>
        <w:ind w:left="0"/>
        <w:contextualSpacing w:val="0"/>
        <w:rPr>
          <w:rFonts w:asciiTheme="minorHAnsi" w:hAnsiTheme="minorHAnsi"/>
        </w:rPr>
      </w:pPr>
      <w:r w:rsidRPr="003D26F8">
        <w:rPr>
          <w:rFonts w:asciiTheme="minorHAnsi" w:hAnsiTheme="minorHAnsi"/>
        </w:rPr>
        <w:t xml:space="preserve">There were no identified published </w:t>
      </w:r>
      <w:r>
        <w:rPr>
          <w:rFonts w:asciiTheme="minorHAnsi" w:hAnsiTheme="minorHAnsi"/>
        </w:rPr>
        <w:t>meta-analyses</w:t>
      </w:r>
      <w:r w:rsidRPr="003D26F8">
        <w:rPr>
          <w:rFonts w:asciiTheme="minorHAnsi" w:hAnsiTheme="minorHAnsi"/>
        </w:rPr>
        <w:t xml:space="preserve"> of </w:t>
      </w:r>
      <w:r>
        <w:rPr>
          <w:rFonts w:asciiTheme="minorHAnsi" w:hAnsiTheme="minorHAnsi"/>
        </w:rPr>
        <w:t xml:space="preserve">reasonable quality </w:t>
      </w:r>
      <w:r w:rsidRPr="003D26F8">
        <w:rPr>
          <w:rFonts w:asciiTheme="minorHAnsi" w:hAnsiTheme="minorHAnsi"/>
        </w:rPr>
        <w:t>of ezetimibe</w:t>
      </w:r>
      <w:r>
        <w:rPr>
          <w:rFonts w:asciiTheme="minorHAnsi" w:hAnsiTheme="minorHAnsi"/>
        </w:rPr>
        <w:t>, either as monotherapy or</w:t>
      </w:r>
      <w:r w:rsidRPr="003D26F8">
        <w:rPr>
          <w:rFonts w:asciiTheme="minorHAnsi" w:hAnsiTheme="minorHAnsi"/>
        </w:rPr>
        <w:t xml:space="preserve"> </w:t>
      </w:r>
      <w:r>
        <w:rPr>
          <w:rFonts w:asciiTheme="minorHAnsi" w:hAnsiTheme="minorHAnsi"/>
        </w:rPr>
        <w:t xml:space="preserve">added </w:t>
      </w:r>
      <w:r w:rsidRPr="003D26F8">
        <w:rPr>
          <w:rFonts w:asciiTheme="minorHAnsi" w:hAnsiTheme="minorHAnsi"/>
        </w:rPr>
        <w:t>to the maximum tolerated dose of statin</w:t>
      </w:r>
      <w:r>
        <w:rPr>
          <w:rFonts w:asciiTheme="minorHAnsi" w:hAnsiTheme="minorHAnsi"/>
        </w:rPr>
        <w:t>, that</w:t>
      </w:r>
      <w:r w:rsidRPr="003D26F8">
        <w:rPr>
          <w:rFonts w:asciiTheme="minorHAnsi" w:hAnsiTheme="minorHAnsi"/>
        </w:rPr>
        <w:t xml:space="preserve"> </w:t>
      </w:r>
      <w:r>
        <w:rPr>
          <w:rFonts w:asciiTheme="minorHAnsi" w:hAnsiTheme="minorHAnsi"/>
        </w:rPr>
        <w:t xml:space="preserve">showed that the addition of ezetimibe is associated with improved patient relevant outcomes of mortality, acute coronary events and revascularisation procedures. </w:t>
      </w:r>
      <w:r w:rsidRPr="003D26F8">
        <w:rPr>
          <w:rFonts w:asciiTheme="minorHAnsi" w:hAnsiTheme="minorHAnsi"/>
        </w:rPr>
        <w:t xml:space="preserve"> </w:t>
      </w:r>
    </w:p>
    <w:p w:rsidR="0000686B" w:rsidRDefault="0000686B">
      <w:pPr>
        <w:pStyle w:val="ListParagraph"/>
        <w:spacing w:line="240" w:lineRule="auto"/>
        <w:ind w:left="0"/>
        <w:contextualSpacing w:val="0"/>
        <w:rPr>
          <w:rFonts w:asciiTheme="minorHAnsi" w:hAnsiTheme="minorHAnsi"/>
        </w:rPr>
      </w:pPr>
      <w:r>
        <w:rPr>
          <w:rFonts w:asciiTheme="minorHAnsi" w:hAnsiTheme="minorHAnsi"/>
        </w:rPr>
        <w:lastRenderedPageBreak/>
        <w:t xml:space="preserve">The two systematic reviews in populations with a high risk of cardiovascular disease, undertaken by the Agency for Healthcare Research and Quality in the USA, identified forty RCTs comparing ezetimibe co-administered with a statin to a more intense statin therapy. The intensity of statin was based on comparisons of the doses (Refer to </w:t>
      </w:r>
      <w:r w:rsidR="00CD63AA">
        <w:rPr>
          <w:rFonts w:asciiTheme="minorHAnsi" w:hAnsiTheme="minorHAnsi"/>
        </w:rPr>
        <w:t xml:space="preserve">Appendix </w:t>
      </w:r>
      <w:r w:rsidR="00E33C85">
        <w:rPr>
          <w:rFonts w:asciiTheme="minorHAnsi" w:hAnsiTheme="minorHAnsi"/>
        </w:rPr>
        <w:t>I</w:t>
      </w:r>
      <w:r w:rsidR="00CD63AA">
        <w:rPr>
          <w:rFonts w:asciiTheme="minorHAnsi" w:hAnsiTheme="minorHAnsi"/>
        </w:rPr>
        <w:t xml:space="preserve"> Literature Review</w:t>
      </w:r>
      <w:r w:rsidR="00F22E69">
        <w:rPr>
          <w:rFonts w:asciiTheme="minorHAnsi" w:hAnsiTheme="minorHAnsi"/>
        </w:rPr>
        <w:t xml:space="preserve"> </w:t>
      </w:r>
      <w:r>
        <w:rPr>
          <w:rFonts w:asciiTheme="minorHAnsi" w:hAnsiTheme="minorHAnsi"/>
        </w:rPr>
        <w:t xml:space="preserve">Table 2.2.3.2 </w:t>
      </w:r>
      <w:r w:rsidR="00CD63AA">
        <w:rPr>
          <w:rFonts w:asciiTheme="minorHAnsi" w:hAnsiTheme="minorHAnsi"/>
        </w:rPr>
        <w:t>p.20</w:t>
      </w:r>
      <w:r>
        <w:rPr>
          <w:rFonts w:asciiTheme="minorHAnsi" w:hAnsiTheme="minorHAnsi"/>
        </w:rPr>
        <w:t>). The authors</w:t>
      </w:r>
      <w:r w:rsidR="00CD63AA">
        <w:rPr>
          <w:rStyle w:val="EndnoteReference"/>
          <w:rFonts w:asciiTheme="minorHAnsi" w:hAnsiTheme="minorHAnsi"/>
        </w:rPr>
        <w:endnoteReference w:id="57"/>
      </w:r>
      <w:r>
        <w:rPr>
          <w:rFonts w:asciiTheme="minorHAnsi" w:hAnsiTheme="minorHAnsi"/>
        </w:rPr>
        <w:t xml:space="preserve"> found high levels of heterogeneity between the studies which limited the analysis. The percentage reduction in LDL-C was strongly influenced by the intensity of the statin dose combined with ezetimibe and in the comparator arm of the study. </w:t>
      </w:r>
    </w:p>
    <w:p w:rsidR="0000686B" w:rsidRDefault="0000686B">
      <w:pPr>
        <w:pStyle w:val="ListParagraph"/>
        <w:spacing w:line="240" w:lineRule="auto"/>
        <w:ind w:left="0"/>
        <w:contextualSpacing w:val="0"/>
        <w:rPr>
          <w:rFonts w:asciiTheme="minorHAnsi" w:hAnsiTheme="minorHAnsi"/>
        </w:rPr>
      </w:pPr>
      <w:r>
        <w:rPr>
          <w:rFonts w:asciiTheme="minorHAnsi" w:hAnsiTheme="minorHAnsi"/>
        </w:rPr>
        <w:t>When the study population was limited to people with pre-existing cardiovascular disease (secondary prevention population), the addition of ezetimibe to a mid-intensity statin provided participants with a 5-15% greater reduction in LDL-C than a high potency statin in the majority of studies. It was not possible to combine the results of the studies due to heterogeneity.</w:t>
      </w:r>
    </w:p>
    <w:p w:rsidR="0000686B" w:rsidRDefault="0000686B">
      <w:pPr>
        <w:pStyle w:val="ListParagraph"/>
        <w:spacing w:line="240" w:lineRule="auto"/>
        <w:ind w:left="0"/>
        <w:contextualSpacing w:val="0"/>
        <w:rPr>
          <w:rFonts w:asciiTheme="minorHAnsi" w:hAnsiTheme="minorHAnsi"/>
        </w:rPr>
      </w:pPr>
      <w:r w:rsidRPr="000B59B6">
        <w:rPr>
          <w:rFonts w:asciiTheme="minorHAnsi" w:hAnsiTheme="minorHAnsi"/>
        </w:rPr>
        <w:t>In a meta-analysis of six studies which compared adding ezetimibe to a statin, to doubling the statin dose, the addition of ezetimibe sh</w:t>
      </w:r>
      <w:r>
        <w:rPr>
          <w:rFonts w:asciiTheme="minorHAnsi" w:hAnsiTheme="minorHAnsi"/>
        </w:rPr>
        <w:t>owed statistically significant</w:t>
      </w:r>
      <w:r w:rsidRPr="000B59B6">
        <w:rPr>
          <w:rFonts w:asciiTheme="minorHAnsi" w:hAnsiTheme="minorHAnsi"/>
        </w:rPr>
        <w:t xml:space="preserve"> change in LDL-C (weighted mean difference -15.3% 95%CI -19.1, -11.4) but there was substantial heterogeneity associated with the trial design, duration, dose and type of statin which</w:t>
      </w:r>
      <w:r>
        <w:rPr>
          <w:rFonts w:asciiTheme="minorHAnsi" w:hAnsiTheme="minorHAnsi"/>
        </w:rPr>
        <w:t xml:space="preserve"> results in low confidence in the extent of difference.</w:t>
      </w:r>
      <w:r w:rsidR="00CD63AA">
        <w:rPr>
          <w:rStyle w:val="EndnoteReference"/>
          <w:rFonts w:asciiTheme="minorHAnsi" w:hAnsiTheme="minorHAnsi"/>
        </w:rPr>
        <w:endnoteReference w:id="58"/>
      </w:r>
    </w:p>
    <w:p w:rsidR="0000686B" w:rsidRDefault="0000686B">
      <w:pPr>
        <w:pStyle w:val="ListParagraph"/>
        <w:spacing w:line="240" w:lineRule="auto"/>
        <w:ind w:left="0"/>
        <w:contextualSpacing w:val="0"/>
        <w:rPr>
          <w:rFonts w:asciiTheme="minorHAnsi" w:hAnsiTheme="minorHAnsi"/>
        </w:rPr>
      </w:pPr>
      <w:r>
        <w:rPr>
          <w:rFonts w:asciiTheme="minorHAnsi" w:hAnsiTheme="minorHAnsi"/>
        </w:rPr>
        <w:t>In a meta-analysis commissioned by National Institute for Health Care and Excellence (NICE) (2008), six RCTs were meta-analysed</w:t>
      </w:r>
      <w:r w:rsidR="00CD63AA">
        <w:rPr>
          <w:rStyle w:val="EndnoteReference"/>
          <w:rFonts w:asciiTheme="minorHAnsi" w:hAnsiTheme="minorHAnsi"/>
        </w:rPr>
        <w:endnoteReference w:id="59"/>
      </w:r>
      <w:r>
        <w:rPr>
          <w:rFonts w:asciiTheme="minorHAnsi" w:hAnsiTheme="minorHAnsi"/>
        </w:rPr>
        <w:t xml:space="preserve">. These compared adding ezetimibe to a statin compared to the same dose of statin. This meta-analysis showed that the addition of ezetimibe statistically significantly improved LDL-C reduction and total cholesterol. </w:t>
      </w:r>
    </w:p>
    <w:p w:rsidR="0000686B" w:rsidRDefault="0000686B" w:rsidP="005A2287">
      <w:pPr>
        <w:pStyle w:val="ListParagraph"/>
        <w:spacing w:line="240" w:lineRule="auto"/>
        <w:ind w:left="0"/>
        <w:contextualSpacing w:val="0"/>
        <w:rPr>
          <w:rFonts w:asciiTheme="minorHAnsi" w:hAnsiTheme="minorHAnsi"/>
        </w:rPr>
      </w:pPr>
      <w:r w:rsidRPr="00EA04CE">
        <w:rPr>
          <w:rFonts w:asciiTheme="minorHAnsi" w:hAnsiTheme="minorHAnsi"/>
        </w:rPr>
        <w:t>There were no identified published trials investigating the effect of initiating LLT with ezetimibe and then adding a statin.</w:t>
      </w:r>
    </w:p>
    <w:p w:rsidR="0000686B" w:rsidRPr="004A4450" w:rsidRDefault="003848A8" w:rsidP="005A2287">
      <w:pPr>
        <w:pStyle w:val="Heading3"/>
        <w:jc w:val="left"/>
      </w:pPr>
      <w:bookmarkStart w:id="87" w:name="_Toc482176975"/>
      <w:r>
        <w:t>3.</w:t>
      </w:r>
      <w:r w:rsidR="0000686B">
        <w:t>2.5</w:t>
      </w:r>
      <w:r w:rsidR="0000686B" w:rsidRPr="004A4450">
        <w:tab/>
        <w:t>Applicability issues</w:t>
      </w:r>
      <w:bookmarkEnd w:id="87"/>
    </w:p>
    <w:p w:rsidR="0000686B" w:rsidRPr="00BB5EA0" w:rsidRDefault="0000686B" w:rsidP="00920324">
      <w:pPr>
        <w:pStyle w:val="ListParagraph"/>
        <w:spacing w:line="240" w:lineRule="auto"/>
        <w:ind w:left="0"/>
        <w:contextualSpacing w:val="0"/>
        <w:rPr>
          <w:rFonts w:asciiTheme="minorHAnsi" w:hAnsiTheme="minorHAnsi"/>
        </w:rPr>
      </w:pPr>
      <w:r>
        <w:rPr>
          <w:rFonts w:asciiTheme="minorHAnsi" w:hAnsiTheme="minorHAnsi"/>
        </w:rPr>
        <w:t>The populations in many studies that add ezetimibe to a statin may not meet the restriction criteria for PBS subsidy, with the exception of the Health Technology Assessment (HTA) 2015 review by NICE</w:t>
      </w:r>
      <w:r w:rsidR="00CD63AA">
        <w:rPr>
          <w:rStyle w:val="EndnoteReference"/>
          <w:rFonts w:asciiTheme="minorHAnsi" w:hAnsiTheme="minorHAnsi"/>
        </w:rPr>
        <w:endnoteReference w:id="60"/>
      </w:r>
      <w:r>
        <w:rPr>
          <w:rFonts w:asciiTheme="minorHAnsi" w:hAnsiTheme="minorHAnsi"/>
        </w:rPr>
        <w:t xml:space="preserve">. The people in many of these studies were inadequately managed on the statin dose alone but these trials did not usually specify that the statin dose should be the maximum tolerated, which is the requirement of the current PBS restriction. </w:t>
      </w:r>
    </w:p>
    <w:p w:rsidR="0000686B" w:rsidRDefault="0000686B">
      <w:pPr>
        <w:pStyle w:val="ListParagraph"/>
        <w:spacing w:line="240" w:lineRule="auto"/>
        <w:ind w:left="0"/>
        <w:contextualSpacing w:val="0"/>
        <w:rPr>
          <w:rFonts w:asciiTheme="minorHAnsi" w:hAnsiTheme="minorHAnsi"/>
        </w:rPr>
      </w:pPr>
      <w:r w:rsidRPr="00BB5EA0">
        <w:rPr>
          <w:rFonts w:asciiTheme="minorHAnsi" w:hAnsiTheme="minorHAnsi"/>
        </w:rPr>
        <w:t>These results support two options for clinicians seeking to further reduce the LDL-C in patients in secondary prevention: 1) increasing the dose or</w:t>
      </w:r>
      <w:r>
        <w:rPr>
          <w:rFonts w:asciiTheme="minorHAnsi" w:hAnsiTheme="minorHAnsi"/>
        </w:rPr>
        <w:t xml:space="preserve"> intensity of the statin; or 2) </w:t>
      </w:r>
      <w:r w:rsidRPr="00BB5EA0">
        <w:rPr>
          <w:rFonts w:asciiTheme="minorHAnsi" w:hAnsiTheme="minorHAnsi"/>
        </w:rPr>
        <w:t>adding ezetimibe to a low dose statin. It is not clear from the evidence presented and the relevant guidelines that prescribers currently seek to increase the statin dose to that maximally tolerated by the patient in every case. The choice is likely to depend</w:t>
      </w:r>
      <w:r>
        <w:rPr>
          <w:rFonts w:asciiTheme="minorHAnsi" w:hAnsiTheme="minorHAnsi"/>
        </w:rPr>
        <w:t xml:space="preserve"> on individual patient factors.</w:t>
      </w:r>
    </w:p>
    <w:p w:rsidR="0000686B" w:rsidRDefault="0000686B">
      <w:pPr>
        <w:spacing w:line="240" w:lineRule="auto"/>
        <w:rPr>
          <w:rFonts w:asciiTheme="minorHAnsi" w:hAnsiTheme="minorHAnsi"/>
        </w:rPr>
      </w:pPr>
      <w:r w:rsidRPr="003D26F8">
        <w:rPr>
          <w:rFonts w:asciiTheme="minorHAnsi" w:hAnsiTheme="minorHAnsi"/>
        </w:rPr>
        <w:t>IMPROVE-IT</w:t>
      </w:r>
      <w:r w:rsidR="00CD63AA">
        <w:rPr>
          <w:rStyle w:val="EndnoteReference"/>
          <w:rFonts w:asciiTheme="minorHAnsi" w:hAnsiTheme="minorHAnsi"/>
        </w:rPr>
        <w:endnoteReference w:id="61"/>
      </w:r>
      <w:r w:rsidRPr="003D26F8">
        <w:rPr>
          <w:rFonts w:asciiTheme="minorHAnsi" w:hAnsiTheme="minorHAnsi"/>
        </w:rPr>
        <w:t xml:space="preserve"> was the only RCT designed to assess the long-term patient outcomes that met the selection criteria. It assessed clinical efficacy and safety of ezetimibe </w:t>
      </w:r>
      <w:r w:rsidR="006A1EC2">
        <w:rPr>
          <w:rFonts w:asciiTheme="minorHAnsi" w:hAnsiTheme="minorHAnsi"/>
        </w:rPr>
        <w:t>plus</w:t>
      </w:r>
      <w:r w:rsidRPr="003D26F8">
        <w:rPr>
          <w:rFonts w:asciiTheme="minorHAnsi" w:hAnsiTheme="minorHAnsi"/>
        </w:rPr>
        <w:t xml:space="preserve"> simvastatin vs placebo </w:t>
      </w:r>
      <w:r w:rsidR="006A1EC2">
        <w:rPr>
          <w:rFonts w:asciiTheme="minorHAnsi" w:hAnsiTheme="minorHAnsi"/>
        </w:rPr>
        <w:t>plus</w:t>
      </w:r>
      <w:r w:rsidRPr="003D26F8">
        <w:rPr>
          <w:rFonts w:asciiTheme="minorHAnsi" w:hAnsiTheme="minorHAnsi"/>
        </w:rPr>
        <w:t xml:space="preserve"> simvastatin in the secondary prevention population who had been hospitalized for an acute coronary syndrome within the preceding 10 </w:t>
      </w:r>
      <w:r w:rsidRPr="003D26F8">
        <w:rPr>
          <w:rFonts w:asciiTheme="minorHAnsi" w:hAnsiTheme="minorHAnsi"/>
        </w:rPr>
        <w:lastRenderedPageBreak/>
        <w:t xml:space="preserve">days. </w:t>
      </w:r>
      <w:r>
        <w:rPr>
          <w:rFonts w:asciiTheme="minorHAnsi" w:hAnsiTheme="minorHAnsi"/>
        </w:rPr>
        <w:t>Issues associated with the</w:t>
      </w:r>
      <w:r w:rsidRPr="003D26F8">
        <w:rPr>
          <w:rFonts w:asciiTheme="minorHAnsi" w:hAnsiTheme="minorHAnsi"/>
        </w:rPr>
        <w:t xml:space="preserve"> applicability of results from IMPROVE-IT to the target population</w:t>
      </w:r>
      <w:r w:rsidR="00D562EB">
        <w:rPr>
          <w:rFonts w:asciiTheme="minorHAnsi" w:hAnsiTheme="minorHAnsi"/>
        </w:rPr>
        <w:t xml:space="preserve"> </w:t>
      </w:r>
      <w:r>
        <w:rPr>
          <w:rFonts w:asciiTheme="minorHAnsi" w:hAnsiTheme="minorHAnsi"/>
        </w:rPr>
        <w:t>for the PBS</w:t>
      </w:r>
      <w:r w:rsidRPr="003D26F8">
        <w:rPr>
          <w:rFonts w:asciiTheme="minorHAnsi" w:hAnsiTheme="minorHAnsi"/>
        </w:rPr>
        <w:t xml:space="preserve"> were identified</w:t>
      </w:r>
      <w:r>
        <w:rPr>
          <w:rFonts w:asciiTheme="minorHAnsi" w:hAnsiTheme="minorHAnsi"/>
        </w:rPr>
        <w:t xml:space="preserve"> including:</w:t>
      </w:r>
    </w:p>
    <w:p w:rsidR="0000686B" w:rsidRDefault="0000686B">
      <w:pPr>
        <w:pStyle w:val="ListParagraph"/>
        <w:numPr>
          <w:ilvl w:val="0"/>
          <w:numId w:val="11"/>
        </w:numPr>
        <w:spacing w:after="120" w:line="240" w:lineRule="auto"/>
        <w:ind w:left="426" w:hanging="426"/>
        <w:contextualSpacing w:val="0"/>
        <w:rPr>
          <w:rFonts w:asciiTheme="minorHAnsi" w:hAnsiTheme="minorHAnsi"/>
        </w:rPr>
      </w:pPr>
      <w:r w:rsidRPr="003D26F8">
        <w:rPr>
          <w:rFonts w:asciiTheme="minorHAnsi" w:hAnsiTheme="minorHAnsi"/>
        </w:rPr>
        <w:t xml:space="preserve">the IMPROVE-IT patient population baseline LDL-C </w:t>
      </w:r>
      <w:r w:rsidRPr="00484B00">
        <w:rPr>
          <w:rFonts w:asciiTheme="minorHAnsi" w:hAnsiTheme="minorHAnsi"/>
          <w:highlight w:val="yellow"/>
        </w:rPr>
        <w:t>concentration</w:t>
      </w:r>
      <w:r>
        <w:rPr>
          <w:rFonts w:asciiTheme="minorHAnsi" w:hAnsiTheme="minorHAnsi"/>
        </w:rPr>
        <w:t xml:space="preserve"> </w:t>
      </w:r>
      <w:r w:rsidRPr="003D26F8">
        <w:rPr>
          <w:rFonts w:asciiTheme="minorHAnsi" w:hAnsiTheme="minorHAnsi"/>
        </w:rPr>
        <w:t>was set at 1.3 to 2.43mmol/L</w:t>
      </w:r>
      <w:r w:rsidRPr="00B86E4F">
        <w:rPr>
          <w:rFonts w:asciiTheme="minorHAnsi" w:hAnsiTheme="minorHAnsi"/>
        </w:rPr>
        <w:t xml:space="preserve"> </w:t>
      </w:r>
    </w:p>
    <w:p w:rsidR="0000686B" w:rsidRDefault="0000686B">
      <w:pPr>
        <w:pStyle w:val="ListParagraph"/>
        <w:numPr>
          <w:ilvl w:val="0"/>
          <w:numId w:val="11"/>
        </w:numPr>
        <w:spacing w:after="120" w:line="240" w:lineRule="auto"/>
        <w:ind w:left="426" w:hanging="426"/>
        <w:contextualSpacing w:val="0"/>
        <w:rPr>
          <w:rFonts w:asciiTheme="minorHAnsi" w:hAnsiTheme="minorHAnsi"/>
        </w:rPr>
      </w:pPr>
      <w:r w:rsidRPr="003D26F8">
        <w:rPr>
          <w:rFonts w:asciiTheme="minorHAnsi" w:hAnsiTheme="minorHAnsi"/>
        </w:rPr>
        <w:t xml:space="preserve">at the time of enrolment only 34% of patients were being treated with a statin </w:t>
      </w:r>
    </w:p>
    <w:p w:rsidR="0000686B" w:rsidRDefault="0000686B">
      <w:pPr>
        <w:pStyle w:val="ListParagraph"/>
        <w:numPr>
          <w:ilvl w:val="0"/>
          <w:numId w:val="11"/>
        </w:numPr>
        <w:spacing w:after="120" w:line="240" w:lineRule="auto"/>
        <w:ind w:left="426" w:hanging="426"/>
        <w:contextualSpacing w:val="0"/>
        <w:rPr>
          <w:rFonts w:asciiTheme="minorHAnsi" w:hAnsiTheme="minorHAnsi"/>
        </w:rPr>
      </w:pPr>
      <w:r w:rsidRPr="003D26F8">
        <w:rPr>
          <w:rFonts w:asciiTheme="minorHAnsi" w:hAnsiTheme="minorHAnsi"/>
        </w:rPr>
        <w:t>for other patients</w:t>
      </w:r>
      <w:r>
        <w:rPr>
          <w:rFonts w:asciiTheme="minorHAnsi" w:hAnsiTheme="minorHAnsi"/>
        </w:rPr>
        <w:t>,</w:t>
      </w:r>
      <w:r w:rsidRPr="003D26F8">
        <w:rPr>
          <w:rFonts w:asciiTheme="minorHAnsi" w:hAnsiTheme="minorHAnsi"/>
        </w:rPr>
        <w:t xml:space="preserve"> ezetimibe in combination with simvastatin was prescribed as the first-line treatment</w:t>
      </w:r>
    </w:p>
    <w:p w:rsidR="0000686B" w:rsidRDefault="0000686B">
      <w:pPr>
        <w:pStyle w:val="ListParagraph"/>
        <w:numPr>
          <w:ilvl w:val="0"/>
          <w:numId w:val="11"/>
        </w:numPr>
        <w:spacing w:after="120" w:line="240" w:lineRule="auto"/>
        <w:ind w:left="426" w:hanging="426"/>
        <w:contextualSpacing w:val="0"/>
        <w:rPr>
          <w:rFonts w:asciiTheme="minorHAnsi" w:hAnsiTheme="minorHAnsi"/>
        </w:rPr>
      </w:pPr>
      <w:r w:rsidRPr="003D26F8">
        <w:rPr>
          <w:rFonts w:asciiTheme="minorHAnsi" w:hAnsiTheme="minorHAnsi"/>
        </w:rPr>
        <w:t xml:space="preserve">there was no evidence that patients who had been treated with statins prior to randomisation were at their maximum tolerated dose. </w:t>
      </w:r>
    </w:p>
    <w:p w:rsidR="0000686B" w:rsidRDefault="0000686B">
      <w:pPr>
        <w:spacing w:line="240" w:lineRule="auto"/>
        <w:rPr>
          <w:rFonts w:asciiTheme="minorHAnsi" w:hAnsiTheme="minorHAnsi"/>
        </w:rPr>
      </w:pPr>
      <w:r>
        <w:rPr>
          <w:rFonts w:asciiTheme="minorHAnsi" w:hAnsiTheme="minorHAnsi"/>
        </w:rPr>
        <w:t>Therefore, IMPROVE-IT enrolled a population that did not meet the eligibility criteria for PBS subsidised ezetimibe as:</w:t>
      </w:r>
    </w:p>
    <w:p w:rsidR="0000686B" w:rsidRDefault="0000686B">
      <w:pPr>
        <w:pStyle w:val="ListParagraph"/>
        <w:numPr>
          <w:ilvl w:val="0"/>
          <w:numId w:val="11"/>
        </w:numPr>
        <w:spacing w:after="120" w:line="240" w:lineRule="auto"/>
        <w:ind w:left="426" w:hanging="426"/>
        <w:contextualSpacing w:val="0"/>
        <w:rPr>
          <w:rFonts w:asciiTheme="minorHAnsi" w:hAnsiTheme="minorHAnsi"/>
        </w:rPr>
      </w:pPr>
      <w:r>
        <w:rPr>
          <w:rFonts w:asciiTheme="minorHAnsi" w:hAnsiTheme="minorHAnsi"/>
        </w:rPr>
        <w:t>the population was a secondary prevention cohort</w:t>
      </w:r>
    </w:p>
    <w:p w:rsidR="0000686B" w:rsidRDefault="0000686B">
      <w:pPr>
        <w:pStyle w:val="ListParagraph"/>
        <w:numPr>
          <w:ilvl w:val="0"/>
          <w:numId w:val="11"/>
        </w:numPr>
        <w:spacing w:after="120" w:line="240" w:lineRule="auto"/>
        <w:ind w:left="426" w:hanging="426"/>
        <w:contextualSpacing w:val="0"/>
        <w:rPr>
          <w:rFonts w:asciiTheme="minorHAnsi" w:hAnsiTheme="minorHAnsi"/>
        </w:rPr>
      </w:pPr>
      <w:r>
        <w:rPr>
          <w:rFonts w:asciiTheme="minorHAnsi" w:hAnsiTheme="minorHAnsi"/>
        </w:rPr>
        <w:t>patients may not have been taking maximum tolerated dose of a statin as required by the PBS restriction and ezetimibe was added to a fixed dose of simvastatin</w:t>
      </w:r>
    </w:p>
    <w:p w:rsidR="0000686B" w:rsidRPr="00826700" w:rsidRDefault="0000686B">
      <w:pPr>
        <w:pStyle w:val="ListParagraph"/>
        <w:numPr>
          <w:ilvl w:val="0"/>
          <w:numId w:val="11"/>
        </w:numPr>
        <w:spacing w:after="120" w:line="240" w:lineRule="auto"/>
        <w:ind w:left="426" w:hanging="426"/>
        <w:contextualSpacing w:val="0"/>
        <w:rPr>
          <w:rFonts w:asciiTheme="minorHAnsi" w:hAnsiTheme="minorHAnsi"/>
        </w:rPr>
      </w:pPr>
      <w:r>
        <w:rPr>
          <w:rFonts w:asciiTheme="minorHAnsi" w:hAnsiTheme="minorHAnsi"/>
        </w:rPr>
        <w:t>the baseline LDL-C ranged between 1.3 and 2.43mmol/L whereas under the PBS restriction very high risk patients (as defined by the GSLLD) can commence LLT at any cholesterol</w:t>
      </w:r>
      <w:r w:rsidR="0076247E" w:rsidRPr="0076247E">
        <w:rPr>
          <w:rFonts w:asciiTheme="minorHAnsi" w:eastAsia="Times New Roman" w:hAnsiTheme="minorHAnsi" w:cs="Arial"/>
          <w:color w:val="222222"/>
          <w:szCs w:val="24"/>
          <w:lang w:eastAsia="en-AU"/>
        </w:rPr>
        <w:t xml:space="preserve"> </w:t>
      </w:r>
      <w:r w:rsidR="0076247E" w:rsidRPr="0076247E">
        <w:rPr>
          <w:rFonts w:asciiTheme="minorHAnsi" w:eastAsia="Times New Roman" w:hAnsiTheme="minorHAnsi" w:cs="Arial"/>
          <w:color w:val="222222"/>
          <w:szCs w:val="24"/>
          <w:highlight w:val="yellow"/>
          <w:lang w:eastAsia="en-AU"/>
        </w:rPr>
        <w:t>concentration</w:t>
      </w:r>
      <w:r>
        <w:rPr>
          <w:rFonts w:asciiTheme="minorHAnsi" w:hAnsiTheme="minorHAnsi"/>
        </w:rPr>
        <w:t>.</w:t>
      </w:r>
    </w:p>
    <w:p w:rsidR="0000686B" w:rsidRPr="00D539ED" w:rsidRDefault="0000686B">
      <w:pPr>
        <w:tabs>
          <w:tab w:val="left" w:pos="142"/>
        </w:tabs>
        <w:spacing w:line="240" w:lineRule="auto"/>
        <w:rPr>
          <w:rFonts w:asciiTheme="minorHAnsi" w:hAnsiTheme="minorHAnsi"/>
          <w:szCs w:val="24"/>
        </w:rPr>
      </w:pPr>
      <w:r w:rsidRPr="00D539ED">
        <w:rPr>
          <w:rFonts w:asciiTheme="minorHAnsi" w:hAnsiTheme="minorHAnsi"/>
          <w:szCs w:val="24"/>
        </w:rPr>
        <w:t>IMPROVE-IT used a fixed dose of simvastatin 40 mg daily, which is considered a statin of medium intensity. During the IMPROVE-IT study, patients receiving 80</w:t>
      </w:r>
      <w:r>
        <w:rPr>
          <w:rFonts w:asciiTheme="minorHAnsi" w:hAnsiTheme="minorHAnsi"/>
          <w:szCs w:val="24"/>
        </w:rPr>
        <w:t xml:space="preserve"> </w:t>
      </w:r>
      <w:r w:rsidRPr="00D539ED">
        <w:rPr>
          <w:rFonts w:asciiTheme="minorHAnsi" w:hAnsiTheme="minorHAnsi"/>
          <w:szCs w:val="24"/>
        </w:rPr>
        <w:t>mg simvastatin had the dose reduced to 40</w:t>
      </w:r>
      <w:r>
        <w:rPr>
          <w:rFonts w:asciiTheme="minorHAnsi" w:hAnsiTheme="minorHAnsi"/>
          <w:szCs w:val="24"/>
        </w:rPr>
        <w:t xml:space="preserve"> </w:t>
      </w:r>
      <w:r w:rsidRPr="00D539ED">
        <w:rPr>
          <w:rFonts w:asciiTheme="minorHAnsi" w:hAnsiTheme="minorHAnsi"/>
          <w:szCs w:val="24"/>
        </w:rPr>
        <w:t xml:space="preserve">mg due to United States Food and Drug Administration (FDA) concerns regarding rhabdomyolysis at the higher dose. It is unknown whether this group would have had different outcomes. A dose of simvastatin 80 mg daily is considered high intensity; however both of the market regulators in America and Australia, </w:t>
      </w:r>
      <w:r>
        <w:rPr>
          <w:rFonts w:asciiTheme="minorHAnsi" w:hAnsiTheme="minorHAnsi"/>
          <w:szCs w:val="24"/>
        </w:rPr>
        <w:t>(</w:t>
      </w:r>
      <w:r w:rsidRPr="00D539ED">
        <w:rPr>
          <w:rFonts w:asciiTheme="minorHAnsi" w:hAnsiTheme="minorHAnsi"/>
          <w:szCs w:val="24"/>
        </w:rPr>
        <w:t>FDA and Australian Therapeutic Goods Administration (TGA)</w:t>
      </w:r>
      <w:r>
        <w:rPr>
          <w:rFonts w:asciiTheme="minorHAnsi" w:hAnsiTheme="minorHAnsi"/>
          <w:szCs w:val="24"/>
        </w:rPr>
        <w:t>)</w:t>
      </w:r>
      <w:r w:rsidRPr="00D539ED">
        <w:rPr>
          <w:rFonts w:asciiTheme="minorHAnsi" w:hAnsiTheme="minorHAnsi"/>
          <w:szCs w:val="24"/>
        </w:rPr>
        <w:t xml:space="preserve"> recommend this dose be reserved for patients at high risk of cardiovascular complications who have not achieved treatment goals on lower doses of simvastatin.</w:t>
      </w:r>
      <w:r w:rsidRPr="00D539ED" w:rsidDel="00001E00">
        <w:rPr>
          <w:rFonts w:asciiTheme="minorHAnsi" w:hAnsiTheme="minorHAnsi"/>
          <w:szCs w:val="24"/>
        </w:rPr>
        <w:t xml:space="preserve"> </w:t>
      </w:r>
    </w:p>
    <w:p w:rsidR="0000686B" w:rsidRPr="00D539ED" w:rsidRDefault="0000686B">
      <w:pPr>
        <w:tabs>
          <w:tab w:val="left" w:pos="142"/>
        </w:tabs>
        <w:spacing w:line="240" w:lineRule="auto"/>
        <w:rPr>
          <w:rFonts w:asciiTheme="minorHAnsi" w:hAnsiTheme="minorHAnsi"/>
          <w:szCs w:val="24"/>
        </w:rPr>
      </w:pPr>
      <w:r w:rsidRPr="00D539ED">
        <w:rPr>
          <w:rFonts w:asciiTheme="minorHAnsi" w:hAnsiTheme="minorHAnsi"/>
          <w:szCs w:val="24"/>
        </w:rPr>
        <w:t xml:space="preserve">The reduction in LDL-C concentration between statins of differing doses and intensities is shown in </w:t>
      </w:r>
      <w:r w:rsidR="001142C3">
        <w:rPr>
          <w:rFonts w:asciiTheme="minorHAnsi" w:hAnsiTheme="minorHAnsi"/>
          <w:szCs w:val="24"/>
        </w:rPr>
        <w:t xml:space="preserve">Table </w:t>
      </w:r>
      <w:r w:rsidR="008864E8">
        <w:rPr>
          <w:rFonts w:asciiTheme="minorHAnsi" w:hAnsiTheme="minorHAnsi"/>
          <w:szCs w:val="24"/>
        </w:rPr>
        <w:t>12</w:t>
      </w:r>
      <w:r>
        <w:rPr>
          <w:rFonts w:asciiTheme="minorHAnsi" w:hAnsiTheme="minorHAnsi"/>
          <w:szCs w:val="24"/>
        </w:rPr>
        <w:t>.</w:t>
      </w:r>
      <w:r w:rsidRPr="00D539ED">
        <w:rPr>
          <w:rFonts w:asciiTheme="minorHAnsi" w:hAnsiTheme="minorHAnsi"/>
          <w:szCs w:val="24"/>
        </w:rPr>
        <w:t xml:space="preserve"> By comparison, ezetimibe (10 mg dose daily) produces an 18% reduction in </w:t>
      </w:r>
      <w:r>
        <w:rPr>
          <w:rFonts w:asciiTheme="minorHAnsi" w:hAnsiTheme="minorHAnsi"/>
          <w:szCs w:val="24"/>
        </w:rPr>
        <w:t xml:space="preserve">base-line </w:t>
      </w:r>
      <w:r w:rsidRPr="00D539ED">
        <w:rPr>
          <w:rFonts w:asciiTheme="minorHAnsi" w:hAnsiTheme="minorHAnsi"/>
          <w:szCs w:val="24"/>
        </w:rPr>
        <w:t>LDL-C concentration. Using the IMPROVE-IT approach of adding ezetimibe to a dose of 40</w:t>
      </w:r>
      <w:r w:rsidR="008864E8">
        <w:rPr>
          <w:rFonts w:asciiTheme="minorHAnsi" w:hAnsiTheme="minorHAnsi"/>
          <w:szCs w:val="24"/>
        </w:rPr>
        <w:t xml:space="preserve"> </w:t>
      </w:r>
      <w:r w:rsidRPr="00D539ED">
        <w:rPr>
          <w:rFonts w:asciiTheme="minorHAnsi" w:hAnsiTheme="minorHAnsi"/>
          <w:szCs w:val="24"/>
        </w:rPr>
        <w:t>mg simvastatin, a similar reduction in LDL-C concentration could have been achieved by replacing the dual therapy with atorvastatin 80</w:t>
      </w:r>
      <w:r>
        <w:rPr>
          <w:rFonts w:asciiTheme="minorHAnsi" w:hAnsiTheme="minorHAnsi"/>
          <w:szCs w:val="24"/>
        </w:rPr>
        <w:t xml:space="preserve"> </w:t>
      </w:r>
      <w:r w:rsidRPr="00D539ED">
        <w:rPr>
          <w:rFonts w:asciiTheme="minorHAnsi" w:hAnsiTheme="minorHAnsi"/>
          <w:szCs w:val="24"/>
        </w:rPr>
        <w:t xml:space="preserve">mg or rosuvastatin 40 mg. All three approaches would have achieved an average LDL reduction from base-line of approximately 50-55%. In reducing elevated plasma LDL-C </w:t>
      </w:r>
      <w:r w:rsidRPr="00484B00">
        <w:rPr>
          <w:rFonts w:asciiTheme="minorHAnsi" w:hAnsiTheme="minorHAnsi"/>
          <w:szCs w:val="24"/>
          <w:highlight w:val="yellow"/>
        </w:rPr>
        <w:t>concentrations</w:t>
      </w:r>
      <w:r w:rsidRPr="00D539ED">
        <w:rPr>
          <w:rFonts w:asciiTheme="minorHAnsi" w:hAnsiTheme="minorHAnsi"/>
          <w:szCs w:val="24"/>
        </w:rPr>
        <w:t xml:space="preserve">, all statins produce a non-linear dose response curve that reaches a plateau. More than 80% of the LDL-C lowering effect of a statin is achieved with 50% of the maximum dose. </w:t>
      </w:r>
    </w:p>
    <w:p w:rsidR="0000686B" w:rsidRDefault="0000686B">
      <w:pPr>
        <w:tabs>
          <w:tab w:val="left" w:pos="142"/>
        </w:tabs>
        <w:spacing w:line="240" w:lineRule="auto"/>
        <w:rPr>
          <w:rFonts w:asciiTheme="minorHAnsi" w:hAnsiTheme="minorHAnsi"/>
        </w:rPr>
      </w:pPr>
      <w:r>
        <w:rPr>
          <w:rFonts w:asciiTheme="minorHAnsi" w:hAnsiTheme="minorHAnsi"/>
        </w:rPr>
        <w:t>The 2014 NICE Guidance Development Group consensus placed statins into three different intensity categories according to the percentage reduction in LDL-C concentration as shown in the following table.</w:t>
      </w:r>
    </w:p>
    <w:p w:rsidR="0000686B" w:rsidRPr="00667390" w:rsidRDefault="001142C3" w:rsidP="005A2287">
      <w:pPr>
        <w:rPr>
          <w:rFonts w:asciiTheme="minorHAnsi" w:hAnsiTheme="minorHAnsi"/>
          <w:b/>
        </w:rPr>
      </w:pPr>
      <w:r>
        <w:rPr>
          <w:rFonts w:asciiTheme="minorHAnsi" w:hAnsiTheme="minorHAnsi"/>
          <w:b/>
        </w:rPr>
        <w:lastRenderedPageBreak/>
        <w:t xml:space="preserve">Table </w:t>
      </w:r>
      <w:r w:rsidR="008864E8">
        <w:rPr>
          <w:rFonts w:asciiTheme="minorHAnsi" w:hAnsiTheme="minorHAnsi"/>
          <w:b/>
        </w:rPr>
        <w:t>12</w:t>
      </w:r>
      <w:r w:rsidR="0000686B" w:rsidRPr="00667390">
        <w:rPr>
          <w:rFonts w:asciiTheme="minorHAnsi" w:hAnsiTheme="minorHAnsi"/>
          <w:b/>
        </w:rPr>
        <w:t>: Grouping of statins by intensity category used in the 2014 NICE Guidance</w:t>
      </w:r>
    </w:p>
    <w:tbl>
      <w:tblPr>
        <w:tblW w:w="0" w:type="auto"/>
        <w:tblLook w:val="04A0" w:firstRow="1" w:lastRow="0" w:firstColumn="1" w:lastColumn="0" w:noHBand="0" w:noVBand="1"/>
      </w:tblPr>
      <w:tblGrid>
        <w:gridCol w:w="1509"/>
        <w:gridCol w:w="1398"/>
        <w:gridCol w:w="1399"/>
        <w:gridCol w:w="1399"/>
        <w:gridCol w:w="1400"/>
        <w:gridCol w:w="1417"/>
      </w:tblGrid>
      <w:tr w:rsidR="0000686B" w:rsidRPr="004D3EB9" w:rsidTr="005879E3">
        <w:tc>
          <w:tcPr>
            <w:tcW w:w="1540" w:type="dxa"/>
            <w:shd w:val="clear" w:color="auto" w:fill="BFBFBF" w:themeFill="background1" w:themeFillShade="BF"/>
          </w:tcPr>
          <w:p w:rsidR="0000686B" w:rsidRPr="004D3EB9" w:rsidRDefault="0000686B" w:rsidP="005A2287">
            <w:pPr>
              <w:rPr>
                <w:rFonts w:asciiTheme="minorHAnsi" w:hAnsiTheme="minorHAnsi"/>
                <w:sz w:val="22"/>
              </w:rPr>
            </w:pPr>
          </w:p>
        </w:tc>
        <w:tc>
          <w:tcPr>
            <w:tcW w:w="7702" w:type="dxa"/>
            <w:gridSpan w:val="5"/>
            <w:shd w:val="clear" w:color="auto" w:fill="BFBFBF" w:themeFill="background1" w:themeFillShade="BF"/>
          </w:tcPr>
          <w:p w:rsidR="0000686B" w:rsidRPr="004D3EB9" w:rsidRDefault="0000686B" w:rsidP="005A2287">
            <w:pPr>
              <w:rPr>
                <w:rFonts w:asciiTheme="minorHAnsi" w:hAnsiTheme="minorHAnsi"/>
                <w:b/>
                <w:sz w:val="22"/>
              </w:rPr>
            </w:pPr>
            <w:r w:rsidRPr="004D3EB9">
              <w:rPr>
                <w:rFonts w:asciiTheme="minorHAnsi" w:hAnsiTheme="minorHAnsi"/>
                <w:b/>
                <w:sz w:val="22"/>
              </w:rPr>
              <w:t>Reduction in low density lipoprotein cholesterol</w:t>
            </w:r>
          </w:p>
        </w:tc>
      </w:tr>
      <w:tr w:rsidR="0000686B" w:rsidRPr="004D3EB9" w:rsidTr="005879E3">
        <w:tc>
          <w:tcPr>
            <w:tcW w:w="1540" w:type="dxa"/>
          </w:tcPr>
          <w:p w:rsidR="0000686B" w:rsidRPr="004D3EB9" w:rsidRDefault="0000686B" w:rsidP="005A2287">
            <w:pPr>
              <w:rPr>
                <w:rFonts w:asciiTheme="minorHAnsi" w:hAnsiTheme="minorHAnsi"/>
                <w:b/>
                <w:sz w:val="22"/>
              </w:rPr>
            </w:pPr>
            <w:r w:rsidRPr="004D3EB9">
              <w:rPr>
                <w:rFonts w:asciiTheme="minorHAnsi" w:hAnsiTheme="minorHAnsi"/>
                <w:b/>
                <w:sz w:val="22"/>
              </w:rPr>
              <w:t>Dose (mg/day)</w:t>
            </w:r>
          </w:p>
        </w:tc>
        <w:tc>
          <w:tcPr>
            <w:tcW w:w="1540" w:type="dxa"/>
            <w:vAlign w:val="bottom"/>
          </w:tcPr>
          <w:p w:rsidR="0000686B" w:rsidRPr="004D3EB9" w:rsidRDefault="0000686B" w:rsidP="005A2287">
            <w:pPr>
              <w:rPr>
                <w:rFonts w:asciiTheme="minorHAnsi" w:hAnsiTheme="minorHAnsi"/>
                <w:b/>
                <w:i/>
                <w:color w:val="000000"/>
                <w:sz w:val="22"/>
                <w:u w:val="single"/>
              </w:rPr>
            </w:pPr>
            <w:r w:rsidRPr="004D3EB9">
              <w:rPr>
                <w:rFonts w:asciiTheme="minorHAnsi" w:hAnsiTheme="minorHAnsi"/>
                <w:b/>
                <w:sz w:val="22"/>
              </w:rPr>
              <w:t>5</w:t>
            </w:r>
          </w:p>
        </w:tc>
        <w:tc>
          <w:tcPr>
            <w:tcW w:w="1540" w:type="dxa"/>
            <w:vAlign w:val="bottom"/>
          </w:tcPr>
          <w:p w:rsidR="0000686B" w:rsidRPr="004D3EB9" w:rsidRDefault="0000686B" w:rsidP="005A2287">
            <w:pPr>
              <w:rPr>
                <w:rFonts w:asciiTheme="minorHAnsi" w:hAnsiTheme="minorHAnsi"/>
                <w:b/>
                <w:i/>
                <w:color w:val="000000"/>
                <w:sz w:val="22"/>
                <w:u w:val="single"/>
              </w:rPr>
            </w:pPr>
            <w:r w:rsidRPr="004D3EB9">
              <w:rPr>
                <w:rFonts w:asciiTheme="minorHAnsi" w:hAnsiTheme="minorHAnsi"/>
                <w:b/>
                <w:sz w:val="22"/>
              </w:rPr>
              <w:t>10</w:t>
            </w:r>
          </w:p>
        </w:tc>
        <w:tc>
          <w:tcPr>
            <w:tcW w:w="1540" w:type="dxa"/>
            <w:vAlign w:val="bottom"/>
          </w:tcPr>
          <w:p w:rsidR="0000686B" w:rsidRPr="004D3EB9" w:rsidRDefault="0000686B" w:rsidP="005A2287">
            <w:pPr>
              <w:rPr>
                <w:rFonts w:asciiTheme="minorHAnsi" w:hAnsiTheme="minorHAnsi"/>
                <w:b/>
                <w:sz w:val="22"/>
              </w:rPr>
            </w:pPr>
            <w:r w:rsidRPr="004D3EB9">
              <w:rPr>
                <w:rFonts w:asciiTheme="minorHAnsi" w:hAnsiTheme="minorHAnsi"/>
                <w:b/>
                <w:sz w:val="22"/>
              </w:rPr>
              <w:t>20</w:t>
            </w:r>
          </w:p>
        </w:tc>
        <w:tc>
          <w:tcPr>
            <w:tcW w:w="1541" w:type="dxa"/>
            <w:vAlign w:val="bottom"/>
          </w:tcPr>
          <w:p w:rsidR="0000686B" w:rsidRPr="004D3EB9" w:rsidRDefault="0000686B" w:rsidP="005A2287">
            <w:pPr>
              <w:rPr>
                <w:rFonts w:asciiTheme="minorHAnsi" w:hAnsiTheme="minorHAnsi"/>
                <w:b/>
                <w:sz w:val="22"/>
              </w:rPr>
            </w:pPr>
            <w:r w:rsidRPr="004D3EB9">
              <w:rPr>
                <w:rFonts w:asciiTheme="minorHAnsi" w:hAnsiTheme="minorHAnsi"/>
                <w:b/>
                <w:sz w:val="22"/>
              </w:rPr>
              <w:t>40</w:t>
            </w:r>
          </w:p>
        </w:tc>
        <w:tc>
          <w:tcPr>
            <w:tcW w:w="1541" w:type="dxa"/>
            <w:vAlign w:val="bottom"/>
          </w:tcPr>
          <w:p w:rsidR="0000686B" w:rsidRPr="004D3EB9" w:rsidRDefault="0000686B" w:rsidP="005A2287">
            <w:pPr>
              <w:rPr>
                <w:rFonts w:asciiTheme="minorHAnsi" w:hAnsiTheme="minorHAnsi"/>
                <w:b/>
                <w:sz w:val="22"/>
              </w:rPr>
            </w:pPr>
            <w:r w:rsidRPr="004D3EB9">
              <w:rPr>
                <w:rFonts w:asciiTheme="minorHAnsi" w:hAnsiTheme="minorHAnsi"/>
                <w:b/>
                <w:sz w:val="22"/>
              </w:rPr>
              <w:t>80</w:t>
            </w:r>
          </w:p>
        </w:tc>
      </w:tr>
      <w:tr w:rsidR="0000686B" w:rsidRPr="004D3EB9" w:rsidTr="005879E3">
        <w:tc>
          <w:tcPr>
            <w:tcW w:w="1540" w:type="dxa"/>
          </w:tcPr>
          <w:p w:rsidR="0000686B" w:rsidRPr="004D3EB9" w:rsidRDefault="0000686B" w:rsidP="005A2287">
            <w:pPr>
              <w:rPr>
                <w:rFonts w:asciiTheme="minorHAnsi" w:hAnsiTheme="minorHAnsi"/>
                <w:b/>
                <w:sz w:val="22"/>
              </w:rPr>
            </w:pPr>
            <w:r w:rsidRPr="004D3EB9">
              <w:rPr>
                <w:rFonts w:asciiTheme="minorHAnsi" w:hAnsiTheme="minorHAnsi"/>
                <w:b/>
                <w:sz w:val="22"/>
              </w:rPr>
              <w:t>fluvastatin</w:t>
            </w:r>
          </w:p>
        </w:tc>
        <w:tc>
          <w:tcPr>
            <w:tcW w:w="1540" w:type="dxa"/>
            <w:vAlign w:val="bottom"/>
          </w:tcPr>
          <w:p w:rsidR="0000686B" w:rsidRPr="004D3EB9" w:rsidRDefault="0000686B" w:rsidP="005A2287">
            <w:pPr>
              <w:rPr>
                <w:rFonts w:asciiTheme="minorHAnsi" w:hAnsiTheme="minorHAnsi"/>
                <w:sz w:val="22"/>
              </w:rPr>
            </w:pPr>
          </w:p>
        </w:tc>
        <w:tc>
          <w:tcPr>
            <w:tcW w:w="1540" w:type="dxa"/>
            <w:vAlign w:val="bottom"/>
          </w:tcPr>
          <w:p w:rsidR="0000686B" w:rsidRPr="004D3EB9" w:rsidRDefault="0000686B" w:rsidP="005A2287">
            <w:pPr>
              <w:rPr>
                <w:rFonts w:asciiTheme="minorHAnsi" w:hAnsiTheme="minorHAnsi"/>
                <w:b/>
                <w:i/>
                <w:color w:val="000000"/>
                <w:sz w:val="22"/>
                <w:u w:val="single"/>
              </w:rPr>
            </w:pPr>
            <w:r w:rsidRPr="004D3EB9">
              <w:rPr>
                <w:rFonts w:asciiTheme="minorHAnsi" w:hAnsiTheme="minorHAnsi"/>
                <w:sz w:val="22"/>
              </w:rPr>
              <w:t>-</w:t>
            </w:r>
          </w:p>
        </w:tc>
        <w:tc>
          <w:tcPr>
            <w:tcW w:w="1540" w:type="dxa"/>
            <w:vAlign w:val="bottom"/>
          </w:tcPr>
          <w:p w:rsidR="0000686B" w:rsidRPr="004D3EB9" w:rsidRDefault="0000686B" w:rsidP="005A2287">
            <w:pPr>
              <w:rPr>
                <w:rFonts w:asciiTheme="minorHAnsi" w:hAnsiTheme="minorHAnsi"/>
                <w:b/>
                <w:i/>
                <w:color w:val="000000"/>
                <w:sz w:val="22"/>
                <w:u w:val="single"/>
                <w:vertAlign w:val="superscript"/>
              </w:rPr>
            </w:pPr>
            <w:r w:rsidRPr="004D3EB9">
              <w:rPr>
                <w:rFonts w:asciiTheme="minorHAnsi" w:hAnsiTheme="minorHAnsi"/>
                <w:sz w:val="22"/>
              </w:rPr>
              <w:t>21</w:t>
            </w:r>
            <w:r>
              <w:rPr>
                <w:rFonts w:asciiTheme="minorHAnsi" w:hAnsiTheme="minorHAnsi"/>
                <w:sz w:val="22"/>
              </w:rPr>
              <w:t>%</w:t>
            </w:r>
            <w:r>
              <w:rPr>
                <w:rFonts w:asciiTheme="minorHAnsi" w:hAnsiTheme="minorHAnsi"/>
                <w:sz w:val="22"/>
                <w:vertAlign w:val="superscript"/>
              </w:rPr>
              <w:t>1</w:t>
            </w:r>
          </w:p>
        </w:tc>
        <w:tc>
          <w:tcPr>
            <w:tcW w:w="1541" w:type="dxa"/>
            <w:vAlign w:val="bottom"/>
          </w:tcPr>
          <w:p w:rsidR="0000686B" w:rsidRPr="004D3EB9" w:rsidRDefault="0000686B" w:rsidP="005A2287">
            <w:pPr>
              <w:rPr>
                <w:rFonts w:asciiTheme="minorHAnsi" w:hAnsiTheme="minorHAnsi"/>
                <w:b/>
                <w:i/>
                <w:color w:val="000000"/>
                <w:sz w:val="22"/>
                <w:u w:val="single"/>
              </w:rPr>
            </w:pPr>
            <w:r w:rsidRPr="004D3EB9">
              <w:rPr>
                <w:rFonts w:asciiTheme="minorHAnsi" w:hAnsiTheme="minorHAnsi"/>
                <w:sz w:val="22"/>
              </w:rPr>
              <w:t>27</w:t>
            </w:r>
            <w:r>
              <w:rPr>
                <w:rFonts w:asciiTheme="minorHAnsi" w:hAnsiTheme="minorHAnsi"/>
                <w:sz w:val="22"/>
              </w:rPr>
              <w:t>%</w:t>
            </w:r>
            <w:r>
              <w:rPr>
                <w:rFonts w:asciiTheme="minorHAnsi" w:hAnsiTheme="minorHAnsi"/>
                <w:sz w:val="22"/>
                <w:vertAlign w:val="superscript"/>
              </w:rPr>
              <w:t>1</w:t>
            </w:r>
          </w:p>
        </w:tc>
        <w:tc>
          <w:tcPr>
            <w:tcW w:w="1541" w:type="dxa"/>
            <w:vAlign w:val="bottom"/>
          </w:tcPr>
          <w:p w:rsidR="0000686B" w:rsidRPr="004D3EB9" w:rsidRDefault="0000686B" w:rsidP="005A2287">
            <w:pPr>
              <w:rPr>
                <w:rFonts w:asciiTheme="minorHAnsi" w:hAnsiTheme="minorHAnsi"/>
                <w:b/>
                <w:i/>
                <w:color w:val="000000"/>
                <w:sz w:val="22"/>
                <w:u w:val="single"/>
                <w:vertAlign w:val="superscript"/>
              </w:rPr>
            </w:pPr>
            <w:r w:rsidRPr="004D3EB9">
              <w:rPr>
                <w:rFonts w:asciiTheme="minorHAnsi" w:hAnsiTheme="minorHAnsi"/>
                <w:sz w:val="22"/>
              </w:rPr>
              <w:t>33</w:t>
            </w:r>
            <w:r>
              <w:rPr>
                <w:rFonts w:asciiTheme="minorHAnsi" w:hAnsiTheme="minorHAnsi"/>
                <w:sz w:val="22"/>
              </w:rPr>
              <w:t>%</w:t>
            </w:r>
            <w:r>
              <w:rPr>
                <w:rFonts w:asciiTheme="minorHAnsi" w:hAnsiTheme="minorHAnsi"/>
                <w:sz w:val="22"/>
                <w:vertAlign w:val="superscript"/>
              </w:rPr>
              <w:t>2</w:t>
            </w:r>
          </w:p>
        </w:tc>
      </w:tr>
      <w:tr w:rsidR="0000686B" w:rsidRPr="004D3EB9" w:rsidTr="005879E3">
        <w:tc>
          <w:tcPr>
            <w:tcW w:w="1540" w:type="dxa"/>
          </w:tcPr>
          <w:p w:rsidR="0000686B" w:rsidRPr="004D3EB9" w:rsidRDefault="0000686B" w:rsidP="005A2287">
            <w:pPr>
              <w:rPr>
                <w:rFonts w:asciiTheme="minorHAnsi" w:hAnsiTheme="minorHAnsi"/>
                <w:b/>
                <w:i/>
                <w:color w:val="000000"/>
                <w:sz w:val="22"/>
                <w:u w:val="single"/>
              </w:rPr>
            </w:pPr>
            <w:r w:rsidRPr="004D3EB9">
              <w:rPr>
                <w:rFonts w:asciiTheme="minorHAnsi" w:hAnsiTheme="minorHAnsi"/>
                <w:b/>
                <w:sz w:val="22"/>
              </w:rPr>
              <w:t>pravastatin</w:t>
            </w:r>
          </w:p>
        </w:tc>
        <w:tc>
          <w:tcPr>
            <w:tcW w:w="1540" w:type="dxa"/>
            <w:vAlign w:val="bottom"/>
          </w:tcPr>
          <w:p w:rsidR="0000686B" w:rsidRPr="004D3EB9" w:rsidRDefault="0000686B" w:rsidP="005A2287">
            <w:pPr>
              <w:rPr>
                <w:rFonts w:asciiTheme="minorHAnsi" w:hAnsiTheme="minorHAnsi"/>
                <w:sz w:val="22"/>
              </w:rPr>
            </w:pPr>
          </w:p>
        </w:tc>
        <w:tc>
          <w:tcPr>
            <w:tcW w:w="1540" w:type="dxa"/>
            <w:vAlign w:val="bottom"/>
          </w:tcPr>
          <w:p w:rsidR="0000686B" w:rsidRPr="004D3EB9" w:rsidRDefault="0000686B" w:rsidP="005A2287">
            <w:pPr>
              <w:rPr>
                <w:rFonts w:asciiTheme="minorHAnsi" w:hAnsiTheme="minorHAnsi"/>
                <w:b/>
                <w:i/>
                <w:color w:val="000000"/>
                <w:sz w:val="22"/>
                <w:u w:val="single"/>
                <w:vertAlign w:val="superscript"/>
              </w:rPr>
            </w:pPr>
            <w:r w:rsidRPr="004D3EB9">
              <w:rPr>
                <w:rFonts w:asciiTheme="minorHAnsi" w:hAnsiTheme="minorHAnsi"/>
                <w:sz w:val="22"/>
              </w:rPr>
              <w:t>20%</w:t>
            </w:r>
            <w:r>
              <w:rPr>
                <w:rFonts w:asciiTheme="minorHAnsi" w:hAnsiTheme="minorHAnsi"/>
                <w:sz w:val="22"/>
                <w:vertAlign w:val="superscript"/>
              </w:rPr>
              <w:t>1</w:t>
            </w:r>
          </w:p>
        </w:tc>
        <w:tc>
          <w:tcPr>
            <w:tcW w:w="1540" w:type="dxa"/>
            <w:vAlign w:val="bottom"/>
          </w:tcPr>
          <w:p w:rsidR="0000686B" w:rsidRPr="004D3EB9" w:rsidRDefault="0000686B" w:rsidP="005A2287">
            <w:pPr>
              <w:rPr>
                <w:rFonts w:asciiTheme="minorHAnsi" w:hAnsiTheme="minorHAnsi"/>
                <w:b/>
                <w:i/>
                <w:color w:val="000000"/>
                <w:sz w:val="22"/>
                <w:u w:val="single"/>
                <w:vertAlign w:val="superscript"/>
              </w:rPr>
            </w:pPr>
            <w:r w:rsidRPr="004D3EB9">
              <w:rPr>
                <w:rFonts w:asciiTheme="minorHAnsi" w:hAnsiTheme="minorHAnsi"/>
                <w:sz w:val="22"/>
              </w:rPr>
              <w:t>24</w:t>
            </w:r>
            <w:r>
              <w:rPr>
                <w:rFonts w:asciiTheme="minorHAnsi" w:hAnsiTheme="minorHAnsi"/>
                <w:sz w:val="22"/>
              </w:rPr>
              <w:t>%</w:t>
            </w:r>
            <w:r>
              <w:rPr>
                <w:rFonts w:asciiTheme="minorHAnsi" w:hAnsiTheme="minorHAnsi"/>
                <w:sz w:val="22"/>
                <w:vertAlign w:val="superscript"/>
              </w:rPr>
              <w:t>1</w:t>
            </w:r>
          </w:p>
        </w:tc>
        <w:tc>
          <w:tcPr>
            <w:tcW w:w="1541" w:type="dxa"/>
            <w:vAlign w:val="bottom"/>
          </w:tcPr>
          <w:p w:rsidR="0000686B" w:rsidRPr="004D3EB9" w:rsidRDefault="0000686B" w:rsidP="005A2287">
            <w:pPr>
              <w:rPr>
                <w:rFonts w:asciiTheme="minorHAnsi" w:hAnsiTheme="minorHAnsi"/>
                <w:b/>
                <w:i/>
                <w:color w:val="000000"/>
                <w:sz w:val="22"/>
                <w:u w:val="single"/>
              </w:rPr>
            </w:pPr>
            <w:r w:rsidRPr="004D3EB9">
              <w:rPr>
                <w:rFonts w:asciiTheme="minorHAnsi" w:hAnsiTheme="minorHAnsi"/>
                <w:sz w:val="22"/>
              </w:rPr>
              <w:t>29</w:t>
            </w:r>
            <w:r>
              <w:rPr>
                <w:rFonts w:asciiTheme="minorHAnsi" w:hAnsiTheme="minorHAnsi"/>
                <w:sz w:val="22"/>
              </w:rPr>
              <w:t>%</w:t>
            </w:r>
            <w:r>
              <w:rPr>
                <w:rFonts w:asciiTheme="minorHAnsi" w:hAnsiTheme="minorHAnsi"/>
                <w:sz w:val="22"/>
                <w:vertAlign w:val="superscript"/>
              </w:rPr>
              <w:t>1</w:t>
            </w:r>
          </w:p>
        </w:tc>
        <w:tc>
          <w:tcPr>
            <w:tcW w:w="1541" w:type="dxa"/>
            <w:vAlign w:val="bottom"/>
          </w:tcPr>
          <w:p w:rsidR="0000686B" w:rsidRPr="004D3EB9" w:rsidRDefault="0000686B" w:rsidP="005A2287">
            <w:pPr>
              <w:rPr>
                <w:rFonts w:asciiTheme="minorHAnsi" w:hAnsiTheme="minorHAnsi"/>
                <w:b/>
                <w:i/>
                <w:color w:val="000000"/>
                <w:sz w:val="22"/>
                <w:u w:val="single"/>
              </w:rPr>
            </w:pPr>
            <w:r w:rsidRPr="004D3EB9">
              <w:rPr>
                <w:rFonts w:asciiTheme="minorHAnsi" w:hAnsiTheme="minorHAnsi"/>
                <w:sz w:val="22"/>
              </w:rPr>
              <w:t>-</w:t>
            </w:r>
          </w:p>
        </w:tc>
      </w:tr>
      <w:tr w:rsidR="0000686B" w:rsidRPr="004D3EB9" w:rsidTr="005879E3">
        <w:tc>
          <w:tcPr>
            <w:tcW w:w="1540" w:type="dxa"/>
          </w:tcPr>
          <w:p w:rsidR="0000686B" w:rsidRPr="004D3EB9" w:rsidRDefault="0000686B" w:rsidP="005A2287">
            <w:pPr>
              <w:rPr>
                <w:rFonts w:asciiTheme="minorHAnsi" w:hAnsiTheme="minorHAnsi"/>
                <w:b/>
                <w:i/>
                <w:color w:val="000000"/>
                <w:sz w:val="22"/>
                <w:u w:val="single"/>
              </w:rPr>
            </w:pPr>
            <w:r w:rsidRPr="004D3EB9">
              <w:rPr>
                <w:rFonts w:asciiTheme="minorHAnsi" w:hAnsiTheme="minorHAnsi"/>
                <w:b/>
                <w:sz w:val="22"/>
              </w:rPr>
              <w:t>simvastatin</w:t>
            </w:r>
          </w:p>
        </w:tc>
        <w:tc>
          <w:tcPr>
            <w:tcW w:w="1540" w:type="dxa"/>
            <w:vAlign w:val="bottom"/>
          </w:tcPr>
          <w:p w:rsidR="0000686B" w:rsidRPr="004D3EB9" w:rsidRDefault="0000686B" w:rsidP="005A2287">
            <w:pPr>
              <w:rPr>
                <w:rFonts w:asciiTheme="minorHAnsi" w:hAnsiTheme="minorHAnsi"/>
                <w:sz w:val="22"/>
              </w:rPr>
            </w:pPr>
          </w:p>
        </w:tc>
        <w:tc>
          <w:tcPr>
            <w:tcW w:w="1540" w:type="dxa"/>
            <w:vAlign w:val="bottom"/>
          </w:tcPr>
          <w:p w:rsidR="0000686B" w:rsidRPr="004D3EB9" w:rsidRDefault="0000686B" w:rsidP="005A2287">
            <w:pPr>
              <w:rPr>
                <w:rFonts w:asciiTheme="minorHAnsi" w:hAnsiTheme="minorHAnsi"/>
                <w:b/>
                <w:i/>
                <w:color w:val="000000"/>
                <w:sz w:val="22"/>
                <w:u w:val="single"/>
                <w:vertAlign w:val="superscript"/>
              </w:rPr>
            </w:pPr>
            <w:r w:rsidRPr="004D3EB9">
              <w:rPr>
                <w:rFonts w:asciiTheme="minorHAnsi" w:hAnsiTheme="minorHAnsi"/>
                <w:sz w:val="22"/>
              </w:rPr>
              <w:t>27%</w:t>
            </w:r>
            <w:r>
              <w:rPr>
                <w:rFonts w:asciiTheme="minorHAnsi" w:hAnsiTheme="minorHAnsi"/>
                <w:sz w:val="22"/>
                <w:vertAlign w:val="superscript"/>
              </w:rPr>
              <w:t>1</w:t>
            </w:r>
          </w:p>
        </w:tc>
        <w:tc>
          <w:tcPr>
            <w:tcW w:w="1540" w:type="dxa"/>
            <w:vAlign w:val="bottom"/>
          </w:tcPr>
          <w:p w:rsidR="0000686B" w:rsidRPr="004D3EB9" w:rsidRDefault="0000686B" w:rsidP="005A2287">
            <w:pPr>
              <w:rPr>
                <w:rFonts w:asciiTheme="minorHAnsi" w:hAnsiTheme="minorHAnsi"/>
                <w:b/>
                <w:i/>
                <w:color w:val="000000"/>
                <w:sz w:val="22"/>
                <w:u w:val="single"/>
                <w:vertAlign w:val="superscript"/>
              </w:rPr>
            </w:pPr>
            <w:r w:rsidRPr="004D3EB9">
              <w:rPr>
                <w:rFonts w:asciiTheme="minorHAnsi" w:hAnsiTheme="minorHAnsi"/>
                <w:sz w:val="22"/>
              </w:rPr>
              <w:t>32</w:t>
            </w:r>
            <w:r>
              <w:rPr>
                <w:rFonts w:asciiTheme="minorHAnsi" w:hAnsiTheme="minorHAnsi"/>
                <w:sz w:val="22"/>
              </w:rPr>
              <w:t>%</w:t>
            </w:r>
            <w:r>
              <w:rPr>
                <w:rFonts w:asciiTheme="minorHAnsi" w:hAnsiTheme="minorHAnsi"/>
                <w:sz w:val="22"/>
                <w:vertAlign w:val="superscript"/>
              </w:rPr>
              <w:t>2</w:t>
            </w:r>
          </w:p>
        </w:tc>
        <w:tc>
          <w:tcPr>
            <w:tcW w:w="1541" w:type="dxa"/>
            <w:vAlign w:val="bottom"/>
          </w:tcPr>
          <w:p w:rsidR="0000686B" w:rsidRPr="004D3EB9" w:rsidRDefault="0000686B" w:rsidP="005A2287">
            <w:pPr>
              <w:rPr>
                <w:rFonts w:asciiTheme="minorHAnsi" w:hAnsiTheme="minorHAnsi"/>
                <w:b/>
                <w:i/>
                <w:color w:val="000000"/>
                <w:sz w:val="22"/>
                <w:u w:val="single"/>
              </w:rPr>
            </w:pPr>
            <w:r w:rsidRPr="004D3EB9">
              <w:rPr>
                <w:rFonts w:asciiTheme="minorHAnsi" w:hAnsiTheme="minorHAnsi"/>
                <w:sz w:val="22"/>
              </w:rPr>
              <w:t>37</w:t>
            </w:r>
            <w:r>
              <w:rPr>
                <w:rFonts w:asciiTheme="minorHAnsi" w:hAnsiTheme="minorHAnsi"/>
                <w:sz w:val="22"/>
              </w:rPr>
              <w:t>%</w:t>
            </w:r>
            <w:r w:rsidRPr="004D3EB9">
              <w:rPr>
                <w:rFonts w:asciiTheme="minorHAnsi" w:hAnsiTheme="minorHAnsi"/>
                <w:sz w:val="22"/>
                <w:vertAlign w:val="superscript"/>
              </w:rPr>
              <w:t>2</w:t>
            </w:r>
          </w:p>
        </w:tc>
        <w:tc>
          <w:tcPr>
            <w:tcW w:w="1541" w:type="dxa"/>
            <w:vAlign w:val="bottom"/>
          </w:tcPr>
          <w:p w:rsidR="0000686B" w:rsidRPr="004D3EB9" w:rsidRDefault="0000686B" w:rsidP="005A2287">
            <w:pPr>
              <w:rPr>
                <w:rFonts w:asciiTheme="minorHAnsi" w:hAnsiTheme="minorHAnsi"/>
                <w:b/>
                <w:i/>
                <w:color w:val="000000"/>
                <w:sz w:val="22"/>
                <w:u w:val="single"/>
                <w:vertAlign w:val="superscript"/>
              </w:rPr>
            </w:pPr>
            <w:r w:rsidRPr="004D3EB9">
              <w:rPr>
                <w:rFonts w:asciiTheme="minorHAnsi" w:hAnsiTheme="minorHAnsi"/>
                <w:sz w:val="22"/>
              </w:rPr>
              <w:t>42</w:t>
            </w:r>
            <w:r>
              <w:rPr>
                <w:rFonts w:asciiTheme="minorHAnsi" w:hAnsiTheme="minorHAnsi"/>
                <w:sz w:val="22"/>
              </w:rPr>
              <w:t>%</w:t>
            </w:r>
            <w:r>
              <w:rPr>
                <w:rFonts w:asciiTheme="minorHAnsi" w:hAnsiTheme="minorHAnsi"/>
                <w:sz w:val="22"/>
                <w:vertAlign w:val="superscript"/>
              </w:rPr>
              <w:t>3,4</w:t>
            </w:r>
          </w:p>
        </w:tc>
      </w:tr>
      <w:tr w:rsidR="0000686B" w:rsidRPr="004D3EB9" w:rsidTr="005879E3">
        <w:tc>
          <w:tcPr>
            <w:tcW w:w="1540" w:type="dxa"/>
          </w:tcPr>
          <w:p w:rsidR="0000686B" w:rsidRPr="004D3EB9" w:rsidRDefault="0000686B" w:rsidP="005A2287">
            <w:pPr>
              <w:rPr>
                <w:rFonts w:asciiTheme="minorHAnsi" w:hAnsiTheme="minorHAnsi"/>
                <w:b/>
                <w:i/>
                <w:color w:val="000000"/>
                <w:sz w:val="22"/>
                <w:u w:val="single"/>
              </w:rPr>
            </w:pPr>
            <w:r w:rsidRPr="004D3EB9">
              <w:rPr>
                <w:rFonts w:asciiTheme="minorHAnsi" w:hAnsiTheme="minorHAnsi"/>
                <w:b/>
                <w:sz w:val="22"/>
              </w:rPr>
              <w:t>atorvastatin</w:t>
            </w:r>
          </w:p>
        </w:tc>
        <w:tc>
          <w:tcPr>
            <w:tcW w:w="1540" w:type="dxa"/>
            <w:vAlign w:val="bottom"/>
          </w:tcPr>
          <w:p w:rsidR="0000686B" w:rsidRPr="004D3EB9" w:rsidRDefault="0000686B" w:rsidP="005A2287">
            <w:pPr>
              <w:rPr>
                <w:rFonts w:asciiTheme="minorHAnsi" w:hAnsiTheme="minorHAnsi"/>
                <w:sz w:val="22"/>
              </w:rPr>
            </w:pPr>
          </w:p>
        </w:tc>
        <w:tc>
          <w:tcPr>
            <w:tcW w:w="1540" w:type="dxa"/>
            <w:vAlign w:val="bottom"/>
          </w:tcPr>
          <w:p w:rsidR="0000686B" w:rsidRPr="004D3EB9" w:rsidRDefault="0000686B" w:rsidP="005A2287">
            <w:pPr>
              <w:rPr>
                <w:rFonts w:asciiTheme="minorHAnsi" w:hAnsiTheme="minorHAnsi"/>
                <w:b/>
                <w:i/>
                <w:color w:val="000000"/>
                <w:sz w:val="22"/>
                <w:u w:val="single"/>
                <w:vertAlign w:val="superscript"/>
              </w:rPr>
            </w:pPr>
            <w:r w:rsidRPr="004D3EB9">
              <w:rPr>
                <w:rFonts w:asciiTheme="minorHAnsi" w:hAnsiTheme="minorHAnsi"/>
                <w:sz w:val="22"/>
              </w:rPr>
              <w:t>37%</w:t>
            </w:r>
            <w:r>
              <w:rPr>
                <w:rFonts w:asciiTheme="minorHAnsi" w:hAnsiTheme="minorHAnsi"/>
                <w:sz w:val="22"/>
                <w:vertAlign w:val="superscript"/>
              </w:rPr>
              <w:t>2</w:t>
            </w:r>
          </w:p>
        </w:tc>
        <w:tc>
          <w:tcPr>
            <w:tcW w:w="1540" w:type="dxa"/>
            <w:vAlign w:val="bottom"/>
          </w:tcPr>
          <w:p w:rsidR="0000686B" w:rsidRPr="004D3EB9" w:rsidRDefault="0000686B" w:rsidP="005A2287">
            <w:pPr>
              <w:rPr>
                <w:rFonts w:asciiTheme="minorHAnsi" w:hAnsiTheme="minorHAnsi"/>
                <w:b/>
                <w:i/>
                <w:color w:val="000000"/>
                <w:sz w:val="22"/>
                <w:u w:val="single"/>
                <w:vertAlign w:val="superscript"/>
              </w:rPr>
            </w:pPr>
            <w:r w:rsidRPr="004D3EB9">
              <w:rPr>
                <w:rFonts w:asciiTheme="minorHAnsi" w:hAnsiTheme="minorHAnsi"/>
                <w:sz w:val="22"/>
              </w:rPr>
              <w:t>43</w:t>
            </w:r>
            <w:r>
              <w:rPr>
                <w:rFonts w:asciiTheme="minorHAnsi" w:hAnsiTheme="minorHAnsi"/>
                <w:sz w:val="22"/>
              </w:rPr>
              <w:t>%</w:t>
            </w:r>
            <w:r>
              <w:rPr>
                <w:rFonts w:asciiTheme="minorHAnsi" w:hAnsiTheme="minorHAnsi"/>
                <w:sz w:val="22"/>
                <w:vertAlign w:val="superscript"/>
              </w:rPr>
              <w:t>3</w:t>
            </w:r>
          </w:p>
        </w:tc>
        <w:tc>
          <w:tcPr>
            <w:tcW w:w="1541" w:type="dxa"/>
            <w:vAlign w:val="bottom"/>
          </w:tcPr>
          <w:p w:rsidR="0000686B" w:rsidRPr="004D3EB9" w:rsidRDefault="0000686B" w:rsidP="005A2287">
            <w:pPr>
              <w:rPr>
                <w:rFonts w:asciiTheme="minorHAnsi" w:hAnsiTheme="minorHAnsi"/>
                <w:b/>
                <w:i/>
                <w:color w:val="000000"/>
                <w:sz w:val="22"/>
                <w:u w:val="single"/>
              </w:rPr>
            </w:pPr>
            <w:r w:rsidRPr="004D3EB9">
              <w:rPr>
                <w:rFonts w:asciiTheme="minorHAnsi" w:hAnsiTheme="minorHAnsi"/>
                <w:sz w:val="22"/>
              </w:rPr>
              <w:t>49</w:t>
            </w:r>
            <w:r>
              <w:rPr>
                <w:rFonts w:asciiTheme="minorHAnsi" w:hAnsiTheme="minorHAnsi"/>
                <w:sz w:val="22"/>
              </w:rPr>
              <w:t>%</w:t>
            </w:r>
            <w:r w:rsidRPr="004D3EB9">
              <w:rPr>
                <w:rFonts w:asciiTheme="minorHAnsi" w:hAnsiTheme="minorHAnsi"/>
                <w:sz w:val="22"/>
                <w:vertAlign w:val="superscript"/>
              </w:rPr>
              <w:t>3</w:t>
            </w:r>
          </w:p>
        </w:tc>
        <w:tc>
          <w:tcPr>
            <w:tcW w:w="1541" w:type="dxa"/>
            <w:vAlign w:val="bottom"/>
          </w:tcPr>
          <w:p w:rsidR="0000686B" w:rsidRPr="004D3EB9" w:rsidRDefault="0000686B" w:rsidP="005A2287">
            <w:pPr>
              <w:rPr>
                <w:rFonts w:asciiTheme="minorHAnsi" w:hAnsiTheme="minorHAnsi"/>
                <w:b/>
                <w:i/>
                <w:color w:val="000000"/>
                <w:sz w:val="22"/>
                <w:u w:val="single"/>
                <w:vertAlign w:val="superscript"/>
              </w:rPr>
            </w:pPr>
            <w:r w:rsidRPr="004D3EB9">
              <w:rPr>
                <w:rFonts w:asciiTheme="minorHAnsi" w:hAnsiTheme="minorHAnsi"/>
                <w:sz w:val="22"/>
              </w:rPr>
              <w:t>55</w:t>
            </w:r>
            <w:r>
              <w:rPr>
                <w:rFonts w:asciiTheme="minorHAnsi" w:hAnsiTheme="minorHAnsi"/>
                <w:sz w:val="22"/>
              </w:rPr>
              <w:t>%</w:t>
            </w:r>
            <w:r>
              <w:rPr>
                <w:rFonts w:asciiTheme="minorHAnsi" w:hAnsiTheme="minorHAnsi"/>
                <w:sz w:val="22"/>
                <w:vertAlign w:val="superscript"/>
              </w:rPr>
              <w:t>3</w:t>
            </w:r>
          </w:p>
        </w:tc>
      </w:tr>
      <w:tr w:rsidR="0000686B" w:rsidRPr="004D3EB9" w:rsidTr="005879E3">
        <w:tc>
          <w:tcPr>
            <w:tcW w:w="1540" w:type="dxa"/>
          </w:tcPr>
          <w:p w:rsidR="0000686B" w:rsidRPr="004D3EB9" w:rsidRDefault="0000686B" w:rsidP="005A2287">
            <w:pPr>
              <w:rPr>
                <w:rFonts w:asciiTheme="minorHAnsi" w:hAnsiTheme="minorHAnsi"/>
                <w:b/>
                <w:i/>
                <w:color w:val="000000"/>
                <w:sz w:val="22"/>
                <w:u w:val="single"/>
              </w:rPr>
            </w:pPr>
            <w:r w:rsidRPr="004D3EB9">
              <w:rPr>
                <w:rFonts w:asciiTheme="minorHAnsi" w:hAnsiTheme="minorHAnsi"/>
                <w:b/>
                <w:sz w:val="22"/>
              </w:rPr>
              <w:t>rosuvastatin</w:t>
            </w:r>
          </w:p>
        </w:tc>
        <w:tc>
          <w:tcPr>
            <w:tcW w:w="1540" w:type="dxa"/>
            <w:vAlign w:val="bottom"/>
          </w:tcPr>
          <w:p w:rsidR="0000686B" w:rsidRPr="004D3EB9" w:rsidRDefault="0000686B" w:rsidP="005A2287">
            <w:pPr>
              <w:rPr>
                <w:rFonts w:asciiTheme="minorHAnsi" w:hAnsiTheme="minorHAnsi"/>
                <w:b/>
                <w:i/>
                <w:color w:val="000000"/>
                <w:sz w:val="22"/>
                <w:u w:val="single"/>
                <w:vertAlign w:val="superscript"/>
              </w:rPr>
            </w:pPr>
            <w:r w:rsidRPr="004D3EB9">
              <w:rPr>
                <w:rFonts w:asciiTheme="minorHAnsi" w:hAnsiTheme="minorHAnsi"/>
                <w:sz w:val="22"/>
              </w:rPr>
              <w:t>38%</w:t>
            </w:r>
            <w:r>
              <w:rPr>
                <w:rFonts w:asciiTheme="minorHAnsi" w:hAnsiTheme="minorHAnsi"/>
                <w:sz w:val="22"/>
                <w:vertAlign w:val="superscript"/>
              </w:rPr>
              <w:t>2</w:t>
            </w:r>
          </w:p>
        </w:tc>
        <w:tc>
          <w:tcPr>
            <w:tcW w:w="1540" w:type="dxa"/>
            <w:vAlign w:val="bottom"/>
          </w:tcPr>
          <w:p w:rsidR="0000686B" w:rsidRPr="004D3EB9" w:rsidRDefault="0000686B" w:rsidP="005A2287">
            <w:pPr>
              <w:rPr>
                <w:rFonts w:asciiTheme="minorHAnsi" w:hAnsiTheme="minorHAnsi"/>
                <w:b/>
                <w:i/>
                <w:color w:val="000000"/>
                <w:sz w:val="22"/>
                <w:u w:val="single"/>
                <w:vertAlign w:val="superscript"/>
              </w:rPr>
            </w:pPr>
            <w:r w:rsidRPr="004D3EB9">
              <w:rPr>
                <w:rFonts w:asciiTheme="minorHAnsi" w:hAnsiTheme="minorHAnsi"/>
                <w:sz w:val="22"/>
              </w:rPr>
              <w:t>43%</w:t>
            </w:r>
            <w:r>
              <w:rPr>
                <w:rFonts w:asciiTheme="minorHAnsi" w:hAnsiTheme="minorHAnsi"/>
                <w:sz w:val="22"/>
                <w:vertAlign w:val="superscript"/>
              </w:rPr>
              <w:t>3</w:t>
            </w:r>
          </w:p>
        </w:tc>
        <w:tc>
          <w:tcPr>
            <w:tcW w:w="1540" w:type="dxa"/>
            <w:vAlign w:val="bottom"/>
          </w:tcPr>
          <w:p w:rsidR="0000686B" w:rsidRPr="004D3EB9" w:rsidRDefault="0000686B" w:rsidP="005A2287">
            <w:pPr>
              <w:rPr>
                <w:rFonts w:asciiTheme="minorHAnsi" w:hAnsiTheme="minorHAnsi"/>
                <w:b/>
                <w:i/>
                <w:color w:val="000000"/>
                <w:sz w:val="22"/>
                <w:u w:val="single"/>
                <w:vertAlign w:val="superscript"/>
              </w:rPr>
            </w:pPr>
            <w:r w:rsidRPr="004D3EB9">
              <w:rPr>
                <w:rFonts w:asciiTheme="minorHAnsi" w:hAnsiTheme="minorHAnsi"/>
                <w:sz w:val="22"/>
              </w:rPr>
              <w:t>48</w:t>
            </w:r>
            <w:r>
              <w:rPr>
                <w:rFonts w:asciiTheme="minorHAnsi" w:hAnsiTheme="minorHAnsi"/>
                <w:sz w:val="22"/>
              </w:rPr>
              <w:t>%</w:t>
            </w:r>
            <w:r>
              <w:rPr>
                <w:rFonts w:asciiTheme="minorHAnsi" w:hAnsiTheme="minorHAnsi"/>
                <w:sz w:val="22"/>
                <w:vertAlign w:val="superscript"/>
              </w:rPr>
              <w:t>3</w:t>
            </w:r>
          </w:p>
        </w:tc>
        <w:tc>
          <w:tcPr>
            <w:tcW w:w="1541" w:type="dxa"/>
            <w:vAlign w:val="bottom"/>
          </w:tcPr>
          <w:p w:rsidR="0000686B" w:rsidRPr="004D3EB9" w:rsidRDefault="0000686B" w:rsidP="005A2287">
            <w:pPr>
              <w:rPr>
                <w:rFonts w:asciiTheme="minorHAnsi" w:hAnsiTheme="minorHAnsi"/>
                <w:b/>
                <w:i/>
                <w:color w:val="000000"/>
                <w:sz w:val="22"/>
                <w:u w:val="single"/>
              </w:rPr>
            </w:pPr>
            <w:r w:rsidRPr="004D3EB9">
              <w:rPr>
                <w:rFonts w:asciiTheme="minorHAnsi" w:hAnsiTheme="minorHAnsi"/>
                <w:sz w:val="22"/>
              </w:rPr>
              <w:t>53</w:t>
            </w:r>
            <w:r>
              <w:rPr>
                <w:rFonts w:asciiTheme="minorHAnsi" w:hAnsiTheme="minorHAnsi"/>
                <w:sz w:val="22"/>
              </w:rPr>
              <w:t>%</w:t>
            </w:r>
            <w:r w:rsidRPr="004D3EB9">
              <w:rPr>
                <w:rFonts w:asciiTheme="minorHAnsi" w:hAnsiTheme="minorHAnsi"/>
                <w:sz w:val="22"/>
                <w:vertAlign w:val="superscript"/>
              </w:rPr>
              <w:t>3</w:t>
            </w:r>
          </w:p>
        </w:tc>
        <w:tc>
          <w:tcPr>
            <w:tcW w:w="1541" w:type="dxa"/>
            <w:vAlign w:val="bottom"/>
          </w:tcPr>
          <w:p w:rsidR="0000686B" w:rsidRPr="004D3EB9" w:rsidRDefault="0000686B" w:rsidP="005A2287">
            <w:pPr>
              <w:rPr>
                <w:rFonts w:asciiTheme="minorHAnsi" w:hAnsiTheme="minorHAnsi"/>
                <w:b/>
                <w:i/>
                <w:color w:val="000000"/>
                <w:sz w:val="22"/>
                <w:u w:val="single"/>
              </w:rPr>
            </w:pPr>
            <w:r w:rsidRPr="004D3EB9">
              <w:rPr>
                <w:rFonts w:asciiTheme="minorHAnsi" w:hAnsiTheme="minorHAnsi"/>
                <w:sz w:val="22"/>
              </w:rPr>
              <w:t>-</w:t>
            </w:r>
          </w:p>
        </w:tc>
      </w:tr>
    </w:tbl>
    <w:p w:rsidR="0000686B" w:rsidRPr="005B6CB9" w:rsidRDefault="0000686B" w:rsidP="005A2287">
      <w:pPr>
        <w:spacing w:line="240" w:lineRule="auto"/>
        <w:rPr>
          <w:rFonts w:asciiTheme="minorHAnsi" w:hAnsiTheme="minorHAnsi"/>
          <w:sz w:val="20"/>
          <w:szCs w:val="20"/>
        </w:rPr>
      </w:pPr>
      <w:r w:rsidRPr="005B6CB9">
        <w:rPr>
          <w:rFonts w:asciiTheme="minorHAnsi" w:hAnsiTheme="minorHAnsi"/>
          <w:sz w:val="20"/>
          <w:szCs w:val="20"/>
        </w:rPr>
        <w:t>Source Table 1, Appendix A; 2014 NICE Guidance/cg181. Reproduced from Review of Clinical Guidelines-CPHR Deakin University, p50.</w:t>
      </w:r>
    </w:p>
    <w:p w:rsidR="0000686B" w:rsidRPr="003E59D9" w:rsidRDefault="0000686B">
      <w:pPr>
        <w:spacing w:line="240" w:lineRule="auto"/>
        <w:rPr>
          <w:rFonts w:asciiTheme="minorHAnsi" w:hAnsiTheme="minorHAnsi"/>
          <w:sz w:val="20"/>
          <w:szCs w:val="20"/>
        </w:rPr>
      </w:pPr>
      <w:r w:rsidRPr="003E59D9">
        <w:rPr>
          <w:rFonts w:asciiTheme="minorHAnsi" w:hAnsiTheme="minorHAnsi"/>
          <w:sz w:val="20"/>
          <w:szCs w:val="20"/>
          <w:vertAlign w:val="superscript"/>
        </w:rPr>
        <w:t>1</w:t>
      </w:r>
      <w:r w:rsidRPr="003E59D9">
        <w:rPr>
          <w:rFonts w:asciiTheme="minorHAnsi" w:hAnsiTheme="minorHAnsi"/>
          <w:sz w:val="20"/>
          <w:szCs w:val="20"/>
        </w:rPr>
        <w:t xml:space="preserve">20%-30%: low intensity, </w:t>
      </w:r>
      <w:r w:rsidRPr="003E59D9">
        <w:rPr>
          <w:rFonts w:asciiTheme="minorHAnsi" w:hAnsiTheme="minorHAnsi"/>
          <w:sz w:val="20"/>
          <w:szCs w:val="20"/>
          <w:vertAlign w:val="superscript"/>
        </w:rPr>
        <w:t>2</w:t>
      </w:r>
      <w:r w:rsidRPr="003E59D9">
        <w:rPr>
          <w:rFonts w:asciiTheme="minorHAnsi" w:hAnsiTheme="minorHAnsi"/>
          <w:sz w:val="20"/>
          <w:szCs w:val="20"/>
        </w:rPr>
        <w:t xml:space="preserve">31%-40%: medium intensity, </w:t>
      </w:r>
      <w:r w:rsidRPr="003E59D9">
        <w:rPr>
          <w:rFonts w:asciiTheme="minorHAnsi" w:hAnsiTheme="minorHAnsi"/>
          <w:sz w:val="20"/>
          <w:szCs w:val="20"/>
          <w:vertAlign w:val="superscript"/>
        </w:rPr>
        <w:t>3</w:t>
      </w:r>
      <w:r w:rsidRPr="003E59D9">
        <w:rPr>
          <w:rFonts w:asciiTheme="minorHAnsi" w:hAnsiTheme="minorHAnsi"/>
          <w:sz w:val="20"/>
          <w:szCs w:val="20"/>
        </w:rPr>
        <w:t>Above 40%:</w:t>
      </w:r>
      <w:r w:rsidRPr="00951A4A">
        <w:rPr>
          <w:rFonts w:asciiTheme="minorHAnsi" w:hAnsiTheme="minorHAnsi"/>
          <w:sz w:val="20"/>
          <w:szCs w:val="20"/>
        </w:rPr>
        <w:t xml:space="preserve"> high intensity, </w:t>
      </w:r>
      <w:r w:rsidRPr="00951A4A">
        <w:rPr>
          <w:rFonts w:asciiTheme="minorHAnsi" w:hAnsiTheme="minorHAnsi"/>
          <w:sz w:val="20"/>
          <w:szCs w:val="20"/>
          <w:vertAlign w:val="superscript"/>
        </w:rPr>
        <w:t>4</w:t>
      </w:r>
      <w:r w:rsidRPr="00471D64">
        <w:rPr>
          <w:rFonts w:asciiTheme="minorHAnsi" w:hAnsiTheme="minorHAnsi"/>
          <w:sz w:val="20"/>
          <w:szCs w:val="20"/>
        </w:rPr>
        <w:t xml:space="preserve">Advice from </w:t>
      </w:r>
      <w:r w:rsidRPr="003E59D9">
        <w:rPr>
          <w:rFonts w:asciiTheme="minorHAnsi" w:hAnsiTheme="minorHAnsi"/>
          <w:sz w:val="20"/>
          <w:szCs w:val="20"/>
        </w:rPr>
        <w:t>Medicines and Healthcare products Regulatory Agency</w:t>
      </w:r>
      <w:r>
        <w:rPr>
          <w:rFonts w:asciiTheme="minorHAnsi" w:hAnsiTheme="minorHAnsi"/>
          <w:sz w:val="20"/>
          <w:szCs w:val="20"/>
        </w:rPr>
        <w:t xml:space="preserve"> </w:t>
      </w:r>
      <w:r w:rsidRPr="003E59D9">
        <w:rPr>
          <w:rFonts w:asciiTheme="minorHAnsi" w:hAnsiTheme="minorHAnsi"/>
          <w:sz w:val="20"/>
          <w:szCs w:val="20"/>
        </w:rPr>
        <w:t>(MHRA): there is an increased risk of myopathy associated with high dose (80 mg simvastatin)</w:t>
      </w:r>
    </w:p>
    <w:p w:rsidR="001955A7" w:rsidRDefault="0000686B">
      <w:pPr>
        <w:spacing w:line="240" w:lineRule="auto"/>
        <w:rPr>
          <w:rFonts w:asciiTheme="minorHAnsi" w:hAnsiTheme="minorHAnsi"/>
        </w:rPr>
      </w:pPr>
      <w:r w:rsidRPr="00D66744">
        <w:rPr>
          <w:rFonts w:asciiTheme="minorHAnsi" w:hAnsiTheme="minorHAnsi"/>
        </w:rPr>
        <w:t>Established practice prior to the IMPROVE-IT study has been to use a statin first due to the greater volume of evidence available for statins that a reduction in LDL-C translates to reduced cardiovascular risk. A 1</w:t>
      </w:r>
      <w:r w:rsidRPr="00EA04CE">
        <w:rPr>
          <w:rFonts w:asciiTheme="minorHAnsi" w:hAnsiTheme="minorHAnsi"/>
        </w:rPr>
        <w:t xml:space="preserve">mmol/L decrease in LDL-C </w:t>
      </w:r>
      <w:r>
        <w:rPr>
          <w:rFonts w:asciiTheme="minorHAnsi" w:hAnsiTheme="minorHAnsi"/>
        </w:rPr>
        <w:t xml:space="preserve">by statin therapy </w:t>
      </w:r>
      <w:r w:rsidRPr="00EA04CE">
        <w:rPr>
          <w:rFonts w:asciiTheme="minorHAnsi" w:hAnsiTheme="minorHAnsi"/>
        </w:rPr>
        <w:t>reduc</w:t>
      </w:r>
      <w:r>
        <w:rPr>
          <w:rFonts w:asciiTheme="minorHAnsi" w:hAnsiTheme="minorHAnsi"/>
        </w:rPr>
        <w:t xml:space="preserve">es </w:t>
      </w:r>
      <w:r w:rsidRPr="00EA04CE">
        <w:rPr>
          <w:rFonts w:asciiTheme="minorHAnsi" w:hAnsiTheme="minorHAnsi"/>
        </w:rPr>
        <w:t xml:space="preserve">cardiovascular risk by </w:t>
      </w:r>
      <w:r>
        <w:rPr>
          <w:rFonts w:asciiTheme="minorHAnsi" w:hAnsiTheme="minorHAnsi"/>
        </w:rPr>
        <w:t>approximately 22</w:t>
      </w:r>
      <w:r w:rsidRPr="00EA04CE">
        <w:rPr>
          <w:rFonts w:asciiTheme="minorHAnsi" w:hAnsiTheme="minorHAnsi"/>
        </w:rPr>
        <w:t xml:space="preserve">%. Results from IMPROVE-IT confirm that ezetimibe lowers risk of cardiovascular events </w:t>
      </w:r>
      <w:r>
        <w:rPr>
          <w:rFonts w:asciiTheme="minorHAnsi" w:hAnsiTheme="minorHAnsi"/>
        </w:rPr>
        <w:t>to an extent</w:t>
      </w:r>
      <w:r w:rsidRPr="00EA04CE">
        <w:rPr>
          <w:rFonts w:asciiTheme="minorHAnsi" w:hAnsiTheme="minorHAnsi"/>
        </w:rPr>
        <w:t xml:space="preserve"> predicted by </w:t>
      </w:r>
      <w:r>
        <w:rPr>
          <w:rFonts w:asciiTheme="minorHAnsi" w:hAnsiTheme="minorHAnsi"/>
        </w:rPr>
        <w:t>the relationship between absolute LDL reduction and CV risk obtained from previous studies with other lipid-lowering agents</w:t>
      </w:r>
      <w:r w:rsidRPr="00EA04CE">
        <w:rPr>
          <w:rFonts w:asciiTheme="minorHAnsi" w:hAnsiTheme="minorHAnsi"/>
        </w:rPr>
        <w:t>.</w:t>
      </w:r>
      <w:r>
        <w:rPr>
          <w:rFonts w:asciiTheme="minorHAnsi" w:hAnsiTheme="minorHAnsi"/>
        </w:rPr>
        <w:t xml:space="preserve"> These results confirm that r</w:t>
      </w:r>
      <w:r w:rsidRPr="00EA04CE">
        <w:rPr>
          <w:rFonts w:asciiTheme="minorHAnsi" w:hAnsiTheme="minorHAnsi"/>
        </w:rPr>
        <w:t xml:space="preserve">eduction in LDL-C appeared to be a valid surrogate for a reduction in rate of major vascular events </w:t>
      </w:r>
      <w:r>
        <w:rPr>
          <w:rFonts w:asciiTheme="minorHAnsi" w:hAnsiTheme="minorHAnsi"/>
        </w:rPr>
        <w:t xml:space="preserve">as shown in </w:t>
      </w:r>
      <w:r w:rsidRPr="00EA04CE">
        <w:rPr>
          <w:rFonts w:asciiTheme="minorHAnsi" w:hAnsiTheme="minorHAnsi"/>
        </w:rPr>
        <w:t xml:space="preserve">Figure </w:t>
      </w:r>
      <w:r w:rsidR="008864E8">
        <w:rPr>
          <w:rFonts w:asciiTheme="minorHAnsi" w:hAnsiTheme="minorHAnsi"/>
        </w:rPr>
        <w:t>3</w:t>
      </w:r>
      <w:r w:rsidRPr="00EA04CE">
        <w:rPr>
          <w:rFonts w:asciiTheme="minorHAnsi" w:hAnsiTheme="minorHAnsi"/>
        </w:rPr>
        <w:t xml:space="preserve"> below. </w:t>
      </w:r>
    </w:p>
    <w:p w:rsidR="001955A7" w:rsidRDefault="001955A7">
      <w:pPr>
        <w:spacing w:after="0" w:line="240" w:lineRule="auto"/>
        <w:jc w:val="left"/>
        <w:rPr>
          <w:rFonts w:asciiTheme="minorHAnsi" w:hAnsiTheme="minorHAnsi"/>
        </w:rPr>
      </w:pPr>
      <w:r>
        <w:rPr>
          <w:rFonts w:asciiTheme="minorHAnsi" w:hAnsiTheme="minorHAnsi"/>
        </w:rPr>
        <w:br w:type="page"/>
      </w:r>
    </w:p>
    <w:p w:rsidR="0000686B" w:rsidRDefault="0000686B">
      <w:pPr>
        <w:spacing w:line="240" w:lineRule="auto"/>
        <w:rPr>
          <w:rFonts w:asciiTheme="minorHAnsi" w:hAnsiTheme="minorHAnsi"/>
        </w:rPr>
      </w:pPr>
    </w:p>
    <w:p w:rsidR="0000686B" w:rsidRPr="00AC4608" w:rsidRDefault="0000686B" w:rsidP="005A2287">
      <w:pPr>
        <w:pStyle w:val="Figuretitle"/>
        <w:jc w:val="both"/>
      </w:pPr>
      <w:r w:rsidRPr="00EA04CE">
        <w:t xml:space="preserve">Figure </w:t>
      </w:r>
      <w:r w:rsidR="008864E8">
        <w:t>3</w:t>
      </w:r>
      <w:r>
        <w:t>:</w:t>
      </w:r>
      <w:r w:rsidRPr="00EA04CE">
        <w:t xml:space="preserve"> Plot of the IMPROVE-IT Trial Data and Statin Trials for Change in Low-Density Lipoprotein (LDL) Cholesterol versus Clinical Benefit.</w:t>
      </w:r>
    </w:p>
    <w:p w:rsidR="0000686B" w:rsidRDefault="0000686B" w:rsidP="005A2287">
      <w:pPr>
        <w:spacing w:line="240" w:lineRule="auto"/>
        <w:rPr>
          <w:rFonts w:asciiTheme="minorHAnsi" w:hAnsiTheme="minorHAnsi"/>
        </w:rPr>
      </w:pPr>
      <w:r w:rsidRPr="00AC4608">
        <w:rPr>
          <w:rFonts w:asciiTheme="minorHAnsi" w:hAnsiTheme="minorHAnsi"/>
          <w:noProof/>
          <w:lang w:eastAsia="en-AU"/>
        </w:rPr>
        <w:drawing>
          <wp:inline distT="0" distB="0" distL="0" distR="0" wp14:anchorId="73790957" wp14:editId="05683FD3">
            <wp:extent cx="4868292" cy="2790825"/>
            <wp:effectExtent l="0" t="0" r="889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81930" cy="2798643"/>
                    </a:xfrm>
                    <a:prstGeom prst="rect">
                      <a:avLst/>
                    </a:prstGeom>
                    <a:noFill/>
                    <a:ln>
                      <a:noFill/>
                    </a:ln>
                    <a:extLst/>
                  </pic:spPr>
                </pic:pic>
              </a:graphicData>
            </a:graphic>
          </wp:inline>
        </w:drawing>
      </w:r>
    </w:p>
    <w:p w:rsidR="0000686B" w:rsidRPr="00AC4608" w:rsidRDefault="0000686B" w:rsidP="005A2287">
      <w:pPr>
        <w:pStyle w:val="Figurecaption"/>
        <w:jc w:val="both"/>
      </w:pPr>
      <w:r w:rsidRPr="009C4FE6">
        <w:t xml:space="preserve">Source: Cannon et al. </w:t>
      </w:r>
      <w:r w:rsidRPr="00AC4608">
        <w:t xml:space="preserve">(2015). Ezetimibe added to statin therapy after acute coronary syndromes. </w:t>
      </w:r>
      <w:r w:rsidRPr="009C4FE6">
        <w:t xml:space="preserve">The New England Journal of Medicine, </w:t>
      </w:r>
      <w:r w:rsidRPr="00AC4608">
        <w:t>372:2387-2397</w:t>
      </w:r>
    </w:p>
    <w:p w:rsidR="0000686B" w:rsidRDefault="0000686B" w:rsidP="005A2287">
      <w:pPr>
        <w:spacing w:line="240" w:lineRule="auto"/>
        <w:rPr>
          <w:rFonts w:asciiTheme="minorHAnsi" w:hAnsiTheme="minorHAnsi"/>
        </w:rPr>
      </w:pPr>
    </w:p>
    <w:p w:rsidR="00D8141C" w:rsidRPr="0062453D" w:rsidRDefault="0000686B" w:rsidP="00920324">
      <w:pPr>
        <w:spacing w:line="240" w:lineRule="auto"/>
        <w:rPr>
          <w:rFonts w:asciiTheme="minorHAnsi" w:hAnsiTheme="minorHAnsi"/>
        </w:rPr>
      </w:pPr>
      <w:r w:rsidRPr="0062453D">
        <w:rPr>
          <w:rFonts w:asciiTheme="minorHAnsi" w:hAnsiTheme="minorHAnsi"/>
        </w:rPr>
        <w:t>The risk reduction observed in the IMPROVE IT trial was also consistent with the absolute reduction in LDL-C predicted by the C</w:t>
      </w:r>
      <w:r>
        <w:rPr>
          <w:rFonts w:asciiTheme="minorHAnsi" w:hAnsiTheme="minorHAnsi"/>
        </w:rPr>
        <w:t xml:space="preserve">holesterol </w:t>
      </w:r>
      <w:r w:rsidRPr="0062453D">
        <w:rPr>
          <w:rFonts w:asciiTheme="minorHAnsi" w:hAnsiTheme="minorHAnsi"/>
        </w:rPr>
        <w:t>T</w:t>
      </w:r>
      <w:r>
        <w:rPr>
          <w:rFonts w:asciiTheme="minorHAnsi" w:hAnsiTheme="minorHAnsi"/>
        </w:rPr>
        <w:t xml:space="preserve">reatment </w:t>
      </w:r>
      <w:r w:rsidRPr="0062453D">
        <w:rPr>
          <w:rFonts w:asciiTheme="minorHAnsi" w:hAnsiTheme="minorHAnsi"/>
        </w:rPr>
        <w:t>T</w:t>
      </w:r>
      <w:r>
        <w:rPr>
          <w:rFonts w:asciiTheme="minorHAnsi" w:hAnsiTheme="minorHAnsi"/>
        </w:rPr>
        <w:t>rialists (CTT)</w:t>
      </w:r>
      <w:r w:rsidRPr="0062453D">
        <w:rPr>
          <w:rFonts w:asciiTheme="minorHAnsi" w:hAnsiTheme="minorHAnsi"/>
        </w:rPr>
        <w:t xml:space="preserve"> statin derived regression line</w:t>
      </w:r>
      <w:r>
        <w:rPr>
          <w:rFonts w:asciiTheme="minorHAnsi" w:hAnsiTheme="minorHAnsi"/>
        </w:rPr>
        <w:t xml:space="preserve">. This supports </w:t>
      </w:r>
      <w:r w:rsidRPr="0062453D">
        <w:rPr>
          <w:rFonts w:asciiTheme="minorHAnsi" w:hAnsiTheme="minorHAnsi"/>
        </w:rPr>
        <w:t>the notion that LDL-C reduction by statins and ezetimibe confer similar benefits and that the real determinant of the relative risk reduction is the magnitude of the change in LDL-C rather than the mechanism by which th</w:t>
      </w:r>
      <w:r>
        <w:rPr>
          <w:rFonts w:asciiTheme="minorHAnsi" w:hAnsiTheme="minorHAnsi"/>
        </w:rPr>
        <w:t>e reduction</w:t>
      </w:r>
      <w:r w:rsidRPr="0062453D">
        <w:rPr>
          <w:rFonts w:asciiTheme="minorHAnsi" w:hAnsiTheme="minorHAnsi"/>
        </w:rPr>
        <w:t xml:space="preserve"> is achieved</w:t>
      </w:r>
      <w:r w:rsidR="004C6F07">
        <w:rPr>
          <w:rStyle w:val="EndnoteReference"/>
          <w:rFonts w:asciiTheme="minorHAnsi" w:hAnsiTheme="minorHAnsi"/>
        </w:rPr>
        <w:endnoteReference w:id="62"/>
      </w:r>
      <w:r w:rsidR="004C6F07" w:rsidRPr="0062453D">
        <w:rPr>
          <w:rFonts w:asciiTheme="minorHAnsi" w:hAnsiTheme="minorHAnsi"/>
        </w:rPr>
        <w:t>.</w:t>
      </w:r>
    </w:p>
    <w:p w:rsidR="0000686B" w:rsidRDefault="0000686B">
      <w:pPr>
        <w:spacing w:line="240" w:lineRule="auto"/>
        <w:rPr>
          <w:rFonts w:asciiTheme="minorHAnsi" w:hAnsiTheme="minorHAnsi"/>
        </w:rPr>
      </w:pPr>
      <w:r w:rsidRPr="00EA04CE">
        <w:rPr>
          <w:rFonts w:asciiTheme="minorHAnsi" w:hAnsiTheme="minorHAnsi"/>
        </w:rPr>
        <w:t>Whilst IMPROVE-IT is a secondary prevention study</w:t>
      </w:r>
      <w:r>
        <w:rPr>
          <w:rFonts w:asciiTheme="minorHAnsi" w:hAnsiTheme="minorHAnsi"/>
        </w:rPr>
        <w:t xml:space="preserve"> with a number of applicability issues to the Australian primary prevention population, and long</w:t>
      </w:r>
      <w:r w:rsidR="00F7627D">
        <w:rPr>
          <w:rFonts w:asciiTheme="minorHAnsi" w:hAnsiTheme="minorHAnsi"/>
        </w:rPr>
        <w:t>-</w:t>
      </w:r>
      <w:r>
        <w:rPr>
          <w:rFonts w:asciiTheme="minorHAnsi" w:hAnsiTheme="minorHAnsi"/>
        </w:rPr>
        <w:t xml:space="preserve">term patient outcomes may not be fully generalisable to the target population, </w:t>
      </w:r>
      <w:r w:rsidRPr="00EA04CE">
        <w:rPr>
          <w:rFonts w:asciiTheme="minorHAnsi" w:hAnsiTheme="minorHAnsi"/>
        </w:rPr>
        <w:t xml:space="preserve">it </w:t>
      </w:r>
      <w:r>
        <w:rPr>
          <w:rFonts w:asciiTheme="minorHAnsi" w:hAnsiTheme="minorHAnsi"/>
        </w:rPr>
        <w:t xml:space="preserve">is none the less a significant trial with positive patient outcomes and predictable benefit. </w:t>
      </w:r>
      <w:r w:rsidRPr="00EA04CE">
        <w:rPr>
          <w:rFonts w:asciiTheme="minorHAnsi" w:hAnsiTheme="minorHAnsi"/>
        </w:rPr>
        <w:t xml:space="preserve">The trial showed a small but statistically significant 7.2% relative reduction in the risk of cardiovascular events (combined composite primary endpoint of coronary heart disease death, myocardial infarction and urgent coronary revascularization) in more than 18,000 patients with a recent coronary event, followed for </w:t>
      </w:r>
      <w:r>
        <w:rPr>
          <w:rFonts w:asciiTheme="minorHAnsi" w:hAnsiTheme="minorHAnsi"/>
        </w:rPr>
        <w:t>seven</w:t>
      </w:r>
      <w:r w:rsidRPr="00EA04CE">
        <w:rPr>
          <w:rFonts w:asciiTheme="minorHAnsi" w:hAnsiTheme="minorHAnsi"/>
        </w:rPr>
        <w:t xml:space="preserve"> years. This </w:t>
      </w:r>
      <w:r>
        <w:rPr>
          <w:rFonts w:asciiTheme="minorHAnsi" w:hAnsiTheme="minorHAnsi"/>
        </w:rPr>
        <w:t xml:space="preserve">reduction in CV outcome </w:t>
      </w:r>
      <w:r w:rsidRPr="00EA04CE">
        <w:rPr>
          <w:rFonts w:asciiTheme="minorHAnsi" w:hAnsiTheme="minorHAnsi"/>
        </w:rPr>
        <w:t>was close to that predicted by the absolute reduction in LDL-C</w:t>
      </w:r>
      <w:r>
        <w:rPr>
          <w:rFonts w:asciiTheme="minorHAnsi" w:hAnsiTheme="minorHAnsi"/>
        </w:rPr>
        <w:t xml:space="preserve"> observed in the trial</w:t>
      </w:r>
      <w:r w:rsidRPr="00EA04CE">
        <w:rPr>
          <w:rFonts w:asciiTheme="minorHAnsi" w:hAnsiTheme="minorHAnsi"/>
        </w:rPr>
        <w:t>. The hazard ratio for clinical benefit per millimole of LDL-C reduction with ezetimibe in IMPROVE-IT was 0.80 (95%CI 0.68-0.94), as compared with 0.78 (95%CI 0.76-0.80) observed with statins in the Cholesterol Treatment Trialists' Collaboration (CTTC) meta-analysis</w:t>
      </w:r>
      <w:r w:rsidR="007D17F0">
        <w:rPr>
          <w:rStyle w:val="EndnoteReference"/>
          <w:rFonts w:asciiTheme="minorHAnsi" w:hAnsiTheme="minorHAnsi"/>
        </w:rPr>
        <w:endnoteReference w:id="63"/>
      </w:r>
      <w:r w:rsidRPr="00EA04CE">
        <w:rPr>
          <w:rFonts w:asciiTheme="minorHAnsi" w:hAnsiTheme="minorHAnsi"/>
        </w:rPr>
        <w:t>. However, the FDA expressed concern that this small effect would be further reduced in a primary prevention cohort</w:t>
      </w:r>
      <w:r w:rsidR="009A05CB" w:rsidRPr="00EA04CE">
        <w:rPr>
          <w:rFonts w:asciiTheme="minorHAnsi" w:hAnsiTheme="minorHAnsi"/>
        </w:rPr>
        <w:t>.</w:t>
      </w:r>
      <w:r w:rsidR="004C6F07">
        <w:rPr>
          <w:rStyle w:val="EndnoteReference"/>
          <w:rFonts w:asciiTheme="minorHAnsi" w:hAnsiTheme="minorHAnsi"/>
        </w:rPr>
        <w:endnoteReference w:id="64"/>
      </w:r>
      <w:r w:rsidR="004C6F07" w:rsidRPr="00EA04CE">
        <w:rPr>
          <w:rFonts w:asciiTheme="minorHAnsi" w:hAnsiTheme="minorHAnsi"/>
        </w:rPr>
        <w:t xml:space="preserve"> </w:t>
      </w:r>
    </w:p>
    <w:p w:rsidR="0000686B" w:rsidRDefault="0000686B">
      <w:pPr>
        <w:spacing w:line="240" w:lineRule="auto"/>
        <w:rPr>
          <w:rFonts w:asciiTheme="minorHAnsi" w:hAnsiTheme="minorHAnsi"/>
        </w:rPr>
      </w:pPr>
      <w:r>
        <w:rPr>
          <w:rFonts w:asciiTheme="minorHAnsi" w:hAnsiTheme="minorHAnsi"/>
        </w:rPr>
        <w:t xml:space="preserve">The Reference Group considered IMPROVE-IT supports the hypothesis that the magnitude of the reduction in LDL-C concentration is a valid surrogate outcome for a </w:t>
      </w:r>
      <w:r>
        <w:rPr>
          <w:rFonts w:asciiTheme="minorHAnsi" w:hAnsiTheme="minorHAnsi"/>
        </w:rPr>
        <w:lastRenderedPageBreak/>
        <w:t>predictable decrease in cardiovascular risk for patients taking ezetimibe. In addition, there do not appear to be long</w:t>
      </w:r>
      <w:r w:rsidR="00F7627D">
        <w:rPr>
          <w:rFonts w:asciiTheme="minorHAnsi" w:hAnsiTheme="minorHAnsi"/>
        </w:rPr>
        <w:t>-</w:t>
      </w:r>
      <w:r>
        <w:rPr>
          <w:rFonts w:asciiTheme="minorHAnsi" w:hAnsiTheme="minorHAnsi"/>
        </w:rPr>
        <w:t xml:space="preserve">term safety issues for ezetimibe. </w:t>
      </w:r>
    </w:p>
    <w:p w:rsidR="007173D3" w:rsidRPr="007173D3" w:rsidRDefault="003848A8" w:rsidP="005A2287">
      <w:pPr>
        <w:pStyle w:val="Heading2"/>
      </w:pPr>
      <w:bookmarkStart w:id="88" w:name="_Toc482176976"/>
      <w:r>
        <w:t>3.</w:t>
      </w:r>
      <w:r w:rsidR="007173D3" w:rsidRPr="007173D3">
        <w:t>3</w:t>
      </w:r>
      <w:r w:rsidR="0000686B" w:rsidRPr="007173D3">
        <w:tab/>
        <w:t>Economic evaluation of ezetimibe</w:t>
      </w:r>
      <w:bookmarkEnd w:id="88"/>
      <w:r w:rsidR="0000686B" w:rsidRPr="007173D3">
        <w:t xml:space="preserve"> </w:t>
      </w:r>
    </w:p>
    <w:p w:rsidR="003F37E9" w:rsidRPr="006A1EC2" w:rsidRDefault="003F37E9">
      <w:pPr>
        <w:pStyle w:val="ListParagraph"/>
        <w:spacing w:after="120" w:line="240" w:lineRule="auto"/>
        <w:ind w:left="0"/>
        <w:contextualSpacing w:val="0"/>
        <w:rPr>
          <w:rFonts w:asciiTheme="minorHAnsi" w:hAnsiTheme="minorHAnsi"/>
          <w:highlight w:val="yellow"/>
        </w:rPr>
      </w:pPr>
      <w:r w:rsidRPr="003F37E9">
        <w:rPr>
          <w:rFonts w:asciiTheme="minorHAnsi" w:hAnsiTheme="minorHAnsi"/>
          <w:highlight w:val="yellow"/>
        </w:rPr>
        <w:t xml:space="preserve">In April 2016, the sponsor of ezetimibe submitted a modelled economic evaluation as part of its submission to the Post-market Review. The economic evaluation assessed the cost-effectiveness of adding ezetimibe to background treatment with a statin (simvastatin 40 mg) in the patient population eligible for PBS subsidised ezetimibe therapy. The economic evaluation consisted of a Markov model and the base case presented </w:t>
      </w:r>
      <w:r w:rsidRPr="006A1EC2">
        <w:rPr>
          <w:rFonts w:asciiTheme="minorHAnsi" w:hAnsiTheme="minorHAnsi"/>
          <w:highlight w:val="yellow"/>
        </w:rPr>
        <w:t>by MSD applied:</w:t>
      </w:r>
    </w:p>
    <w:p w:rsidR="003F37E9" w:rsidRPr="006A1EC2" w:rsidRDefault="003F37E9">
      <w:pPr>
        <w:numPr>
          <w:ilvl w:val="0"/>
          <w:numId w:val="21"/>
        </w:numPr>
        <w:spacing w:after="160" w:line="259" w:lineRule="auto"/>
        <w:contextualSpacing/>
        <w:rPr>
          <w:rFonts w:asciiTheme="minorHAnsi" w:hAnsiTheme="minorHAnsi"/>
          <w:highlight w:val="yellow"/>
        </w:rPr>
      </w:pPr>
      <w:r w:rsidRPr="006A1EC2">
        <w:rPr>
          <w:rFonts w:asciiTheme="minorHAnsi" w:hAnsiTheme="minorHAnsi"/>
          <w:highlight w:val="yellow"/>
        </w:rPr>
        <w:t>Baseline BEACH SAND population patient characteristics;</w:t>
      </w:r>
    </w:p>
    <w:p w:rsidR="003F37E9" w:rsidRPr="006A1EC2" w:rsidRDefault="003F37E9">
      <w:pPr>
        <w:numPr>
          <w:ilvl w:val="0"/>
          <w:numId w:val="21"/>
        </w:numPr>
        <w:spacing w:after="160" w:line="259" w:lineRule="auto"/>
        <w:contextualSpacing/>
        <w:rPr>
          <w:rFonts w:asciiTheme="minorHAnsi" w:hAnsiTheme="minorHAnsi"/>
          <w:highlight w:val="yellow"/>
        </w:rPr>
      </w:pPr>
      <w:r w:rsidRPr="006A1EC2">
        <w:rPr>
          <w:rFonts w:asciiTheme="minorHAnsi" w:hAnsiTheme="minorHAnsi"/>
          <w:highlight w:val="yellow"/>
        </w:rPr>
        <w:t>The change in TC:HDL ratios from the 2006 meta-analysis of ezetimibe add-on trials -19.5% vs -2.6% in the ezetimibe and comparator arms, respectively;</w:t>
      </w:r>
    </w:p>
    <w:p w:rsidR="003F37E9" w:rsidRPr="006A1EC2" w:rsidRDefault="003F37E9">
      <w:pPr>
        <w:numPr>
          <w:ilvl w:val="0"/>
          <w:numId w:val="21"/>
        </w:numPr>
        <w:spacing w:after="160" w:line="259" w:lineRule="auto"/>
        <w:contextualSpacing/>
        <w:rPr>
          <w:rFonts w:asciiTheme="minorHAnsi" w:hAnsiTheme="minorHAnsi"/>
          <w:highlight w:val="yellow"/>
        </w:rPr>
      </w:pPr>
      <w:r w:rsidRPr="006A1EC2">
        <w:rPr>
          <w:rFonts w:asciiTheme="minorHAnsi" w:hAnsiTheme="minorHAnsi"/>
          <w:highlight w:val="yellow"/>
        </w:rPr>
        <w:t>Disutility value 0.055 for post-unstable angina and post MI;</w:t>
      </w:r>
    </w:p>
    <w:p w:rsidR="003F37E9" w:rsidRPr="006A1EC2" w:rsidRDefault="003F37E9">
      <w:pPr>
        <w:numPr>
          <w:ilvl w:val="0"/>
          <w:numId w:val="21"/>
        </w:numPr>
        <w:spacing w:after="160" w:line="259" w:lineRule="auto"/>
        <w:contextualSpacing/>
        <w:rPr>
          <w:rFonts w:ascii="Calibri" w:hAnsi="Calibri" w:cs="Times New Roman"/>
          <w:szCs w:val="20"/>
          <w:highlight w:val="yellow"/>
        </w:rPr>
      </w:pPr>
      <w:r w:rsidRPr="006A1EC2">
        <w:rPr>
          <w:rFonts w:asciiTheme="minorHAnsi" w:hAnsiTheme="minorHAnsi"/>
          <w:highlight w:val="yellow"/>
        </w:rPr>
        <w:t>Time horizon=70 years.</w:t>
      </w:r>
      <w:r w:rsidRPr="006A1EC2">
        <w:rPr>
          <w:rFonts w:ascii="Calibri" w:hAnsi="Calibri" w:cs="Times New Roman"/>
          <w:szCs w:val="20"/>
          <w:highlight w:val="yellow"/>
        </w:rPr>
        <w:t xml:space="preserve"> </w:t>
      </w:r>
    </w:p>
    <w:p w:rsidR="0000686B" w:rsidRDefault="0000686B">
      <w:pPr>
        <w:pStyle w:val="NormalWeb"/>
        <w:rPr>
          <w:color w:val="000000"/>
        </w:rPr>
      </w:pPr>
      <w:r w:rsidRPr="004A4450">
        <w:rPr>
          <w:rFonts w:asciiTheme="minorHAnsi" w:hAnsiTheme="minorHAnsi"/>
          <w:szCs w:val="22"/>
        </w:rPr>
        <w:t>This is the same Markov structure and transition probabilities as was previously considered by the PBAC in seven economic models for ezetimibe between December 2003 and March 2012.</w:t>
      </w:r>
    </w:p>
    <w:p w:rsidR="0000686B" w:rsidRPr="007701B6" w:rsidRDefault="0000686B">
      <w:pPr>
        <w:pStyle w:val="CommentText"/>
        <w:rPr>
          <w:rFonts w:asciiTheme="minorHAnsi" w:hAnsiTheme="minorHAnsi"/>
          <w:sz w:val="24"/>
          <w:szCs w:val="22"/>
        </w:rPr>
      </w:pPr>
      <w:r w:rsidRPr="000D3763">
        <w:rPr>
          <w:rFonts w:asciiTheme="minorHAnsi" w:hAnsiTheme="minorHAnsi"/>
          <w:sz w:val="24"/>
          <w:szCs w:val="22"/>
        </w:rPr>
        <w:t xml:space="preserve">The submission </w:t>
      </w:r>
      <w:r w:rsidRPr="000B59B6">
        <w:rPr>
          <w:rFonts w:asciiTheme="minorHAnsi" w:hAnsiTheme="minorHAnsi"/>
          <w:sz w:val="24"/>
          <w:szCs w:val="22"/>
        </w:rPr>
        <w:t xml:space="preserve">claimed that the reduction in CV events as observed in the IMPROVE-IT trial were consistent with the model presented previously to the PBAC. On this basis the submission presented an analysis of the cost-effectiveness of ezetimibe using the previous </w:t>
      </w:r>
      <w:r w:rsidRPr="007701B6">
        <w:rPr>
          <w:rFonts w:asciiTheme="minorHAnsi" w:hAnsiTheme="minorHAnsi"/>
          <w:sz w:val="24"/>
          <w:szCs w:val="22"/>
        </w:rPr>
        <w:t>model.</w:t>
      </w:r>
    </w:p>
    <w:p w:rsidR="0000686B" w:rsidRDefault="0000686B">
      <w:pPr>
        <w:spacing w:line="240" w:lineRule="auto"/>
        <w:rPr>
          <w:rFonts w:asciiTheme="minorHAnsi" w:hAnsiTheme="minorHAnsi"/>
        </w:rPr>
      </w:pPr>
      <w:r w:rsidRPr="007701B6">
        <w:rPr>
          <w:rFonts w:asciiTheme="minorHAnsi" w:hAnsiTheme="minorHAnsi"/>
        </w:rPr>
        <w:t xml:space="preserve">Whilst the Review </w:t>
      </w:r>
      <w:r w:rsidRPr="007701B6">
        <w:rPr>
          <w:rFonts w:asciiTheme="minorHAnsi" w:hAnsiTheme="minorHAnsi"/>
          <w:highlight w:val="yellow"/>
        </w:rPr>
        <w:t>was not able to</w:t>
      </w:r>
      <w:r w:rsidR="00E25060" w:rsidRPr="007701B6">
        <w:rPr>
          <w:rFonts w:asciiTheme="minorHAnsi" w:hAnsiTheme="minorHAnsi"/>
          <w:highlight w:val="yellow"/>
        </w:rPr>
        <w:t xml:space="preserve"> </w:t>
      </w:r>
      <w:r w:rsidRPr="007701B6">
        <w:rPr>
          <w:rFonts w:asciiTheme="minorHAnsi" w:hAnsiTheme="minorHAnsi"/>
          <w:highlight w:val="yellow"/>
        </w:rPr>
        <w:t>evaluate the model in the same manner as a submission to the PBAC, a</w:t>
      </w:r>
      <w:r w:rsidRPr="007701B6">
        <w:rPr>
          <w:rFonts w:asciiTheme="minorHAnsi" w:hAnsiTheme="minorHAnsi"/>
        </w:rPr>
        <w:t xml:space="preserve"> preliminary review of the model by health economists and the Reference Group noted the following issues with the</w:t>
      </w:r>
      <w:r w:rsidRPr="005B3E1D">
        <w:rPr>
          <w:rFonts w:asciiTheme="minorHAnsi" w:hAnsiTheme="minorHAnsi"/>
        </w:rPr>
        <w:t xml:space="preserve"> model:</w:t>
      </w:r>
    </w:p>
    <w:p w:rsidR="00B810F8" w:rsidRPr="007701B6" w:rsidRDefault="0000686B" w:rsidP="005A2287">
      <w:pPr>
        <w:pStyle w:val="ListParagraph"/>
        <w:numPr>
          <w:ilvl w:val="0"/>
          <w:numId w:val="24"/>
        </w:numPr>
        <w:spacing w:after="120" w:line="240" w:lineRule="auto"/>
        <w:ind w:left="425" w:hanging="425"/>
        <w:contextualSpacing w:val="0"/>
        <w:rPr>
          <w:rFonts w:asciiTheme="minorHAnsi" w:hAnsiTheme="minorHAnsi"/>
        </w:rPr>
      </w:pPr>
      <w:r w:rsidRPr="002B45CD">
        <w:rPr>
          <w:rFonts w:asciiTheme="minorHAnsi" w:hAnsiTheme="minorHAnsi"/>
        </w:rPr>
        <w:t>The submission stated that data from the IMPROVE-IT trial could be used to test the validity of the economic model used in previous PBAC submissions. Specifically, the submission considered that if the economic model accurately predicted the outcomes of the IMPROVE-IT trial, then it can reliably be used to assess the cost-effectiveness of ezetimibe in a broader patient population</w:t>
      </w:r>
      <w:r w:rsidR="003F37E9">
        <w:rPr>
          <w:rFonts w:asciiTheme="minorHAnsi" w:hAnsiTheme="minorHAnsi"/>
        </w:rPr>
        <w:t>.</w:t>
      </w:r>
      <w:r w:rsidR="00B810F8" w:rsidRPr="007701B6">
        <w:rPr>
          <w:rFonts w:asciiTheme="minorHAnsi" w:hAnsiTheme="minorHAnsi"/>
        </w:rPr>
        <w:t xml:space="preserve"> </w:t>
      </w:r>
    </w:p>
    <w:p w:rsidR="0000686B" w:rsidRDefault="0000686B" w:rsidP="005A2287">
      <w:pPr>
        <w:pStyle w:val="ListParagraph"/>
        <w:numPr>
          <w:ilvl w:val="0"/>
          <w:numId w:val="24"/>
        </w:numPr>
        <w:spacing w:after="120" w:line="240" w:lineRule="auto"/>
        <w:ind w:left="425" w:hanging="425"/>
        <w:contextualSpacing w:val="0"/>
        <w:rPr>
          <w:rFonts w:asciiTheme="minorHAnsi" w:hAnsiTheme="minorHAnsi"/>
        </w:rPr>
      </w:pPr>
      <w:r w:rsidRPr="00FE03A9">
        <w:rPr>
          <w:rFonts w:asciiTheme="minorHAnsi" w:hAnsiTheme="minorHAnsi"/>
        </w:rPr>
        <w:t xml:space="preserve">The model did not reliably predict the number of CV events observed in the IMPROVE-IT trial based on the observed change in TC: HDL. The submission attributed the difference to a) the absence of the difference in the </w:t>
      </w:r>
      <w:r w:rsidR="00C138A6" w:rsidRPr="00C138A6">
        <w:rPr>
          <w:rFonts w:asciiTheme="minorHAnsi" w:hAnsiTheme="minorHAnsi"/>
          <w:highlight w:val="yellow"/>
        </w:rPr>
        <w:t>absolute rate of</w:t>
      </w:r>
      <w:r w:rsidR="00C138A6" w:rsidRPr="00C138A6">
        <w:rPr>
          <w:rFonts w:asciiTheme="minorHAnsi" w:hAnsiTheme="minorHAnsi"/>
        </w:rPr>
        <w:t xml:space="preserve"> </w:t>
      </w:r>
      <w:r w:rsidRPr="00FE03A9">
        <w:rPr>
          <w:rFonts w:asciiTheme="minorHAnsi" w:hAnsiTheme="minorHAnsi"/>
        </w:rPr>
        <w:t xml:space="preserve">CHD events </w:t>
      </w:r>
      <w:r w:rsidR="00C138A6" w:rsidRPr="00C138A6">
        <w:rPr>
          <w:rFonts w:asciiTheme="minorHAnsi" w:hAnsiTheme="minorHAnsi"/>
          <w:highlight w:val="yellow"/>
        </w:rPr>
        <w:t>in the two arms</w:t>
      </w:r>
      <w:r w:rsidR="00C138A6" w:rsidRPr="00C138A6">
        <w:rPr>
          <w:rFonts w:asciiTheme="minorHAnsi" w:hAnsiTheme="minorHAnsi"/>
        </w:rPr>
        <w:t xml:space="preserve"> </w:t>
      </w:r>
      <w:r w:rsidRPr="00FE03A9">
        <w:rPr>
          <w:rFonts w:asciiTheme="minorHAnsi" w:hAnsiTheme="minorHAnsi"/>
        </w:rPr>
        <w:t>in the first year of the IMPROVE-IT trial</w:t>
      </w:r>
      <w:r w:rsidR="00367449">
        <w:rPr>
          <w:rFonts w:asciiTheme="minorHAnsi" w:hAnsiTheme="minorHAnsi"/>
        </w:rPr>
        <w:t>,</w:t>
      </w:r>
      <w:r w:rsidR="00C138A6">
        <w:rPr>
          <w:rFonts w:asciiTheme="minorHAnsi" w:hAnsiTheme="minorHAnsi"/>
        </w:rPr>
        <w:t xml:space="preserve"> </w:t>
      </w:r>
      <w:r w:rsidR="00C138A6" w:rsidRPr="00C138A6">
        <w:rPr>
          <w:rFonts w:asciiTheme="minorHAnsi" w:hAnsiTheme="minorHAnsi"/>
          <w:highlight w:val="yellow"/>
        </w:rPr>
        <w:t xml:space="preserve">explained by the recent </w:t>
      </w:r>
      <w:r w:rsidR="00367449">
        <w:rPr>
          <w:rFonts w:asciiTheme="minorHAnsi" w:hAnsiTheme="minorHAnsi"/>
          <w:highlight w:val="yellow"/>
        </w:rPr>
        <w:t xml:space="preserve">acute coronary syndrome </w:t>
      </w:r>
      <w:r w:rsidR="00C138A6" w:rsidRPr="00C138A6">
        <w:rPr>
          <w:rFonts w:asciiTheme="minorHAnsi" w:hAnsiTheme="minorHAnsi"/>
          <w:highlight w:val="yellow"/>
        </w:rPr>
        <w:t>qualifying event necessary for inclusion into the trial;</w:t>
      </w:r>
      <w:r w:rsidRPr="00FE03A9">
        <w:rPr>
          <w:rFonts w:asciiTheme="minorHAnsi" w:hAnsiTheme="minorHAnsi"/>
        </w:rPr>
        <w:t xml:space="preserve"> and b) </w:t>
      </w:r>
      <w:r w:rsidR="00C138A6" w:rsidRPr="00C138A6">
        <w:rPr>
          <w:rFonts w:asciiTheme="minorHAnsi" w:hAnsiTheme="minorHAnsi"/>
          <w:highlight w:val="yellow"/>
        </w:rPr>
        <w:t>the</w:t>
      </w:r>
      <w:r w:rsidR="00C138A6">
        <w:rPr>
          <w:rFonts w:asciiTheme="minorHAnsi" w:hAnsiTheme="minorHAnsi"/>
        </w:rPr>
        <w:t xml:space="preserve"> </w:t>
      </w:r>
      <w:r w:rsidRPr="00FE03A9">
        <w:rPr>
          <w:rFonts w:asciiTheme="minorHAnsi" w:hAnsiTheme="minorHAnsi"/>
        </w:rPr>
        <w:t xml:space="preserve">much higher risk of CHD </w:t>
      </w:r>
      <w:r w:rsidR="00C138A6" w:rsidRPr="00C138A6">
        <w:rPr>
          <w:rFonts w:asciiTheme="minorHAnsi" w:hAnsiTheme="minorHAnsi"/>
          <w:highlight w:val="yellow"/>
        </w:rPr>
        <w:t>events</w:t>
      </w:r>
      <w:r w:rsidR="00C138A6" w:rsidRPr="00FE03A9">
        <w:rPr>
          <w:rFonts w:asciiTheme="minorHAnsi" w:hAnsiTheme="minorHAnsi"/>
        </w:rPr>
        <w:t xml:space="preserve"> </w:t>
      </w:r>
      <w:r w:rsidRPr="00FE03A9">
        <w:rPr>
          <w:rFonts w:asciiTheme="minorHAnsi" w:hAnsiTheme="minorHAnsi"/>
        </w:rPr>
        <w:t>observed in the first year</w:t>
      </w:r>
      <w:r w:rsidR="00C138A6">
        <w:rPr>
          <w:rFonts w:asciiTheme="minorHAnsi" w:hAnsiTheme="minorHAnsi"/>
        </w:rPr>
        <w:t xml:space="preserve"> </w:t>
      </w:r>
      <w:r w:rsidR="00C138A6" w:rsidRPr="00C138A6">
        <w:rPr>
          <w:rFonts w:asciiTheme="minorHAnsi" w:hAnsiTheme="minorHAnsi"/>
          <w:highlight w:val="yellow"/>
        </w:rPr>
        <w:t>of the trial than was predicted by the MSD model</w:t>
      </w:r>
      <w:r w:rsidRPr="00FE03A9">
        <w:rPr>
          <w:rFonts w:asciiTheme="minorHAnsi" w:hAnsiTheme="minorHAnsi"/>
        </w:rPr>
        <w:t xml:space="preserve">. The submission claimed that if the numbers of events predicted by the model were multiplied by a factor of 3.98 for the first year and 1.11 for subsequent years (years 2-7) that the model predicted the number of observed events in the trial. The submission further claimed that as the calibration factors were the same for both the statin </w:t>
      </w:r>
      <w:r w:rsidRPr="00FE03A9">
        <w:rPr>
          <w:rFonts w:asciiTheme="minorHAnsi" w:hAnsiTheme="minorHAnsi"/>
        </w:rPr>
        <w:lastRenderedPageBreak/>
        <w:t>and the ezetimibe plus statin arms of the economic model, that the model accurately predicts CV events in the future.</w:t>
      </w:r>
    </w:p>
    <w:p w:rsidR="007701B6" w:rsidRPr="006B0899" w:rsidRDefault="0000686B">
      <w:pPr>
        <w:spacing w:after="120" w:line="240" w:lineRule="auto"/>
        <w:rPr>
          <w:rFonts w:asciiTheme="minorHAnsi" w:hAnsiTheme="minorHAnsi"/>
        </w:rPr>
      </w:pPr>
      <w:r w:rsidRPr="007103B8">
        <w:rPr>
          <w:rFonts w:asciiTheme="minorHAnsi" w:hAnsiTheme="minorHAnsi"/>
        </w:rPr>
        <w:t xml:space="preserve">The Reference Group did not consider the approach used in the submission to be appropriate </w:t>
      </w:r>
      <w:r w:rsidR="007701B6" w:rsidRPr="006B0899">
        <w:rPr>
          <w:rFonts w:asciiTheme="minorHAnsi" w:hAnsiTheme="minorHAnsi"/>
          <w:highlight w:val="yellow"/>
        </w:rPr>
        <w:t>and noted the advice of the Economic Sub-Committee (ESC) that due to applicability issues</w:t>
      </w:r>
      <w:r w:rsidR="006B0899" w:rsidRPr="006B0899">
        <w:rPr>
          <w:rFonts w:asciiTheme="minorHAnsi" w:hAnsiTheme="minorHAnsi"/>
          <w:highlight w:val="yellow"/>
        </w:rPr>
        <w:t>,</w:t>
      </w:r>
      <w:r w:rsidR="007701B6" w:rsidRPr="006B0899">
        <w:rPr>
          <w:rFonts w:asciiTheme="minorHAnsi" w:hAnsiTheme="minorHAnsi"/>
          <w:highlight w:val="yellow"/>
        </w:rPr>
        <w:t xml:space="preserve"> an economic model based on the results of IMPROVE-IT would not provide a reasonable estimate of the cost</w:t>
      </w:r>
      <w:r w:rsidR="00216B38">
        <w:rPr>
          <w:rFonts w:asciiTheme="minorHAnsi" w:hAnsiTheme="minorHAnsi"/>
          <w:highlight w:val="yellow"/>
        </w:rPr>
        <w:t>-</w:t>
      </w:r>
      <w:r w:rsidR="007701B6" w:rsidRPr="006B0899">
        <w:rPr>
          <w:rFonts w:asciiTheme="minorHAnsi" w:hAnsiTheme="minorHAnsi"/>
          <w:highlight w:val="yellow"/>
        </w:rPr>
        <w:t>effectiveness of the current use of ezetimibe on the PBS. The ESC advised a more appropriate method may be to create a model that uses evidence relevant to the PBS population and addresses the concerns raised previously by the PBAC.</w:t>
      </w:r>
    </w:p>
    <w:p w:rsidR="0000686B" w:rsidRPr="007103B8" w:rsidRDefault="0000686B">
      <w:pPr>
        <w:spacing w:after="120" w:line="240" w:lineRule="auto"/>
        <w:rPr>
          <w:rFonts w:asciiTheme="minorHAnsi" w:hAnsiTheme="minorHAnsi"/>
        </w:rPr>
      </w:pPr>
      <w:r w:rsidRPr="007103B8">
        <w:rPr>
          <w:rFonts w:asciiTheme="minorHAnsi" w:hAnsiTheme="minorHAnsi"/>
        </w:rPr>
        <w:t>Regarding the economic model presented in the sponsor’s submission, the Reference Group noted the results are particularly sensitive to:</w:t>
      </w:r>
    </w:p>
    <w:p w:rsidR="0000686B" w:rsidRPr="000B59B6" w:rsidRDefault="0000686B">
      <w:pPr>
        <w:pStyle w:val="ListParagraph"/>
        <w:numPr>
          <w:ilvl w:val="0"/>
          <w:numId w:val="19"/>
        </w:numPr>
        <w:spacing w:after="120" w:line="240" w:lineRule="auto"/>
        <w:ind w:left="426" w:hanging="426"/>
        <w:contextualSpacing w:val="0"/>
        <w:rPr>
          <w:rFonts w:asciiTheme="minorHAnsi" w:hAnsiTheme="minorHAnsi"/>
        </w:rPr>
      </w:pPr>
      <w:r w:rsidRPr="000B59B6">
        <w:rPr>
          <w:rFonts w:asciiTheme="minorHAnsi" w:hAnsiTheme="minorHAnsi"/>
        </w:rPr>
        <w:t>the efficacy estimates (changes in T</w:t>
      </w:r>
      <w:r>
        <w:rPr>
          <w:rFonts w:asciiTheme="minorHAnsi" w:hAnsiTheme="minorHAnsi"/>
        </w:rPr>
        <w:t xml:space="preserve">otal </w:t>
      </w:r>
      <w:r w:rsidRPr="000B59B6">
        <w:rPr>
          <w:rFonts w:asciiTheme="minorHAnsi" w:hAnsiTheme="minorHAnsi"/>
        </w:rPr>
        <w:t>C</w:t>
      </w:r>
      <w:r>
        <w:rPr>
          <w:rFonts w:asciiTheme="minorHAnsi" w:hAnsiTheme="minorHAnsi"/>
        </w:rPr>
        <w:t>holesterol</w:t>
      </w:r>
      <w:r w:rsidRPr="000B59B6">
        <w:rPr>
          <w:rFonts w:asciiTheme="minorHAnsi" w:hAnsiTheme="minorHAnsi"/>
        </w:rPr>
        <w:t>:</w:t>
      </w:r>
      <w:r>
        <w:rPr>
          <w:rFonts w:asciiTheme="minorHAnsi" w:hAnsiTheme="minorHAnsi"/>
        </w:rPr>
        <w:t xml:space="preserve"> </w:t>
      </w:r>
      <w:r w:rsidRPr="000B59B6">
        <w:rPr>
          <w:rFonts w:asciiTheme="minorHAnsi" w:hAnsiTheme="minorHAnsi"/>
        </w:rPr>
        <w:t>H</w:t>
      </w:r>
      <w:r>
        <w:rPr>
          <w:rFonts w:asciiTheme="minorHAnsi" w:hAnsiTheme="minorHAnsi"/>
        </w:rPr>
        <w:t xml:space="preserve">igh </w:t>
      </w:r>
      <w:r w:rsidRPr="000B59B6">
        <w:rPr>
          <w:rFonts w:asciiTheme="minorHAnsi" w:hAnsiTheme="minorHAnsi"/>
        </w:rPr>
        <w:t>D</w:t>
      </w:r>
      <w:r>
        <w:rPr>
          <w:rFonts w:asciiTheme="minorHAnsi" w:hAnsiTheme="minorHAnsi"/>
        </w:rPr>
        <w:t xml:space="preserve">ensity </w:t>
      </w:r>
      <w:r w:rsidRPr="000B59B6">
        <w:rPr>
          <w:rFonts w:asciiTheme="minorHAnsi" w:hAnsiTheme="minorHAnsi"/>
        </w:rPr>
        <w:t>L</w:t>
      </w:r>
      <w:r>
        <w:rPr>
          <w:rFonts w:asciiTheme="minorHAnsi" w:hAnsiTheme="minorHAnsi"/>
        </w:rPr>
        <w:t xml:space="preserve">ipoprotein </w:t>
      </w:r>
      <w:r w:rsidRPr="000B59B6">
        <w:rPr>
          <w:rFonts w:asciiTheme="minorHAnsi" w:hAnsiTheme="minorHAnsi"/>
        </w:rPr>
        <w:t>ratios for the intervention and comparator arms) and</w:t>
      </w:r>
    </w:p>
    <w:p w:rsidR="003F37E9" w:rsidRDefault="0000686B">
      <w:pPr>
        <w:pStyle w:val="ListParagraph"/>
        <w:numPr>
          <w:ilvl w:val="0"/>
          <w:numId w:val="19"/>
        </w:numPr>
        <w:spacing w:after="120" w:line="240" w:lineRule="auto"/>
        <w:ind w:left="426" w:hanging="426"/>
        <w:contextualSpacing w:val="0"/>
        <w:rPr>
          <w:rFonts w:asciiTheme="minorHAnsi" w:hAnsiTheme="minorHAnsi"/>
        </w:rPr>
      </w:pPr>
      <w:r w:rsidRPr="003F37E9">
        <w:rPr>
          <w:rFonts w:asciiTheme="minorHAnsi" w:hAnsiTheme="minorHAnsi"/>
        </w:rPr>
        <w:t xml:space="preserve">the time horizon. The incremental cost-effectiveness ratio (ICER) using a 7 year time horizon (the duration of follow-up for the IMPROVE-IT trial) was $72,297 per quality adjusted life year (QALY) gained compared with $24,256 per QALY gained for a lifetime model (70 years). The substantial reduction in the ICER with the longer time horizon was considered by the Reference Group to highlight the uncertainty with the ICER associated with extrapolating results over a long period of time. </w:t>
      </w:r>
    </w:p>
    <w:p w:rsidR="00343939" w:rsidRPr="00343939" w:rsidRDefault="00343939">
      <w:pPr>
        <w:spacing w:line="240" w:lineRule="auto"/>
        <w:rPr>
          <w:rFonts w:asciiTheme="minorHAnsi" w:eastAsiaTheme="minorEastAsia" w:hAnsiTheme="minorHAnsi"/>
          <w:lang w:eastAsia="zh-CN"/>
        </w:rPr>
      </w:pPr>
      <w:r w:rsidRPr="00343939">
        <w:rPr>
          <w:rFonts w:asciiTheme="minorHAnsi" w:eastAsia="Calibri" w:hAnsiTheme="minorHAnsi" w:cs="Times New Roman"/>
          <w:highlight w:val="yellow"/>
        </w:rPr>
        <w:t>During the review a</w:t>
      </w:r>
      <w:r w:rsidRPr="00343939">
        <w:rPr>
          <w:rFonts w:asciiTheme="minorHAnsi" w:eastAsiaTheme="minorEastAsia" w:hAnsiTheme="minorHAnsi"/>
          <w:highlight w:val="yellow"/>
          <w:lang w:eastAsia="zh-CN"/>
        </w:rPr>
        <w:t xml:space="preserve">lternative </w:t>
      </w:r>
      <w:r w:rsidRPr="00343939">
        <w:rPr>
          <w:rFonts w:asciiTheme="minorHAnsi" w:hAnsiTheme="minorHAnsi"/>
          <w:highlight w:val="yellow"/>
        </w:rPr>
        <w:t>efficacy</w:t>
      </w:r>
      <w:r w:rsidRPr="00343939">
        <w:rPr>
          <w:rFonts w:asciiTheme="minorHAnsi" w:eastAsiaTheme="minorEastAsia" w:hAnsiTheme="minorHAnsi"/>
          <w:highlight w:val="yellow"/>
          <w:lang w:eastAsia="zh-CN"/>
        </w:rPr>
        <w:t xml:space="preserve"> estimates were obtained for a sensitivity analysis from the meta-analysis of trials that enrolled primary, secondary or mixed prevention population, all receiving second-line treatment with ezetimibe </w:t>
      </w:r>
      <w:r w:rsidR="000421F4">
        <w:rPr>
          <w:rFonts w:asciiTheme="minorHAnsi" w:eastAsiaTheme="minorEastAsia" w:hAnsiTheme="minorHAnsi"/>
          <w:highlight w:val="yellow"/>
          <w:lang w:eastAsia="zh-CN"/>
        </w:rPr>
        <w:t>plus</w:t>
      </w:r>
      <w:r w:rsidRPr="00343939">
        <w:rPr>
          <w:rFonts w:asciiTheme="minorHAnsi" w:eastAsiaTheme="minorEastAsia" w:hAnsiTheme="minorHAnsi"/>
          <w:highlight w:val="yellow"/>
          <w:lang w:eastAsia="zh-CN"/>
        </w:rPr>
        <w:t xml:space="preserve"> statin (intervention) versus up-titrated statin</w:t>
      </w:r>
      <w:r w:rsidR="00257E45">
        <w:rPr>
          <w:rFonts w:asciiTheme="minorHAnsi" w:eastAsiaTheme="minorEastAsia" w:hAnsiTheme="minorHAnsi"/>
          <w:highlight w:val="yellow"/>
          <w:lang w:eastAsia="zh-CN"/>
        </w:rPr>
        <w:t xml:space="preserve"> </w:t>
      </w:r>
      <w:r w:rsidRPr="00343939">
        <w:rPr>
          <w:rFonts w:asciiTheme="minorHAnsi" w:eastAsiaTheme="minorEastAsia" w:hAnsiTheme="minorHAnsi"/>
          <w:highlight w:val="yellow"/>
          <w:lang w:eastAsia="zh-CN"/>
        </w:rPr>
        <w:t xml:space="preserve">(control). This </w:t>
      </w:r>
      <w:r w:rsidR="00E33C85" w:rsidRPr="00E33C85">
        <w:rPr>
          <w:rFonts w:asciiTheme="minorHAnsi" w:eastAsiaTheme="minorEastAsia" w:hAnsiTheme="minorHAnsi"/>
          <w:i/>
          <w:highlight w:val="yellow"/>
          <w:lang w:eastAsia="zh-CN"/>
        </w:rPr>
        <w:t>ad hoc</w:t>
      </w:r>
      <w:r w:rsidR="00E33C85">
        <w:rPr>
          <w:rFonts w:asciiTheme="minorHAnsi" w:eastAsiaTheme="minorEastAsia" w:hAnsiTheme="minorHAnsi"/>
          <w:highlight w:val="yellow"/>
          <w:lang w:eastAsia="zh-CN"/>
        </w:rPr>
        <w:t xml:space="preserve"> </w:t>
      </w:r>
      <w:r w:rsidRPr="00343939">
        <w:rPr>
          <w:rFonts w:asciiTheme="minorHAnsi" w:eastAsiaTheme="minorEastAsia" w:hAnsiTheme="minorHAnsi"/>
          <w:highlight w:val="yellow"/>
          <w:lang w:eastAsia="zh-CN"/>
        </w:rPr>
        <w:t xml:space="preserve">meta-analysis was conducted by the Deakin health economics team for the post-market review. </w:t>
      </w:r>
      <w:r w:rsidR="000421F4">
        <w:rPr>
          <w:rFonts w:asciiTheme="minorHAnsi" w:eastAsiaTheme="minorEastAsia" w:hAnsiTheme="minorHAnsi"/>
          <w:highlight w:val="yellow"/>
          <w:lang w:eastAsia="zh-CN"/>
        </w:rPr>
        <w:t xml:space="preserve">Using the result of this meta-analysis as input to the model </w:t>
      </w:r>
      <w:r w:rsidR="000421F4" w:rsidRPr="00343939">
        <w:rPr>
          <w:rFonts w:asciiTheme="minorHAnsi" w:eastAsiaTheme="minorEastAsia" w:hAnsiTheme="minorHAnsi"/>
          <w:highlight w:val="yellow"/>
          <w:lang w:eastAsia="zh-CN"/>
        </w:rPr>
        <w:t>(</w:t>
      </w:r>
      <w:r w:rsidR="00E33C85">
        <w:rPr>
          <w:rFonts w:asciiTheme="minorHAnsi" w:eastAsiaTheme="minorEastAsia" w:hAnsiTheme="minorHAnsi"/>
          <w:highlight w:val="yellow"/>
          <w:lang w:eastAsia="zh-CN"/>
        </w:rPr>
        <w:t xml:space="preserve">reduction in </w:t>
      </w:r>
      <w:r w:rsidR="000421F4" w:rsidRPr="00343939">
        <w:rPr>
          <w:rFonts w:asciiTheme="minorHAnsi" w:eastAsiaTheme="minorEastAsia" w:hAnsiTheme="minorHAnsi"/>
          <w:highlight w:val="yellow"/>
          <w:lang w:eastAsia="zh-CN"/>
        </w:rPr>
        <w:t>TC:</w:t>
      </w:r>
      <w:r w:rsidR="000421F4">
        <w:rPr>
          <w:rFonts w:asciiTheme="minorHAnsi" w:eastAsiaTheme="minorEastAsia" w:hAnsiTheme="minorHAnsi"/>
          <w:highlight w:val="yellow"/>
          <w:lang w:eastAsia="zh-CN"/>
        </w:rPr>
        <w:t xml:space="preserve"> </w:t>
      </w:r>
      <w:r w:rsidR="000421F4" w:rsidRPr="00343939">
        <w:rPr>
          <w:rFonts w:asciiTheme="minorHAnsi" w:eastAsiaTheme="minorEastAsia" w:hAnsiTheme="minorHAnsi"/>
          <w:highlight w:val="yellow"/>
          <w:lang w:eastAsia="zh-CN"/>
        </w:rPr>
        <w:t xml:space="preserve">HDL </w:t>
      </w:r>
      <w:r w:rsidR="00E33C85">
        <w:rPr>
          <w:rFonts w:asciiTheme="minorHAnsi" w:eastAsiaTheme="minorEastAsia" w:hAnsiTheme="minorHAnsi"/>
          <w:highlight w:val="yellow"/>
          <w:lang w:eastAsia="zh-CN"/>
        </w:rPr>
        <w:t>of -</w:t>
      </w:r>
      <w:r w:rsidR="000421F4" w:rsidRPr="00343939">
        <w:rPr>
          <w:rFonts w:asciiTheme="minorHAnsi" w:eastAsiaTheme="minorEastAsia" w:hAnsiTheme="minorHAnsi"/>
          <w:highlight w:val="yellow"/>
          <w:lang w:eastAsia="zh-CN"/>
        </w:rPr>
        <w:t>18.84% v</w:t>
      </w:r>
      <w:r w:rsidR="00E33C85">
        <w:rPr>
          <w:rFonts w:asciiTheme="minorHAnsi" w:eastAsiaTheme="minorEastAsia" w:hAnsiTheme="minorHAnsi"/>
          <w:highlight w:val="yellow"/>
          <w:lang w:eastAsia="zh-CN"/>
        </w:rPr>
        <w:t>ersus</w:t>
      </w:r>
      <w:r w:rsidR="000421F4" w:rsidRPr="00343939">
        <w:rPr>
          <w:rFonts w:asciiTheme="minorHAnsi" w:eastAsiaTheme="minorEastAsia" w:hAnsiTheme="minorHAnsi"/>
          <w:highlight w:val="yellow"/>
          <w:lang w:eastAsia="zh-CN"/>
        </w:rPr>
        <w:t xml:space="preserve"> </w:t>
      </w:r>
      <w:r w:rsidR="00E33C85">
        <w:rPr>
          <w:rFonts w:asciiTheme="minorHAnsi" w:eastAsiaTheme="minorEastAsia" w:hAnsiTheme="minorHAnsi"/>
          <w:highlight w:val="yellow"/>
          <w:lang w:eastAsia="zh-CN"/>
        </w:rPr>
        <w:t>-</w:t>
      </w:r>
      <w:r w:rsidR="000421F4" w:rsidRPr="00343939">
        <w:rPr>
          <w:rFonts w:asciiTheme="minorHAnsi" w:eastAsiaTheme="minorEastAsia" w:hAnsiTheme="minorHAnsi"/>
          <w:highlight w:val="yellow"/>
          <w:lang w:eastAsia="zh-CN"/>
        </w:rPr>
        <w:t>9.65%</w:t>
      </w:r>
      <w:r w:rsidR="00E33C85">
        <w:rPr>
          <w:rFonts w:asciiTheme="minorHAnsi" w:eastAsiaTheme="minorEastAsia" w:hAnsiTheme="minorHAnsi"/>
          <w:highlight w:val="yellow"/>
          <w:lang w:eastAsia="zh-CN"/>
        </w:rPr>
        <w:t xml:space="preserve"> in the ezetimibe and comparator arm respectively</w:t>
      </w:r>
      <w:r w:rsidR="000421F4" w:rsidRPr="00343939">
        <w:rPr>
          <w:rFonts w:asciiTheme="minorHAnsi" w:eastAsiaTheme="minorEastAsia" w:hAnsiTheme="minorHAnsi"/>
          <w:highlight w:val="yellow"/>
          <w:lang w:eastAsia="zh-CN"/>
        </w:rPr>
        <w:t>)</w:t>
      </w:r>
      <w:r w:rsidR="000421F4">
        <w:rPr>
          <w:rFonts w:asciiTheme="minorHAnsi" w:eastAsiaTheme="minorEastAsia" w:hAnsiTheme="minorHAnsi"/>
          <w:highlight w:val="yellow"/>
          <w:lang w:eastAsia="zh-CN"/>
        </w:rPr>
        <w:t xml:space="preserve"> rather than the estimate used by the sponsor, the base case </w:t>
      </w:r>
      <w:r w:rsidRPr="00343939">
        <w:rPr>
          <w:rFonts w:asciiTheme="minorHAnsi" w:eastAsiaTheme="minorEastAsia" w:hAnsiTheme="minorHAnsi"/>
          <w:highlight w:val="yellow"/>
          <w:lang w:eastAsia="zh-CN"/>
        </w:rPr>
        <w:t>ICER</w:t>
      </w:r>
      <w:r w:rsidR="000421F4">
        <w:rPr>
          <w:rFonts w:asciiTheme="minorHAnsi" w:eastAsiaTheme="minorEastAsia" w:hAnsiTheme="minorHAnsi"/>
          <w:highlight w:val="yellow"/>
          <w:lang w:eastAsia="zh-CN"/>
        </w:rPr>
        <w:t xml:space="preserve"> based on a time horizon of 20 years</w:t>
      </w:r>
      <w:r w:rsidRPr="00343939">
        <w:rPr>
          <w:rFonts w:asciiTheme="minorHAnsi" w:eastAsiaTheme="minorEastAsia" w:hAnsiTheme="minorHAnsi"/>
          <w:highlight w:val="yellow"/>
          <w:lang w:eastAsia="zh-CN"/>
        </w:rPr>
        <w:t xml:space="preserve"> almost doubled from $28,000 to $53,000/QALY </w:t>
      </w:r>
      <w:r w:rsidRPr="00ED5376">
        <w:rPr>
          <w:rFonts w:asciiTheme="minorHAnsi" w:eastAsiaTheme="minorEastAsia" w:hAnsiTheme="minorHAnsi"/>
          <w:highlight w:val="yellow"/>
          <w:lang w:eastAsia="zh-CN"/>
        </w:rPr>
        <w:t>(</w:t>
      </w:r>
      <w:r w:rsidR="00174DDF" w:rsidRPr="00ED5376">
        <w:rPr>
          <w:rFonts w:asciiTheme="minorHAnsi" w:eastAsiaTheme="minorEastAsia" w:hAnsiTheme="minorHAnsi"/>
          <w:highlight w:val="yellow"/>
          <w:lang w:eastAsia="zh-CN"/>
        </w:rPr>
        <w:t>Appendix J</w:t>
      </w:r>
      <w:r w:rsidR="00ED5376" w:rsidRPr="00ED5376">
        <w:rPr>
          <w:rFonts w:asciiTheme="minorHAnsi" w:eastAsiaTheme="minorEastAsia" w:hAnsiTheme="minorHAnsi"/>
          <w:highlight w:val="yellow"/>
          <w:lang w:eastAsia="zh-CN"/>
        </w:rPr>
        <w:t>, Table</w:t>
      </w:r>
      <w:r w:rsidR="002609E5">
        <w:rPr>
          <w:rFonts w:asciiTheme="minorHAnsi" w:eastAsiaTheme="minorEastAsia" w:hAnsiTheme="minorHAnsi"/>
          <w:highlight w:val="yellow"/>
          <w:lang w:eastAsia="zh-CN"/>
        </w:rPr>
        <w:t xml:space="preserve">s 1.3 and </w:t>
      </w:r>
      <w:r w:rsidR="00ED5376" w:rsidRPr="00ED5376">
        <w:rPr>
          <w:rFonts w:asciiTheme="minorHAnsi" w:eastAsiaTheme="minorEastAsia" w:hAnsiTheme="minorHAnsi"/>
          <w:highlight w:val="yellow"/>
          <w:lang w:eastAsia="zh-CN"/>
        </w:rPr>
        <w:t>1.4, p.21</w:t>
      </w:r>
      <w:r w:rsidRPr="00ED5376">
        <w:rPr>
          <w:rFonts w:asciiTheme="minorHAnsi" w:eastAsiaTheme="minorEastAsia" w:hAnsiTheme="minorHAnsi"/>
          <w:highlight w:val="yellow"/>
          <w:lang w:eastAsia="zh-CN"/>
        </w:rPr>
        <w:t>).</w:t>
      </w:r>
      <w:r w:rsidRPr="00343939">
        <w:rPr>
          <w:rFonts w:asciiTheme="minorHAnsi" w:eastAsiaTheme="minorEastAsia" w:hAnsiTheme="minorHAnsi"/>
          <w:lang w:eastAsia="zh-CN"/>
        </w:rPr>
        <w:t xml:space="preserve"> </w:t>
      </w:r>
    </w:p>
    <w:p w:rsidR="0000686B" w:rsidRPr="006B0899" w:rsidRDefault="00441776">
      <w:pPr>
        <w:pStyle w:val="ListParagraph"/>
        <w:spacing w:line="240" w:lineRule="auto"/>
        <w:ind w:left="0"/>
        <w:contextualSpacing w:val="0"/>
        <w:rPr>
          <w:rFonts w:asciiTheme="minorHAnsi" w:hAnsiTheme="minorHAnsi"/>
          <w:highlight w:val="yellow"/>
        </w:rPr>
      </w:pPr>
      <w:r w:rsidRPr="006B0899">
        <w:rPr>
          <w:rFonts w:ascii="Calibri" w:eastAsia="Calibri" w:hAnsi="Calibri" w:cs="Times New Roman"/>
          <w:highlight w:val="yellow"/>
        </w:rPr>
        <w:t>Whilst the sponsor maintains that a lifetime horizon is appropriate, the Reference Group considered that a large proportion of patients using ezetimibe as second line therapy would be older than fifty years</w:t>
      </w:r>
      <w:r w:rsidR="00824927" w:rsidRPr="006B0899">
        <w:rPr>
          <w:rFonts w:ascii="Calibri" w:eastAsia="Calibri" w:hAnsi="Calibri" w:cs="Times New Roman"/>
          <w:highlight w:val="yellow"/>
        </w:rPr>
        <w:t xml:space="preserve">. </w:t>
      </w:r>
      <w:r w:rsidR="00824927" w:rsidRPr="006B0899">
        <w:rPr>
          <w:rFonts w:asciiTheme="minorHAnsi" w:hAnsiTheme="minorHAnsi"/>
          <w:highlight w:val="yellow"/>
        </w:rPr>
        <w:t>T</w:t>
      </w:r>
      <w:r w:rsidR="0000686B" w:rsidRPr="006B0899">
        <w:rPr>
          <w:rFonts w:asciiTheme="minorHAnsi" w:hAnsiTheme="minorHAnsi"/>
          <w:highlight w:val="yellow"/>
        </w:rPr>
        <w:t xml:space="preserve">he Reference Group acknowledged that 70 years may be an appropriate time horizon for the youngest participants in the model, the average age of the BEACH SAND population treated with PBS subsidised ezetimibe was over 60 years of age and selection of this time horizon did not seem plausible. The Reference Group requested a further analysis to explore the effect on the ICER of 10 year time horizon incremental extrapolations between 6 years and 70 years. </w:t>
      </w:r>
    </w:p>
    <w:p w:rsidR="00343939" w:rsidRDefault="00343939" w:rsidP="005A2287">
      <w:pPr>
        <w:spacing w:line="240" w:lineRule="auto"/>
        <w:rPr>
          <w:rFonts w:asciiTheme="minorHAnsi" w:eastAsiaTheme="minorEastAsia" w:hAnsiTheme="minorHAnsi"/>
          <w:lang w:eastAsia="zh-CN"/>
        </w:rPr>
      </w:pPr>
      <w:r w:rsidRPr="00343939">
        <w:rPr>
          <w:rFonts w:asciiTheme="minorHAnsi" w:eastAsiaTheme="minorEastAsia" w:hAnsiTheme="minorHAnsi"/>
          <w:highlight w:val="yellow"/>
          <w:lang w:eastAsia="zh-CN"/>
        </w:rPr>
        <w:t>The results of this sensitivity analysis showed that the ICERs estimated as either a cost/LYG or cost/QALY remain unchanged when time horizon</w:t>
      </w:r>
      <w:r w:rsidR="00161D12">
        <w:rPr>
          <w:rFonts w:asciiTheme="minorHAnsi" w:eastAsiaTheme="minorEastAsia" w:hAnsiTheme="minorHAnsi"/>
          <w:highlight w:val="yellow"/>
          <w:lang w:eastAsia="zh-CN"/>
        </w:rPr>
        <w:t xml:space="preserve"> extends beyond </w:t>
      </w:r>
      <w:r w:rsidRPr="00343939">
        <w:rPr>
          <w:rFonts w:asciiTheme="minorHAnsi" w:eastAsiaTheme="minorEastAsia" w:hAnsiTheme="minorHAnsi"/>
          <w:highlight w:val="yellow"/>
          <w:lang w:eastAsia="zh-CN"/>
        </w:rPr>
        <w:t>30</w:t>
      </w:r>
      <w:r w:rsidR="00161D12">
        <w:rPr>
          <w:rFonts w:asciiTheme="minorHAnsi" w:eastAsiaTheme="minorEastAsia" w:hAnsiTheme="minorHAnsi"/>
          <w:highlight w:val="yellow"/>
          <w:lang w:eastAsia="zh-CN"/>
        </w:rPr>
        <w:t xml:space="preserve"> </w:t>
      </w:r>
      <w:r w:rsidR="00161D12" w:rsidRPr="00C77B52">
        <w:rPr>
          <w:rFonts w:asciiTheme="minorHAnsi" w:eastAsiaTheme="minorEastAsia" w:hAnsiTheme="minorHAnsi"/>
          <w:highlight w:val="yellow"/>
          <w:lang w:eastAsia="zh-CN"/>
        </w:rPr>
        <w:t>years (Appendix J</w:t>
      </w:r>
      <w:r w:rsidR="00C77B52" w:rsidRPr="00C77B52">
        <w:rPr>
          <w:rFonts w:asciiTheme="minorHAnsi" w:eastAsiaTheme="minorEastAsia" w:hAnsiTheme="minorHAnsi"/>
          <w:highlight w:val="yellow"/>
          <w:lang w:eastAsia="zh-CN"/>
        </w:rPr>
        <w:t>, p.20</w:t>
      </w:r>
      <w:r w:rsidR="002609E5">
        <w:rPr>
          <w:rFonts w:asciiTheme="minorHAnsi" w:eastAsiaTheme="minorEastAsia" w:hAnsiTheme="minorHAnsi"/>
          <w:highlight w:val="yellow"/>
          <w:lang w:eastAsia="zh-CN"/>
        </w:rPr>
        <w:t>-21</w:t>
      </w:r>
      <w:r w:rsidR="00161D12" w:rsidRPr="00C77B52">
        <w:rPr>
          <w:rFonts w:asciiTheme="minorHAnsi" w:eastAsiaTheme="minorEastAsia" w:hAnsiTheme="minorHAnsi"/>
          <w:highlight w:val="yellow"/>
          <w:lang w:eastAsia="zh-CN"/>
        </w:rPr>
        <w:t>)</w:t>
      </w:r>
      <w:r w:rsidR="00C77B52">
        <w:rPr>
          <w:rFonts w:asciiTheme="minorHAnsi" w:eastAsiaTheme="minorEastAsia" w:hAnsiTheme="minorHAnsi"/>
          <w:highlight w:val="yellow"/>
          <w:lang w:eastAsia="zh-CN"/>
        </w:rPr>
        <w:t>.</w:t>
      </w:r>
      <w:r w:rsidRPr="00C77B52">
        <w:rPr>
          <w:rFonts w:asciiTheme="minorHAnsi" w:eastAsiaTheme="minorEastAsia" w:hAnsiTheme="minorHAnsi"/>
          <w:highlight w:val="yellow"/>
          <w:lang w:eastAsia="zh-CN"/>
        </w:rPr>
        <w:t xml:space="preserve"> This is because after the first 30 cycles (years) </w:t>
      </w:r>
      <w:r w:rsidRPr="00343939">
        <w:rPr>
          <w:rFonts w:asciiTheme="minorHAnsi" w:eastAsiaTheme="minorEastAsia" w:hAnsiTheme="minorHAnsi"/>
          <w:highlight w:val="yellow"/>
          <w:lang w:eastAsia="zh-CN"/>
        </w:rPr>
        <w:t>of the Markov model, the survival rate is zero and there is no difference in either the incremental costs or the outcomes.</w:t>
      </w:r>
      <w:r w:rsidRPr="00364FE8">
        <w:rPr>
          <w:rFonts w:asciiTheme="minorHAnsi" w:eastAsiaTheme="minorEastAsia" w:hAnsiTheme="minorHAnsi"/>
          <w:lang w:eastAsia="zh-CN"/>
        </w:rPr>
        <w:t xml:space="preserve"> </w:t>
      </w:r>
    </w:p>
    <w:p w:rsidR="00824927" w:rsidRPr="006B0899" w:rsidRDefault="00824927" w:rsidP="00920324">
      <w:pPr>
        <w:pStyle w:val="ListParagraph"/>
        <w:spacing w:line="240" w:lineRule="auto"/>
        <w:ind w:left="0"/>
        <w:contextualSpacing w:val="0"/>
        <w:rPr>
          <w:rFonts w:asciiTheme="minorHAnsi" w:eastAsia="Calibri" w:hAnsiTheme="minorHAnsi" w:cs="Times New Roman"/>
          <w:szCs w:val="24"/>
          <w:highlight w:val="yellow"/>
        </w:rPr>
      </w:pPr>
      <w:r w:rsidRPr="006B0899">
        <w:rPr>
          <w:rFonts w:asciiTheme="minorHAnsi" w:eastAsia="Calibri" w:hAnsiTheme="minorHAnsi" w:cs="Times New Roman"/>
          <w:szCs w:val="24"/>
          <w:highlight w:val="yellow"/>
        </w:rPr>
        <w:lastRenderedPageBreak/>
        <w:t xml:space="preserve">The Reference Group also considered that from the results of the revised utilisation analysis, for the ‘red’, and a proportion of the ‘orange’ groups currently using ezetimibe, statins would be an appropriate comparator as maximally tolerated doses of statins/statins of higher potency are the therapies being replaced, not placebo. </w:t>
      </w:r>
    </w:p>
    <w:p w:rsidR="00824927" w:rsidRPr="006B0899" w:rsidRDefault="00824927">
      <w:pPr>
        <w:pStyle w:val="ListParagraph"/>
        <w:spacing w:line="240" w:lineRule="auto"/>
        <w:ind w:left="0"/>
        <w:contextualSpacing w:val="0"/>
        <w:rPr>
          <w:rFonts w:asciiTheme="minorHAnsi" w:eastAsia="Calibri" w:hAnsiTheme="minorHAnsi" w:cs="Times New Roman"/>
          <w:szCs w:val="24"/>
          <w:highlight w:val="yellow"/>
        </w:rPr>
      </w:pPr>
      <w:r w:rsidRPr="006B0899">
        <w:rPr>
          <w:rFonts w:asciiTheme="minorHAnsi" w:eastAsia="Calibri" w:hAnsiTheme="minorHAnsi" w:cs="Times New Roman"/>
          <w:szCs w:val="24"/>
          <w:highlight w:val="yellow"/>
        </w:rPr>
        <w:t xml:space="preserve">The Reference Group agreed that for those patients using ezetimibe in accordance with the PBS restrictions, estimated at 46.9% (designated ‘green group’ from the revised utilisation analysis), placebo </w:t>
      </w:r>
      <w:r w:rsidR="00343939">
        <w:rPr>
          <w:rFonts w:asciiTheme="minorHAnsi" w:eastAsia="Calibri" w:hAnsiTheme="minorHAnsi" w:cs="Times New Roman"/>
          <w:szCs w:val="24"/>
          <w:highlight w:val="yellow"/>
        </w:rPr>
        <w:t>is the appropriate comparator.</w:t>
      </w:r>
    </w:p>
    <w:p w:rsidR="00824927" w:rsidRPr="006B0899" w:rsidRDefault="00824927">
      <w:pPr>
        <w:pStyle w:val="ListParagraph"/>
        <w:spacing w:line="240" w:lineRule="auto"/>
        <w:ind w:left="0"/>
        <w:contextualSpacing w:val="0"/>
        <w:rPr>
          <w:rFonts w:asciiTheme="minorHAnsi" w:eastAsia="Calibri" w:hAnsiTheme="minorHAnsi" w:cs="Times New Roman"/>
          <w:highlight w:val="yellow"/>
        </w:rPr>
      </w:pPr>
      <w:r w:rsidRPr="006B0899">
        <w:rPr>
          <w:rFonts w:asciiTheme="minorHAnsi" w:eastAsia="Calibri" w:hAnsiTheme="minorHAnsi" w:cs="Times New Roman"/>
          <w:highlight w:val="yellow"/>
        </w:rPr>
        <w:t>Thus a weighted comparison with a proportion of use compared to up-titration of statin dose/switching to a higher potency statin and a proportion of use compared to placebo/non statin LLT may be one way to estimate the cost-effectiveness of ezetimibe in current practice.</w:t>
      </w:r>
    </w:p>
    <w:p w:rsidR="0000686B" w:rsidRPr="007173D3" w:rsidRDefault="003848A8">
      <w:pPr>
        <w:pStyle w:val="Heading2"/>
      </w:pPr>
      <w:bookmarkStart w:id="89" w:name="_Toc482176977"/>
      <w:r>
        <w:t>3.</w:t>
      </w:r>
      <w:r w:rsidR="0000686B" w:rsidRPr="007173D3">
        <w:t>4</w:t>
      </w:r>
      <w:r w:rsidR="0000686B" w:rsidRPr="007173D3">
        <w:tab/>
        <w:t>Key issues raised in stakeholder submissions to the Review and the stakeholder forum</w:t>
      </w:r>
      <w:bookmarkEnd w:id="89"/>
    </w:p>
    <w:p w:rsidR="0000686B" w:rsidRDefault="0000686B" w:rsidP="005A2287">
      <w:pPr>
        <w:spacing w:line="240" w:lineRule="auto"/>
        <w:rPr>
          <w:rFonts w:asciiTheme="minorHAnsi" w:hAnsiTheme="minorHAnsi"/>
          <w:b/>
        </w:rPr>
      </w:pPr>
      <w:r w:rsidRPr="00C46FCF">
        <w:rPr>
          <w:rFonts w:asciiTheme="minorHAnsi" w:hAnsiTheme="minorHAnsi"/>
        </w:rPr>
        <w:t xml:space="preserve">Details of the submissions to the Review and </w:t>
      </w:r>
      <w:r>
        <w:rPr>
          <w:rFonts w:asciiTheme="minorHAnsi" w:hAnsiTheme="minorHAnsi"/>
        </w:rPr>
        <w:t xml:space="preserve">responses to </w:t>
      </w:r>
      <w:r w:rsidRPr="00C46FCF">
        <w:rPr>
          <w:rFonts w:asciiTheme="minorHAnsi" w:hAnsiTheme="minorHAnsi"/>
        </w:rPr>
        <w:t xml:space="preserve">the November 2016 </w:t>
      </w:r>
      <w:r>
        <w:rPr>
          <w:rFonts w:asciiTheme="minorHAnsi" w:hAnsiTheme="minorHAnsi"/>
        </w:rPr>
        <w:t>S</w:t>
      </w:r>
      <w:r w:rsidRPr="00C46FCF">
        <w:rPr>
          <w:rFonts w:asciiTheme="minorHAnsi" w:hAnsiTheme="minorHAnsi"/>
        </w:rPr>
        <w:t xml:space="preserve">takeholder </w:t>
      </w:r>
      <w:r>
        <w:rPr>
          <w:rFonts w:asciiTheme="minorHAnsi" w:hAnsiTheme="minorHAnsi"/>
        </w:rPr>
        <w:t>F</w:t>
      </w:r>
      <w:r w:rsidRPr="00C46FCF">
        <w:rPr>
          <w:rFonts w:asciiTheme="minorHAnsi" w:hAnsiTheme="minorHAnsi"/>
        </w:rPr>
        <w:t xml:space="preserve">orum </w:t>
      </w:r>
      <w:r>
        <w:rPr>
          <w:rFonts w:asciiTheme="minorHAnsi" w:hAnsiTheme="minorHAnsi"/>
        </w:rPr>
        <w:t xml:space="preserve">Outcome Statement </w:t>
      </w:r>
      <w:r w:rsidRPr="00C46FCF">
        <w:rPr>
          <w:rFonts w:asciiTheme="minorHAnsi" w:hAnsiTheme="minorHAnsi"/>
        </w:rPr>
        <w:t xml:space="preserve">are provided in </w:t>
      </w:r>
      <w:r w:rsidRPr="00C46FCF">
        <w:rPr>
          <w:rFonts w:asciiTheme="minorHAnsi" w:hAnsiTheme="minorHAnsi"/>
          <w:b/>
        </w:rPr>
        <w:t>A</w:t>
      </w:r>
      <w:r>
        <w:rPr>
          <w:rFonts w:asciiTheme="minorHAnsi" w:hAnsiTheme="minorHAnsi"/>
          <w:b/>
        </w:rPr>
        <w:t xml:space="preserve">ppendix F </w:t>
      </w:r>
      <w:r w:rsidRPr="00E6660E">
        <w:rPr>
          <w:rFonts w:asciiTheme="minorHAnsi" w:hAnsiTheme="minorHAnsi"/>
        </w:rPr>
        <w:t>and</w:t>
      </w:r>
      <w:r>
        <w:rPr>
          <w:rFonts w:asciiTheme="minorHAnsi" w:hAnsiTheme="minorHAnsi"/>
          <w:b/>
        </w:rPr>
        <w:t xml:space="preserve"> Appendix H</w:t>
      </w:r>
      <w:r w:rsidRPr="00C46FCF">
        <w:rPr>
          <w:rFonts w:asciiTheme="minorHAnsi" w:hAnsiTheme="minorHAnsi"/>
          <w:b/>
        </w:rPr>
        <w:t>.</w:t>
      </w:r>
    </w:p>
    <w:p w:rsidR="0000686B" w:rsidRPr="00204D95" w:rsidRDefault="003848A8" w:rsidP="005A2287">
      <w:pPr>
        <w:pStyle w:val="Heading3"/>
        <w:jc w:val="left"/>
      </w:pPr>
      <w:bookmarkStart w:id="90" w:name="_Toc482176978"/>
      <w:r>
        <w:t>3.</w:t>
      </w:r>
      <w:r w:rsidR="0000686B">
        <w:t>4</w:t>
      </w:r>
      <w:r w:rsidR="0000686B" w:rsidRPr="00204D95">
        <w:t xml:space="preserve">.1 </w:t>
      </w:r>
      <w:r w:rsidR="0000686B">
        <w:t>Submissions to</w:t>
      </w:r>
      <w:r w:rsidR="0000686B" w:rsidRPr="00204D95">
        <w:t xml:space="preserve"> the stakeholder forum</w:t>
      </w:r>
      <w:bookmarkEnd w:id="90"/>
    </w:p>
    <w:p w:rsidR="0000686B" w:rsidRPr="00C32CA4" w:rsidRDefault="00257E45" w:rsidP="005A2287">
      <w:pPr>
        <w:spacing w:line="240" w:lineRule="auto"/>
        <w:rPr>
          <w:rFonts w:asciiTheme="minorHAnsi" w:hAnsiTheme="minorHAnsi"/>
        </w:rPr>
      </w:pPr>
      <w:r>
        <w:rPr>
          <w:rFonts w:asciiTheme="minorHAnsi" w:hAnsiTheme="minorHAnsi"/>
        </w:rPr>
        <w:t>In the seven week public consultation held between 4 March and 22 April 2016 stakeholders raised the following key points in relation to Term of Reference 3:</w:t>
      </w:r>
    </w:p>
    <w:p w:rsidR="0000686B" w:rsidRPr="00D468D6" w:rsidRDefault="0000686B" w:rsidP="00920324">
      <w:pPr>
        <w:pStyle w:val="ListParagraph"/>
        <w:numPr>
          <w:ilvl w:val="0"/>
          <w:numId w:val="8"/>
        </w:numPr>
        <w:spacing w:after="120" w:line="240" w:lineRule="auto"/>
        <w:ind w:left="426" w:hanging="426"/>
        <w:contextualSpacing w:val="0"/>
        <w:rPr>
          <w:rFonts w:asciiTheme="minorHAnsi" w:hAnsiTheme="minorHAnsi"/>
        </w:rPr>
      </w:pPr>
      <w:r w:rsidRPr="00D468D6">
        <w:rPr>
          <w:rFonts w:asciiTheme="minorHAnsi" w:hAnsiTheme="minorHAnsi"/>
        </w:rPr>
        <w:t>If utilisation of ezetimibe is found to be consistent with the intent of the PBS within local clinical guidelines, it is unnecessary to review the cost-effectiveness of ezetimibe</w:t>
      </w:r>
      <w:r>
        <w:rPr>
          <w:rFonts w:asciiTheme="minorHAnsi" w:hAnsiTheme="minorHAnsi"/>
        </w:rPr>
        <w:t>.</w:t>
      </w:r>
    </w:p>
    <w:p w:rsidR="0000686B" w:rsidRPr="00D468D6" w:rsidRDefault="0000686B">
      <w:pPr>
        <w:pStyle w:val="ListParagraph"/>
        <w:numPr>
          <w:ilvl w:val="0"/>
          <w:numId w:val="8"/>
        </w:numPr>
        <w:spacing w:after="120" w:line="240" w:lineRule="auto"/>
        <w:ind w:left="426" w:hanging="426"/>
        <w:contextualSpacing w:val="0"/>
        <w:rPr>
          <w:rFonts w:asciiTheme="minorHAnsi" w:hAnsiTheme="minorHAnsi"/>
        </w:rPr>
      </w:pPr>
      <w:r w:rsidRPr="00D468D6">
        <w:rPr>
          <w:rFonts w:asciiTheme="minorHAnsi" w:hAnsiTheme="minorHAnsi"/>
        </w:rPr>
        <w:t>There have been no other changes in the intervening period in terms of PBS listings, local treatment guidelines or choice of comparator that would warrant reconsideration of the cost-effectiveness of ezetimibe</w:t>
      </w:r>
      <w:r>
        <w:rPr>
          <w:rFonts w:asciiTheme="minorHAnsi" w:hAnsiTheme="minorHAnsi"/>
        </w:rPr>
        <w:t>.</w:t>
      </w:r>
      <w:r w:rsidRPr="00D468D6">
        <w:rPr>
          <w:rFonts w:asciiTheme="minorHAnsi" w:hAnsiTheme="minorHAnsi"/>
        </w:rPr>
        <w:t xml:space="preserve"> </w:t>
      </w:r>
    </w:p>
    <w:p w:rsidR="0000686B" w:rsidRPr="00D468D6" w:rsidRDefault="0000686B">
      <w:pPr>
        <w:pStyle w:val="ListParagraph"/>
        <w:numPr>
          <w:ilvl w:val="0"/>
          <w:numId w:val="8"/>
        </w:numPr>
        <w:spacing w:after="120" w:line="240" w:lineRule="auto"/>
        <w:ind w:left="426" w:hanging="426"/>
        <w:contextualSpacing w:val="0"/>
        <w:rPr>
          <w:rFonts w:asciiTheme="minorHAnsi" w:hAnsiTheme="minorHAnsi"/>
        </w:rPr>
      </w:pPr>
      <w:r w:rsidRPr="00D468D6">
        <w:rPr>
          <w:rFonts w:asciiTheme="minorHAnsi" w:hAnsiTheme="minorHAnsi"/>
        </w:rPr>
        <w:t>New evidence from the IMPROVE-IT study has confirmed the benefit of adding ezetimibe to statins</w:t>
      </w:r>
      <w:r>
        <w:rPr>
          <w:rFonts w:asciiTheme="minorHAnsi" w:hAnsiTheme="minorHAnsi"/>
        </w:rPr>
        <w:t>.</w:t>
      </w:r>
      <w:r w:rsidRPr="00D468D6">
        <w:rPr>
          <w:rFonts w:asciiTheme="minorHAnsi" w:hAnsiTheme="minorHAnsi"/>
        </w:rPr>
        <w:t xml:space="preserve"> </w:t>
      </w:r>
    </w:p>
    <w:p w:rsidR="0000686B" w:rsidRPr="00D468D6" w:rsidRDefault="0000686B">
      <w:pPr>
        <w:pStyle w:val="ListParagraph"/>
        <w:numPr>
          <w:ilvl w:val="0"/>
          <w:numId w:val="8"/>
        </w:numPr>
        <w:spacing w:after="120" w:line="240" w:lineRule="auto"/>
        <w:ind w:left="426" w:hanging="426"/>
        <w:contextualSpacing w:val="0"/>
        <w:rPr>
          <w:rFonts w:asciiTheme="minorHAnsi" w:hAnsiTheme="minorHAnsi"/>
        </w:rPr>
      </w:pPr>
      <w:r w:rsidRPr="00D468D6">
        <w:rPr>
          <w:rFonts w:asciiTheme="minorHAnsi" w:hAnsiTheme="minorHAnsi"/>
        </w:rPr>
        <w:t>Ezetimibe achieved a reduction in LDL-C of 0.4</w:t>
      </w:r>
      <w:r>
        <w:rPr>
          <w:rFonts w:asciiTheme="minorHAnsi" w:hAnsiTheme="minorHAnsi"/>
        </w:rPr>
        <w:t>mmol</w:t>
      </w:r>
      <w:r w:rsidRPr="00D468D6">
        <w:rPr>
          <w:rFonts w:asciiTheme="minorHAnsi" w:hAnsiTheme="minorHAnsi"/>
        </w:rPr>
        <w:t>/L compared with placebo</w:t>
      </w:r>
      <w:r>
        <w:rPr>
          <w:rFonts w:asciiTheme="minorHAnsi" w:hAnsiTheme="minorHAnsi"/>
        </w:rPr>
        <w:t xml:space="preserve"> in the IMPROVE-IT trial.</w:t>
      </w:r>
    </w:p>
    <w:p w:rsidR="0000686B" w:rsidRDefault="0000686B">
      <w:pPr>
        <w:pStyle w:val="ListParagraph"/>
        <w:numPr>
          <w:ilvl w:val="0"/>
          <w:numId w:val="8"/>
        </w:numPr>
        <w:spacing w:after="120" w:line="240" w:lineRule="auto"/>
        <w:ind w:left="426" w:hanging="426"/>
        <w:contextualSpacing w:val="0"/>
        <w:rPr>
          <w:rFonts w:asciiTheme="minorHAnsi" w:hAnsiTheme="minorHAnsi"/>
        </w:rPr>
      </w:pPr>
      <w:r w:rsidRPr="00D468D6">
        <w:rPr>
          <w:rFonts w:asciiTheme="minorHAnsi" w:hAnsiTheme="minorHAnsi"/>
        </w:rPr>
        <w:t>The IMPROVE-IT result has been described as proof that LDL-C is a causal factor of CVD and reducing LDL-C reduces CVD</w:t>
      </w:r>
      <w:r>
        <w:rPr>
          <w:rFonts w:asciiTheme="minorHAnsi" w:hAnsiTheme="minorHAnsi"/>
        </w:rPr>
        <w:t>.</w:t>
      </w:r>
    </w:p>
    <w:p w:rsidR="0000686B" w:rsidRPr="00F52141" w:rsidRDefault="003848A8" w:rsidP="005A2287">
      <w:pPr>
        <w:pStyle w:val="Heading3"/>
        <w:jc w:val="left"/>
      </w:pPr>
      <w:bookmarkStart w:id="91" w:name="_Toc482176979"/>
      <w:r>
        <w:t>3.</w:t>
      </w:r>
      <w:r w:rsidR="0000686B">
        <w:t>4.2</w:t>
      </w:r>
      <w:r w:rsidR="0000686B">
        <w:tab/>
      </w:r>
      <w:r w:rsidR="0000686B" w:rsidRPr="00F52141">
        <w:t>Outcomes from the stakeholder forum</w:t>
      </w:r>
      <w:bookmarkEnd w:id="91"/>
    </w:p>
    <w:p w:rsidR="005224AC" w:rsidRDefault="0000686B" w:rsidP="00920324">
      <w:pPr>
        <w:pStyle w:val="BodyText"/>
        <w:spacing w:after="200" w:line="240" w:lineRule="auto"/>
        <w:rPr>
          <w:rFonts w:asciiTheme="minorHAnsi" w:hAnsiTheme="minorHAnsi"/>
        </w:rPr>
      </w:pPr>
      <w:r w:rsidRPr="004677BE">
        <w:rPr>
          <w:rFonts w:asciiTheme="minorHAnsi" w:hAnsiTheme="minorHAnsi"/>
        </w:rPr>
        <w:t xml:space="preserve">The </w:t>
      </w:r>
      <w:r>
        <w:rPr>
          <w:rFonts w:asciiTheme="minorHAnsi" w:hAnsiTheme="minorHAnsi"/>
        </w:rPr>
        <w:t xml:space="preserve">Reference Group sought any further recent evidence that may inform its consideration of ToR 3. Participants </w:t>
      </w:r>
      <w:r w:rsidRPr="004677BE">
        <w:rPr>
          <w:rFonts w:asciiTheme="minorHAnsi" w:hAnsiTheme="minorHAnsi"/>
        </w:rPr>
        <w:t xml:space="preserve">agreed to </w:t>
      </w:r>
      <w:r>
        <w:rPr>
          <w:rFonts w:asciiTheme="minorHAnsi" w:hAnsiTheme="minorHAnsi"/>
        </w:rPr>
        <w:t xml:space="preserve">identify </w:t>
      </w:r>
      <w:r w:rsidRPr="004677BE">
        <w:rPr>
          <w:rFonts w:asciiTheme="minorHAnsi" w:hAnsiTheme="minorHAnsi"/>
        </w:rPr>
        <w:t>other relevant studies to the Review Secretariat.</w:t>
      </w:r>
      <w:r w:rsidR="005224AC" w:rsidRPr="005224AC">
        <w:rPr>
          <w:rFonts w:asciiTheme="minorHAnsi" w:hAnsiTheme="minorHAnsi"/>
          <w:highlight w:val="yellow"/>
        </w:rPr>
        <w:t xml:space="preserve"> </w:t>
      </w:r>
      <w:r w:rsidR="005224AC" w:rsidRPr="00154809">
        <w:rPr>
          <w:rFonts w:asciiTheme="minorHAnsi" w:hAnsiTheme="minorHAnsi"/>
          <w:highlight w:val="yellow"/>
        </w:rPr>
        <w:t xml:space="preserve">Following the </w:t>
      </w:r>
      <w:r w:rsidR="005224AC" w:rsidRPr="00441776">
        <w:rPr>
          <w:rFonts w:asciiTheme="minorHAnsi" w:hAnsiTheme="minorHAnsi"/>
          <w:highlight w:val="yellow"/>
        </w:rPr>
        <w:t xml:space="preserve">stakeholder forum the citations were provided by the </w:t>
      </w:r>
      <w:r w:rsidR="005224AC" w:rsidRPr="00154809">
        <w:rPr>
          <w:rFonts w:asciiTheme="minorHAnsi" w:hAnsiTheme="minorHAnsi"/>
          <w:highlight w:val="yellow"/>
        </w:rPr>
        <w:t>sponsor.</w:t>
      </w:r>
      <w:r w:rsidR="005224AC">
        <w:rPr>
          <w:rFonts w:asciiTheme="minorHAnsi" w:hAnsiTheme="minorHAnsi"/>
        </w:rPr>
        <w:t xml:space="preserve"> </w:t>
      </w:r>
    </w:p>
    <w:p w:rsidR="0000686B" w:rsidRPr="004677BE" w:rsidRDefault="0000686B">
      <w:pPr>
        <w:spacing w:line="240" w:lineRule="auto"/>
        <w:rPr>
          <w:rFonts w:asciiTheme="minorHAnsi" w:hAnsiTheme="minorHAnsi"/>
        </w:rPr>
      </w:pPr>
      <w:r w:rsidRPr="004677BE">
        <w:rPr>
          <w:rFonts w:asciiTheme="minorHAnsi" w:hAnsiTheme="minorHAnsi"/>
        </w:rPr>
        <w:t>Specific comments made by participants included:</w:t>
      </w:r>
    </w:p>
    <w:p w:rsidR="0000686B" w:rsidRPr="00247005" w:rsidRDefault="0000686B">
      <w:pPr>
        <w:pStyle w:val="ListBullet"/>
        <w:spacing w:before="0" w:after="120" w:line="240" w:lineRule="auto"/>
        <w:jc w:val="both"/>
        <w:rPr>
          <w:rFonts w:eastAsiaTheme="minorHAnsi" w:cstheme="minorBidi"/>
          <w:sz w:val="24"/>
          <w:lang w:eastAsia="en-US"/>
        </w:rPr>
      </w:pPr>
      <w:r w:rsidRPr="0079040D">
        <w:rPr>
          <w:sz w:val="24"/>
          <w:szCs w:val="24"/>
        </w:rPr>
        <w:lastRenderedPageBreak/>
        <w:t xml:space="preserve">in </w:t>
      </w:r>
      <w:r w:rsidRPr="00247005">
        <w:rPr>
          <w:rFonts w:eastAsiaTheme="minorHAnsi" w:cstheme="minorBidi"/>
          <w:sz w:val="24"/>
          <w:lang w:eastAsia="en-US"/>
        </w:rPr>
        <w:t>using any studies, it is important to consider the depth of evidence and applicability to the Australian context</w:t>
      </w:r>
    </w:p>
    <w:p w:rsidR="0000686B" w:rsidRPr="00247005" w:rsidRDefault="0000686B">
      <w:pPr>
        <w:pStyle w:val="ListBullet"/>
        <w:spacing w:before="0" w:after="120" w:line="240" w:lineRule="auto"/>
        <w:jc w:val="both"/>
        <w:rPr>
          <w:rFonts w:eastAsiaTheme="minorHAnsi" w:cstheme="minorBidi"/>
          <w:sz w:val="24"/>
          <w:lang w:eastAsia="en-US"/>
        </w:rPr>
      </w:pPr>
      <w:r w:rsidRPr="00247005">
        <w:rPr>
          <w:rFonts w:eastAsiaTheme="minorHAnsi" w:cstheme="minorBidi"/>
          <w:sz w:val="24"/>
          <w:lang w:eastAsia="en-US"/>
        </w:rPr>
        <w:t>despite its limitations, IMPROVE-IT is the most up-to-date study, and also addressed questions in relation to the safety of ezetimibe</w:t>
      </w:r>
    </w:p>
    <w:p w:rsidR="0000686B" w:rsidRPr="00247005" w:rsidRDefault="0000686B">
      <w:pPr>
        <w:pStyle w:val="ListBullet"/>
        <w:spacing w:before="0" w:after="120" w:line="240" w:lineRule="auto"/>
        <w:jc w:val="both"/>
        <w:rPr>
          <w:rFonts w:eastAsiaTheme="minorHAnsi" w:cstheme="minorBidi"/>
          <w:sz w:val="24"/>
          <w:lang w:eastAsia="en-US"/>
        </w:rPr>
      </w:pPr>
      <w:r w:rsidRPr="00247005">
        <w:rPr>
          <w:rFonts w:eastAsiaTheme="minorHAnsi" w:cstheme="minorBidi"/>
          <w:sz w:val="24"/>
          <w:lang w:eastAsia="en-US"/>
        </w:rPr>
        <w:t>the experiences of failed studies (studies that did not demonstrate outcomes) is also relevant to this Review.</w:t>
      </w:r>
    </w:p>
    <w:p w:rsidR="0000686B" w:rsidRPr="00441776" w:rsidRDefault="003848A8" w:rsidP="005A2287">
      <w:pPr>
        <w:pStyle w:val="Heading3"/>
        <w:jc w:val="left"/>
      </w:pPr>
      <w:bookmarkStart w:id="92" w:name="_Toc482176980"/>
      <w:r>
        <w:rPr>
          <w:highlight w:val="yellow"/>
        </w:rPr>
        <w:t>3.</w:t>
      </w:r>
      <w:r w:rsidR="0000686B" w:rsidRPr="00441776">
        <w:rPr>
          <w:highlight w:val="yellow"/>
        </w:rPr>
        <w:t>4.3 Stakeholder submissions to the draft Report</w:t>
      </w:r>
      <w:bookmarkEnd w:id="92"/>
    </w:p>
    <w:p w:rsidR="0000686B" w:rsidRPr="00441776" w:rsidRDefault="0000686B" w:rsidP="00920324">
      <w:pPr>
        <w:rPr>
          <w:rFonts w:asciiTheme="minorHAnsi" w:hAnsiTheme="minorHAnsi"/>
          <w:highlight w:val="yellow"/>
        </w:rPr>
      </w:pPr>
      <w:r w:rsidRPr="00441776">
        <w:rPr>
          <w:rFonts w:asciiTheme="minorHAnsi" w:hAnsiTheme="minorHAnsi"/>
          <w:highlight w:val="yellow"/>
        </w:rPr>
        <w:t>Stakeholders raised the following points in their responses to the draft Report provided on the PMR website from 30 January to 10 February 2017.</w:t>
      </w:r>
    </w:p>
    <w:p w:rsidR="0000686B" w:rsidRPr="00441776" w:rsidRDefault="0000686B">
      <w:pPr>
        <w:pStyle w:val="ListParagraph"/>
        <w:numPr>
          <w:ilvl w:val="0"/>
          <w:numId w:val="27"/>
        </w:numPr>
        <w:rPr>
          <w:rFonts w:asciiTheme="minorHAnsi" w:hAnsiTheme="minorHAnsi"/>
          <w:highlight w:val="yellow"/>
        </w:rPr>
      </w:pPr>
      <w:r w:rsidRPr="00441776">
        <w:rPr>
          <w:rFonts w:asciiTheme="minorHAnsi" w:hAnsiTheme="minorHAnsi"/>
          <w:highlight w:val="yellow"/>
        </w:rPr>
        <w:t>Stakeholders highlighted an important new article by J G Robinson et al in Journal of American College of Cardiology, December 2016.</w:t>
      </w:r>
    </w:p>
    <w:p w:rsidR="0000686B" w:rsidRPr="00441776" w:rsidRDefault="0000686B">
      <w:pPr>
        <w:pStyle w:val="ListParagraph"/>
        <w:numPr>
          <w:ilvl w:val="0"/>
          <w:numId w:val="27"/>
        </w:numPr>
        <w:rPr>
          <w:rFonts w:asciiTheme="minorHAnsi" w:hAnsiTheme="minorHAnsi"/>
          <w:highlight w:val="yellow"/>
        </w:rPr>
      </w:pPr>
      <w:r w:rsidRPr="00441776">
        <w:rPr>
          <w:rFonts w:asciiTheme="minorHAnsi" w:hAnsiTheme="minorHAnsi"/>
          <w:highlight w:val="yellow"/>
        </w:rPr>
        <w:t>Overall stakeholder considered that all clinical evidence supported ezetimibe as a second-line therapeutic option to lower LDL-C and other harmful lipids in patients at increased risk of cardiovascular events</w:t>
      </w:r>
    </w:p>
    <w:p w:rsidR="0000686B" w:rsidRPr="00441776" w:rsidRDefault="0000686B">
      <w:pPr>
        <w:pStyle w:val="ListParagraph"/>
        <w:numPr>
          <w:ilvl w:val="0"/>
          <w:numId w:val="27"/>
        </w:numPr>
        <w:rPr>
          <w:rFonts w:asciiTheme="minorHAnsi" w:hAnsiTheme="minorHAnsi"/>
          <w:highlight w:val="yellow"/>
        </w:rPr>
      </w:pPr>
      <w:r w:rsidRPr="00441776">
        <w:rPr>
          <w:rFonts w:asciiTheme="minorHAnsi" w:hAnsiTheme="minorHAnsi"/>
          <w:highlight w:val="yellow"/>
        </w:rPr>
        <w:t xml:space="preserve">Key findings of the IMPROVE-IT study were stated to be </w:t>
      </w:r>
    </w:p>
    <w:p w:rsidR="0000686B" w:rsidRPr="00441776" w:rsidRDefault="0000686B">
      <w:pPr>
        <w:pStyle w:val="ListParagraph"/>
        <w:numPr>
          <w:ilvl w:val="1"/>
          <w:numId w:val="27"/>
        </w:numPr>
        <w:rPr>
          <w:rFonts w:asciiTheme="minorHAnsi" w:hAnsiTheme="minorHAnsi"/>
          <w:highlight w:val="yellow"/>
        </w:rPr>
      </w:pPr>
      <w:r w:rsidRPr="00441776">
        <w:rPr>
          <w:rFonts w:asciiTheme="minorHAnsi" w:hAnsiTheme="minorHAnsi"/>
          <w:highlight w:val="yellow"/>
        </w:rPr>
        <w:t xml:space="preserve">validation of LDL-C as a surrogate, </w:t>
      </w:r>
    </w:p>
    <w:p w:rsidR="0000686B" w:rsidRPr="00441776" w:rsidRDefault="0000686B">
      <w:pPr>
        <w:pStyle w:val="ListParagraph"/>
        <w:numPr>
          <w:ilvl w:val="1"/>
          <w:numId w:val="27"/>
        </w:numPr>
        <w:rPr>
          <w:rFonts w:asciiTheme="minorHAnsi" w:hAnsiTheme="minorHAnsi"/>
          <w:highlight w:val="yellow"/>
        </w:rPr>
      </w:pPr>
      <w:r w:rsidRPr="00441776">
        <w:rPr>
          <w:rFonts w:asciiTheme="minorHAnsi" w:hAnsiTheme="minorHAnsi"/>
          <w:highlight w:val="yellow"/>
        </w:rPr>
        <w:t xml:space="preserve">the benefit of addition ezetimibe has been shown in high risk (secondary population) so </w:t>
      </w:r>
      <w:r w:rsidR="00257E45">
        <w:rPr>
          <w:rFonts w:asciiTheme="minorHAnsi" w:hAnsiTheme="minorHAnsi"/>
          <w:highlight w:val="yellow"/>
        </w:rPr>
        <w:t xml:space="preserve">that </w:t>
      </w:r>
      <w:r w:rsidRPr="00441776">
        <w:rPr>
          <w:rFonts w:asciiTheme="minorHAnsi" w:hAnsiTheme="minorHAnsi"/>
          <w:highlight w:val="yellow"/>
        </w:rPr>
        <w:t xml:space="preserve">the applicability to the PBS population with low risk of cardiovascular disease remains without adequate evidence in terms of the extent of benefit from adding </w:t>
      </w:r>
      <w:r w:rsidR="00C05E80" w:rsidRPr="00441776">
        <w:rPr>
          <w:rFonts w:asciiTheme="minorHAnsi" w:hAnsiTheme="minorHAnsi"/>
          <w:highlight w:val="yellow"/>
        </w:rPr>
        <w:t>ezetimibe</w:t>
      </w:r>
      <w:r w:rsidRPr="00441776">
        <w:rPr>
          <w:rFonts w:asciiTheme="minorHAnsi" w:hAnsiTheme="minorHAnsi"/>
          <w:highlight w:val="yellow"/>
        </w:rPr>
        <w:t>,</w:t>
      </w:r>
    </w:p>
    <w:p w:rsidR="0000686B" w:rsidRPr="00441776" w:rsidRDefault="0000686B">
      <w:pPr>
        <w:pStyle w:val="ListParagraph"/>
        <w:numPr>
          <w:ilvl w:val="1"/>
          <w:numId w:val="27"/>
        </w:numPr>
        <w:rPr>
          <w:rFonts w:asciiTheme="minorHAnsi" w:hAnsiTheme="minorHAnsi"/>
          <w:highlight w:val="yellow"/>
        </w:rPr>
      </w:pPr>
      <w:r w:rsidRPr="00441776">
        <w:rPr>
          <w:rFonts w:asciiTheme="minorHAnsi" w:hAnsiTheme="minorHAnsi"/>
          <w:highlight w:val="yellow"/>
        </w:rPr>
        <w:t>there was no gain in mortality in populations with high risk of cardiovascular events,</w:t>
      </w:r>
    </w:p>
    <w:p w:rsidR="0000686B" w:rsidRPr="00441776" w:rsidRDefault="0000686B">
      <w:pPr>
        <w:pStyle w:val="ListParagraph"/>
        <w:numPr>
          <w:ilvl w:val="0"/>
          <w:numId w:val="27"/>
        </w:numPr>
        <w:rPr>
          <w:rFonts w:asciiTheme="minorHAnsi" w:hAnsiTheme="minorHAnsi"/>
          <w:highlight w:val="yellow"/>
        </w:rPr>
      </w:pPr>
      <w:r w:rsidRPr="00441776">
        <w:rPr>
          <w:rFonts w:asciiTheme="minorHAnsi" w:hAnsiTheme="minorHAnsi"/>
          <w:highlight w:val="yellow"/>
        </w:rPr>
        <w:t>Additional clinical comments from stakeholders were:</w:t>
      </w:r>
    </w:p>
    <w:p w:rsidR="0000686B" w:rsidRPr="00441776" w:rsidRDefault="0000686B">
      <w:pPr>
        <w:pStyle w:val="ListParagraph"/>
        <w:numPr>
          <w:ilvl w:val="1"/>
          <w:numId w:val="27"/>
        </w:numPr>
        <w:rPr>
          <w:rFonts w:asciiTheme="minorHAnsi" w:hAnsiTheme="minorHAnsi"/>
          <w:highlight w:val="yellow"/>
        </w:rPr>
      </w:pPr>
      <w:r w:rsidRPr="00441776">
        <w:rPr>
          <w:rFonts w:asciiTheme="minorHAnsi" w:hAnsiTheme="minorHAnsi"/>
          <w:highlight w:val="yellow"/>
        </w:rPr>
        <w:t>the response of patients to ezetimibe has been found to be subject to high levels of individual variation, possibly associated with pharmacodynamics factors.</w:t>
      </w:r>
    </w:p>
    <w:p w:rsidR="0000686B" w:rsidRPr="00441776" w:rsidRDefault="0000686B">
      <w:pPr>
        <w:pStyle w:val="ListParagraph"/>
        <w:numPr>
          <w:ilvl w:val="1"/>
          <w:numId w:val="27"/>
        </w:numPr>
        <w:rPr>
          <w:rFonts w:asciiTheme="minorHAnsi" w:hAnsiTheme="minorHAnsi"/>
          <w:highlight w:val="yellow"/>
        </w:rPr>
      </w:pPr>
      <w:r w:rsidRPr="00441776">
        <w:rPr>
          <w:rFonts w:asciiTheme="minorHAnsi" w:hAnsiTheme="minorHAnsi"/>
          <w:highlight w:val="yellow"/>
        </w:rPr>
        <w:t xml:space="preserve">One submission commented on the apparently high doses of ezetimibe in the marketed product when the ED50 (median effective dose i.e. dose for 50% of the population to have the specified effect). </w:t>
      </w:r>
      <w:r w:rsidRPr="00441776">
        <w:rPr>
          <w:rFonts w:asciiTheme="minorHAnsi" w:hAnsiTheme="minorHAnsi"/>
          <w:i/>
          <w:highlight w:val="yellow"/>
        </w:rPr>
        <w:t>The Review notes that this is a regulatory issue and out of scope of this Review</w:t>
      </w:r>
      <w:r w:rsidRPr="00441776">
        <w:rPr>
          <w:rFonts w:asciiTheme="minorHAnsi" w:hAnsiTheme="minorHAnsi"/>
          <w:highlight w:val="yellow"/>
        </w:rPr>
        <w:t>.</w:t>
      </w:r>
    </w:p>
    <w:p w:rsidR="0000686B" w:rsidRPr="00441776" w:rsidRDefault="0000686B">
      <w:pPr>
        <w:pStyle w:val="ListParagraph"/>
        <w:numPr>
          <w:ilvl w:val="1"/>
          <w:numId w:val="27"/>
        </w:numPr>
        <w:rPr>
          <w:rFonts w:asciiTheme="minorHAnsi" w:hAnsiTheme="minorHAnsi"/>
          <w:highlight w:val="yellow"/>
        </w:rPr>
      </w:pPr>
      <w:r w:rsidRPr="00441776">
        <w:rPr>
          <w:rFonts w:asciiTheme="minorHAnsi" w:hAnsiTheme="minorHAnsi"/>
          <w:highlight w:val="yellow"/>
        </w:rPr>
        <w:t>The future availability of PCSK 9 inhibitors will provide a major stimulus to effective treatments to reduce cardiovascular events.</w:t>
      </w:r>
    </w:p>
    <w:p w:rsidR="0000686B" w:rsidRPr="00441776" w:rsidRDefault="0000686B">
      <w:pPr>
        <w:pStyle w:val="ListParagraph"/>
        <w:numPr>
          <w:ilvl w:val="0"/>
          <w:numId w:val="27"/>
        </w:numPr>
        <w:rPr>
          <w:rFonts w:asciiTheme="minorHAnsi" w:hAnsiTheme="minorHAnsi"/>
          <w:highlight w:val="yellow"/>
        </w:rPr>
      </w:pPr>
      <w:r w:rsidRPr="00441776">
        <w:rPr>
          <w:rFonts w:asciiTheme="minorHAnsi" w:hAnsiTheme="minorHAnsi"/>
          <w:highlight w:val="yellow"/>
        </w:rPr>
        <w:t xml:space="preserve">A 2016 New England Journal of Medicine data report from the Framingham study reported that maintaining low blood pressure and LDL-C decreased the risk of developing dementia. </w:t>
      </w:r>
    </w:p>
    <w:p w:rsidR="0000686B" w:rsidRPr="00441776" w:rsidRDefault="0000686B">
      <w:pPr>
        <w:pStyle w:val="ListParagraph"/>
        <w:numPr>
          <w:ilvl w:val="0"/>
          <w:numId w:val="27"/>
        </w:numPr>
        <w:rPr>
          <w:rFonts w:asciiTheme="minorHAnsi" w:hAnsiTheme="minorHAnsi"/>
          <w:highlight w:val="yellow"/>
        </w:rPr>
      </w:pPr>
      <w:r w:rsidRPr="00441776">
        <w:rPr>
          <w:rFonts w:asciiTheme="minorHAnsi" w:hAnsiTheme="minorHAnsi"/>
          <w:highlight w:val="yellow"/>
        </w:rPr>
        <w:t>Cost-effectiveness of ezetimibe:</w:t>
      </w:r>
    </w:p>
    <w:p w:rsidR="0000686B" w:rsidRPr="00441776" w:rsidRDefault="0000686B">
      <w:pPr>
        <w:pStyle w:val="ListParagraph"/>
        <w:numPr>
          <w:ilvl w:val="1"/>
          <w:numId w:val="27"/>
        </w:numPr>
        <w:rPr>
          <w:rFonts w:asciiTheme="minorHAnsi" w:hAnsiTheme="minorHAnsi"/>
          <w:highlight w:val="yellow"/>
        </w:rPr>
      </w:pPr>
      <w:r w:rsidRPr="00441776">
        <w:rPr>
          <w:rFonts w:asciiTheme="minorHAnsi" w:hAnsiTheme="minorHAnsi"/>
          <w:highlight w:val="yellow"/>
        </w:rPr>
        <w:t>One submission considered that the evidence presented did not provide a basis for a review of cost-effectiveness.</w:t>
      </w:r>
    </w:p>
    <w:p w:rsidR="0000686B" w:rsidRPr="00441776" w:rsidRDefault="0000686B">
      <w:pPr>
        <w:pStyle w:val="ListParagraph"/>
        <w:numPr>
          <w:ilvl w:val="1"/>
          <w:numId w:val="27"/>
        </w:numPr>
        <w:rPr>
          <w:rFonts w:asciiTheme="minorHAnsi" w:hAnsiTheme="minorHAnsi"/>
          <w:highlight w:val="yellow"/>
        </w:rPr>
      </w:pPr>
      <w:r w:rsidRPr="00441776">
        <w:rPr>
          <w:rFonts w:asciiTheme="minorHAnsi" w:hAnsiTheme="minorHAnsi"/>
          <w:highlight w:val="yellow"/>
        </w:rPr>
        <w:lastRenderedPageBreak/>
        <w:t>Three submissions were concerned about the addition of a second comparator in considering cost-effectiveness of ezetimibe in this review. The second comparator, higher doses of statin, was felt to be inconsistent with the position of ezetimibe as a second-line agent.  These submissions noted that the PBAC has not considered higher dose statins as a comparator when considering ezet</w:t>
      </w:r>
      <w:r w:rsidR="00C05E80">
        <w:rPr>
          <w:rFonts w:asciiTheme="minorHAnsi" w:hAnsiTheme="minorHAnsi"/>
          <w:highlight w:val="yellow"/>
        </w:rPr>
        <w:t>i</w:t>
      </w:r>
      <w:r w:rsidRPr="00441776">
        <w:rPr>
          <w:rFonts w:asciiTheme="minorHAnsi" w:hAnsiTheme="minorHAnsi"/>
          <w:highlight w:val="yellow"/>
        </w:rPr>
        <w:t>mibe for listing on the PBS.</w:t>
      </w:r>
    </w:p>
    <w:p w:rsidR="0000686B" w:rsidRPr="00441776" w:rsidRDefault="0000686B">
      <w:pPr>
        <w:pStyle w:val="ListParagraph"/>
        <w:numPr>
          <w:ilvl w:val="1"/>
          <w:numId w:val="27"/>
        </w:numPr>
        <w:rPr>
          <w:rFonts w:asciiTheme="minorHAnsi" w:hAnsiTheme="minorHAnsi"/>
          <w:highlight w:val="yellow"/>
        </w:rPr>
      </w:pPr>
      <w:r w:rsidRPr="00441776">
        <w:rPr>
          <w:rFonts w:asciiTheme="minorHAnsi" w:hAnsiTheme="minorHAnsi"/>
          <w:highlight w:val="yellow"/>
        </w:rPr>
        <w:t>The main concern about the model was in regard to the duration of the model. Submissions were concerned that a lifetime duration was consistent with the current statements for chronic diseases in the PBAC Guidelines for su</w:t>
      </w:r>
      <w:r w:rsidR="00C05E80">
        <w:rPr>
          <w:rFonts w:asciiTheme="minorHAnsi" w:hAnsiTheme="minorHAnsi"/>
          <w:highlight w:val="yellow"/>
        </w:rPr>
        <w:t>b</w:t>
      </w:r>
      <w:r w:rsidRPr="00441776">
        <w:rPr>
          <w:rFonts w:asciiTheme="minorHAnsi" w:hAnsiTheme="minorHAnsi"/>
          <w:highlight w:val="yellow"/>
        </w:rPr>
        <w:t xml:space="preserve">missions to list medicines on the PBS. </w:t>
      </w:r>
    </w:p>
    <w:p w:rsidR="00D06167" w:rsidRDefault="0000686B">
      <w:pPr>
        <w:pStyle w:val="ListParagraph"/>
        <w:numPr>
          <w:ilvl w:val="0"/>
          <w:numId w:val="27"/>
        </w:numPr>
        <w:rPr>
          <w:rFonts w:asciiTheme="minorHAnsi" w:hAnsiTheme="minorHAnsi"/>
          <w:highlight w:val="yellow"/>
        </w:rPr>
      </w:pPr>
      <w:r w:rsidRPr="00441776">
        <w:rPr>
          <w:rFonts w:asciiTheme="minorHAnsi" w:hAnsiTheme="minorHAnsi"/>
          <w:highlight w:val="yellow"/>
        </w:rPr>
        <w:t xml:space="preserve">Additional commercial-in-confidence technical comments on the model in the MSD submission were provided to the Economics Subcommittee and the Drug Utilisation Subcommittee. </w:t>
      </w:r>
    </w:p>
    <w:p w:rsidR="00D06167" w:rsidRDefault="00D06167" w:rsidP="005A2287">
      <w:pPr>
        <w:spacing w:after="0" w:line="240" w:lineRule="auto"/>
        <w:rPr>
          <w:rFonts w:asciiTheme="minorHAnsi" w:hAnsiTheme="minorHAnsi"/>
          <w:highlight w:val="yellow"/>
        </w:rPr>
      </w:pPr>
      <w:r>
        <w:rPr>
          <w:rFonts w:asciiTheme="minorHAnsi" w:hAnsiTheme="minorHAnsi"/>
          <w:highlight w:val="yellow"/>
        </w:rPr>
        <w:br w:type="page"/>
      </w:r>
    </w:p>
    <w:p w:rsidR="0000686B" w:rsidRPr="00441776" w:rsidRDefault="0000686B" w:rsidP="005A2287">
      <w:pPr>
        <w:pStyle w:val="ListParagraph"/>
        <w:rPr>
          <w:rFonts w:asciiTheme="minorHAnsi" w:hAnsiTheme="minorHAnsi"/>
          <w:highlight w:val="yellow"/>
        </w:rPr>
      </w:pPr>
    </w:p>
    <w:p w:rsidR="00003743" w:rsidRPr="004A06F1" w:rsidRDefault="007C496D" w:rsidP="00216B38">
      <w:pPr>
        <w:pStyle w:val="Heading1"/>
        <w:ind w:left="567" w:hanging="567"/>
        <w:jc w:val="both"/>
      </w:pPr>
      <w:bookmarkStart w:id="93" w:name="_Toc482176981"/>
      <w:bookmarkEnd w:id="80"/>
      <w:r w:rsidRPr="004A06F1">
        <w:t xml:space="preserve">Appendix A </w:t>
      </w:r>
      <w:r w:rsidR="00221FBE">
        <w:t>–</w:t>
      </w:r>
      <w:r w:rsidRPr="004A06F1">
        <w:t xml:space="preserve"> </w:t>
      </w:r>
      <w:r w:rsidR="00221FBE">
        <w:t>History of PBS listings</w:t>
      </w:r>
      <w:bookmarkEnd w:id="93"/>
    </w:p>
    <w:p w:rsidR="00BC24F7" w:rsidRPr="004A06F1" w:rsidRDefault="007C496D" w:rsidP="00216B38">
      <w:pPr>
        <w:pStyle w:val="Heading1"/>
        <w:ind w:left="567" w:hanging="567"/>
        <w:jc w:val="both"/>
      </w:pPr>
      <w:bookmarkStart w:id="94" w:name="_Toc482176982"/>
      <w:r w:rsidRPr="004A06F1">
        <w:t xml:space="preserve">Appendix B </w:t>
      </w:r>
      <w:r w:rsidR="00221FBE">
        <w:t>–</w:t>
      </w:r>
      <w:r w:rsidRPr="004A06F1">
        <w:t xml:space="preserve"> </w:t>
      </w:r>
      <w:r w:rsidR="0076278B">
        <w:t>PBS Ezetimibe r</w:t>
      </w:r>
      <w:r w:rsidR="00221FBE">
        <w:t>estrictions</w:t>
      </w:r>
      <w:bookmarkEnd w:id="94"/>
    </w:p>
    <w:p w:rsidR="007C496D" w:rsidRPr="004A06F1" w:rsidRDefault="007C496D" w:rsidP="00216B38">
      <w:pPr>
        <w:pStyle w:val="Heading1"/>
        <w:ind w:left="567" w:hanging="567"/>
        <w:jc w:val="both"/>
      </w:pPr>
      <w:bookmarkStart w:id="95" w:name="_Toc482176983"/>
      <w:r w:rsidRPr="004A06F1">
        <w:t xml:space="preserve">Appendix C </w:t>
      </w:r>
      <w:r w:rsidR="00221FBE">
        <w:t>–</w:t>
      </w:r>
      <w:r w:rsidRPr="004A06F1">
        <w:t xml:space="preserve"> </w:t>
      </w:r>
      <w:r w:rsidR="00221FBE">
        <w:t xml:space="preserve">Key </w:t>
      </w:r>
      <w:r w:rsidR="0076278B">
        <w:t>d</w:t>
      </w:r>
      <w:r w:rsidR="00221FBE">
        <w:t>ates</w:t>
      </w:r>
      <w:bookmarkEnd w:id="95"/>
    </w:p>
    <w:p w:rsidR="00BC24F7" w:rsidRPr="004A06F1" w:rsidRDefault="0076278B" w:rsidP="00216B38">
      <w:pPr>
        <w:pStyle w:val="Heading1"/>
        <w:ind w:left="567" w:hanging="567"/>
        <w:jc w:val="both"/>
      </w:pPr>
      <w:bookmarkStart w:id="96" w:name="_Toc482176984"/>
      <w:r>
        <w:t>Appendix D – Reference Group m</w:t>
      </w:r>
      <w:r w:rsidR="00BC24F7" w:rsidRPr="004A06F1">
        <w:t>embership</w:t>
      </w:r>
      <w:bookmarkEnd w:id="96"/>
    </w:p>
    <w:p w:rsidR="00BC24F7" w:rsidRPr="004A06F1" w:rsidRDefault="00BC24F7" w:rsidP="00216B38">
      <w:pPr>
        <w:pStyle w:val="Heading1"/>
        <w:ind w:left="567" w:hanging="567"/>
        <w:jc w:val="both"/>
      </w:pPr>
      <w:bookmarkStart w:id="97" w:name="_Toc482176985"/>
      <w:r w:rsidRPr="007421A3">
        <w:rPr>
          <w:highlight w:val="yellow"/>
        </w:rPr>
        <w:t xml:space="preserve">Appendix E – Analysis of Utilisation </w:t>
      </w:r>
      <w:r w:rsidR="0076278B" w:rsidRPr="007421A3">
        <w:rPr>
          <w:highlight w:val="yellow"/>
        </w:rPr>
        <w:t>d</w:t>
      </w:r>
      <w:r w:rsidRPr="007421A3">
        <w:rPr>
          <w:highlight w:val="yellow"/>
        </w:rPr>
        <w:t>ata</w:t>
      </w:r>
      <w:bookmarkEnd w:id="97"/>
    </w:p>
    <w:p w:rsidR="00BC24F7" w:rsidRPr="004A06F1" w:rsidRDefault="00BC24F7" w:rsidP="00216B38">
      <w:pPr>
        <w:pStyle w:val="Heading1"/>
        <w:ind w:left="567" w:hanging="567"/>
        <w:jc w:val="both"/>
      </w:pPr>
      <w:bookmarkStart w:id="98" w:name="_Toc482176986"/>
      <w:r w:rsidRPr="004A06F1">
        <w:t xml:space="preserve">Appendix F – Stakeholder Forum </w:t>
      </w:r>
      <w:r w:rsidR="0076278B">
        <w:t>Outcome statement</w:t>
      </w:r>
      <w:bookmarkEnd w:id="98"/>
    </w:p>
    <w:p w:rsidR="00BC24F7" w:rsidRPr="004A06F1" w:rsidRDefault="00BC24F7" w:rsidP="00216B38">
      <w:pPr>
        <w:pStyle w:val="Heading1"/>
        <w:ind w:left="567" w:hanging="567"/>
        <w:jc w:val="both"/>
      </w:pPr>
      <w:bookmarkStart w:id="99" w:name="_Toc482176987"/>
      <w:r w:rsidRPr="004A06F1">
        <w:t xml:space="preserve">Appendix G </w:t>
      </w:r>
      <w:r w:rsidR="004C6F07" w:rsidRPr="004A06F1">
        <w:t>–</w:t>
      </w:r>
      <w:r w:rsidRPr="004A06F1">
        <w:t xml:space="preserve"> </w:t>
      </w:r>
      <w:r w:rsidR="0076278B" w:rsidRPr="004A06F1">
        <w:t xml:space="preserve">Review </w:t>
      </w:r>
      <w:r w:rsidR="0076278B">
        <w:t xml:space="preserve">of </w:t>
      </w:r>
      <w:r w:rsidR="004C6F07" w:rsidRPr="004A06F1">
        <w:t>Clinical Guidelines</w:t>
      </w:r>
      <w:bookmarkEnd w:id="99"/>
      <w:r w:rsidR="004C6F07" w:rsidRPr="004A06F1">
        <w:t xml:space="preserve"> </w:t>
      </w:r>
    </w:p>
    <w:p w:rsidR="00BC24F7" w:rsidRPr="004A06F1" w:rsidRDefault="00BC24F7" w:rsidP="00216B38">
      <w:pPr>
        <w:pStyle w:val="Heading1"/>
        <w:tabs>
          <w:tab w:val="left" w:pos="426"/>
        </w:tabs>
        <w:ind w:left="567" w:hanging="567"/>
        <w:jc w:val="both"/>
      </w:pPr>
      <w:bookmarkStart w:id="100" w:name="_Toc482176988"/>
      <w:r w:rsidRPr="004A06F1">
        <w:t xml:space="preserve">Appendix H </w:t>
      </w:r>
      <w:r w:rsidR="004C6F07" w:rsidRPr="004A06F1">
        <w:t>–</w:t>
      </w:r>
      <w:r w:rsidRPr="004A06F1">
        <w:t xml:space="preserve"> </w:t>
      </w:r>
      <w:r w:rsidR="004C6F07" w:rsidRPr="004A06F1">
        <w:t xml:space="preserve">Public </w:t>
      </w:r>
      <w:r w:rsidR="0076278B">
        <w:t>c</w:t>
      </w:r>
      <w:r w:rsidR="004C6F07" w:rsidRPr="004A06F1">
        <w:t>onsultation</w:t>
      </w:r>
      <w:bookmarkEnd w:id="100"/>
    </w:p>
    <w:p w:rsidR="00BC24F7" w:rsidRPr="004A06F1" w:rsidRDefault="00BC24F7" w:rsidP="00216B38">
      <w:pPr>
        <w:pStyle w:val="Heading1"/>
        <w:ind w:left="567" w:hanging="567"/>
        <w:jc w:val="both"/>
      </w:pPr>
      <w:bookmarkStart w:id="101" w:name="_Toc482176989"/>
      <w:r w:rsidRPr="004A06F1">
        <w:t xml:space="preserve">Appendix I </w:t>
      </w:r>
      <w:r w:rsidR="004C6F07" w:rsidRPr="004A06F1">
        <w:t>–</w:t>
      </w:r>
      <w:r w:rsidRPr="004A06F1">
        <w:t xml:space="preserve"> </w:t>
      </w:r>
      <w:r w:rsidR="0076278B">
        <w:t>Systematic l</w:t>
      </w:r>
      <w:r w:rsidR="004C6F07" w:rsidRPr="004A06F1">
        <w:t xml:space="preserve">iterature </w:t>
      </w:r>
      <w:r w:rsidR="0076278B">
        <w:t>r</w:t>
      </w:r>
      <w:r w:rsidR="004C6F07" w:rsidRPr="004A06F1">
        <w:t>eview</w:t>
      </w:r>
      <w:bookmarkEnd w:id="101"/>
    </w:p>
    <w:p w:rsidR="004C6F07" w:rsidRDefault="004C6F07" w:rsidP="00216B38">
      <w:pPr>
        <w:pStyle w:val="Heading1"/>
        <w:ind w:left="567" w:hanging="567"/>
        <w:jc w:val="both"/>
      </w:pPr>
      <w:bookmarkStart w:id="102" w:name="_Toc482176990"/>
      <w:r w:rsidRPr="004A06F1">
        <w:t xml:space="preserve">Appendix J – </w:t>
      </w:r>
      <w:r w:rsidR="00216B38">
        <w:t>Modelled Economic Evaluations</w:t>
      </w:r>
      <w:bookmarkEnd w:id="102"/>
    </w:p>
    <w:p w:rsidR="008864E8" w:rsidRDefault="008864E8">
      <w:pPr>
        <w:spacing w:after="0" w:line="240" w:lineRule="auto"/>
        <w:jc w:val="left"/>
      </w:pPr>
      <w:r>
        <w:br w:type="page"/>
      </w:r>
    </w:p>
    <w:p w:rsidR="008864E8" w:rsidRPr="008864E8" w:rsidRDefault="008864E8" w:rsidP="008864E8"/>
    <w:p w:rsidR="00BC24F7" w:rsidRPr="00BC24F7" w:rsidRDefault="004C6F07" w:rsidP="004A06F1">
      <w:pPr>
        <w:pStyle w:val="Heading1"/>
      </w:pPr>
      <w:bookmarkStart w:id="103" w:name="_Toc482176991"/>
      <w:r w:rsidRPr="008810FB">
        <w:t>References</w:t>
      </w:r>
      <w:bookmarkEnd w:id="103"/>
    </w:p>
    <w:sectPr w:rsidR="00BC24F7" w:rsidRPr="00BC24F7" w:rsidSect="00EB691F">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EDC" w:rsidRDefault="00EC0EDC" w:rsidP="0000686B">
      <w:pPr>
        <w:spacing w:after="0" w:line="240" w:lineRule="auto"/>
      </w:pPr>
      <w:r>
        <w:separator/>
      </w:r>
    </w:p>
  </w:endnote>
  <w:endnote w:type="continuationSeparator" w:id="0">
    <w:p w:rsidR="00EC0EDC" w:rsidRDefault="00EC0EDC" w:rsidP="0000686B">
      <w:pPr>
        <w:spacing w:after="0" w:line="240" w:lineRule="auto"/>
      </w:pPr>
      <w:r>
        <w:continuationSeparator/>
      </w:r>
    </w:p>
  </w:endnote>
  <w:endnote w:id="1">
    <w:p w:rsidR="00EC0EDC" w:rsidRPr="001A153C" w:rsidRDefault="00EC0EDC" w:rsidP="001955A7">
      <w:pPr>
        <w:pStyle w:val="EndnoteText"/>
        <w:spacing w:after="120" w:line="0" w:lineRule="atLeast"/>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Thomson PD What to Believe and do about Statin Associated Adverse Effects </w:t>
      </w:r>
      <w:r w:rsidRPr="001A153C">
        <w:rPr>
          <w:rFonts w:asciiTheme="minorHAnsi" w:hAnsiTheme="minorHAnsi"/>
          <w:i/>
          <w:sz w:val="18"/>
          <w:szCs w:val="18"/>
        </w:rPr>
        <w:t xml:space="preserve">JAMA </w:t>
      </w:r>
      <w:r w:rsidRPr="001A153C">
        <w:rPr>
          <w:rFonts w:asciiTheme="minorHAnsi" w:hAnsiTheme="minorHAnsi"/>
          <w:sz w:val="18"/>
          <w:szCs w:val="18"/>
        </w:rPr>
        <w:t>November 15, 2016 Volume 316, Number 19</w:t>
      </w:r>
    </w:p>
  </w:endnote>
  <w:endnote w:id="2">
    <w:p w:rsidR="00EC0EDC" w:rsidRPr="001A153C" w:rsidRDefault="00EC0EDC" w:rsidP="001955A7">
      <w:pPr>
        <w:spacing w:after="120" w:line="0" w:lineRule="atLeast"/>
        <w:outlineLvl w:val="1"/>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w:t>
      </w:r>
      <w:r w:rsidRPr="001A153C">
        <w:rPr>
          <w:rFonts w:asciiTheme="minorHAnsi" w:hAnsiTheme="minorHAnsi" w:cs="Arial"/>
          <w:sz w:val="18"/>
          <w:szCs w:val="18"/>
        </w:rPr>
        <w:t xml:space="preserve">Cannon CP, Blazing MA, Giugliano RP et al </w:t>
      </w:r>
      <w:r w:rsidRPr="001A153C">
        <w:rPr>
          <w:rFonts w:asciiTheme="minorHAnsi" w:hAnsiTheme="minorHAnsi" w:cs="Arial"/>
          <w:bCs/>
          <w:kern w:val="36"/>
          <w:sz w:val="18"/>
          <w:szCs w:val="18"/>
        </w:rPr>
        <w:t xml:space="preserve">Ezetimibe Added to Statin Therapy after Acute Coronary Syndromes </w:t>
      </w:r>
      <w:r w:rsidRPr="001A153C">
        <w:rPr>
          <w:rStyle w:val="citation"/>
          <w:rFonts w:asciiTheme="minorHAnsi" w:hAnsiTheme="minorHAnsi" w:cs="Arial"/>
          <w:i/>
          <w:sz w:val="18"/>
          <w:szCs w:val="18"/>
        </w:rPr>
        <w:t>N Engl J Med</w:t>
      </w:r>
      <w:r w:rsidRPr="001A153C">
        <w:rPr>
          <w:rStyle w:val="citation"/>
          <w:rFonts w:asciiTheme="minorHAnsi" w:hAnsiTheme="minorHAnsi" w:cs="Arial"/>
          <w:sz w:val="18"/>
          <w:szCs w:val="18"/>
        </w:rPr>
        <w:t xml:space="preserve"> 2015; 372:2387-2397 </w:t>
      </w:r>
      <w:hyperlink r:id="rId1" w:history="1">
        <w:r w:rsidRPr="001A153C">
          <w:rPr>
            <w:rStyle w:val="Hyperlink"/>
            <w:rFonts w:asciiTheme="minorHAnsi" w:hAnsiTheme="minorHAnsi" w:cs="Arial"/>
            <w:color w:val="auto"/>
            <w:sz w:val="18"/>
            <w:szCs w:val="18"/>
            <w:u w:val="none"/>
          </w:rPr>
          <w:t>June 18, 2015</w:t>
        </w:r>
      </w:hyperlink>
      <w:r w:rsidRPr="001A153C">
        <w:rPr>
          <w:rStyle w:val="Hyperlink"/>
          <w:rFonts w:asciiTheme="minorHAnsi" w:hAnsiTheme="minorHAnsi" w:cs="Arial"/>
          <w:color w:val="auto"/>
          <w:sz w:val="18"/>
          <w:szCs w:val="18"/>
        </w:rPr>
        <w:t xml:space="preserve"> </w:t>
      </w:r>
      <w:r w:rsidRPr="001A153C">
        <w:rPr>
          <w:rStyle w:val="doi1"/>
          <w:rFonts w:asciiTheme="minorHAnsi" w:hAnsiTheme="minorHAnsi" w:cs="Arial"/>
          <w:color w:val="auto"/>
          <w:sz w:val="18"/>
          <w:szCs w:val="18"/>
        </w:rPr>
        <w:t>DOI: 10.1056/NEJMoa1410489</w:t>
      </w:r>
    </w:p>
  </w:endnote>
  <w:endnote w:id="3">
    <w:p w:rsidR="00EC0EDC" w:rsidRPr="001A153C" w:rsidRDefault="00EC0EDC" w:rsidP="001955A7">
      <w:pPr>
        <w:pStyle w:val="EndnoteText"/>
        <w:spacing w:after="120" w:line="0" w:lineRule="atLeast"/>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Eisen A, Cannon CP, Blazing MA et al The Benefit of Adding Ezetimibe to Stain Therapy in Patients with Prior Coronary Artery Bypass Graft Surgery and Acute Coronary Syndrome in the IMPROVE-IT Trial. </w:t>
      </w:r>
      <w:r w:rsidRPr="001A153C">
        <w:rPr>
          <w:rFonts w:asciiTheme="minorHAnsi" w:hAnsiTheme="minorHAnsi"/>
          <w:i/>
          <w:sz w:val="18"/>
          <w:szCs w:val="18"/>
        </w:rPr>
        <w:t>European Heart J</w:t>
      </w:r>
      <w:r w:rsidRPr="001A153C">
        <w:rPr>
          <w:rFonts w:asciiTheme="minorHAnsi" w:hAnsiTheme="minorHAnsi"/>
          <w:sz w:val="18"/>
          <w:szCs w:val="18"/>
        </w:rPr>
        <w:t xml:space="preserve"> (2016)37, 3576-3584</w:t>
      </w:r>
    </w:p>
  </w:endnote>
  <w:endnote w:id="4">
    <w:p w:rsidR="00EC0EDC" w:rsidRPr="001A153C" w:rsidRDefault="00EC0EDC" w:rsidP="001955A7">
      <w:pPr>
        <w:pStyle w:val="EndnoteText"/>
        <w:spacing w:after="120" w:line="0" w:lineRule="atLeast"/>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Jacoby DS, Rader DJ. Improving Cardiovascular Outcomes by Intensifying Low Density Lipoprotein Lowering Therapy in High Risk Patients </w:t>
      </w:r>
      <w:r w:rsidRPr="001A153C">
        <w:rPr>
          <w:rFonts w:asciiTheme="minorHAnsi" w:hAnsiTheme="minorHAnsi"/>
          <w:i/>
          <w:sz w:val="18"/>
          <w:szCs w:val="18"/>
        </w:rPr>
        <w:t>European Heart J</w:t>
      </w:r>
      <w:r w:rsidRPr="001A153C">
        <w:rPr>
          <w:rFonts w:asciiTheme="minorHAnsi" w:hAnsiTheme="minorHAnsi"/>
          <w:sz w:val="18"/>
          <w:szCs w:val="18"/>
        </w:rPr>
        <w:t xml:space="preserve"> (2016)37, 3576–3584</w:t>
      </w:r>
    </w:p>
  </w:endnote>
  <w:endnote w:id="5">
    <w:p w:rsidR="00EC0EDC" w:rsidRPr="001A153C" w:rsidRDefault="00EC0EDC" w:rsidP="001955A7">
      <w:pPr>
        <w:spacing w:after="120" w:line="240" w:lineRule="auto"/>
        <w:jc w:val="left"/>
        <w:rPr>
          <w:rFonts w:asciiTheme="minorHAnsi" w:hAnsiTheme="minorHAnsi" w:cs="Arial"/>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w:t>
      </w:r>
      <w:r w:rsidRPr="001A153C">
        <w:rPr>
          <w:rFonts w:asciiTheme="minorHAnsi" w:hAnsiTheme="minorHAnsi" w:cs="Arial"/>
          <w:sz w:val="18"/>
          <w:szCs w:val="18"/>
        </w:rPr>
        <w:t xml:space="preserve">Bohula et al :Atherothrombotic Risk Stratification and Ezetimibe for Secondary Prevention </w:t>
      </w:r>
      <w:r w:rsidRPr="001A153C">
        <w:rPr>
          <w:rFonts w:asciiTheme="minorHAnsi" w:hAnsiTheme="minorHAnsi" w:cs="Arial"/>
          <w:i/>
          <w:sz w:val="18"/>
          <w:szCs w:val="18"/>
        </w:rPr>
        <w:t>JACC</w:t>
      </w:r>
      <w:r w:rsidRPr="001A153C">
        <w:rPr>
          <w:rFonts w:asciiTheme="minorHAnsi" w:hAnsiTheme="minorHAnsi" w:cs="Arial"/>
          <w:sz w:val="18"/>
          <w:szCs w:val="18"/>
        </w:rPr>
        <w:t xml:space="preserve"> Vol.69,No.8 2017</w:t>
      </w:r>
    </w:p>
  </w:endnote>
  <w:endnote w:id="6">
    <w:p w:rsidR="00EC0EDC" w:rsidRPr="001A153C" w:rsidRDefault="00EC0EDC" w:rsidP="001955A7">
      <w:pPr>
        <w:pStyle w:val="EndnoteText"/>
        <w:spacing w:after="120"/>
        <w:jc w:val="left"/>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Pbs.gov.au. (2016). Pharmaceutical Benefits Scheme (PBS) | GENERAL STATEMENT FOR LIPID-LOWERING DRUGS PRESCRIBED AS PHARMACEUTICAL BENEFITS. [online] Available at: http://www.pbs.gov.au/info/healthpro/explanatory-notes/gs-lipid-lowering-drugs [Accessed 9 Dec. 2016].</w:t>
      </w:r>
    </w:p>
  </w:endnote>
  <w:endnote w:id="7">
    <w:p w:rsidR="00EC0EDC" w:rsidRPr="001A153C" w:rsidRDefault="00EC0EDC" w:rsidP="001955A7">
      <w:pPr>
        <w:spacing w:after="120" w:line="0" w:lineRule="atLeast"/>
        <w:jc w:val="left"/>
        <w:outlineLvl w:val="1"/>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w:t>
      </w:r>
      <w:r w:rsidRPr="001A153C">
        <w:rPr>
          <w:rFonts w:asciiTheme="minorHAnsi" w:hAnsiTheme="minorHAnsi" w:cs="Arial"/>
          <w:sz w:val="18"/>
          <w:szCs w:val="18"/>
        </w:rPr>
        <w:t xml:space="preserve">Cannon CP, Blazing MA, Giugliano RP et al Ezetimibe Added to Statin Therapy after Acute Coronary Syndromes </w:t>
      </w:r>
      <w:r w:rsidRPr="001A153C">
        <w:rPr>
          <w:rFonts w:asciiTheme="minorHAnsi" w:hAnsiTheme="minorHAnsi" w:cs="Arial"/>
          <w:i/>
          <w:sz w:val="18"/>
          <w:szCs w:val="18"/>
        </w:rPr>
        <w:t>N Engl J Med</w:t>
      </w:r>
      <w:r w:rsidRPr="001A153C">
        <w:rPr>
          <w:rFonts w:asciiTheme="minorHAnsi" w:hAnsiTheme="minorHAnsi" w:cs="Arial"/>
          <w:sz w:val="18"/>
          <w:szCs w:val="18"/>
        </w:rPr>
        <w:t xml:space="preserve"> 2015; 372:2387-2397 June 18, 2015DOI: 10.1056/NEJMoa1410489</w:t>
      </w:r>
    </w:p>
  </w:endnote>
  <w:endnote w:id="8">
    <w:p w:rsidR="00EC0EDC" w:rsidRPr="001A153C" w:rsidRDefault="00EC0EDC" w:rsidP="0032693A">
      <w:pPr>
        <w:pStyle w:val="EndnoteText"/>
        <w:spacing w:after="120"/>
        <w:jc w:val="left"/>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Bohula et al: Atherothrombotic Risk Stratification and Ezetimibe for Secondary Prevention </w:t>
      </w:r>
      <w:r w:rsidRPr="001A153C">
        <w:rPr>
          <w:rFonts w:asciiTheme="minorHAnsi" w:hAnsiTheme="minorHAnsi"/>
          <w:i/>
          <w:sz w:val="18"/>
          <w:szCs w:val="18"/>
        </w:rPr>
        <w:t xml:space="preserve">JACC </w:t>
      </w:r>
      <w:r w:rsidRPr="001A153C">
        <w:rPr>
          <w:rFonts w:asciiTheme="minorHAnsi" w:hAnsiTheme="minorHAnsi"/>
          <w:sz w:val="18"/>
          <w:szCs w:val="18"/>
        </w:rPr>
        <w:t>Vol.69,No.8 2017.</w:t>
      </w:r>
    </w:p>
    <w:p w:rsidR="00EC0EDC" w:rsidRPr="001A153C" w:rsidRDefault="00EC0EDC">
      <w:pPr>
        <w:pStyle w:val="EndnoteText"/>
        <w:rPr>
          <w:rFonts w:asciiTheme="minorHAnsi" w:hAnsiTheme="minorHAnsi"/>
          <w:sz w:val="18"/>
          <w:szCs w:val="18"/>
        </w:rPr>
      </w:pPr>
    </w:p>
  </w:endnote>
  <w:endnote w:id="9">
    <w:p w:rsidR="00EC0EDC" w:rsidRPr="001A153C" w:rsidRDefault="00EC0EDC" w:rsidP="00391A90">
      <w:pPr>
        <w:pStyle w:val="EndnoteText"/>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Eisen A, Cannon CP, Blazing MA et al The Benefit of Adding Ezetimibe to Stain Therapy in Patients with Prior Coronary Artery Bypass Graft Surgery and Acute Coronary Syndrome in the IMPROVE-IT Trial. </w:t>
      </w:r>
      <w:r w:rsidRPr="001A153C">
        <w:rPr>
          <w:rFonts w:asciiTheme="minorHAnsi" w:hAnsiTheme="minorHAnsi"/>
          <w:i/>
          <w:sz w:val="18"/>
          <w:szCs w:val="18"/>
        </w:rPr>
        <w:t>European Heart J</w:t>
      </w:r>
      <w:r w:rsidRPr="001A153C">
        <w:rPr>
          <w:rFonts w:asciiTheme="minorHAnsi" w:hAnsiTheme="minorHAnsi"/>
          <w:sz w:val="18"/>
          <w:szCs w:val="18"/>
        </w:rPr>
        <w:t xml:space="preserve"> (2016) 37,3576-3584</w:t>
      </w:r>
    </w:p>
    <w:p w:rsidR="00EC0EDC" w:rsidRPr="001A153C" w:rsidRDefault="00EC0EDC">
      <w:pPr>
        <w:pStyle w:val="EndnoteText"/>
        <w:rPr>
          <w:rFonts w:asciiTheme="minorHAnsi" w:hAnsiTheme="minorHAnsi"/>
          <w:sz w:val="18"/>
          <w:szCs w:val="18"/>
        </w:rPr>
      </w:pPr>
    </w:p>
  </w:endnote>
  <w:endnote w:id="10">
    <w:p w:rsidR="00EC0EDC" w:rsidRPr="001A153C" w:rsidRDefault="00EC0EDC" w:rsidP="00391A90">
      <w:pPr>
        <w:pStyle w:val="EndnoteText"/>
        <w:spacing w:after="120"/>
        <w:jc w:val="left"/>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Jacoby DS, Rader DJ. Improving Cardiovascular Outcomes by Intensifying Low Density Lipoprotein Lowering Therapy in High Risk Patients </w:t>
      </w:r>
      <w:r w:rsidRPr="001A153C">
        <w:rPr>
          <w:rFonts w:asciiTheme="minorHAnsi" w:hAnsiTheme="minorHAnsi"/>
          <w:i/>
          <w:sz w:val="18"/>
          <w:szCs w:val="18"/>
        </w:rPr>
        <w:t>European Heart J</w:t>
      </w:r>
      <w:r w:rsidRPr="001A153C">
        <w:rPr>
          <w:rFonts w:asciiTheme="minorHAnsi" w:hAnsiTheme="minorHAnsi"/>
          <w:sz w:val="18"/>
          <w:szCs w:val="18"/>
        </w:rPr>
        <w:t xml:space="preserve"> (2016)37, 35856-3587</w:t>
      </w:r>
    </w:p>
    <w:p w:rsidR="00EC0EDC" w:rsidRPr="001A153C" w:rsidRDefault="00EC0EDC">
      <w:pPr>
        <w:pStyle w:val="EndnoteText"/>
        <w:rPr>
          <w:rFonts w:asciiTheme="minorHAnsi" w:hAnsiTheme="minorHAnsi"/>
          <w:sz w:val="18"/>
          <w:szCs w:val="18"/>
        </w:rPr>
      </w:pPr>
    </w:p>
  </w:endnote>
  <w:endnote w:id="11">
    <w:p w:rsidR="00EC0EDC" w:rsidRPr="001A153C" w:rsidRDefault="00EC0EDC" w:rsidP="0032693A">
      <w:pPr>
        <w:pStyle w:val="EndnoteText"/>
        <w:spacing w:after="120"/>
        <w:jc w:val="left"/>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Yang YJ, See SH, Kim BS, Cho YK et al. Combination Therapy of Rosuvastatin and Ezetimibe in Patients with High Cardiovascular Risk. </w:t>
      </w:r>
      <w:r w:rsidRPr="001A153C">
        <w:rPr>
          <w:rFonts w:asciiTheme="minorHAnsi" w:hAnsiTheme="minorHAnsi"/>
          <w:i/>
          <w:sz w:val="18"/>
          <w:szCs w:val="18"/>
        </w:rPr>
        <w:t>Clin Ther.</w:t>
      </w:r>
      <w:r w:rsidRPr="001A153C">
        <w:rPr>
          <w:rFonts w:asciiTheme="minorHAnsi" w:hAnsiTheme="minorHAnsi"/>
          <w:sz w:val="18"/>
          <w:szCs w:val="18"/>
        </w:rPr>
        <w:t>2016;38:107-117</w:t>
      </w:r>
    </w:p>
    <w:p w:rsidR="00EC0EDC" w:rsidRPr="001A153C" w:rsidRDefault="00EC0EDC">
      <w:pPr>
        <w:pStyle w:val="EndnoteText"/>
        <w:rPr>
          <w:rFonts w:asciiTheme="minorHAnsi" w:hAnsiTheme="minorHAnsi"/>
          <w:sz w:val="18"/>
          <w:szCs w:val="18"/>
        </w:rPr>
      </w:pPr>
    </w:p>
  </w:endnote>
  <w:endnote w:id="12">
    <w:p w:rsidR="00EC0EDC" w:rsidRPr="001A153C" w:rsidRDefault="00EC0EDC" w:rsidP="001955A7">
      <w:pPr>
        <w:pStyle w:val="EndnoteText"/>
        <w:spacing w:after="120"/>
        <w:jc w:val="left"/>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https://www.safetyandquality.gov.au/</w:t>
      </w:r>
    </w:p>
  </w:endnote>
  <w:endnote w:id="13">
    <w:p w:rsidR="00EC0EDC" w:rsidRPr="001A153C" w:rsidRDefault="00EC0EDC" w:rsidP="001955A7">
      <w:pPr>
        <w:pStyle w:val="EndnoteText"/>
        <w:spacing w:after="120"/>
        <w:jc w:val="left"/>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Anon, (2016). [online] Available at: PBAC Guidelines for preparing submissions version 5.0 https://pbac.pbs.gov.au/ [Accessed 1 Nov. 2016].</w:t>
      </w:r>
    </w:p>
  </w:endnote>
  <w:endnote w:id="14">
    <w:p w:rsidR="00EC0EDC" w:rsidRPr="001A153C" w:rsidRDefault="00EC0EDC" w:rsidP="001955A7">
      <w:pPr>
        <w:pStyle w:val="EndnoteText"/>
        <w:spacing w:after="120"/>
        <w:jc w:val="left"/>
        <w:rPr>
          <w:rFonts w:asciiTheme="minorHAnsi" w:hAnsiTheme="minorHAnsi"/>
          <w:sz w:val="18"/>
          <w:szCs w:val="18"/>
        </w:rPr>
      </w:pPr>
      <w:r w:rsidRPr="001A153C">
        <w:rPr>
          <w:rFonts w:asciiTheme="minorHAnsi" w:hAnsiTheme="minorHAnsi"/>
          <w:sz w:val="18"/>
          <w:szCs w:val="18"/>
        </w:rPr>
        <w:endnoteRef/>
      </w:r>
      <w:r w:rsidRPr="001A153C">
        <w:rPr>
          <w:rFonts w:asciiTheme="minorHAnsi" w:hAnsiTheme="minorHAnsi"/>
          <w:sz w:val="18"/>
          <w:szCs w:val="18"/>
        </w:rPr>
        <w:t xml:space="preserve"> Anon, (2016). [online] Available at: Post-market reviews http://www.pbs.gov.au/info/reviews/subsidised-medicines-reviews/ [Accessed 1 Nov. 2016].</w:t>
      </w:r>
    </w:p>
  </w:endnote>
  <w:endnote w:id="15">
    <w:p w:rsidR="00EC0EDC" w:rsidRPr="001A153C" w:rsidRDefault="00EC0EDC" w:rsidP="001955A7">
      <w:pPr>
        <w:pStyle w:val="EndnoteText"/>
        <w:spacing w:after="120"/>
        <w:jc w:val="left"/>
        <w:rPr>
          <w:rFonts w:asciiTheme="minorHAnsi" w:hAnsiTheme="minorHAnsi"/>
          <w:sz w:val="18"/>
          <w:szCs w:val="18"/>
        </w:rPr>
      </w:pPr>
      <w:r w:rsidRPr="001A153C">
        <w:rPr>
          <w:rFonts w:asciiTheme="minorHAnsi" w:hAnsiTheme="minorHAnsi"/>
          <w:sz w:val="18"/>
          <w:szCs w:val="18"/>
        </w:rPr>
        <w:endnoteRef/>
      </w:r>
      <w:r w:rsidRPr="001A153C">
        <w:rPr>
          <w:rFonts w:asciiTheme="minorHAnsi" w:hAnsiTheme="minorHAnsi"/>
          <w:sz w:val="18"/>
          <w:szCs w:val="18"/>
        </w:rPr>
        <w:t xml:space="preserve"> Pbs.gov.au. (2016). </w:t>
      </w:r>
      <w:r w:rsidRPr="001A153C">
        <w:rPr>
          <w:rFonts w:asciiTheme="minorHAnsi" w:hAnsiTheme="minorHAnsi"/>
          <w:i/>
          <w:sz w:val="18"/>
          <w:szCs w:val="18"/>
        </w:rPr>
        <w:t>Pharmaceutical Benefits Scheme (PBS) | Home</w:t>
      </w:r>
      <w:r w:rsidRPr="001A153C">
        <w:rPr>
          <w:rFonts w:asciiTheme="minorHAnsi" w:hAnsiTheme="minorHAnsi"/>
          <w:sz w:val="18"/>
          <w:szCs w:val="18"/>
        </w:rPr>
        <w:t>. [online] Available at: http://www.pbs.gov.au [Accessed 1 Nov. 2016].</w:t>
      </w:r>
    </w:p>
  </w:endnote>
  <w:endnote w:id="16">
    <w:p w:rsidR="00EC0EDC" w:rsidRPr="001A153C" w:rsidRDefault="00EC0EDC" w:rsidP="001955A7">
      <w:pPr>
        <w:pStyle w:val="EndnoteText"/>
        <w:spacing w:after="120"/>
        <w:jc w:val="left"/>
        <w:rPr>
          <w:rFonts w:asciiTheme="minorHAnsi" w:hAnsiTheme="minorHAnsi"/>
          <w:sz w:val="18"/>
          <w:szCs w:val="18"/>
        </w:rPr>
      </w:pPr>
      <w:r w:rsidRPr="001A153C">
        <w:rPr>
          <w:rFonts w:asciiTheme="minorHAnsi" w:hAnsiTheme="minorHAnsi"/>
          <w:sz w:val="18"/>
          <w:szCs w:val="18"/>
        </w:rPr>
        <w:endnoteRef/>
      </w:r>
      <w:r w:rsidRPr="001A153C">
        <w:rPr>
          <w:rFonts w:asciiTheme="minorHAnsi" w:hAnsiTheme="minorHAnsi"/>
          <w:sz w:val="18"/>
          <w:szCs w:val="18"/>
        </w:rPr>
        <w:t xml:space="preserve"> Anon, (2016). [online] Available at: Post-market Review Framework 2015 http://www.pbs.gov.au/info/reviews/subsidised-medicines-reviews [Accessed 1 Nov. 2016].</w:t>
      </w:r>
    </w:p>
  </w:endnote>
  <w:endnote w:id="17">
    <w:p w:rsidR="00EC0EDC" w:rsidRPr="001A153C" w:rsidRDefault="00EC0EDC" w:rsidP="001955A7">
      <w:pPr>
        <w:pStyle w:val="EndnoteText"/>
        <w:spacing w:after="120"/>
        <w:jc w:val="left"/>
        <w:rPr>
          <w:rFonts w:asciiTheme="minorHAnsi" w:hAnsiTheme="minorHAnsi"/>
          <w:sz w:val="18"/>
          <w:szCs w:val="18"/>
        </w:rPr>
      </w:pPr>
      <w:r w:rsidRPr="001A153C">
        <w:rPr>
          <w:rFonts w:asciiTheme="minorHAnsi" w:hAnsiTheme="minorHAnsi"/>
          <w:sz w:val="18"/>
          <w:szCs w:val="18"/>
        </w:rPr>
        <w:endnoteRef/>
      </w:r>
      <w:r w:rsidRPr="001A153C">
        <w:rPr>
          <w:rFonts w:asciiTheme="minorHAnsi" w:hAnsiTheme="minorHAnsi"/>
          <w:sz w:val="18"/>
          <w:szCs w:val="18"/>
        </w:rPr>
        <w:t xml:space="preserve"> Tga.gov.au. (2016). Available at: https://www.tga.gov.au/sites/default/files/auspar-ezetimibe-130228-pi.doc [Accessed 9 Dec. 2016].</w:t>
      </w:r>
    </w:p>
  </w:endnote>
  <w:endnote w:id="18">
    <w:p w:rsidR="00EC0EDC" w:rsidRPr="001A153C" w:rsidRDefault="00EC0EDC" w:rsidP="001955A7">
      <w:pPr>
        <w:pStyle w:val="EndnoteText"/>
        <w:spacing w:after="120"/>
        <w:jc w:val="left"/>
        <w:rPr>
          <w:rFonts w:asciiTheme="minorHAnsi" w:hAnsiTheme="minorHAnsi"/>
          <w:sz w:val="18"/>
          <w:szCs w:val="18"/>
        </w:rPr>
      </w:pPr>
      <w:r w:rsidRPr="001A153C">
        <w:rPr>
          <w:rFonts w:asciiTheme="minorHAnsi" w:hAnsiTheme="minorHAnsi"/>
          <w:sz w:val="18"/>
          <w:szCs w:val="18"/>
        </w:rPr>
        <w:endnoteRef/>
      </w:r>
      <w:r w:rsidRPr="001A153C">
        <w:rPr>
          <w:rFonts w:asciiTheme="minorHAnsi" w:hAnsiTheme="minorHAnsi"/>
          <w:sz w:val="18"/>
          <w:szCs w:val="18"/>
        </w:rPr>
        <w:t xml:space="preserve"> Australian Institute of Health and Welfare, 2011, Cardiovascular Disease Australian Facts 2011.</w:t>
      </w:r>
    </w:p>
  </w:endnote>
  <w:endnote w:id="19">
    <w:p w:rsidR="00EC0EDC" w:rsidRPr="001A153C" w:rsidRDefault="00EC0EDC" w:rsidP="001955A7">
      <w:pPr>
        <w:pStyle w:val="EndnoteText"/>
        <w:spacing w:after="120"/>
        <w:ind w:left="709" w:hanging="709"/>
        <w:jc w:val="left"/>
        <w:rPr>
          <w:rFonts w:asciiTheme="minorHAnsi" w:hAnsiTheme="minorHAnsi"/>
          <w:sz w:val="18"/>
          <w:szCs w:val="18"/>
        </w:rPr>
      </w:pPr>
      <w:r w:rsidRPr="001A153C">
        <w:rPr>
          <w:rFonts w:asciiTheme="minorHAnsi" w:hAnsiTheme="minorHAnsi"/>
          <w:sz w:val="18"/>
          <w:szCs w:val="18"/>
        </w:rPr>
        <w:endnoteRef/>
      </w:r>
      <w:r w:rsidRPr="001A153C">
        <w:rPr>
          <w:rFonts w:asciiTheme="minorHAnsi" w:hAnsiTheme="minorHAnsi"/>
          <w:sz w:val="18"/>
          <w:szCs w:val="18"/>
        </w:rPr>
        <w:t xml:space="preserve"> Australian Bureau of Statistics, 2015, </w:t>
      </w:r>
      <w:hyperlink r:id="rId2" w:history="1">
        <w:r w:rsidRPr="001A153C">
          <w:rPr>
            <w:rFonts w:asciiTheme="minorHAnsi" w:hAnsiTheme="minorHAnsi"/>
            <w:sz w:val="18"/>
            <w:szCs w:val="18"/>
          </w:rPr>
          <w:t>3303.0 – Causes of Death, Australia, 2013</w:t>
        </w:r>
      </w:hyperlink>
      <w:r w:rsidRPr="001A153C">
        <w:rPr>
          <w:rFonts w:asciiTheme="minorHAnsi" w:hAnsiTheme="minorHAnsi"/>
          <w:sz w:val="18"/>
          <w:szCs w:val="18"/>
        </w:rPr>
        <w:t>.</w:t>
      </w:r>
    </w:p>
  </w:endnote>
  <w:endnote w:id="20">
    <w:p w:rsidR="00EC0EDC" w:rsidRPr="001A153C" w:rsidRDefault="00EC0EDC" w:rsidP="001955A7">
      <w:pPr>
        <w:pStyle w:val="EndnoteText"/>
        <w:spacing w:after="120"/>
        <w:jc w:val="left"/>
        <w:rPr>
          <w:rFonts w:asciiTheme="minorHAnsi" w:hAnsiTheme="minorHAnsi"/>
          <w:sz w:val="18"/>
          <w:szCs w:val="18"/>
        </w:rPr>
      </w:pPr>
      <w:r w:rsidRPr="001A153C">
        <w:rPr>
          <w:rFonts w:asciiTheme="minorHAnsi" w:hAnsiTheme="minorHAnsi"/>
          <w:sz w:val="18"/>
          <w:szCs w:val="18"/>
        </w:rPr>
        <w:endnoteRef/>
      </w:r>
      <w:r w:rsidRPr="001A153C">
        <w:rPr>
          <w:rFonts w:asciiTheme="minorHAnsi" w:hAnsiTheme="minorHAnsi"/>
          <w:sz w:val="18"/>
          <w:szCs w:val="18"/>
        </w:rPr>
        <w:t xml:space="preserve"> Australian Institute of Health and Welfare, 2015, </w:t>
      </w:r>
      <w:hyperlink r:id="rId3" w:history="1">
        <w:r w:rsidRPr="001A153C">
          <w:rPr>
            <w:rFonts w:asciiTheme="minorHAnsi" w:hAnsiTheme="minorHAnsi"/>
            <w:sz w:val="18"/>
            <w:szCs w:val="18"/>
          </w:rPr>
          <w:t>Burden of Disease</w:t>
        </w:r>
      </w:hyperlink>
      <w:r w:rsidRPr="001A153C">
        <w:rPr>
          <w:rFonts w:asciiTheme="minorHAnsi" w:hAnsiTheme="minorHAnsi"/>
          <w:sz w:val="18"/>
          <w:szCs w:val="18"/>
        </w:rPr>
        <w:t>.</w:t>
      </w:r>
    </w:p>
  </w:endnote>
  <w:endnote w:id="21">
    <w:p w:rsidR="00EC0EDC" w:rsidRPr="001A153C" w:rsidRDefault="00EC0EDC" w:rsidP="001955A7">
      <w:pPr>
        <w:spacing w:after="120" w:line="240" w:lineRule="auto"/>
        <w:jc w:val="left"/>
        <w:rPr>
          <w:rFonts w:asciiTheme="minorHAnsi" w:hAnsiTheme="minorHAnsi"/>
          <w:sz w:val="18"/>
          <w:szCs w:val="18"/>
        </w:rPr>
      </w:pPr>
      <w:r w:rsidRPr="001A153C">
        <w:rPr>
          <w:rFonts w:asciiTheme="minorHAnsi" w:eastAsia="Times New Roman" w:hAnsiTheme="minorHAnsi" w:cs="Times New Roman"/>
          <w:sz w:val="18"/>
          <w:szCs w:val="18"/>
          <w:lang w:eastAsia="en-AU"/>
        </w:rPr>
        <w:endnoteRef/>
      </w:r>
      <w:r w:rsidRPr="001A153C">
        <w:rPr>
          <w:rFonts w:asciiTheme="minorHAnsi" w:eastAsia="Times New Roman" w:hAnsiTheme="minorHAnsi" w:cs="Times New Roman"/>
          <w:sz w:val="18"/>
          <w:szCs w:val="18"/>
          <w:lang w:eastAsia="en-AU"/>
        </w:rPr>
        <w:t xml:space="preserve"> Anon, (2016). [online] Available at: eTG Complete https://tgldcdp.tg.org.au/viewTopic?topicfile=cardiovascular-disease-risk-stratification#toc_d1e182 [Accessed 25 Nov 2016]. </w:t>
      </w:r>
    </w:p>
  </w:endnote>
  <w:endnote w:id="22">
    <w:p w:rsidR="00EC0EDC" w:rsidRPr="001A153C" w:rsidRDefault="00EC0EDC" w:rsidP="001955A7">
      <w:pPr>
        <w:pStyle w:val="EndnoteText"/>
        <w:spacing w:after="120"/>
        <w:jc w:val="left"/>
        <w:rPr>
          <w:rFonts w:asciiTheme="minorHAnsi" w:hAnsiTheme="minorHAnsi"/>
          <w:sz w:val="18"/>
          <w:szCs w:val="18"/>
        </w:rPr>
      </w:pPr>
      <w:r w:rsidRPr="001A153C">
        <w:rPr>
          <w:rFonts w:asciiTheme="minorHAnsi" w:hAnsiTheme="minorHAnsi"/>
          <w:sz w:val="18"/>
          <w:szCs w:val="18"/>
        </w:rPr>
        <w:endnoteRef/>
      </w:r>
      <w:r w:rsidRPr="001A153C">
        <w:rPr>
          <w:rFonts w:asciiTheme="minorHAnsi" w:hAnsiTheme="minorHAnsi"/>
          <w:sz w:val="18"/>
          <w:szCs w:val="18"/>
        </w:rPr>
        <w:t xml:space="preserve"> Anon, (2016). [online] Available at: eTG Complete https://tgldcdp.tg.org.au/viewTopic?topicfile=dyslipidaemia#toc_d1e47 [Accessed 25 Nov. 2016]. </w:t>
      </w:r>
    </w:p>
  </w:endnote>
  <w:endnote w:id="23">
    <w:p w:rsidR="00EC0EDC" w:rsidRPr="001A153C" w:rsidRDefault="00EC0EDC" w:rsidP="001955A7">
      <w:pPr>
        <w:pStyle w:val="EndnoteText"/>
        <w:spacing w:after="120"/>
        <w:jc w:val="left"/>
        <w:rPr>
          <w:rFonts w:asciiTheme="minorHAnsi" w:hAnsiTheme="minorHAnsi"/>
          <w:sz w:val="18"/>
          <w:szCs w:val="18"/>
        </w:rPr>
      </w:pPr>
      <w:r w:rsidRPr="001A153C">
        <w:rPr>
          <w:rFonts w:asciiTheme="minorHAnsi" w:hAnsiTheme="minorHAnsi"/>
          <w:sz w:val="18"/>
          <w:szCs w:val="18"/>
        </w:rPr>
        <w:endnoteRef/>
      </w:r>
      <w:r w:rsidRPr="001A153C">
        <w:rPr>
          <w:rFonts w:asciiTheme="minorHAnsi" w:hAnsiTheme="minorHAnsi"/>
          <w:sz w:val="18"/>
          <w:szCs w:val="18"/>
        </w:rPr>
        <w:t xml:space="preserve"> Anon, (2016). [online] Available at: eTG Complete https://tgldcdp.tg.org.au/viewTopic?topicfile=dyslipidaemia#cvg-c07-s6 [Accessed 25 Nov. 2016]. </w:t>
      </w:r>
    </w:p>
  </w:endnote>
  <w:endnote w:id="24">
    <w:p w:rsidR="00EC0EDC" w:rsidRPr="001A153C" w:rsidRDefault="00EC0EDC" w:rsidP="001955A7">
      <w:pPr>
        <w:pStyle w:val="EndnoteText"/>
        <w:spacing w:after="120"/>
        <w:jc w:val="left"/>
        <w:rPr>
          <w:rFonts w:asciiTheme="minorHAnsi" w:hAnsiTheme="minorHAnsi"/>
          <w:sz w:val="18"/>
          <w:szCs w:val="18"/>
        </w:rPr>
      </w:pPr>
      <w:r w:rsidRPr="001A153C">
        <w:rPr>
          <w:rFonts w:asciiTheme="minorHAnsi" w:hAnsiTheme="minorHAnsi"/>
          <w:sz w:val="18"/>
          <w:szCs w:val="18"/>
        </w:rPr>
        <w:endnoteRef/>
      </w:r>
      <w:r w:rsidRPr="001A153C">
        <w:rPr>
          <w:rFonts w:asciiTheme="minorHAnsi" w:hAnsiTheme="minorHAnsi"/>
          <w:sz w:val="18"/>
          <w:szCs w:val="18"/>
        </w:rPr>
        <w:t xml:space="preserve"> Anon, (2016). [online] Available at: Absolute cardiovascular risk calculator http://www.cvdcheck.org.au/. [Accessed 1 Nov. 2016].</w:t>
      </w:r>
    </w:p>
  </w:endnote>
  <w:endnote w:id="25">
    <w:p w:rsidR="00EC0EDC" w:rsidRPr="001A153C" w:rsidRDefault="00EC0EDC" w:rsidP="001955A7">
      <w:pPr>
        <w:pStyle w:val="EndnoteText"/>
        <w:spacing w:after="120"/>
        <w:jc w:val="left"/>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Stone NJ et al(2013) ACC/AHA Guideline on the Treatment of Blood cholesterol to Reduce Atherosclerotic Cardiovascular Risk In Adults A Report of the American College of Cardiology/American Heart Association Task Force on Practice Guidelines, Circulation, 129 [Suppl 2]:S1-S45</w:t>
      </w:r>
    </w:p>
  </w:endnote>
  <w:endnote w:id="26">
    <w:p w:rsidR="00EC0EDC" w:rsidRPr="001A153C" w:rsidRDefault="00EC0EDC" w:rsidP="001955A7">
      <w:pPr>
        <w:pStyle w:val="EndnoteText"/>
        <w:spacing w:after="120"/>
        <w:jc w:val="left"/>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Thomson PD What to Believe and do about Statin Associated Adverse Effects </w:t>
      </w:r>
      <w:r w:rsidRPr="001A153C">
        <w:rPr>
          <w:rFonts w:asciiTheme="minorHAnsi" w:hAnsiTheme="minorHAnsi"/>
          <w:i/>
          <w:sz w:val="18"/>
          <w:szCs w:val="18"/>
        </w:rPr>
        <w:t xml:space="preserve">JAMA </w:t>
      </w:r>
      <w:r w:rsidRPr="001A153C">
        <w:rPr>
          <w:rFonts w:asciiTheme="minorHAnsi" w:hAnsiTheme="minorHAnsi"/>
          <w:sz w:val="18"/>
          <w:szCs w:val="18"/>
        </w:rPr>
        <w:t>November 15, 2016 Volume 316, Number 19</w:t>
      </w:r>
    </w:p>
  </w:endnote>
  <w:endnote w:id="27">
    <w:p w:rsidR="00EC0EDC" w:rsidRPr="001A153C" w:rsidRDefault="00EC0EDC" w:rsidP="001955A7">
      <w:pPr>
        <w:pStyle w:val="EndnoteText"/>
        <w:spacing w:after="120"/>
        <w:jc w:val="left"/>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Chowdhury R, Khan H, Heydon E et al. Adherence to Cardiovascular Therapy: a meta-analysis of prevalence and clinical consequences. </w:t>
      </w:r>
      <w:r w:rsidRPr="001A153C">
        <w:rPr>
          <w:rFonts w:asciiTheme="minorHAnsi" w:hAnsiTheme="minorHAnsi"/>
          <w:i/>
          <w:sz w:val="18"/>
          <w:szCs w:val="18"/>
        </w:rPr>
        <w:t>Eur Heart J</w:t>
      </w:r>
      <w:r w:rsidRPr="001A153C">
        <w:rPr>
          <w:rFonts w:asciiTheme="minorHAnsi" w:hAnsiTheme="minorHAnsi"/>
          <w:sz w:val="18"/>
          <w:szCs w:val="18"/>
        </w:rPr>
        <w:t xml:space="preserve"> 2013;34:2940-8</w:t>
      </w:r>
    </w:p>
  </w:endnote>
  <w:endnote w:id="28">
    <w:p w:rsidR="00EC0EDC" w:rsidRPr="001A153C" w:rsidRDefault="00EC0EDC" w:rsidP="00B06988">
      <w:pPr>
        <w:pStyle w:val="Default"/>
        <w:rPr>
          <w:rFonts w:asciiTheme="minorHAnsi" w:hAnsiTheme="minorHAnsi" w:cs="Calibr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w:t>
      </w:r>
      <w:r w:rsidRPr="001A153C">
        <w:rPr>
          <w:rFonts w:asciiTheme="minorHAnsi" w:hAnsiTheme="minorHAnsi" w:cs="Calibri"/>
          <w:sz w:val="18"/>
          <w:szCs w:val="18"/>
        </w:rPr>
        <w:t xml:space="preserve">Doust J, Sanders S, Shaw J, Glasziou P. Prioritising CVD prevention therapy - absolute risk versus individual risk factors. </w:t>
      </w:r>
      <w:r w:rsidRPr="001A153C">
        <w:rPr>
          <w:rFonts w:asciiTheme="minorHAnsi" w:hAnsiTheme="minorHAnsi" w:cs="Calibri"/>
          <w:i/>
          <w:iCs/>
          <w:sz w:val="18"/>
          <w:szCs w:val="18"/>
        </w:rPr>
        <w:t xml:space="preserve">Aust Fam Physician </w:t>
      </w:r>
      <w:r w:rsidRPr="001A153C">
        <w:rPr>
          <w:rFonts w:asciiTheme="minorHAnsi" w:hAnsiTheme="minorHAnsi" w:cs="Calibri"/>
          <w:sz w:val="18"/>
          <w:szCs w:val="18"/>
        </w:rPr>
        <w:t xml:space="preserve">2012; 41:805-809. </w:t>
      </w:r>
    </w:p>
    <w:p w:rsidR="00EC0EDC" w:rsidRPr="001A153C" w:rsidRDefault="00EC0EDC" w:rsidP="00B06988">
      <w:pPr>
        <w:pStyle w:val="Default"/>
        <w:rPr>
          <w:rFonts w:asciiTheme="minorHAnsi" w:hAnsiTheme="minorHAnsi"/>
          <w:sz w:val="18"/>
          <w:szCs w:val="18"/>
        </w:rPr>
      </w:pPr>
    </w:p>
  </w:endnote>
  <w:endnote w:id="29">
    <w:p w:rsidR="00EC0EDC" w:rsidRPr="001A153C" w:rsidRDefault="00EC0EDC" w:rsidP="001955A7">
      <w:pPr>
        <w:pStyle w:val="EndnoteText"/>
        <w:spacing w:after="120"/>
        <w:jc w:val="left"/>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Bohula et al: Atherothrombotic Risk Stratification and Ezetimibe for Secondary Prevention </w:t>
      </w:r>
      <w:r w:rsidRPr="001A153C">
        <w:rPr>
          <w:rFonts w:asciiTheme="minorHAnsi" w:hAnsiTheme="minorHAnsi"/>
          <w:i/>
          <w:sz w:val="18"/>
          <w:szCs w:val="18"/>
        </w:rPr>
        <w:t xml:space="preserve">JACC </w:t>
      </w:r>
      <w:r w:rsidRPr="001A153C">
        <w:rPr>
          <w:rFonts w:asciiTheme="minorHAnsi" w:hAnsiTheme="minorHAnsi"/>
          <w:sz w:val="18"/>
          <w:szCs w:val="18"/>
        </w:rPr>
        <w:t>Vol.69,No.8 2017.</w:t>
      </w:r>
    </w:p>
  </w:endnote>
  <w:endnote w:id="30">
    <w:p w:rsidR="00EC0EDC" w:rsidRPr="001A153C" w:rsidRDefault="00EC0EDC" w:rsidP="00B74D35">
      <w:pPr>
        <w:pStyle w:val="Default"/>
        <w:rPr>
          <w:rFonts w:asciiTheme="minorHAnsi" w:hAnsiTheme="minorHAnsi" w:cs="Calibr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w:t>
      </w:r>
      <w:r w:rsidRPr="001A153C">
        <w:rPr>
          <w:rFonts w:asciiTheme="minorHAnsi" w:hAnsiTheme="minorHAnsi" w:cs="Calibri"/>
          <w:sz w:val="18"/>
          <w:szCs w:val="18"/>
        </w:rPr>
        <w:t xml:space="preserve">Anderson T.J., G.B. Mancini et al. The New Dyslipidemia Guidelines: What Is the Debate? </w:t>
      </w:r>
      <w:r w:rsidRPr="001A153C">
        <w:rPr>
          <w:rFonts w:asciiTheme="minorHAnsi" w:hAnsiTheme="minorHAnsi" w:cs="Calibri"/>
          <w:i/>
          <w:iCs/>
          <w:sz w:val="18"/>
          <w:szCs w:val="18"/>
        </w:rPr>
        <w:t xml:space="preserve">Canadian Journal of Cardiology </w:t>
      </w:r>
      <w:r w:rsidRPr="001A153C">
        <w:rPr>
          <w:rFonts w:asciiTheme="minorHAnsi" w:hAnsiTheme="minorHAnsi" w:cs="Calibri"/>
          <w:sz w:val="18"/>
          <w:szCs w:val="18"/>
        </w:rPr>
        <w:t xml:space="preserve">(2015) 31:605-612 </w:t>
      </w:r>
    </w:p>
    <w:p w:rsidR="00EC0EDC" w:rsidRPr="001A153C" w:rsidRDefault="00EC0EDC" w:rsidP="00B74D35">
      <w:pPr>
        <w:pStyle w:val="EndnoteText"/>
        <w:rPr>
          <w:rFonts w:asciiTheme="minorHAnsi" w:hAnsiTheme="minorHAnsi"/>
          <w:sz w:val="18"/>
          <w:szCs w:val="18"/>
        </w:rPr>
      </w:pPr>
    </w:p>
  </w:endnote>
  <w:endnote w:id="31">
    <w:p w:rsidR="00EC0EDC" w:rsidRPr="001A153C" w:rsidRDefault="00EC0EDC">
      <w:pPr>
        <w:pStyle w:val="EndnoteText"/>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Morris P, Ballantyne C M et al. Review of Clinical Practice Guidelines for the Management of LDL-Related Risk. </w:t>
      </w:r>
      <w:r w:rsidRPr="001A153C">
        <w:rPr>
          <w:rFonts w:asciiTheme="minorHAnsi" w:hAnsiTheme="minorHAnsi"/>
          <w:i/>
          <w:iCs/>
          <w:sz w:val="18"/>
          <w:szCs w:val="18"/>
        </w:rPr>
        <w:t>J Am Coll Cardiol</w:t>
      </w:r>
      <w:r w:rsidRPr="001A153C">
        <w:rPr>
          <w:rFonts w:asciiTheme="minorHAnsi" w:hAnsiTheme="minorHAnsi"/>
          <w:sz w:val="18"/>
          <w:szCs w:val="18"/>
        </w:rPr>
        <w:t>. 2014;64(2):196-206.</w:t>
      </w:r>
    </w:p>
  </w:endnote>
  <w:endnote w:id="32">
    <w:p w:rsidR="00EC0EDC" w:rsidRPr="001A153C" w:rsidRDefault="00EC0EDC">
      <w:pPr>
        <w:pStyle w:val="EndnoteText"/>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McKenney JM. Something important is missing in the ACC/AHA cholesterol treatment guidelines. </w:t>
      </w:r>
      <w:r w:rsidRPr="001A153C">
        <w:rPr>
          <w:rFonts w:asciiTheme="minorHAnsi" w:hAnsiTheme="minorHAnsi"/>
          <w:i/>
          <w:iCs/>
          <w:sz w:val="18"/>
          <w:szCs w:val="18"/>
        </w:rPr>
        <w:t>J Am Pharm Assoc</w:t>
      </w:r>
      <w:r w:rsidRPr="001A153C">
        <w:rPr>
          <w:rFonts w:asciiTheme="minorHAnsi" w:hAnsiTheme="minorHAnsi"/>
          <w:sz w:val="18"/>
          <w:szCs w:val="18"/>
        </w:rPr>
        <w:t>. 2015;55(3):324-329.</w:t>
      </w:r>
    </w:p>
  </w:endnote>
  <w:endnote w:id="33">
    <w:p w:rsidR="00EC0EDC" w:rsidRPr="001A153C" w:rsidRDefault="00EC0EDC">
      <w:pPr>
        <w:pStyle w:val="EndnoteText"/>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Nayor M., Vasan R.S., Recent Update to the US Cholesterol Treatment Guidelines. A Comparison with International Guidelines. </w:t>
      </w:r>
      <w:r w:rsidRPr="001A153C">
        <w:rPr>
          <w:rFonts w:asciiTheme="minorHAnsi" w:hAnsiTheme="minorHAnsi"/>
          <w:i/>
          <w:iCs/>
          <w:sz w:val="18"/>
          <w:szCs w:val="18"/>
        </w:rPr>
        <w:t xml:space="preserve">Circulation. </w:t>
      </w:r>
      <w:r w:rsidRPr="001A153C">
        <w:rPr>
          <w:rFonts w:asciiTheme="minorHAnsi" w:hAnsiTheme="minorHAnsi"/>
          <w:sz w:val="18"/>
          <w:szCs w:val="18"/>
        </w:rPr>
        <w:t>2016;133:1795-1806</w:t>
      </w:r>
    </w:p>
  </w:endnote>
  <w:endnote w:id="34">
    <w:p w:rsidR="00EC0EDC" w:rsidRPr="001A153C" w:rsidRDefault="00EC0EDC">
      <w:pPr>
        <w:pStyle w:val="EndnoteText"/>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Waite LH, Phan YL, Spinler SA. What's next for dyslipidemia management? The 2013 ACC/AHA Guidelines, the NLA recommendations, and beyond. Journal of the American Pharmacists Association (2016) 56:284-292.</w:t>
      </w:r>
    </w:p>
  </w:endnote>
  <w:endnote w:id="35">
    <w:p w:rsidR="00EC0EDC" w:rsidRPr="001A153C" w:rsidRDefault="00EC0EDC" w:rsidP="001955A7">
      <w:pPr>
        <w:pStyle w:val="EndnoteText"/>
        <w:spacing w:after="120"/>
        <w:jc w:val="left"/>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Bohula et al: Atherothrombotic Risk Stratification and Ezetimibe for Secondary Prevention </w:t>
      </w:r>
      <w:r w:rsidRPr="001A153C">
        <w:rPr>
          <w:rFonts w:asciiTheme="minorHAnsi" w:hAnsiTheme="minorHAnsi"/>
          <w:i/>
          <w:sz w:val="18"/>
          <w:szCs w:val="18"/>
        </w:rPr>
        <w:t xml:space="preserve">JACC </w:t>
      </w:r>
      <w:r w:rsidRPr="001A153C">
        <w:rPr>
          <w:rFonts w:asciiTheme="minorHAnsi" w:hAnsiTheme="minorHAnsi"/>
          <w:sz w:val="18"/>
          <w:szCs w:val="18"/>
        </w:rPr>
        <w:t>Vol.69,No.8 2017.</w:t>
      </w:r>
    </w:p>
  </w:endnote>
  <w:endnote w:id="36">
    <w:p w:rsidR="00EC0EDC" w:rsidRPr="001A153C" w:rsidRDefault="00EC0EDC" w:rsidP="001955A7">
      <w:pPr>
        <w:pStyle w:val="EndnoteText"/>
        <w:spacing w:after="120"/>
        <w:jc w:val="left"/>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Eisen A, Cannon CP, Blazing MA et al The Benefit of Adding Ezetimibe to Stain Therapy in Patients with Prior Coronary Artery Bypass Graft Surgery and Acute Coronary Syndrome in the IMPROVE-IT Trial. </w:t>
      </w:r>
      <w:r w:rsidRPr="001A153C">
        <w:rPr>
          <w:rFonts w:asciiTheme="minorHAnsi" w:hAnsiTheme="minorHAnsi"/>
          <w:i/>
          <w:sz w:val="18"/>
          <w:szCs w:val="18"/>
        </w:rPr>
        <w:t>European Heart J</w:t>
      </w:r>
      <w:r w:rsidRPr="001A153C">
        <w:rPr>
          <w:rFonts w:asciiTheme="minorHAnsi" w:hAnsiTheme="minorHAnsi"/>
          <w:sz w:val="18"/>
          <w:szCs w:val="18"/>
        </w:rPr>
        <w:t xml:space="preserve"> (2016) 37,3576-3584</w:t>
      </w:r>
    </w:p>
  </w:endnote>
  <w:endnote w:id="37">
    <w:p w:rsidR="00EC0EDC" w:rsidRPr="001A153C" w:rsidRDefault="00EC0EDC" w:rsidP="001955A7">
      <w:pPr>
        <w:pStyle w:val="EndnoteText"/>
        <w:spacing w:after="120"/>
        <w:jc w:val="left"/>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Jacoby DS, Rader DJ. Improving Cardiovascular Outcomes by Intensifying Low Density Lipoprotein Lowering Therapy in High Risk Patients </w:t>
      </w:r>
      <w:r w:rsidRPr="001A153C">
        <w:rPr>
          <w:rFonts w:asciiTheme="minorHAnsi" w:hAnsiTheme="minorHAnsi"/>
          <w:i/>
          <w:sz w:val="18"/>
          <w:szCs w:val="18"/>
        </w:rPr>
        <w:t>European Heart J</w:t>
      </w:r>
      <w:r w:rsidRPr="001A153C">
        <w:rPr>
          <w:rFonts w:asciiTheme="minorHAnsi" w:hAnsiTheme="minorHAnsi"/>
          <w:sz w:val="18"/>
          <w:szCs w:val="18"/>
        </w:rPr>
        <w:t xml:space="preserve"> (2016)37, 35856-3587</w:t>
      </w:r>
    </w:p>
  </w:endnote>
  <w:endnote w:id="38">
    <w:p w:rsidR="00EC0EDC" w:rsidRPr="001A153C" w:rsidRDefault="00EC0EDC" w:rsidP="001955A7">
      <w:pPr>
        <w:pStyle w:val="EndnoteText"/>
        <w:spacing w:after="120"/>
        <w:jc w:val="left"/>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Yang YJ, See SH, Kim BS, Cho YK et al. Combination Therapy of Rosuvastatin and Ezetimibe in Patients with High Cardiovascular Risk. </w:t>
      </w:r>
      <w:r w:rsidRPr="001A153C">
        <w:rPr>
          <w:rFonts w:asciiTheme="minorHAnsi" w:hAnsiTheme="minorHAnsi"/>
          <w:i/>
          <w:sz w:val="18"/>
          <w:szCs w:val="18"/>
        </w:rPr>
        <w:t>Clin Ther.</w:t>
      </w:r>
      <w:r w:rsidRPr="001A153C">
        <w:rPr>
          <w:rFonts w:asciiTheme="minorHAnsi" w:hAnsiTheme="minorHAnsi"/>
          <w:sz w:val="18"/>
          <w:szCs w:val="18"/>
        </w:rPr>
        <w:t>2016;38:107-117</w:t>
      </w:r>
    </w:p>
  </w:endnote>
  <w:endnote w:id="39">
    <w:p w:rsidR="00EC0EDC" w:rsidRPr="001A153C" w:rsidRDefault="00EC0EDC">
      <w:pPr>
        <w:pStyle w:val="EndnoteText"/>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w:t>
      </w:r>
      <w:r w:rsidRPr="001A153C">
        <w:rPr>
          <w:rFonts w:asciiTheme="minorHAnsi" w:hAnsiTheme="minorHAnsi" w:cs="Calibri"/>
          <w:sz w:val="18"/>
          <w:szCs w:val="18"/>
        </w:rPr>
        <w:t xml:space="preserve">Doust J, Sanders S, Shaw J, Glasziou P. Prioritising CVD prevention therapy - absolute risk versus individual risk factors. </w:t>
      </w:r>
      <w:r w:rsidRPr="001A153C">
        <w:rPr>
          <w:rFonts w:asciiTheme="minorHAnsi" w:hAnsiTheme="minorHAnsi" w:cs="Calibri"/>
          <w:i/>
          <w:iCs/>
          <w:sz w:val="18"/>
          <w:szCs w:val="18"/>
        </w:rPr>
        <w:t xml:space="preserve">Aust Fam Physician </w:t>
      </w:r>
      <w:r w:rsidRPr="001A153C">
        <w:rPr>
          <w:rFonts w:asciiTheme="minorHAnsi" w:hAnsiTheme="minorHAnsi" w:cs="Calibri"/>
          <w:sz w:val="18"/>
          <w:szCs w:val="18"/>
        </w:rPr>
        <w:t xml:space="preserve">2012; 41:805-809. </w:t>
      </w:r>
    </w:p>
  </w:endnote>
  <w:endnote w:id="40">
    <w:p w:rsidR="00EC0EDC" w:rsidRPr="001A153C" w:rsidRDefault="00EC0EDC">
      <w:pPr>
        <w:pStyle w:val="EndnoteText"/>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https://www.baker.edu.au/Assets/Files/AUSDIAB_Report_2005.pdf</w:t>
      </w:r>
    </w:p>
  </w:endnote>
  <w:endnote w:id="41">
    <w:p w:rsidR="00EC0EDC" w:rsidRPr="001A153C" w:rsidRDefault="00EC0EDC">
      <w:pPr>
        <w:pStyle w:val="EndnoteText"/>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w:t>
      </w:r>
      <w:r w:rsidRPr="001A153C">
        <w:rPr>
          <w:rFonts w:asciiTheme="minorHAnsi" w:hAnsiTheme="minorHAnsi" w:cs="Calibri"/>
          <w:sz w:val="18"/>
          <w:szCs w:val="18"/>
        </w:rPr>
        <w:t xml:space="preserve">Doust J, Sanders S, Shaw J, Glasziou P. Prioritising CVD prevention therapy - absolute risk versus individual risk factors. </w:t>
      </w:r>
      <w:r w:rsidRPr="001A153C">
        <w:rPr>
          <w:rFonts w:asciiTheme="minorHAnsi" w:hAnsiTheme="minorHAnsi" w:cs="Calibri"/>
          <w:i/>
          <w:iCs/>
          <w:sz w:val="18"/>
          <w:szCs w:val="18"/>
        </w:rPr>
        <w:t xml:space="preserve">Aust Fam Physician </w:t>
      </w:r>
      <w:r w:rsidRPr="001A153C">
        <w:rPr>
          <w:rFonts w:asciiTheme="minorHAnsi" w:hAnsiTheme="minorHAnsi" w:cs="Calibri"/>
          <w:sz w:val="18"/>
          <w:szCs w:val="18"/>
        </w:rPr>
        <w:t xml:space="preserve">2012; 41:805-809. </w:t>
      </w:r>
    </w:p>
  </w:endnote>
  <w:endnote w:id="42">
    <w:p w:rsidR="00EC0EDC" w:rsidRPr="001A153C" w:rsidRDefault="00EC0EDC" w:rsidP="001955A7">
      <w:pPr>
        <w:tabs>
          <w:tab w:val="left" w:pos="0"/>
        </w:tabs>
        <w:spacing w:after="120" w:line="240" w:lineRule="auto"/>
        <w:jc w:val="left"/>
        <w:rPr>
          <w:rFonts w:asciiTheme="minorHAnsi" w:hAnsiTheme="minorHAnsi" w:cs="Arial"/>
          <w:bCs/>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w:t>
      </w:r>
      <w:r w:rsidRPr="001A153C">
        <w:rPr>
          <w:rFonts w:asciiTheme="minorHAnsi" w:hAnsiTheme="minorHAnsi" w:cs="Arial"/>
          <w:color w:val="222222"/>
          <w:sz w:val="18"/>
          <w:szCs w:val="18"/>
          <w:shd w:val="clear" w:color="auto" w:fill="FFFFFF"/>
        </w:rPr>
        <w:t>Silverman, M.G., Ference, B.A., Im, K., Wiviott, S.D., Giugliano, R.P., Grundy, S.M., Braunwald, E. and Sabatine, M.S., 2016. Association between lowering LDL-C and cardiovascular risk reduction among different therapeutic interventions: a systematic review and meta-analysis.</w:t>
      </w:r>
      <w:r w:rsidRPr="001A153C">
        <w:rPr>
          <w:rStyle w:val="apple-converted-space"/>
          <w:rFonts w:asciiTheme="minorHAnsi" w:hAnsiTheme="minorHAnsi" w:cs="Arial"/>
          <w:color w:val="222222"/>
          <w:sz w:val="18"/>
          <w:szCs w:val="18"/>
          <w:shd w:val="clear" w:color="auto" w:fill="FFFFFF"/>
        </w:rPr>
        <w:t> </w:t>
      </w:r>
      <w:r w:rsidRPr="001A153C">
        <w:rPr>
          <w:rFonts w:asciiTheme="minorHAnsi" w:hAnsiTheme="minorHAnsi" w:cs="Arial"/>
          <w:i/>
          <w:iCs/>
          <w:color w:val="222222"/>
          <w:sz w:val="18"/>
          <w:szCs w:val="18"/>
          <w:shd w:val="clear" w:color="auto" w:fill="FFFFFF"/>
        </w:rPr>
        <w:t>JAMA</w:t>
      </w:r>
      <w:r w:rsidRPr="001A153C">
        <w:rPr>
          <w:rFonts w:asciiTheme="minorHAnsi" w:hAnsiTheme="minorHAnsi" w:cs="Arial"/>
          <w:color w:val="222222"/>
          <w:sz w:val="18"/>
          <w:szCs w:val="18"/>
          <w:shd w:val="clear" w:color="auto" w:fill="FFFFFF"/>
        </w:rPr>
        <w:t xml:space="preserve"> </w:t>
      </w:r>
      <w:r w:rsidRPr="001A153C">
        <w:rPr>
          <w:rFonts w:asciiTheme="minorHAnsi" w:hAnsiTheme="minorHAnsi" w:cs="Arial"/>
          <w:i/>
          <w:iCs/>
          <w:color w:val="222222"/>
          <w:sz w:val="18"/>
          <w:szCs w:val="18"/>
          <w:shd w:val="clear" w:color="auto" w:fill="FFFFFF"/>
        </w:rPr>
        <w:t>316</w:t>
      </w:r>
      <w:r w:rsidRPr="001A153C">
        <w:rPr>
          <w:rFonts w:asciiTheme="minorHAnsi" w:hAnsiTheme="minorHAnsi" w:cs="Arial"/>
          <w:color w:val="222222"/>
          <w:sz w:val="18"/>
          <w:szCs w:val="18"/>
          <w:shd w:val="clear" w:color="auto" w:fill="FFFFFF"/>
        </w:rPr>
        <w:t>(12), pp.1289-1297.</w:t>
      </w:r>
    </w:p>
  </w:endnote>
  <w:endnote w:id="43">
    <w:p w:rsidR="00EC0EDC" w:rsidRPr="001A153C" w:rsidRDefault="00EC0EDC" w:rsidP="001955A7">
      <w:pPr>
        <w:pStyle w:val="EndnoteText"/>
        <w:spacing w:after="120"/>
        <w:jc w:val="left"/>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w:t>
      </w:r>
      <w:r w:rsidRPr="001A153C">
        <w:rPr>
          <w:rFonts w:asciiTheme="minorHAnsi" w:hAnsiTheme="minorHAnsi" w:cs="Arial"/>
          <w:color w:val="222222"/>
          <w:sz w:val="18"/>
          <w:szCs w:val="18"/>
          <w:shd w:val="clear" w:color="auto" w:fill="FFFFFF"/>
        </w:rPr>
        <w:t>Silverman, M.G., Ference, B.A., Im, K., Wiviott, S.D., Giugliano, R.P., Grundy, S.M., Braunwald, E. and Sabatine, M.S., 2016. Association between lowering LDL-C and cardiovascular risk reduction among different therapeutic interventions: a systematic review and meta-analysis.</w:t>
      </w:r>
      <w:r w:rsidRPr="001A153C">
        <w:rPr>
          <w:rStyle w:val="apple-converted-space"/>
          <w:rFonts w:asciiTheme="minorHAnsi" w:hAnsiTheme="minorHAnsi" w:cs="Arial"/>
          <w:color w:val="222222"/>
          <w:sz w:val="18"/>
          <w:szCs w:val="18"/>
          <w:shd w:val="clear" w:color="auto" w:fill="FFFFFF"/>
        </w:rPr>
        <w:t> </w:t>
      </w:r>
      <w:r w:rsidRPr="001A153C">
        <w:rPr>
          <w:rFonts w:asciiTheme="minorHAnsi" w:hAnsiTheme="minorHAnsi" w:cs="Arial"/>
          <w:i/>
          <w:iCs/>
          <w:color w:val="222222"/>
          <w:sz w:val="18"/>
          <w:szCs w:val="18"/>
          <w:shd w:val="clear" w:color="auto" w:fill="FFFFFF"/>
        </w:rPr>
        <w:t>JAMA</w:t>
      </w:r>
      <w:r w:rsidRPr="001A153C">
        <w:rPr>
          <w:rFonts w:asciiTheme="minorHAnsi" w:hAnsiTheme="minorHAnsi" w:cs="Arial"/>
          <w:color w:val="222222"/>
          <w:sz w:val="18"/>
          <w:szCs w:val="18"/>
          <w:shd w:val="clear" w:color="auto" w:fill="FFFFFF"/>
        </w:rPr>
        <w:t xml:space="preserve"> </w:t>
      </w:r>
      <w:r w:rsidRPr="001A153C">
        <w:rPr>
          <w:rFonts w:asciiTheme="minorHAnsi" w:hAnsiTheme="minorHAnsi" w:cs="Arial"/>
          <w:i/>
          <w:iCs/>
          <w:color w:val="222222"/>
          <w:sz w:val="18"/>
          <w:szCs w:val="18"/>
          <w:shd w:val="clear" w:color="auto" w:fill="FFFFFF"/>
        </w:rPr>
        <w:t>316</w:t>
      </w:r>
      <w:r w:rsidRPr="001A153C">
        <w:rPr>
          <w:rFonts w:asciiTheme="minorHAnsi" w:hAnsiTheme="minorHAnsi" w:cs="Arial"/>
          <w:color w:val="222222"/>
          <w:sz w:val="18"/>
          <w:szCs w:val="18"/>
          <w:shd w:val="clear" w:color="auto" w:fill="FFFFFF"/>
        </w:rPr>
        <w:t>(12), pp.1289-1297.</w:t>
      </w:r>
    </w:p>
  </w:endnote>
  <w:endnote w:id="44">
    <w:p w:rsidR="00EC0EDC" w:rsidRPr="001A153C" w:rsidRDefault="00EC0EDC" w:rsidP="00136551">
      <w:pPr>
        <w:pStyle w:val="EndnoteText"/>
        <w:spacing w:after="120"/>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Thomson PD What to Believe and do about Statin Associated Adverse Effects </w:t>
      </w:r>
      <w:r w:rsidRPr="001A153C">
        <w:rPr>
          <w:rFonts w:asciiTheme="minorHAnsi" w:hAnsiTheme="minorHAnsi"/>
          <w:i/>
          <w:sz w:val="18"/>
          <w:szCs w:val="18"/>
        </w:rPr>
        <w:t xml:space="preserve">JAMA </w:t>
      </w:r>
      <w:r w:rsidRPr="001A153C">
        <w:rPr>
          <w:rFonts w:asciiTheme="minorHAnsi" w:hAnsiTheme="minorHAnsi"/>
          <w:sz w:val="18"/>
          <w:szCs w:val="18"/>
        </w:rPr>
        <w:t>November 15, 2016 Volume 316, Number 19</w:t>
      </w:r>
    </w:p>
  </w:endnote>
  <w:endnote w:id="45">
    <w:p w:rsidR="00EC0EDC" w:rsidRPr="001A153C" w:rsidRDefault="00EC0EDC" w:rsidP="00136551">
      <w:pPr>
        <w:pStyle w:val="EndnoteText"/>
        <w:spacing w:after="120"/>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Thomson PD et al Statin Associated Side Effects. </w:t>
      </w:r>
      <w:r w:rsidRPr="001A153C">
        <w:rPr>
          <w:rFonts w:asciiTheme="minorHAnsi" w:hAnsiTheme="minorHAnsi"/>
          <w:i/>
          <w:sz w:val="18"/>
          <w:szCs w:val="18"/>
        </w:rPr>
        <w:t>J Am Coll Cardiol</w:t>
      </w:r>
      <w:r w:rsidRPr="001A153C">
        <w:rPr>
          <w:rFonts w:asciiTheme="minorHAnsi" w:hAnsiTheme="minorHAnsi"/>
          <w:sz w:val="18"/>
          <w:szCs w:val="18"/>
        </w:rPr>
        <w:t>.2016;67(20):2395-2410</w:t>
      </w:r>
    </w:p>
  </w:endnote>
  <w:endnote w:id="46">
    <w:p w:rsidR="00EC0EDC" w:rsidRPr="001A153C" w:rsidRDefault="00EC0EDC" w:rsidP="00136551">
      <w:pPr>
        <w:pStyle w:val="EndnoteText"/>
        <w:spacing w:after="120"/>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Cohen JD, Brinton EA, ITO MK et al. Understanding Satin Use in America and Gaps in Patient Education (USAGE): an internet based survey of 10,138 current and former statin users. </w:t>
      </w:r>
      <w:r w:rsidRPr="001A153C">
        <w:rPr>
          <w:rFonts w:asciiTheme="minorHAnsi" w:hAnsiTheme="minorHAnsi"/>
          <w:i/>
          <w:sz w:val="18"/>
          <w:szCs w:val="18"/>
        </w:rPr>
        <w:t>J Clin Lipidol</w:t>
      </w:r>
      <w:r w:rsidRPr="001A153C">
        <w:rPr>
          <w:rFonts w:asciiTheme="minorHAnsi" w:hAnsiTheme="minorHAnsi"/>
          <w:sz w:val="18"/>
          <w:szCs w:val="18"/>
        </w:rPr>
        <w:t xml:space="preserve"> 2012;6:208-15</w:t>
      </w:r>
    </w:p>
  </w:endnote>
  <w:endnote w:id="47">
    <w:p w:rsidR="00EC0EDC" w:rsidRPr="001A153C" w:rsidRDefault="00EC0EDC">
      <w:pPr>
        <w:pStyle w:val="EndnoteText"/>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https://www.oecd.org/australia/Health-at-a-Glance-2015-Key-Findings-AUSTRALIA.pdf</w:t>
      </w:r>
      <w:r w:rsidRPr="001A153C">
        <w:rPr>
          <w:rFonts w:asciiTheme="minorHAnsi" w:hAnsiTheme="minorHAnsi"/>
          <w:sz w:val="18"/>
          <w:szCs w:val="18"/>
          <w:highlight w:val="yellow"/>
        </w:rPr>
        <w:t xml:space="preserve"> </w:t>
      </w:r>
    </w:p>
  </w:endnote>
  <w:endnote w:id="48">
    <w:p w:rsidR="00EC0EDC" w:rsidRPr="001A153C" w:rsidRDefault="00EC0EDC">
      <w:pPr>
        <w:pStyle w:val="EndnoteText"/>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http://www.cvdcheck.org.au/</w:t>
      </w:r>
    </w:p>
  </w:endnote>
  <w:endnote w:id="49">
    <w:p w:rsidR="00EC0EDC" w:rsidRPr="001A153C" w:rsidRDefault="00EC0EDC" w:rsidP="00136551">
      <w:pPr>
        <w:pStyle w:val="EndnoteText"/>
        <w:spacing w:after="120"/>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w:t>
      </w:r>
      <w:r w:rsidRPr="001A153C">
        <w:rPr>
          <w:rFonts w:asciiTheme="minorHAnsi" w:hAnsiTheme="minorHAnsi" w:cs="Arial"/>
          <w:sz w:val="18"/>
          <w:szCs w:val="18"/>
        </w:rPr>
        <w:t xml:space="preserve">Cannon CP, Blazing MA, Giugliano RP et al Ezetimibe Added to Statin Therapy after Acute Coronary Syndromes </w:t>
      </w:r>
      <w:r w:rsidRPr="001A153C">
        <w:rPr>
          <w:rFonts w:asciiTheme="minorHAnsi" w:hAnsiTheme="minorHAnsi" w:cs="Arial"/>
          <w:i/>
          <w:sz w:val="18"/>
          <w:szCs w:val="18"/>
        </w:rPr>
        <w:t>N Engl J Med</w:t>
      </w:r>
      <w:r w:rsidRPr="001A153C">
        <w:rPr>
          <w:rFonts w:asciiTheme="minorHAnsi" w:hAnsiTheme="minorHAnsi" w:cs="Arial"/>
          <w:sz w:val="18"/>
          <w:szCs w:val="18"/>
        </w:rPr>
        <w:t xml:space="preserve"> 2015; 372:2387-2397 June 18, 2015DOI: 10.1056/NEJMoa1410489</w:t>
      </w:r>
    </w:p>
  </w:endnote>
  <w:endnote w:id="50">
    <w:p w:rsidR="00EC0EDC" w:rsidRPr="001A153C" w:rsidRDefault="00EC0EDC">
      <w:pPr>
        <w:pStyle w:val="EndnoteText"/>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Pandor, A. Ara, R. M. et al Ezetimibe monotherapy for cholesterol lowering in 2,722 people: systematic review and meta-analysis of randomized controlled trials </w:t>
      </w:r>
      <w:r w:rsidRPr="001A153C">
        <w:rPr>
          <w:rFonts w:asciiTheme="minorHAnsi" w:hAnsiTheme="minorHAnsi"/>
          <w:i/>
          <w:iCs/>
          <w:sz w:val="18"/>
          <w:szCs w:val="18"/>
        </w:rPr>
        <w:t>Journal of Internal Medicine</w:t>
      </w:r>
      <w:r w:rsidRPr="001A153C">
        <w:rPr>
          <w:rFonts w:asciiTheme="minorHAnsi" w:hAnsiTheme="minorHAnsi"/>
          <w:sz w:val="18"/>
          <w:szCs w:val="18"/>
        </w:rPr>
        <w:t xml:space="preserve">, 2009, 265(5)568-80.  </w:t>
      </w:r>
    </w:p>
  </w:endnote>
  <w:endnote w:id="51">
    <w:p w:rsidR="00EC0EDC" w:rsidRPr="001A153C" w:rsidRDefault="00EC0EDC" w:rsidP="00A12F22">
      <w:pPr>
        <w:spacing w:after="0" w:line="240" w:lineRule="auto"/>
        <w:rPr>
          <w:rFonts w:asciiTheme="minorHAnsi" w:hAnsiTheme="minorHAnsi" w:cs="Arial"/>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Bohula et al :Atherothrombotic Risk Stratification and Ezetimibe for Secondary Prevention</w:t>
      </w:r>
      <w:r w:rsidRPr="001A153C">
        <w:rPr>
          <w:rFonts w:asciiTheme="minorHAnsi" w:hAnsiTheme="minorHAnsi" w:cs="Arial"/>
          <w:sz w:val="18"/>
          <w:szCs w:val="18"/>
        </w:rPr>
        <w:t xml:space="preserve"> </w:t>
      </w:r>
    </w:p>
    <w:p w:rsidR="00EC0EDC" w:rsidRPr="001A153C" w:rsidRDefault="00EC0EDC" w:rsidP="00A12F22">
      <w:pPr>
        <w:pStyle w:val="FootnoteText"/>
        <w:rPr>
          <w:rFonts w:asciiTheme="minorHAnsi" w:eastAsiaTheme="minorHAnsi" w:hAnsiTheme="minorHAnsi" w:cstheme="minorBidi"/>
          <w:sz w:val="18"/>
          <w:szCs w:val="18"/>
          <w:lang w:eastAsia="en-US"/>
        </w:rPr>
      </w:pPr>
      <w:r w:rsidRPr="001A153C">
        <w:rPr>
          <w:rFonts w:asciiTheme="minorHAnsi" w:eastAsiaTheme="minorHAnsi" w:hAnsiTheme="minorHAnsi" w:cstheme="minorBidi"/>
          <w:i/>
          <w:sz w:val="18"/>
          <w:szCs w:val="18"/>
          <w:lang w:eastAsia="en-US"/>
        </w:rPr>
        <w:t>JACC</w:t>
      </w:r>
      <w:r w:rsidRPr="001A153C">
        <w:rPr>
          <w:rFonts w:asciiTheme="minorHAnsi" w:eastAsiaTheme="minorHAnsi" w:hAnsiTheme="minorHAnsi" w:cstheme="minorBidi"/>
          <w:sz w:val="18"/>
          <w:szCs w:val="18"/>
          <w:lang w:eastAsia="en-US"/>
        </w:rPr>
        <w:t xml:space="preserve"> Vol.69,No.8 2017.</w:t>
      </w:r>
    </w:p>
    <w:p w:rsidR="00EC0EDC" w:rsidRPr="001A153C" w:rsidRDefault="00EC0EDC">
      <w:pPr>
        <w:pStyle w:val="EndnoteText"/>
        <w:rPr>
          <w:rFonts w:asciiTheme="minorHAnsi" w:hAnsiTheme="minorHAnsi"/>
          <w:sz w:val="18"/>
          <w:szCs w:val="18"/>
        </w:rPr>
      </w:pPr>
    </w:p>
  </w:endnote>
  <w:endnote w:id="52">
    <w:p w:rsidR="00EC0EDC" w:rsidRPr="001A153C" w:rsidRDefault="00EC0EDC" w:rsidP="00136551">
      <w:pPr>
        <w:pStyle w:val="EndnoteText"/>
        <w:spacing w:after="120"/>
        <w:jc w:val="left"/>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w:t>
      </w:r>
      <w:r w:rsidRPr="001A153C">
        <w:rPr>
          <w:rFonts w:asciiTheme="minorHAnsi" w:hAnsiTheme="minorHAnsi" w:cs="Arial"/>
          <w:color w:val="222222"/>
          <w:sz w:val="18"/>
          <w:szCs w:val="18"/>
          <w:shd w:val="clear" w:color="auto" w:fill="FFFFFF"/>
        </w:rPr>
        <w:t>Ray, K.K., Ginsberg, H.N., Davidson, M.H., Pordy, R., Bessac, L., Minini, P., Eckel, R.H. and Cannon, C.P., 2016. Reductions in Atherogenic Lipids and Major Cardiovascular Events: A Pooled Analysis of 10 ODYSSEY Trials Comparing Alirocumab to Control.</w:t>
      </w:r>
      <w:r w:rsidRPr="001A153C">
        <w:rPr>
          <w:rStyle w:val="apple-converted-space"/>
          <w:rFonts w:asciiTheme="minorHAnsi" w:eastAsiaTheme="majorEastAsia" w:hAnsiTheme="minorHAnsi" w:cs="Arial"/>
          <w:color w:val="222222"/>
          <w:sz w:val="18"/>
          <w:szCs w:val="18"/>
          <w:shd w:val="clear" w:color="auto" w:fill="FFFFFF"/>
        </w:rPr>
        <w:t> </w:t>
      </w:r>
      <w:r w:rsidRPr="001A153C">
        <w:rPr>
          <w:rFonts w:asciiTheme="minorHAnsi" w:hAnsiTheme="minorHAnsi" w:cs="Arial"/>
          <w:i/>
          <w:iCs/>
          <w:color w:val="222222"/>
          <w:sz w:val="18"/>
          <w:szCs w:val="18"/>
          <w:shd w:val="clear" w:color="auto" w:fill="FFFFFF"/>
        </w:rPr>
        <w:t>Circulation</w:t>
      </w:r>
      <w:r w:rsidRPr="001A153C">
        <w:rPr>
          <w:rFonts w:asciiTheme="minorHAnsi" w:hAnsiTheme="minorHAnsi" w:cs="Arial"/>
          <w:color w:val="222222"/>
          <w:sz w:val="18"/>
          <w:szCs w:val="18"/>
          <w:shd w:val="clear" w:color="auto" w:fill="FFFFFF"/>
        </w:rPr>
        <w:t>, 2016 Oct 24.</w:t>
      </w:r>
    </w:p>
  </w:endnote>
  <w:endnote w:id="53">
    <w:p w:rsidR="00EC0EDC" w:rsidRPr="001A153C" w:rsidRDefault="00EC0EDC" w:rsidP="00136551">
      <w:pPr>
        <w:tabs>
          <w:tab w:val="left" w:pos="0"/>
        </w:tabs>
        <w:spacing w:after="120" w:line="240" w:lineRule="auto"/>
        <w:jc w:val="left"/>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w:t>
      </w:r>
      <w:r w:rsidRPr="001A153C">
        <w:rPr>
          <w:rFonts w:asciiTheme="minorHAnsi" w:hAnsiTheme="minorHAnsi" w:cs="Arial"/>
          <w:color w:val="222222"/>
          <w:sz w:val="18"/>
          <w:szCs w:val="18"/>
          <w:shd w:val="clear" w:color="auto" w:fill="FFFFFF"/>
        </w:rPr>
        <w:t>Silverman, M.G., Ference, B.A., IM, K., Wiviott, S.D., Giugliano, R.P., Grundy, S.M., Braunwald, E. and Sabatine, M.S., 2016. Association between lowering LDL-C and cardiovascular risk reduction among different therapeutic interventions: a systematic review and meta-analysis.</w:t>
      </w:r>
      <w:r w:rsidRPr="001A153C">
        <w:rPr>
          <w:rStyle w:val="apple-converted-space"/>
          <w:rFonts w:asciiTheme="minorHAnsi" w:hAnsiTheme="minorHAnsi" w:cs="Arial"/>
          <w:color w:val="222222"/>
          <w:sz w:val="18"/>
          <w:szCs w:val="18"/>
          <w:shd w:val="clear" w:color="auto" w:fill="FFFFFF"/>
        </w:rPr>
        <w:t> </w:t>
      </w:r>
      <w:r w:rsidRPr="001A153C">
        <w:rPr>
          <w:rFonts w:asciiTheme="minorHAnsi" w:hAnsiTheme="minorHAnsi" w:cs="Arial"/>
          <w:i/>
          <w:iCs/>
          <w:color w:val="222222"/>
          <w:sz w:val="18"/>
          <w:szCs w:val="18"/>
          <w:shd w:val="clear" w:color="auto" w:fill="FFFFFF"/>
        </w:rPr>
        <w:t>JAMA</w:t>
      </w:r>
      <w:r w:rsidRPr="001A153C">
        <w:rPr>
          <w:rFonts w:asciiTheme="minorHAnsi" w:hAnsiTheme="minorHAnsi" w:cs="Arial"/>
          <w:color w:val="222222"/>
          <w:sz w:val="18"/>
          <w:szCs w:val="18"/>
          <w:shd w:val="clear" w:color="auto" w:fill="FFFFFF"/>
        </w:rPr>
        <w:t xml:space="preserve"> </w:t>
      </w:r>
      <w:r w:rsidRPr="001A153C">
        <w:rPr>
          <w:rFonts w:asciiTheme="minorHAnsi" w:hAnsiTheme="minorHAnsi" w:cs="Arial"/>
          <w:i/>
          <w:iCs/>
          <w:color w:val="222222"/>
          <w:sz w:val="18"/>
          <w:szCs w:val="18"/>
          <w:shd w:val="clear" w:color="auto" w:fill="FFFFFF"/>
        </w:rPr>
        <w:t>316</w:t>
      </w:r>
      <w:r w:rsidRPr="001A153C">
        <w:rPr>
          <w:rFonts w:asciiTheme="minorHAnsi" w:hAnsiTheme="minorHAnsi" w:cs="Arial"/>
          <w:color w:val="222222"/>
          <w:sz w:val="18"/>
          <w:szCs w:val="18"/>
          <w:shd w:val="clear" w:color="auto" w:fill="FFFFFF"/>
        </w:rPr>
        <w:t>(12), pp.1289-1297.</w:t>
      </w:r>
    </w:p>
  </w:endnote>
  <w:endnote w:id="54">
    <w:p w:rsidR="00EC0EDC" w:rsidRPr="001A153C" w:rsidRDefault="00EC0EDC" w:rsidP="00136551">
      <w:pPr>
        <w:pStyle w:val="EndnoteText"/>
        <w:spacing w:after="120"/>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Anderson TJ (2016) Editorial: Bringing Structure to the Art of Lipid Lowering Therapy. </w:t>
      </w:r>
      <w:r w:rsidRPr="001A153C">
        <w:rPr>
          <w:rFonts w:asciiTheme="minorHAnsi" w:hAnsiTheme="minorHAnsi"/>
          <w:i/>
          <w:sz w:val="18"/>
          <w:szCs w:val="18"/>
        </w:rPr>
        <w:t>Journal of the American College of Cardiology</w:t>
      </w:r>
      <w:r w:rsidRPr="001A153C">
        <w:rPr>
          <w:rFonts w:asciiTheme="minorHAnsi" w:hAnsiTheme="minorHAnsi"/>
          <w:sz w:val="18"/>
          <w:szCs w:val="18"/>
        </w:rPr>
        <w:t xml:space="preserve"> Vol68,No.22</w:t>
      </w:r>
    </w:p>
  </w:endnote>
  <w:endnote w:id="55">
    <w:p w:rsidR="00EC0EDC" w:rsidRPr="001A153C" w:rsidRDefault="00EC0EDC" w:rsidP="00136551">
      <w:pPr>
        <w:pStyle w:val="EndnoteText"/>
        <w:spacing w:after="120"/>
        <w:rPr>
          <w:rFonts w:asciiTheme="minorHAnsi" w:eastAsiaTheme="minorHAnsi" w:hAnsiTheme="minorHAnsi" w:cs="Arial"/>
          <w:color w:val="222222"/>
          <w:sz w:val="18"/>
          <w:szCs w:val="18"/>
          <w:shd w:val="clear" w:color="auto" w:fill="FFFFFF"/>
          <w:lang w:eastAsia="en-US"/>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Robinson JG (2016) Determining When to Add Non-Statin Therapy - A Quantitative Approach. </w:t>
      </w:r>
      <w:r w:rsidRPr="001A153C">
        <w:rPr>
          <w:rFonts w:asciiTheme="minorHAnsi" w:hAnsiTheme="minorHAnsi"/>
          <w:i/>
          <w:sz w:val="18"/>
          <w:szCs w:val="18"/>
        </w:rPr>
        <w:t>Journal of the American College of Cardiology</w:t>
      </w:r>
      <w:r w:rsidRPr="001A153C">
        <w:rPr>
          <w:rFonts w:asciiTheme="minorHAnsi" w:hAnsiTheme="minorHAnsi"/>
          <w:sz w:val="18"/>
          <w:szCs w:val="18"/>
        </w:rPr>
        <w:t>, Vol68,No.22</w:t>
      </w:r>
    </w:p>
  </w:endnote>
  <w:endnote w:id="56">
    <w:p w:rsidR="00EC0EDC" w:rsidRPr="001A153C" w:rsidRDefault="00EC0EDC" w:rsidP="00136551">
      <w:pPr>
        <w:spacing w:after="120" w:line="240" w:lineRule="auto"/>
        <w:rPr>
          <w:rFonts w:asciiTheme="minorHAnsi" w:hAnsiTheme="minorHAnsi"/>
          <w:sz w:val="18"/>
          <w:szCs w:val="18"/>
        </w:rPr>
      </w:pPr>
      <w:r w:rsidRPr="001A153C">
        <w:rPr>
          <w:rFonts w:asciiTheme="minorHAnsi" w:hAnsiTheme="minorHAnsi" w:cs="Arial"/>
          <w:color w:val="222222"/>
          <w:sz w:val="18"/>
          <w:szCs w:val="18"/>
          <w:shd w:val="clear" w:color="auto" w:fill="FFFFFF"/>
        </w:rPr>
        <w:endnoteRef/>
      </w:r>
      <w:r w:rsidRPr="001A153C">
        <w:rPr>
          <w:rFonts w:asciiTheme="minorHAnsi" w:hAnsiTheme="minorHAnsi" w:cs="Arial"/>
          <w:color w:val="222222"/>
          <w:sz w:val="18"/>
          <w:szCs w:val="18"/>
          <w:shd w:val="clear" w:color="auto" w:fill="FFFFFF"/>
        </w:rPr>
        <w:t xml:space="preserve"> Bohula et al: Atherothrombotic Risk Stratification and Ezetimibe for Secondary Prevention </w:t>
      </w:r>
      <w:r w:rsidRPr="001A153C">
        <w:rPr>
          <w:rFonts w:asciiTheme="minorHAnsi" w:hAnsiTheme="minorHAnsi" w:cs="Arial"/>
          <w:i/>
          <w:color w:val="222222"/>
          <w:sz w:val="18"/>
          <w:szCs w:val="18"/>
          <w:shd w:val="clear" w:color="auto" w:fill="FFFFFF"/>
        </w:rPr>
        <w:t>JACC</w:t>
      </w:r>
      <w:r w:rsidRPr="001A153C">
        <w:rPr>
          <w:rFonts w:asciiTheme="minorHAnsi" w:hAnsiTheme="minorHAnsi" w:cs="Arial"/>
          <w:color w:val="222222"/>
          <w:sz w:val="18"/>
          <w:szCs w:val="18"/>
          <w:shd w:val="clear" w:color="auto" w:fill="FFFFFF"/>
        </w:rPr>
        <w:t xml:space="preserve"> Vol.69,No.8 2017.</w:t>
      </w:r>
    </w:p>
  </w:endnote>
  <w:endnote w:id="57">
    <w:p w:rsidR="00EC0EDC" w:rsidRPr="001A153C" w:rsidRDefault="00EC0EDC">
      <w:pPr>
        <w:pStyle w:val="EndnoteText"/>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w:t>
      </w:r>
      <w:r w:rsidRPr="001A153C">
        <w:rPr>
          <w:rFonts w:asciiTheme="minorHAnsi" w:eastAsiaTheme="minorHAnsi" w:hAnsiTheme="minorHAnsi" w:cs="Arial"/>
          <w:color w:val="222222"/>
          <w:sz w:val="18"/>
          <w:szCs w:val="18"/>
          <w:shd w:val="clear" w:color="auto" w:fill="FFFFFF"/>
          <w:lang w:eastAsia="en-US"/>
        </w:rPr>
        <w:t>AHRQ 2009. Sharma M, Ansari MT, Abou-Setta AM, Soares-Weiser K, Ooi TC, Sears M, et al. Systematic review: comparative effectiveness and harms of combination therapy and monotherapy for dyslipidemia. Ann Intern Med. 2009a;151:622-30.</w:t>
      </w:r>
      <w:r w:rsidRPr="001A153C">
        <w:rPr>
          <w:rFonts w:asciiTheme="minorHAnsi" w:hAnsiTheme="minorHAnsi"/>
          <w:sz w:val="18"/>
          <w:szCs w:val="18"/>
        </w:rPr>
        <w:t xml:space="preserve">  </w:t>
      </w:r>
    </w:p>
  </w:endnote>
  <w:endnote w:id="58">
    <w:p w:rsidR="00EC0EDC" w:rsidRPr="001A153C" w:rsidRDefault="00EC0EDC">
      <w:pPr>
        <w:pStyle w:val="EndnoteText"/>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Mikhailidis DP Comparative efficacy of the addition of ezetimibe to statin vs statin titration in patients with hypercholesterolaemia: systematic review and meta-analysis. </w:t>
      </w:r>
      <w:r w:rsidRPr="001A153C">
        <w:rPr>
          <w:rFonts w:asciiTheme="minorHAnsi" w:hAnsiTheme="minorHAnsi"/>
          <w:i/>
          <w:iCs/>
          <w:sz w:val="18"/>
          <w:szCs w:val="18"/>
        </w:rPr>
        <w:t xml:space="preserve">Curr Med Res Opin. </w:t>
      </w:r>
      <w:r w:rsidRPr="001A153C">
        <w:rPr>
          <w:rFonts w:asciiTheme="minorHAnsi" w:hAnsiTheme="minorHAnsi"/>
          <w:sz w:val="18"/>
          <w:szCs w:val="18"/>
        </w:rPr>
        <w:t xml:space="preserve">2011 Jun;27(6):1191-210  </w:t>
      </w:r>
    </w:p>
  </w:endnote>
  <w:endnote w:id="59">
    <w:p w:rsidR="00EC0EDC" w:rsidRPr="001A153C" w:rsidRDefault="00EC0EDC">
      <w:pPr>
        <w:pStyle w:val="EndnoteText"/>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Ara R, Tumur I, Pandor A, Duenas A, Williams R, Wilkinson A, et al. Ezetimibe for the treatment of hyper cholesterolaemia: a systematic review and economic evaluation. </w:t>
      </w:r>
      <w:r w:rsidRPr="001A153C">
        <w:rPr>
          <w:rFonts w:asciiTheme="minorHAnsi" w:hAnsiTheme="minorHAnsi"/>
          <w:i/>
          <w:iCs/>
          <w:sz w:val="18"/>
          <w:szCs w:val="18"/>
        </w:rPr>
        <w:t xml:space="preserve">Health Technology Assessment </w:t>
      </w:r>
      <w:r w:rsidRPr="001A153C">
        <w:rPr>
          <w:rFonts w:asciiTheme="minorHAnsi" w:hAnsiTheme="minorHAnsi"/>
          <w:sz w:val="18"/>
          <w:szCs w:val="18"/>
        </w:rPr>
        <w:t xml:space="preserve">2008;12(21)  </w:t>
      </w:r>
    </w:p>
  </w:endnote>
  <w:endnote w:id="60">
    <w:p w:rsidR="00EC0EDC" w:rsidRPr="001A153C" w:rsidRDefault="00EC0EDC">
      <w:pPr>
        <w:pStyle w:val="EndnoteText"/>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https://www.nice.org.uk/guidance/TA385/documents/final-appraisal-determination-document</w:t>
      </w:r>
    </w:p>
  </w:endnote>
  <w:endnote w:id="61">
    <w:p w:rsidR="00EC0EDC" w:rsidRPr="001A153C" w:rsidRDefault="00EC0EDC" w:rsidP="00C77B52">
      <w:pPr>
        <w:spacing w:after="120" w:line="0" w:lineRule="atLeast"/>
        <w:outlineLvl w:val="1"/>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w:t>
      </w:r>
      <w:r w:rsidRPr="001A153C">
        <w:rPr>
          <w:rFonts w:asciiTheme="minorHAnsi" w:hAnsiTheme="minorHAnsi" w:cs="Arial"/>
          <w:sz w:val="18"/>
          <w:szCs w:val="18"/>
        </w:rPr>
        <w:t xml:space="preserve">Cannon CP, Blazing MA, Giugliano RP et al </w:t>
      </w:r>
      <w:r w:rsidRPr="001A153C">
        <w:rPr>
          <w:rFonts w:asciiTheme="minorHAnsi" w:hAnsiTheme="minorHAnsi" w:cs="Arial"/>
          <w:bCs/>
          <w:kern w:val="36"/>
          <w:sz w:val="18"/>
          <w:szCs w:val="18"/>
        </w:rPr>
        <w:t xml:space="preserve">Ezetimibe Added to Statin Therapy after Acute Coronary Syndromes </w:t>
      </w:r>
      <w:r w:rsidRPr="001A153C">
        <w:rPr>
          <w:rStyle w:val="citation"/>
          <w:rFonts w:asciiTheme="minorHAnsi" w:hAnsiTheme="minorHAnsi" w:cs="Arial"/>
          <w:i/>
          <w:sz w:val="18"/>
          <w:szCs w:val="18"/>
        </w:rPr>
        <w:t>N Engl J Med</w:t>
      </w:r>
      <w:r w:rsidRPr="001A153C">
        <w:rPr>
          <w:rStyle w:val="citation"/>
          <w:rFonts w:asciiTheme="minorHAnsi" w:hAnsiTheme="minorHAnsi" w:cs="Arial"/>
          <w:sz w:val="18"/>
          <w:szCs w:val="18"/>
        </w:rPr>
        <w:t xml:space="preserve"> 2015; 372:2387-2397 </w:t>
      </w:r>
      <w:hyperlink r:id="rId4" w:history="1">
        <w:r w:rsidRPr="001A153C">
          <w:rPr>
            <w:rStyle w:val="Hyperlink"/>
            <w:rFonts w:asciiTheme="minorHAnsi" w:hAnsiTheme="minorHAnsi" w:cs="Arial"/>
            <w:color w:val="auto"/>
            <w:sz w:val="18"/>
            <w:szCs w:val="18"/>
            <w:u w:val="none"/>
          </w:rPr>
          <w:t>June 18, 2015</w:t>
        </w:r>
      </w:hyperlink>
      <w:r w:rsidRPr="001A153C">
        <w:rPr>
          <w:rStyle w:val="Hyperlink"/>
          <w:rFonts w:asciiTheme="minorHAnsi" w:hAnsiTheme="minorHAnsi" w:cs="Arial"/>
          <w:color w:val="auto"/>
          <w:sz w:val="18"/>
          <w:szCs w:val="18"/>
        </w:rPr>
        <w:t xml:space="preserve"> </w:t>
      </w:r>
      <w:r w:rsidRPr="001A153C">
        <w:rPr>
          <w:rStyle w:val="doi1"/>
          <w:rFonts w:asciiTheme="minorHAnsi" w:hAnsiTheme="minorHAnsi" w:cs="Arial"/>
          <w:color w:val="auto"/>
          <w:sz w:val="18"/>
          <w:szCs w:val="18"/>
        </w:rPr>
        <w:t>DOI: 10.1056/NEJMoa1410489</w:t>
      </w:r>
    </w:p>
    <w:p w:rsidR="00EC0EDC" w:rsidRPr="001A153C" w:rsidRDefault="00EC0EDC">
      <w:pPr>
        <w:pStyle w:val="EndnoteText"/>
        <w:rPr>
          <w:rFonts w:asciiTheme="minorHAnsi" w:hAnsiTheme="minorHAnsi"/>
          <w:sz w:val="18"/>
          <w:szCs w:val="18"/>
        </w:rPr>
      </w:pPr>
    </w:p>
  </w:endnote>
  <w:endnote w:id="62">
    <w:p w:rsidR="00EC0EDC" w:rsidRPr="001A153C" w:rsidRDefault="00EC0EDC" w:rsidP="00136551">
      <w:pPr>
        <w:pStyle w:val="EndnoteText"/>
        <w:spacing w:after="120"/>
        <w:jc w:val="left"/>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w:t>
      </w:r>
      <w:r w:rsidRPr="001A153C">
        <w:rPr>
          <w:rFonts w:asciiTheme="minorHAnsi" w:hAnsiTheme="minorHAnsi" w:cs="Arial"/>
          <w:color w:val="222222"/>
          <w:sz w:val="18"/>
          <w:szCs w:val="18"/>
          <w:shd w:val="clear" w:color="auto" w:fill="FFFFFF"/>
        </w:rPr>
        <w:t>Ray, K.K., Ginsberg, H.N., Davidson, M.H., Pordy, R., Bessac, L., Minini, P., Eckel, R.H. and Cannon, C.P., 2016. Reductions in Atherogenic Lipids and Major Cardiovascular Events: A Pooled Analysis of 10 ODYSSEY Trials Comparing Alirocumab to Control.</w:t>
      </w:r>
      <w:r w:rsidRPr="001A153C">
        <w:rPr>
          <w:rStyle w:val="apple-converted-space"/>
          <w:rFonts w:asciiTheme="minorHAnsi" w:eastAsiaTheme="majorEastAsia" w:hAnsiTheme="minorHAnsi" w:cs="Arial"/>
          <w:color w:val="222222"/>
          <w:sz w:val="18"/>
          <w:szCs w:val="18"/>
          <w:shd w:val="clear" w:color="auto" w:fill="FFFFFF"/>
        </w:rPr>
        <w:t> </w:t>
      </w:r>
      <w:r w:rsidRPr="001A153C">
        <w:rPr>
          <w:rFonts w:asciiTheme="minorHAnsi" w:hAnsiTheme="minorHAnsi" w:cs="Arial"/>
          <w:i/>
          <w:iCs/>
          <w:color w:val="222222"/>
          <w:sz w:val="18"/>
          <w:szCs w:val="18"/>
          <w:shd w:val="clear" w:color="auto" w:fill="FFFFFF"/>
        </w:rPr>
        <w:t>Circulation</w:t>
      </w:r>
      <w:r w:rsidRPr="001A153C">
        <w:rPr>
          <w:rFonts w:asciiTheme="minorHAnsi" w:hAnsiTheme="minorHAnsi" w:cs="Arial"/>
          <w:color w:val="222222"/>
          <w:sz w:val="18"/>
          <w:szCs w:val="18"/>
          <w:shd w:val="clear" w:color="auto" w:fill="FFFFFF"/>
        </w:rPr>
        <w:t>, 2016 Oct 24.</w:t>
      </w:r>
    </w:p>
  </w:endnote>
  <w:endnote w:id="63">
    <w:p w:rsidR="00EC0EDC" w:rsidRPr="001A153C" w:rsidRDefault="00EC0EDC" w:rsidP="00136551">
      <w:pPr>
        <w:pStyle w:val="EndnoteText"/>
        <w:spacing w:after="120"/>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w:t>
      </w:r>
      <w:r w:rsidRPr="001A153C">
        <w:rPr>
          <w:rFonts w:asciiTheme="minorHAnsi" w:hAnsiTheme="minorHAnsi" w:cs="Arial"/>
          <w:sz w:val="18"/>
          <w:szCs w:val="18"/>
        </w:rPr>
        <w:t xml:space="preserve">Cannon CP, Blazing MA, Giugliano RP et al Ezetimibe Added to Statin Therapy after Acute Coronary Syndromes </w:t>
      </w:r>
      <w:r w:rsidRPr="001A153C">
        <w:rPr>
          <w:rFonts w:asciiTheme="minorHAnsi" w:hAnsiTheme="minorHAnsi" w:cs="Arial"/>
          <w:i/>
          <w:sz w:val="18"/>
          <w:szCs w:val="18"/>
        </w:rPr>
        <w:t>N Engl J Med</w:t>
      </w:r>
      <w:r w:rsidRPr="001A153C">
        <w:rPr>
          <w:rFonts w:asciiTheme="minorHAnsi" w:hAnsiTheme="minorHAnsi" w:cs="Arial"/>
          <w:sz w:val="18"/>
          <w:szCs w:val="18"/>
        </w:rPr>
        <w:t xml:space="preserve"> 2015; 372:2387-2397 June 18, 2015DOI: 10.1056/NEJMoa1410489</w:t>
      </w:r>
    </w:p>
  </w:endnote>
  <w:endnote w:id="64">
    <w:p w:rsidR="00EC0EDC" w:rsidRPr="001A153C" w:rsidRDefault="00EC0EDC" w:rsidP="00136551">
      <w:pPr>
        <w:spacing w:after="120" w:line="240" w:lineRule="auto"/>
        <w:jc w:val="left"/>
        <w:rPr>
          <w:rFonts w:asciiTheme="minorHAnsi" w:hAnsiTheme="minorHAnsi"/>
          <w:sz w:val="18"/>
          <w:szCs w:val="18"/>
        </w:rPr>
      </w:pPr>
      <w:r w:rsidRPr="001A153C">
        <w:rPr>
          <w:rStyle w:val="EndnoteReference"/>
          <w:rFonts w:asciiTheme="minorHAnsi" w:hAnsiTheme="minorHAnsi"/>
          <w:sz w:val="18"/>
          <w:szCs w:val="18"/>
        </w:rPr>
        <w:endnoteRef/>
      </w:r>
      <w:r w:rsidRPr="001A153C">
        <w:rPr>
          <w:rFonts w:asciiTheme="minorHAnsi" w:hAnsiTheme="minorHAnsi"/>
          <w:sz w:val="18"/>
          <w:szCs w:val="18"/>
        </w:rPr>
        <w:t xml:space="preserve"> </w:t>
      </w:r>
      <w:r w:rsidRPr="001A153C">
        <w:rPr>
          <w:rFonts w:asciiTheme="minorHAnsi" w:eastAsia="Calibri" w:hAnsiTheme="minorHAnsi" w:cs="Times New Roman"/>
          <w:sz w:val="18"/>
          <w:szCs w:val="18"/>
        </w:rPr>
        <w:t>Anon, (2016). [online] Available at: CardioBrief: FDA Panel Rejects Broader Ezetimibe Indication | Medpage Today http://www.medpagetoday.com/ClinicalFocus/LDLCholesterol/56328?xid=nl_mpt_ACC_confreporter_20160825&amp; [Accessed 8 Dec. 2016].</w:t>
      </w:r>
    </w:p>
    <w:p w:rsidR="00EC0EDC" w:rsidRDefault="00EC0ED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eBold">
    <w:altName w:val="MuseeBold"/>
    <w:panose1 w:val="00000000000000000000"/>
    <w:charset w:val="00"/>
    <w:family w:val="roman"/>
    <w:notTrueType/>
    <w:pitch w:val="default"/>
    <w:sig w:usb0="00000003" w:usb1="00000000" w:usb2="00000000" w:usb3="00000000" w:csb0="00000001" w:csb1="00000000"/>
  </w:font>
  <w:font w:name="Arial Bold">
    <w:altName w:val="Optima"/>
    <w:panose1 w:val="020B07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FranklinGothicITCbyBT-Book">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869" w:rsidRDefault="00DD78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592815"/>
      <w:docPartObj>
        <w:docPartGallery w:val="Page Numbers (Bottom of Page)"/>
        <w:docPartUnique/>
      </w:docPartObj>
    </w:sdtPr>
    <w:sdtEndPr>
      <w:rPr>
        <w:noProof/>
      </w:rPr>
    </w:sdtEndPr>
    <w:sdtContent>
      <w:p w:rsidR="00EC0EDC" w:rsidRDefault="00EC0EDC">
        <w:pPr>
          <w:pStyle w:val="Footer"/>
          <w:jc w:val="right"/>
        </w:pPr>
        <w:r>
          <w:fldChar w:fldCharType="begin"/>
        </w:r>
        <w:r>
          <w:instrText xml:space="preserve"> PAGE   \* MERGEFORMAT </w:instrText>
        </w:r>
        <w:r>
          <w:fldChar w:fldCharType="separate"/>
        </w:r>
        <w:r w:rsidR="00DD7869">
          <w:rPr>
            <w:noProof/>
          </w:rPr>
          <w:t>1</w:t>
        </w:r>
        <w:r>
          <w:rPr>
            <w:noProof/>
          </w:rPr>
          <w:fldChar w:fldCharType="end"/>
        </w:r>
      </w:p>
    </w:sdtContent>
  </w:sdt>
  <w:p w:rsidR="00EC0EDC" w:rsidRPr="00212FCE" w:rsidRDefault="00EC0EDC">
    <w:pPr>
      <w:pStyle w:val="Footer"/>
      <w:jc w:val="right"/>
      <w:rPr>
        <w:rFonts w:asciiTheme="minorHAnsi" w:hAnsi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DC" w:rsidRDefault="00EC0EDC" w:rsidP="005879E3">
    <w:pPr>
      <w:pStyle w:val="Footer"/>
      <w:jc w:val="center"/>
    </w:pPr>
    <w:r>
      <w:t>Committee-in confidence</w:t>
    </w:r>
  </w:p>
  <w:p w:rsidR="00EC0EDC" w:rsidRDefault="00EC0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EDC" w:rsidRDefault="00EC0EDC" w:rsidP="0000686B">
      <w:pPr>
        <w:spacing w:after="0" w:line="240" w:lineRule="auto"/>
      </w:pPr>
      <w:r>
        <w:separator/>
      </w:r>
    </w:p>
  </w:footnote>
  <w:footnote w:type="continuationSeparator" w:id="0">
    <w:p w:rsidR="00EC0EDC" w:rsidRDefault="00EC0EDC" w:rsidP="00006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DC" w:rsidRDefault="00DD78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379503" o:spid="_x0000_s2050" type="#_x0000_t136" style="position:absolute;left:0;text-align:left;margin-left:0;margin-top:0;width:454.5pt;height:181.8pt;rotation:315;z-index:-251656192;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869" w:rsidRDefault="00DD78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DC" w:rsidRDefault="00DD7869" w:rsidP="005879E3">
    <w:pPr>
      <w:pStyle w:val="Foot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379502" o:spid="_x0000_s2049" type="#_x0000_t136" style="position:absolute;left:0;text-align:left;margin-left:0;margin-top:0;width:454.5pt;height:181.8pt;rotation:315;z-index:-25165824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sidR="00EC0EDC">
      <w:t>Committee-in-confidence</w:t>
    </w:r>
  </w:p>
  <w:p w:rsidR="00EC0EDC" w:rsidRDefault="00EC0EDC">
    <w:pPr>
      <w:pStyle w:val="Header"/>
    </w:pPr>
  </w:p>
  <w:p w:rsidR="00EC0EDC" w:rsidRDefault="00EC0E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26C2FE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110770"/>
    <w:multiLevelType w:val="hybridMultilevel"/>
    <w:tmpl w:val="961C3EFA"/>
    <w:lvl w:ilvl="0" w:tplc="0C090001">
      <w:start w:val="1"/>
      <w:numFmt w:val="bullet"/>
      <w:lvlText w:val=""/>
      <w:lvlJc w:val="left"/>
      <w:pPr>
        <w:ind w:left="696"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
    <w:nsid w:val="047937B0"/>
    <w:multiLevelType w:val="multilevel"/>
    <w:tmpl w:val="9A6ED8B2"/>
    <w:lvl w:ilvl="0">
      <w:start w:val="1"/>
      <w:numFmt w:val="decimal"/>
      <w:pStyle w:val="Tabletitle"/>
      <w:lvlText w:val="Table %1: "/>
      <w:lvlJc w:val="left"/>
      <w:pPr>
        <w:ind w:left="360" w:hanging="360"/>
      </w:pPr>
      <w:rPr>
        <w:rFonts w:asciiTheme="majorHAnsi" w:hAnsiTheme="majorHAnsi" w:hint="default"/>
        <w:b/>
        <w:bCs w:val="0"/>
        <w:i w:val="0"/>
        <w:iCs w:val="0"/>
        <w:caps/>
        <w:smallCaps w:val="0"/>
        <w:strike w:val="0"/>
        <w:dstrike w:val="0"/>
        <w:noProof w:val="0"/>
        <w:vanish w:val="0"/>
        <w:color w:val="auto"/>
        <w:spacing w:val="0"/>
        <w:kern w:val="0"/>
        <w:position w:val="0"/>
        <w:sz w:val="22"/>
        <w:szCs w:val="22"/>
        <w:u w:val="none"/>
        <w:vertAlign w:val="baseline"/>
        <w:em w:val="no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F14360"/>
    <w:multiLevelType w:val="hybridMultilevel"/>
    <w:tmpl w:val="F692C8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
    <w:nsid w:val="08B117CD"/>
    <w:multiLevelType w:val="hybridMultilevel"/>
    <w:tmpl w:val="9F261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681805"/>
    <w:multiLevelType w:val="hybridMultilevel"/>
    <w:tmpl w:val="3BA0F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D4A7448"/>
    <w:multiLevelType w:val="hybridMultilevel"/>
    <w:tmpl w:val="80E07CE2"/>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7">
    <w:nsid w:val="178B59EA"/>
    <w:multiLevelType w:val="hybridMultilevel"/>
    <w:tmpl w:val="7BA6F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501732"/>
    <w:multiLevelType w:val="hybridMultilevel"/>
    <w:tmpl w:val="2F86A33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1EF728F4"/>
    <w:multiLevelType w:val="hybridMultilevel"/>
    <w:tmpl w:val="D09EF892"/>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0">
    <w:nsid w:val="200800FB"/>
    <w:multiLevelType w:val="hybridMultilevel"/>
    <w:tmpl w:val="8536E59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20493750"/>
    <w:multiLevelType w:val="hybridMultilevel"/>
    <w:tmpl w:val="917A5A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1AD1216"/>
    <w:multiLevelType w:val="multilevel"/>
    <w:tmpl w:val="ED9CFAB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9E385C"/>
    <w:multiLevelType w:val="hybridMultilevel"/>
    <w:tmpl w:val="7E4CA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70E00CA"/>
    <w:multiLevelType w:val="multilevel"/>
    <w:tmpl w:val="ED9CFAB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F6734C"/>
    <w:multiLevelType w:val="multilevel"/>
    <w:tmpl w:val="77FC7F8E"/>
    <w:lvl w:ilvl="0">
      <w:start w:val="1"/>
      <w:numFmt w:val="decimal"/>
      <w:lvlText w:val="%1."/>
      <w:lvlJc w:val="left"/>
      <w:pPr>
        <w:tabs>
          <w:tab w:val="num" w:pos="2160"/>
        </w:tabs>
        <w:ind w:left="2160" w:hanging="360"/>
      </w:pPr>
      <w:rPr>
        <w:rFonts w:hint="default"/>
        <w:sz w:val="20"/>
      </w:rPr>
    </w:lvl>
    <w:lvl w:ilvl="1">
      <w:start w:val="1"/>
      <w:numFmt w:val="decimal"/>
      <w:lvlText w:val="(%2)"/>
      <w:lvlJc w:val="left"/>
      <w:pPr>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6">
    <w:nsid w:val="2A6D6158"/>
    <w:multiLevelType w:val="hybridMultilevel"/>
    <w:tmpl w:val="219250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B2730DC"/>
    <w:multiLevelType w:val="hybridMultilevel"/>
    <w:tmpl w:val="3378F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C0E411A"/>
    <w:multiLevelType w:val="hybridMultilevel"/>
    <w:tmpl w:val="AEE61D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2D00AEA"/>
    <w:multiLevelType w:val="hybridMultilevel"/>
    <w:tmpl w:val="B272322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34136B87"/>
    <w:multiLevelType w:val="hybridMultilevel"/>
    <w:tmpl w:val="20DCDCAE"/>
    <w:lvl w:ilvl="0" w:tplc="9D10098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5A23832"/>
    <w:multiLevelType w:val="multilevel"/>
    <w:tmpl w:val="0E94B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F83C5D"/>
    <w:multiLevelType w:val="multilevel"/>
    <w:tmpl w:val="AB54405E"/>
    <w:lvl w:ilvl="0">
      <w:start w:val="1"/>
      <w:numFmt w:val="bullet"/>
      <w:pStyle w:val="ListBullet1"/>
      <w:lvlText w:val=""/>
      <w:lvlJc w:val="left"/>
      <w:pPr>
        <w:ind w:left="360" w:hanging="360"/>
      </w:pPr>
      <w:rPr>
        <w:rFonts w:ascii="Wingdings 3" w:hAnsi="Wingdings 3" w:hint="default"/>
        <w:b/>
        <w:i w:val="0"/>
        <w:color w:val="401E6C"/>
        <w:spacing w:val="0"/>
        <w:w w:val="100"/>
        <w:position w:val="3"/>
        <w:sz w:val="16"/>
      </w:rPr>
    </w:lvl>
    <w:lvl w:ilvl="1">
      <w:start w:val="1"/>
      <w:numFmt w:val="bullet"/>
      <w:lvlText w:val="–"/>
      <w:lvlJc w:val="left"/>
      <w:pPr>
        <w:tabs>
          <w:tab w:val="num" w:pos="714"/>
        </w:tabs>
        <w:ind w:left="714" w:hanging="357"/>
      </w:pPr>
      <w:rPr>
        <w:rFonts w:ascii="Times New Roman" w:hAnsi="Times New Roman" w:cs="Times New Roman" w:hint="default"/>
        <w:b w:val="0"/>
        <w:i w:val="0"/>
        <w:color w:val="00326C"/>
        <w:position w:val="2"/>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F4571AA"/>
    <w:multiLevelType w:val="hybridMultilevel"/>
    <w:tmpl w:val="BC6AA3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F9749D7"/>
    <w:multiLevelType w:val="hybridMultilevel"/>
    <w:tmpl w:val="25963964"/>
    <w:lvl w:ilvl="0" w:tplc="6166084A">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313797A"/>
    <w:multiLevelType w:val="multilevel"/>
    <w:tmpl w:val="ED9CFAB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0F369E"/>
    <w:multiLevelType w:val="hybridMultilevel"/>
    <w:tmpl w:val="35FECC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4FF23C6"/>
    <w:multiLevelType w:val="hybridMultilevel"/>
    <w:tmpl w:val="4DB230CA"/>
    <w:lvl w:ilvl="0" w:tplc="675494AE">
      <w:start w:val="1"/>
      <w:numFmt w:val="bullet"/>
      <w:pStyle w:val="Tablebullet"/>
      <w:lvlText w:val="-"/>
      <w:lvlJc w:val="left"/>
      <w:pPr>
        <w:tabs>
          <w:tab w:val="num" w:pos="0"/>
        </w:tabs>
        <w:ind w:left="85" w:hanging="85"/>
      </w:pPr>
      <w:rPr>
        <w:rFonts w:ascii="Arial Narrow" w:hAnsi="Arial Narro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76E7A23"/>
    <w:multiLevelType w:val="hybridMultilevel"/>
    <w:tmpl w:val="DE54D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BC33E4D"/>
    <w:multiLevelType w:val="hybridMultilevel"/>
    <w:tmpl w:val="46746532"/>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0">
    <w:nsid w:val="4D4522D4"/>
    <w:multiLevelType w:val="hybridMultilevel"/>
    <w:tmpl w:val="B4B865A0"/>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1">
    <w:nsid w:val="4DE87F4C"/>
    <w:multiLevelType w:val="hybridMultilevel"/>
    <w:tmpl w:val="CFEA0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2704E46"/>
    <w:multiLevelType w:val="multilevel"/>
    <w:tmpl w:val="ED9CFAB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BD361C"/>
    <w:multiLevelType w:val="hybridMultilevel"/>
    <w:tmpl w:val="6FD480AA"/>
    <w:lvl w:ilvl="0" w:tplc="0C090003">
      <w:start w:val="1"/>
      <w:numFmt w:val="bullet"/>
      <w:lvlText w:val="o"/>
      <w:lvlJc w:val="left"/>
      <w:pPr>
        <w:ind w:left="854" w:hanging="360"/>
      </w:pPr>
      <w:rPr>
        <w:rFonts w:ascii="Courier New" w:hAnsi="Courier New" w:cs="Courier New" w:hint="default"/>
      </w:rPr>
    </w:lvl>
    <w:lvl w:ilvl="1" w:tplc="0C090003" w:tentative="1">
      <w:start w:val="1"/>
      <w:numFmt w:val="bullet"/>
      <w:lvlText w:val="o"/>
      <w:lvlJc w:val="left"/>
      <w:pPr>
        <w:ind w:left="1574" w:hanging="360"/>
      </w:pPr>
      <w:rPr>
        <w:rFonts w:ascii="Courier New" w:hAnsi="Courier New" w:cs="Courier New" w:hint="default"/>
      </w:rPr>
    </w:lvl>
    <w:lvl w:ilvl="2" w:tplc="0C090005" w:tentative="1">
      <w:start w:val="1"/>
      <w:numFmt w:val="bullet"/>
      <w:lvlText w:val=""/>
      <w:lvlJc w:val="left"/>
      <w:pPr>
        <w:ind w:left="2294" w:hanging="360"/>
      </w:pPr>
      <w:rPr>
        <w:rFonts w:ascii="Wingdings" w:hAnsi="Wingdings" w:hint="default"/>
      </w:rPr>
    </w:lvl>
    <w:lvl w:ilvl="3" w:tplc="0C090001" w:tentative="1">
      <w:start w:val="1"/>
      <w:numFmt w:val="bullet"/>
      <w:lvlText w:val=""/>
      <w:lvlJc w:val="left"/>
      <w:pPr>
        <w:ind w:left="3014" w:hanging="360"/>
      </w:pPr>
      <w:rPr>
        <w:rFonts w:ascii="Symbol" w:hAnsi="Symbol" w:hint="default"/>
      </w:rPr>
    </w:lvl>
    <w:lvl w:ilvl="4" w:tplc="0C090003" w:tentative="1">
      <w:start w:val="1"/>
      <w:numFmt w:val="bullet"/>
      <w:lvlText w:val="o"/>
      <w:lvlJc w:val="left"/>
      <w:pPr>
        <w:ind w:left="3734" w:hanging="360"/>
      </w:pPr>
      <w:rPr>
        <w:rFonts w:ascii="Courier New" w:hAnsi="Courier New" w:cs="Courier New" w:hint="default"/>
      </w:rPr>
    </w:lvl>
    <w:lvl w:ilvl="5" w:tplc="0C090005" w:tentative="1">
      <w:start w:val="1"/>
      <w:numFmt w:val="bullet"/>
      <w:lvlText w:val=""/>
      <w:lvlJc w:val="left"/>
      <w:pPr>
        <w:ind w:left="4454" w:hanging="360"/>
      </w:pPr>
      <w:rPr>
        <w:rFonts w:ascii="Wingdings" w:hAnsi="Wingdings" w:hint="default"/>
      </w:rPr>
    </w:lvl>
    <w:lvl w:ilvl="6" w:tplc="0C090001" w:tentative="1">
      <w:start w:val="1"/>
      <w:numFmt w:val="bullet"/>
      <w:lvlText w:val=""/>
      <w:lvlJc w:val="left"/>
      <w:pPr>
        <w:ind w:left="5174" w:hanging="360"/>
      </w:pPr>
      <w:rPr>
        <w:rFonts w:ascii="Symbol" w:hAnsi="Symbol" w:hint="default"/>
      </w:rPr>
    </w:lvl>
    <w:lvl w:ilvl="7" w:tplc="0C090003" w:tentative="1">
      <w:start w:val="1"/>
      <w:numFmt w:val="bullet"/>
      <w:lvlText w:val="o"/>
      <w:lvlJc w:val="left"/>
      <w:pPr>
        <w:ind w:left="5894" w:hanging="360"/>
      </w:pPr>
      <w:rPr>
        <w:rFonts w:ascii="Courier New" w:hAnsi="Courier New" w:cs="Courier New" w:hint="default"/>
      </w:rPr>
    </w:lvl>
    <w:lvl w:ilvl="8" w:tplc="0C090005" w:tentative="1">
      <w:start w:val="1"/>
      <w:numFmt w:val="bullet"/>
      <w:lvlText w:val=""/>
      <w:lvlJc w:val="left"/>
      <w:pPr>
        <w:ind w:left="6614" w:hanging="360"/>
      </w:pPr>
      <w:rPr>
        <w:rFonts w:ascii="Wingdings" w:hAnsi="Wingdings" w:hint="default"/>
      </w:rPr>
    </w:lvl>
  </w:abstractNum>
  <w:abstractNum w:abstractNumId="34">
    <w:nsid w:val="55903D11"/>
    <w:multiLevelType w:val="hybridMultilevel"/>
    <w:tmpl w:val="D1F8A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8FB5FC6"/>
    <w:multiLevelType w:val="hybridMultilevel"/>
    <w:tmpl w:val="31F4CC4E"/>
    <w:lvl w:ilvl="0" w:tplc="CBE46064">
      <w:start w:val="7"/>
      <w:numFmt w:val="decimal"/>
      <w:lvlText w:val="%1."/>
      <w:lvlJc w:val="left"/>
      <w:pPr>
        <w:ind w:left="720" w:hanging="360"/>
      </w:pPr>
      <w:rPr>
        <w:rFonts w:hint="default"/>
        <w:b w:val="0"/>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AAF4707"/>
    <w:multiLevelType w:val="hybridMultilevel"/>
    <w:tmpl w:val="5212E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B592E9C"/>
    <w:multiLevelType w:val="hybridMultilevel"/>
    <w:tmpl w:val="C4F22064"/>
    <w:lvl w:ilvl="0" w:tplc="A91287B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5C6425FD"/>
    <w:multiLevelType w:val="hybridMultilevel"/>
    <w:tmpl w:val="44303CD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5CE33677"/>
    <w:multiLevelType w:val="hybridMultilevel"/>
    <w:tmpl w:val="201E9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E040681"/>
    <w:multiLevelType w:val="hybridMultilevel"/>
    <w:tmpl w:val="E9424174"/>
    <w:lvl w:ilvl="0" w:tplc="81681B2E">
      <w:start w:val="1"/>
      <w:numFmt w:val="bullet"/>
      <w:pStyle w:val="ListBullet"/>
      <w:lvlText w:val="●"/>
      <w:lvlJc w:val="left"/>
      <w:pPr>
        <w:tabs>
          <w:tab w:val="num" w:pos="850"/>
        </w:tabs>
        <w:ind w:left="850" w:hanging="425"/>
      </w:pPr>
      <w:rPr>
        <w:rFonts w:ascii="Arial" w:hAnsi="Arial" w:hint="default"/>
        <w:color w:val="auto"/>
        <w:position w:val="0"/>
        <w:sz w:val="18"/>
        <w:szCs w:val="18"/>
      </w:rPr>
    </w:lvl>
    <w:lvl w:ilvl="1" w:tplc="0C090019">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41">
    <w:nsid w:val="60F30F5F"/>
    <w:multiLevelType w:val="hybridMultilevel"/>
    <w:tmpl w:val="DFBE15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2C44EA1"/>
    <w:multiLevelType w:val="hybridMultilevel"/>
    <w:tmpl w:val="6F44234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nsid w:val="6B530E20"/>
    <w:multiLevelType w:val="hybridMultilevel"/>
    <w:tmpl w:val="37340D38"/>
    <w:lvl w:ilvl="0" w:tplc="0C090003">
      <w:start w:val="1"/>
      <w:numFmt w:val="bullet"/>
      <w:lvlText w:val="o"/>
      <w:lvlJc w:val="left"/>
      <w:pPr>
        <w:ind w:left="360" w:hanging="360"/>
      </w:pPr>
      <w:rPr>
        <w:rFonts w:ascii="Courier New" w:hAnsi="Courier New" w:cs="Courier New"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nsid w:val="6BC7767D"/>
    <w:multiLevelType w:val="multilevel"/>
    <w:tmpl w:val="ED9CFAB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CE267C1"/>
    <w:multiLevelType w:val="multilevel"/>
    <w:tmpl w:val="ED9CFAB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1080CA3"/>
    <w:multiLevelType w:val="multilevel"/>
    <w:tmpl w:val="0B9E0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31B27C5"/>
    <w:multiLevelType w:val="hybridMultilevel"/>
    <w:tmpl w:val="04FCA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4676C47"/>
    <w:multiLevelType w:val="hybridMultilevel"/>
    <w:tmpl w:val="3DCC4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561583F"/>
    <w:multiLevelType w:val="hybridMultilevel"/>
    <w:tmpl w:val="8140F8E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60A39FE"/>
    <w:multiLevelType w:val="hybridMultilevel"/>
    <w:tmpl w:val="FB268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8034EB1"/>
    <w:multiLevelType w:val="hybridMultilevel"/>
    <w:tmpl w:val="59383ECA"/>
    <w:lvl w:ilvl="0" w:tplc="56789F12">
      <w:start w:val="1"/>
      <w:numFmt w:val="bullet"/>
      <w:lvlText w:val=""/>
      <w:lvlJc w:val="left"/>
      <w:pPr>
        <w:ind w:left="460" w:hanging="360"/>
      </w:pPr>
      <w:rPr>
        <w:rFonts w:ascii="Symbol" w:eastAsia="Symbol" w:hAnsi="Symbol" w:hint="default"/>
        <w:color w:val="212121"/>
        <w:sz w:val="22"/>
        <w:szCs w:val="22"/>
      </w:rPr>
    </w:lvl>
    <w:lvl w:ilvl="1" w:tplc="18944A06">
      <w:start w:val="1"/>
      <w:numFmt w:val="bullet"/>
      <w:lvlText w:val=""/>
      <w:lvlJc w:val="left"/>
      <w:pPr>
        <w:ind w:left="820" w:hanging="360"/>
      </w:pPr>
      <w:rPr>
        <w:rFonts w:ascii="Symbol" w:eastAsia="Symbol" w:hAnsi="Symbol" w:hint="default"/>
        <w:color w:val="212121"/>
        <w:sz w:val="22"/>
        <w:szCs w:val="22"/>
      </w:rPr>
    </w:lvl>
    <w:lvl w:ilvl="2" w:tplc="14FA1AE2">
      <w:start w:val="1"/>
      <w:numFmt w:val="bullet"/>
      <w:lvlText w:val="•"/>
      <w:lvlJc w:val="left"/>
      <w:pPr>
        <w:ind w:left="820" w:hanging="360"/>
      </w:pPr>
      <w:rPr>
        <w:rFonts w:hint="default"/>
      </w:rPr>
    </w:lvl>
    <w:lvl w:ilvl="3" w:tplc="A51470F6">
      <w:start w:val="1"/>
      <w:numFmt w:val="bullet"/>
      <w:lvlText w:val="•"/>
      <w:lvlJc w:val="left"/>
      <w:pPr>
        <w:ind w:left="1873" w:hanging="360"/>
      </w:pPr>
      <w:rPr>
        <w:rFonts w:hint="default"/>
      </w:rPr>
    </w:lvl>
    <w:lvl w:ilvl="4" w:tplc="274CF98C">
      <w:start w:val="1"/>
      <w:numFmt w:val="bullet"/>
      <w:lvlText w:val="•"/>
      <w:lvlJc w:val="left"/>
      <w:pPr>
        <w:ind w:left="2926" w:hanging="360"/>
      </w:pPr>
      <w:rPr>
        <w:rFonts w:hint="default"/>
      </w:rPr>
    </w:lvl>
    <w:lvl w:ilvl="5" w:tplc="3830D5F0">
      <w:start w:val="1"/>
      <w:numFmt w:val="bullet"/>
      <w:lvlText w:val="•"/>
      <w:lvlJc w:val="left"/>
      <w:pPr>
        <w:ind w:left="3980" w:hanging="360"/>
      </w:pPr>
      <w:rPr>
        <w:rFonts w:hint="default"/>
      </w:rPr>
    </w:lvl>
    <w:lvl w:ilvl="6" w:tplc="0D3E792C">
      <w:start w:val="1"/>
      <w:numFmt w:val="bullet"/>
      <w:lvlText w:val="•"/>
      <w:lvlJc w:val="left"/>
      <w:pPr>
        <w:ind w:left="5033" w:hanging="360"/>
      </w:pPr>
      <w:rPr>
        <w:rFonts w:hint="default"/>
      </w:rPr>
    </w:lvl>
    <w:lvl w:ilvl="7" w:tplc="06FA1B56">
      <w:start w:val="1"/>
      <w:numFmt w:val="bullet"/>
      <w:lvlText w:val="•"/>
      <w:lvlJc w:val="left"/>
      <w:pPr>
        <w:ind w:left="6086" w:hanging="360"/>
      </w:pPr>
      <w:rPr>
        <w:rFonts w:hint="default"/>
      </w:rPr>
    </w:lvl>
    <w:lvl w:ilvl="8" w:tplc="2C94AC4E">
      <w:start w:val="1"/>
      <w:numFmt w:val="bullet"/>
      <w:lvlText w:val="•"/>
      <w:lvlJc w:val="left"/>
      <w:pPr>
        <w:ind w:left="7139" w:hanging="360"/>
      </w:pPr>
      <w:rPr>
        <w:rFonts w:hint="default"/>
      </w:rPr>
    </w:lvl>
  </w:abstractNum>
  <w:abstractNum w:abstractNumId="52">
    <w:nsid w:val="783E2509"/>
    <w:multiLevelType w:val="hybridMultilevel"/>
    <w:tmpl w:val="F76225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3">
    <w:nsid w:val="7C6F107E"/>
    <w:multiLevelType w:val="hybridMultilevel"/>
    <w:tmpl w:val="E1B214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nsid w:val="7CC5703F"/>
    <w:multiLevelType w:val="hybridMultilevel"/>
    <w:tmpl w:val="42CA8C9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22"/>
  </w:num>
  <w:num w:numId="2">
    <w:abstractNumId w:val="34"/>
  </w:num>
  <w:num w:numId="3">
    <w:abstractNumId w:val="2"/>
  </w:num>
  <w:num w:numId="4">
    <w:abstractNumId w:val="27"/>
  </w:num>
  <w:num w:numId="5">
    <w:abstractNumId w:val="5"/>
  </w:num>
  <w:num w:numId="6">
    <w:abstractNumId w:val="16"/>
  </w:num>
  <w:num w:numId="7">
    <w:abstractNumId w:val="7"/>
  </w:num>
  <w:num w:numId="8">
    <w:abstractNumId w:val="48"/>
  </w:num>
  <w:num w:numId="9">
    <w:abstractNumId w:val="46"/>
  </w:num>
  <w:num w:numId="10">
    <w:abstractNumId w:val="17"/>
  </w:num>
  <w:num w:numId="11">
    <w:abstractNumId w:val="28"/>
  </w:num>
  <w:num w:numId="12">
    <w:abstractNumId w:val="26"/>
  </w:num>
  <w:num w:numId="13">
    <w:abstractNumId w:val="43"/>
  </w:num>
  <w:num w:numId="14">
    <w:abstractNumId w:val="40"/>
  </w:num>
  <w:num w:numId="15">
    <w:abstractNumId w:val="18"/>
  </w:num>
  <w:num w:numId="16">
    <w:abstractNumId w:val="51"/>
  </w:num>
  <w:num w:numId="17">
    <w:abstractNumId w:val="41"/>
  </w:num>
  <w:num w:numId="18">
    <w:abstractNumId w:val="6"/>
  </w:num>
  <w:num w:numId="19">
    <w:abstractNumId w:val="31"/>
  </w:num>
  <w:num w:numId="20">
    <w:abstractNumId w:val="37"/>
  </w:num>
  <w:num w:numId="21">
    <w:abstractNumId w:val="13"/>
  </w:num>
  <w:num w:numId="22">
    <w:abstractNumId w:val="0"/>
  </w:num>
  <w:num w:numId="23">
    <w:abstractNumId w:val="50"/>
  </w:num>
  <w:num w:numId="24">
    <w:abstractNumId w:val="39"/>
  </w:num>
  <w:num w:numId="25">
    <w:abstractNumId w:val="4"/>
  </w:num>
  <w:num w:numId="26">
    <w:abstractNumId w:val="20"/>
  </w:num>
  <w:num w:numId="27">
    <w:abstractNumId w:val="23"/>
  </w:num>
  <w:num w:numId="28">
    <w:abstractNumId w:val="15"/>
  </w:num>
  <w:num w:numId="29">
    <w:abstractNumId w:val="30"/>
  </w:num>
  <w:num w:numId="30">
    <w:abstractNumId w:val="44"/>
  </w:num>
  <w:num w:numId="31">
    <w:abstractNumId w:val="29"/>
  </w:num>
  <w:num w:numId="32">
    <w:abstractNumId w:val="52"/>
  </w:num>
  <w:num w:numId="33">
    <w:abstractNumId w:val="25"/>
  </w:num>
  <w:num w:numId="34">
    <w:abstractNumId w:val="21"/>
  </w:num>
  <w:num w:numId="35">
    <w:abstractNumId w:val="24"/>
  </w:num>
  <w:num w:numId="36">
    <w:abstractNumId w:val="1"/>
  </w:num>
  <w:num w:numId="37">
    <w:abstractNumId w:val="11"/>
  </w:num>
  <w:num w:numId="38">
    <w:abstractNumId w:val="49"/>
  </w:num>
  <w:num w:numId="39">
    <w:abstractNumId w:val="8"/>
  </w:num>
  <w:num w:numId="40">
    <w:abstractNumId w:val="35"/>
  </w:num>
  <w:num w:numId="41">
    <w:abstractNumId w:val="53"/>
  </w:num>
  <w:num w:numId="42">
    <w:abstractNumId w:val="54"/>
  </w:num>
  <w:num w:numId="43">
    <w:abstractNumId w:val="42"/>
  </w:num>
  <w:num w:numId="44">
    <w:abstractNumId w:val="38"/>
  </w:num>
  <w:num w:numId="45">
    <w:abstractNumId w:val="19"/>
  </w:num>
  <w:num w:numId="46">
    <w:abstractNumId w:val="10"/>
  </w:num>
  <w:num w:numId="47">
    <w:abstractNumId w:val="47"/>
  </w:num>
  <w:num w:numId="48">
    <w:abstractNumId w:val="18"/>
  </w:num>
  <w:num w:numId="49">
    <w:abstractNumId w:val="3"/>
  </w:num>
  <w:num w:numId="50">
    <w:abstractNumId w:val="47"/>
  </w:num>
  <w:num w:numId="51">
    <w:abstractNumId w:val="30"/>
  </w:num>
  <w:num w:numId="52">
    <w:abstractNumId w:val="32"/>
  </w:num>
  <w:num w:numId="53">
    <w:abstractNumId w:val="14"/>
  </w:num>
  <w:num w:numId="54">
    <w:abstractNumId w:val="12"/>
  </w:num>
  <w:num w:numId="55">
    <w:abstractNumId w:val="9"/>
  </w:num>
  <w:num w:numId="56">
    <w:abstractNumId w:val="36"/>
  </w:num>
  <w:num w:numId="57">
    <w:abstractNumId w:val="33"/>
  </w:num>
  <w:num w:numId="58">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FE3"/>
    <w:rsid w:val="00003743"/>
    <w:rsid w:val="0000686B"/>
    <w:rsid w:val="00012D86"/>
    <w:rsid w:val="00020350"/>
    <w:rsid w:val="000421F4"/>
    <w:rsid w:val="0004772E"/>
    <w:rsid w:val="000626EA"/>
    <w:rsid w:val="00066C98"/>
    <w:rsid w:val="00067456"/>
    <w:rsid w:val="00074D93"/>
    <w:rsid w:val="0007734B"/>
    <w:rsid w:val="0008182B"/>
    <w:rsid w:val="0008637B"/>
    <w:rsid w:val="0009258B"/>
    <w:rsid w:val="00095BB9"/>
    <w:rsid w:val="000A555E"/>
    <w:rsid w:val="000A7890"/>
    <w:rsid w:val="000B04D0"/>
    <w:rsid w:val="000B19CC"/>
    <w:rsid w:val="000B1F8F"/>
    <w:rsid w:val="000D24F1"/>
    <w:rsid w:val="000D7BE3"/>
    <w:rsid w:val="000E0C66"/>
    <w:rsid w:val="000F2E7B"/>
    <w:rsid w:val="00104FD5"/>
    <w:rsid w:val="00105467"/>
    <w:rsid w:val="00106006"/>
    <w:rsid w:val="0011209E"/>
    <w:rsid w:val="0011354D"/>
    <w:rsid w:val="001142C3"/>
    <w:rsid w:val="00120814"/>
    <w:rsid w:val="00130DC0"/>
    <w:rsid w:val="001314F6"/>
    <w:rsid w:val="00136551"/>
    <w:rsid w:val="00136A5C"/>
    <w:rsid w:val="00145EAB"/>
    <w:rsid w:val="00150546"/>
    <w:rsid w:val="00150B45"/>
    <w:rsid w:val="00151BC5"/>
    <w:rsid w:val="001531A1"/>
    <w:rsid w:val="00153C67"/>
    <w:rsid w:val="00161D12"/>
    <w:rsid w:val="001624DB"/>
    <w:rsid w:val="00174DDF"/>
    <w:rsid w:val="001751C4"/>
    <w:rsid w:val="00177CC3"/>
    <w:rsid w:val="00182F7A"/>
    <w:rsid w:val="00185C5A"/>
    <w:rsid w:val="00187016"/>
    <w:rsid w:val="00187B73"/>
    <w:rsid w:val="001955A7"/>
    <w:rsid w:val="001A153C"/>
    <w:rsid w:val="001A5A52"/>
    <w:rsid w:val="001A5A6B"/>
    <w:rsid w:val="001A6A79"/>
    <w:rsid w:val="001B3443"/>
    <w:rsid w:val="001D783E"/>
    <w:rsid w:val="001F4238"/>
    <w:rsid w:val="001F7560"/>
    <w:rsid w:val="00203087"/>
    <w:rsid w:val="00204BF1"/>
    <w:rsid w:val="002054EB"/>
    <w:rsid w:val="00205FE2"/>
    <w:rsid w:val="00206511"/>
    <w:rsid w:val="00207EF4"/>
    <w:rsid w:val="0021180D"/>
    <w:rsid w:val="002126CF"/>
    <w:rsid w:val="00216B38"/>
    <w:rsid w:val="00221CE2"/>
    <w:rsid w:val="00221FBE"/>
    <w:rsid w:val="00226DBF"/>
    <w:rsid w:val="00231714"/>
    <w:rsid w:val="00236878"/>
    <w:rsid w:val="0023772D"/>
    <w:rsid w:val="002423A4"/>
    <w:rsid w:val="00242A6A"/>
    <w:rsid w:val="00244A73"/>
    <w:rsid w:val="002458A0"/>
    <w:rsid w:val="00254A75"/>
    <w:rsid w:val="00256622"/>
    <w:rsid w:val="00257E45"/>
    <w:rsid w:val="002609E5"/>
    <w:rsid w:val="0026551F"/>
    <w:rsid w:val="002713D8"/>
    <w:rsid w:val="002752A9"/>
    <w:rsid w:val="002777EF"/>
    <w:rsid w:val="00280938"/>
    <w:rsid w:val="002933D1"/>
    <w:rsid w:val="00294E37"/>
    <w:rsid w:val="00297E12"/>
    <w:rsid w:val="002A31E8"/>
    <w:rsid w:val="002A465C"/>
    <w:rsid w:val="002B08BB"/>
    <w:rsid w:val="002B63EB"/>
    <w:rsid w:val="002C1379"/>
    <w:rsid w:val="002C4ABC"/>
    <w:rsid w:val="002D2F13"/>
    <w:rsid w:val="002D2FC2"/>
    <w:rsid w:val="002E1AAB"/>
    <w:rsid w:val="002F3684"/>
    <w:rsid w:val="002F3AE3"/>
    <w:rsid w:val="003062CF"/>
    <w:rsid w:val="0030786C"/>
    <w:rsid w:val="00321FDE"/>
    <w:rsid w:val="00325C05"/>
    <w:rsid w:val="0032693A"/>
    <w:rsid w:val="00327A95"/>
    <w:rsid w:val="003306B9"/>
    <w:rsid w:val="00334176"/>
    <w:rsid w:val="00343939"/>
    <w:rsid w:val="00364FE8"/>
    <w:rsid w:val="00367449"/>
    <w:rsid w:val="00367920"/>
    <w:rsid w:val="003736D0"/>
    <w:rsid w:val="00374DC9"/>
    <w:rsid w:val="00375000"/>
    <w:rsid w:val="00376BB8"/>
    <w:rsid w:val="003848A8"/>
    <w:rsid w:val="00386D8A"/>
    <w:rsid w:val="00391A90"/>
    <w:rsid w:val="0039377A"/>
    <w:rsid w:val="00394829"/>
    <w:rsid w:val="0039666F"/>
    <w:rsid w:val="00397214"/>
    <w:rsid w:val="003A34FE"/>
    <w:rsid w:val="003A476E"/>
    <w:rsid w:val="003C07A2"/>
    <w:rsid w:val="003C1695"/>
    <w:rsid w:val="003C1B35"/>
    <w:rsid w:val="003C3BBA"/>
    <w:rsid w:val="003D0CB2"/>
    <w:rsid w:val="003D17F9"/>
    <w:rsid w:val="003D75A3"/>
    <w:rsid w:val="003E4BC0"/>
    <w:rsid w:val="003E69FB"/>
    <w:rsid w:val="003F0D2A"/>
    <w:rsid w:val="003F37E9"/>
    <w:rsid w:val="003F547B"/>
    <w:rsid w:val="003F6888"/>
    <w:rsid w:val="00402432"/>
    <w:rsid w:val="00404D9D"/>
    <w:rsid w:val="004243DD"/>
    <w:rsid w:val="00424CB2"/>
    <w:rsid w:val="00441776"/>
    <w:rsid w:val="004462DB"/>
    <w:rsid w:val="004507FB"/>
    <w:rsid w:val="004529EF"/>
    <w:rsid w:val="00454D74"/>
    <w:rsid w:val="004576DF"/>
    <w:rsid w:val="0047174E"/>
    <w:rsid w:val="00473BC1"/>
    <w:rsid w:val="0048328A"/>
    <w:rsid w:val="00484A70"/>
    <w:rsid w:val="00484B00"/>
    <w:rsid w:val="004867E2"/>
    <w:rsid w:val="0048730F"/>
    <w:rsid w:val="004966D2"/>
    <w:rsid w:val="00497F14"/>
    <w:rsid w:val="004A06F1"/>
    <w:rsid w:val="004A0A6D"/>
    <w:rsid w:val="004A5D64"/>
    <w:rsid w:val="004B0E0B"/>
    <w:rsid w:val="004B1768"/>
    <w:rsid w:val="004C1339"/>
    <w:rsid w:val="004C6F07"/>
    <w:rsid w:val="004F22C1"/>
    <w:rsid w:val="004F7994"/>
    <w:rsid w:val="0050266F"/>
    <w:rsid w:val="00503D84"/>
    <w:rsid w:val="00514129"/>
    <w:rsid w:val="005224AC"/>
    <w:rsid w:val="00531A7F"/>
    <w:rsid w:val="0054261B"/>
    <w:rsid w:val="00543BF8"/>
    <w:rsid w:val="0055761C"/>
    <w:rsid w:val="0056425D"/>
    <w:rsid w:val="00572D82"/>
    <w:rsid w:val="00573A8A"/>
    <w:rsid w:val="00577BB3"/>
    <w:rsid w:val="00580B8A"/>
    <w:rsid w:val="00580F9E"/>
    <w:rsid w:val="005879E3"/>
    <w:rsid w:val="005936F5"/>
    <w:rsid w:val="005A0CF1"/>
    <w:rsid w:val="005A2287"/>
    <w:rsid w:val="005A3367"/>
    <w:rsid w:val="005A433B"/>
    <w:rsid w:val="005A4664"/>
    <w:rsid w:val="005B045E"/>
    <w:rsid w:val="005C0F9B"/>
    <w:rsid w:val="005C37C5"/>
    <w:rsid w:val="005D2E19"/>
    <w:rsid w:val="005E5A9F"/>
    <w:rsid w:val="005F46CF"/>
    <w:rsid w:val="005F5F53"/>
    <w:rsid w:val="005F7E9E"/>
    <w:rsid w:val="00604DFE"/>
    <w:rsid w:val="006053E7"/>
    <w:rsid w:val="006053FB"/>
    <w:rsid w:val="006111BC"/>
    <w:rsid w:val="00611E01"/>
    <w:rsid w:val="006348E3"/>
    <w:rsid w:val="0063535D"/>
    <w:rsid w:val="00644A63"/>
    <w:rsid w:val="00644D15"/>
    <w:rsid w:val="00653C39"/>
    <w:rsid w:val="0066585B"/>
    <w:rsid w:val="00666694"/>
    <w:rsid w:val="00666E3B"/>
    <w:rsid w:val="0067506D"/>
    <w:rsid w:val="00680184"/>
    <w:rsid w:val="006879F5"/>
    <w:rsid w:val="00692E6E"/>
    <w:rsid w:val="006A1EC2"/>
    <w:rsid w:val="006B0899"/>
    <w:rsid w:val="006C0A64"/>
    <w:rsid w:val="006C63C6"/>
    <w:rsid w:val="006C6A60"/>
    <w:rsid w:val="006D66FF"/>
    <w:rsid w:val="006E5923"/>
    <w:rsid w:val="006F249B"/>
    <w:rsid w:val="00714A18"/>
    <w:rsid w:val="007173D3"/>
    <w:rsid w:val="00736E4A"/>
    <w:rsid w:val="007421A3"/>
    <w:rsid w:val="00750E7F"/>
    <w:rsid w:val="00752C36"/>
    <w:rsid w:val="00756992"/>
    <w:rsid w:val="0076247E"/>
    <w:rsid w:val="0076278B"/>
    <w:rsid w:val="00762B05"/>
    <w:rsid w:val="00766A52"/>
    <w:rsid w:val="007701B6"/>
    <w:rsid w:val="007714D8"/>
    <w:rsid w:val="00772350"/>
    <w:rsid w:val="00772922"/>
    <w:rsid w:val="00773EEE"/>
    <w:rsid w:val="00786D3C"/>
    <w:rsid w:val="00791419"/>
    <w:rsid w:val="007A615D"/>
    <w:rsid w:val="007A66AD"/>
    <w:rsid w:val="007A71BA"/>
    <w:rsid w:val="007B1F52"/>
    <w:rsid w:val="007B51E7"/>
    <w:rsid w:val="007B5BD7"/>
    <w:rsid w:val="007C1B6A"/>
    <w:rsid w:val="007C496D"/>
    <w:rsid w:val="007C6BF9"/>
    <w:rsid w:val="007D17F0"/>
    <w:rsid w:val="007D70DD"/>
    <w:rsid w:val="007E703C"/>
    <w:rsid w:val="008205A3"/>
    <w:rsid w:val="0082069A"/>
    <w:rsid w:val="00821A23"/>
    <w:rsid w:val="00824927"/>
    <w:rsid w:val="008264EB"/>
    <w:rsid w:val="00847F05"/>
    <w:rsid w:val="00847F3C"/>
    <w:rsid w:val="00866F52"/>
    <w:rsid w:val="008810FB"/>
    <w:rsid w:val="00883C44"/>
    <w:rsid w:val="00885B50"/>
    <w:rsid w:val="008864E8"/>
    <w:rsid w:val="00896DF8"/>
    <w:rsid w:val="008973C1"/>
    <w:rsid w:val="008A3526"/>
    <w:rsid w:val="008A37F9"/>
    <w:rsid w:val="008A4091"/>
    <w:rsid w:val="008B2795"/>
    <w:rsid w:val="008B5A8D"/>
    <w:rsid w:val="008B5CE2"/>
    <w:rsid w:val="008B6065"/>
    <w:rsid w:val="008B6729"/>
    <w:rsid w:val="008B74D7"/>
    <w:rsid w:val="008B78A5"/>
    <w:rsid w:val="008D2EC8"/>
    <w:rsid w:val="008E57F6"/>
    <w:rsid w:val="008F32A5"/>
    <w:rsid w:val="00920324"/>
    <w:rsid w:val="00930248"/>
    <w:rsid w:val="009303C6"/>
    <w:rsid w:val="00930FAB"/>
    <w:rsid w:val="009405EA"/>
    <w:rsid w:val="00943EFE"/>
    <w:rsid w:val="00947AFC"/>
    <w:rsid w:val="00952835"/>
    <w:rsid w:val="009623C7"/>
    <w:rsid w:val="00962AA5"/>
    <w:rsid w:val="0097121A"/>
    <w:rsid w:val="00981892"/>
    <w:rsid w:val="0099788F"/>
    <w:rsid w:val="009A05CB"/>
    <w:rsid w:val="009A136F"/>
    <w:rsid w:val="009A2D33"/>
    <w:rsid w:val="009C009E"/>
    <w:rsid w:val="009C01A7"/>
    <w:rsid w:val="009C07F7"/>
    <w:rsid w:val="009D0B06"/>
    <w:rsid w:val="009E6D17"/>
    <w:rsid w:val="009F448D"/>
    <w:rsid w:val="009F67BC"/>
    <w:rsid w:val="009F7197"/>
    <w:rsid w:val="00A058EC"/>
    <w:rsid w:val="00A07A60"/>
    <w:rsid w:val="00A11DDF"/>
    <w:rsid w:val="00A12D8B"/>
    <w:rsid w:val="00A12F22"/>
    <w:rsid w:val="00A2217A"/>
    <w:rsid w:val="00A24486"/>
    <w:rsid w:val="00A2779C"/>
    <w:rsid w:val="00A32442"/>
    <w:rsid w:val="00A40A17"/>
    <w:rsid w:val="00A4214C"/>
    <w:rsid w:val="00A4512D"/>
    <w:rsid w:val="00A47BE4"/>
    <w:rsid w:val="00A50B6D"/>
    <w:rsid w:val="00A62445"/>
    <w:rsid w:val="00A6498F"/>
    <w:rsid w:val="00A65030"/>
    <w:rsid w:val="00A66EDA"/>
    <w:rsid w:val="00A705AF"/>
    <w:rsid w:val="00A83336"/>
    <w:rsid w:val="00AA0237"/>
    <w:rsid w:val="00AA0ED0"/>
    <w:rsid w:val="00AA217D"/>
    <w:rsid w:val="00AA3B4D"/>
    <w:rsid w:val="00AA583A"/>
    <w:rsid w:val="00AB3222"/>
    <w:rsid w:val="00AC3FB3"/>
    <w:rsid w:val="00AC750A"/>
    <w:rsid w:val="00AD0496"/>
    <w:rsid w:val="00AD1BBB"/>
    <w:rsid w:val="00AD3B30"/>
    <w:rsid w:val="00AD57AB"/>
    <w:rsid w:val="00AE37D1"/>
    <w:rsid w:val="00AE4582"/>
    <w:rsid w:val="00B01B7E"/>
    <w:rsid w:val="00B05EBA"/>
    <w:rsid w:val="00B06988"/>
    <w:rsid w:val="00B06A19"/>
    <w:rsid w:val="00B07002"/>
    <w:rsid w:val="00B25C1F"/>
    <w:rsid w:val="00B42851"/>
    <w:rsid w:val="00B53CE3"/>
    <w:rsid w:val="00B53D1B"/>
    <w:rsid w:val="00B577F2"/>
    <w:rsid w:val="00B61B31"/>
    <w:rsid w:val="00B74D35"/>
    <w:rsid w:val="00B810F8"/>
    <w:rsid w:val="00B87EE6"/>
    <w:rsid w:val="00B90C8C"/>
    <w:rsid w:val="00B92198"/>
    <w:rsid w:val="00B94AAC"/>
    <w:rsid w:val="00B95F48"/>
    <w:rsid w:val="00BA106C"/>
    <w:rsid w:val="00BB6544"/>
    <w:rsid w:val="00BC068B"/>
    <w:rsid w:val="00BC24F7"/>
    <w:rsid w:val="00BE4210"/>
    <w:rsid w:val="00BF3D12"/>
    <w:rsid w:val="00C015E6"/>
    <w:rsid w:val="00C01A97"/>
    <w:rsid w:val="00C027A2"/>
    <w:rsid w:val="00C05E80"/>
    <w:rsid w:val="00C1047B"/>
    <w:rsid w:val="00C12DA5"/>
    <w:rsid w:val="00C138A6"/>
    <w:rsid w:val="00C17B2A"/>
    <w:rsid w:val="00C17F30"/>
    <w:rsid w:val="00C25005"/>
    <w:rsid w:val="00C41B1C"/>
    <w:rsid w:val="00C454CC"/>
    <w:rsid w:val="00C45AF0"/>
    <w:rsid w:val="00C47E1F"/>
    <w:rsid w:val="00C53A52"/>
    <w:rsid w:val="00C77B52"/>
    <w:rsid w:val="00C92E45"/>
    <w:rsid w:val="00C930D4"/>
    <w:rsid w:val="00C94907"/>
    <w:rsid w:val="00CA28A3"/>
    <w:rsid w:val="00CB45BB"/>
    <w:rsid w:val="00CB5B1A"/>
    <w:rsid w:val="00CC0C57"/>
    <w:rsid w:val="00CC14E7"/>
    <w:rsid w:val="00CC7811"/>
    <w:rsid w:val="00CD260F"/>
    <w:rsid w:val="00CD63AA"/>
    <w:rsid w:val="00CE1B26"/>
    <w:rsid w:val="00CE4284"/>
    <w:rsid w:val="00CF5BDB"/>
    <w:rsid w:val="00D047E2"/>
    <w:rsid w:val="00D056A4"/>
    <w:rsid w:val="00D06167"/>
    <w:rsid w:val="00D07235"/>
    <w:rsid w:val="00D07C0E"/>
    <w:rsid w:val="00D11D83"/>
    <w:rsid w:val="00D15002"/>
    <w:rsid w:val="00D179A9"/>
    <w:rsid w:val="00D2265E"/>
    <w:rsid w:val="00D26A6C"/>
    <w:rsid w:val="00D4030E"/>
    <w:rsid w:val="00D443D1"/>
    <w:rsid w:val="00D47BD8"/>
    <w:rsid w:val="00D52431"/>
    <w:rsid w:val="00D533CF"/>
    <w:rsid w:val="00D562EB"/>
    <w:rsid w:val="00D600E9"/>
    <w:rsid w:val="00D71F09"/>
    <w:rsid w:val="00D8141C"/>
    <w:rsid w:val="00D81596"/>
    <w:rsid w:val="00D81E3B"/>
    <w:rsid w:val="00D81EE3"/>
    <w:rsid w:val="00D8435F"/>
    <w:rsid w:val="00DA0FE3"/>
    <w:rsid w:val="00DA269F"/>
    <w:rsid w:val="00DA63B6"/>
    <w:rsid w:val="00DA79B6"/>
    <w:rsid w:val="00DA7A17"/>
    <w:rsid w:val="00DC6A3B"/>
    <w:rsid w:val="00DD7869"/>
    <w:rsid w:val="00DD7B96"/>
    <w:rsid w:val="00DF1E82"/>
    <w:rsid w:val="00DF509D"/>
    <w:rsid w:val="00DF57CD"/>
    <w:rsid w:val="00DF6401"/>
    <w:rsid w:val="00E12CD4"/>
    <w:rsid w:val="00E1330E"/>
    <w:rsid w:val="00E136C0"/>
    <w:rsid w:val="00E1567A"/>
    <w:rsid w:val="00E15E0E"/>
    <w:rsid w:val="00E22EB3"/>
    <w:rsid w:val="00E24EAA"/>
    <w:rsid w:val="00E25060"/>
    <w:rsid w:val="00E27E2F"/>
    <w:rsid w:val="00E33C85"/>
    <w:rsid w:val="00E51338"/>
    <w:rsid w:val="00E51E93"/>
    <w:rsid w:val="00E61E3D"/>
    <w:rsid w:val="00E7248D"/>
    <w:rsid w:val="00E72566"/>
    <w:rsid w:val="00E72ED5"/>
    <w:rsid w:val="00E73AE4"/>
    <w:rsid w:val="00E77BE6"/>
    <w:rsid w:val="00E816CE"/>
    <w:rsid w:val="00E837F3"/>
    <w:rsid w:val="00E85CBE"/>
    <w:rsid w:val="00E8705D"/>
    <w:rsid w:val="00E94280"/>
    <w:rsid w:val="00E9503C"/>
    <w:rsid w:val="00EA1C9D"/>
    <w:rsid w:val="00EA525A"/>
    <w:rsid w:val="00EA5381"/>
    <w:rsid w:val="00EA7D7C"/>
    <w:rsid w:val="00EB0757"/>
    <w:rsid w:val="00EB68CF"/>
    <w:rsid w:val="00EB691F"/>
    <w:rsid w:val="00EC0EDC"/>
    <w:rsid w:val="00EC58BB"/>
    <w:rsid w:val="00EC6DA4"/>
    <w:rsid w:val="00ED188F"/>
    <w:rsid w:val="00ED5376"/>
    <w:rsid w:val="00ED55AA"/>
    <w:rsid w:val="00EE16D2"/>
    <w:rsid w:val="00EE7629"/>
    <w:rsid w:val="00EF5014"/>
    <w:rsid w:val="00F01861"/>
    <w:rsid w:val="00F03B50"/>
    <w:rsid w:val="00F1079D"/>
    <w:rsid w:val="00F16A1F"/>
    <w:rsid w:val="00F21D61"/>
    <w:rsid w:val="00F22E69"/>
    <w:rsid w:val="00F24AE9"/>
    <w:rsid w:val="00F42F74"/>
    <w:rsid w:val="00F43D38"/>
    <w:rsid w:val="00F45531"/>
    <w:rsid w:val="00F53453"/>
    <w:rsid w:val="00F60E6A"/>
    <w:rsid w:val="00F6243C"/>
    <w:rsid w:val="00F63F39"/>
    <w:rsid w:val="00F64114"/>
    <w:rsid w:val="00F708E4"/>
    <w:rsid w:val="00F7627D"/>
    <w:rsid w:val="00F76E0A"/>
    <w:rsid w:val="00F85C3C"/>
    <w:rsid w:val="00F863DB"/>
    <w:rsid w:val="00FA5EBE"/>
    <w:rsid w:val="00FB3E88"/>
    <w:rsid w:val="00FC1FA8"/>
    <w:rsid w:val="00FD02CB"/>
    <w:rsid w:val="00FD3BF9"/>
    <w:rsid w:val="00FD66B2"/>
    <w:rsid w:val="00FD7646"/>
    <w:rsid w:val="00FE03BC"/>
    <w:rsid w:val="00FE22A3"/>
    <w:rsid w:val="00FE6799"/>
    <w:rsid w:val="00FF1595"/>
    <w:rsid w:val="00FF42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List Bullet" w:uiPriority="99" w:qFormat="1"/>
    <w:lsdException w:name="List Bullet 2" w:uiPriority="99"/>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Cite"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B52"/>
    <w:pPr>
      <w:spacing w:after="200" w:line="276" w:lineRule="auto"/>
      <w:jc w:val="both"/>
    </w:pPr>
    <w:rPr>
      <w:rFonts w:ascii="Cambria" w:eastAsiaTheme="minorHAnsi" w:hAnsi="Cambria" w:cstheme="minorBidi"/>
      <w:sz w:val="24"/>
      <w:szCs w:val="22"/>
      <w:lang w:eastAsia="en-US"/>
    </w:rPr>
  </w:style>
  <w:style w:type="paragraph" w:styleId="Heading1">
    <w:name w:val="heading 1"/>
    <w:basedOn w:val="Normal"/>
    <w:next w:val="Normal"/>
    <w:link w:val="Heading1Char"/>
    <w:uiPriority w:val="9"/>
    <w:qFormat/>
    <w:rsid w:val="00F03B50"/>
    <w:pPr>
      <w:keepNext/>
      <w:spacing w:before="240" w:after="60"/>
      <w:jc w:val="center"/>
      <w:outlineLvl w:val="0"/>
    </w:pPr>
    <w:rPr>
      <w:rFonts w:asciiTheme="minorHAnsi" w:hAnsiTheme="minorHAnsi" w:cs="Arial"/>
      <w:b/>
      <w:bCs/>
      <w:color w:val="365F91" w:themeColor="accent1" w:themeShade="BF"/>
      <w:kern w:val="28"/>
      <w:sz w:val="40"/>
      <w:szCs w:val="32"/>
    </w:rPr>
  </w:style>
  <w:style w:type="paragraph" w:styleId="Heading2">
    <w:name w:val="heading 2"/>
    <w:basedOn w:val="Normal"/>
    <w:next w:val="Normal"/>
    <w:link w:val="Heading2Char"/>
    <w:uiPriority w:val="9"/>
    <w:qFormat/>
    <w:rsid w:val="008810FB"/>
    <w:pPr>
      <w:keepNext/>
      <w:spacing w:before="240" w:after="60"/>
      <w:jc w:val="left"/>
      <w:outlineLvl w:val="1"/>
    </w:pPr>
    <w:rPr>
      <w:rFonts w:asciiTheme="minorHAnsi" w:hAnsiTheme="minorHAnsi" w:cs="Arial"/>
      <w:b/>
      <w:bCs/>
      <w:iCs/>
      <w:color w:val="365F91" w:themeColor="accent1" w:themeShade="BF"/>
      <w:sz w:val="32"/>
      <w:szCs w:val="28"/>
    </w:rPr>
  </w:style>
  <w:style w:type="paragraph" w:styleId="Heading3">
    <w:name w:val="heading 3"/>
    <w:basedOn w:val="Normal"/>
    <w:next w:val="Normal"/>
    <w:link w:val="Heading3Char"/>
    <w:uiPriority w:val="9"/>
    <w:qFormat/>
    <w:rsid w:val="00DA7A17"/>
    <w:pPr>
      <w:keepNext/>
      <w:spacing w:before="240" w:after="60"/>
      <w:outlineLvl w:val="2"/>
    </w:pPr>
    <w:rPr>
      <w:rFonts w:asciiTheme="minorHAnsi" w:hAnsiTheme="minorHAnsi" w:cs="Arial"/>
      <w:b/>
      <w:bCs/>
      <w:i/>
      <w:sz w:val="28"/>
      <w:szCs w:val="26"/>
    </w:rPr>
  </w:style>
  <w:style w:type="paragraph" w:styleId="Heading4">
    <w:name w:val="heading 4"/>
    <w:basedOn w:val="Normal"/>
    <w:next w:val="Normal"/>
    <w:link w:val="Heading4Char"/>
    <w:uiPriority w:val="9"/>
    <w:qFormat/>
    <w:rsid w:val="00F03B50"/>
    <w:pPr>
      <w:keepNext/>
      <w:spacing w:before="240" w:after="60"/>
      <w:outlineLvl w:val="3"/>
    </w:pPr>
    <w:rPr>
      <w:rFonts w:asciiTheme="minorHAnsi" w:hAnsiTheme="minorHAnsi"/>
      <w:b/>
      <w:bCs/>
      <w:i/>
      <w:szCs w:val="28"/>
    </w:rPr>
  </w:style>
  <w:style w:type="paragraph" w:styleId="Heading5">
    <w:name w:val="heading 5"/>
    <w:basedOn w:val="Normal"/>
    <w:next w:val="Normal"/>
    <w:link w:val="Heading5Char"/>
    <w:qFormat/>
    <w:rsid w:val="00A705AF"/>
    <w:pPr>
      <w:keepNext/>
      <w:spacing w:before="240" w:after="60"/>
      <w:outlineLvl w:val="4"/>
    </w:pPr>
    <w:rPr>
      <w:b/>
      <w:bCs/>
      <w:iCs/>
      <w:szCs w:val="26"/>
    </w:rPr>
  </w:style>
  <w:style w:type="paragraph" w:styleId="Heading6">
    <w:name w:val="heading 6"/>
    <w:basedOn w:val="Normal"/>
    <w:next w:val="Normal"/>
    <w:link w:val="Heading6Char"/>
    <w:qFormat/>
    <w:rsid w:val="00A705AF"/>
    <w:pPr>
      <w:keepNext/>
      <w:spacing w:before="240" w:after="60"/>
      <w:outlineLvl w:val="5"/>
    </w:pPr>
    <w:rPr>
      <w:b/>
      <w:bCs/>
      <w:i/>
    </w:rPr>
  </w:style>
  <w:style w:type="paragraph" w:styleId="Heading7">
    <w:name w:val="heading 7"/>
    <w:basedOn w:val="Normal"/>
    <w:next w:val="Normal"/>
    <w:link w:val="Heading7Char"/>
    <w:uiPriority w:val="9"/>
    <w:semiHidden/>
    <w:unhideWhenUsed/>
    <w:qFormat/>
    <w:rsid w:val="0000686B"/>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686B"/>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0686B"/>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link w:val="NoSpacingChar"/>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Footnote,BulletPoints"/>
    <w:basedOn w:val="Normal"/>
    <w:link w:val="ListParagraphChar"/>
    <w:uiPriority w:val="34"/>
    <w:qFormat/>
    <w:rsid w:val="00A4512D"/>
    <w:pPr>
      <w:ind w:left="720"/>
      <w:contextualSpacing/>
    </w:pPr>
  </w:style>
  <w:style w:type="character" w:customStyle="1" w:styleId="Heading7Char">
    <w:name w:val="Heading 7 Char"/>
    <w:basedOn w:val="DefaultParagraphFont"/>
    <w:link w:val="Heading7"/>
    <w:uiPriority w:val="9"/>
    <w:semiHidden/>
    <w:rsid w:val="0000686B"/>
    <w:rPr>
      <w:rFonts w:asciiTheme="majorHAnsi" w:eastAsiaTheme="majorEastAsia" w:hAnsiTheme="majorHAnsi" w:cstheme="majorBidi"/>
      <w:i/>
      <w:iCs/>
      <w:color w:val="404040" w:themeColor="text1" w:themeTint="BF"/>
      <w:sz w:val="24"/>
      <w:szCs w:val="22"/>
      <w:lang w:eastAsia="en-US"/>
    </w:rPr>
  </w:style>
  <w:style w:type="character" w:customStyle="1" w:styleId="Heading8Char">
    <w:name w:val="Heading 8 Char"/>
    <w:basedOn w:val="DefaultParagraphFont"/>
    <w:link w:val="Heading8"/>
    <w:uiPriority w:val="9"/>
    <w:semiHidden/>
    <w:rsid w:val="0000686B"/>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00686B"/>
    <w:rPr>
      <w:rFonts w:asciiTheme="majorHAnsi" w:eastAsiaTheme="majorEastAsia" w:hAnsiTheme="majorHAnsi" w:cstheme="majorBidi"/>
      <w:i/>
      <w:iCs/>
      <w:color w:val="404040" w:themeColor="text1" w:themeTint="BF"/>
      <w:lang w:eastAsia="en-US"/>
    </w:rPr>
  </w:style>
  <w:style w:type="character" w:customStyle="1" w:styleId="Heading1Char">
    <w:name w:val="Heading 1 Char"/>
    <w:basedOn w:val="DefaultParagraphFont"/>
    <w:link w:val="Heading1"/>
    <w:uiPriority w:val="9"/>
    <w:rsid w:val="00F03B50"/>
    <w:rPr>
      <w:rFonts w:asciiTheme="minorHAnsi" w:eastAsiaTheme="minorHAnsi" w:hAnsiTheme="minorHAnsi" w:cs="Arial"/>
      <w:b/>
      <w:bCs/>
      <w:color w:val="365F91" w:themeColor="accent1" w:themeShade="BF"/>
      <w:kern w:val="28"/>
      <w:sz w:val="40"/>
      <w:szCs w:val="32"/>
      <w:lang w:eastAsia="en-US"/>
    </w:rPr>
  </w:style>
  <w:style w:type="character" w:customStyle="1" w:styleId="Heading2Char">
    <w:name w:val="Heading 2 Char"/>
    <w:basedOn w:val="DefaultParagraphFont"/>
    <w:link w:val="Heading2"/>
    <w:uiPriority w:val="9"/>
    <w:rsid w:val="008810FB"/>
    <w:rPr>
      <w:rFonts w:asciiTheme="minorHAnsi" w:eastAsiaTheme="minorHAnsi" w:hAnsiTheme="minorHAnsi" w:cs="Arial"/>
      <w:b/>
      <w:bCs/>
      <w:iCs/>
      <w:color w:val="365F91" w:themeColor="accent1" w:themeShade="BF"/>
      <w:sz w:val="32"/>
      <w:szCs w:val="28"/>
      <w:lang w:eastAsia="en-US"/>
    </w:rPr>
  </w:style>
  <w:style w:type="character" w:customStyle="1" w:styleId="Heading3Char">
    <w:name w:val="Heading 3 Char"/>
    <w:basedOn w:val="DefaultParagraphFont"/>
    <w:link w:val="Heading3"/>
    <w:uiPriority w:val="9"/>
    <w:rsid w:val="00DA7A17"/>
    <w:rPr>
      <w:rFonts w:asciiTheme="minorHAnsi" w:eastAsiaTheme="minorHAnsi" w:hAnsiTheme="minorHAnsi" w:cs="Arial"/>
      <w:b/>
      <w:bCs/>
      <w:i/>
      <w:sz w:val="28"/>
      <w:szCs w:val="26"/>
      <w:lang w:eastAsia="en-US"/>
    </w:rPr>
  </w:style>
  <w:style w:type="character" w:customStyle="1" w:styleId="Heading4Char">
    <w:name w:val="Heading 4 Char"/>
    <w:basedOn w:val="DefaultParagraphFont"/>
    <w:link w:val="Heading4"/>
    <w:uiPriority w:val="9"/>
    <w:rsid w:val="00F03B50"/>
    <w:rPr>
      <w:rFonts w:asciiTheme="minorHAnsi" w:eastAsiaTheme="minorHAnsi" w:hAnsiTheme="minorHAnsi" w:cstheme="minorBidi"/>
      <w:b/>
      <w:bCs/>
      <w:i/>
      <w:sz w:val="24"/>
      <w:szCs w:val="28"/>
      <w:lang w:eastAsia="en-US"/>
    </w:rPr>
  </w:style>
  <w:style w:type="character" w:customStyle="1" w:styleId="Heading5Char">
    <w:name w:val="Heading 5 Char"/>
    <w:basedOn w:val="DefaultParagraphFont"/>
    <w:link w:val="Heading5"/>
    <w:rsid w:val="0000686B"/>
    <w:rPr>
      <w:b/>
      <w:bCs/>
      <w:iCs/>
      <w:sz w:val="24"/>
      <w:szCs w:val="26"/>
      <w:lang w:eastAsia="en-US"/>
    </w:rPr>
  </w:style>
  <w:style w:type="character" w:customStyle="1" w:styleId="Heading6Char">
    <w:name w:val="Heading 6 Char"/>
    <w:basedOn w:val="DefaultParagraphFont"/>
    <w:link w:val="Heading6"/>
    <w:rsid w:val="0000686B"/>
    <w:rPr>
      <w:b/>
      <w:bCs/>
      <w:i/>
      <w:sz w:val="24"/>
      <w:szCs w:val="22"/>
      <w:lang w:eastAsia="en-US"/>
    </w:rPr>
  </w:style>
  <w:style w:type="character" w:customStyle="1" w:styleId="ListParagraphChar">
    <w:name w:val="List Paragraph Char"/>
    <w:aliases w:val="Footnote Char,BulletPoints Char"/>
    <w:basedOn w:val="DefaultParagraphFont"/>
    <w:link w:val="ListParagraph"/>
    <w:uiPriority w:val="34"/>
    <w:locked/>
    <w:rsid w:val="0000686B"/>
    <w:rPr>
      <w:sz w:val="24"/>
      <w:szCs w:val="24"/>
      <w:lang w:eastAsia="en-US"/>
    </w:rPr>
  </w:style>
  <w:style w:type="paragraph" w:styleId="NormalWeb">
    <w:name w:val="Normal (Web)"/>
    <w:basedOn w:val="Normal"/>
    <w:link w:val="NormalWebChar"/>
    <w:uiPriority w:val="99"/>
    <w:unhideWhenUsed/>
    <w:rsid w:val="0000686B"/>
    <w:pPr>
      <w:spacing w:before="100" w:beforeAutospacing="1" w:after="100" w:afterAutospacing="1" w:line="240" w:lineRule="auto"/>
    </w:pPr>
    <w:rPr>
      <w:rFonts w:eastAsia="Times New Roman" w:cs="Times New Roman"/>
      <w:szCs w:val="24"/>
      <w:lang w:eastAsia="en-AU"/>
    </w:rPr>
  </w:style>
  <w:style w:type="character" w:customStyle="1" w:styleId="NormalWebChar">
    <w:name w:val="Normal (Web) Char"/>
    <w:link w:val="NormalWeb"/>
    <w:uiPriority w:val="99"/>
    <w:rsid w:val="0000686B"/>
    <w:rPr>
      <w:rFonts w:ascii="Cambria" w:hAnsi="Cambria"/>
      <w:sz w:val="24"/>
      <w:szCs w:val="24"/>
    </w:rPr>
  </w:style>
  <w:style w:type="paragraph" w:styleId="BalloonText">
    <w:name w:val="Balloon Text"/>
    <w:basedOn w:val="Normal"/>
    <w:link w:val="BalloonTextChar"/>
    <w:uiPriority w:val="99"/>
    <w:unhideWhenUsed/>
    <w:rsid w:val="00006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0686B"/>
    <w:rPr>
      <w:rFonts w:ascii="Tahoma" w:eastAsiaTheme="minorHAnsi" w:hAnsi="Tahoma" w:cs="Tahoma"/>
      <w:sz w:val="16"/>
      <w:szCs w:val="16"/>
      <w:lang w:eastAsia="en-US"/>
    </w:rPr>
  </w:style>
  <w:style w:type="character" w:customStyle="1" w:styleId="normalchar">
    <w:name w:val="normal_char"/>
    <w:rsid w:val="0000686B"/>
    <w:rPr>
      <w:color w:val="auto"/>
    </w:rPr>
  </w:style>
  <w:style w:type="character" w:styleId="Hyperlink">
    <w:name w:val="Hyperlink"/>
    <w:basedOn w:val="DefaultParagraphFont"/>
    <w:uiPriority w:val="99"/>
    <w:rsid w:val="0000686B"/>
    <w:rPr>
      <w:color w:val="0000FF" w:themeColor="hyperlink"/>
      <w:u w:val="single"/>
    </w:rPr>
  </w:style>
  <w:style w:type="character" w:styleId="CommentReference">
    <w:name w:val="annotation reference"/>
    <w:basedOn w:val="DefaultParagraphFont"/>
    <w:uiPriority w:val="99"/>
    <w:unhideWhenUsed/>
    <w:rsid w:val="0000686B"/>
    <w:rPr>
      <w:sz w:val="16"/>
      <w:szCs w:val="16"/>
    </w:rPr>
  </w:style>
  <w:style w:type="paragraph" w:styleId="CommentText">
    <w:name w:val="annotation text"/>
    <w:basedOn w:val="Normal"/>
    <w:link w:val="CommentTextChar"/>
    <w:uiPriority w:val="99"/>
    <w:unhideWhenUsed/>
    <w:rsid w:val="0000686B"/>
    <w:pPr>
      <w:spacing w:line="240" w:lineRule="auto"/>
    </w:pPr>
    <w:rPr>
      <w:sz w:val="20"/>
      <w:szCs w:val="20"/>
    </w:rPr>
  </w:style>
  <w:style w:type="character" w:customStyle="1" w:styleId="CommentTextChar">
    <w:name w:val="Comment Text Char"/>
    <w:basedOn w:val="DefaultParagraphFont"/>
    <w:link w:val="CommentText"/>
    <w:uiPriority w:val="99"/>
    <w:rsid w:val="0000686B"/>
    <w:rPr>
      <w:rFonts w:ascii="Cambria" w:eastAsiaTheme="minorHAnsi" w:hAnsi="Cambria" w:cstheme="minorBidi"/>
      <w:lang w:eastAsia="en-US"/>
    </w:rPr>
  </w:style>
  <w:style w:type="paragraph" w:styleId="CommentSubject">
    <w:name w:val="annotation subject"/>
    <w:basedOn w:val="CommentText"/>
    <w:next w:val="CommentText"/>
    <w:link w:val="CommentSubjectChar"/>
    <w:uiPriority w:val="99"/>
    <w:unhideWhenUsed/>
    <w:rsid w:val="0000686B"/>
    <w:rPr>
      <w:b/>
      <w:bCs/>
    </w:rPr>
  </w:style>
  <w:style w:type="character" w:customStyle="1" w:styleId="CommentSubjectChar">
    <w:name w:val="Comment Subject Char"/>
    <w:basedOn w:val="CommentTextChar"/>
    <w:link w:val="CommentSubject"/>
    <w:uiPriority w:val="99"/>
    <w:rsid w:val="0000686B"/>
    <w:rPr>
      <w:rFonts w:ascii="Cambria" w:eastAsiaTheme="minorHAnsi" w:hAnsi="Cambria" w:cstheme="minorBidi"/>
      <w:b/>
      <w:bCs/>
      <w:lang w:eastAsia="en-US"/>
    </w:rPr>
  </w:style>
  <w:style w:type="paragraph" w:styleId="BodyTextIndent3">
    <w:name w:val="Body Text Indent 3"/>
    <w:basedOn w:val="Normal"/>
    <w:link w:val="BodyTextIndent3Char"/>
    <w:rsid w:val="0000686B"/>
    <w:pPr>
      <w:spacing w:after="120" w:line="240" w:lineRule="auto"/>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00686B"/>
    <w:rPr>
      <w:rFonts w:ascii="Cambria" w:hAnsi="Cambria"/>
      <w:sz w:val="16"/>
      <w:szCs w:val="16"/>
      <w:lang w:eastAsia="en-US"/>
    </w:rPr>
  </w:style>
  <w:style w:type="paragraph" w:styleId="Header">
    <w:name w:val="header"/>
    <w:basedOn w:val="Normal"/>
    <w:link w:val="HeaderChar"/>
    <w:uiPriority w:val="99"/>
    <w:unhideWhenUsed/>
    <w:rsid w:val="00006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86B"/>
    <w:rPr>
      <w:rFonts w:ascii="Cambria" w:eastAsiaTheme="minorHAnsi" w:hAnsi="Cambria" w:cstheme="minorBidi"/>
      <w:sz w:val="24"/>
      <w:szCs w:val="22"/>
      <w:lang w:eastAsia="en-US"/>
    </w:rPr>
  </w:style>
  <w:style w:type="paragraph" w:styleId="Footer">
    <w:name w:val="footer"/>
    <w:basedOn w:val="Normal"/>
    <w:link w:val="FooterChar"/>
    <w:uiPriority w:val="99"/>
    <w:unhideWhenUsed/>
    <w:rsid w:val="00006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86B"/>
    <w:rPr>
      <w:rFonts w:ascii="Cambria" w:eastAsiaTheme="minorHAnsi" w:hAnsi="Cambria" w:cstheme="minorBidi"/>
      <w:sz w:val="24"/>
      <w:szCs w:val="22"/>
      <w:lang w:eastAsia="en-US"/>
    </w:rPr>
  </w:style>
  <w:style w:type="paragraph" w:styleId="TOCHeading">
    <w:name w:val="TOC Heading"/>
    <w:basedOn w:val="Heading1"/>
    <w:next w:val="Normal"/>
    <w:uiPriority w:val="39"/>
    <w:unhideWhenUsed/>
    <w:qFormat/>
    <w:rsid w:val="0000686B"/>
    <w:pPr>
      <w:keepLines/>
      <w:spacing w:before="0" w:after="120"/>
      <w:outlineLvl w:val="9"/>
    </w:pPr>
    <w:rPr>
      <w:rFonts w:asciiTheme="majorHAnsi" w:eastAsiaTheme="majorEastAsia" w:hAnsiTheme="majorHAnsi" w:cstheme="majorBidi"/>
      <w:color w:val="4F81BD" w:themeColor="accent1"/>
      <w:kern w:val="0"/>
      <w:sz w:val="32"/>
      <w:szCs w:val="26"/>
      <w:lang w:val="en-US" w:eastAsia="ja-JP"/>
    </w:rPr>
  </w:style>
  <w:style w:type="paragraph" w:styleId="TOC1">
    <w:name w:val="toc 1"/>
    <w:basedOn w:val="Normal"/>
    <w:next w:val="Normal"/>
    <w:autoRedefine/>
    <w:uiPriority w:val="39"/>
    <w:unhideWhenUsed/>
    <w:qFormat/>
    <w:rsid w:val="0000686B"/>
    <w:pPr>
      <w:spacing w:after="100"/>
    </w:pPr>
  </w:style>
  <w:style w:type="paragraph" w:styleId="TOC2">
    <w:name w:val="toc 2"/>
    <w:basedOn w:val="Normal"/>
    <w:next w:val="Normal"/>
    <w:autoRedefine/>
    <w:uiPriority w:val="39"/>
    <w:unhideWhenUsed/>
    <w:qFormat/>
    <w:rsid w:val="0000686B"/>
    <w:pPr>
      <w:spacing w:after="100"/>
      <w:ind w:left="240"/>
    </w:pPr>
  </w:style>
  <w:style w:type="paragraph" w:styleId="TOC3">
    <w:name w:val="toc 3"/>
    <w:basedOn w:val="Normal"/>
    <w:next w:val="Normal"/>
    <w:autoRedefine/>
    <w:uiPriority w:val="39"/>
    <w:unhideWhenUsed/>
    <w:qFormat/>
    <w:rsid w:val="0000686B"/>
    <w:pPr>
      <w:spacing w:after="100"/>
      <w:ind w:left="480"/>
    </w:pPr>
  </w:style>
  <w:style w:type="character" w:customStyle="1" w:styleId="NoSpacingChar">
    <w:name w:val="No Spacing Char"/>
    <w:basedOn w:val="DefaultParagraphFont"/>
    <w:link w:val="NoSpacing"/>
    <w:uiPriority w:val="1"/>
    <w:locked/>
    <w:rsid w:val="0000686B"/>
    <w:rPr>
      <w:sz w:val="24"/>
      <w:szCs w:val="24"/>
      <w:lang w:eastAsia="en-US"/>
    </w:rPr>
  </w:style>
  <w:style w:type="character" w:customStyle="1" w:styleId="apple-converted-space">
    <w:name w:val="apple-converted-space"/>
    <w:basedOn w:val="DefaultParagraphFont"/>
    <w:rsid w:val="0000686B"/>
  </w:style>
  <w:style w:type="character" w:styleId="FollowedHyperlink">
    <w:name w:val="FollowedHyperlink"/>
    <w:uiPriority w:val="99"/>
    <w:unhideWhenUsed/>
    <w:rsid w:val="0000686B"/>
    <w:rPr>
      <w:color w:val="800080"/>
      <w:u w:val="single"/>
    </w:rPr>
  </w:style>
  <w:style w:type="character" w:styleId="HTMLCite">
    <w:name w:val="HTML Cite"/>
    <w:uiPriority w:val="99"/>
    <w:unhideWhenUsed/>
    <w:rsid w:val="0000686B"/>
    <w:rPr>
      <w:b w:val="0"/>
      <w:bCs w:val="0"/>
      <w:i w:val="0"/>
      <w:iCs w:val="0"/>
      <w:vanish w:val="0"/>
      <w:webHidden w:val="0"/>
      <w:specVanish w:val="0"/>
    </w:rPr>
  </w:style>
  <w:style w:type="character" w:customStyle="1" w:styleId="author4">
    <w:name w:val="author4"/>
    <w:rsid w:val="0000686B"/>
    <w:rPr>
      <w:b w:val="0"/>
      <w:bCs w:val="0"/>
      <w:i w:val="0"/>
      <w:iCs w:val="0"/>
      <w:smallCaps w:val="0"/>
      <w:sz w:val="24"/>
      <w:szCs w:val="24"/>
    </w:rPr>
  </w:style>
  <w:style w:type="character" w:customStyle="1" w:styleId="articletitle7">
    <w:name w:val="articletitle7"/>
    <w:basedOn w:val="DefaultParagraphFont"/>
    <w:rsid w:val="0000686B"/>
  </w:style>
  <w:style w:type="character" w:customStyle="1" w:styleId="journaltitle4">
    <w:name w:val="journaltitle4"/>
    <w:rsid w:val="0000686B"/>
    <w:rPr>
      <w:i/>
      <w:iCs/>
    </w:rPr>
  </w:style>
  <w:style w:type="character" w:customStyle="1" w:styleId="pubyear">
    <w:name w:val="pubyear"/>
    <w:basedOn w:val="DefaultParagraphFont"/>
    <w:rsid w:val="0000686B"/>
  </w:style>
  <w:style w:type="character" w:customStyle="1" w:styleId="citedissue">
    <w:name w:val="citedissue"/>
    <w:basedOn w:val="DefaultParagraphFont"/>
    <w:rsid w:val="0000686B"/>
  </w:style>
  <w:style w:type="character" w:customStyle="1" w:styleId="frlabel1">
    <w:name w:val="fr_label1"/>
    <w:rsid w:val="0000686B"/>
    <w:rPr>
      <w:b/>
      <w:bCs/>
    </w:rPr>
  </w:style>
  <w:style w:type="character" w:customStyle="1" w:styleId="hithilite3">
    <w:name w:val="hithilite3"/>
    <w:rsid w:val="0000686B"/>
    <w:rPr>
      <w:shd w:val="clear" w:color="auto" w:fill="FFFF00"/>
    </w:rPr>
  </w:style>
  <w:style w:type="character" w:customStyle="1" w:styleId="maintitle4">
    <w:name w:val="maintitle4"/>
    <w:rsid w:val="0000686B"/>
    <w:rPr>
      <w:vanish w:val="0"/>
      <w:webHidden w:val="0"/>
      <w:specVanish w:val="0"/>
    </w:rPr>
  </w:style>
  <w:style w:type="character" w:customStyle="1" w:styleId="override-xref-content-element7">
    <w:name w:val="override-xref-content-element7"/>
    <w:rsid w:val="0000686B"/>
    <w:rPr>
      <w:color w:val="007E8A"/>
    </w:rPr>
  </w:style>
  <w:style w:type="paragraph" w:customStyle="1" w:styleId="para10">
    <w:name w:val="para10"/>
    <w:basedOn w:val="Normal"/>
    <w:rsid w:val="0000686B"/>
    <w:pPr>
      <w:spacing w:after="240" w:line="360" w:lineRule="atLeast"/>
    </w:pPr>
    <w:rPr>
      <w:rFonts w:eastAsia="Times New Roman" w:cs="Times New Roman"/>
      <w:sz w:val="29"/>
      <w:szCs w:val="29"/>
      <w:lang w:eastAsia="en-AU"/>
    </w:rPr>
  </w:style>
  <w:style w:type="table" w:styleId="TableGrid">
    <w:name w:val="Table Grid"/>
    <w:basedOn w:val="TableNormal"/>
    <w:uiPriority w:val="39"/>
    <w:rsid w:val="0000686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7">
    <w:name w:val="i7"/>
    <w:rsid w:val="0000686B"/>
    <w:rPr>
      <w:i/>
      <w:iCs/>
    </w:rPr>
  </w:style>
  <w:style w:type="paragraph" w:customStyle="1" w:styleId="CM18">
    <w:name w:val="CM18"/>
    <w:basedOn w:val="Normal"/>
    <w:next w:val="Normal"/>
    <w:uiPriority w:val="99"/>
    <w:rsid w:val="0000686B"/>
    <w:pPr>
      <w:widowControl w:val="0"/>
      <w:autoSpaceDE w:val="0"/>
      <w:autoSpaceDN w:val="0"/>
      <w:adjustRightInd w:val="0"/>
      <w:spacing w:after="0" w:line="240" w:lineRule="auto"/>
    </w:pPr>
    <w:rPr>
      <w:rFonts w:ascii="MuseeBold" w:eastAsia="Times New Roman" w:hAnsi="MuseeBold" w:cs="Times New Roman"/>
      <w:szCs w:val="24"/>
      <w:lang w:eastAsia="en-AU"/>
    </w:rPr>
  </w:style>
  <w:style w:type="paragraph" w:customStyle="1" w:styleId="Heading5new">
    <w:name w:val="Heading 5 new"/>
    <w:basedOn w:val="NormalWeb"/>
    <w:link w:val="Heading5newChar"/>
    <w:qFormat/>
    <w:rsid w:val="0000686B"/>
    <w:pPr>
      <w:spacing w:before="0" w:beforeAutospacing="0" w:after="240" w:afterAutospacing="0" w:line="312" w:lineRule="atLeast"/>
    </w:pPr>
    <w:rPr>
      <w:b/>
      <w:i/>
      <w:color w:val="000000"/>
      <w:u w:val="single"/>
    </w:rPr>
  </w:style>
  <w:style w:type="character" w:customStyle="1" w:styleId="Heading5newChar">
    <w:name w:val="Heading 5 new Char"/>
    <w:link w:val="Heading5new"/>
    <w:rsid w:val="0000686B"/>
    <w:rPr>
      <w:rFonts w:ascii="Cambria" w:hAnsi="Cambria"/>
      <w:b/>
      <w:i/>
      <w:color w:val="000000"/>
      <w:sz w:val="24"/>
      <w:szCs w:val="24"/>
      <w:u w:val="single"/>
    </w:rPr>
  </w:style>
  <w:style w:type="paragraph" w:customStyle="1" w:styleId="Heading4new">
    <w:name w:val="Heading 4 new"/>
    <w:basedOn w:val="Heading5new"/>
    <w:link w:val="Heading4newChar"/>
    <w:qFormat/>
    <w:rsid w:val="0000686B"/>
  </w:style>
  <w:style w:type="character" w:customStyle="1" w:styleId="Heading4newChar">
    <w:name w:val="Heading 4 new Char"/>
    <w:link w:val="Heading4new"/>
    <w:rsid w:val="0000686B"/>
    <w:rPr>
      <w:rFonts w:ascii="Cambria" w:hAnsi="Cambria"/>
      <w:b/>
      <w:i/>
      <w:color w:val="000000"/>
      <w:sz w:val="24"/>
      <w:szCs w:val="24"/>
      <w:u w:val="single"/>
    </w:rPr>
  </w:style>
  <w:style w:type="character" w:customStyle="1" w:styleId="label31">
    <w:name w:val="label31"/>
    <w:basedOn w:val="DefaultParagraphFont"/>
    <w:rsid w:val="0000686B"/>
  </w:style>
  <w:style w:type="character" w:customStyle="1" w:styleId="b7">
    <w:name w:val="b7"/>
    <w:rsid w:val="0000686B"/>
    <w:rPr>
      <w:b/>
      <w:bCs/>
    </w:rPr>
  </w:style>
  <w:style w:type="character" w:customStyle="1" w:styleId="tablenotes-note">
    <w:name w:val="tablenotes-note"/>
    <w:basedOn w:val="DefaultParagraphFont"/>
    <w:rsid w:val="0000686B"/>
  </w:style>
  <w:style w:type="character" w:customStyle="1" w:styleId="section-title3">
    <w:name w:val="section-title3"/>
    <w:rsid w:val="0000686B"/>
    <w:rPr>
      <w:vanish w:val="0"/>
      <w:webHidden w:val="0"/>
      <w:specVanish w:val="0"/>
    </w:rPr>
  </w:style>
  <w:style w:type="paragraph" w:customStyle="1" w:styleId="Default">
    <w:name w:val="Default"/>
    <w:rsid w:val="0000686B"/>
    <w:pPr>
      <w:widowControl w:val="0"/>
      <w:autoSpaceDE w:val="0"/>
      <w:autoSpaceDN w:val="0"/>
      <w:adjustRightInd w:val="0"/>
    </w:pPr>
    <w:rPr>
      <w:rFonts w:ascii="Arial" w:hAnsi="Arial" w:cs="Arial"/>
      <w:color w:val="000000"/>
      <w:sz w:val="24"/>
      <w:szCs w:val="24"/>
    </w:rPr>
  </w:style>
  <w:style w:type="paragraph" w:styleId="TOC4">
    <w:name w:val="toc 4"/>
    <w:basedOn w:val="Normal"/>
    <w:next w:val="Normal"/>
    <w:autoRedefine/>
    <w:uiPriority w:val="39"/>
    <w:unhideWhenUsed/>
    <w:rsid w:val="0000686B"/>
    <w:pPr>
      <w:spacing w:after="100"/>
      <w:ind w:left="660"/>
    </w:pPr>
    <w:rPr>
      <w:rFonts w:ascii="Calibri" w:eastAsia="Times New Roman" w:hAnsi="Calibri" w:cs="Times New Roman"/>
      <w:sz w:val="22"/>
      <w:lang w:eastAsia="en-AU"/>
    </w:rPr>
  </w:style>
  <w:style w:type="paragraph" w:styleId="Revision">
    <w:name w:val="Revision"/>
    <w:hidden/>
    <w:uiPriority w:val="99"/>
    <w:semiHidden/>
    <w:rsid w:val="0000686B"/>
    <w:rPr>
      <w:rFonts w:ascii="Calibri" w:hAnsi="Calibri"/>
      <w:sz w:val="22"/>
      <w:szCs w:val="22"/>
    </w:rPr>
  </w:style>
  <w:style w:type="paragraph" w:styleId="FootnoteText">
    <w:name w:val="footnote text"/>
    <w:basedOn w:val="Normal"/>
    <w:link w:val="FootnoteTextChar"/>
    <w:uiPriority w:val="99"/>
    <w:unhideWhenUsed/>
    <w:rsid w:val="0000686B"/>
    <w:pPr>
      <w:spacing w:after="0" w:line="240" w:lineRule="auto"/>
    </w:pPr>
    <w:rPr>
      <w:rFonts w:ascii="Calibri" w:eastAsia="Times New Roman" w:hAnsi="Calibri" w:cs="Times New Roman"/>
      <w:sz w:val="20"/>
      <w:szCs w:val="20"/>
      <w:lang w:eastAsia="en-AU"/>
    </w:rPr>
  </w:style>
  <w:style w:type="character" w:customStyle="1" w:styleId="FootnoteTextChar">
    <w:name w:val="Footnote Text Char"/>
    <w:basedOn w:val="DefaultParagraphFont"/>
    <w:link w:val="FootnoteText"/>
    <w:uiPriority w:val="99"/>
    <w:rsid w:val="0000686B"/>
    <w:rPr>
      <w:rFonts w:ascii="Calibri" w:hAnsi="Calibri"/>
    </w:rPr>
  </w:style>
  <w:style w:type="character" w:styleId="FootnoteReference">
    <w:name w:val="footnote reference"/>
    <w:uiPriority w:val="99"/>
    <w:unhideWhenUsed/>
    <w:rsid w:val="0000686B"/>
    <w:rPr>
      <w:vertAlign w:val="superscript"/>
    </w:rPr>
  </w:style>
  <w:style w:type="table" w:customStyle="1" w:styleId="TableGrid1">
    <w:name w:val="Table Grid1"/>
    <w:basedOn w:val="TableNormal"/>
    <w:next w:val="TableGrid"/>
    <w:uiPriority w:val="39"/>
    <w:rsid w:val="0000686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00686B"/>
    <w:pPr>
      <w:spacing w:after="0" w:line="240" w:lineRule="auto"/>
    </w:pPr>
    <w:rPr>
      <w:rFonts w:ascii="Calibri" w:eastAsia="Times New Roman" w:hAnsi="Calibri" w:cs="Times New Roman"/>
      <w:sz w:val="20"/>
      <w:szCs w:val="20"/>
      <w:lang w:eastAsia="en-AU"/>
    </w:rPr>
  </w:style>
  <w:style w:type="character" w:customStyle="1" w:styleId="EndnoteTextChar">
    <w:name w:val="Endnote Text Char"/>
    <w:basedOn w:val="DefaultParagraphFont"/>
    <w:link w:val="EndnoteText"/>
    <w:uiPriority w:val="99"/>
    <w:rsid w:val="0000686B"/>
    <w:rPr>
      <w:rFonts w:ascii="Calibri" w:hAnsi="Calibri"/>
    </w:rPr>
  </w:style>
  <w:style w:type="character" w:styleId="EndnoteReference">
    <w:name w:val="endnote reference"/>
    <w:uiPriority w:val="99"/>
    <w:unhideWhenUsed/>
    <w:rsid w:val="0000686B"/>
    <w:rPr>
      <w:vertAlign w:val="superscript"/>
    </w:rPr>
  </w:style>
  <w:style w:type="paragraph" w:customStyle="1" w:styleId="para">
    <w:name w:val="para"/>
    <w:basedOn w:val="Normal"/>
    <w:rsid w:val="0000686B"/>
    <w:pPr>
      <w:spacing w:before="100" w:beforeAutospacing="1" w:after="100" w:afterAutospacing="1" w:line="240" w:lineRule="auto"/>
    </w:pPr>
    <w:rPr>
      <w:rFonts w:eastAsia="Times New Roman" w:cs="Times New Roman"/>
      <w:szCs w:val="24"/>
      <w:lang w:eastAsia="en-AU"/>
    </w:rPr>
  </w:style>
  <w:style w:type="paragraph" w:styleId="Caption">
    <w:name w:val="caption"/>
    <w:basedOn w:val="Normal"/>
    <w:next w:val="Normal"/>
    <w:uiPriority w:val="35"/>
    <w:unhideWhenUsed/>
    <w:qFormat/>
    <w:rsid w:val="0000686B"/>
    <w:pPr>
      <w:spacing w:line="240" w:lineRule="auto"/>
    </w:pPr>
    <w:rPr>
      <w:rFonts w:asciiTheme="minorHAnsi" w:eastAsia="Times New Roman" w:hAnsiTheme="minorHAnsi" w:cs="Times New Roman"/>
      <w:b/>
      <w:bCs/>
      <w:szCs w:val="18"/>
      <w:lang w:eastAsia="en-AU"/>
    </w:rPr>
  </w:style>
  <w:style w:type="paragraph" w:customStyle="1" w:styleId="ListBullet1">
    <w:name w:val="List Bullet1"/>
    <w:basedOn w:val="Normal"/>
    <w:uiPriority w:val="5"/>
    <w:qFormat/>
    <w:rsid w:val="0000686B"/>
    <w:pPr>
      <w:numPr>
        <w:numId w:val="1"/>
      </w:numPr>
      <w:shd w:val="clear" w:color="auto" w:fill="FFFFFF" w:themeFill="background1"/>
      <w:spacing w:before="120" w:after="120" w:line="260" w:lineRule="exact"/>
      <w:contextualSpacing/>
    </w:pPr>
    <w:rPr>
      <w:rFonts w:ascii="Arial" w:eastAsia="Times New Roman" w:hAnsi="Arial" w:cs="Arial"/>
      <w:sz w:val="20"/>
      <w:szCs w:val="20"/>
      <w:lang w:eastAsia="en-AU"/>
    </w:rPr>
  </w:style>
  <w:style w:type="character" w:customStyle="1" w:styleId="Bold">
    <w:name w:val="Bold"/>
    <w:uiPriority w:val="99"/>
    <w:qFormat/>
    <w:rsid w:val="0000686B"/>
    <w:rPr>
      <w:b/>
      <w:lang w:val="en-AU" w:eastAsia="en-US"/>
    </w:rPr>
  </w:style>
  <w:style w:type="character" w:customStyle="1" w:styleId="Italic">
    <w:name w:val="Italic"/>
    <w:uiPriority w:val="3"/>
    <w:rsid w:val="0000686B"/>
    <w:rPr>
      <w:i/>
      <w:lang w:val="en-AU" w:eastAsia="en-US"/>
    </w:rPr>
  </w:style>
  <w:style w:type="character" w:customStyle="1" w:styleId="HighlightOrange">
    <w:name w:val="Highlight Orange"/>
    <w:basedOn w:val="DefaultParagraphFont"/>
    <w:uiPriority w:val="75"/>
    <w:qFormat/>
    <w:rsid w:val="0000686B"/>
    <w:rPr>
      <w:color w:val="F47B28"/>
    </w:rPr>
  </w:style>
  <w:style w:type="table" w:customStyle="1" w:styleId="Boxorange">
    <w:name w:val="Box orange"/>
    <w:basedOn w:val="TableNormal"/>
    <w:uiPriority w:val="99"/>
    <w:qFormat/>
    <w:rsid w:val="0000686B"/>
    <w:tblPr>
      <w:tblInd w:w="113" w:type="dxa"/>
      <w:tblBorders>
        <w:top w:val="single" w:sz="18" w:space="0" w:color="F47B28"/>
        <w:left w:val="single" w:sz="18" w:space="0" w:color="F47B28"/>
        <w:bottom w:val="single" w:sz="18" w:space="0" w:color="F47B28"/>
        <w:right w:val="single" w:sz="18" w:space="0" w:color="F47B28"/>
      </w:tblBorders>
    </w:tblPr>
    <w:trPr>
      <w:cantSplit/>
    </w:trPr>
  </w:style>
  <w:style w:type="character" w:customStyle="1" w:styleId="Highlighter">
    <w:name w:val="Highlighter"/>
    <w:basedOn w:val="DefaultParagraphFont"/>
    <w:uiPriority w:val="21"/>
    <w:rsid w:val="0000686B"/>
    <w:rPr>
      <w:bdr w:val="none" w:sz="0" w:space="0" w:color="auto"/>
      <w:shd w:val="clear" w:color="auto" w:fill="FFFF00"/>
    </w:rPr>
  </w:style>
  <w:style w:type="paragraph" w:styleId="TOC5">
    <w:name w:val="toc 5"/>
    <w:basedOn w:val="Normal"/>
    <w:next w:val="Normal"/>
    <w:autoRedefine/>
    <w:uiPriority w:val="39"/>
    <w:unhideWhenUsed/>
    <w:rsid w:val="0000686B"/>
    <w:pPr>
      <w:spacing w:after="100"/>
      <w:ind w:left="880"/>
      <w:jc w:val="left"/>
    </w:pPr>
    <w:rPr>
      <w:rFonts w:asciiTheme="minorHAnsi" w:eastAsiaTheme="minorEastAsia" w:hAnsiTheme="minorHAnsi"/>
      <w:sz w:val="22"/>
      <w:lang w:eastAsia="en-AU"/>
    </w:rPr>
  </w:style>
  <w:style w:type="paragraph" w:styleId="TOC6">
    <w:name w:val="toc 6"/>
    <w:basedOn w:val="Normal"/>
    <w:next w:val="Normal"/>
    <w:autoRedefine/>
    <w:uiPriority w:val="39"/>
    <w:unhideWhenUsed/>
    <w:rsid w:val="0000686B"/>
    <w:pPr>
      <w:spacing w:after="100"/>
      <w:ind w:left="1100"/>
      <w:jc w:val="left"/>
    </w:pPr>
    <w:rPr>
      <w:rFonts w:asciiTheme="minorHAnsi" w:eastAsiaTheme="minorEastAsia" w:hAnsiTheme="minorHAnsi"/>
      <w:sz w:val="22"/>
      <w:lang w:eastAsia="en-AU"/>
    </w:rPr>
  </w:style>
  <w:style w:type="paragraph" w:styleId="TOC7">
    <w:name w:val="toc 7"/>
    <w:basedOn w:val="Normal"/>
    <w:next w:val="Normal"/>
    <w:autoRedefine/>
    <w:uiPriority w:val="39"/>
    <w:unhideWhenUsed/>
    <w:rsid w:val="0000686B"/>
    <w:pPr>
      <w:spacing w:after="100"/>
      <w:ind w:left="1320"/>
      <w:jc w:val="left"/>
    </w:pPr>
    <w:rPr>
      <w:rFonts w:asciiTheme="minorHAnsi" w:eastAsiaTheme="minorEastAsia" w:hAnsiTheme="minorHAnsi"/>
      <w:sz w:val="22"/>
      <w:lang w:eastAsia="en-AU"/>
    </w:rPr>
  </w:style>
  <w:style w:type="paragraph" w:styleId="TOC8">
    <w:name w:val="toc 8"/>
    <w:basedOn w:val="Normal"/>
    <w:next w:val="Normal"/>
    <w:autoRedefine/>
    <w:uiPriority w:val="39"/>
    <w:unhideWhenUsed/>
    <w:rsid w:val="0000686B"/>
    <w:pPr>
      <w:spacing w:after="100"/>
      <w:ind w:left="1540"/>
      <w:jc w:val="left"/>
    </w:pPr>
    <w:rPr>
      <w:rFonts w:asciiTheme="minorHAnsi" w:eastAsiaTheme="minorEastAsia" w:hAnsiTheme="minorHAnsi"/>
      <w:sz w:val="22"/>
      <w:lang w:eastAsia="en-AU"/>
    </w:rPr>
  </w:style>
  <w:style w:type="paragraph" w:styleId="TOC9">
    <w:name w:val="toc 9"/>
    <w:basedOn w:val="Normal"/>
    <w:next w:val="Normal"/>
    <w:autoRedefine/>
    <w:uiPriority w:val="39"/>
    <w:unhideWhenUsed/>
    <w:rsid w:val="0000686B"/>
    <w:pPr>
      <w:spacing w:after="100"/>
      <w:ind w:left="1760"/>
      <w:jc w:val="left"/>
    </w:pPr>
    <w:rPr>
      <w:rFonts w:asciiTheme="minorHAnsi" w:eastAsiaTheme="minorEastAsia" w:hAnsiTheme="minorHAnsi"/>
      <w:sz w:val="22"/>
      <w:lang w:eastAsia="en-AU"/>
    </w:rPr>
  </w:style>
  <w:style w:type="table" w:styleId="LightGrid-Accent4">
    <w:name w:val="Light Grid Accent 4"/>
    <w:basedOn w:val="TableNormal"/>
    <w:uiPriority w:val="62"/>
    <w:rsid w:val="0000686B"/>
    <w:rPr>
      <w:rFonts w:eastAsiaTheme="minorHAnsi" w:cstheme="minorBidi"/>
      <w:sz w:val="24"/>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00686B"/>
    <w:rPr>
      <w:rFonts w:eastAsiaTheme="minorHAnsi" w:cstheme="minorBidi"/>
      <w:sz w:val="24"/>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rm-strength">
    <w:name w:val="form-strength"/>
    <w:basedOn w:val="DefaultParagraphFont"/>
    <w:rsid w:val="0000686B"/>
  </w:style>
  <w:style w:type="table" w:styleId="LightGrid-Accent6">
    <w:name w:val="Light Grid Accent 6"/>
    <w:basedOn w:val="TableNormal"/>
    <w:uiPriority w:val="62"/>
    <w:rsid w:val="0000686B"/>
    <w:rPr>
      <w:rFonts w:eastAsiaTheme="minorHAnsi" w:cstheme="minorBidi"/>
      <w:sz w:val="24"/>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00686B"/>
    <w:rPr>
      <w:rFonts w:eastAsiaTheme="minorHAnsi" w:cstheme="minorBidi"/>
      <w:sz w:val="24"/>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Heading51">
    <w:name w:val="Heading 51"/>
    <w:basedOn w:val="Normal"/>
    <w:link w:val="heading5Char0"/>
    <w:qFormat/>
    <w:rsid w:val="0000686B"/>
    <w:pPr>
      <w:keepNext/>
      <w:keepLines/>
      <w:spacing w:before="120" w:after="120"/>
    </w:pPr>
    <w:rPr>
      <w:rFonts w:asciiTheme="majorHAnsi" w:hAnsiTheme="majorHAnsi"/>
      <w:b/>
      <w:i/>
      <w:szCs w:val="24"/>
    </w:rPr>
  </w:style>
  <w:style w:type="character" w:customStyle="1" w:styleId="heading5Char0">
    <w:name w:val="heading 5 Char"/>
    <w:basedOn w:val="DefaultParagraphFont"/>
    <w:link w:val="Heading51"/>
    <w:rsid w:val="0000686B"/>
    <w:rPr>
      <w:rFonts w:asciiTheme="majorHAnsi" w:eastAsiaTheme="minorHAnsi" w:hAnsiTheme="majorHAnsi" w:cstheme="minorBidi"/>
      <w:b/>
      <w:i/>
      <w:sz w:val="24"/>
      <w:szCs w:val="24"/>
      <w:lang w:eastAsia="en-US"/>
    </w:rPr>
  </w:style>
  <w:style w:type="paragraph" w:customStyle="1" w:styleId="BodyText1">
    <w:name w:val="Body Text1"/>
    <w:basedOn w:val="Normal"/>
    <w:link w:val="BodytextChar"/>
    <w:uiPriority w:val="1"/>
    <w:qFormat/>
    <w:rsid w:val="0000686B"/>
    <w:pPr>
      <w:shd w:val="clear" w:color="auto" w:fill="FFFFFF" w:themeFill="background1"/>
      <w:spacing w:before="120" w:after="120" w:line="260" w:lineRule="exact"/>
      <w:jc w:val="left"/>
    </w:pPr>
    <w:rPr>
      <w:rFonts w:ascii="Arial" w:eastAsia="Times New Roman" w:hAnsi="Arial" w:cs="Arial"/>
      <w:sz w:val="20"/>
      <w:szCs w:val="20"/>
      <w:lang w:eastAsia="en-AU"/>
    </w:rPr>
  </w:style>
  <w:style w:type="character" w:customStyle="1" w:styleId="BodytextChar">
    <w:name w:val="Body text Char"/>
    <w:basedOn w:val="DefaultParagraphFont"/>
    <w:link w:val="BodyText1"/>
    <w:uiPriority w:val="1"/>
    <w:rsid w:val="0000686B"/>
    <w:rPr>
      <w:rFonts w:ascii="Arial" w:hAnsi="Arial" w:cs="Arial"/>
      <w:shd w:val="clear" w:color="auto" w:fill="FFFFFF" w:themeFill="background1"/>
    </w:rPr>
  </w:style>
  <w:style w:type="paragraph" w:customStyle="1" w:styleId="Tablefootnote">
    <w:name w:val="Table footnote"/>
    <w:basedOn w:val="Normal"/>
    <w:next w:val="BodyText1"/>
    <w:link w:val="TablefootnoteCharChar"/>
    <w:uiPriority w:val="57"/>
    <w:rsid w:val="0000686B"/>
    <w:pPr>
      <w:spacing w:before="60" w:after="60" w:line="240" w:lineRule="auto"/>
      <w:ind w:left="426"/>
      <w:jc w:val="left"/>
    </w:pPr>
    <w:rPr>
      <w:rFonts w:ascii="Arial Narrow" w:eastAsia="Times New Roman" w:hAnsi="Arial Narrow" w:cs="Times New Roman"/>
      <w:sz w:val="16"/>
      <w:szCs w:val="20"/>
    </w:rPr>
  </w:style>
  <w:style w:type="character" w:customStyle="1" w:styleId="TablefootnoteCharChar">
    <w:name w:val="Table footnote Char Char"/>
    <w:basedOn w:val="DefaultParagraphFont"/>
    <w:link w:val="Tablefootnote"/>
    <w:uiPriority w:val="57"/>
    <w:rsid w:val="0000686B"/>
    <w:rPr>
      <w:rFonts w:ascii="Arial Narrow" w:hAnsi="Arial Narrow"/>
      <w:sz w:val="16"/>
      <w:lang w:eastAsia="en-US"/>
    </w:rPr>
  </w:style>
  <w:style w:type="paragraph" w:customStyle="1" w:styleId="Tabletitle">
    <w:name w:val="Table title"/>
    <w:basedOn w:val="Normal"/>
    <w:next w:val="BodyText1"/>
    <w:uiPriority w:val="99"/>
    <w:rsid w:val="0000686B"/>
    <w:pPr>
      <w:keepNext/>
      <w:numPr>
        <w:numId w:val="3"/>
      </w:numPr>
      <w:shd w:val="clear" w:color="auto" w:fill="FFFFFF" w:themeFill="background1"/>
      <w:spacing w:before="240" w:after="120" w:line="260" w:lineRule="exact"/>
      <w:jc w:val="left"/>
      <w:outlineLvl w:val="2"/>
    </w:pPr>
    <w:rPr>
      <w:rFonts w:ascii="Arial Narrow" w:eastAsia="Times New Roman" w:hAnsi="Arial Narrow" w:cs="Arial"/>
      <w:b/>
      <w:caps/>
      <w:color w:val="4B306A"/>
      <w:sz w:val="16"/>
      <w:szCs w:val="20"/>
    </w:rPr>
  </w:style>
  <w:style w:type="table" w:customStyle="1" w:styleId="TableNPSstandard">
    <w:name w:val="Table NPS standard"/>
    <w:basedOn w:val="TableNormal"/>
    <w:rsid w:val="0000686B"/>
    <w:pPr>
      <w:spacing w:before="60" w:line="264" w:lineRule="auto"/>
    </w:pPr>
    <w:rPr>
      <w:rFonts w:ascii="Arial Narrow" w:hAnsi="Arial Narrow"/>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paragraph" w:customStyle="1" w:styleId="Tablebullet">
    <w:name w:val="Table bullet"/>
    <w:basedOn w:val="Normal"/>
    <w:uiPriority w:val="53"/>
    <w:rsid w:val="0000686B"/>
    <w:pPr>
      <w:numPr>
        <w:numId w:val="4"/>
      </w:numPr>
      <w:spacing w:after="0" w:line="240" w:lineRule="auto"/>
      <w:jc w:val="left"/>
    </w:pPr>
    <w:rPr>
      <w:rFonts w:ascii="Arial Narrow" w:eastAsia="Times New Roman" w:hAnsi="Arial Narrow" w:cs="Times New Roman"/>
      <w:sz w:val="20"/>
      <w:szCs w:val="24"/>
      <w:lang w:eastAsia="en-AU"/>
    </w:rPr>
  </w:style>
  <w:style w:type="character" w:customStyle="1" w:styleId="Superscript">
    <w:name w:val="Superscript"/>
    <w:uiPriority w:val="18"/>
    <w:rsid w:val="0000686B"/>
    <w:rPr>
      <w:vertAlign w:val="superscript"/>
    </w:rPr>
  </w:style>
  <w:style w:type="paragraph" w:customStyle="1" w:styleId="ReportSubtitle">
    <w:name w:val="Report Subtitle"/>
    <w:basedOn w:val="Normal"/>
    <w:rsid w:val="0000686B"/>
    <w:pPr>
      <w:spacing w:after="240" w:line="240" w:lineRule="auto"/>
      <w:ind w:left="720"/>
      <w:jc w:val="right"/>
    </w:pPr>
    <w:rPr>
      <w:rFonts w:ascii="Arial Bold" w:eastAsia="Times New Roman" w:hAnsi="Arial Bold" w:cs="Times New Roman"/>
      <w:b/>
      <w:bCs/>
      <w:color w:val="000000"/>
      <w:sz w:val="40"/>
      <w:szCs w:val="20"/>
      <w:lang w:eastAsia="en-AU"/>
    </w:rPr>
  </w:style>
  <w:style w:type="character" w:customStyle="1" w:styleId="label-">
    <w:name w:val="label-"/>
    <w:basedOn w:val="DefaultParagraphFont"/>
    <w:rsid w:val="0000686B"/>
  </w:style>
  <w:style w:type="table" w:customStyle="1" w:styleId="TableGrid2">
    <w:name w:val="Table Grid2"/>
    <w:basedOn w:val="TableNormal"/>
    <w:next w:val="TableGrid"/>
    <w:uiPriority w:val="39"/>
    <w:rsid w:val="0000686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39"/>
    <w:rsid w:val="00006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06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06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06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00686B"/>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moveelement">
    <w:name w:val="removeelement"/>
    <w:basedOn w:val="Normal"/>
    <w:rsid w:val="0000686B"/>
    <w:pPr>
      <w:spacing w:after="300" w:line="300" w:lineRule="atLeast"/>
      <w:jc w:val="left"/>
    </w:pPr>
    <w:rPr>
      <w:rFonts w:ascii="Times New Roman" w:eastAsia="Times New Roman" w:hAnsi="Times New Roman" w:cs="Times New Roman"/>
      <w:color w:val="414042"/>
      <w:sz w:val="21"/>
      <w:szCs w:val="21"/>
      <w:lang w:eastAsia="en-AU"/>
    </w:rPr>
  </w:style>
  <w:style w:type="character" w:customStyle="1" w:styleId="abbrev">
    <w:name w:val="abbrev"/>
    <w:basedOn w:val="DefaultParagraphFont"/>
    <w:rsid w:val="0000686B"/>
  </w:style>
  <w:style w:type="character" w:customStyle="1" w:styleId="online">
    <w:name w:val="online"/>
    <w:basedOn w:val="DefaultParagraphFont"/>
    <w:rsid w:val="0000686B"/>
  </w:style>
  <w:style w:type="character" w:customStyle="1" w:styleId="st1">
    <w:name w:val="st1"/>
    <w:basedOn w:val="DefaultParagraphFont"/>
    <w:rsid w:val="0000686B"/>
  </w:style>
  <w:style w:type="character" w:customStyle="1" w:styleId="tgc">
    <w:name w:val="_tgc"/>
    <w:basedOn w:val="DefaultParagraphFont"/>
    <w:rsid w:val="0000686B"/>
  </w:style>
  <w:style w:type="paragraph" w:customStyle="1" w:styleId="Notes">
    <w:name w:val="Notes"/>
    <w:basedOn w:val="Normal"/>
    <w:qFormat/>
    <w:rsid w:val="0000686B"/>
    <w:pPr>
      <w:spacing w:after="0" w:line="240" w:lineRule="auto"/>
      <w:jc w:val="left"/>
    </w:pPr>
    <w:rPr>
      <w:rFonts w:ascii="Arial" w:eastAsia="Times New Roman" w:hAnsi="Arial" w:cs="Arial"/>
      <w:noProof/>
      <w:sz w:val="20"/>
      <w:szCs w:val="20"/>
      <w:lang w:val="en-US" w:eastAsia="en-AU"/>
    </w:rPr>
  </w:style>
  <w:style w:type="character" w:customStyle="1" w:styleId="TablewritingChar">
    <w:name w:val="Table writing Char"/>
    <w:link w:val="Tablewriting"/>
    <w:locked/>
    <w:rsid w:val="0000686B"/>
    <w:rPr>
      <w:rFonts w:ascii="Arial" w:hAnsi="Arial" w:cs="Arial"/>
      <w:sz w:val="22"/>
    </w:rPr>
  </w:style>
  <w:style w:type="paragraph" w:customStyle="1" w:styleId="Tablewriting">
    <w:name w:val="Table writing"/>
    <w:basedOn w:val="Normal"/>
    <w:link w:val="TablewritingChar"/>
    <w:qFormat/>
    <w:rsid w:val="0000686B"/>
    <w:pPr>
      <w:overflowPunct w:val="0"/>
      <w:autoSpaceDE w:val="0"/>
      <w:autoSpaceDN w:val="0"/>
      <w:adjustRightInd w:val="0"/>
      <w:spacing w:before="40" w:after="40" w:line="240" w:lineRule="auto"/>
      <w:jc w:val="left"/>
    </w:pPr>
    <w:rPr>
      <w:rFonts w:ascii="Arial" w:eastAsia="Times New Roman" w:hAnsi="Arial" w:cs="Arial"/>
      <w:sz w:val="22"/>
      <w:szCs w:val="20"/>
      <w:lang w:eastAsia="en-AU"/>
    </w:rPr>
  </w:style>
  <w:style w:type="paragraph" w:styleId="BodyText">
    <w:name w:val="Body Text"/>
    <w:basedOn w:val="Normal"/>
    <w:link w:val="BodyTextChar0"/>
    <w:uiPriority w:val="1"/>
    <w:unhideWhenUsed/>
    <w:qFormat/>
    <w:rsid w:val="0000686B"/>
    <w:pPr>
      <w:spacing w:after="120"/>
    </w:pPr>
  </w:style>
  <w:style w:type="character" w:customStyle="1" w:styleId="BodyTextChar0">
    <w:name w:val="Body Text Char"/>
    <w:basedOn w:val="DefaultParagraphFont"/>
    <w:link w:val="BodyText"/>
    <w:uiPriority w:val="1"/>
    <w:rsid w:val="0000686B"/>
    <w:rPr>
      <w:rFonts w:ascii="Cambria" w:eastAsiaTheme="minorHAnsi" w:hAnsi="Cambria" w:cstheme="minorBidi"/>
      <w:sz w:val="24"/>
      <w:szCs w:val="22"/>
      <w:lang w:eastAsia="en-US"/>
    </w:rPr>
  </w:style>
  <w:style w:type="paragraph" w:styleId="ListBullet">
    <w:name w:val="List Bullet"/>
    <w:basedOn w:val="BodyText"/>
    <w:uiPriority w:val="99"/>
    <w:qFormat/>
    <w:rsid w:val="0000686B"/>
    <w:pPr>
      <w:numPr>
        <w:numId w:val="14"/>
      </w:numPr>
      <w:spacing w:before="120" w:after="0" w:line="300" w:lineRule="atLeast"/>
      <w:jc w:val="left"/>
    </w:pPr>
    <w:rPr>
      <w:rFonts w:asciiTheme="minorHAnsi" w:eastAsia="Times New Roman" w:hAnsiTheme="minorHAnsi" w:cs="Times New Roman"/>
      <w:sz w:val="22"/>
      <w:lang w:eastAsia="en-AU"/>
    </w:rPr>
  </w:style>
  <w:style w:type="table" w:customStyle="1" w:styleId="TableGrid23">
    <w:name w:val="Table Grid23"/>
    <w:basedOn w:val="TableNormal"/>
    <w:next w:val="TableGrid"/>
    <w:rsid w:val="0000686B"/>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character" w:customStyle="1" w:styleId="selectable">
    <w:name w:val="selectable"/>
    <w:basedOn w:val="DefaultParagraphFont"/>
    <w:rsid w:val="0000686B"/>
  </w:style>
  <w:style w:type="paragraph" w:customStyle="1" w:styleId="TableParagraph">
    <w:name w:val="Table Paragraph"/>
    <w:basedOn w:val="Normal"/>
    <w:uiPriority w:val="1"/>
    <w:qFormat/>
    <w:rsid w:val="0000686B"/>
    <w:pPr>
      <w:widowControl w:val="0"/>
      <w:autoSpaceDE w:val="0"/>
      <w:autoSpaceDN w:val="0"/>
      <w:adjustRightInd w:val="0"/>
      <w:spacing w:after="0" w:line="240" w:lineRule="auto"/>
      <w:jc w:val="left"/>
    </w:pPr>
    <w:rPr>
      <w:rFonts w:ascii="Times New Roman" w:eastAsiaTheme="minorEastAsia" w:hAnsi="Times New Roman" w:cs="Times New Roman"/>
      <w:szCs w:val="24"/>
      <w:lang w:eastAsia="en-AU"/>
    </w:rPr>
  </w:style>
  <w:style w:type="paragraph" w:customStyle="1" w:styleId="Figuretitle">
    <w:name w:val="Figure title"/>
    <w:basedOn w:val="Tabletitle"/>
    <w:link w:val="FiguretitleChar"/>
    <w:qFormat/>
    <w:rsid w:val="0000686B"/>
    <w:pPr>
      <w:keepNext w:val="0"/>
      <w:numPr>
        <w:numId w:val="0"/>
      </w:numPr>
      <w:shd w:val="clear" w:color="auto" w:fill="auto"/>
      <w:spacing w:before="60" w:after="60" w:line="240" w:lineRule="auto"/>
      <w:outlineLvl w:val="3"/>
    </w:pPr>
    <w:rPr>
      <w:rFonts w:asciiTheme="minorHAnsi" w:eastAsiaTheme="minorEastAsia" w:hAnsiTheme="minorHAnsi" w:cstheme="minorBidi"/>
      <w:caps w:val="0"/>
      <w:color w:val="auto"/>
      <w:sz w:val="24"/>
      <w:szCs w:val="24"/>
      <w:lang w:val="en-US"/>
    </w:rPr>
  </w:style>
  <w:style w:type="character" w:customStyle="1" w:styleId="FiguretitleChar">
    <w:name w:val="Figure title Char"/>
    <w:basedOn w:val="DefaultParagraphFont"/>
    <w:link w:val="Figuretitle"/>
    <w:rsid w:val="0000686B"/>
    <w:rPr>
      <w:rFonts w:asciiTheme="minorHAnsi" w:eastAsiaTheme="minorEastAsia" w:hAnsiTheme="minorHAnsi" w:cstheme="minorBidi"/>
      <w:b/>
      <w:sz w:val="24"/>
      <w:szCs w:val="24"/>
      <w:lang w:val="en-US" w:eastAsia="en-US"/>
    </w:rPr>
  </w:style>
  <w:style w:type="paragraph" w:customStyle="1" w:styleId="Figurecaption">
    <w:name w:val="Figure caption"/>
    <w:basedOn w:val="Normal"/>
    <w:link w:val="FigurecaptionChar"/>
    <w:qFormat/>
    <w:rsid w:val="0000686B"/>
    <w:pPr>
      <w:spacing w:before="60" w:after="60" w:line="240" w:lineRule="auto"/>
      <w:jc w:val="left"/>
    </w:pPr>
    <w:rPr>
      <w:rFonts w:asciiTheme="minorHAnsi" w:eastAsiaTheme="minorEastAsia" w:hAnsiTheme="minorHAnsi"/>
      <w:sz w:val="20"/>
      <w:szCs w:val="20"/>
    </w:rPr>
  </w:style>
  <w:style w:type="character" w:customStyle="1" w:styleId="FigurecaptionChar">
    <w:name w:val="Figure caption Char"/>
    <w:basedOn w:val="DefaultParagraphFont"/>
    <w:link w:val="Figurecaption"/>
    <w:rsid w:val="0000686B"/>
    <w:rPr>
      <w:rFonts w:asciiTheme="minorHAnsi" w:eastAsiaTheme="minorEastAsia" w:hAnsiTheme="minorHAnsi" w:cstheme="minorBidi"/>
      <w:lang w:eastAsia="en-US"/>
    </w:rPr>
  </w:style>
  <w:style w:type="table" w:customStyle="1" w:styleId="TableGrid25">
    <w:name w:val="Table Grid25"/>
    <w:basedOn w:val="TableNormal"/>
    <w:next w:val="TableGrid"/>
    <w:uiPriority w:val="39"/>
    <w:rsid w:val="0000686B"/>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customStyle="1" w:styleId="xmsolistparagraph">
    <w:name w:val="x_msolistparagraph"/>
    <w:basedOn w:val="Normal"/>
    <w:uiPriority w:val="99"/>
    <w:rsid w:val="0000686B"/>
    <w:pPr>
      <w:spacing w:after="0" w:line="240" w:lineRule="auto"/>
      <w:jc w:val="left"/>
    </w:pPr>
    <w:rPr>
      <w:rFonts w:ascii="Times New Roman" w:hAnsi="Times New Roman" w:cs="Times New Roman"/>
      <w:szCs w:val="24"/>
      <w:lang w:eastAsia="en-AU"/>
    </w:rPr>
  </w:style>
  <w:style w:type="paragraph" w:styleId="ListBullet2">
    <w:name w:val="List Bullet 2"/>
    <w:basedOn w:val="Normal"/>
    <w:uiPriority w:val="99"/>
    <w:unhideWhenUsed/>
    <w:rsid w:val="0000686B"/>
    <w:pPr>
      <w:numPr>
        <w:numId w:val="22"/>
      </w:numPr>
      <w:contextualSpacing/>
    </w:pPr>
  </w:style>
  <w:style w:type="paragraph" w:customStyle="1" w:styleId="Coverdate">
    <w:name w:val="Cover date"/>
    <w:basedOn w:val="Subtitle"/>
    <w:next w:val="BodyText"/>
    <w:uiPriority w:val="99"/>
    <w:rsid w:val="0000686B"/>
    <w:pPr>
      <w:framePr w:w="8335" w:h="2552" w:hRule="exact" w:hSpace="181" w:wrap="notBeside" w:vAnchor="page" w:hAnchor="text" w:x="1" w:y="4254"/>
      <w:numPr>
        <w:ilvl w:val="0"/>
      </w:numPr>
      <w:tabs>
        <w:tab w:val="left" w:pos="425"/>
      </w:tabs>
      <w:spacing w:before="120" w:line="300" w:lineRule="atLeast"/>
    </w:pPr>
    <w:rPr>
      <w:rFonts w:ascii="Arial Bold" w:eastAsia="Times New Roman" w:hAnsi="Arial Bold" w:cs="Arial"/>
      <w:iCs w:val="0"/>
      <w:caps/>
      <w:color w:val="1F497D" w:themeColor="text2"/>
      <w:spacing w:val="20"/>
      <w:kern w:val="28"/>
      <w:szCs w:val="40"/>
      <w:lang w:eastAsia="en-AU"/>
    </w:rPr>
  </w:style>
  <w:style w:type="paragraph" w:customStyle="1" w:styleId="Contents">
    <w:name w:val="Contents"/>
    <w:basedOn w:val="BodyText"/>
    <w:next w:val="BodyText"/>
    <w:uiPriority w:val="99"/>
    <w:unhideWhenUsed/>
    <w:rsid w:val="0000686B"/>
    <w:pPr>
      <w:spacing w:before="480" w:after="480" w:line="360" w:lineRule="atLeast"/>
      <w:jc w:val="left"/>
    </w:pPr>
    <w:rPr>
      <w:rFonts w:asciiTheme="majorHAnsi" w:eastAsia="Times New Roman" w:hAnsiTheme="majorHAnsi" w:cs="Times New Roman"/>
      <w:b/>
      <w:caps/>
      <w:sz w:val="32"/>
      <w:lang w:eastAsia="en-AU"/>
    </w:rPr>
  </w:style>
  <w:style w:type="table" w:customStyle="1" w:styleId="TableGrid16">
    <w:name w:val="Table Grid16"/>
    <w:basedOn w:val="TableNormal"/>
    <w:uiPriority w:val="39"/>
    <w:rsid w:val="0000686B"/>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00686B"/>
    <w:rPr>
      <w:rFonts w:ascii="Cambria"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00686B"/>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rsid w:val="0000686B"/>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rsid w:val="0000686B"/>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ame">
    <w:name w:val="TableName"/>
    <w:basedOn w:val="Normal"/>
    <w:qFormat/>
    <w:rsid w:val="0000686B"/>
    <w:pPr>
      <w:spacing w:after="240" w:line="240" w:lineRule="auto"/>
      <w:ind w:left="1418" w:hanging="1418"/>
      <w:jc w:val="left"/>
    </w:pPr>
    <w:rPr>
      <w:rFonts w:asciiTheme="minorHAnsi" w:hAnsiTheme="minorHAnsi"/>
      <w:b/>
    </w:rPr>
  </w:style>
  <w:style w:type="character" w:customStyle="1" w:styleId="TableTextChar">
    <w:name w:val="Table Text Char"/>
    <w:link w:val="TableText"/>
    <w:locked/>
    <w:rsid w:val="0000686B"/>
    <w:rPr>
      <w:rFonts w:ascii="Arial" w:hAnsi="Arial"/>
      <w:sz w:val="18"/>
    </w:rPr>
  </w:style>
  <w:style w:type="paragraph" w:customStyle="1" w:styleId="TableText">
    <w:name w:val="Table Text"/>
    <w:basedOn w:val="Normal"/>
    <w:link w:val="TableTextChar"/>
    <w:rsid w:val="0000686B"/>
    <w:pPr>
      <w:keepNext/>
      <w:spacing w:before="40" w:after="40" w:line="240" w:lineRule="auto"/>
      <w:jc w:val="left"/>
    </w:pPr>
    <w:rPr>
      <w:rFonts w:ascii="Arial" w:eastAsia="Times New Roman" w:hAnsi="Arial" w:cs="Times New Roman"/>
      <w:sz w:val="18"/>
      <w:szCs w:val="20"/>
      <w:lang w:eastAsia="en-AU"/>
    </w:rPr>
  </w:style>
  <w:style w:type="paragraph" w:customStyle="1" w:styleId="Caption1">
    <w:name w:val="Caption1"/>
    <w:basedOn w:val="Normal"/>
    <w:rsid w:val="0000686B"/>
    <w:pPr>
      <w:spacing w:before="100" w:beforeAutospacing="1" w:after="100" w:afterAutospacing="1" w:line="240" w:lineRule="auto"/>
      <w:jc w:val="left"/>
    </w:pPr>
    <w:rPr>
      <w:rFonts w:ascii="Times New Roman" w:eastAsia="Times New Roman" w:hAnsi="Times New Roman" w:cs="Times New Roman"/>
      <w:szCs w:val="24"/>
      <w:lang w:eastAsia="zh-CN"/>
    </w:rPr>
  </w:style>
  <w:style w:type="character" w:customStyle="1" w:styleId="TabletextChar0">
    <w:name w:val="Table text Char"/>
    <w:link w:val="Tabletext0"/>
    <w:locked/>
    <w:rsid w:val="0000686B"/>
    <w:rPr>
      <w:rFonts w:ascii="Arial Narrow" w:hAnsi="Arial Narrow"/>
      <w:szCs w:val="24"/>
    </w:rPr>
  </w:style>
  <w:style w:type="paragraph" w:customStyle="1" w:styleId="Tabletext0">
    <w:name w:val="Table text"/>
    <w:basedOn w:val="Normal"/>
    <w:link w:val="TabletextChar0"/>
    <w:qFormat/>
    <w:rsid w:val="0000686B"/>
    <w:pPr>
      <w:spacing w:after="0" w:line="240" w:lineRule="auto"/>
      <w:ind w:left="34"/>
      <w:jc w:val="left"/>
    </w:pPr>
    <w:rPr>
      <w:rFonts w:ascii="Arial Narrow" w:eastAsia="Times New Roman" w:hAnsi="Arial Narrow" w:cs="Times New Roman"/>
      <w:sz w:val="20"/>
      <w:szCs w:val="24"/>
      <w:lang w:eastAsia="en-AU"/>
    </w:rPr>
  </w:style>
  <w:style w:type="character" w:customStyle="1" w:styleId="term">
    <w:name w:val="term"/>
    <w:basedOn w:val="DefaultParagraphFont"/>
    <w:rsid w:val="0000686B"/>
  </w:style>
  <w:style w:type="table" w:customStyle="1" w:styleId="TableGrid7">
    <w:name w:val="Table Grid7"/>
    <w:basedOn w:val="TableNormal"/>
    <w:uiPriority w:val="39"/>
    <w:rsid w:val="0000686B"/>
    <w:pPr>
      <w:spacing w:after="240"/>
      <w:ind w:left="720"/>
    </w:pPr>
    <w:rPr>
      <w:rFonts w:ascii="Garamond" w:hAnsi="Garamond"/>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00686B"/>
    <w:pPr>
      <w:spacing w:after="240"/>
      <w:ind w:left="720"/>
    </w:pPr>
    <w:rPr>
      <w:rFonts w:ascii="Garamond" w:hAnsi="Garamond"/>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rsid w:val="0000686B"/>
    <w:pPr>
      <w:spacing w:after="240"/>
      <w:ind w:left="720"/>
    </w:pPr>
    <w:rPr>
      <w:rFonts w:ascii="Garamond" w:hAnsi="Garamond"/>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rsid w:val="0000686B"/>
    <w:pPr>
      <w:spacing w:after="240"/>
      <w:ind w:left="720"/>
    </w:pPr>
    <w:rPr>
      <w:rFonts w:ascii="Garamond" w:hAnsi="Garamond"/>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00686B"/>
    <w:pPr>
      <w:spacing w:after="240"/>
      <w:ind w:left="720"/>
    </w:pPr>
    <w:rPr>
      <w:rFonts w:ascii="Garamond" w:hAnsi="Garamond"/>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00686B"/>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0686B"/>
  </w:style>
  <w:style w:type="table" w:customStyle="1" w:styleId="TableGrid12">
    <w:name w:val="Table Grid12"/>
    <w:basedOn w:val="TableNormal"/>
    <w:next w:val="TableGrid"/>
    <w:uiPriority w:val="39"/>
    <w:rsid w:val="0000686B"/>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0686B"/>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numbering" w:customStyle="1" w:styleId="NoList2">
    <w:name w:val="No List2"/>
    <w:next w:val="NoList"/>
    <w:uiPriority w:val="99"/>
    <w:semiHidden/>
    <w:unhideWhenUsed/>
    <w:rsid w:val="0000686B"/>
  </w:style>
  <w:style w:type="numbering" w:customStyle="1" w:styleId="NoList11">
    <w:name w:val="No List11"/>
    <w:next w:val="NoList"/>
    <w:uiPriority w:val="99"/>
    <w:semiHidden/>
    <w:unhideWhenUsed/>
    <w:rsid w:val="0000686B"/>
  </w:style>
  <w:style w:type="table" w:customStyle="1" w:styleId="TableGrid15">
    <w:name w:val="Table Grid15"/>
    <w:basedOn w:val="TableNormal"/>
    <w:next w:val="TableGrid"/>
    <w:uiPriority w:val="39"/>
    <w:rsid w:val="000068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068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068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00686B"/>
    <w:pPr>
      <w:spacing w:after="240"/>
      <w:ind w:left="720"/>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00686B"/>
    <w:pPr>
      <w:spacing w:after="240"/>
      <w:ind w:left="720"/>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0686B"/>
    <w:pPr>
      <w:spacing w:after="240"/>
      <w:ind w:left="720"/>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00686B"/>
    <w:pPr>
      <w:spacing w:after="240"/>
      <w:ind w:left="720"/>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00686B"/>
    <w:pPr>
      <w:spacing w:after="240"/>
      <w:ind w:left="720"/>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00686B"/>
    <w:pPr>
      <w:spacing w:after="240"/>
      <w:ind w:left="720"/>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00686B"/>
    <w:pPr>
      <w:spacing w:after="240"/>
      <w:ind w:left="720"/>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00686B"/>
  </w:style>
  <w:style w:type="table" w:customStyle="1" w:styleId="TableGrid121">
    <w:name w:val="Table Grid121"/>
    <w:basedOn w:val="TableNormal"/>
    <w:next w:val="TableGrid"/>
    <w:uiPriority w:val="39"/>
    <w:rsid w:val="0000686B"/>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00686B"/>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0686B"/>
    <w:pPr>
      <w:spacing w:after="160" w:line="240" w:lineRule="exact"/>
      <w:jc w:val="left"/>
    </w:pPr>
    <w:rPr>
      <w:rFonts w:ascii="Verdana" w:eastAsia="MS Mincho" w:hAnsi="Verdana" w:cs="Verdana"/>
      <w:sz w:val="20"/>
      <w:szCs w:val="20"/>
      <w:lang w:val="en-US"/>
    </w:rPr>
  </w:style>
  <w:style w:type="numbering" w:customStyle="1" w:styleId="NoList3">
    <w:name w:val="No List3"/>
    <w:next w:val="NoList"/>
    <w:uiPriority w:val="99"/>
    <w:semiHidden/>
    <w:unhideWhenUsed/>
    <w:rsid w:val="0000686B"/>
  </w:style>
  <w:style w:type="table" w:customStyle="1" w:styleId="TableGrid17">
    <w:name w:val="Table Grid17"/>
    <w:basedOn w:val="TableNormal"/>
    <w:next w:val="TableGrid"/>
    <w:uiPriority w:val="39"/>
    <w:rsid w:val="002D2F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line">
    <w:name w:val="citationline"/>
    <w:basedOn w:val="Normal"/>
    <w:rsid w:val="002713D8"/>
    <w:pPr>
      <w:spacing w:before="100" w:beforeAutospacing="1" w:after="100" w:afterAutospacing="1" w:line="336" w:lineRule="atLeast"/>
      <w:jc w:val="left"/>
    </w:pPr>
    <w:rPr>
      <w:rFonts w:ascii="Times New Roman" w:eastAsia="Times New Roman" w:hAnsi="Times New Roman" w:cs="Times New Roman"/>
      <w:sz w:val="17"/>
      <w:szCs w:val="17"/>
      <w:lang w:eastAsia="en-AU"/>
    </w:rPr>
  </w:style>
  <w:style w:type="paragraph" w:customStyle="1" w:styleId="authors">
    <w:name w:val="authors"/>
    <w:basedOn w:val="Normal"/>
    <w:rsid w:val="002713D8"/>
    <w:pPr>
      <w:spacing w:before="100" w:beforeAutospacing="1" w:after="100" w:afterAutospacing="1" w:line="336" w:lineRule="atLeast"/>
      <w:jc w:val="left"/>
    </w:pPr>
    <w:rPr>
      <w:rFonts w:ascii="Times New Roman" w:eastAsia="Times New Roman" w:hAnsi="Times New Roman" w:cs="Times New Roman"/>
      <w:sz w:val="17"/>
      <w:szCs w:val="17"/>
      <w:lang w:eastAsia="en-AU"/>
    </w:rPr>
  </w:style>
  <w:style w:type="character" w:customStyle="1" w:styleId="doi1">
    <w:name w:val="doi1"/>
    <w:basedOn w:val="DefaultParagraphFont"/>
    <w:rsid w:val="002713D8"/>
    <w:rPr>
      <w:color w:val="666666"/>
    </w:rPr>
  </w:style>
  <w:style w:type="character" w:customStyle="1" w:styleId="nlmon-behalf-of">
    <w:name w:val="nlm_on-behalf-of"/>
    <w:basedOn w:val="DefaultParagraphFont"/>
    <w:rsid w:val="002713D8"/>
  </w:style>
  <w:style w:type="character" w:customStyle="1" w:styleId="citation">
    <w:name w:val="citation"/>
    <w:basedOn w:val="DefaultParagraphFont"/>
    <w:rsid w:val="002713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List Bullet" w:uiPriority="99" w:qFormat="1"/>
    <w:lsdException w:name="List Bullet 2" w:uiPriority="99"/>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Cite"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B52"/>
    <w:pPr>
      <w:spacing w:after="200" w:line="276" w:lineRule="auto"/>
      <w:jc w:val="both"/>
    </w:pPr>
    <w:rPr>
      <w:rFonts w:ascii="Cambria" w:eastAsiaTheme="minorHAnsi" w:hAnsi="Cambria" w:cstheme="minorBidi"/>
      <w:sz w:val="24"/>
      <w:szCs w:val="22"/>
      <w:lang w:eastAsia="en-US"/>
    </w:rPr>
  </w:style>
  <w:style w:type="paragraph" w:styleId="Heading1">
    <w:name w:val="heading 1"/>
    <w:basedOn w:val="Normal"/>
    <w:next w:val="Normal"/>
    <w:link w:val="Heading1Char"/>
    <w:uiPriority w:val="9"/>
    <w:qFormat/>
    <w:rsid w:val="00F03B50"/>
    <w:pPr>
      <w:keepNext/>
      <w:spacing w:before="240" w:after="60"/>
      <w:jc w:val="center"/>
      <w:outlineLvl w:val="0"/>
    </w:pPr>
    <w:rPr>
      <w:rFonts w:asciiTheme="minorHAnsi" w:hAnsiTheme="minorHAnsi" w:cs="Arial"/>
      <w:b/>
      <w:bCs/>
      <w:color w:val="365F91" w:themeColor="accent1" w:themeShade="BF"/>
      <w:kern w:val="28"/>
      <w:sz w:val="40"/>
      <w:szCs w:val="32"/>
    </w:rPr>
  </w:style>
  <w:style w:type="paragraph" w:styleId="Heading2">
    <w:name w:val="heading 2"/>
    <w:basedOn w:val="Normal"/>
    <w:next w:val="Normal"/>
    <w:link w:val="Heading2Char"/>
    <w:uiPriority w:val="9"/>
    <w:qFormat/>
    <w:rsid w:val="008810FB"/>
    <w:pPr>
      <w:keepNext/>
      <w:spacing w:before="240" w:after="60"/>
      <w:jc w:val="left"/>
      <w:outlineLvl w:val="1"/>
    </w:pPr>
    <w:rPr>
      <w:rFonts w:asciiTheme="minorHAnsi" w:hAnsiTheme="minorHAnsi" w:cs="Arial"/>
      <w:b/>
      <w:bCs/>
      <w:iCs/>
      <w:color w:val="365F91" w:themeColor="accent1" w:themeShade="BF"/>
      <w:sz w:val="32"/>
      <w:szCs w:val="28"/>
    </w:rPr>
  </w:style>
  <w:style w:type="paragraph" w:styleId="Heading3">
    <w:name w:val="heading 3"/>
    <w:basedOn w:val="Normal"/>
    <w:next w:val="Normal"/>
    <w:link w:val="Heading3Char"/>
    <w:uiPriority w:val="9"/>
    <w:qFormat/>
    <w:rsid w:val="00DA7A17"/>
    <w:pPr>
      <w:keepNext/>
      <w:spacing w:before="240" w:after="60"/>
      <w:outlineLvl w:val="2"/>
    </w:pPr>
    <w:rPr>
      <w:rFonts w:asciiTheme="minorHAnsi" w:hAnsiTheme="minorHAnsi" w:cs="Arial"/>
      <w:b/>
      <w:bCs/>
      <w:i/>
      <w:sz w:val="28"/>
      <w:szCs w:val="26"/>
    </w:rPr>
  </w:style>
  <w:style w:type="paragraph" w:styleId="Heading4">
    <w:name w:val="heading 4"/>
    <w:basedOn w:val="Normal"/>
    <w:next w:val="Normal"/>
    <w:link w:val="Heading4Char"/>
    <w:uiPriority w:val="9"/>
    <w:qFormat/>
    <w:rsid w:val="00F03B50"/>
    <w:pPr>
      <w:keepNext/>
      <w:spacing w:before="240" w:after="60"/>
      <w:outlineLvl w:val="3"/>
    </w:pPr>
    <w:rPr>
      <w:rFonts w:asciiTheme="minorHAnsi" w:hAnsiTheme="minorHAnsi"/>
      <w:b/>
      <w:bCs/>
      <w:i/>
      <w:szCs w:val="28"/>
    </w:rPr>
  </w:style>
  <w:style w:type="paragraph" w:styleId="Heading5">
    <w:name w:val="heading 5"/>
    <w:basedOn w:val="Normal"/>
    <w:next w:val="Normal"/>
    <w:link w:val="Heading5Char"/>
    <w:qFormat/>
    <w:rsid w:val="00A705AF"/>
    <w:pPr>
      <w:keepNext/>
      <w:spacing w:before="240" w:after="60"/>
      <w:outlineLvl w:val="4"/>
    </w:pPr>
    <w:rPr>
      <w:b/>
      <w:bCs/>
      <w:iCs/>
      <w:szCs w:val="26"/>
    </w:rPr>
  </w:style>
  <w:style w:type="paragraph" w:styleId="Heading6">
    <w:name w:val="heading 6"/>
    <w:basedOn w:val="Normal"/>
    <w:next w:val="Normal"/>
    <w:link w:val="Heading6Char"/>
    <w:qFormat/>
    <w:rsid w:val="00A705AF"/>
    <w:pPr>
      <w:keepNext/>
      <w:spacing w:before="240" w:after="60"/>
      <w:outlineLvl w:val="5"/>
    </w:pPr>
    <w:rPr>
      <w:b/>
      <w:bCs/>
      <w:i/>
    </w:rPr>
  </w:style>
  <w:style w:type="paragraph" w:styleId="Heading7">
    <w:name w:val="heading 7"/>
    <w:basedOn w:val="Normal"/>
    <w:next w:val="Normal"/>
    <w:link w:val="Heading7Char"/>
    <w:uiPriority w:val="9"/>
    <w:semiHidden/>
    <w:unhideWhenUsed/>
    <w:qFormat/>
    <w:rsid w:val="0000686B"/>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686B"/>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0686B"/>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link w:val="NoSpacingChar"/>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Footnote,BulletPoints"/>
    <w:basedOn w:val="Normal"/>
    <w:link w:val="ListParagraphChar"/>
    <w:uiPriority w:val="34"/>
    <w:qFormat/>
    <w:rsid w:val="00A4512D"/>
    <w:pPr>
      <w:ind w:left="720"/>
      <w:contextualSpacing/>
    </w:pPr>
  </w:style>
  <w:style w:type="character" w:customStyle="1" w:styleId="Heading7Char">
    <w:name w:val="Heading 7 Char"/>
    <w:basedOn w:val="DefaultParagraphFont"/>
    <w:link w:val="Heading7"/>
    <w:uiPriority w:val="9"/>
    <w:semiHidden/>
    <w:rsid w:val="0000686B"/>
    <w:rPr>
      <w:rFonts w:asciiTheme="majorHAnsi" w:eastAsiaTheme="majorEastAsia" w:hAnsiTheme="majorHAnsi" w:cstheme="majorBidi"/>
      <w:i/>
      <w:iCs/>
      <w:color w:val="404040" w:themeColor="text1" w:themeTint="BF"/>
      <w:sz w:val="24"/>
      <w:szCs w:val="22"/>
      <w:lang w:eastAsia="en-US"/>
    </w:rPr>
  </w:style>
  <w:style w:type="character" w:customStyle="1" w:styleId="Heading8Char">
    <w:name w:val="Heading 8 Char"/>
    <w:basedOn w:val="DefaultParagraphFont"/>
    <w:link w:val="Heading8"/>
    <w:uiPriority w:val="9"/>
    <w:semiHidden/>
    <w:rsid w:val="0000686B"/>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00686B"/>
    <w:rPr>
      <w:rFonts w:asciiTheme="majorHAnsi" w:eastAsiaTheme="majorEastAsia" w:hAnsiTheme="majorHAnsi" w:cstheme="majorBidi"/>
      <w:i/>
      <w:iCs/>
      <w:color w:val="404040" w:themeColor="text1" w:themeTint="BF"/>
      <w:lang w:eastAsia="en-US"/>
    </w:rPr>
  </w:style>
  <w:style w:type="character" w:customStyle="1" w:styleId="Heading1Char">
    <w:name w:val="Heading 1 Char"/>
    <w:basedOn w:val="DefaultParagraphFont"/>
    <w:link w:val="Heading1"/>
    <w:uiPriority w:val="9"/>
    <w:rsid w:val="00F03B50"/>
    <w:rPr>
      <w:rFonts w:asciiTheme="minorHAnsi" w:eastAsiaTheme="minorHAnsi" w:hAnsiTheme="minorHAnsi" w:cs="Arial"/>
      <w:b/>
      <w:bCs/>
      <w:color w:val="365F91" w:themeColor="accent1" w:themeShade="BF"/>
      <w:kern w:val="28"/>
      <w:sz w:val="40"/>
      <w:szCs w:val="32"/>
      <w:lang w:eastAsia="en-US"/>
    </w:rPr>
  </w:style>
  <w:style w:type="character" w:customStyle="1" w:styleId="Heading2Char">
    <w:name w:val="Heading 2 Char"/>
    <w:basedOn w:val="DefaultParagraphFont"/>
    <w:link w:val="Heading2"/>
    <w:uiPriority w:val="9"/>
    <w:rsid w:val="008810FB"/>
    <w:rPr>
      <w:rFonts w:asciiTheme="minorHAnsi" w:eastAsiaTheme="minorHAnsi" w:hAnsiTheme="minorHAnsi" w:cs="Arial"/>
      <w:b/>
      <w:bCs/>
      <w:iCs/>
      <w:color w:val="365F91" w:themeColor="accent1" w:themeShade="BF"/>
      <w:sz w:val="32"/>
      <w:szCs w:val="28"/>
      <w:lang w:eastAsia="en-US"/>
    </w:rPr>
  </w:style>
  <w:style w:type="character" w:customStyle="1" w:styleId="Heading3Char">
    <w:name w:val="Heading 3 Char"/>
    <w:basedOn w:val="DefaultParagraphFont"/>
    <w:link w:val="Heading3"/>
    <w:uiPriority w:val="9"/>
    <w:rsid w:val="00DA7A17"/>
    <w:rPr>
      <w:rFonts w:asciiTheme="minorHAnsi" w:eastAsiaTheme="minorHAnsi" w:hAnsiTheme="minorHAnsi" w:cs="Arial"/>
      <w:b/>
      <w:bCs/>
      <w:i/>
      <w:sz w:val="28"/>
      <w:szCs w:val="26"/>
      <w:lang w:eastAsia="en-US"/>
    </w:rPr>
  </w:style>
  <w:style w:type="character" w:customStyle="1" w:styleId="Heading4Char">
    <w:name w:val="Heading 4 Char"/>
    <w:basedOn w:val="DefaultParagraphFont"/>
    <w:link w:val="Heading4"/>
    <w:uiPriority w:val="9"/>
    <w:rsid w:val="00F03B50"/>
    <w:rPr>
      <w:rFonts w:asciiTheme="minorHAnsi" w:eastAsiaTheme="minorHAnsi" w:hAnsiTheme="minorHAnsi" w:cstheme="minorBidi"/>
      <w:b/>
      <w:bCs/>
      <w:i/>
      <w:sz w:val="24"/>
      <w:szCs w:val="28"/>
      <w:lang w:eastAsia="en-US"/>
    </w:rPr>
  </w:style>
  <w:style w:type="character" w:customStyle="1" w:styleId="Heading5Char">
    <w:name w:val="Heading 5 Char"/>
    <w:basedOn w:val="DefaultParagraphFont"/>
    <w:link w:val="Heading5"/>
    <w:rsid w:val="0000686B"/>
    <w:rPr>
      <w:b/>
      <w:bCs/>
      <w:iCs/>
      <w:sz w:val="24"/>
      <w:szCs w:val="26"/>
      <w:lang w:eastAsia="en-US"/>
    </w:rPr>
  </w:style>
  <w:style w:type="character" w:customStyle="1" w:styleId="Heading6Char">
    <w:name w:val="Heading 6 Char"/>
    <w:basedOn w:val="DefaultParagraphFont"/>
    <w:link w:val="Heading6"/>
    <w:rsid w:val="0000686B"/>
    <w:rPr>
      <w:b/>
      <w:bCs/>
      <w:i/>
      <w:sz w:val="24"/>
      <w:szCs w:val="22"/>
      <w:lang w:eastAsia="en-US"/>
    </w:rPr>
  </w:style>
  <w:style w:type="character" w:customStyle="1" w:styleId="ListParagraphChar">
    <w:name w:val="List Paragraph Char"/>
    <w:aliases w:val="Footnote Char,BulletPoints Char"/>
    <w:basedOn w:val="DefaultParagraphFont"/>
    <w:link w:val="ListParagraph"/>
    <w:uiPriority w:val="34"/>
    <w:locked/>
    <w:rsid w:val="0000686B"/>
    <w:rPr>
      <w:sz w:val="24"/>
      <w:szCs w:val="24"/>
      <w:lang w:eastAsia="en-US"/>
    </w:rPr>
  </w:style>
  <w:style w:type="paragraph" w:styleId="NormalWeb">
    <w:name w:val="Normal (Web)"/>
    <w:basedOn w:val="Normal"/>
    <w:link w:val="NormalWebChar"/>
    <w:uiPriority w:val="99"/>
    <w:unhideWhenUsed/>
    <w:rsid w:val="0000686B"/>
    <w:pPr>
      <w:spacing w:before="100" w:beforeAutospacing="1" w:after="100" w:afterAutospacing="1" w:line="240" w:lineRule="auto"/>
    </w:pPr>
    <w:rPr>
      <w:rFonts w:eastAsia="Times New Roman" w:cs="Times New Roman"/>
      <w:szCs w:val="24"/>
      <w:lang w:eastAsia="en-AU"/>
    </w:rPr>
  </w:style>
  <w:style w:type="character" w:customStyle="1" w:styleId="NormalWebChar">
    <w:name w:val="Normal (Web) Char"/>
    <w:link w:val="NormalWeb"/>
    <w:uiPriority w:val="99"/>
    <w:rsid w:val="0000686B"/>
    <w:rPr>
      <w:rFonts w:ascii="Cambria" w:hAnsi="Cambria"/>
      <w:sz w:val="24"/>
      <w:szCs w:val="24"/>
    </w:rPr>
  </w:style>
  <w:style w:type="paragraph" w:styleId="BalloonText">
    <w:name w:val="Balloon Text"/>
    <w:basedOn w:val="Normal"/>
    <w:link w:val="BalloonTextChar"/>
    <w:uiPriority w:val="99"/>
    <w:unhideWhenUsed/>
    <w:rsid w:val="00006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0686B"/>
    <w:rPr>
      <w:rFonts w:ascii="Tahoma" w:eastAsiaTheme="minorHAnsi" w:hAnsi="Tahoma" w:cs="Tahoma"/>
      <w:sz w:val="16"/>
      <w:szCs w:val="16"/>
      <w:lang w:eastAsia="en-US"/>
    </w:rPr>
  </w:style>
  <w:style w:type="character" w:customStyle="1" w:styleId="normalchar">
    <w:name w:val="normal_char"/>
    <w:rsid w:val="0000686B"/>
    <w:rPr>
      <w:color w:val="auto"/>
    </w:rPr>
  </w:style>
  <w:style w:type="character" w:styleId="Hyperlink">
    <w:name w:val="Hyperlink"/>
    <w:basedOn w:val="DefaultParagraphFont"/>
    <w:uiPriority w:val="99"/>
    <w:rsid w:val="0000686B"/>
    <w:rPr>
      <w:color w:val="0000FF" w:themeColor="hyperlink"/>
      <w:u w:val="single"/>
    </w:rPr>
  </w:style>
  <w:style w:type="character" w:styleId="CommentReference">
    <w:name w:val="annotation reference"/>
    <w:basedOn w:val="DefaultParagraphFont"/>
    <w:uiPriority w:val="99"/>
    <w:unhideWhenUsed/>
    <w:rsid w:val="0000686B"/>
    <w:rPr>
      <w:sz w:val="16"/>
      <w:szCs w:val="16"/>
    </w:rPr>
  </w:style>
  <w:style w:type="paragraph" w:styleId="CommentText">
    <w:name w:val="annotation text"/>
    <w:basedOn w:val="Normal"/>
    <w:link w:val="CommentTextChar"/>
    <w:uiPriority w:val="99"/>
    <w:unhideWhenUsed/>
    <w:rsid w:val="0000686B"/>
    <w:pPr>
      <w:spacing w:line="240" w:lineRule="auto"/>
    </w:pPr>
    <w:rPr>
      <w:sz w:val="20"/>
      <w:szCs w:val="20"/>
    </w:rPr>
  </w:style>
  <w:style w:type="character" w:customStyle="1" w:styleId="CommentTextChar">
    <w:name w:val="Comment Text Char"/>
    <w:basedOn w:val="DefaultParagraphFont"/>
    <w:link w:val="CommentText"/>
    <w:uiPriority w:val="99"/>
    <w:rsid w:val="0000686B"/>
    <w:rPr>
      <w:rFonts w:ascii="Cambria" w:eastAsiaTheme="minorHAnsi" w:hAnsi="Cambria" w:cstheme="minorBidi"/>
      <w:lang w:eastAsia="en-US"/>
    </w:rPr>
  </w:style>
  <w:style w:type="paragraph" w:styleId="CommentSubject">
    <w:name w:val="annotation subject"/>
    <w:basedOn w:val="CommentText"/>
    <w:next w:val="CommentText"/>
    <w:link w:val="CommentSubjectChar"/>
    <w:uiPriority w:val="99"/>
    <w:unhideWhenUsed/>
    <w:rsid w:val="0000686B"/>
    <w:rPr>
      <w:b/>
      <w:bCs/>
    </w:rPr>
  </w:style>
  <w:style w:type="character" w:customStyle="1" w:styleId="CommentSubjectChar">
    <w:name w:val="Comment Subject Char"/>
    <w:basedOn w:val="CommentTextChar"/>
    <w:link w:val="CommentSubject"/>
    <w:uiPriority w:val="99"/>
    <w:rsid w:val="0000686B"/>
    <w:rPr>
      <w:rFonts w:ascii="Cambria" w:eastAsiaTheme="minorHAnsi" w:hAnsi="Cambria" w:cstheme="minorBidi"/>
      <w:b/>
      <w:bCs/>
      <w:lang w:eastAsia="en-US"/>
    </w:rPr>
  </w:style>
  <w:style w:type="paragraph" w:styleId="BodyTextIndent3">
    <w:name w:val="Body Text Indent 3"/>
    <w:basedOn w:val="Normal"/>
    <w:link w:val="BodyTextIndent3Char"/>
    <w:rsid w:val="0000686B"/>
    <w:pPr>
      <w:spacing w:after="120" w:line="240" w:lineRule="auto"/>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00686B"/>
    <w:rPr>
      <w:rFonts w:ascii="Cambria" w:hAnsi="Cambria"/>
      <w:sz w:val="16"/>
      <w:szCs w:val="16"/>
      <w:lang w:eastAsia="en-US"/>
    </w:rPr>
  </w:style>
  <w:style w:type="paragraph" w:styleId="Header">
    <w:name w:val="header"/>
    <w:basedOn w:val="Normal"/>
    <w:link w:val="HeaderChar"/>
    <w:uiPriority w:val="99"/>
    <w:unhideWhenUsed/>
    <w:rsid w:val="00006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86B"/>
    <w:rPr>
      <w:rFonts w:ascii="Cambria" w:eastAsiaTheme="minorHAnsi" w:hAnsi="Cambria" w:cstheme="minorBidi"/>
      <w:sz w:val="24"/>
      <w:szCs w:val="22"/>
      <w:lang w:eastAsia="en-US"/>
    </w:rPr>
  </w:style>
  <w:style w:type="paragraph" w:styleId="Footer">
    <w:name w:val="footer"/>
    <w:basedOn w:val="Normal"/>
    <w:link w:val="FooterChar"/>
    <w:uiPriority w:val="99"/>
    <w:unhideWhenUsed/>
    <w:rsid w:val="00006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86B"/>
    <w:rPr>
      <w:rFonts w:ascii="Cambria" w:eastAsiaTheme="minorHAnsi" w:hAnsi="Cambria" w:cstheme="minorBidi"/>
      <w:sz w:val="24"/>
      <w:szCs w:val="22"/>
      <w:lang w:eastAsia="en-US"/>
    </w:rPr>
  </w:style>
  <w:style w:type="paragraph" w:styleId="TOCHeading">
    <w:name w:val="TOC Heading"/>
    <w:basedOn w:val="Heading1"/>
    <w:next w:val="Normal"/>
    <w:uiPriority w:val="39"/>
    <w:unhideWhenUsed/>
    <w:qFormat/>
    <w:rsid w:val="0000686B"/>
    <w:pPr>
      <w:keepLines/>
      <w:spacing w:before="0" w:after="120"/>
      <w:outlineLvl w:val="9"/>
    </w:pPr>
    <w:rPr>
      <w:rFonts w:asciiTheme="majorHAnsi" w:eastAsiaTheme="majorEastAsia" w:hAnsiTheme="majorHAnsi" w:cstheme="majorBidi"/>
      <w:color w:val="4F81BD" w:themeColor="accent1"/>
      <w:kern w:val="0"/>
      <w:sz w:val="32"/>
      <w:szCs w:val="26"/>
      <w:lang w:val="en-US" w:eastAsia="ja-JP"/>
    </w:rPr>
  </w:style>
  <w:style w:type="paragraph" w:styleId="TOC1">
    <w:name w:val="toc 1"/>
    <w:basedOn w:val="Normal"/>
    <w:next w:val="Normal"/>
    <w:autoRedefine/>
    <w:uiPriority w:val="39"/>
    <w:unhideWhenUsed/>
    <w:qFormat/>
    <w:rsid w:val="0000686B"/>
    <w:pPr>
      <w:spacing w:after="100"/>
    </w:pPr>
  </w:style>
  <w:style w:type="paragraph" w:styleId="TOC2">
    <w:name w:val="toc 2"/>
    <w:basedOn w:val="Normal"/>
    <w:next w:val="Normal"/>
    <w:autoRedefine/>
    <w:uiPriority w:val="39"/>
    <w:unhideWhenUsed/>
    <w:qFormat/>
    <w:rsid w:val="0000686B"/>
    <w:pPr>
      <w:spacing w:after="100"/>
      <w:ind w:left="240"/>
    </w:pPr>
  </w:style>
  <w:style w:type="paragraph" w:styleId="TOC3">
    <w:name w:val="toc 3"/>
    <w:basedOn w:val="Normal"/>
    <w:next w:val="Normal"/>
    <w:autoRedefine/>
    <w:uiPriority w:val="39"/>
    <w:unhideWhenUsed/>
    <w:qFormat/>
    <w:rsid w:val="0000686B"/>
    <w:pPr>
      <w:spacing w:after="100"/>
      <w:ind w:left="480"/>
    </w:pPr>
  </w:style>
  <w:style w:type="character" w:customStyle="1" w:styleId="NoSpacingChar">
    <w:name w:val="No Spacing Char"/>
    <w:basedOn w:val="DefaultParagraphFont"/>
    <w:link w:val="NoSpacing"/>
    <w:uiPriority w:val="1"/>
    <w:locked/>
    <w:rsid w:val="0000686B"/>
    <w:rPr>
      <w:sz w:val="24"/>
      <w:szCs w:val="24"/>
      <w:lang w:eastAsia="en-US"/>
    </w:rPr>
  </w:style>
  <w:style w:type="character" w:customStyle="1" w:styleId="apple-converted-space">
    <w:name w:val="apple-converted-space"/>
    <w:basedOn w:val="DefaultParagraphFont"/>
    <w:rsid w:val="0000686B"/>
  </w:style>
  <w:style w:type="character" w:styleId="FollowedHyperlink">
    <w:name w:val="FollowedHyperlink"/>
    <w:uiPriority w:val="99"/>
    <w:unhideWhenUsed/>
    <w:rsid w:val="0000686B"/>
    <w:rPr>
      <w:color w:val="800080"/>
      <w:u w:val="single"/>
    </w:rPr>
  </w:style>
  <w:style w:type="character" w:styleId="HTMLCite">
    <w:name w:val="HTML Cite"/>
    <w:uiPriority w:val="99"/>
    <w:unhideWhenUsed/>
    <w:rsid w:val="0000686B"/>
    <w:rPr>
      <w:b w:val="0"/>
      <w:bCs w:val="0"/>
      <w:i w:val="0"/>
      <w:iCs w:val="0"/>
      <w:vanish w:val="0"/>
      <w:webHidden w:val="0"/>
      <w:specVanish w:val="0"/>
    </w:rPr>
  </w:style>
  <w:style w:type="character" w:customStyle="1" w:styleId="author4">
    <w:name w:val="author4"/>
    <w:rsid w:val="0000686B"/>
    <w:rPr>
      <w:b w:val="0"/>
      <w:bCs w:val="0"/>
      <w:i w:val="0"/>
      <w:iCs w:val="0"/>
      <w:smallCaps w:val="0"/>
      <w:sz w:val="24"/>
      <w:szCs w:val="24"/>
    </w:rPr>
  </w:style>
  <w:style w:type="character" w:customStyle="1" w:styleId="articletitle7">
    <w:name w:val="articletitle7"/>
    <w:basedOn w:val="DefaultParagraphFont"/>
    <w:rsid w:val="0000686B"/>
  </w:style>
  <w:style w:type="character" w:customStyle="1" w:styleId="journaltitle4">
    <w:name w:val="journaltitle4"/>
    <w:rsid w:val="0000686B"/>
    <w:rPr>
      <w:i/>
      <w:iCs/>
    </w:rPr>
  </w:style>
  <w:style w:type="character" w:customStyle="1" w:styleId="pubyear">
    <w:name w:val="pubyear"/>
    <w:basedOn w:val="DefaultParagraphFont"/>
    <w:rsid w:val="0000686B"/>
  </w:style>
  <w:style w:type="character" w:customStyle="1" w:styleId="citedissue">
    <w:name w:val="citedissue"/>
    <w:basedOn w:val="DefaultParagraphFont"/>
    <w:rsid w:val="0000686B"/>
  </w:style>
  <w:style w:type="character" w:customStyle="1" w:styleId="frlabel1">
    <w:name w:val="fr_label1"/>
    <w:rsid w:val="0000686B"/>
    <w:rPr>
      <w:b/>
      <w:bCs/>
    </w:rPr>
  </w:style>
  <w:style w:type="character" w:customStyle="1" w:styleId="hithilite3">
    <w:name w:val="hithilite3"/>
    <w:rsid w:val="0000686B"/>
    <w:rPr>
      <w:shd w:val="clear" w:color="auto" w:fill="FFFF00"/>
    </w:rPr>
  </w:style>
  <w:style w:type="character" w:customStyle="1" w:styleId="maintitle4">
    <w:name w:val="maintitle4"/>
    <w:rsid w:val="0000686B"/>
    <w:rPr>
      <w:vanish w:val="0"/>
      <w:webHidden w:val="0"/>
      <w:specVanish w:val="0"/>
    </w:rPr>
  </w:style>
  <w:style w:type="character" w:customStyle="1" w:styleId="override-xref-content-element7">
    <w:name w:val="override-xref-content-element7"/>
    <w:rsid w:val="0000686B"/>
    <w:rPr>
      <w:color w:val="007E8A"/>
    </w:rPr>
  </w:style>
  <w:style w:type="paragraph" w:customStyle="1" w:styleId="para10">
    <w:name w:val="para10"/>
    <w:basedOn w:val="Normal"/>
    <w:rsid w:val="0000686B"/>
    <w:pPr>
      <w:spacing w:after="240" w:line="360" w:lineRule="atLeast"/>
    </w:pPr>
    <w:rPr>
      <w:rFonts w:eastAsia="Times New Roman" w:cs="Times New Roman"/>
      <w:sz w:val="29"/>
      <w:szCs w:val="29"/>
      <w:lang w:eastAsia="en-AU"/>
    </w:rPr>
  </w:style>
  <w:style w:type="table" w:styleId="TableGrid">
    <w:name w:val="Table Grid"/>
    <w:basedOn w:val="TableNormal"/>
    <w:uiPriority w:val="39"/>
    <w:rsid w:val="0000686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7">
    <w:name w:val="i7"/>
    <w:rsid w:val="0000686B"/>
    <w:rPr>
      <w:i/>
      <w:iCs/>
    </w:rPr>
  </w:style>
  <w:style w:type="paragraph" w:customStyle="1" w:styleId="CM18">
    <w:name w:val="CM18"/>
    <w:basedOn w:val="Normal"/>
    <w:next w:val="Normal"/>
    <w:uiPriority w:val="99"/>
    <w:rsid w:val="0000686B"/>
    <w:pPr>
      <w:widowControl w:val="0"/>
      <w:autoSpaceDE w:val="0"/>
      <w:autoSpaceDN w:val="0"/>
      <w:adjustRightInd w:val="0"/>
      <w:spacing w:after="0" w:line="240" w:lineRule="auto"/>
    </w:pPr>
    <w:rPr>
      <w:rFonts w:ascii="MuseeBold" w:eastAsia="Times New Roman" w:hAnsi="MuseeBold" w:cs="Times New Roman"/>
      <w:szCs w:val="24"/>
      <w:lang w:eastAsia="en-AU"/>
    </w:rPr>
  </w:style>
  <w:style w:type="paragraph" w:customStyle="1" w:styleId="Heading5new">
    <w:name w:val="Heading 5 new"/>
    <w:basedOn w:val="NormalWeb"/>
    <w:link w:val="Heading5newChar"/>
    <w:qFormat/>
    <w:rsid w:val="0000686B"/>
    <w:pPr>
      <w:spacing w:before="0" w:beforeAutospacing="0" w:after="240" w:afterAutospacing="0" w:line="312" w:lineRule="atLeast"/>
    </w:pPr>
    <w:rPr>
      <w:b/>
      <w:i/>
      <w:color w:val="000000"/>
      <w:u w:val="single"/>
    </w:rPr>
  </w:style>
  <w:style w:type="character" w:customStyle="1" w:styleId="Heading5newChar">
    <w:name w:val="Heading 5 new Char"/>
    <w:link w:val="Heading5new"/>
    <w:rsid w:val="0000686B"/>
    <w:rPr>
      <w:rFonts w:ascii="Cambria" w:hAnsi="Cambria"/>
      <w:b/>
      <w:i/>
      <w:color w:val="000000"/>
      <w:sz w:val="24"/>
      <w:szCs w:val="24"/>
      <w:u w:val="single"/>
    </w:rPr>
  </w:style>
  <w:style w:type="paragraph" w:customStyle="1" w:styleId="Heading4new">
    <w:name w:val="Heading 4 new"/>
    <w:basedOn w:val="Heading5new"/>
    <w:link w:val="Heading4newChar"/>
    <w:qFormat/>
    <w:rsid w:val="0000686B"/>
  </w:style>
  <w:style w:type="character" w:customStyle="1" w:styleId="Heading4newChar">
    <w:name w:val="Heading 4 new Char"/>
    <w:link w:val="Heading4new"/>
    <w:rsid w:val="0000686B"/>
    <w:rPr>
      <w:rFonts w:ascii="Cambria" w:hAnsi="Cambria"/>
      <w:b/>
      <w:i/>
      <w:color w:val="000000"/>
      <w:sz w:val="24"/>
      <w:szCs w:val="24"/>
      <w:u w:val="single"/>
    </w:rPr>
  </w:style>
  <w:style w:type="character" w:customStyle="1" w:styleId="label31">
    <w:name w:val="label31"/>
    <w:basedOn w:val="DefaultParagraphFont"/>
    <w:rsid w:val="0000686B"/>
  </w:style>
  <w:style w:type="character" w:customStyle="1" w:styleId="b7">
    <w:name w:val="b7"/>
    <w:rsid w:val="0000686B"/>
    <w:rPr>
      <w:b/>
      <w:bCs/>
    </w:rPr>
  </w:style>
  <w:style w:type="character" w:customStyle="1" w:styleId="tablenotes-note">
    <w:name w:val="tablenotes-note"/>
    <w:basedOn w:val="DefaultParagraphFont"/>
    <w:rsid w:val="0000686B"/>
  </w:style>
  <w:style w:type="character" w:customStyle="1" w:styleId="section-title3">
    <w:name w:val="section-title3"/>
    <w:rsid w:val="0000686B"/>
    <w:rPr>
      <w:vanish w:val="0"/>
      <w:webHidden w:val="0"/>
      <w:specVanish w:val="0"/>
    </w:rPr>
  </w:style>
  <w:style w:type="paragraph" w:customStyle="1" w:styleId="Default">
    <w:name w:val="Default"/>
    <w:rsid w:val="0000686B"/>
    <w:pPr>
      <w:widowControl w:val="0"/>
      <w:autoSpaceDE w:val="0"/>
      <w:autoSpaceDN w:val="0"/>
      <w:adjustRightInd w:val="0"/>
    </w:pPr>
    <w:rPr>
      <w:rFonts w:ascii="Arial" w:hAnsi="Arial" w:cs="Arial"/>
      <w:color w:val="000000"/>
      <w:sz w:val="24"/>
      <w:szCs w:val="24"/>
    </w:rPr>
  </w:style>
  <w:style w:type="paragraph" w:styleId="TOC4">
    <w:name w:val="toc 4"/>
    <w:basedOn w:val="Normal"/>
    <w:next w:val="Normal"/>
    <w:autoRedefine/>
    <w:uiPriority w:val="39"/>
    <w:unhideWhenUsed/>
    <w:rsid w:val="0000686B"/>
    <w:pPr>
      <w:spacing w:after="100"/>
      <w:ind w:left="660"/>
    </w:pPr>
    <w:rPr>
      <w:rFonts w:ascii="Calibri" w:eastAsia="Times New Roman" w:hAnsi="Calibri" w:cs="Times New Roman"/>
      <w:sz w:val="22"/>
      <w:lang w:eastAsia="en-AU"/>
    </w:rPr>
  </w:style>
  <w:style w:type="paragraph" w:styleId="Revision">
    <w:name w:val="Revision"/>
    <w:hidden/>
    <w:uiPriority w:val="99"/>
    <w:semiHidden/>
    <w:rsid w:val="0000686B"/>
    <w:rPr>
      <w:rFonts w:ascii="Calibri" w:hAnsi="Calibri"/>
      <w:sz w:val="22"/>
      <w:szCs w:val="22"/>
    </w:rPr>
  </w:style>
  <w:style w:type="paragraph" w:styleId="FootnoteText">
    <w:name w:val="footnote text"/>
    <w:basedOn w:val="Normal"/>
    <w:link w:val="FootnoteTextChar"/>
    <w:uiPriority w:val="99"/>
    <w:unhideWhenUsed/>
    <w:rsid w:val="0000686B"/>
    <w:pPr>
      <w:spacing w:after="0" w:line="240" w:lineRule="auto"/>
    </w:pPr>
    <w:rPr>
      <w:rFonts w:ascii="Calibri" w:eastAsia="Times New Roman" w:hAnsi="Calibri" w:cs="Times New Roman"/>
      <w:sz w:val="20"/>
      <w:szCs w:val="20"/>
      <w:lang w:eastAsia="en-AU"/>
    </w:rPr>
  </w:style>
  <w:style w:type="character" w:customStyle="1" w:styleId="FootnoteTextChar">
    <w:name w:val="Footnote Text Char"/>
    <w:basedOn w:val="DefaultParagraphFont"/>
    <w:link w:val="FootnoteText"/>
    <w:uiPriority w:val="99"/>
    <w:rsid w:val="0000686B"/>
    <w:rPr>
      <w:rFonts w:ascii="Calibri" w:hAnsi="Calibri"/>
    </w:rPr>
  </w:style>
  <w:style w:type="character" w:styleId="FootnoteReference">
    <w:name w:val="footnote reference"/>
    <w:uiPriority w:val="99"/>
    <w:unhideWhenUsed/>
    <w:rsid w:val="0000686B"/>
    <w:rPr>
      <w:vertAlign w:val="superscript"/>
    </w:rPr>
  </w:style>
  <w:style w:type="table" w:customStyle="1" w:styleId="TableGrid1">
    <w:name w:val="Table Grid1"/>
    <w:basedOn w:val="TableNormal"/>
    <w:next w:val="TableGrid"/>
    <w:uiPriority w:val="39"/>
    <w:rsid w:val="0000686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00686B"/>
    <w:pPr>
      <w:spacing w:after="0" w:line="240" w:lineRule="auto"/>
    </w:pPr>
    <w:rPr>
      <w:rFonts w:ascii="Calibri" w:eastAsia="Times New Roman" w:hAnsi="Calibri" w:cs="Times New Roman"/>
      <w:sz w:val="20"/>
      <w:szCs w:val="20"/>
      <w:lang w:eastAsia="en-AU"/>
    </w:rPr>
  </w:style>
  <w:style w:type="character" w:customStyle="1" w:styleId="EndnoteTextChar">
    <w:name w:val="Endnote Text Char"/>
    <w:basedOn w:val="DefaultParagraphFont"/>
    <w:link w:val="EndnoteText"/>
    <w:uiPriority w:val="99"/>
    <w:rsid w:val="0000686B"/>
    <w:rPr>
      <w:rFonts w:ascii="Calibri" w:hAnsi="Calibri"/>
    </w:rPr>
  </w:style>
  <w:style w:type="character" w:styleId="EndnoteReference">
    <w:name w:val="endnote reference"/>
    <w:uiPriority w:val="99"/>
    <w:unhideWhenUsed/>
    <w:rsid w:val="0000686B"/>
    <w:rPr>
      <w:vertAlign w:val="superscript"/>
    </w:rPr>
  </w:style>
  <w:style w:type="paragraph" w:customStyle="1" w:styleId="para">
    <w:name w:val="para"/>
    <w:basedOn w:val="Normal"/>
    <w:rsid w:val="0000686B"/>
    <w:pPr>
      <w:spacing w:before="100" w:beforeAutospacing="1" w:after="100" w:afterAutospacing="1" w:line="240" w:lineRule="auto"/>
    </w:pPr>
    <w:rPr>
      <w:rFonts w:eastAsia="Times New Roman" w:cs="Times New Roman"/>
      <w:szCs w:val="24"/>
      <w:lang w:eastAsia="en-AU"/>
    </w:rPr>
  </w:style>
  <w:style w:type="paragraph" w:styleId="Caption">
    <w:name w:val="caption"/>
    <w:basedOn w:val="Normal"/>
    <w:next w:val="Normal"/>
    <w:uiPriority w:val="35"/>
    <w:unhideWhenUsed/>
    <w:qFormat/>
    <w:rsid w:val="0000686B"/>
    <w:pPr>
      <w:spacing w:line="240" w:lineRule="auto"/>
    </w:pPr>
    <w:rPr>
      <w:rFonts w:asciiTheme="minorHAnsi" w:eastAsia="Times New Roman" w:hAnsiTheme="minorHAnsi" w:cs="Times New Roman"/>
      <w:b/>
      <w:bCs/>
      <w:szCs w:val="18"/>
      <w:lang w:eastAsia="en-AU"/>
    </w:rPr>
  </w:style>
  <w:style w:type="paragraph" w:customStyle="1" w:styleId="ListBullet1">
    <w:name w:val="List Bullet1"/>
    <w:basedOn w:val="Normal"/>
    <w:uiPriority w:val="5"/>
    <w:qFormat/>
    <w:rsid w:val="0000686B"/>
    <w:pPr>
      <w:numPr>
        <w:numId w:val="1"/>
      </w:numPr>
      <w:shd w:val="clear" w:color="auto" w:fill="FFFFFF" w:themeFill="background1"/>
      <w:spacing w:before="120" w:after="120" w:line="260" w:lineRule="exact"/>
      <w:contextualSpacing/>
    </w:pPr>
    <w:rPr>
      <w:rFonts w:ascii="Arial" w:eastAsia="Times New Roman" w:hAnsi="Arial" w:cs="Arial"/>
      <w:sz w:val="20"/>
      <w:szCs w:val="20"/>
      <w:lang w:eastAsia="en-AU"/>
    </w:rPr>
  </w:style>
  <w:style w:type="character" w:customStyle="1" w:styleId="Bold">
    <w:name w:val="Bold"/>
    <w:uiPriority w:val="99"/>
    <w:qFormat/>
    <w:rsid w:val="0000686B"/>
    <w:rPr>
      <w:b/>
      <w:lang w:val="en-AU" w:eastAsia="en-US"/>
    </w:rPr>
  </w:style>
  <w:style w:type="character" w:customStyle="1" w:styleId="Italic">
    <w:name w:val="Italic"/>
    <w:uiPriority w:val="3"/>
    <w:rsid w:val="0000686B"/>
    <w:rPr>
      <w:i/>
      <w:lang w:val="en-AU" w:eastAsia="en-US"/>
    </w:rPr>
  </w:style>
  <w:style w:type="character" w:customStyle="1" w:styleId="HighlightOrange">
    <w:name w:val="Highlight Orange"/>
    <w:basedOn w:val="DefaultParagraphFont"/>
    <w:uiPriority w:val="75"/>
    <w:qFormat/>
    <w:rsid w:val="0000686B"/>
    <w:rPr>
      <w:color w:val="F47B28"/>
    </w:rPr>
  </w:style>
  <w:style w:type="table" w:customStyle="1" w:styleId="Boxorange">
    <w:name w:val="Box orange"/>
    <w:basedOn w:val="TableNormal"/>
    <w:uiPriority w:val="99"/>
    <w:qFormat/>
    <w:rsid w:val="0000686B"/>
    <w:tblPr>
      <w:tblInd w:w="113" w:type="dxa"/>
      <w:tblBorders>
        <w:top w:val="single" w:sz="18" w:space="0" w:color="F47B28"/>
        <w:left w:val="single" w:sz="18" w:space="0" w:color="F47B28"/>
        <w:bottom w:val="single" w:sz="18" w:space="0" w:color="F47B28"/>
        <w:right w:val="single" w:sz="18" w:space="0" w:color="F47B28"/>
      </w:tblBorders>
    </w:tblPr>
    <w:trPr>
      <w:cantSplit/>
    </w:trPr>
  </w:style>
  <w:style w:type="character" w:customStyle="1" w:styleId="Highlighter">
    <w:name w:val="Highlighter"/>
    <w:basedOn w:val="DefaultParagraphFont"/>
    <w:uiPriority w:val="21"/>
    <w:rsid w:val="0000686B"/>
    <w:rPr>
      <w:bdr w:val="none" w:sz="0" w:space="0" w:color="auto"/>
      <w:shd w:val="clear" w:color="auto" w:fill="FFFF00"/>
    </w:rPr>
  </w:style>
  <w:style w:type="paragraph" w:styleId="TOC5">
    <w:name w:val="toc 5"/>
    <w:basedOn w:val="Normal"/>
    <w:next w:val="Normal"/>
    <w:autoRedefine/>
    <w:uiPriority w:val="39"/>
    <w:unhideWhenUsed/>
    <w:rsid w:val="0000686B"/>
    <w:pPr>
      <w:spacing w:after="100"/>
      <w:ind w:left="880"/>
      <w:jc w:val="left"/>
    </w:pPr>
    <w:rPr>
      <w:rFonts w:asciiTheme="minorHAnsi" w:eastAsiaTheme="minorEastAsia" w:hAnsiTheme="minorHAnsi"/>
      <w:sz w:val="22"/>
      <w:lang w:eastAsia="en-AU"/>
    </w:rPr>
  </w:style>
  <w:style w:type="paragraph" w:styleId="TOC6">
    <w:name w:val="toc 6"/>
    <w:basedOn w:val="Normal"/>
    <w:next w:val="Normal"/>
    <w:autoRedefine/>
    <w:uiPriority w:val="39"/>
    <w:unhideWhenUsed/>
    <w:rsid w:val="0000686B"/>
    <w:pPr>
      <w:spacing w:after="100"/>
      <w:ind w:left="1100"/>
      <w:jc w:val="left"/>
    </w:pPr>
    <w:rPr>
      <w:rFonts w:asciiTheme="minorHAnsi" w:eastAsiaTheme="minorEastAsia" w:hAnsiTheme="minorHAnsi"/>
      <w:sz w:val="22"/>
      <w:lang w:eastAsia="en-AU"/>
    </w:rPr>
  </w:style>
  <w:style w:type="paragraph" w:styleId="TOC7">
    <w:name w:val="toc 7"/>
    <w:basedOn w:val="Normal"/>
    <w:next w:val="Normal"/>
    <w:autoRedefine/>
    <w:uiPriority w:val="39"/>
    <w:unhideWhenUsed/>
    <w:rsid w:val="0000686B"/>
    <w:pPr>
      <w:spacing w:after="100"/>
      <w:ind w:left="1320"/>
      <w:jc w:val="left"/>
    </w:pPr>
    <w:rPr>
      <w:rFonts w:asciiTheme="minorHAnsi" w:eastAsiaTheme="minorEastAsia" w:hAnsiTheme="minorHAnsi"/>
      <w:sz w:val="22"/>
      <w:lang w:eastAsia="en-AU"/>
    </w:rPr>
  </w:style>
  <w:style w:type="paragraph" w:styleId="TOC8">
    <w:name w:val="toc 8"/>
    <w:basedOn w:val="Normal"/>
    <w:next w:val="Normal"/>
    <w:autoRedefine/>
    <w:uiPriority w:val="39"/>
    <w:unhideWhenUsed/>
    <w:rsid w:val="0000686B"/>
    <w:pPr>
      <w:spacing w:after="100"/>
      <w:ind w:left="1540"/>
      <w:jc w:val="left"/>
    </w:pPr>
    <w:rPr>
      <w:rFonts w:asciiTheme="minorHAnsi" w:eastAsiaTheme="minorEastAsia" w:hAnsiTheme="minorHAnsi"/>
      <w:sz w:val="22"/>
      <w:lang w:eastAsia="en-AU"/>
    </w:rPr>
  </w:style>
  <w:style w:type="paragraph" w:styleId="TOC9">
    <w:name w:val="toc 9"/>
    <w:basedOn w:val="Normal"/>
    <w:next w:val="Normal"/>
    <w:autoRedefine/>
    <w:uiPriority w:val="39"/>
    <w:unhideWhenUsed/>
    <w:rsid w:val="0000686B"/>
    <w:pPr>
      <w:spacing w:after="100"/>
      <w:ind w:left="1760"/>
      <w:jc w:val="left"/>
    </w:pPr>
    <w:rPr>
      <w:rFonts w:asciiTheme="minorHAnsi" w:eastAsiaTheme="minorEastAsia" w:hAnsiTheme="minorHAnsi"/>
      <w:sz w:val="22"/>
      <w:lang w:eastAsia="en-AU"/>
    </w:rPr>
  </w:style>
  <w:style w:type="table" w:styleId="LightGrid-Accent4">
    <w:name w:val="Light Grid Accent 4"/>
    <w:basedOn w:val="TableNormal"/>
    <w:uiPriority w:val="62"/>
    <w:rsid w:val="0000686B"/>
    <w:rPr>
      <w:rFonts w:eastAsiaTheme="minorHAnsi" w:cstheme="minorBidi"/>
      <w:sz w:val="24"/>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00686B"/>
    <w:rPr>
      <w:rFonts w:eastAsiaTheme="minorHAnsi" w:cstheme="minorBidi"/>
      <w:sz w:val="24"/>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rm-strength">
    <w:name w:val="form-strength"/>
    <w:basedOn w:val="DefaultParagraphFont"/>
    <w:rsid w:val="0000686B"/>
  </w:style>
  <w:style w:type="table" w:styleId="LightGrid-Accent6">
    <w:name w:val="Light Grid Accent 6"/>
    <w:basedOn w:val="TableNormal"/>
    <w:uiPriority w:val="62"/>
    <w:rsid w:val="0000686B"/>
    <w:rPr>
      <w:rFonts w:eastAsiaTheme="minorHAnsi" w:cstheme="minorBidi"/>
      <w:sz w:val="24"/>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00686B"/>
    <w:rPr>
      <w:rFonts w:eastAsiaTheme="minorHAnsi" w:cstheme="minorBidi"/>
      <w:sz w:val="24"/>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Heading51">
    <w:name w:val="Heading 51"/>
    <w:basedOn w:val="Normal"/>
    <w:link w:val="heading5Char0"/>
    <w:qFormat/>
    <w:rsid w:val="0000686B"/>
    <w:pPr>
      <w:keepNext/>
      <w:keepLines/>
      <w:spacing w:before="120" w:after="120"/>
    </w:pPr>
    <w:rPr>
      <w:rFonts w:asciiTheme="majorHAnsi" w:hAnsiTheme="majorHAnsi"/>
      <w:b/>
      <w:i/>
      <w:szCs w:val="24"/>
    </w:rPr>
  </w:style>
  <w:style w:type="character" w:customStyle="1" w:styleId="heading5Char0">
    <w:name w:val="heading 5 Char"/>
    <w:basedOn w:val="DefaultParagraphFont"/>
    <w:link w:val="Heading51"/>
    <w:rsid w:val="0000686B"/>
    <w:rPr>
      <w:rFonts w:asciiTheme="majorHAnsi" w:eastAsiaTheme="minorHAnsi" w:hAnsiTheme="majorHAnsi" w:cstheme="minorBidi"/>
      <w:b/>
      <w:i/>
      <w:sz w:val="24"/>
      <w:szCs w:val="24"/>
      <w:lang w:eastAsia="en-US"/>
    </w:rPr>
  </w:style>
  <w:style w:type="paragraph" w:customStyle="1" w:styleId="BodyText1">
    <w:name w:val="Body Text1"/>
    <w:basedOn w:val="Normal"/>
    <w:link w:val="BodytextChar"/>
    <w:uiPriority w:val="1"/>
    <w:qFormat/>
    <w:rsid w:val="0000686B"/>
    <w:pPr>
      <w:shd w:val="clear" w:color="auto" w:fill="FFFFFF" w:themeFill="background1"/>
      <w:spacing w:before="120" w:after="120" w:line="260" w:lineRule="exact"/>
      <w:jc w:val="left"/>
    </w:pPr>
    <w:rPr>
      <w:rFonts w:ascii="Arial" w:eastAsia="Times New Roman" w:hAnsi="Arial" w:cs="Arial"/>
      <w:sz w:val="20"/>
      <w:szCs w:val="20"/>
      <w:lang w:eastAsia="en-AU"/>
    </w:rPr>
  </w:style>
  <w:style w:type="character" w:customStyle="1" w:styleId="BodytextChar">
    <w:name w:val="Body text Char"/>
    <w:basedOn w:val="DefaultParagraphFont"/>
    <w:link w:val="BodyText1"/>
    <w:uiPriority w:val="1"/>
    <w:rsid w:val="0000686B"/>
    <w:rPr>
      <w:rFonts w:ascii="Arial" w:hAnsi="Arial" w:cs="Arial"/>
      <w:shd w:val="clear" w:color="auto" w:fill="FFFFFF" w:themeFill="background1"/>
    </w:rPr>
  </w:style>
  <w:style w:type="paragraph" w:customStyle="1" w:styleId="Tablefootnote">
    <w:name w:val="Table footnote"/>
    <w:basedOn w:val="Normal"/>
    <w:next w:val="BodyText1"/>
    <w:link w:val="TablefootnoteCharChar"/>
    <w:uiPriority w:val="57"/>
    <w:rsid w:val="0000686B"/>
    <w:pPr>
      <w:spacing w:before="60" w:after="60" w:line="240" w:lineRule="auto"/>
      <w:ind w:left="426"/>
      <w:jc w:val="left"/>
    </w:pPr>
    <w:rPr>
      <w:rFonts w:ascii="Arial Narrow" w:eastAsia="Times New Roman" w:hAnsi="Arial Narrow" w:cs="Times New Roman"/>
      <w:sz w:val="16"/>
      <w:szCs w:val="20"/>
    </w:rPr>
  </w:style>
  <w:style w:type="character" w:customStyle="1" w:styleId="TablefootnoteCharChar">
    <w:name w:val="Table footnote Char Char"/>
    <w:basedOn w:val="DefaultParagraphFont"/>
    <w:link w:val="Tablefootnote"/>
    <w:uiPriority w:val="57"/>
    <w:rsid w:val="0000686B"/>
    <w:rPr>
      <w:rFonts w:ascii="Arial Narrow" w:hAnsi="Arial Narrow"/>
      <w:sz w:val="16"/>
      <w:lang w:eastAsia="en-US"/>
    </w:rPr>
  </w:style>
  <w:style w:type="paragraph" w:customStyle="1" w:styleId="Tabletitle">
    <w:name w:val="Table title"/>
    <w:basedOn w:val="Normal"/>
    <w:next w:val="BodyText1"/>
    <w:uiPriority w:val="99"/>
    <w:rsid w:val="0000686B"/>
    <w:pPr>
      <w:keepNext/>
      <w:numPr>
        <w:numId w:val="3"/>
      </w:numPr>
      <w:shd w:val="clear" w:color="auto" w:fill="FFFFFF" w:themeFill="background1"/>
      <w:spacing w:before="240" w:after="120" w:line="260" w:lineRule="exact"/>
      <w:jc w:val="left"/>
      <w:outlineLvl w:val="2"/>
    </w:pPr>
    <w:rPr>
      <w:rFonts w:ascii="Arial Narrow" w:eastAsia="Times New Roman" w:hAnsi="Arial Narrow" w:cs="Arial"/>
      <w:b/>
      <w:caps/>
      <w:color w:val="4B306A"/>
      <w:sz w:val="16"/>
      <w:szCs w:val="20"/>
    </w:rPr>
  </w:style>
  <w:style w:type="table" w:customStyle="1" w:styleId="TableNPSstandard">
    <w:name w:val="Table NPS standard"/>
    <w:basedOn w:val="TableNormal"/>
    <w:rsid w:val="0000686B"/>
    <w:pPr>
      <w:spacing w:before="60" w:line="264" w:lineRule="auto"/>
    </w:pPr>
    <w:rPr>
      <w:rFonts w:ascii="Arial Narrow" w:hAnsi="Arial Narrow"/>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paragraph" w:customStyle="1" w:styleId="Tablebullet">
    <w:name w:val="Table bullet"/>
    <w:basedOn w:val="Normal"/>
    <w:uiPriority w:val="53"/>
    <w:rsid w:val="0000686B"/>
    <w:pPr>
      <w:numPr>
        <w:numId w:val="4"/>
      </w:numPr>
      <w:spacing w:after="0" w:line="240" w:lineRule="auto"/>
      <w:jc w:val="left"/>
    </w:pPr>
    <w:rPr>
      <w:rFonts w:ascii="Arial Narrow" w:eastAsia="Times New Roman" w:hAnsi="Arial Narrow" w:cs="Times New Roman"/>
      <w:sz w:val="20"/>
      <w:szCs w:val="24"/>
      <w:lang w:eastAsia="en-AU"/>
    </w:rPr>
  </w:style>
  <w:style w:type="character" w:customStyle="1" w:styleId="Superscript">
    <w:name w:val="Superscript"/>
    <w:uiPriority w:val="18"/>
    <w:rsid w:val="0000686B"/>
    <w:rPr>
      <w:vertAlign w:val="superscript"/>
    </w:rPr>
  </w:style>
  <w:style w:type="paragraph" w:customStyle="1" w:styleId="ReportSubtitle">
    <w:name w:val="Report Subtitle"/>
    <w:basedOn w:val="Normal"/>
    <w:rsid w:val="0000686B"/>
    <w:pPr>
      <w:spacing w:after="240" w:line="240" w:lineRule="auto"/>
      <w:ind w:left="720"/>
      <w:jc w:val="right"/>
    </w:pPr>
    <w:rPr>
      <w:rFonts w:ascii="Arial Bold" w:eastAsia="Times New Roman" w:hAnsi="Arial Bold" w:cs="Times New Roman"/>
      <w:b/>
      <w:bCs/>
      <w:color w:val="000000"/>
      <w:sz w:val="40"/>
      <w:szCs w:val="20"/>
      <w:lang w:eastAsia="en-AU"/>
    </w:rPr>
  </w:style>
  <w:style w:type="character" w:customStyle="1" w:styleId="label-">
    <w:name w:val="label-"/>
    <w:basedOn w:val="DefaultParagraphFont"/>
    <w:rsid w:val="0000686B"/>
  </w:style>
  <w:style w:type="table" w:customStyle="1" w:styleId="TableGrid2">
    <w:name w:val="Table Grid2"/>
    <w:basedOn w:val="TableNormal"/>
    <w:next w:val="TableGrid"/>
    <w:uiPriority w:val="39"/>
    <w:rsid w:val="0000686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39"/>
    <w:rsid w:val="00006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06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06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06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00686B"/>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moveelement">
    <w:name w:val="removeelement"/>
    <w:basedOn w:val="Normal"/>
    <w:rsid w:val="0000686B"/>
    <w:pPr>
      <w:spacing w:after="300" w:line="300" w:lineRule="atLeast"/>
      <w:jc w:val="left"/>
    </w:pPr>
    <w:rPr>
      <w:rFonts w:ascii="Times New Roman" w:eastAsia="Times New Roman" w:hAnsi="Times New Roman" w:cs="Times New Roman"/>
      <w:color w:val="414042"/>
      <w:sz w:val="21"/>
      <w:szCs w:val="21"/>
      <w:lang w:eastAsia="en-AU"/>
    </w:rPr>
  </w:style>
  <w:style w:type="character" w:customStyle="1" w:styleId="abbrev">
    <w:name w:val="abbrev"/>
    <w:basedOn w:val="DefaultParagraphFont"/>
    <w:rsid w:val="0000686B"/>
  </w:style>
  <w:style w:type="character" w:customStyle="1" w:styleId="online">
    <w:name w:val="online"/>
    <w:basedOn w:val="DefaultParagraphFont"/>
    <w:rsid w:val="0000686B"/>
  </w:style>
  <w:style w:type="character" w:customStyle="1" w:styleId="st1">
    <w:name w:val="st1"/>
    <w:basedOn w:val="DefaultParagraphFont"/>
    <w:rsid w:val="0000686B"/>
  </w:style>
  <w:style w:type="character" w:customStyle="1" w:styleId="tgc">
    <w:name w:val="_tgc"/>
    <w:basedOn w:val="DefaultParagraphFont"/>
    <w:rsid w:val="0000686B"/>
  </w:style>
  <w:style w:type="paragraph" w:customStyle="1" w:styleId="Notes">
    <w:name w:val="Notes"/>
    <w:basedOn w:val="Normal"/>
    <w:qFormat/>
    <w:rsid w:val="0000686B"/>
    <w:pPr>
      <w:spacing w:after="0" w:line="240" w:lineRule="auto"/>
      <w:jc w:val="left"/>
    </w:pPr>
    <w:rPr>
      <w:rFonts w:ascii="Arial" w:eastAsia="Times New Roman" w:hAnsi="Arial" w:cs="Arial"/>
      <w:noProof/>
      <w:sz w:val="20"/>
      <w:szCs w:val="20"/>
      <w:lang w:val="en-US" w:eastAsia="en-AU"/>
    </w:rPr>
  </w:style>
  <w:style w:type="character" w:customStyle="1" w:styleId="TablewritingChar">
    <w:name w:val="Table writing Char"/>
    <w:link w:val="Tablewriting"/>
    <w:locked/>
    <w:rsid w:val="0000686B"/>
    <w:rPr>
      <w:rFonts w:ascii="Arial" w:hAnsi="Arial" w:cs="Arial"/>
      <w:sz w:val="22"/>
    </w:rPr>
  </w:style>
  <w:style w:type="paragraph" w:customStyle="1" w:styleId="Tablewriting">
    <w:name w:val="Table writing"/>
    <w:basedOn w:val="Normal"/>
    <w:link w:val="TablewritingChar"/>
    <w:qFormat/>
    <w:rsid w:val="0000686B"/>
    <w:pPr>
      <w:overflowPunct w:val="0"/>
      <w:autoSpaceDE w:val="0"/>
      <w:autoSpaceDN w:val="0"/>
      <w:adjustRightInd w:val="0"/>
      <w:spacing w:before="40" w:after="40" w:line="240" w:lineRule="auto"/>
      <w:jc w:val="left"/>
    </w:pPr>
    <w:rPr>
      <w:rFonts w:ascii="Arial" w:eastAsia="Times New Roman" w:hAnsi="Arial" w:cs="Arial"/>
      <w:sz w:val="22"/>
      <w:szCs w:val="20"/>
      <w:lang w:eastAsia="en-AU"/>
    </w:rPr>
  </w:style>
  <w:style w:type="paragraph" w:styleId="BodyText">
    <w:name w:val="Body Text"/>
    <w:basedOn w:val="Normal"/>
    <w:link w:val="BodyTextChar0"/>
    <w:uiPriority w:val="1"/>
    <w:unhideWhenUsed/>
    <w:qFormat/>
    <w:rsid w:val="0000686B"/>
    <w:pPr>
      <w:spacing w:after="120"/>
    </w:pPr>
  </w:style>
  <w:style w:type="character" w:customStyle="1" w:styleId="BodyTextChar0">
    <w:name w:val="Body Text Char"/>
    <w:basedOn w:val="DefaultParagraphFont"/>
    <w:link w:val="BodyText"/>
    <w:uiPriority w:val="1"/>
    <w:rsid w:val="0000686B"/>
    <w:rPr>
      <w:rFonts w:ascii="Cambria" w:eastAsiaTheme="minorHAnsi" w:hAnsi="Cambria" w:cstheme="minorBidi"/>
      <w:sz w:val="24"/>
      <w:szCs w:val="22"/>
      <w:lang w:eastAsia="en-US"/>
    </w:rPr>
  </w:style>
  <w:style w:type="paragraph" w:styleId="ListBullet">
    <w:name w:val="List Bullet"/>
    <w:basedOn w:val="BodyText"/>
    <w:uiPriority w:val="99"/>
    <w:qFormat/>
    <w:rsid w:val="0000686B"/>
    <w:pPr>
      <w:numPr>
        <w:numId w:val="14"/>
      </w:numPr>
      <w:spacing w:before="120" w:after="0" w:line="300" w:lineRule="atLeast"/>
      <w:jc w:val="left"/>
    </w:pPr>
    <w:rPr>
      <w:rFonts w:asciiTheme="minorHAnsi" w:eastAsia="Times New Roman" w:hAnsiTheme="minorHAnsi" w:cs="Times New Roman"/>
      <w:sz w:val="22"/>
      <w:lang w:eastAsia="en-AU"/>
    </w:rPr>
  </w:style>
  <w:style w:type="table" w:customStyle="1" w:styleId="TableGrid23">
    <w:name w:val="Table Grid23"/>
    <w:basedOn w:val="TableNormal"/>
    <w:next w:val="TableGrid"/>
    <w:rsid w:val="0000686B"/>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character" w:customStyle="1" w:styleId="selectable">
    <w:name w:val="selectable"/>
    <w:basedOn w:val="DefaultParagraphFont"/>
    <w:rsid w:val="0000686B"/>
  </w:style>
  <w:style w:type="paragraph" w:customStyle="1" w:styleId="TableParagraph">
    <w:name w:val="Table Paragraph"/>
    <w:basedOn w:val="Normal"/>
    <w:uiPriority w:val="1"/>
    <w:qFormat/>
    <w:rsid w:val="0000686B"/>
    <w:pPr>
      <w:widowControl w:val="0"/>
      <w:autoSpaceDE w:val="0"/>
      <w:autoSpaceDN w:val="0"/>
      <w:adjustRightInd w:val="0"/>
      <w:spacing w:after="0" w:line="240" w:lineRule="auto"/>
      <w:jc w:val="left"/>
    </w:pPr>
    <w:rPr>
      <w:rFonts w:ascii="Times New Roman" w:eastAsiaTheme="minorEastAsia" w:hAnsi="Times New Roman" w:cs="Times New Roman"/>
      <w:szCs w:val="24"/>
      <w:lang w:eastAsia="en-AU"/>
    </w:rPr>
  </w:style>
  <w:style w:type="paragraph" w:customStyle="1" w:styleId="Figuretitle">
    <w:name w:val="Figure title"/>
    <w:basedOn w:val="Tabletitle"/>
    <w:link w:val="FiguretitleChar"/>
    <w:qFormat/>
    <w:rsid w:val="0000686B"/>
    <w:pPr>
      <w:keepNext w:val="0"/>
      <w:numPr>
        <w:numId w:val="0"/>
      </w:numPr>
      <w:shd w:val="clear" w:color="auto" w:fill="auto"/>
      <w:spacing w:before="60" w:after="60" w:line="240" w:lineRule="auto"/>
      <w:outlineLvl w:val="3"/>
    </w:pPr>
    <w:rPr>
      <w:rFonts w:asciiTheme="minorHAnsi" w:eastAsiaTheme="minorEastAsia" w:hAnsiTheme="minorHAnsi" w:cstheme="minorBidi"/>
      <w:caps w:val="0"/>
      <w:color w:val="auto"/>
      <w:sz w:val="24"/>
      <w:szCs w:val="24"/>
      <w:lang w:val="en-US"/>
    </w:rPr>
  </w:style>
  <w:style w:type="character" w:customStyle="1" w:styleId="FiguretitleChar">
    <w:name w:val="Figure title Char"/>
    <w:basedOn w:val="DefaultParagraphFont"/>
    <w:link w:val="Figuretitle"/>
    <w:rsid w:val="0000686B"/>
    <w:rPr>
      <w:rFonts w:asciiTheme="minorHAnsi" w:eastAsiaTheme="minorEastAsia" w:hAnsiTheme="minorHAnsi" w:cstheme="minorBidi"/>
      <w:b/>
      <w:sz w:val="24"/>
      <w:szCs w:val="24"/>
      <w:lang w:val="en-US" w:eastAsia="en-US"/>
    </w:rPr>
  </w:style>
  <w:style w:type="paragraph" w:customStyle="1" w:styleId="Figurecaption">
    <w:name w:val="Figure caption"/>
    <w:basedOn w:val="Normal"/>
    <w:link w:val="FigurecaptionChar"/>
    <w:qFormat/>
    <w:rsid w:val="0000686B"/>
    <w:pPr>
      <w:spacing w:before="60" w:after="60" w:line="240" w:lineRule="auto"/>
      <w:jc w:val="left"/>
    </w:pPr>
    <w:rPr>
      <w:rFonts w:asciiTheme="minorHAnsi" w:eastAsiaTheme="minorEastAsia" w:hAnsiTheme="minorHAnsi"/>
      <w:sz w:val="20"/>
      <w:szCs w:val="20"/>
    </w:rPr>
  </w:style>
  <w:style w:type="character" w:customStyle="1" w:styleId="FigurecaptionChar">
    <w:name w:val="Figure caption Char"/>
    <w:basedOn w:val="DefaultParagraphFont"/>
    <w:link w:val="Figurecaption"/>
    <w:rsid w:val="0000686B"/>
    <w:rPr>
      <w:rFonts w:asciiTheme="minorHAnsi" w:eastAsiaTheme="minorEastAsia" w:hAnsiTheme="minorHAnsi" w:cstheme="minorBidi"/>
      <w:lang w:eastAsia="en-US"/>
    </w:rPr>
  </w:style>
  <w:style w:type="table" w:customStyle="1" w:styleId="TableGrid25">
    <w:name w:val="Table Grid25"/>
    <w:basedOn w:val="TableNormal"/>
    <w:next w:val="TableGrid"/>
    <w:uiPriority w:val="39"/>
    <w:rsid w:val="0000686B"/>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customStyle="1" w:styleId="xmsolistparagraph">
    <w:name w:val="x_msolistparagraph"/>
    <w:basedOn w:val="Normal"/>
    <w:uiPriority w:val="99"/>
    <w:rsid w:val="0000686B"/>
    <w:pPr>
      <w:spacing w:after="0" w:line="240" w:lineRule="auto"/>
      <w:jc w:val="left"/>
    </w:pPr>
    <w:rPr>
      <w:rFonts w:ascii="Times New Roman" w:hAnsi="Times New Roman" w:cs="Times New Roman"/>
      <w:szCs w:val="24"/>
      <w:lang w:eastAsia="en-AU"/>
    </w:rPr>
  </w:style>
  <w:style w:type="paragraph" w:styleId="ListBullet2">
    <w:name w:val="List Bullet 2"/>
    <w:basedOn w:val="Normal"/>
    <w:uiPriority w:val="99"/>
    <w:unhideWhenUsed/>
    <w:rsid w:val="0000686B"/>
    <w:pPr>
      <w:numPr>
        <w:numId w:val="22"/>
      </w:numPr>
      <w:contextualSpacing/>
    </w:pPr>
  </w:style>
  <w:style w:type="paragraph" w:customStyle="1" w:styleId="Coverdate">
    <w:name w:val="Cover date"/>
    <w:basedOn w:val="Subtitle"/>
    <w:next w:val="BodyText"/>
    <w:uiPriority w:val="99"/>
    <w:rsid w:val="0000686B"/>
    <w:pPr>
      <w:framePr w:w="8335" w:h="2552" w:hRule="exact" w:hSpace="181" w:wrap="notBeside" w:vAnchor="page" w:hAnchor="text" w:x="1" w:y="4254"/>
      <w:numPr>
        <w:ilvl w:val="0"/>
      </w:numPr>
      <w:tabs>
        <w:tab w:val="left" w:pos="425"/>
      </w:tabs>
      <w:spacing w:before="120" w:line="300" w:lineRule="atLeast"/>
    </w:pPr>
    <w:rPr>
      <w:rFonts w:ascii="Arial Bold" w:eastAsia="Times New Roman" w:hAnsi="Arial Bold" w:cs="Arial"/>
      <w:iCs w:val="0"/>
      <w:caps/>
      <w:color w:val="1F497D" w:themeColor="text2"/>
      <w:spacing w:val="20"/>
      <w:kern w:val="28"/>
      <w:szCs w:val="40"/>
      <w:lang w:eastAsia="en-AU"/>
    </w:rPr>
  </w:style>
  <w:style w:type="paragraph" w:customStyle="1" w:styleId="Contents">
    <w:name w:val="Contents"/>
    <w:basedOn w:val="BodyText"/>
    <w:next w:val="BodyText"/>
    <w:uiPriority w:val="99"/>
    <w:unhideWhenUsed/>
    <w:rsid w:val="0000686B"/>
    <w:pPr>
      <w:spacing w:before="480" w:after="480" w:line="360" w:lineRule="atLeast"/>
      <w:jc w:val="left"/>
    </w:pPr>
    <w:rPr>
      <w:rFonts w:asciiTheme="majorHAnsi" w:eastAsia="Times New Roman" w:hAnsiTheme="majorHAnsi" w:cs="Times New Roman"/>
      <w:b/>
      <w:caps/>
      <w:sz w:val="32"/>
      <w:lang w:eastAsia="en-AU"/>
    </w:rPr>
  </w:style>
  <w:style w:type="table" w:customStyle="1" w:styleId="TableGrid16">
    <w:name w:val="Table Grid16"/>
    <w:basedOn w:val="TableNormal"/>
    <w:uiPriority w:val="39"/>
    <w:rsid w:val="0000686B"/>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00686B"/>
    <w:rPr>
      <w:rFonts w:ascii="Cambria"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00686B"/>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rsid w:val="0000686B"/>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rsid w:val="0000686B"/>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ame">
    <w:name w:val="TableName"/>
    <w:basedOn w:val="Normal"/>
    <w:qFormat/>
    <w:rsid w:val="0000686B"/>
    <w:pPr>
      <w:spacing w:after="240" w:line="240" w:lineRule="auto"/>
      <w:ind w:left="1418" w:hanging="1418"/>
      <w:jc w:val="left"/>
    </w:pPr>
    <w:rPr>
      <w:rFonts w:asciiTheme="minorHAnsi" w:hAnsiTheme="minorHAnsi"/>
      <w:b/>
    </w:rPr>
  </w:style>
  <w:style w:type="character" w:customStyle="1" w:styleId="TableTextChar">
    <w:name w:val="Table Text Char"/>
    <w:link w:val="TableText"/>
    <w:locked/>
    <w:rsid w:val="0000686B"/>
    <w:rPr>
      <w:rFonts w:ascii="Arial" w:hAnsi="Arial"/>
      <w:sz w:val="18"/>
    </w:rPr>
  </w:style>
  <w:style w:type="paragraph" w:customStyle="1" w:styleId="TableText">
    <w:name w:val="Table Text"/>
    <w:basedOn w:val="Normal"/>
    <w:link w:val="TableTextChar"/>
    <w:rsid w:val="0000686B"/>
    <w:pPr>
      <w:keepNext/>
      <w:spacing w:before="40" w:after="40" w:line="240" w:lineRule="auto"/>
      <w:jc w:val="left"/>
    </w:pPr>
    <w:rPr>
      <w:rFonts w:ascii="Arial" w:eastAsia="Times New Roman" w:hAnsi="Arial" w:cs="Times New Roman"/>
      <w:sz w:val="18"/>
      <w:szCs w:val="20"/>
      <w:lang w:eastAsia="en-AU"/>
    </w:rPr>
  </w:style>
  <w:style w:type="paragraph" w:customStyle="1" w:styleId="Caption1">
    <w:name w:val="Caption1"/>
    <w:basedOn w:val="Normal"/>
    <w:rsid w:val="0000686B"/>
    <w:pPr>
      <w:spacing w:before="100" w:beforeAutospacing="1" w:after="100" w:afterAutospacing="1" w:line="240" w:lineRule="auto"/>
      <w:jc w:val="left"/>
    </w:pPr>
    <w:rPr>
      <w:rFonts w:ascii="Times New Roman" w:eastAsia="Times New Roman" w:hAnsi="Times New Roman" w:cs="Times New Roman"/>
      <w:szCs w:val="24"/>
      <w:lang w:eastAsia="zh-CN"/>
    </w:rPr>
  </w:style>
  <w:style w:type="character" w:customStyle="1" w:styleId="TabletextChar0">
    <w:name w:val="Table text Char"/>
    <w:link w:val="Tabletext0"/>
    <w:locked/>
    <w:rsid w:val="0000686B"/>
    <w:rPr>
      <w:rFonts w:ascii="Arial Narrow" w:hAnsi="Arial Narrow"/>
      <w:szCs w:val="24"/>
    </w:rPr>
  </w:style>
  <w:style w:type="paragraph" w:customStyle="1" w:styleId="Tabletext0">
    <w:name w:val="Table text"/>
    <w:basedOn w:val="Normal"/>
    <w:link w:val="TabletextChar0"/>
    <w:qFormat/>
    <w:rsid w:val="0000686B"/>
    <w:pPr>
      <w:spacing w:after="0" w:line="240" w:lineRule="auto"/>
      <w:ind w:left="34"/>
      <w:jc w:val="left"/>
    </w:pPr>
    <w:rPr>
      <w:rFonts w:ascii="Arial Narrow" w:eastAsia="Times New Roman" w:hAnsi="Arial Narrow" w:cs="Times New Roman"/>
      <w:sz w:val="20"/>
      <w:szCs w:val="24"/>
      <w:lang w:eastAsia="en-AU"/>
    </w:rPr>
  </w:style>
  <w:style w:type="character" w:customStyle="1" w:styleId="term">
    <w:name w:val="term"/>
    <w:basedOn w:val="DefaultParagraphFont"/>
    <w:rsid w:val="0000686B"/>
  </w:style>
  <w:style w:type="table" w:customStyle="1" w:styleId="TableGrid7">
    <w:name w:val="Table Grid7"/>
    <w:basedOn w:val="TableNormal"/>
    <w:uiPriority w:val="39"/>
    <w:rsid w:val="0000686B"/>
    <w:pPr>
      <w:spacing w:after="240"/>
      <w:ind w:left="720"/>
    </w:pPr>
    <w:rPr>
      <w:rFonts w:ascii="Garamond" w:hAnsi="Garamond"/>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00686B"/>
    <w:pPr>
      <w:spacing w:after="240"/>
      <w:ind w:left="720"/>
    </w:pPr>
    <w:rPr>
      <w:rFonts w:ascii="Garamond" w:hAnsi="Garamond"/>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rsid w:val="0000686B"/>
    <w:pPr>
      <w:spacing w:after="240"/>
      <w:ind w:left="720"/>
    </w:pPr>
    <w:rPr>
      <w:rFonts w:ascii="Garamond" w:hAnsi="Garamond"/>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rsid w:val="0000686B"/>
    <w:pPr>
      <w:spacing w:after="240"/>
      <w:ind w:left="720"/>
    </w:pPr>
    <w:rPr>
      <w:rFonts w:ascii="Garamond" w:hAnsi="Garamond"/>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00686B"/>
    <w:pPr>
      <w:spacing w:after="240"/>
      <w:ind w:left="720"/>
    </w:pPr>
    <w:rPr>
      <w:rFonts w:ascii="Garamond" w:hAnsi="Garamond"/>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00686B"/>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0686B"/>
  </w:style>
  <w:style w:type="table" w:customStyle="1" w:styleId="TableGrid12">
    <w:name w:val="Table Grid12"/>
    <w:basedOn w:val="TableNormal"/>
    <w:next w:val="TableGrid"/>
    <w:uiPriority w:val="39"/>
    <w:rsid w:val="0000686B"/>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0686B"/>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numbering" w:customStyle="1" w:styleId="NoList2">
    <w:name w:val="No List2"/>
    <w:next w:val="NoList"/>
    <w:uiPriority w:val="99"/>
    <w:semiHidden/>
    <w:unhideWhenUsed/>
    <w:rsid w:val="0000686B"/>
  </w:style>
  <w:style w:type="numbering" w:customStyle="1" w:styleId="NoList11">
    <w:name w:val="No List11"/>
    <w:next w:val="NoList"/>
    <w:uiPriority w:val="99"/>
    <w:semiHidden/>
    <w:unhideWhenUsed/>
    <w:rsid w:val="0000686B"/>
  </w:style>
  <w:style w:type="table" w:customStyle="1" w:styleId="TableGrid15">
    <w:name w:val="Table Grid15"/>
    <w:basedOn w:val="TableNormal"/>
    <w:next w:val="TableGrid"/>
    <w:uiPriority w:val="39"/>
    <w:rsid w:val="000068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068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068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00686B"/>
    <w:pPr>
      <w:spacing w:after="240"/>
      <w:ind w:left="720"/>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00686B"/>
    <w:pPr>
      <w:spacing w:after="240"/>
      <w:ind w:left="720"/>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0686B"/>
    <w:pPr>
      <w:spacing w:after="240"/>
      <w:ind w:left="720"/>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00686B"/>
    <w:pPr>
      <w:spacing w:after="240"/>
      <w:ind w:left="720"/>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00686B"/>
    <w:pPr>
      <w:spacing w:after="240"/>
      <w:ind w:left="720"/>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00686B"/>
    <w:pPr>
      <w:spacing w:after="240"/>
      <w:ind w:left="720"/>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00686B"/>
    <w:pPr>
      <w:spacing w:after="240"/>
      <w:ind w:left="720"/>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00686B"/>
  </w:style>
  <w:style w:type="table" w:customStyle="1" w:styleId="TableGrid121">
    <w:name w:val="Table Grid121"/>
    <w:basedOn w:val="TableNormal"/>
    <w:next w:val="TableGrid"/>
    <w:uiPriority w:val="39"/>
    <w:rsid w:val="0000686B"/>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00686B"/>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0686B"/>
    <w:pPr>
      <w:spacing w:after="160" w:line="240" w:lineRule="exact"/>
      <w:jc w:val="left"/>
    </w:pPr>
    <w:rPr>
      <w:rFonts w:ascii="Verdana" w:eastAsia="MS Mincho" w:hAnsi="Verdana" w:cs="Verdana"/>
      <w:sz w:val="20"/>
      <w:szCs w:val="20"/>
      <w:lang w:val="en-US"/>
    </w:rPr>
  </w:style>
  <w:style w:type="numbering" w:customStyle="1" w:styleId="NoList3">
    <w:name w:val="No List3"/>
    <w:next w:val="NoList"/>
    <w:uiPriority w:val="99"/>
    <w:semiHidden/>
    <w:unhideWhenUsed/>
    <w:rsid w:val="0000686B"/>
  </w:style>
  <w:style w:type="table" w:customStyle="1" w:styleId="TableGrid17">
    <w:name w:val="Table Grid17"/>
    <w:basedOn w:val="TableNormal"/>
    <w:next w:val="TableGrid"/>
    <w:uiPriority w:val="39"/>
    <w:rsid w:val="002D2F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line">
    <w:name w:val="citationline"/>
    <w:basedOn w:val="Normal"/>
    <w:rsid w:val="002713D8"/>
    <w:pPr>
      <w:spacing w:before="100" w:beforeAutospacing="1" w:after="100" w:afterAutospacing="1" w:line="336" w:lineRule="atLeast"/>
      <w:jc w:val="left"/>
    </w:pPr>
    <w:rPr>
      <w:rFonts w:ascii="Times New Roman" w:eastAsia="Times New Roman" w:hAnsi="Times New Roman" w:cs="Times New Roman"/>
      <w:sz w:val="17"/>
      <w:szCs w:val="17"/>
      <w:lang w:eastAsia="en-AU"/>
    </w:rPr>
  </w:style>
  <w:style w:type="paragraph" w:customStyle="1" w:styleId="authors">
    <w:name w:val="authors"/>
    <w:basedOn w:val="Normal"/>
    <w:rsid w:val="002713D8"/>
    <w:pPr>
      <w:spacing w:before="100" w:beforeAutospacing="1" w:after="100" w:afterAutospacing="1" w:line="336" w:lineRule="atLeast"/>
      <w:jc w:val="left"/>
    </w:pPr>
    <w:rPr>
      <w:rFonts w:ascii="Times New Roman" w:eastAsia="Times New Roman" w:hAnsi="Times New Roman" w:cs="Times New Roman"/>
      <w:sz w:val="17"/>
      <w:szCs w:val="17"/>
      <w:lang w:eastAsia="en-AU"/>
    </w:rPr>
  </w:style>
  <w:style w:type="character" w:customStyle="1" w:styleId="doi1">
    <w:name w:val="doi1"/>
    <w:basedOn w:val="DefaultParagraphFont"/>
    <w:rsid w:val="002713D8"/>
    <w:rPr>
      <w:color w:val="666666"/>
    </w:rPr>
  </w:style>
  <w:style w:type="character" w:customStyle="1" w:styleId="nlmon-behalf-of">
    <w:name w:val="nlm_on-behalf-of"/>
    <w:basedOn w:val="DefaultParagraphFont"/>
    <w:rsid w:val="002713D8"/>
  </w:style>
  <w:style w:type="character" w:customStyle="1" w:styleId="citation">
    <w:name w:val="citation"/>
    <w:basedOn w:val="DefaultParagraphFont"/>
    <w:rsid w:val="00271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21185">
      <w:bodyDiv w:val="1"/>
      <w:marLeft w:val="0"/>
      <w:marRight w:val="0"/>
      <w:marTop w:val="0"/>
      <w:marBottom w:val="0"/>
      <w:divBdr>
        <w:top w:val="none" w:sz="0" w:space="0" w:color="auto"/>
        <w:left w:val="none" w:sz="0" w:space="0" w:color="auto"/>
        <w:bottom w:val="none" w:sz="0" w:space="0" w:color="auto"/>
        <w:right w:val="none" w:sz="0" w:space="0" w:color="auto"/>
      </w:divBdr>
    </w:div>
    <w:div w:id="130634216">
      <w:bodyDiv w:val="1"/>
      <w:marLeft w:val="0"/>
      <w:marRight w:val="0"/>
      <w:marTop w:val="0"/>
      <w:marBottom w:val="0"/>
      <w:divBdr>
        <w:top w:val="none" w:sz="0" w:space="0" w:color="auto"/>
        <w:left w:val="none" w:sz="0" w:space="0" w:color="auto"/>
        <w:bottom w:val="none" w:sz="0" w:space="0" w:color="auto"/>
        <w:right w:val="none" w:sz="0" w:space="0" w:color="auto"/>
      </w:divBdr>
    </w:div>
    <w:div w:id="207185665">
      <w:bodyDiv w:val="1"/>
      <w:marLeft w:val="0"/>
      <w:marRight w:val="0"/>
      <w:marTop w:val="0"/>
      <w:marBottom w:val="0"/>
      <w:divBdr>
        <w:top w:val="none" w:sz="0" w:space="0" w:color="auto"/>
        <w:left w:val="none" w:sz="0" w:space="0" w:color="auto"/>
        <w:bottom w:val="none" w:sz="0" w:space="0" w:color="auto"/>
        <w:right w:val="none" w:sz="0" w:space="0" w:color="auto"/>
      </w:divBdr>
    </w:div>
    <w:div w:id="258414025">
      <w:bodyDiv w:val="1"/>
      <w:marLeft w:val="0"/>
      <w:marRight w:val="0"/>
      <w:marTop w:val="0"/>
      <w:marBottom w:val="0"/>
      <w:divBdr>
        <w:top w:val="none" w:sz="0" w:space="0" w:color="auto"/>
        <w:left w:val="none" w:sz="0" w:space="0" w:color="auto"/>
        <w:bottom w:val="none" w:sz="0" w:space="0" w:color="auto"/>
        <w:right w:val="none" w:sz="0" w:space="0" w:color="auto"/>
      </w:divBdr>
    </w:div>
    <w:div w:id="377316860">
      <w:bodyDiv w:val="1"/>
      <w:marLeft w:val="0"/>
      <w:marRight w:val="0"/>
      <w:marTop w:val="0"/>
      <w:marBottom w:val="0"/>
      <w:divBdr>
        <w:top w:val="none" w:sz="0" w:space="0" w:color="auto"/>
        <w:left w:val="none" w:sz="0" w:space="0" w:color="auto"/>
        <w:bottom w:val="none" w:sz="0" w:space="0" w:color="auto"/>
        <w:right w:val="none" w:sz="0" w:space="0" w:color="auto"/>
      </w:divBdr>
    </w:div>
    <w:div w:id="600332181">
      <w:bodyDiv w:val="1"/>
      <w:marLeft w:val="0"/>
      <w:marRight w:val="0"/>
      <w:marTop w:val="0"/>
      <w:marBottom w:val="0"/>
      <w:divBdr>
        <w:top w:val="none" w:sz="0" w:space="0" w:color="auto"/>
        <w:left w:val="none" w:sz="0" w:space="0" w:color="auto"/>
        <w:bottom w:val="none" w:sz="0" w:space="0" w:color="auto"/>
        <w:right w:val="none" w:sz="0" w:space="0" w:color="auto"/>
      </w:divBdr>
    </w:div>
    <w:div w:id="688144920">
      <w:bodyDiv w:val="1"/>
      <w:marLeft w:val="0"/>
      <w:marRight w:val="0"/>
      <w:marTop w:val="0"/>
      <w:marBottom w:val="0"/>
      <w:divBdr>
        <w:top w:val="none" w:sz="0" w:space="0" w:color="auto"/>
        <w:left w:val="none" w:sz="0" w:space="0" w:color="auto"/>
        <w:bottom w:val="none" w:sz="0" w:space="0" w:color="auto"/>
        <w:right w:val="none" w:sz="0" w:space="0" w:color="auto"/>
      </w:divBdr>
    </w:div>
    <w:div w:id="996104451">
      <w:bodyDiv w:val="1"/>
      <w:marLeft w:val="0"/>
      <w:marRight w:val="0"/>
      <w:marTop w:val="0"/>
      <w:marBottom w:val="0"/>
      <w:divBdr>
        <w:top w:val="none" w:sz="0" w:space="0" w:color="auto"/>
        <w:left w:val="none" w:sz="0" w:space="0" w:color="auto"/>
        <w:bottom w:val="none" w:sz="0" w:space="0" w:color="auto"/>
        <w:right w:val="none" w:sz="0" w:space="0" w:color="auto"/>
      </w:divBdr>
    </w:div>
    <w:div w:id="1116945482">
      <w:bodyDiv w:val="1"/>
      <w:marLeft w:val="0"/>
      <w:marRight w:val="0"/>
      <w:marTop w:val="0"/>
      <w:marBottom w:val="0"/>
      <w:divBdr>
        <w:top w:val="none" w:sz="0" w:space="0" w:color="auto"/>
        <w:left w:val="none" w:sz="0" w:space="0" w:color="auto"/>
        <w:bottom w:val="none" w:sz="0" w:space="0" w:color="auto"/>
        <w:right w:val="none" w:sz="0" w:space="0" w:color="auto"/>
      </w:divBdr>
    </w:div>
    <w:div w:id="1241677482">
      <w:bodyDiv w:val="1"/>
      <w:marLeft w:val="0"/>
      <w:marRight w:val="0"/>
      <w:marTop w:val="0"/>
      <w:marBottom w:val="0"/>
      <w:divBdr>
        <w:top w:val="none" w:sz="0" w:space="0" w:color="auto"/>
        <w:left w:val="none" w:sz="0" w:space="0" w:color="auto"/>
        <w:bottom w:val="none" w:sz="0" w:space="0" w:color="auto"/>
        <w:right w:val="none" w:sz="0" w:space="0" w:color="auto"/>
      </w:divBdr>
    </w:div>
    <w:div w:id="1343320949">
      <w:bodyDiv w:val="1"/>
      <w:marLeft w:val="0"/>
      <w:marRight w:val="0"/>
      <w:marTop w:val="0"/>
      <w:marBottom w:val="0"/>
      <w:divBdr>
        <w:top w:val="none" w:sz="0" w:space="0" w:color="auto"/>
        <w:left w:val="none" w:sz="0" w:space="0" w:color="auto"/>
        <w:bottom w:val="none" w:sz="0" w:space="0" w:color="auto"/>
        <w:right w:val="none" w:sz="0" w:space="0" w:color="auto"/>
      </w:divBdr>
    </w:div>
    <w:div w:id="1480223326">
      <w:bodyDiv w:val="1"/>
      <w:marLeft w:val="0"/>
      <w:marRight w:val="0"/>
      <w:marTop w:val="0"/>
      <w:marBottom w:val="0"/>
      <w:divBdr>
        <w:top w:val="none" w:sz="0" w:space="0" w:color="auto"/>
        <w:left w:val="none" w:sz="0" w:space="0" w:color="auto"/>
        <w:bottom w:val="none" w:sz="0" w:space="0" w:color="auto"/>
        <w:right w:val="none" w:sz="0" w:space="0" w:color="auto"/>
      </w:divBdr>
    </w:div>
    <w:div w:id="1516572630">
      <w:bodyDiv w:val="1"/>
      <w:marLeft w:val="0"/>
      <w:marRight w:val="0"/>
      <w:marTop w:val="0"/>
      <w:marBottom w:val="0"/>
      <w:divBdr>
        <w:top w:val="none" w:sz="0" w:space="0" w:color="auto"/>
        <w:left w:val="none" w:sz="0" w:space="0" w:color="auto"/>
        <w:bottom w:val="none" w:sz="0" w:space="0" w:color="auto"/>
        <w:right w:val="none" w:sz="0" w:space="0" w:color="auto"/>
      </w:divBdr>
    </w:div>
    <w:div w:id="1574316809">
      <w:bodyDiv w:val="1"/>
      <w:marLeft w:val="0"/>
      <w:marRight w:val="0"/>
      <w:marTop w:val="0"/>
      <w:marBottom w:val="0"/>
      <w:divBdr>
        <w:top w:val="none" w:sz="0" w:space="0" w:color="auto"/>
        <w:left w:val="none" w:sz="0" w:space="0" w:color="auto"/>
        <w:bottom w:val="none" w:sz="0" w:space="0" w:color="auto"/>
        <w:right w:val="none" w:sz="0" w:space="0" w:color="auto"/>
      </w:divBdr>
    </w:div>
    <w:div w:id="1648820412">
      <w:bodyDiv w:val="1"/>
      <w:marLeft w:val="0"/>
      <w:marRight w:val="0"/>
      <w:marTop w:val="0"/>
      <w:marBottom w:val="0"/>
      <w:divBdr>
        <w:top w:val="none" w:sz="0" w:space="0" w:color="auto"/>
        <w:left w:val="none" w:sz="0" w:space="0" w:color="auto"/>
        <w:bottom w:val="none" w:sz="0" w:space="0" w:color="auto"/>
        <w:right w:val="none" w:sz="0" w:space="0" w:color="auto"/>
      </w:divBdr>
    </w:div>
    <w:div w:id="1665011219">
      <w:bodyDiv w:val="1"/>
      <w:marLeft w:val="0"/>
      <w:marRight w:val="0"/>
      <w:marTop w:val="0"/>
      <w:marBottom w:val="0"/>
      <w:divBdr>
        <w:top w:val="none" w:sz="0" w:space="0" w:color="auto"/>
        <w:left w:val="none" w:sz="0" w:space="0" w:color="auto"/>
        <w:bottom w:val="none" w:sz="0" w:space="0" w:color="auto"/>
        <w:right w:val="none" w:sz="0" w:space="0" w:color="auto"/>
      </w:divBdr>
    </w:div>
    <w:div w:id="1771662559">
      <w:bodyDiv w:val="1"/>
      <w:marLeft w:val="0"/>
      <w:marRight w:val="0"/>
      <w:marTop w:val="0"/>
      <w:marBottom w:val="0"/>
      <w:divBdr>
        <w:top w:val="none" w:sz="0" w:space="0" w:color="auto"/>
        <w:left w:val="none" w:sz="0" w:space="0" w:color="auto"/>
        <w:bottom w:val="none" w:sz="0" w:space="0" w:color="auto"/>
        <w:right w:val="none" w:sz="0" w:space="0" w:color="auto"/>
      </w:divBdr>
    </w:div>
    <w:div w:id="1856380680">
      <w:bodyDiv w:val="1"/>
      <w:marLeft w:val="0"/>
      <w:marRight w:val="0"/>
      <w:marTop w:val="0"/>
      <w:marBottom w:val="0"/>
      <w:divBdr>
        <w:top w:val="none" w:sz="0" w:space="0" w:color="auto"/>
        <w:left w:val="none" w:sz="0" w:space="0" w:color="auto"/>
        <w:bottom w:val="none" w:sz="0" w:space="0" w:color="auto"/>
        <w:right w:val="none" w:sz="0" w:space="0" w:color="auto"/>
      </w:divBdr>
    </w:div>
    <w:div w:id="1863783934">
      <w:bodyDiv w:val="1"/>
      <w:marLeft w:val="0"/>
      <w:marRight w:val="0"/>
      <w:marTop w:val="0"/>
      <w:marBottom w:val="0"/>
      <w:divBdr>
        <w:top w:val="none" w:sz="0" w:space="0" w:color="auto"/>
        <w:left w:val="none" w:sz="0" w:space="0" w:color="auto"/>
        <w:bottom w:val="none" w:sz="0" w:space="0" w:color="auto"/>
        <w:right w:val="none" w:sz="0" w:space="0" w:color="auto"/>
      </w:divBdr>
      <w:divsChild>
        <w:div w:id="178349970">
          <w:marLeft w:val="0"/>
          <w:marRight w:val="0"/>
          <w:marTop w:val="0"/>
          <w:marBottom w:val="0"/>
          <w:divBdr>
            <w:top w:val="single" w:sz="2" w:space="0" w:color="CCCCCC"/>
            <w:left w:val="single" w:sz="6" w:space="11" w:color="CCCCCC"/>
            <w:bottom w:val="single" w:sz="6" w:space="0" w:color="CCCCCC"/>
            <w:right w:val="single" w:sz="6" w:space="11" w:color="CCCCCC"/>
          </w:divBdr>
          <w:divsChild>
            <w:div w:id="649291580">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System" TargetMode="External"/><Relationship Id="rId18" Type="http://schemas.openxmlformats.org/officeDocument/2006/relationships/hyperlink" Target="http://www.pbs.gov.au/info/reviews/subsidised-medicines-review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bs.gov.au/info/reviews/ezetimibe-review-public-consultation" TargetMode="External"/><Relationship Id="rId7" Type="http://schemas.openxmlformats.org/officeDocument/2006/relationships/footnotes" Target="footnotes.xml"/><Relationship Id="rId12" Type="http://schemas.openxmlformats.org/officeDocument/2006/relationships/hyperlink" Target="https://en.wikipedia.org/wiki/Organ_(anatomy)" TargetMode="External"/><Relationship Id="rId17" Type="http://schemas.openxmlformats.org/officeDocument/2006/relationships/hyperlink" Target="http://www.pbs.gov.au/pbs/hom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ustlii.edu.au/au/legis/cth/consol_act/nha1953147/s101.html" TargetMode="External"/><Relationship Id="rId20" Type="http://schemas.openxmlformats.org/officeDocument/2006/relationships/hyperlink" Target="http://www.pbs.gov.au/reviews/ezetimibe-review-files/ezetimibe-stakeholder-forum-outcomes-report.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Dru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en.wikipedia.org/wiki/Pharmacological" TargetMode="External"/><Relationship Id="rId23" Type="http://schemas.openxmlformats.org/officeDocument/2006/relationships/image" Target="media/image1.png"/><Relationship Id="rId28" Type="http://schemas.openxmlformats.org/officeDocument/2006/relationships/header" Target="header3.xml"/><Relationship Id="rId10" Type="http://schemas.openxmlformats.org/officeDocument/2006/relationships/hyperlink" Target="https://en.wikipedia.org/wiki/Medication" TargetMode="External"/><Relationship Id="rId19" Type="http://schemas.openxmlformats.org/officeDocument/2006/relationships/hyperlink" Target="http://www.pbs.gov.au/info/reviews/post-market-review-ezetimib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n.wikipedia.org/wiki/Drug_class" TargetMode="External"/><Relationship Id="rId14" Type="http://schemas.openxmlformats.org/officeDocument/2006/relationships/hyperlink" Target="https://en.wikipedia.org/wiki/Therapeutic" TargetMode="External"/><Relationship Id="rId22" Type="http://schemas.openxmlformats.org/officeDocument/2006/relationships/chart" Target="charts/chart1.xml"/><Relationship Id="rId27" Type="http://schemas.openxmlformats.org/officeDocument/2006/relationships/footer" Target="footer2.xm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aihw.gov.au/burden-of-disease/" TargetMode="External"/><Relationship Id="rId2" Type="http://schemas.openxmlformats.org/officeDocument/2006/relationships/hyperlink" Target="http://www.abs.gov.au/ausstats/abs@.nsf/Lookup/by%20Subject/3303.0~2013~Main%20Features~Leading%20Causes%20of%20Death~10001" TargetMode="External"/><Relationship Id="rId1" Type="http://schemas.openxmlformats.org/officeDocument/2006/relationships/hyperlink" Target="http://www.nejm.org/toc/nejm/372/25/" TargetMode="External"/><Relationship Id="rId4" Type="http://schemas.openxmlformats.org/officeDocument/2006/relationships/hyperlink" Target="http://www.nejm.org/toc/nejm/372/25/"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entral.health\dfsuserenv\Users\User_05\ajamih\Desktop\Copy%20of%20Ezetimibe%20Market%20analysis%20to%20September%202016%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sz="1400"/>
              <a:t>RPBS/PBS</a:t>
            </a:r>
            <a:r>
              <a:rPr lang="en-AU"/>
              <a:t> </a:t>
            </a:r>
            <a:r>
              <a:rPr lang="en-AU" sz="1320" b="1" i="0" u="none" strike="noStrike" baseline="0">
                <a:effectLst/>
              </a:rPr>
              <a:t>Prescriptions</a:t>
            </a:r>
            <a:endParaRPr lang="en-AU"/>
          </a:p>
        </c:rich>
      </c:tx>
      <c:layout/>
      <c:overlay val="0"/>
    </c:title>
    <c:autoTitleDeleted val="0"/>
    <c:plotArea>
      <c:layout>
        <c:manualLayout>
          <c:layoutTarget val="inner"/>
          <c:xMode val="edge"/>
          <c:yMode val="edge"/>
          <c:x val="0.22174181625425665"/>
          <c:y val="0.12913883950305147"/>
          <c:w val="0.7542464793719349"/>
          <c:h val="0.559128968312672"/>
        </c:manualLayout>
      </c:layout>
      <c:lineChart>
        <c:grouping val="standard"/>
        <c:varyColors val="0"/>
        <c:ser>
          <c:idx val="0"/>
          <c:order val="0"/>
          <c:tx>
            <c:strRef>
              <c:f>Sheet1!$B$60</c:f>
              <c:strCache>
                <c:ptCount val="1"/>
                <c:pt idx="0">
                  <c:v>Total Ezetimibe mono</c:v>
                </c:pt>
              </c:strCache>
            </c:strRef>
          </c:tx>
          <c:cat>
            <c:strRef>
              <c:f>Sheet1!$A$61:$A$65</c:f>
              <c:strCache>
                <c:ptCount val="5"/>
                <c:pt idx="0">
                  <c:v>2011-2012</c:v>
                </c:pt>
                <c:pt idx="1">
                  <c:v>2012-2013</c:v>
                </c:pt>
                <c:pt idx="2">
                  <c:v>2013-2014</c:v>
                </c:pt>
                <c:pt idx="3">
                  <c:v>2014-2015</c:v>
                </c:pt>
                <c:pt idx="4">
                  <c:v>2015-2016</c:v>
                </c:pt>
              </c:strCache>
            </c:strRef>
          </c:cat>
          <c:val>
            <c:numRef>
              <c:f>Sheet1!$B$61:$B$65</c:f>
              <c:numCache>
                <c:formatCode>General</c:formatCode>
                <c:ptCount val="5"/>
                <c:pt idx="0">
                  <c:v>1096418</c:v>
                </c:pt>
                <c:pt idx="1">
                  <c:v>1175545</c:v>
                </c:pt>
                <c:pt idx="2">
                  <c:v>1237564</c:v>
                </c:pt>
                <c:pt idx="3">
                  <c:v>1247469</c:v>
                </c:pt>
                <c:pt idx="4">
                  <c:v>1202346</c:v>
                </c:pt>
              </c:numCache>
            </c:numRef>
          </c:val>
          <c:smooth val="0"/>
        </c:ser>
        <c:ser>
          <c:idx val="1"/>
          <c:order val="1"/>
          <c:tx>
            <c:strRef>
              <c:f>Sheet1!$C$60</c:f>
              <c:strCache>
                <c:ptCount val="1"/>
                <c:pt idx="0">
                  <c:v>Total Ezetimibe FDC</c:v>
                </c:pt>
              </c:strCache>
            </c:strRef>
          </c:tx>
          <c:cat>
            <c:strRef>
              <c:f>Sheet1!$A$61:$A$65</c:f>
              <c:strCache>
                <c:ptCount val="5"/>
                <c:pt idx="0">
                  <c:v>2011-2012</c:v>
                </c:pt>
                <c:pt idx="1">
                  <c:v>2012-2013</c:v>
                </c:pt>
                <c:pt idx="2">
                  <c:v>2013-2014</c:v>
                </c:pt>
                <c:pt idx="3">
                  <c:v>2014-2015</c:v>
                </c:pt>
                <c:pt idx="4">
                  <c:v>2015-2016</c:v>
                </c:pt>
              </c:strCache>
            </c:strRef>
          </c:cat>
          <c:val>
            <c:numRef>
              <c:f>Sheet1!$C$61:$C$65</c:f>
              <c:numCache>
                <c:formatCode>General</c:formatCode>
                <c:ptCount val="5"/>
                <c:pt idx="0">
                  <c:v>828631</c:v>
                </c:pt>
                <c:pt idx="1">
                  <c:v>912413</c:v>
                </c:pt>
                <c:pt idx="2">
                  <c:v>1000651</c:v>
                </c:pt>
                <c:pt idx="3">
                  <c:v>1150453</c:v>
                </c:pt>
                <c:pt idx="4">
                  <c:v>1462560</c:v>
                </c:pt>
              </c:numCache>
            </c:numRef>
          </c:val>
          <c:smooth val="0"/>
        </c:ser>
        <c:ser>
          <c:idx val="2"/>
          <c:order val="2"/>
          <c:tx>
            <c:strRef>
              <c:f>Sheet1!$D$60</c:f>
              <c:strCache>
                <c:ptCount val="1"/>
                <c:pt idx="0">
                  <c:v>Total Ezetimibe mono + Total Ezetimibe FDC</c:v>
                </c:pt>
              </c:strCache>
            </c:strRef>
          </c:tx>
          <c:cat>
            <c:strRef>
              <c:f>Sheet1!$A$61:$A$65</c:f>
              <c:strCache>
                <c:ptCount val="5"/>
                <c:pt idx="0">
                  <c:v>2011-2012</c:v>
                </c:pt>
                <c:pt idx="1">
                  <c:v>2012-2013</c:v>
                </c:pt>
                <c:pt idx="2">
                  <c:v>2013-2014</c:v>
                </c:pt>
                <c:pt idx="3">
                  <c:v>2014-2015</c:v>
                </c:pt>
                <c:pt idx="4">
                  <c:v>2015-2016</c:v>
                </c:pt>
              </c:strCache>
            </c:strRef>
          </c:cat>
          <c:val>
            <c:numRef>
              <c:f>Sheet1!$D$61:$D$65</c:f>
              <c:numCache>
                <c:formatCode>General</c:formatCode>
                <c:ptCount val="5"/>
                <c:pt idx="0">
                  <c:v>1925049</c:v>
                </c:pt>
                <c:pt idx="1">
                  <c:v>2087958</c:v>
                </c:pt>
                <c:pt idx="2">
                  <c:v>2238215</c:v>
                </c:pt>
                <c:pt idx="3">
                  <c:v>2397922</c:v>
                </c:pt>
                <c:pt idx="4">
                  <c:v>2664906</c:v>
                </c:pt>
              </c:numCache>
            </c:numRef>
          </c:val>
          <c:smooth val="0"/>
        </c:ser>
        <c:dLbls>
          <c:showLegendKey val="0"/>
          <c:showVal val="0"/>
          <c:showCatName val="0"/>
          <c:showSerName val="0"/>
          <c:showPercent val="0"/>
          <c:showBubbleSize val="0"/>
        </c:dLbls>
        <c:marker val="1"/>
        <c:smooth val="0"/>
        <c:axId val="180020352"/>
        <c:axId val="180021888"/>
      </c:lineChart>
      <c:catAx>
        <c:axId val="180020352"/>
        <c:scaling>
          <c:orientation val="minMax"/>
        </c:scaling>
        <c:delete val="0"/>
        <c:axPos val="b"/>
        <c:majorTickMark val="out"/>
        <c:minorTickMark val="none"/>
        <c:tickLblPos val="nextTo"/>
        <c:txPr>
          <a:bodyPr rot="-2700000"/>
          <a:lstStyle/>
          <a:p>
            <a:pPr>
              <a:defRPr/>
            </a:pPr>
            <a:endParaRPr lang="en-US"/>
          </a:p>
        </c:txPr>
        <c:crossAx val="180021888"/>
        <c:crosses val="autoZero"/>
        <c:auto val="1"/>
        <c:lblAlgn val="ctr"/>
        <c:lblOffset val="100"/>
        <c:noMultiLvlLbl val="0"/>
      </c:catAx>
      <c:valAx>
        <c:axId val="180021888"/>
        <c:scaling>
          <c:orientation val="minMax"/>
        </c:scaling>
        <c:delete val="0"/>
        <c:axPos val="l"/>
        <c:majorGridlines/>
        <c:title>
          <c:tx>
            <c:rich>
              <a:bodyPr rot="-5400000" vert="horz"/>
              <a:lstStyle/>
              <a:p>
                <a:pPr>
                  <a:defRPr sz="1400"/>
                </a:pPr>
                <a:r>
                  <a:rPr lang="en-AU" sz="1400" b="1" i="0" u="none" strike="noStrike" baseline="0">
                    <a:effectLst/>
                  </a:rPr>
                  <a:t>Prescription</a:t>
                </a:r>
                <a:endParaRPr lang="en-AU" sz="1400"/>
              </a:p>
            </c:rich>
          </c:tx>
          <c:layout/>
          <c:overlay val="0"/>
        </c:title>
        <c:numFmt formatCode="#,##0.00" sourceLinked="0"/>
        <c:majorTickMark val="out"/>
        <c:minorTickMark val="none"/>
        <c:tickLblPos val="nextTo"/>
        <c:crossAx val="180020352"/>
        <c:crosses val="autoZero"/>
        <c:crossBetween val="between"/>
      </c:valAx>
    </c:plotArea>
    <c:legend>
      <c:legendPos val="b"/>
      <c:layout>
        <c:manualLayout>
          <c:xMode val="edge"/>
          <c:yMode val="edge"/>
          <c:x val="9.6786119890563942E-3"/>
          <c:y val="0.89209693082864139"/>
          <c:w val="0.98782022544326153"/>
          <c:h val="8.4533700566719383E-2"/>
        </c:manualLayout>
      </c:layout>
      <c:overlay val="0"/>
    </c:legend>
    <c:plotVisOnly val="1"/>
    <c:dispBlanksAs val="gap"/>
    <c:showDLblsOverMax val="0"/>
  </c:chart>
  <c:txPr>
    <a:bodyPr/>
    <a:lstStyle/>
    <a:p>
      <a:pPr>
        <a:defRPr sz="1100" b="1"/>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12DB1-F36E-4ABD-9675-30B147CB1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26242</Words>
  <Characters>155410</Characters>
  <Application>Microsoft Office Word</Application>
  <DocSecurity>0</DocSecurity>
  <Lines>1295</Lines>
  <Paragraphs>362</Paragraphs>
  <ScaleCrop>false</ScaleCrop>
  <Company/>
  <LinksUpToDate>false</LinksUpToDate>
  <CharactersWithSpaces>181290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2017-05-22T22:48:00Z</dcterms:created>
  <dcterms:modified xsi:type="dcterms:W3CDTF">2017-05-22T22:48:00Z</dcterms:modified>
</cp:coreProperties>
</file>