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CC" w:rsidRPr="00FA1528" w:rsidRDefault="00252BCC" w:rsidP="00252BCC">
      <w:pPr>
        <w:widowControl w:val="0"/>
        <w:autoSpaceDE w:val="0"/>
        <w:autoSpaceDN w:val="0"/>
        <w:adjustRightInd w:val="0"/>
        <w:spacing w:after="320"/>
        <w:outlineLvl w:val="0"/>
        <w:rPr>
          <w:b/>
        </w:rPr>
      </w:pPr>
      <w:bookmarkStart w:id="0" w:name="_GoBack"/>
      <w:bookmarkEnd w:id="0"/>
      <w:r w:rsidRPr="00FA1528">
        <w:rPr>
          <w:b/>
        </w:rPr>
        <w:t>Title:</w:t>
      </w:r>
    </w:p>
    <w:p w:rsidR="0010215D" w:rsidRPr="00FA1528" w:rsidRDefault="00252BCC" w:rsidP="00252BCC">
      <w:pPr>
        <w:widowControl w:val="0"/>
        <w:autoSpaceDE w:val="0"/>
        <w:autoSpaceDN w:val="0"/>
        <w:adjustRightInd w:val="0"/>
        <w:spacing w:after="320" w:line="360" w:lineRule="auto"/>
        <w:outlineLvl w:val="0"/>
      </w:pPr>
      <w:r w:rsidRPr="00FA1528">
        <w:t>Pulmonary arterial hypertension therapy in Australian patients with systemic sclerosis related pulmonary arterial hypertension: analysis of the Australian Scleroderma Cohort Study</w:t>
      </w:r>
    </w:p>
    <w:p w:rsidR="00414AB7" w:rsidRDefault="00414AB7" w:rsidP="00252BCC">
      <w:pPr>
        <w:spacing w:line="480" w:lineRule="auto"/>
        <w:rPr>
          <w:b/>
        </w:rPr>
      </w:pPr>
    </w:p>
    <w:p w:rsidR="00252BCC" w:rsidRPr="00FA1528" w:rsidRDefault="00252BCC" w:rsidP="00252BCC">
      <w:pPr>
        <w:spacing w:line="480" w:lineRule="auto"/>
        <w:rPr>
          <w:b/>
        </w:rPr>
      </w:pPr>
      <w:r w:rsidRPr="00FA1528">
        <w:rPr>
          <w:b/>
        </w:rPr>
        <w:t>Authors</w:t>
      </w:r>
    </w:p>
    <w:p w:rsidR="00252BCC" w:rsidRPr="00FA1528" w:rsidRDefault="004652AB" w:rsidP="00252BCC">
      <w:pPr>
        <w:spacing w:line="480" w:lineRule="auto"/>
      </w:pPr>
      <w:r>
        <w:rPr>
          <w:noProof/>
          <w:color w:val="000000"/>
          <w:highlight w:val="black"/>
        </w:rPr>
        <w:t>''''''''''''''''' '''''''''''''''''''''''''''''' ''''''''''''''''''''' '''''''''''''''''''' '''''''''''''''''''' ''''''''''''''''''''''''' ''''''''' ''''''''''''''''' '''''''''''''''''''''''</w:t>
      </w:r>
      <w:r w:rsidR="00FA1528" w:rsidRPr="00FA1528">
        <w:t xml:space="preserve"> </w:t>
      </w:r>
      <w:r w:rsidR="00252BCC" w:rsidRPr="00FA1528">
        <w:t>on behalf of the Australian Scleroderma Interest Group (ASIG)</w:t>
      </w:r>
    </w:p>
    <w:p w:rsidR="00252BCC" w:rsidRPr="00FA1528" w:rsidRDefault="00252BCC" w:rsidP="00252BCC">
      <w:pPr>
        <w:spacing w:line="480" w:lineRule="auto"/>
        <w:jc w:val="both"/>
        <w:rPr>
          <w:b/>
        </w:rPr>
      </w:pPr>
    </w:p>
    <w:p w:rsidR="00252BCC" w:rsidRPr="004652AB" w:rsidRDefault="00252BCC" w:rsidP="00FA1528">
      <w:pPr>
        <w:spacing w:line="480" w:lineRule="auto"/>
      </w:pPr>
      <w:r w:rsidRPr="00FA1528">
        <w:rPr>
          <w:b/>
        </w:rPr>
        <w:t>Investigators of the Australian Scleroderma Interest Group (ASIG):</w:t>
      </w:r>
      <w:r w:rsidRPr="00FA1528">
        <w:t xml:space="preserve"> </w:t>
      </w:r>
      <w:r w:rsidR="004652AB">
        <w:rPr>
          <w:noProof/>
          <w:color w:val="000000"/>
          <w:highlight w:val="black"/>
        </w:rPr>
        <w:t>''''' '''''''''' ''''''''''''''''''''' ''''''''''''' ''''''''''''''''''''' '''''' ''''''''''''''' '''''''''''''''''''''''''' ''''''''''' '''''''''''''' ''''''''''''''' '''''' ''''''''''''''' ''''''''''''''''''''''''' '''''''''''''''''''' ''''''' '''''''''''''''''''' ''''''''''''''''''''''''''''' '''''''''''''''''' ''''' ''''''''''''''''''''''''' '''''''''''''''''''' '''''''''''' '''''''''''''''''''''''' '''' '''''''''''''''' ''''''''''''''' ''''''''''''''''''' '''''''''''''''''''''' '''' '''''''''''''''''' '''''''''''''''''''''''''''' ''''''''''''''''''''' '''''' '''''''''''''''''' ''''''''''''''''''''''''' '''''''''''''''''' '''''' ''''''''''''''''''''''''''' '''''''''''''''''''''' ''''''''''''''''''''' '''''' ''''''''''''''''' '''''''''''''''''''' '''''''''''''''''''''' '''''''''''''''' ''''''''''''''''''''''' '''' ''''''''''''''''''' ''''''''''''''''''''' '''''''''''''' '''''''''''''''''''''' ''''' '''''''''''''''''' ''''''''''''''''''' '''''''''' '''''''''''' '''''''''''''''' '''' '''''''''''''''''''''''' '''''''''''''''' '''''''''''''''''''''</w:t>
      </w:r>
    </w:p>
    <w:p w:rsidR="00252BCC" w:rsidRPr="00FA1528" w:rsidRDefault="00252BCC" w:rsidP="00252BCC">
      <w:pPr>
        <w:spacing w:line="480" w:lineRule="auto"/>
        <w:rPr>
          <w:b/>
        </w:rPr>
      </w:pPr>
    </w:p>
    <w:p w:rsidR="00252BCC" w:rsidRPr="00FA1528" w:rsidRDefault="00252BCC" w:rsidP="00252BCC">
      <w:pPr>
        <w:spacing w:line="480" w:lineRule="auto"/>
        <w:rPr>
          <w:b/>
        </w:rPr>
      </w:pPr>
      <w:r w:rsidRPr="00FA1528">
        <w:rPr>
          <w:b/>
        </w:rPr>
        <w:t>Institutional addresses</w:t>
      </w:r>
    </w:p>
    <w:p w:rsidR="00252BCC" w:rsidRPr="004652AB" w:rsidRDefault="004652AB" w:rsidP="00252BCC">
      <w:pPr>
        <w:spacing w:line="480" w:lineRule="auto"/>
        <w:rPr>
          <w:highlight w:val="black"/>
        </w:rPr>
      </w:pPr>
      <w:r>
        <w:rPr>
          <w:noProof/>
          <w:color w:val="000000"/>
          <w:highlight w:val="black"/>
          <w:vertAlign w:val="superscript"/>
        </w:rPr>
        <w:t xml:space="preserve">'''''''''''''''''''''''''''''''''''''' '''''''''''' ''''''''''''' '''''''''''''''''''''' '''''''''''''''''''''' '''''''''''''' ''''''''''''''''''' ''''''' ''''''''''''' '''''''''''''''''''' ''''''''''''''''''''''''' ''''' ''''''''''''''''''''' ''''''''''''''''''''''' ''''' '''''''''''''''''''' '''''''' '''''''''''' '''''''''''''''''''''''' </w:t>
      </w:r>
    </w:p>
    <w:p w:rsidR="00252BCC" w:rsidRPr="004652AB" w:rsidRDefault="004652AB" w:rsidP="00252BCC">
      <w:pPr>
        <w:spacing w:line="480" w:lineRule="auto"/>
        <w:rPr>
          <w:highlight w:val="black"/>
        </w:rPr>
      </w:pPr>
      <w:r>
        <w:rPr>
          <w:noProof/>
          <w:color w:val="000000"/>
          <w:highlight w:val="black"/>
          <w:vertAlign w:val="superscript"/>
        </w:rPr>
        <w:t xml:space="preserve">'''''''''''''''''''''''''''' ''''' '''''''''''''''''''''''''''''''' ''''' ''''''''''''''''''''' ''''''''''''''''''' ''''''''''''''''''''''''''''''' ''''' ''''''''''''''''' ''''''''''''''''' '''''''''''''''' '''''''''''''' '''''''''''''''''''''' ''''''''''''''''''''' </w:t>
      </w:r>
    </w:p>
    <w:p w:rsidR="00FA1528" w:rsidRPr="004652AB" w:rsidRDefault="004652AB" w:rsidP="00252BCC">
      <w:pPr>
        <w:spacing w:line="480" w:lineRule="auto"/>
        <w:rPr>
          <w:highlight w:val="black"/>
        </w:rPr>
      </w:pPr>
      <w:r>
        <w:rPr>
          <w:noProof/>
          <w:color w:val="000000"/>
          <w:highlight w:val="black"/>
          <w:vertAlign w:val="superscript"/>
        </w:rPr>
        <w:t>''''''''''''''''''''''''''' ''''' ''''''''''''''''''''''' ''''''''' '''''''''''''''''''''''''' ''''' ''''''''''''''''''''''''' ''''' ''''' '''''''''''''''''''''''' ''''''''''''''''' '''''''''''''''''''''''''''''' '''''' '''''''''''''''''' '''''''''''''''' '''''''''''''''''' '''''''''''''' ''''''''''''''''''' ''''''''''''''''''''</w:t>
      </w:r>
    </w:p>
    <w:p w:rsidR="00FA1528" w:rsidRPr="00FA1528" w:rsidRDefault="00FA1528" w:rsidP="00252BCC">
      <w:pPr>
        <w:spacing w:line="480" w:lineRule="auto"/>
        <w:rPr>
          <w:b/>
        </w:rPr>
      </w:pPr>
    </w:p>
    <w:p w:rsidR="00252BCC" w:rsidRPr="00FA1528" w:rsidRDefault="00252BCC" w:rsidP="00252BCC">
      <w:pPr>
        <w:spacing w:line="480" w:lineRule="auto"/>
        <w:rPr>
          <w:b/>
        </w:rPr>
      </w:pPr>
      <w:r w:rsidRPr="00FA1528">
        <w:rPr>
          <w:b/>
        </w:rPr>
        <w:lastRenderedPageBreak/>
        <w:t>Email addresses</w:t>
      </w:r>
    </w:p>
    <w:p w:rsidR="00FA1528" w:rsidRPr="00B83974" w:rsidRDefault="00B83974" w:rsidP="00FA1528">
      <w:pPr>
        <w:spacing w:line="480" w:lineRule="auto"/>
        <w:rPr>
          <w:highlight w:val="black"/>
        </w:rPr>
      </w:pPr>
      <w:r>
        <w:rPr>
          <w:noProof/>
          <w:color w:val="000000"/>
          <w:highlight w:val="black"/>
        </w:rPr>
        <w:t xml:space="preserve">''''''''''''''''' ''''''''''''''''''''''''' '''''''''''''''''''''''''''''''''''''''''''''''''''''''''''''' </w:t>
      </w:r>
    </w:p>
    <w:p w:rsidR="00FA1528" w:rsidRPr="00B83974" w:rsidRDefault="00B83974" w:rsidP="00FA1528">
      <w:pPr>
        <w:spacing w:line="480" w:lineRule="auto"/>
        <w:rPr>
          <w:highlight w:val="black"/>
        </w:rPr>
      </w:pPr>
      <w:r>
        <w:rPr>
          <w:noProof/>
          <w:color w:val="000000"/>
          <w:highlight w:val="black"/>
        </w:rPr>
        <w:t>'''''''''''''''''''' ''''''''''''''''''''' ''''''''''''''''''''''''''''''''''''''''''''''''''''''''''''''</w:t>
      </w:r>
    </w:p>
    <w:p w:rsidR="00252BCC" w:rsidRPr="00B83974" w:rsidRDefault="00B83974" w:rsidP="00252BCC">
      <w:pPr>
        <w:spacing w:line="480" w:lineRule="auto"/>
        <w:rPr>
          <w:highlight w:val="black"/>
        </w:rPr>
      </w:pPr>
      <w:r>
        <w:rPr>
          <w:noProof/>
          <w:color w:val="000000"/>
          <w:highlight w:val="black"/>
        </w:rPr>
        <w:t xml:space="preserve">''''''''''''''' ''''''''''''''''''' '''''''''''''''''''''''''''''''''''''''''''''''''''''''''''''''' </w:t>
      </w:r>
    </w:p>
    <w:p w:rsidR="00252BCC" w:rsidRPr="00FA1528" w:rsidRDefault="00252BCC" w:rsidP="00252BCC">
      <w:pPr>
        <w:spacing w:line="480" w:lineRule="auto"/>
        <w:rPr>
          <w:b/>
        </w:rPr>
      </w:pPr>
    </w:p>
    <w:p w:rsidR="00252BCC" w:rsidRPr="00FA1528" w:rsidRDefault="00252BCC" w:rsidP="00252BCC">
      <w:pPr>
        <w:spacing w:line="480" w:lineRule="auto"/>
        <w:rPr>
          <w:b/>
        </w:rPr>
      </w:pPr>
      <w:r w:rsidRPr="00FA1528">
        <w:rPr>
          <w:b/>
        </w:rPr>
        <w:t>Corresponding author</w:t>
      </w:r>
    </w:p>
    <w:p w:rsidR="00252BCC" w:rsidRPr="00B83974" w:rsidRDefault="00B83974" w:rsidP="00252BCC">
      <w:pPr>
        <w:spacing w:line="480" w:lineRule="auto"/>
        <w:rPr>
          <w:highlight w:val="black"/>
          <w:u w:val="single"/>
        </w:rPr>
      </w:pPr>
      <w:r>
        <w:rPr>
          <w:noProof/>
          <w:color w:val="000000"/>
          <w:highlight w:val="black"/>
        </w:rPr>
        <w:t>'''''''''''''' ''''''''''''''''''' '''''''''''''''''''''' '''''''''''''''''''''''''''''''''''' '''''''''' '' ''''''''''''' '''''''''''''''''''''' '''''''''''''''''''' ''''''''' ''''''''''''' '''''''''''''''''''' ''''''''''''''' ''''''''''''''''''''' '''''''''''''' '''''''''''''''''''''''''''''''''''''''''''''''''''''''''''''''''''''''''</w:t>
      </w:r>
    </w:p>
    <w:p w:rsidR="001D6A81" w:rsidRDefault="001D6A81">
      <w:pPr>
        <w:rPr>
          <w:b/>
        </w:rPr>
      </w:pPr>
      <w:r>
        <w:rPr>
          <w:b/>
        </w:rPr>
        <w:br w:type="page"/>
      </w:r>
    </w:p>
    <w:p w:rsidR="001D6A81" w:rsidRPr="008B203B" w:rsidRDefault="008B203B" w:rsidP="008B203B">
      <w:pPr>
        <w:pStyle w:val="ListParagraph"/>
        <w:numPr>
          <w:ilvl w:val="0"/>
          <w:numId w:val="18"/>
        </w:numPr>
        <w:ind w:left="284"/>
        <w:rPr>
          <w:b/>
        </w:rPr>
      </w:pPr>
      <w:r w:rsidRPr="008B203B">
        <w:rPr>
          <w:b/>
        </w:rPr>
        <w:lastRenderedPageBreak/>
        <w:t>INTRODUCTION</w:t>
      </w:r>
      <w:r w:rsidR="001D6A81" w:rsidRPr="008B203B">
        <w:rPr>
          <w:b/>
        </w:rPr>
        <w:t>:</w:t>
      </w:r>
    </w:p>
    <w:p w:rsidR="001D6A81" w:rsidRDefault="001D6A81">
      <w:pPr>
        <w:rPr>
          <w:b/>
        </w:rPr>
      </w:pPr>
    </w:p>
    <w:p w:rsidR="008B203B" w:rsidRDefault="008B203B" w:rsidP="00A14056">
      <w:pPr>
        <w:spacing w:line="360" w:lineRule="auto"/>
      </w:pPr>
      <w:r>
        <w:t>This paper has been prepared at the request of the Reference group for the Post-Market Review of Pulmonary Arterial Hypertension (PAH) Medicines</w:t>
      </w:r>
      <w:r w:rsidR="009822C8">
        <w:t xml:space="preserve"> to provide data on PAH medicine utilisation in patients with systemic sclerosis (SSc) related PAH.</w:t>
      </w:r>
    </w:p>
    <w:p w:rsidR="008B203B" w:rsidRDefault="008B203B" w:rsidP="00A14056">
      <w:pPr>
        <w:spacing w:line="360" w:lineRule="auto"/>
      </w:pPr>
    </w:p>
    <w:p w:rsidR="001D6A81" w:rsidRDefault="009822C8" w:rsidP="00A14056">
      <w:pPr>
        <w:spacing w:line="360" w:lineRule="auto"/>
      </w:pPr>
      <w:r>
        <w:t>The aims of this analysis a</w:t>
      </w:r>
      <w:r w:rsidR="001D6A81">
        <w:t>re to determine</w:t>
      </w:r>
      <w:r w:rsidR="002D4126">
        <w:t>:</w:t>
      </w:r>
      <w:r w:rsidR="001D6A81">
        <w:t xml:space="preserve"> </w:t>
      </w:r>
    </w:p>
    <w:p w:rsidR="001D6A81" w:rsidRPr="008745CE" w:rsidRDefault="001D6A81" w:rsidP="00A14056">
      <w:pPr>
        <w:pStyle w:val="ListParagraph"/>
        <w:numPr>
          <w:ilvl w:val="0"/>
          <w:numId w:val="1"/>
        </w:numPr>
        <w:spacing w:line="360" w:lineRule="auto"/>
        <w:ind w:right="-574"/>
      </w:pPr>
      <w:r w:rsidRPr="008745CE">
        <w:t xml:space="preserve">The types of pulmonary hypertension </w:t>
      </w:r>
      <w:r w:rsidR="000D2B85">
        <w:t xml:space="preserve">(PH) </w:t>
      </w:r>
      <w:r w:rsidR="008745CE" w:rsidRPr="008745CE">
        <w:t xml:space="preserve">defined by right heart catheterisation (RHC) by World Health Organisation group </w:t>
      </w:r>
      <w:r w:rsidRPr="008745CE">
        <w:t>in patients in the Australian Scleroderma Cohort Study (ASCS)</w:t>
      </w:r>
      <w:r w:rsidR="008745CE" w:rsidRPr="008745CE">
        <w:t xml:space="preserve"> who were alive during the period July 2016 to June 2017</w:t>
      </w:r>
    </w:p>
    <w:p w:rsidR="001D6A81" w:rsidRPr="008745CE" w:rsidRDefault="001D6A81" w:rsidP="00A14056">
      <w:pPr>
        <w:pStyle w:val="ListParagraph"/>
        <w:numPr>
          <w:ilvl w:val="0"/>
          <w:numId w:val="1"/>
        </w:numPr>
        <w:spacing w:line="360" w:lineRule="auto"/>
        <w:ind w:right="-574"/>
      </w:pPr>
      <w:r w:rsidRPr="008745CE">
        <w:t xml:space="preserve">The </w:t>
      </w:r>
      <w:r w:rsidR="008745CE" w:rsidRPr="008745CE">
        <w:t>clinical features</w:t>
      </w:r>
      <w:r w:rsidRPr="008745CE">
        <w:t xml:space="preserve"> </w:t>
      </w:r>
      <w:r w:rsidR="008745CE" w:rsidRPr="008745CE">
        <w:t>and PAH severity of the patients with RHC-defined pulmonary arterial hypertension (PAH) by functional class (FC) who were receiving PBS reimbursed PAH therapies at an index visit between June 2016 and December 2017.</w:t>
      </w:r>
    </w:p>
    <w:p w:rsidR="008745CE" w:rsidRPr="008745CE" w:rsidRDefault="008745CE" w:rsidP="00A14056">
      <w:pPr>
        <w:pStyle w:val="ListParagraph"/>
        <w:numPr>
          <w:ilvl w:val="0"/>
          <w:numId w:val="1"/>
        </w:numPr>
        <w:spacing w:line="360" w:lineRule="auto"/>
        <w:ind w:right="-574"/>
      </w:pPr>
      <w:r w:rsidRPr="008745CE">
        <w:t>The PAH therapies and other therapies used by the patients with RHC-defined PAH by FC who were receiving PBS reimbursed PAH therapies at an index visit between June 2016 and December 2017.</w:t>
      </w:r>
    </w:p>
    <w:p w:rsidR="008745CE" w:rsidRPr="008745CE" w:rsidRDefault="008745CE" w:rsidP="00A14056">
      <w:pPr>
        <w:pStyle w:val="ListParagraph"/>
        <w:numPr>
          <w:ilvl w:val="0"/>
          <w:numId w:val="1"/>
        </w:numPr>
        <w:spacing w:line="360" w:lineRule="auto"/>
        <w:ind w:right="-574"/>
      </w:pPr>
      <w:r w:rsidRPr="008745CE">
        <w:t>The co-morbidities of the patients with RHC-defined PAH by FC who were receiving PBS reimbursed PAH therapies at an index visit between June 2016 and December 2017.</w:t>
      </w:r>
    </w:p>
    <w:p w:rsidR="00FA1528" w:rsidRPr="001D6A81" w:rsidRDefault="00FA1528" w:rsidP="001D6A81">
      <w:pPr>
        <w:pStyle w:val="ListParagraph"/>
        <w:numPr>
          <w:ilvl w:val="0"/>
          <w:numId w:val="1"/>
        </w:numPr>
        <w:ind w:right="-574"/>
        <w:rPr>
          <w:b/>
        </w:rPr>
      </w:pPr>
      <w:r w:rsidRPr="001D6A81">
        <w:rPr>
          <w:b/>
        </w:rPr>
        <w:br w:type="page"/>
      </w:r>
    </w:p>
    <w:p w:rsidR="001079FC" w:rsidRPr="008B203B" w:rsidRDefault="00E8640D" w:rsidP="008B203B">
      <w:pPr>
        <w:pStyle w:val="ListParagraph"/>
        <w:widowControl w:val="0"/>
        <w:numPr>
          <w:ilvl w:val="0"/>
          <w:numId w:val="18"/>
        </w:numPr>
        <w:tabs>
          <w:tab w:val="left" w:pos="220"/>
          <w:tab w:val="left" w:pos="720"/>
        </w:tabs>
        <w:autoSpaceDE w:val="0"/>
        <w:autoSpaceDN w:val="0"/>
        <w:adjustRightInd w:val="0"/>
        <w:spacing w:line="360" w:lineRule="auto"/>
        <w:ind w:left="426"/>
        <w:jc w:val="both"/>
        <w:rPr>
          <w:b/>
        </w:rPr>
      </w:pPr>
      <w:r w:rsidRPr="008B203B">
        <w:rPr>
          <w:b/>
        </w:rPr>
        <w:lastRenderedPageBreak/>
        <w:t xml:space="preserve">BACKGROUND </w:t>
      </w:r>
    </w:p>
    <w:p w:rsidR="003E4B68" w:rsidRPr="00FA1528" w:rsidRDefault="003E4B68" w:rsidP="00EE2DC8">
      <w:pPr>
        <w:widowControl w:val="0"/>
        <w:tabs>
          <w:tab w:val="left" w:pos="220"/>
          <w:tab w:val="left" w:pos="720"/>
        </w:tabs>
        <w:autoSpaceDE w:val="0"/>
        <w:autoSpaceDN w:val="0"/>
        <w:adjustRightInd w:val="0"/>
        <w:spacing w:line="360" w:lineRule="auto"/>
        <w:ind w:left="720"/>
        <w:jc w:val="both"/>
      </w:pPr>
    </w:p>
    <w:p w:rsidR="00E8640D" w:rsidRPr="00FA1528" w:rsidRDefault="00E8640D" w:rsidP="00EC50D7">
      <w:pPr>
        <w:widowControl w:val="0"/>
        <w:tabs>
          <w:tab w:val="left" w:pos="720"/>
        </w:tabs>
        <w:autoSpaceDE w:val="0"/>
        <w:autoSpaceDN w:val="0"/>
        <w:adjustRightInd w:val="0"/>
        <w:spacing w:line="360" w:lineRule="auto"/>
        <w:jc w:val="both"/>
        <w:outlineLvl w:val="0"/>
        <w:rPr>
          <w:b/>
        </w:rPr>
      </w:pPr>
      <w:r w:rsidRPr="00FA1528">
        <w:rPr>
          <w:b/>
        </w:rPr>
        <w:t>Systemic sclerosis</w:t>
      </w:r>
      <w:r w:rsidR="005D4B11" w:rsidRPr="00FA1528">
        <w:rPr>
          <w:b/>
        </w:rPr>
        <w:t xml:space="preserve"> in Australia</w:t>
      </w:r>
      <w:r w:rsidRPr="00FA1528">
        <w:rPr>
          <w:b/>
        </w:rPr>
        <w:t>:</w:t>
      </w:r>
    </w:p>
    <w:p w:rsidR="00ED78FC" w:rsidRPr="009822C8" w:rsidRDefault="00E8640D" w:rsidP="00EE2DC8">
      <w:pPr>
        <w:spacing w:line="360" w:lineRule="auto"/>
        <w:jc w:val="both"/>
      </w:pPr>
      <w:r w:rsidRPr="009822C8">
        <w:t xml:space="preserve">Systemic sclerosis (SSc, also known as scleroderma) is </w:t>
      </w:r>
      <w:r w:rsidR="00033598" w:rsidRPr="009822C8">
        <w:t>a multi-organ</w:t>
      </w:r>
      <w:r w:rsidR="00255932" w:rsidRPr="009822C8">
        <w:t xml:space="preserve"> autoimmune </w:t>
      </w:r>
      <w:r w:rsidR="00ED78FC" w:rsidRPr="009822C8">
        <w:t xml:space="preserve">connective tissue disease with </w:t>
      </w:r>
      <w:r w:rsidR="00255932" w:rsidRPr="009822C8">
        <w:t xml:space="preserve">potentially devastating consequences and </w:t>
      </w:r>
      <w:r w:rsidR="00ED78FC" w:rsidRPr="009822C8">
        <w:t xml:space="preserve">no effective disease modifying agents or cure. </w:t>
      </w:r>
      <w:r w:rsidR="00E40305" w:rsidRPr="009822C8">
        <w:t xml:space="preserve">Australia has </w:t>
      </w:r>
      <w:r w:rsidR="00C272C7" w:rsidRPr="009822C8">
        <w:t xml:space="preserve">one of the </w:t>
      </w:r>
      <w:r w:rsidR="00E40305" w:rsidRPr="009822C8">
        <w:t>highest prevalence</w:t>
      </w:r>
      <w:r w:rsidR="00C272C7" w:rsidRPr="009822C8">
        <w:t>s</w:t>
      </w:r>
      <w:r w:rsidR="00E40305" w:rsidRPr="009822C8">
        <w:t xml:space="preserve"> of </w:t>
      </w:r>
      <w:r w:rsidR="00033598" w:rsidRPr="009822C8">
        <w:t xml:space="preserve">SSc </w:t>
      </w:r>
      <w:r w:rsidR="00E40305" w:rsidRPr="009822C8">
        <w:t xml:space="preserve">worldwide </w:t>
      </w:r>
      <w:r w:rsidR="00C272C7" w:rsidRPr="009822C8">
        <w:t xml:space="preserve">estimated to be </w:t>
      </w:r>
      <w:r w:rsidR="001E04A3" w:rsidRPr="009822C8">
        <w:t>23.3</w:t>
      </w:r>
      <w:r w:rsidR="00033598" w:rsidRPr="009822C8">
        <w:t xml:space="preserve">/100 000 </w:t>
      </w:r>
      <w:r w:rsidR="00C272C7" w:rsidRPr="009822C8">
        <w:t>in 2001</w:t>
      </w:r>
      <w:r w:rsidR="00AD1F5E" w:rsidRPr="009822C8">
        <w:t xml:space="preserve"> </w:t>
      </w:r>
      <w:r w:rsidR="005F0047" w:rsidRPr="009822C8">
        <w:rPr>
          <w:noProof/>
        </w:rPr>
        <w:t>(</w:t>
      </w:r>
      <w:r w:rsidR="00D75D62" w:rsidRPr="009822C8">
        <w:rPr>
          <w:noProof/>
        </w:rPr>
        <w:t>1</w:t>
      </w:r>
      <w:r w:rsidR="005F0047" w:rsidRPr="009822C8">
        <w:rPr>
          <w:noProof/>
        </w:rPr>
        <w:t>)</w:t>
      </w:r>
      <w:r w:rsidR="00E96748" w:rsidRPr="009822C8">
        <w:t xml:space="preserve"> </w:t>
      </w:r>
      <w:r w:rsidR="00AF2763" w:rsidRPr="009822C8">
        <w:t>with a t</w:t>
      </w:r>
      <w:r w:rsidR="00C272C7" w:rsidRPr="009822C8">
        <w:t>otal prevalence approaching 6000</w:t>
      </w:r>
      <w:r w:rsidR="00E40305" w:rsidRPr="009822C8">
        <w:t xml:space="preserve">. </w:t>
      </w:r>
      <w:r w:rsidR="00255932" w:rsidRPr="009822C8">
        <w:t>It</w:t>
      </w:r>
      <w:r w:rsidR="00ED78FC" w:rsidRPr="009822C8">
        <w:t xml:space="preserve"> is </w:t>
      </w:r>
      <w:r w:rsidR="002D4126" w:rsidRPr="009822C8">
        <w:t>characteri</w:t>
      </w:r>
      <w:r w:rsidR="002D4126">
        <w:t>s</w:t>
      </w:r>
      <w:r w:rsidR="002D4126" w:rsidRPr="009822C8">
        <w:t xml:space="preserve">ed </w:t>
      </w:r>
      <w:r w:rsidRPr="009822C8">
        <w:t>by the pathological triad of autoimmunity, vasculopathy and fibrosis, typically manifest</w:t>
      </w:r>
      <w:r w:rsidR="00433BB8" w:rsidRPr="009822C8">
        <w:t>ed</w:t>
      </w:r>
      <w:r w:rsidRPr="009822C8">
        <w:t xml:space="preserve"> by autoantibodies, cold-induced colour change of the peripheries (Raynaud’s phenomenon) </w:t>
      </w:r>
      <w:r w:rsidR="003726AA" w:rsidRPr="009822C8">
        <w:t>with or without</w:t>
      </w:r>
      <w:r w:rsidR="00255932" w:rsidRPr="009822C8">
        <w:t xml:space="preserve"> digital ulceration </w:t>
      </w:r>
      <w:r w:rsidRPr="009822C8">
        <w:t xml:space="preserve">and skin thickening, respectively. </w:t>
      </w:r>
      <w:r w:rsidR="00255932" w:rsidRPr="009822C8">
        <w:t xml:space="preserve">In many patients, these pathologic changes also </w:t>
      </w:r>
      <w:r w:rsidR="003726AA" w:rsidRPr="009822C8">
        <w:t>lead</w:t>
      </w:r>
      <w:r w:rsidR="00255932" w:rsidRPr="009822C8">
        <w:t xml:space="preserve"> to gradual accrual of irreversible damage in organs such as </w:t>
      </w:r>
      <w:r w:rsidR="003726AA" w:rsidRPr="009822C8">
        <w:t xml:space="preserve">the </w:t>
      </w:r>
      <w:r w:rsidR="00255932" w:rsidRPr="009822C8">
        <w:t xml:space="preserve">gastrointestinal tract, lungs, kidneys and heart. </w:t>
      </w:r>
    </w:p>
    <w:p w:rsidR="00E8640D" w:rsidRPr="009822C8" w:rsidRDefault="00033598" w:rsidP="00EE2DC8">
      <w:pPr>
        <w:tabs>
          <w:tab w:val="left" w:pos="0"/>
        </w:tabs>
        <w:spacing w:before="100" w:beforeAutospacing="1" w:after="100" w:afterAutospacing="1" w:line="360" w:lineRule="auto"/>
        <w:jc w:val="both"/>
      </w:pPr>
      <w:r w:rsidRPr="009822C8">
        <w:t>Among the rheumatic diseases, SSc is associated with one of the greatest increases in mortality and morbidity compared with age and sex-matched peers. A meta-analysis in 2012 reported standardi</w:t>
      </w:r>
      <w:r w:rsidR="002D4126">
        <w:t>s</w:t>
      </w:r>
      <w:r w:rsidRPr="009822C8">
        <w:t>ed mortality ratios (SMRs) for SSc ranging from 2.5 to 4.5, with a pooled SMR of 3.5 (95% CI: 3.03, 4.11, p&lt;0.0001)</w:t>
      </w:r>
      <w:r w:rsidR="009D7B04" w:rsidRPr="009822C8">
        <w:t xml:space="preserve"> </w:t>
      </w:r>
      <w:r w:rsidR="00311529" w:rsidRPr="009822C8">
        <w:rPr>
          <w:noProof/>
        </w:rPr>
        <w:t>(</w:t>
      </w:r>
      <w:r w:rsidR="00D75D62" w:rsidRPr="009822C8">
        <w:rPr>
          <w:noProof/>
        </w:rPr>
        <w:t>2</w:t>
      </w:r>
      <w:r w:rsidR="00311529" w:rsidRPr="009822C8">
        <w:rPr>
          <w:noProof/>
        </w:rPr>
        <w:t>)</w:t>
      </w:r>
      <w:r w:rsidRPr="009822C8">
        <w:t xml:space="preserve">. </w:t>
      </w:r>
      <w:r w:rsidR="00E765DB" w:rsidRPr="009822C8">
        <w:t>I</w:t>
      </w:r>
      <w:r w:rsidRPr="009822C8">
        <w:t>n Australia, SSc is associated with an average reduction in life expectancy of 11.3 years for women and 25.8 for men, compared with the general population</w:t>
      </w:r>
      <w:r w:rsidR="009D7B04" w:rsidRPr="009822C8">
        <w:t xml:space="preserve"> </w:t>
      </w:r>
      <w:r w:rsidR="00311529" w:rsidRPr="009822C8">
        <w:rPr>
          <w:noProof/>
        </w:rPr>
        <w:t>(</w:t>
      </w:r>
      <w:r w:rsidR="00D75D62" w:rsidRPr="009822C8">
        <w:rPr>
          <w:noProof/>
        </w:rPr>
        <w:t>3</w:t>
      </w:r>
      <w:r w:rsidR="00311529" w:rsidRPr="009822C8">
        <w:rPr>
          <w:noProof/>
        </w:rPr>
        <w:t>)</w:t>
      </w:r>
      <w:r w:rsidRPr="009822C8">
        <w:t xml:space="preserve">. </w:t>
      </w:r>
      <w:r w:rsidR="00E765DB" w:rsidRPr="009822C8">
        <w:t>Furthermore</w:t>
      </w:r>
      <w:r w:rsidRPr="009822C8">
        <w:t>, the chronic nature of the disease and the involvement of multiple organ systems over time, makes SSc one of the most costly rheumatic diseases in terms of health care utili</w:t>
      </w:r>
      <w:r w:rsidR="002D4126">
        <w:t>s</w:t>
      </w:r>
      <w:r w:rsidRPr="009822C8">
        <w:t xml:space="preserve">ation. </w:t>
      </w:r>
      <w:r w:rsidR="006976F4" w:rsidRPr="009822C8">
        <w:t>In r</w:t>
      </w:r>
      <w:r w:rsidR="009E074A" w:rsidRPr="009822C8">
        <w:t>ecent data linkage studies from the</w:t>
      </w:r>
      <w:r w:rsidRPr="009822C8">
        <w:t xml:space="preserve"> Australia</w:t>
      </w:r>
      <w:r w:rsidR="009E074A" w:rsidRPr="009822C8">
        <w:t xml:space="preserve"> Scleroderma Cohort</w:t>
      </w:r>
      <w:r w:rsidR="006976F4" w:rsidRPr="009822C8">
        <w:t>,</w:t>
      </w:r>
      <w:r w:rsidRPr="009822C8">
        <w:t xml:space="preserve"> the average total annual </w:t>
      </w:r>
      <w:r w:rsidR="002E1E67" w:rsidRPr="009822C8">
        <w:t>direct</w:t>
      </w:r>
      <w:r w:rsidR="00A63A13" w:rsidRPr="009822C8">
        <w:t xml:space="preserve"> </w:t>
      </w:r>
      <w:r w:rsidR="002E1E67" w:rsidRPr="009822C8">
        <w:t xml:space="preserve">and indirect costs were </w:t>
      </w:r>
      <w:r w:rsidRPr="009822C8">
        <w:t>estimated to be $</w:t>
      </w:r>
      <w:r w:rsidR="009E074A" w:rsidRPr="009822C8">
        <w:t>15,127</w:t>
      </w:r>
      <w:r w:rsidRPr="009822C8">
        <w:t xml:space="preserve"> per annum per patient</w:t>
      </w:r>
      <w:r w:rsidR="009E074A" w:rsidRPr="009822C8">
        <w:t xml:space="preserve"> </w:t>
      </w:r>
      <w:r w:rsidR="00AD1F5E" w:rsidRPr="009822C8">
        <w:rPr>
          <w:noProof/>
        </w:rPr>
        <w:t>(</w:t>
      </w:r>
      <w:r w:rsidR="00D75D62" w:rsidRPr="009822C8">
        <w:rPr>
          <w:noProof/>
        </w:rPr>
        <w:t>4</w:t>
      </w:r>
      <w:r w:rsidR="00AD1F5E" w:rsidRPr="009822C8">
        <w:rPr>
          <w:noProof/>
        </w:rPr>
        <w:t xml:space="preserve">, </w:t>
      </w:r>
      <w:r w:rsidR="00D75D62" w:rsidRPr="009822C8">
        <w:rPr>
          <w:noProof/>
        </w:rPr>
        <w:t>5</w:t>
      </w:r>
      <w:r w:rsidR="00AD1F5E" w:rsidRPr="009822C8">
        <w:rPr>
          <w:noProof/>
        </w:rPr>
        <w:t>)</w:t>
      </w:r>
      <w:r w:rsidR="007C7E4B" w:rsidRPr="009822C8">
        <w:t xml:space="preserve">. </w:t>
      </w:r>
    </w:p>
    <w:p w:rsidR="004C1618" w:rsidRPr="009822C8" w:rsidRDefault="004C1618" w:rsidP="00EE2DC8">
      <w:pPr>
        <w:spacing w:line="360" w:lineRule="auto"/>
        <w:jc w:val="both"/>
      </w:pPr>
      <w:r w:rsidRPr="009822C8">
        <w:t>The extent of skin involvement defines two sub</w:t>
      </w:r>
      <w:r w:rsidR="006B233E" w:rsidRPr="009822C8">
        <w:t>types</w:t>
      </w:r>
      <w:r w:rsidRPr="009822C8">
        <w:t xml:space="preserve"> of disease: limited cutaneous and diffuse cutaneous. Each sub</w:t>
      </w:r>
      <w:r w:rsidR="006B233E" w:rsidRPr="009822C8">
        <w:t>type</w:t>
      </w:r>
      <w:r w:rsidRPr="009822C8">
        <w:t xml:space="preserve"> differs in terms of rate of disease progression and type and severity of internal organ involvement with the diffuse sub</w:t>
      </w:r>
      <w:r w:rsidR="006B233E" w:rsidRPr="009822C8">
        <w:t xml:space="preserve">type </w:t>
      </w:r>
      <w:r w:rsidRPr="009822C8">
        <w:t xml:space="preserve">having the most rapid onset, more frequent interstitial lung disease </w:t>
      </w:r>
      <w:r w:rsidR="00954CFC" w:rsidRPr="009822C8">
        <w:t xml:space="preserve">(ILD) </w:t>
      </w:r>
      <w:r w:rsidRPr="009822C8">
        <w:t xml:space="preserve">and renal crisis and worse outcomes. </w:t>
      </w:r>
      <w:r w:rsidR="00954CFC" w:rsidRPr="009822C8">
        <w:t>Collectively, the pulmonary complications of ILD and pulmonary arterial hypertension (PAH) are the leading cause of mortality among patients with SSc</w:t>
      </w:r>
      <w:r w:rsidR="00D12D53" w:rsidRPr="009822C8">
        <w:t xml:space="preserve"> </w:t>
      </w:r>
      <w:r w:rsidR="006976F4" w:rsidRPr="009822C8">
        <w:rPr>
          <w:noProof/>
        </w:rPr>
        <w:t>(</w:t>
      </w:r>
      <w:r w:rsidR="00D75D62" w:rsidRPr="009822C8">
        <w:rPr>
          <w:noProof/>
        </w:rPr>
        <w:t>6</w:t>
      </w:r>
      <w:r w:rsidR="006976F4" w:rsidRPr="009822C8">
        <w:rPr>
          <w:noProof/>
        </w:rPr>
        <w:t xml:space="preserve">, </w:t>
      </w:r>
      <w:r w:rsidR="00D75D62" w:rsidRPr="009822C8">
        <w:rPr>
          <w:noProof/>
        </w:rPr>
        <w:t>7</w:t>
      </w:r>
      <w:r w:rsidR="006976F4" w:rsidRPr="009822C8">
        <w:rPr>
          <w:noProof/>
        </w:rPr>
        <w:t>)</w:t>
      </w:r>
      <w:r w:rsidR="00706ABF" w:rsidRPr="009822C8">
        <w:t>.</w:t>
      </w:r>
    </w:p>
    <w:p w:rsidR="005D4B11" w:rsidRPr="009822C8" w:rsidRDefault="005D4B11" w:rsidP="005D4B11">
      <w:pPr>
        <w:tabs>
          <w:tab w:val="left" w:pos="0"/>
        </w:tabs>
        <w:spacing w:before="100" w:beforeAutospacing="1" w:after="100" w:afterAutospacing="1" w:line="360" w:lineRule="auto"/>
        <w:jc w:val="both"/>
      </w:pPr>
      <w:r w:rsidRPr="009822C8">
        <w:t xml:space="preserve">The </w:t>
      </w:r>
      <w:r w:rsidRPr="009822C8">
        <w:rPr>
          <w:b/>
        </w:rPr>
        <w:t>Australian Scleroderma Interest Group (ASIG)</w:t>
      </w:r>
      <w:r w:rsidRPr="009822C8">
        <w:t xml:space="preserve"> is a multidisciplinary collaboration of rheumatologists, immunologists, cardiologists and respiratory physicians from all states and territories of Australia except the Northern Territory, who have a special interest in improving the outcomes of patients with SSc. In 2007, ASIG established the Australian Scleroderma Cohort Study (ASCS), a multi-centre, longitudinal observational cohort as a framework for the study of cardiopulmonary complications in patients with SSc and the related scleroderma variant, mixed connective tissue disease (MCTD). </w:t>
      </w:r>
    </w:p>
    <w:p w:rsidR="005D4B11" w:rsidRPr="009822C8" w:rsidRDefault="005D4B11" w:rsidP="005D4B11">
      <w:pPr>
        <w:pStyle w:val="StyleArial11ptJustifiedLinespacing15lines"/>
        <w:tabs>
          <w:tab w:val="left" w:pos="0"/>
        </w:tabs>
        <w:ind w:left="0"/>
        <w:rPr>
          <w:rFonts w:ascii="Times New Roman" w:hAnsi="Times New Roman"/>
          <w:sz w:val="24"/>
          <w:szCs w:val="24"/>
        </w:rPr>
      </w:pPr>
      <w:r w:rsidRPr="009822C8">
        <w:rPr>
          <w:rFonts w:ascii="Times New Roman" w:hAnsi="Times New Roman"/>
          <w:sz w:val="24"/>
          <w:szCs w:val="24"/>
        </w:rPr>
        <w:t>Initial research activities focussed on identifying prognostic factors for the cardiopulmonary complications of SSc, ILD and PAH, in order to develop guidelines for systematic detection, monitoring and therapy of patients with these complications. This work has led to numerous publications and peer-reviewed funding, including a NHMRC project grant for a multicentre, randomised controlled trial of a new oral anti-coagulation drug in SSc-related PAH (APP1062638)</w:t>
      </w:r>
      <w:r w:rsidR="007C7E4B" w:rsidRPr="009822C8">
        <w:rPr>
          <w:rFonts w:ascii="Times New Roman" w:hAnsi="Times New Roman"/>
          <w:sz w:val="24"/>
          <w:szCs w:val="24"/>
        </w:rPr>
        <w:t xml:space="preserve"> </w:t>
      </w:r>
      <w:r w:rsidR="006976F4" w:rsidRPr="009822C8">
        <w:rPr>
          <w:rFonts w:ascii="Times New Roman" w:hAnsi="Times New Roman"/>
          <w:noProof/>
          <w:sz w:val="24"/>
          <w:szCs w:val="24"/>
        </w:rPr>
        <w:t>(</w:t>
      </w:r>
      <w:r w:rsidR="00D75D62" w:rsidRPr="009822C8">
        <w:rPr>
          <w:rFonts w:ascii="Times New Roman" w:hAnsi="Times New Roman"/>
          <w:noProof/>
          <w:sz w:val="24"/>
          <w:szCs w:val="24"/>
        </w:rPr>
        <w:t>8</w:t>
      </w:r>
      <w:r w:rsidR="006976F4" w:rsidRPr="009822C8">
        <w:rPr>
          <w:rFonts w:ascii="Times New Roman" w:hAnsi="Times New Roman"/>
          <w:noProof/>
          <w:sz w:val="24"/>
          <w:szCs w:val="24"/>
        </w:rPr>
        <w:t>)</w:t>
      </w:r>
      <w:r w:rsidRPr="009822C8">
        <w:rPr>
          <w:rFonts w:ascii="Times New Roman" w:hAnsi="Times New Roman"/>
          <w:sz w:val="24"/>
          <w:szCs w:val="24"/>
        </w:rPr>
        <w:t>. Multiple national and international collaborations since, have led to an array of research activities covering the full spectrum of organ involvement in SSc.</w:t>
      </w:r>
    </w:p>
    <w:p w:rsidR="005D4B11" w:rsidRPr="009822C8" w:rsidRDefault="005D4B11" w:rsidP="00EE2DC8">
      <w:pPr>
        <w:widowControl w:val="0"/>
        <w:tabs>
          <w:tab w:val="left" w:pos="720"/>
        </w:tabs>
        <w:autoSpaceDE w:val="0"/>
        <w:autoSpaceDN w:val="0"/>
        <w:adjustRightInd w:val="0"/>
        <w:spacing w:line="360" w:lineRule="auto"/>
        <w:jc w:val="both"/>
      </w:pPr>
    </w:p>
    <w:p w:rsidR="00E8640D" w:rsidRPr="009822C8" w:rsidRDefault="00AC3E56" w:rsidP="00EC50D7">
      <w:pPr>
        <w:widowControl w:val="0"/>
        <w:tabs>
          <w:tab w:val="left" w:pos="720"/>
        </w:tabs>
        <w:autoSpaceDE w:val="0"/>
        <w:autoSpaceDN w:val="0"/>
        <w:adjustRightInd w:val="0"/>
        <w:spacing w:line="360" w:lineRule="auto"/>
        <w:jc w:val="both"/>
        <w:outlineLvl w:val="0"/>
        <w:rPr>
          <w:b/>
        </w:rPr>
      </w:pPr>
      <w:r w:rsidRPr="009822C8">
        <w:rPr>
          <w:b/>
        </w:rPr>
        <w:t>PAH</w:t>
      </w:r>
      <w:r w:rsidR="00350F72" w:rsidRPr="009822C8">
        <w:rPr>
          <w:b/>
        </w:rPr>
        <w:t xml:space="preserve"> in systemic sclerosis</w:t>
      </w:r>
      <w:r w:rsidR="00E8640D" w:rsidRPr="009822C8">
        <w:rPr>
          <w:b/>
        </w:rPr>
        <w:t>:</w:t>
      </w:r>
    </w:p>
    <w:p w:rsidR="00D12D53" w:rsidRPr="009822C8" w:rsidRDefault="003726AA" w:rsidP="00EE2DC8">
      <w:pPr>
        <w:spacing w:line="360" w:lineRule="auto"/>
        <w:jc w:val="both"/>
      </w:pPr>
      <w:r w:rsidRPr="009822C8">
        <w:t xml:space="preserve">PAH is characterised by restricted flow through the pulmonary arterial circulation due to </w:t>
      </w:r>
      <w:r w:rsidR="00433BB8" w:rsidRPr="009822C8">
        <w:t>increased pulmonary vascular resistance</w:t>
      </w:r>
      <w:r w:rsidRPr="009822C8">
        <w:t xml:space="preserve"> i</w:t>
      </w:r>
      <w:r w:rsidR="00A26E4F">
        <w:t>.</w:t>
      </w:r>
      <w:r w:rsidRPr="009822C8">
        <w:t>e</w:t>
      </w:r>
      <w:r w:rsidR="00A26E4F">
        <w:t>.</w:t>
      </w:r>
      <w:r w:rsidRPr="009822C8">
        <w:t xml:space="preserve"> a form of “pre-capillary” pulmonary hypertension (PH)</w:t>
      </w:r>
      <w:r w:rsidR="006A6DA9" w:rsidRPr="009822C8">
        <w:t xml:space="preserve"> (WHO Type 1)</w:t>
      </w:r>
      <w:r w:rsidR="007D313E" w:rsidRPr="009822C8">
        <w:t xml:space="preserve"> </w:t>
      </w:r>
      <w:r w:rsidR="006976F4" w:rsidRPr="009822C8">
        <w:rPr>
          <w:noProof/>
        </w:rPr>
        <w:t>(</w:t>
      </w:r>
      <w:r w:rsidR="00D75D62" w:rsidRPr="009822C8">
        <w:rPr>
          <w:noProof/>
        </w:rPr>
        <w:t>9</w:t>
      </w:r>
      <w:r w:rsidR="006976F4" w:rsidRPr="009822C8">
        <w:rPr>
          <w:noProof/>
        </w:rPr>
        <w:t>)</w:t>
      </w:r>
      <w:r w:rsidRPr="009822C8">
        <w:t xml:space="preserve">. </w:t>
      </w:r>
      <w:r w:rsidR="00D12D53" w:rsidRPr="009822C8">
        <w:t xml:space="preserve">This leads to elevated pressures in the pulmonary circulation, reflected in increased pulmonary arterial pressures (PAP), and eventually in the right heart. </w:t>
      </w:r>
    </w:p>
    <w:p w:rsidR="00350F72" w:rsidRPr="009822C8" w:rsidRDefault="00350F72" w:rsidP="00350F72">
      <w:pPr>
        <w:widowControl w:val="0"/>
        <w:autoSpaceDE w:val="0"/>
        <w:autoSpaceDN w:val="0"/>
        <w:adjustRightInd w:val="0"/>
        <w:spacing w:line="360" w:lineRule="auto"/>
        <w:jc w:val="both"/>
      </w:pPr>
    </w:p>
    <w:p w:rsidR="00350F72" w:rsidRPr="009822C8" w:rsidRDefault="00350F72" w:rsidP="00350F72">
      <w:pPr>
        <w:widowControl w:val="0"/>
        <w:autoSpaceDE w:val="0"/>
        <w:autoSpaceDN w:val="0"/>
        <w:adjustRightInd w:val="0"/>
        <w:spacing w:line="360" w:lineRule="auto"/>
        <w:jc w:val="both"/>
      </w:pPr>
      <w:r w:rsidRPr="009822C8">
        <w:t xml:space="preserve">The disease moves through a preclinical phase of early pulmonary vascular disease, where the vascular damage is advanced, but the cardiopulmonary circulation is able to maintain relatively normal function and haemodynamics, through to established and progressive PAH, ultimately compromising right ventricular function and cardiac output. The clinical repercussions of disease progression are increasing symptoms (dyspnoea, reduced exercise tolerance, palpitations, fatigue, dizziness and syncope) and signs (arrhythmia, right heart failure) of PAH resulting in reduced quality of life, increased hospitalisation, consideration for transplantation and the need for palliative measures, such as </w:t>
      </w:r>
      <w:r w:rsidR="00306EE9" w:rsidRPr="009822C8">
        <w:t xml:space="preserve">home oxygen and </w:t>
      </w:r>
      <w:r w:rsidRPr="009822C8">
        <w:t xml:space="preserve">atrial septostomy and ultimately death. </w:t>
      </w:r>
    </w:p>
    <w:p w:rsidR="00D12D53" w:rsidRPr="009822C8" w:rsidRDefault="00D12D53" w:rsidP="00EE2DC8">
      <w:pPr>
        <w:spacing w:line="360" w:lineRule="auto"/>
        <w:jc w:val="both"/>
      </w:pPr>
    </w:p>
    <w:p w:rsidR="007D313E" w:rsidRPr="009822C8" w:rsidRDefault="007D313E" w:rsidP="007D313E">
      <w:pPr>
        <w:spacing w:line="360" w:lineRule="auto"/>
        <w:jc w:val="both"/>
      </w:pPr>
      <w:r w:rsidRPr="009822C8">
        <w:t>According to a meta-analysis in 2010, t</w:t>
      </w:r>
      <w:r w:rsidR="00D12D53" w:rsidRPr="009822C8">
        <w:t xml:space="preserve">he prevalence of PAH in both subtypes of SSc is similar at around 9% </w:t>
      </w:r>
      <w:r w:rsidR="006976F4" w:rsidRPr="009822C8">
        <w:rPr>
          <w:noProof/>
        </w:rPr>
        <w:t>(</w:t>
      </w:r>
      <w:r w:rsidR="00D75D62" w:rsidRPr="009822C8">
        <w:rPr>
          <w:noProof/>
        </w:rPr>
        <w:t>10</w:t>
      </w:r>
      <w:r w:rsidR="006976F4" w:rsidRPr="009822C8">
        <w:rPr>
          <w:noProof/>
        </w:rPr>
        <w:t>)</w:t>
      </w:r>
      <w:r w:rsidR="00D12D53" w:rsidRPr="009822C8">
        <w:t xml:space="preserve">. </w:t>
      </w:r>
      <w:r w:rsidR="00350F72" w:rsidRPr="009822C8">
        <w:t>Since the inception of the</w:t>
      </w:r>
      <w:r w:rsidR="00D12D53" w:rsidRPr="009822C8">
        <w:t xml:space="preserve"> ASCS, a</w:t>
      </w:r>
      <w:r w:rsidR="00D12D53" w:rsidRPr="009822C8">
        <w:rPr>
          <w:rFonts w:eastAsia="Times New Roman"/>
          <w:color w:val="222222"/>
          <w:shd w:val="clear" w:color="auto" w:fill="FFFFFF"/>
          <w:lang w:val="en-AU"/>
        </w:rPr>
        <w:t xml:space="preserve"> ne</w:t>
      </w:r>
      <w:r w:rsidR="00350F72" w:rsidRPr="009822C8">
        <w:rPr>
          <w:rFonts w:eastAsia="Times New Roman"/>
          <w:color w:val="222222"/>
          <w:shd w:val="clear" w:color="auto" w:fill="FFFFFF"/>
          <w:lang w:val="en-AU"/>
        </w:rPr>
        <w:t>w diagnosis of WHO Group I PAH h</w:t>
      </w:r>
      <w:r w:rsidR="00D12D53" w:rsidRPr="009822C8">
        <w:rPr>
          <w:rFonts w:eastAsia="Times New Roman"/>
          <w:color w:val="222222"/>
          <w:shd w:val="clear" w:color="auto" w:fill="FFFFFF"/>
          <w:lang w:val="en-AU"/>
        </w:rPr>
        <w:t xml:space="preserve">as </w:t>
      </w:r>
      <w:r w:rsidR="00350F72" w:rsidRPr="009822C8">
        <w:rPr>
          <w:rFonts w:eastAsia="Times New Roman"/>
          <w:color w:val="222222"/>
          <w:shd w:val="clear" w:color="auto" w:fill="FFFFFF"/>
          <w:lang w:val="en-AU"/>
        </w:rPr>
        <w:t xml:space="preserve">been </w:t>
      </w:r>
      <w:r w:rsidR="00D12D53" w:rsidRPr="009822C8">
        <w:rPr>
          <w:rFonts w:eastAsia="Times New Roman"/>
          <w:color w:val="222222"/>
          <w:shd w:val="clear" w:color="auto" w:fill="FFFFFF"/>
          <w:lang w:val="en-AU"/>
        </w:rPr>
        <w:t>made in 160 of 1636 patients as a result of active risk assessme</w:t>
      </w:r>
      <w:r w:rsidR="0007667B">
        <w:rPr>
          <w:rFonts w:eastAsia="Times New Roman"/>
          <w:color w:val="222222"/>
          <w:shd w:val="clear" w:color="auto" w:fill="FFFFFF"/>
          <w:lang w:val="en-AU"/>
        </w:rPr>
        <w:t>nt, with a prevalence of 11.8% [</w:t>
      </w:r>
      <w:r w:rsidR="00D12D53" w:rsidRPr="009822C8">
        <w:rPr>
          <w:rFonts w:eastAsia="Times New Roman"/>
          <w:color w:val="222222"/>
          <w:shd w:val="clear" w:color="auto" w:fill="FFFFFF"/>
          <w:lang w:val="en-AU"/>
        </w:rPr>
        <w:t xml:space="preserve">10.3% in lcSSc, 8.5% in dcSSc and 12.0% in </w:t>
      </w:r>
      <w:r w:rsidR="0007667B">
        <w:rPr>
          <w:rFonts w:eastAsia="Times New Roman"/>
          <w:color w:val="222222"/>
          <w:shd w:val="clear" w:color="auto" w:fill="FFFFFF"/>
          <w:lang w:val="en-AU"/>
        </w:rPr>
        <w:t>the scleroderma variant, mixed connective tissue disease (</w:t>
      </w:r>
      <w:r w:rsidR="00D12D53" w:rsidRPr="009822C8">
        <w:rPr>
          <w:rFonts w:eastAsia="Times New Roman"/>
          <w:color w:val="222222"/>
          <w:shd w:val="clear" w:color="auto" w:fill="FFFFFF"/>
          <w:lang w:val="en-AU"/>
        </w:rPr>
        <w:t>MCTD)</w:t>
      </w:r>
      <w:r w:rsidR="0007667B">
        <w:rPr>
          <w:rFonts w:eastAsia="Times New Roman"/>
          <w:color w:val="222222"/>
          <w:shd w:val="clear" w:color="auto" w:fill="FFFFFF"/>
          <w:lang w:val="en-AU"/>
        </w:rPr>
        <w:t>]</w:t>
      </w:r>
      <w:r w:rsidR="00D12D53" w:rsidRPr="009822C8">
        <w:rPr>
          <w:rFonts w:eastAsia="Times New Roman"/>
          <w:color w:val="222222"/>
          <w:shd w:val="clear" w:color="auto" w:fill="FFFFFF"/>
          <w:lang w:val="en-AU"/>
        </w:rPr>
        <w:t xml:space="preserve"> </w:t>
      </w:r>
      <w:r w:rsidR="006976F4" w:rsidRPr="009822C8">
        <w:rPr>
          <w:rFonts w:eastAsia="Times New Roman"/>
          <w:noProof/>
          <w:color w:val="222222"/>
          <w:shd w:val="clear" w:color="auto" w:fill="FFFFFF"/>
          <w:lang w:val="en-AU"/>
        </w:rPr>
        <w:t>(</w:t>
      </w:r>
      <w:r w:rsidR="00D75D62" w:rsidRPr="009822C8">
        <w:rPr>
          <w:rFonts w:eastAsia="Times New Roman"/>
          <w:noProof/>
          <w:color w:val="222222"/>
          <w:shd w:val="clear" w:color="auto" w:fill="FFFFFF"/>
          <w:lang w:val="en-AU"/>
        </w:rPr>
        <w:t>11</w:t>
      </w:r>
      <w:r w:rsidR="006976F4" w:rsidRPr="009822C8">
        <w:rPr>
          <w:rFonts w:eastAsia="Times New Roman"/>
          <w:noProof/>
          <w:color w:val="222222"/>
          <w:shd w:val="clear" w:color="auto" w:fill="FFFFFF"/>
          <w:lang w:val="en-AU"/>
        </w:rPr>
        <w:t>)</w:t>
      </w:r>
      <w:r w:rsidR="00D12D53" w:rsidRPr="009822C8">
        <w:rPr>
          <w:rFonts w:eastAsia="Times New Roman"/>
          <w:color w:val="222222"/>
          <w:shd w:val="clear" w:color="auto" w:fill="FFFFFF"/>
          <w:lang w:val="en-AU"/>
        </w:rPr>
        <w:t xml:space="preserve">. The annual incidence of PAH was 0.9% (1.4% in lcSSc, 0.9% in dcSSc, 1.4% in MCTD). </w:t>
      </w:r>
      <w:r w:rsidR="00D12D53" w:rsidRPr="009822C8">
        <w:t xml:space="preserve"> </w:t>
      </w:r>
      <w:r w:rsidRPr="009822C8">
        <w:t xml:space="preserve">SSc-PAH has a significant impact on functional capacity and </w:t>
      </w:r>
      <w:r w:rsidR="00E1536F">
        <w:t>health-related quality of life (</w:t>
      </w:r>
      <w:r w:rsidRPr="009822C8">
        <w:t>HRQoL</w:t>
      </w:r>
      <w:r w:rsidR="00E1536F">
        <w:t>)</w:t>
      </w:r>
      <w:r w:rsidRPr="009822C8">
        <w:t xml:space="preserve">. In the ASCS, HRQoL scores are lower at PAH diagnosis across a number of domains of the SF-36, particularly in physical functioning, role-physical, general health and vitality, compared with the US normative mean, and lower than SSc patients without PAH </w:t>
      </w:r>
      <w:r w:rsidR="006976F4" w:rsidRPr="009822C8">
        <w:rPr>
          <w:noProof/>
        </w:rPr>
        <w:t>(</w:t>
      </w:r>
      <w:r w:rsidR="00D75D62" w:rsidRPr="009822C8">
        <w:rPr>
          <w:noProof/>
        </w:rPr>
        <w:t>12</w:t>
      </w:r>
      <w:r w:rsidR="006976F4" w:rsidRPr="009822C8">
        <w:rPr>
          <w:noProof/>
        </w:rPr>
        <w:t>)</w:t>
      </w:r>
      <w:r w:rsidRPr="009822C8">
        <w:t xml:space="preserve">. </w:t>
      </w:r>
      <w:r w:rsidR="00926659" w:rsidRPr="009822C8">
        <w:t xml:space="preserve">In the ASCS data linkage studies, PAH </w:t>
      </w:r>
      <w:r w:rsidR="006976F4" w:rsidRPr="009822C8">
        <w:t>was a determinant of median</w:t>
      </w:r>
      <w:r w:rsidR="00926659" w:rsidRPr="009822C8">
        <w:t xml:space="preserve"> hospitali</w:t>
      </w:r>
      <w:r w:rsidR="002D4126">
        <w:t>s</w:t>
      </w:r>
      <w:r w:rsidR="00926659" w:rsidRPr="009822C8">
        <w:t>ation</w:t>
      </w:r>
      <w:r w:rsidR="006976F4" w:rsidRPr="009822C8">
        <w:t>, ambulatory care and medication costs with odd ratios of 2.3 (1.2-2.8), 2.8 (1.4-5.7) and 7.8 (3.4-18.3) respectively in multivariable logistic regression analysis</w:t>
      </w:r>
      <w:r w:rsidR="00792C2B" w:rsidRPr="009822C8">
        <w:t xml:space="preserve"> </w:t>
      </w:r>
      <w:r w:rsidR="00792C2B" w:rsidRPr="009822C8">
        <w:rPr>
          <w:noProof/>
        </w:rPr>
        <w:t>(</w:t>
      </w:r>
      <w:r w:rsidR="00D75D62" w:rsidRPr="009822C8">
        <w:rPr>
          <w:noProof/>
        </w:rPr>
        <w:t>4</w:t>
      </w:r>
      <w:r w:rsidR="00792C2B" w:rsidRPr="009822C8">
        <w:rPr>
          <w:noProof/>
        </w:rPr>
        <w:t>)</w:t>
      </w:r>
      <w:r w:rsidR="00926659" w:rsidRPr="009822C8">
        <w:t>.</w:t>
      </w:r>
      <w:r w:rsidR="006976F4" w:rsidRPr="009822C8">
        <w:t xml:space="preserve"> It was also a significant risk factor for unemployment and reduced productivity </w:t>
      </w:r>
      <w:r w:rsidR="006976F4" w:rsidRPr="009822C8">
        <w:rPr>
          <w:noProof/>
        </w:rPr>
        <w:t>(</w:t>
      </w:r>
      <w:r w:rsidR="00D75D62" w:rsidRPr="009822C8">
        <w:rPr>
          <w:noProof/>
        </w:rPr>
        <w:t>5</w:t>
      </w:r>
      <w:r w:rsidR="006976F4" w:rsidRPr="009822C8">
        <w:rPr>
          <w:noProof/>
        </w:rPr>
        <w:t>)</w:t>
      </w:r>
      <w:r w:rsidR="006976F4" w:rsidRPr="009822C8">
        <w:t xml:space="preserve">. </w:t>
      </w:r>
    </w:p>
    <w:p w:rsidR="00D12D53" w:rsidRPr="009822C8" w:rsidRDefault="00D12D53" w:rsidP="00EE2DC8">
      <w:pPr>
        <w:spacing w:line="360" w:lineRule="auto"/>
        <w:jc w:val="both"/>
      </w:pPr>
    </w:p>
    <w:p w:rsidR="007D313E" w:rsidRPr="009822C8" w:rsidRDefault="007D313E" w:rsidP="007D313E">
      <w:pPr>
        <w:spacing w:line="360" w:lineRule="auto"/>
        <w:jc w:val="both"/>
      </w:pPr>
      <w:r w:rsidRPr="009822C8">
        <w:t>Importantly, patients</w:t>
      </w:r>
      <w:r w:rsidR="003726AA" w:rsidRPr="009822C8">
        <w:t xml:space="preserve"> with SSc </w:t>
      </w:r>
      <w:r w:rsidR="00A63A13" w:rsidRPr="009822C8">
        <w:t>who</w:t>
      </w:r>
      <w:r w:rsidR="00E40305" w:rsidRPr="009822C8">
        <w:t xml:space="preserve"> develop PAH during their lifetime have a worse prognosis than those with PAH due to other causes</w:t>
      </w:r>
      <w:r w:rsidR="006A6DA9" w:rsidRPr="009822C8">
        <w:t xml:space="preserve"> such as idiopathic PAH</w:t>
      </w:r>
      <w:r w:rsidR="003726AA" w:rsidRPr="009822C8">
        <w:t>, with a mortality rate of 50% at one year without therapy</w:t>
      </w:r>
      <w:r w:rsidRPr="009822C8">
        <w:t xml:space="preserve"> </w:t>
      </w:r>
      <w:r w:rsidR="006976F4" w:rsidRPr="009822C8">
        <w:rPr>
          <w:noProof/>
        </w:rPr>
        <w:t>(</w:t>
      </w:r>
      <w:r w:rsidR="00D75D62" w:rsidRPr="009822C8">
        <w:rPr>
          <w:noProof/>
        </w:rPr>
        <w:t>13</w:t>
      </w:r>
      <w:r w:rsidR="006976F4" w:rsidRPr="009822C8">
        <w:rPr>
          <w:noProof/>
        </w:rPr>
        <w:t>)</w:t>
      </w:r>
      <w:r w:rsidR="00E40305" w:rsidRPr="009822C8">
        <w:t xml:space="preserve">. </w:t>
      </w:r>
      <w:r w:rsidRPr="009822C8">
        <w:t>Advanced pulmonary vasodilator therapies for PAH including endothelin-receptor antagonists (bosentan, ambrisentan and macitentan), phosphodiesterase-5 inhibitors (sildenafil and tadalafil) and prostacyclins (inhaled iloprost and intravenous epoprostenol) are funded as monotherapy by the Pharmaceutical Benefits Scheme (PBS)</w:t>
      </w:r>
      <w:r w:rsidR="00E1536F">
        <w:t xml:space="preserve"> and since February 2017, </w:t>
      </w:r>
      <w:r w:rsidR="00E1536F" w:rsidRPr="00E1536F">
        <w:t xml:space="preserve">soluble guanylate cyclase </w:t>
      </w:r>
      <w:r w:rsidR="00E1536F">
        <w:t>stimulator (riociguat)</w:t>
      </w:r>
      <w:r w:rsidRPr="009822C8">
        <w:t xml:space="preserve">. There is RCT evidence that these improve functional class, haemodynamics and </w:t>
      </w:r>
      <w:r w:rsidR="008575AB">
        <w:t>HRQoL</w:t>
      </w:r>
      <w:r w:rsidRPr="009822C8">
        <w:t xml:space="preserve"> and evidence for improved survival in longitudinal cohorts</w:t>
      </w:r>
      <w:r w:rsidR="006976F4" w:rsidRPr="009822C8">
        <w:rPr>
          <w:noProof/>
        </w:rPr>
        <w:t>(</w:t>
      </w:r>
      <w:r w:rsidR="00D75D62" w:rsidRPr="009822C8">
        <w:rPr>
          <w:noProof/>
        </w:rPr>
        <w:t>14</w:t>
      </w:r>
      <w:r w:rsidR="006976F4" w:rsidRPr="009822C8">
        <w:rPr>
          <w:noProof/>
        </w:rPr>
        <w:t>)</w:t>
      </w:r>
      <w:r w:rsidRPr="009822C8">
        <w:t>. With the advent of these therapies, the establishment of centres with expertise in PAH and a focus on early detection, there has been considerable improvement in survival. Nonetheless, survival is still poo</w:t>
      </w:r>
      <w:r w:rsidR="001D6A81" w:rsidRPr="009822C8">
        <w:t>r with one-, two-</w:t>
      </w:r>
      <w:r w:rsidRPr="009822C8">
        <w:t xml:space="preserve">, three-and five-year survival of 87.8%, 78.3%, 61.7% and 32.2%, respectively, in Australia </w:t>
      </w:r>
      <w:r w:rsidR="006976F4" w:rsidRPr="009822C8">
        <w:rPr>
          <w:noProof/>
        </w:rPr>
        <w:t>(</w:t>
      </w:r>
      <w:r w:rsidR="00D75D62" w:rsidRPr="009822C8">
        <w:rPr>
          <w:noProof/>
        </w:rPr>
        <w:t>12</w:t>
      </w:r>
      <w:r w:rsidR="006976F4" w:rsidRPr="009822C8">
        <w:rPr>
          <w:noProof/>
        </w:rPr>
        <w:t>)</w:t>
      </w:r>
      <w:r w:rsidRPr="009822C8">
        <w:t xml:space="preserve">. </w:t>
      </w:r>
    </w:p>
    <w:p w:rsidR="007D313E" w:rsidRPr="009822C8" w:rsidRDefault="007D313E" w:rsidP="00EE2DC8">
      <w:pPr>
        <w:spacing w:line="360" w:lineRule="auto"/>
        <w:jc w:val="both"/>
      </w:pPr>
    </w:p>
    <w:p w:rsidR="00D12D53" w:rsidRPr="009822C8" w:rsidRDefault="00011F0E" w:rsidP="00D12D53">
      <w:pPr>
        <w:spacing w:line="360" w:lineRule="auto"/>
        <w:jc w:val="both"/>
      </w:pPr>
      <w:r w:rsidRPr="009822C8">
        <w:t xml:space="preserve">Among 132 SSc-PAH patients in the ASCS, over a median follow-up </w:t>
      </w:r>
      <w:r w:rsidR="007D313E" w:rsidRPr="009822C8">
        <w:t xml:space="preserve">from time of diagnosis </w:t>
      </w:r>
      <w:r w:rsidR="002E0DCA" w:rsidRPr="009822C8">
        <w:t xml:space="preserve">and initiation of therapy </w:t>
      </w:r>
      <w:r w:rsidRPr="009822C8">
        <w:t>of 3.8 years, 60 (45.5</w:t>
      </w:r>
      <w:r w:rsidR="00E871AD" w:rsidRPr="009822C8">
        <w:t xml:space="preserve">%) patients died with a median </w:t>
      </w:r>
      <w:r w:rsidRPr="009822C8">
        <w:t>survival time from PAH diagnosis of 4.0 years</w:t>
      </w:r>
      <w:r w:rsidR="00A86502" w:rsidRPr="009822C8">
        <w:t xml:space="preserve"> </w:t>
      </w:r>
      <w:r w:rsidR="006976F4" w:rsidRPr="009822C8">
        <w:rPr>
          <w:noProof/>
        </w:rPr>
        <w:t>(</w:t>
      </w:r>
      <w:r w:rsidR="00D75D62" w:rsidRPr="009822C8">
        <w:rPr>
          <w:noProof/>
        </w:rPr>
        <w:t>12</w:t>
      </w:r>
      <w:r w:rsidR="006976F4" w:rsidRPr="009822C8">
        <w:rPr>
          <w:noProof/>
        </w:rPr>
        <w:t>)</w:t>
      </w:r>
      <w:r w:rsidRPr="009822C8">
        <w:t>. The SMR for patients with SSc-PAH was 5.8 (95%CI 4.3-7.8)</w:t>
      </w:r>
      <w:r w:rsidR="00E871AD" w:rsidRPr="009822C8">
        <w:t xml:space="preserve">. </w:t>
      </w:r>
      <w:r w:rsidRPr="009822C8">
        <w:t xml:space="preserve">Kaplan-Meier survival curves and proportional hazards regression showed a survival benefit with </w:t>
      </w:r>
      <w:r w:rsidR="00AF7380" w:rsidRPr="009822C8">
        <w:t>reduced</w:t>
      </w:r>
      <w:r w:rsidRPr="009822C8">
        <w:t xml:space="preserve"> mortality (hazard ratio 0.28, 95% CI 0.1-0.7), with combination PAH therapy and anticoagulation</w:t>
      </w:r>
      <w:r w:rsidRPr="009822C8" w:rsidDel="00AB1D61">
        <w:t xml:space="preserve"> </w:t>
      </w:r>
      <w:r w:rsidRPr="009822C8">
        <w:t>compared with monotherapy alone.</w:t>
      </w:r>
      <w:r w:rsidR="00D12D53" w:rsidRPr="009822C8">
        <w:t xml:space="preserve"> </w:t>
      </w:r>
    </w:p>
    <w:p w:rsidR="00E8640D" w:rsidRPr="009822C8" w:rsidRDefault="00E8640D" w:rsidP="00EC50D7">
      <w:pPr>
        <w:widowControl w:val="0"/>
        <w:tabs>
          <w:tab w:val="left" w:pos="220"/>
          <w:tab w:val="left" w:pos="720"/>
        </w:tabs>
        <w:autoSpaceDE w:val="0"/>
        <w:autoSpaceDN w:val="0"/>
        <w:adjustRightInd w:val="0"/>
        <w:spacing w:line="360" w:lineRule="auto"/>
        <w:jc w:val="both"/>
        <w:outlineLvl w:val="0"/>
        <w:rPr>
          <w:b/>
        </w:rPr>
      </w:pPr>
      <w:r w:rsidRPr="009822C8">
        <w:rPr>
          <w:b/>
        </w:rPr>
        <w:t xml:space="preserve">Diagnosis of </w:t>
      </w:r>
      <w:r w:rsidR="00AC3E56" w:rsidRPr="009822C8">
        <w:rPr>
          <w:b/>
        </w:rPr>
        <w:t>PAH</w:t>
      </w:r>
      <w:r w:rsidR="00350F72" w:rsidRPr="009822C8">
        <w:rPr>
          <w:b/>
        </w:rPr>
        <w:t xml:space="preserve"> in </w:t>
      </w:r>
      <w:r w:rsidR="00AC3E56" w:rsidRPr="009822C8">
        <w:rPr>
          <w:b/>
        </w:rPr>
        <w:t>patients with systemic sclerosis</w:t>
      </w:r>
      <w:r w:rsidRPr="009822C8">
        <w:rPr>
          <w:b/>
        </w:rPr>
        <w:t>:</w:t>
      </w:r>
    </w:p>
    <w:p w:rsidR="00E360E3" w:rsidRPr="009822C8" w:rsidRDefault="003726AA" w:rsidP="00EE2DC8">
      <w:pPr>
        <w:widowControl w:val="0"/>
        <w:autoSpaceDE w:val="0"/>
        <w:autoSpaceDN w:val="0"/>
        <w:adjustRightInd w:val="0"/>
        <w:spacing w:line="360" w:lineRule="auto"/>
        <w:jc w:val="both"/>
      </w:pPr>
      <w:r w:rsidRPr="009822C8">
        <w:t xml:space="preserve">A definitive </w:t>
      </w:r>
      <w:r w:rsidR="00E360E3" w:rsidRPr="009822C8">
        <w:t xml:space="preserve">diagnosis </w:t>
      </w:r>
      <w:r w:rsidRPr="009822C8">
        <w:t xml:space="preserve">of PAH </w:t>
      </w:r>
      <w:r w:rsidR="009A6F1C" w:rsidRPr="009822C8">
        <w:t>can only be made by finding</w:t>
      </w:r>
      <w:r w:rsidR="00E360E3" w:rsidRPr="009822C8">
        <w:t xml:space="preserve"> pre</w:t>
      </w:r>
      <w:r w:rsidR="001D6A81" w:rsidRPr="009822C8">
        <w:t>-</w:t>
      </w:r>
      <w:r w:rsidR="00E360E3" w:rsidRPr="009822C8">
        <w:t>capillary PH at right heart catheteri</w:t>
      </w:r>
      <w:r w:rsidR="002D4126">
        <w:t>s</w:t>
      </w:r>
      <w:r w:rsidR="00E360E3" w:rsidRPr="009822C8">
        <w:t>ation (RHC)</w:t>
      </w:r>
      <w:r w:rsidR="002E0DCA" w:rsidRPr="009822C8">
        <w:t xml:space="preserve">. RHC </w:t>
      </w:r>
      <w:r w:rsidR="00A86502" w:rsidRPr="009822C8">
        <w:t xml:space="preserve">is </w:t>
      </w:r>
      <w:r w:rsidR="002E0DCA" w:rsidRPr="009822C8">
        <w:t xml:space="preserve">also </w:t>
      </w:r>
      <w:r w:rsidR="00A86502" w:rsidRPr="009822C8">
        <w:t>used to determine eligibility for advanced pulmonary vasodilator therapies for PAH</w:t>
      </w:r>
      <w:r w:rsidR="009A6F1C" w:rsidRPr="009822C8">
        <w:t xml:space="preserve">. This is </w:t>
      </w:r>
      <w:r w:rsidR="00350F72" w:rsidRPr="009822C8">
        <w:t xml:space="preserve">now </w:t>
      </w:r>
      <w:r w:rsidR="009A6F1C" w:rsidRPr="009822C8">
        <w:t xml:space="preserve">defined as a </w:t>
      </w:r>
      <w:r w:rsidR="00E360E3" w:rsidRPr="009822C8">
        <w:t xml:space="preserve">mean pulmonary arterial pressure (mPAP) ≥ 25 mmHg at rest with a pulmonary artery wedge pressure (PAWP) ≤ 15 mmHg </w:t>
      </w:r>
      <w:r w:rsidR="00937F13" w:rsidRPr="009822C8">
        <w:t xml:space="preserve">(previously PAWP&lt;18mmHg was permitted) </w:t>
      </w:r>
      <w:r w:rsidR="00E360E3" w:rsidRPr="009822C8">
        <w:t>and pulmonary vascular re</w:t>
      </w:r>
      <w:r w:rsidR="009A6F1C" w:rsidRPr="009822C8">
        <w:t>sistance (PVR) of &gt;3</w:t>
      </w:r>
      <w:r w:rsidR="008575AB">
        <w:t> </w:t>
      </w:r>
      <w:r w:rsidR="009A6F1C" w:rsidRPr="009822C8">
        <w:t>Wood units,</w:t>
      </w:r>
      <w:r w:rsidR="00E360E3" w:rsidRPr="009822C8">
        <w:t xml:space="preserve"> in the absence of significant lung disease and chronic thromboembolic pathology</w:t>
      </w:r>
      <w:r w:rsidR="007C7E4B" w:rsidRPr="009822C8">
        <w:t xml:space="preserve"> </w:t>
      </w:r>
      <w:r w:rsidR="006976F4" w:rsidRPr="009822C8">
        <w:rPr>
          <w:noProof/>
        </w:rPr>
        <w:t>(</w:t>
      </w:r>
      <w:r w:rsidR="00D75D62" w:rsidRPr="009822C8">
        <w:rPr>
          <w:noProof/>
        </w:rPr>
        <w:t>9</w:t>
      </w:r>
      <w:r w:rsidR="006976F4" w:rsidRPr="009822C8">
        <w:rPr>
          <w:noProof/>
        </w:rPr>
        <w:t>)</w:t>
      </w:r>
      <w:r w:rsidR="00E360E3" w:rsidRPr="009822C8">
        <w:t>.</w:t>
      </w:r>
      <w:r w:rsidRPr="009822C8">
        <w:t xml:space="preserve"> </w:t>
      </w:r>
    </w:p>
    <w:p w:rsidR="00350F72" w:rsidRPr="009822C8" w:rsidRDefault="00350F72" w:rsidP="00350F72">
      <w:pPr>
        <w:widowControl w:val="0"/>
        <w:autoSpaceDE w:val="0"/>
        <w:autoSpaceDN w:val="0"/>
        <w:adjustRightInd w:val="0"/>
        <w:spacing w:line="360" w:lineRule="auto"/>
        <w:jc w:val="both"/>
      </w:pPr>
    </w:p>
    <w:p w:rsidR="00350F72" w:rsidRPr="009822C8" w:rsidRDefault="00350F72" w:rsidP="00EE2DC8">
      <w:pPr>
        <w:widowControl w:val="0"/>
        <w:autoSpaceDE w:val="0"/>
        <w:autoSpaceDN w:val="0"/>
        <w:adjustRightInd w:val="0"/>
        <w:spacing w:line="360" w:lineRule="auto"/>
        <w:jc w:val="both"/>
      </w:pPr>
      <w:r w:rsidRPr="009822C8">
        <w:t>Not all PH in SSc is WHO group I PAH and other therapeutic strategies may be necessary. Patients should be assessed for other forms of pre-capillary PH including hypoxaemic lung disease such as end stage interstitial lung disease (WHO group 3) and pulmonary veno-occlusive disease (WHO group 1’) as well as chronic thromboembolic PH (WHO group 4). Post-capillary PH due to left heart disease (WHO group 2) may be caused by myocardial microvascular changes and fibrosis due to SSc</w:t>
      </w:r>
      <w:r w:rsidR="007C7E4B" w:rsidRPr="009822C8">
        <w:t xml:space="preserve"> </w:t>
      </w:r>
      <w:r w:rsidR="006976F4" w:rsidRPr="009822C8">
        <w:rPr>
          <w:noProof/>
        </w:rPr>
        <w:t>(</w:t>
      </w:r>
      <w:r w:rsidR="00D75D62" w:rsidRPr="009822C8">
        <w:rPr>
          <w:noProof/>
        </w:rPr>
        <w:t>9</w:t>
      </w:r>
      <w:r w:rsidR="006976F4" w:rsidRPr="009822C8">
        <w:rPr>
          <w:noProof/>
        </w:rPr>
        <w:t>)</w:t>
      </w:r>
      <w:r w:rsidRPr="009822C8">
        <w:t>.</w:t>
      </w:r>
    </w:p>
    <w:p w:rsidR="00414AB7" w:rsidRDefault="00414AB7" w:rsidP="00EC50D7">
      <w:pPr>
        <w:widowControl w:val="0"/>
        <w:autoSpaceDE w:val="0"/>
        <w:autoSpaceDN w:val="0"/>
        <w:adjustRightInd w:val="0"/>
        <w:spacing w:line="360" w:lineRule="auto"/>
        <w:jc w:val="both"/>
        <w:outlineLvl w:val="0"/>
        <w:rPr>
          <w:b/>
        </w:rPr>
      </w:pPr>
    </w:p>
    <w:p w:rsidR="00DC5F2C" w:rsidRPr="009822C8" w:rsidRDefault="00AC3E56" w:rsidP="00EC50D7">
      <w:pPr>
        <w:widowControl w:val="0"/>
        <w:autoSpaceDE w:val="0"/>
        <w:autoSpaceDN w:val="0"/>
        <w:adjustRightInd w:val="0"/>
        <w:spacing w:line="360" w:lineRule="auto"/>
        <w:jc w:val="both"/>
        <w:outlineLvl w:val="0"/>
        <w:rPr>
          <w:b/>
        </w:rPr>
      </w:pPr>
      <w:r w:rsidRPr="009822C8">
        <w:rPr>
          <w:b/>
        </w:rPr>
        <w:t>Potential r</w:t>
      </w:r>
      <w:r w:rsidR="00EF3F69" w:rsidRPr="009822C8">
        <w:rPr>
          <w:b/>
        </w:rPr>
        <w:t xml:space="preserve">easons for poor </w:t>
      </w:r>
      <w:r w:rsidR="00022D4C" w:rsidRPr="009822C8">
        <w:rPr>
          <w:b/>
        </w:rPr>
        <w:t>outcomes in</w:t>
      </w:r>
      <w:r w:rsidR="001A3618" w:rsidRPr="009822C8">
        <w:rPr>
          <w:b/>
        </w:rPr>
        <w:t xml:space="preserve"> patients </w:t>
      </w:r>
      <w:r w:rsidR="00022D4C" w:rsidRPr="009822C8">
        <w:rPr>
          <w:b/>
        </w:rPr>
        <w:t xml:space="preserve">with </w:t>
      </w:r>
      <w:r w:rsidRPr="009822C8">
        <w:rPr>
          <w:b/>
        </w:rPr>
        <w:t>systemic sclerosis</w:t>
      </w:r>
      <w:r w:rsidR="00022D4C" w:rsidRPr="009822C8">
        <w:rPr>
          <w:b/>
        </w:rPr>
        <w:t xml:space="preserve"> related</w:t>
      </w:r>
      <w:r w:rsidRPr="009822C8">
        <w:rPr>
          <w:b/>
        </w:rPr>
        <w:t xml:space="preserve"> PAH</w:t>
      </w:r>
      <w:r w:rsidR="00DC5F2C" w:rsidRPr="009822C8">
        <w:rPr>
          <w:b/>
        </w:rPr>
        <w:t>:</w:t>
      </w:r>
    </w:p>
    <w:p w:rsidR="00654D87" w:rsidRPr="009822C8" w:rsidRDefault="00EF3F69" w:rsidP="00EF3F69">
      <w:pPr>
        <w:pStyle w:val="ListParagraph"/>
        <w:widowControl w:val="0"/>
        <w:numPr>
          <w:ilvl w:val="0"/>
          <w:numId w:val="12"/>
        </w:numPr>
        <w:autoSpaceDE w:val="0"/>
        <w:autoSpaceDN w:val="0"/>
        <w:adjustRightInd w:val="0"/>
        <w:spacing w:line="360" w:lineRule="auto"/>
        <w:jc w:val="both"/>
        <w:outlineLvl w:val="0"/>
        <w:rPr>
          <w:b/>
        </w:rPr>
      </w:pPr>
      <w:r w:rsidRPr="009822C8">
        <w:rPr>
          <w:b/>
        </w:rPr>
        <w:t xml:space="preserve">Delay in </w:t>
      </w:r>
      <w:r w:rsidR="00654D87" w:rsidRPr="009822C8">
        <w:rPr>
          <w:b/>
        </w:rPr>
        <w:t>diagnosis:</w:t>
      </w:r>
    </w:p>
    <w:p w:rsidR="00350F72" w:rsidRPr="009822C8" w:rsidRDefault="00EF3F69" w:rsidP="00350F72">
      <w:pPr>
        <w:widowControl w:val="0"/>
        <w:autoSpaceDE w:val="0"/>
        <w:autoSpaceDN w:val="0"/>
        <w:adjustRightInd w:val="0"/>
        <w:spacing w:line="360" w:lineRule="auto"/>
        <w:jc w:val="both"/>
      </w:pPr>
      <w:r w:rsidRPr="009822C8">
        <w:t xml:space="preserve">Despite one in ten SSc patients being likely to develop PAH, </w:t>
      </w:r>
      <w:r w:rsidR="00350F72" w:rsidRPr="009822C8">
        <w:t>diagnosis and institution of therapy</w:t>
      </w:r>
      <w:r w:rsidRPr="009822C8">
        <w:t xml:space="preserve"> is common</w:t>
      </w:r>
      <w:r w:rsidR="00241953">
        <w:t>ly delayed</w:t>
      </w:r>
      <w:r w:rsidRPr="009822C8">
        <w:t xml:space="preserve"> </w:t>
      </w:r>
      <w:r w:rsidR="00C44D58">
        <w:t>which</w:t>
      </w:r>
      <w:r w:rsidRPr="009822C8">
        <w:t xml:space="preserve"> </w:t>
      </w:r>
      <w:r w:rsidR="00C44D58">
        <w:t>may contribute</w:t>
      </w:r>
      <w:r w:rsidRPr="009822C8">
        <w:t xml:space="preserve"> to poor outcome</w:t>
      </w:r>
      <w:r w:rsidR="00350F72" w:rsidRPr="009822C8">
        <w:t xml:space="preserve">. </w:t>
      </w:r>
      <w:r w:rsidRPr="009822C8">
        <w:t>A</w:t>
      </w:r>
      <w:r w:rsidR="00350F72" w:rsidRPr="009822C8">
        <w:t xml:space="preserve">t diagnosis, </w:t>
      </w:r>
      <w:r w:rsidR="007B3046">
        <w:t>the majority of</w:t>
      </w:r>
      <w:r w:rsidR="00350F72" w:rsidRPr="009822C8">
        <w:t xml:space="preserve"> patients with SSc-related PAH</w:t>
      </w:r>
      <w:r w:rsidRPr="009822C8">
        <w:t xml:space="preserve"> in the ASCS</w:t>
      </w:r>
      <w:r w:rsidR="00350F72" w:rsidRPr="009822C8">
        <w:t xml:space="preserve"> are in WHO functional class III (59.9%) </w:t>
      </w:r>
      <w:r w:rsidR="006976F4" w:rsidRPr="009822C8">
        <w:rPr>
          <w:noProof/>
        </w:rPr>
        <w:t>(</w:t>
      </w:r>
      <w:r w:rsidR="00D75D62" w:rsidRPr="009822C8">
        <w:rPr>
          <w:noProof/>
        </w:rPr>
        <w:t>12</w:t>
      </w:r>
      <w:r w:rsidR="006976F4" w:rsidRPr="009822C8">
        <w:rPr>
          <w:noProof/>
        </w:rPr>
        <w:t>)</w:t>
      </w:r>
      <w:r w:rsidR="00350F72" w:rsidRPr="009822C8">
        <w:t>.</w:t>
      </w:r>
    </w:p>
    <w:p w:rsidR="00350F72" w:rsidRPr="009822C8" w:rsidRDefault="00350F72" w:rsidP="004E587B">
      <w:pPr>
        <w:widowControl w:val="0"/>
        <w:autoSpaceDE w:val="0"/>
        <w:autoSpaceDN w:val="0"/>
        <w:adjustRightInd w:val="0"/>
        <w:spacing w:line="360" w:lineRule="auto"/>
        <w:jc w:val="both"/>
      </w:pPr>
    </w:p>
    <w:p w:rsidR="00AD1F5E" w:rsidRPr="009822C8" w:rsidRDefault="00AD1F5E" w:rsidP="00AD1F5E">
      <w:pPr>
        <w:widowControl w:val="0"/>
        <w:autoSpaceDE w:val="0"/>
        <w:autoSpaceDN w:val="0"/>
        <w:adjustRightInd w:val="0"/>
        <w:spacing w:line="360" w:lineRule="auto"/>
        <w:jc w:val="both"/>
      </w:pPr>
      <w:r w:rsidRPr="009822C8">
        <w:t xml:space="preserve">To encourage earlier detection of PAH in SSc, pulmonary hypertension guidelines from the American College of Cardiology Foundation/American Heart Association, ESC/ERS </w:t>
      </w:r>
      <w:r w:rsidR="006976F4" w:rsidRPr="009822C8">
        <w:rPr>
          <w:noProof/>
        </w:rPr>
        <w:t>(</w:t>
      </w:r>
      <w:r w:rsidR="00D75D62" w:rsidRPr="009822C8">
        <w:rPr>
          <w:noProof/>
        </w:rPr>
        <w:t>15</w:t>
      </w:r>
      <w:r w:rsidR="006976F4" w:rsidRPr="009822C8">
        <w:rPr>
          <w:noProof/>
        </w:rPr>
        <w:t>)</w:t>
      </w:r>
      <w:r w:rsidRPr="009822C8">
        <w:t xml:space="preserve"> and the National Pulmonary Hypertension Centres of the UK and Ireland recommend an annual </w:t>
      </w:r>
      <w:r w:rsidR="000A2A98">
        <w:t>transthoracic echocardiogram (</w:t>
      </w:r>
      <w:r w:rsidRPr="009822C8">
        <w:t>TTE</w:t>
      </w:r>
      <w:r w:rsidR="000A2A98">
        <w:t>)</w:t>
      </w:r>
      <w:r w:rsidRPr="009822C8">
        <w:t xml:space="preserve"> for </w:t>
      </w:r>
      <w:r w:rsidRPr="009822C8">
        <w:rPr>
          <w:b/>
        </w:rPr>
        <w:t>all patients with systemic sclerosis not already diagnosed with PH</w:t>
      </w:r>
      <w:r w:rsidRPr="009822C8">
        <w:t>. TTE can provide an estimate of the systolic pulmonary arterial pressure (sPAP), based on the peak tricuspid regurgitant velocity (TRV) of the regurgitant jet of blood at the tricuspid valve, and taking into account the right atrial pressure as described by the simplified Bernoulli equation. Regular measurement of diffusing capacity for carbon monoxide (DLCO), corrected for haemoglobin (DLCOcorr) on PFTs is often recommended also. A gradual decline in the DLCOcorr to a level that is disproportionately low compared with lung volumes such as forced vital capacity (FVC) on PFTs, is characteristic of pulmonary vascular disease such as PAH</w:t>
      </w:r>
      <w:r w:rsidR="007C7E4B" w:rsidRPr="009822C8">
        <w:t xml:space="preserve"> </w:t>
      </w:r>
      <w:r w:rsidR="006976F4" w:rsidRPr="009822C8">
        <w:rPr>
          <w:noProof/>
        </w:rPr>
        <w:t>(</w:t>
      </w:r>
      <w:r w:rsidR="00D75D62" w:rsidRPr="009822C8">
        <w:rPr>
          <w:noProof/>
        </w:rPr>
        <w:t>16</w:t>
      </w:r>
      <w:r w:rsidR="006976F4" w:rsidRPr="009822C8">
        <w:rPr>
          <w:noProof/>
        </w:rPr>
        <w:t>)</w:t>
      </w:r>
      <w:r w:rsidRPr="009822C8">
        <w:t xml:space="preserve"> although the DLCOcorr is often reduced to some extent in patients with SSc and not all patients with PAH have a reduced DLCOcorr at the time of diagnosis. Neither of these tests alone or in combination with other assays, reliably identify patients with PH. They can only provide an indication of the likely risk of PH and hence help select patients who should have a RHC.</w:t>
      </w:r>
    </w:p>
    <w:p w:rsidR="00AD1F5E" w:rsidRPr="009822C8" w:rsidRDefault="00AD1F5E" w:rsidP="004E587B">
      <w:pPr>
        <w:widowControl w:val="0"/>
        <w:autoSpaceDE w:val="0"/>
        <w:autoSpaceDN w:val="0"/>
        <w:adjustRightInd w:val="0"/>
        <w:spacing w:line="360" w:lineRule="auto"/>
        <w:jc w:val="both"/>
      </w:pPr>
    </w:p>
    <w:p w:rsidR="00AD1F5E" w:rsidRPr="009822C8" w:rsidRDefault="00AD1F5E" w:rsidP="00AD1F5E">
      <w:pPr>
        <w:widowControl w:val="0"/>
        <w:autoSpaceDE w:val="0"/>
        <w:autoSpaceDN w:val="0"/>
        <w:adjustRightInd w:val="0"/>
        <w:spacing w:line="360" w:lineRule="auto"/>
        <w:jc w:val="both"/>
      </w:pPr>
      <w:r w:rsidRPr="009822C8">
        <w:t>Echocardiography has important limitations. sPAP cannot be measured on TTE in 20% to 39% of patients because of absent tricuspid regurgitation and/or insufficient image quality, including up to 29% of patients subsequently found to have pulmonary hypertension at RHC (false negative test).  The National Echo Database of Australia (NEDA) group reported in 2016 that among 302,746 TTEs performed on 174,229 patients, 33.2% had an insufficient TR jet to measure sPAP</w:t>
      </w:r>
      <w:r w:rsidR="007C7E4B" w:rsidRPr="009822C8">
        <w:t xml:space="preserve"> </w:t>
      </w:r>
      <w:r w:rsidR="006976F4" w:rsidRPr="009822C8">
        <w:rPr>
          <w:noProof/>
        </w:rPr>
        <w:t>(</w:t>
      </w:r>
      <w:r w:rsidR="00D75D62" w:rsidRPr="009822C8">
        <w:rPr>
          <w:noProof/>
        </w:rPr>
        <w:t>17</w:t>
      </w:r>
      <w:r w:rsidR="006976F4" w:rsidRPr="009822C8">
        <w:rPr>
          <w:noProof/>
        </w:rPr>
        <w:t>)</w:t>
      </w:r>
      <w:r w:rsidRPr="009822C8">
        <w:t>. If the TR jet is absent, there is a tendency for clinicians to be inappropriately reassured by interpreting the TTE as negative for PH, rather than inconclusive.</w:t>
      </w:r>
    </w:p>
    <w:p w:rsidR="00AD1F5E" w:rsidRPr="009822C8" w:rsidRDefault="00AD1F5E" w:rsidP="00AD1F5E">
      <w:pPr>
        <w:widowControl w:val="0"/>
        <w:autoSpaceDE w:val="0"/>
        <w:autoSpaceDN w:val="0"/>
        <w:adjustRightInd w:val="0"/>
        <w:spacing w:line="360" w:lineRule="auto"/>
        <w:jc w:val="both"/>
      </w:pPr>
    </w:p>
    <w:p w:rsidR="00AD1F5E" w:rsidRPr="009822C8" w:rsidRDefault="00AD1F5E" w:rsidP="00AD1F5E">
      <w:pPr>
        <w:widowControl w:val="0"/>
        <w:autoSpaceDE w:val="0"/>
        <w:autoSpaceDN w:val="0"/>
        <w:adjustRightInd w:val="0"/>
        <w:spacing w:line="360" w:lineRule="auto"/>
        <w:jc w:val="both"/>
      </w:pPr>
      <w:r w:rsidRPr="009822C8">
        <w:t>We performed a systematic review of nine studies of algorithms for identifying increased risk of PAH in unselected SSc patients</w:t>
      </w:r>
      <w:r w:rsidR="007C7E4B" w:rsidRPr="009822C8">
        <w:t xml:space="preserve"> </w:t>
      </w:r>
      <w:r w:rsidR="006976F4" w:rsidRPr="009822C8">
        <w:rPr>
          <w:noProof/>
        </w:rPr>
        <w:t>(</w:t>
      </w:r>
      <w:r w:rsidR="00D75D62" w:rsidRPr="009822C8">
        <w:rPr>
          <w:noProof/>
        </w:rPr>
        <w:t>18</w:t>
      </w:r>
      <w:r w:rsidR="006976F4" w:rsidRPr="009822C8">
        <w:rPr>
          <w:noProof/>
        </w:rPr>
        <w:t>)</w:t>
      </w:r>
      <w:r w:rsidRPr="009822C8">
        <w:t>.  All were based on TTE and the total population was 3,504. In studies of patients with prevalent (existing) PAH, the positive predictive value (PPV) was 20.4%-87%. In studies of patients with incident (new-onset) PAH, the PPV was 20.0%-30.7%. PPV of algorithms using ECHO with/without other tests was the same. No study enabled accurate determination of negative predictive value (NPV), sensitivity or specificity as none assessed performance in an unselected population with every patient undergoing the gold standard diagnostic test, a RHC. It is likely that reliance on TTE for identifying patients at high risk of PAH also delays diagnosis.</w:t>
      </w:r>
    </w:p>
    <w:p w:rsidR="00AD1F5E" w:rsidRPr="009822C8" w:rsidRDefault="00AD1F5E" w:rsidP="004E587B">
      <w:pPr>
        <w:widowControl w:val="0"/>
        <w:autoSpaceDE w:val="0"/>
        <w:autoSpaceDN w:val="0"/>
        <w:adjustRightInd w:val="0"/>
        <w:spacing w:line="360" w:lineRule="auto"/>
        <w:jc w:val="both"/>
      </w:pPr>
    </w:p>
    <w:p w:rsidR="00051FD1" w:rsidRPr="009822C8" w:rsidRDefault="00F26FFE" w:rsidP="004E587B">
      <w:pPr>
        <w:widowControl w:val="0"/>
        <w:autoSpaceDE w:val="0"/>
        <w:autoSpaceDN w:val="0"/>
        <w:adjustRightInd w:val="0"/>
        <w:spacing w:line="360" w:lineRule="auto"/>
        <w:jc w:val="both"/>
      </w:pPr>
      <w:r w:rsidRPr="009822C8">
        <w:t xml:space="preserve">There is evidence that regular </w:t>
      </w:r>
      <w:r w:rsidR="008D320C" w:rsidRPr="009822C8">
        <w:t xml:space="preserve">active risk </w:t>
      </w:r>
      <w:r w:rsidR="00D06DE7" w:rsidRPr="009822C8">
        <w:t>assessment will</w:t>
      </w:r>
      <w:r w:rsidRPr="009822C8">
        <w:t xml:space="preserve"> identify patients in the early stages of PAH before symptoms are established</w:t>
      </w:r>
      <w:r w:rsidR="008D320C" w:rsidRPr="009822C8">
        <w:t xml:space="preserve"> and when prognosis is more favourable</w:t>
      </w:r>
      <w:r w:rsidRPr="009822C8">
        <w:t xml:space="preserve">, </w:t>
      </w:r>
      <w:r w:rsidR="00D06DE7" w:rsidRPr="009822C8">
        <w:t xml:space="preserve">and </w:t>
      </w:r>
      <w:r w:rsidRPr="009822C8">
        <w:t>can improve outcomes.</w:t>
      </w:r>
      <w:r w:rsidR="00433420" w:rsidRPr="009822C8">
        <w:t xml:space="preserve"> </w:t>
      </w:r>
      <w:r w:rsidR="008D320C" w:rsidRPr="009822C8">
        <w:t xml:space="preserve">In the ASCS, patients with PAH diagnosed as a result of active risk assessment were more likely </w:t>
      </w:r>
      <w:r w:rsidR="002A266B" w:rsidRPr="009822C8">
        <w:t xml:space="preserve">than patients in whom PAH was diagnosed at first presentation, </w:t>
      </w:r>
      <w:r w:rsidR="008D320C" w:rsidRPr="009822C8">
        <w:t>to be in a better WHO Functional Class at PAH diagnosis (p=0.01) and have less advanced PAH as evinced by higher mean six minute walk distance (p=0.03), lower mean pulmonary arterial pressure (p=0.009), lower mean pulmonary vascular resistance (p=0.006) and fewer non-trivial pericardial effusions (p=0.03)</w:t>
      </w:r>
      <w:r w:rsidR="00D12D53" w:rsidRPr="009822C8">
        <w:t xml:space="preserve"> </w:t>
      </w:r>
      <w:r w:rsidR="006976F4" w:rsidRPr="009822C8">
        <w:rPr>
          <w:noProof/>
        </w:rPr>
        <w:t>(</w:t>
      </w:r>
      <w:r w:rsidR="00D75D62" w:rsidRPr="009822C8">
        <w:rPr>
          <w:noProof/>
        </w:rPr>
        <w:t>11</w:t>
      </w:r>
      <w:r w:rsidR="006976F4" w:rsidRPr="009822C8">
        <w:rPr>
          <w:noProof/>
        </w:rPr>
        <w:t>)</w:t>
      </w:r>
      <w:r w:rsidR="008D320C" w:rsidRPr="009822C8">
        <w:t xml:space="preserve">. </w:t>
      </w:r>
      <w:r w:rsidR="00315359" w:rsidRPr="009822C8">
        <w:t xml:space="preserve">The survival of patients presenting in better functional classes (I and II) is better in registries </w:t>
      </w:r>
      <w:r w:rsidR="00ED031F" w:rsidRPr="009822C8">
        <w:t>such as the UK CTD-PAH registry</w:t>
      </w:r>
      <w:r w:rsidR="007C7E4B" w:rsidRPr="009822C8">
        <w:t xml:space="preserve"> </w:t>
      </w:r>
      <w:r w:rsidR="006976F4" w:rsidRPr="009822C8">
        <w:rPr>
          <w:noProof/>
        </w:rPr>
        <w:t>(</w:t>
      </w:r>
      <w:r w:rsidR="00D75D62" w:rsidRPr="009822C8">
        <w:rPr>
          <w:noProof/>
        </w:rPr>
        <w:t>19</w:t>
      </w:r>
      <w:r w:rsidR="006976F4" w:rsidRPr="009822C8">
        <w:rPr>
          <w:noProof/>
        </w:rPr>
        <w:t>)</w:t>
      </w:r>
      <w:r w:rsidR="00315359" w:rsidRPr="009822C8">
        <w:t xml:space="preserve">. </w:t>
      </w:r>
      <w:r w:rsidR="00D06DE7" w:rsidRPr="009822C8">
        <w:t>Correspondingly, i</w:t>
      </w:r>
      <w:r w:rsidR="004002B0" w:rsidRPr="009822C8">
        <w:t>n the ASCS, worse WHO functional class (p=0.03) and higher mean pulmonary arterial pressure at PAH diagnosis (p=0.001), older age at PAH diagnosis (p=0.03), mild co-existent ILD (p=0.01), and digital ulcers (p=0.01) were predictive of mortality</w:t>
      </w:r>
      <w:r w:rsidR="00D12D53" w:rsidRPr="009822C8">
        <w:t xml:space="preserve"> </w:t>
      </w:r>
      <w:r w:rsidR="006976F4" w:rsidRPr="009822C8">
        <w:rPr>
          <w:noProof/>
        </w:rPr>
        <w:t>(</w:t>
      </w:r>
      <w:r w:rsidR="00D75D62" w:rsidRPr="009822C8">
        <w:rPr>
          <w:noProof/>
        </w:rPr>
        <w:t>12</w:t>
      </w:r>
      <w:r w:rsidR="006976F4" w:rsidRPr="009822C8">
        <w:rPr>
          <w:noProof/>
        </w:rPr>
        <w:t>)</w:t>
      </w:r>
      <w:r w:rsidR="004002B0" w:rsidRPr="009822C8">
        <w:t xml:space="preserve">. </w:t>
      </w:r>
      <w:r w:rsidR="00051FD1" w:rsidRPr="009822C8">
        <w:t xml:space="preserve">The impressive 8-year survival rate of 64% in a group of SSc-PAH patients in whom PAH was detected as a result of active strategies compared with 17% for patients diagnosed with PAH in the course of routine care, published by Humbert </w:t>
      </w:r>
      <w:r w:rsidR="00051FD1" w:rsidRPr="009822C8">
        <w:rPr>
          <w:i/>
        </w:rPr>
        <w:t>et al</w:t>
      </w:r>
      <w:r w:rsidR="00051FD1" w:rsidRPr="009822C8">
        <w:t>., suggests the improved</w:t>
      </w:r>
      <w:r w:rsidRPr="009822C8">
        <w:t xml:space="preserve"> </w:t>
      </w:r>
      <w:r w:rsidR="00051FD1" w:rsidRPr="009822C8">
        <w:t>survival in patients detected earlier is due to</w:t>
      </w:r>
      <w:r w:rsidRPr="009822C8">
        <w:t xml:space="preserve"> more than</w:t>
      </w:r>
      <w:r w:rsidR="00051FD1" w:rsidRPr="009822C8">
        <w:t xml:space="preserve"> </w:t>
      </w:r>
      <w:r w:rsidR="00433420" w:rsidRPr="009822C8">
        <w:t xml:space="preserve">just </w:t>
      </w:r>
      <w:r w:rsidR="00051FD1" w:rsidRPr="009822C8">
        <w:t>lead time bias</w:t>
      </w:r>
      <w:r w:rsidR="007C7E4B" w:rsidRPr="009822C8">
        <w:t xml:space="preserve"> </w:t>
      </w:r>
      <w:r w:rsidR="006976F4" w:rsidRPr="009822C8">
        <w:rPr>
          <w:noProof/>
        </w:rPr>
        <w:t>(</w:t>
      </w:r>
      <w:r w:rsidR="00D75D62" w:rsidRPr="009822C8">
        <w:rPr>
          <w:noProof/>
        </w:rPr>
        <w:t>20</w:t>
      </w:r>
      <w:r w:rsidR="006976F4" w:rsidRPr="009822C8">
        <w:rPr>
          <w:noProof/>
        </w:rPr>
        <w:t>)</w:t>
      </w:r>
      <w:r w:rsidR="00A84CB7" w:rsidRPr="009822C8">
        <w:t>.</w:t>
      </w:r>
    </w:p>
    <w:p w:rsidR="003E4B68" w:rsidRPr="009822C8" w:rsidRDefault="003E4B68" w:rsidP="00EE2DC8">
      <w:pPr>
        <w:widowControl w:val="0"/>
        <w:tabs>
          <w:tab w:val="left" w:pos="220"/>
          <w:tab w:val="left" w:pos="720"/>
        </w:tabs>
        <w:autoSpaceDE w:val="0"/>
        <w:autoSpaceDN w:val="0"/>
        <w:adjustRightInd w:val="0"/>
        <w:spacing w:line="360" w:lineRule="auto"/>
        <w:ind w:left="720"/>
        <w:jc w:val="both"/>
      </w:pPr>
    </w:p>
    <w:p w:rsidR="00EF3F69" w:rsidRPr="009822C8" w:rsidRDefault="00EF3F69" w:rsidP="00EF3F69">
      <w:pPr>
        <w:pStyle w:val="ListParagraph"/>
        <w:widowControl w:val="0"/>
        <w:numPr>
          <w:ilvl w:val="0"/>
          <w:numId w:val="12"/>
        </w:numPr>
        <w:autoSpaceDE w:val="0"/>
        <w:autoSpaceDN w:val="0"/>
        <w:adjustRightInd w:val="0"/>
        <w:spacing w:line="360" w:lineRule="auto"/>
        <w:jc w:val="both"/>
        <w:rPr>
          <w:b/>
        </w:rPr>
      </w:pPr>
      <w:r w:rsidRPr="009822C8">
        <w:rPr>
          <w:b/>
        </w:rPr>
        <w:t>Limiting therapy to functional class III and IV:</w:t>
      </w:r>
    </w:p>
    <w:p w:rsidR="00EF3F69" w:rsidRPr="009822C8" w:rsidRDefault="006719D7" w:rsidP="006719D7">
      <w:pPr>
        <w:widowControl w:val="0"/>
        <w:autoSpaceDE w:val="0"/>
        <w:autoSpaceDN w:val="0"/>
        <w:adjustRightInd w:val="0"/>
        <w:spacing w:line="360" w:lineRule="auto"/>
        <w:jc w:val="both"/>
      </w:pPr>
      <w:r w:rsidRPr="009822C8">
        <w:t>The cost-effectiveness of early identification and treatment has not been</w:t>
      </w:r>
      <w:r w:rsidR="007C7E4B" w:rsidRPr="009822C8">
        <w:t xml:space="preserve"> formally assessed but a number </w:t>
      </w:r>
      <w:r w:rsidRPr="009822C8">
        <w:t xml:space="preserve">of factors suggest that, in addition to the clinical benefits of improved </w:t>
      </w:r>
      <w:r w:rsidR="000A2A98">
        <w:t>HRQoL</w:t>
      </w:r>
      <w:r w:rsidRPr="009822C8">
        <w:t xml:space="preserve"> and survival, earlier therapy is cost-effective. The funding of advanced PAH therapies is managed under the Highly Specialised Drug Scheme. Only patients in functional classes III and IV are eligible under this scheme, but </w:t>
      </w:r>
      <w:r w:rsidR="00BC6A56" w:rsidRPr="009822C8">
        <w:t>functional class II PAH is not a benign state. In the placebo arm of a randomi</w:t>
      </w:r>
      <w:r w:rsidR="002D4126">
        <w:t>s</w:t>
      </w:r>
      <w:r w:rsidR="00BC6A56" w:rsidRPr="009822C8">
        <w:t>ed controlled trial of bosentan, 14% of 92 patients in functional class II declined by six months</w:t>
      </w:r>
      <w:r w:rsidR="007C7E4B" w:rsidRPr="009822C8">
        <w:t xml:space="preserve"> </w:t>
      </w:r>
      <w:r w:rsidR="006976F4" w:rsidRPr="009822C8">
        <w:rPr>
          <w:noProof/>
        </w:rPr>
        <w:t>(</w:t>
      </w:r>
      <w:r w:rsidR="00D75D62" w:rsidRPr="009822C8">
        <w:rPr>
          <w:noProof/>
        </w:rPr>
        <w:t>21</w:t>
      </w:r>
      <w:r w:rsidR="006976F4" w:rsidRPr="009822C8">
        <w:rPr>
          <w:noProof/>
        </w:rPr>
        <w:t>)</w:t>
      </w:r>
      <w:r w:rsidR="00BC6A56" w:rsidRPr="009822C8">
        <w:t>. P</w:t>
      </w:r>
      <w:r w:rsidRPr="009822C8">
        <w:t>atients in functional classes I and II can access therapy via non-PBS avenues including self-funding and special access schemes or can obtain the least costly drug, sil</w:t>
      </w:r>
      <w:r w:rsidR="00BD4FD6" w:rsidRPr="009822C8">
        <w:t>denafil, via public hospitals. Furthermore, t</w:t>
      </w:r>
      <w:r w:rsidRPr="009822C8">
        <w:t xml:space="preserve">he additional costs of treatment for patients in functional class IV in particular, are substantial. </w:t>
      </w:r>
    </w:p>
    <w:p w:rsidR="00EF3F69" w:rsidRPr="009822C8" w:rsidRDefault="00EF3F69" w:rsidP="006719D7">
      <w:pPr>
        <w:widowControl w:val="0"/>
        <w:autoSpaceDE w:val="0"/>
        <w:autoSpaceDN w:val="0"/>
        <w:adjustRightInd w:val="0"/>
        <w:spacing w:line="360" w:lineRule="auto"/>
        <w:jc w:val="both"/>
      </w:pPr>
    </w:p>
    <w:p w:rsidR="00EF3F69" w:rsidRPr="009822C8" w:rsidRDefault="00EF3F69" w:rsidP="00EF3F69">
      <w:pPr>
        <w:pStyle w:val="ListParagraph"/>
        <w:widowControl w:val="0"/>
        <w:numPr>
          <w:ilvl w:val="0"/>
          <w:numId w:val="12"/>
        </w:numPr>
        <w:autoSpaceDE w:val="0"/>
        <w:autoSpaceDN w:val="0"/>
        <w:adjustRightInd w:val="0"/>
        <w:spacing w:line="360" w:lineRule="auto"/>
        <w:jc w:val="both"/>
        <w:rPr>
          <w:b/>
        </w:rPr>
      </w:pPr>
      <w:r w:rsidRPr="009822C8">
        <w:rPr>
          <w:b/>
        </w:rPr>
        <w:t xml:space="preserve">Use of </w:t>
      </w:r>
      <w:r w:rsidR="00AD1F5E" w:rsidRPr="009822C8">
        <w:rPr>
          <w:b/>
        </w:rPr>
        <w:t>mono</w:t>
      </w:r>
      <w:r w:rsidRPr="009822C8">
        <w:rPr>
          <w:b/>
        </w:rPr>
        <w:t>therapy</w:t>
      </w:r>
    </w:p>
    <w:p w:rsidR="00D12D53" w:rsidRPr="009822C8" w:rsidRDefault="006719D7" w:rsidP="006719D7">
      <w:pPr>
        <w:widowControl w:val="0"/>
        <w:autoSpaceDE w:val="0"/>
        <w:autoSpaceDN w:val="0"/>
        <w:adjustRightInd w:val="0"/>
        <w:spacing w:line="360" w:lineRule="auto"/>
        <w:jc w:val="both"/>
      </w:pPr>
      <w:r w:rsidRPr="009822C8">
        <w:t>The 2015 European Society of Cardiology (ESC)/European Respiratory Society (ERS)</w:t>
      </w:r>
      <w:r w:rsidR="008272C0" w:rsidRPr="009822C8">
        <w:t xml:space="preserve"> guidelines</w:t>
      </w:r>
      <w:r w:rsidR="002E0DCA" w:rsidRPr="009822C8">
        <w:t xml:space="preserve"> </w:t>
      </w:r>
      <w:r w:rsidR="006976F4" w:rsidRPr="009822C8">
        <w:rPr>
          <w:noProof/>
        </w:rPr>
        <w:t>(</w:t>
      </w:r>
      <w:r w:rsidR="00D75D62" w:rsidRPr="009822C8">
        <w:rPr>
          <w:noProof/>
        </w:rPr>
        <w:t>9</w:t>
      </w:r>
      <w:r w:rsidR="006976F4" w:rsidRPr="009822C8">
        <w:rPr>
          <w:noProof/>
        </w:rPr>
        <w:t>)</w:t>
      </w:r>
      <w:r w:rsidRPr="009822C8">
        <w:t xml:space="preserve"> recommend more intensive therapy for patients in worse functional classes such as early use of more than one advanced PA</w:t>
      </w:r>
      <w:r w:rsidR="00570052" w:rsidRPr="009822C8">
        <w:t>H therapy in combination, first-</w:t>
      </w:r>
      <w:r w:rsidRPr="009822C8">
        <w:t xml:space="preserve">line use of the most costly drug, intravenous epoprostenol and listing for heart-lung transplantation. </w:t>
      </w:r>
      <w:r w:rsidR="00C50E89" w:rsidRPr="009822C8">
        <w:t>These patients use more health resources due to</w:t>
      </w:r>
      <w:r w:rsidRPr="009822C8">
        <w:t xml:space="preserve"> higher rates of co-m</w:t>
      </w:r>
      <w:r w:rsidR="00EB51EF" w:rsidRPr="009822C8">
        <w:t>orbidities and hospitalisations</w:t>
      </w:r>
      <w:r w:rsidR="002E0DCA" w:rsidRPr="009822C8">
        <w:t xml:space="preserve"> </w:t>
      </w:r>
      <w:r w:rsidR="006976F4" w:rsidRPr="009822C8">
        <w:rPr>
          <w:noProof/>
        </w:rPr>
        <w:t>(</w:t>
      </w:r>
      <w:r w:rsidR="00D75D62" w:rsidRPr="009822C8">
        <w:rPr>
          <w:noProof/>
        </w:rPr>
        <w:t>22</w:t>
      </w:r>
      <w:r w:rsidR="006976F4" w:rsidRPr="009822C8">
        <w:rPr>
          <w:noProof/>
        </w:rPr>
        <w:t>)</w:t>
      </w:r>
      <w:r w:rsidR="00EB51EF" w:rsidRPr="009822C8">
        <w:t>.</w:t>
      </w:r>
    </w:p>
    <w:p w:rsidR="00D12D53" w:rsidRPr="009822C8" w:rsidRDefault="00D12D53" w:rsidP="006719D7">
      <w:pPr>
        <w:widowControl w:val="0"/>
        <w:autoSpaceDE w:val="0"/>
        <w:autoSpaceDN w:val="0"/>
        <w:adjustRightInd w:val="0"/>
        <w:spacing w:line="360" w:lineRule="auto"/>
        <w:jc w:val="both"/>
      </w:pPr>
    </w:p>
    <w:p w:rsidR="00844B1F" w:rsidRPr="009822C8" w:rsidRDefault="00844B1F" w:rsidP="00844B1F">
      <w:pPr>
        <w:widowControl w:val="0"/>
        <w:tabs>
          <w:tab w:val="left" w:pos="220"/>
        </w:tabs>
        <w:autoSpaceDE w:val="0"/>
        <w:autoSpaceDN w:val="0"/>
        <w:adjustRightInd w:val="0"/>
        <w:spacing w:line="360" w:lineRule="auto"/>
        <w:rPr>
          <w:b/>
        </w:rPr>
      </w:pPr>
      <w:r w:rsidRPr="009822C8">
        <w:rPr>
          <w:b/>
        </w:rPr>
        <w:t xml:space="preserve">The Australian Scleroderma Cohort Study program for identifying </w:t>
      </w:r>
      <w:r w:rsidR="001D6A81" w:rsidRPr="009822C8">
        <w:rPr>
          <w:b/>
        </w:rPr>
        <w:t xml:space="preserve">patients with </w:t>
      </w:r>
      <w:r w:rsidRPr="009822C8">
        <w:rPr>
          <w:b/>
        </w:rPr>
        <w:t xml:space="preserve">systemic sclerosis related PAH. </w:t>
      </w:r>
    </w:p>
    <w:p w:rsidR="00844B1F" w:rsidRPr="009822C8" w:rsidRDefault="00844B1F" w:rsidP="00844B1F">
      <w:pPr>
        <w:widowControl w:val="0"/>
        <w:tabs>
          <w:tab w:val="left" w:pos="220"/>
        </w:tabs>
        <w:autoSpaceDE w:val="0"/>
        <w:autoSpaceDN w:val="0"/>
        <w:adjustRightInd w:val="0"/>
        <w:spacing w:line="360" w:lineRule="auto"/>
        <w:rPr>
          <w:b/>
        </w:rPr>
      </w:pPr>
    </w:p>
    <w:p w:rsidR="00844B1F" w:rsidRPr="009822C8" w:rsidRDefault="001D6A81" w:rsidP="00844B1F">
      <w:pPr>
        <w:widowControl w:val="0"/>
        <w:autoSpaceDE w:val="0"/>
        <w:autoSpaceDN w:val="0"/>
        <w:adjustRightInd w:val="0"/>
        <w:spacing w:line="360" w:lineRule="auto"/>
        <w:jc w:val="both"/>
      </w:pPr>
      <w:r w:rsidRPr="009822C8">
        <w:t>All patients in the ASCS undergo a</w:t>
      </w:r>
      <w:r w:rsidR="00844B1F" w:rsidRPr="009822C8">
        <w:t xml:space="preserve">nnual screening for PAH </w:t>
      </w:r>
      <w:r w:rsidRPr="009822C8">
        <w:t xml:space="preserve">that </w:t>
      </w:r>
      <w:r w:rsidR="00844B1F" w:rsidRPr="009822C8">
        <w:t xml:space="preserve">comprises a clinical assessment, TTE and PFTs (Figure 1) </w:t>
      </w:r>
      <w:r w:rsidR="00844B1F" w:rsidRPr="009822C8">
        <w:rPr>
          <w:noProof/>
        </w:rPr>
        <w:t>(</w:t>
      </w:r>
      <w:r w:rsidR="00D75D62" w:rsidRPr="009822C8">
        <w:rPr>
          <w:noProof/>
        </w:rPr>
        <w:t>11</w:t>
      </w:r>
      <w:r w:rsidR="00844B1F" w:rsidRPr="009822C8">
        <w:rPr>
          <w:noProof/>
        </w:rPr>
        <w:t>)</w:t>
      </w:r>
      <w:r w:rsidR="00844B1F" w:rsidRPr="009822C8">
        <w:t xml:space="preserve">. RHC is recommended for any patient identified as having possible PAH (sPAP by TTE </w:t>
      </w:r>
      <w:r w:rsidR="00844B1F" w:rsidRPr="009822C8">
        <w:rPr>
          <w:b/>
          <w:bCs/>
        </w:rPr>
        <w:t>≥</w:t>
      </w:r>
      <w:r w:rsidR="00844B1F" w:rsidRPr="009822C8">
        <w:t xml:space="preserve">40 mmHg and/or DLCOc </w:t>
      </w:r>
      <w:r w:rsidR="00844B1F" w:rsidRPr="009822C8">
        <w:rPr>
          <w:b/>
          <w:bCs/>
        </w:rPr>
        <w:t>≤</w:t>
      </w:r>
      <w:r w:rsidR="00844B1F" w:rsidRPr="009822C8">
        <w:t xml:space="preserve">50% predicted with FVC </w:t>
      </w:r>
      <w:r w:rsidR="00844B1F" w:rsidRPr="009822C8">
        <w:rPr>
          <w:b/>
          <w:bCs/>
        </w:rPr>
        <w:t xml:space="preserve">&gt; </w:t>
      </w:r>
      <w:r w:rsidR="00844B1F" w:rsidRPr="009822C8">
        <w:t xml:space="preserve">85%, and/or fall in DLCOc </w:t>
      </w:r>
      <w:r w:rsidR="00844B1F" w:rsidRPr="009822C8">
        <w:rPr>
          <w:b/>
          <w:bCs/>
        </w:rPr>
        <w:t>≥</w:t>
      </w:r>
      <w:r w:rsidR="00844B1F" w:rsidRPr="009822C8">
        <w:t>20% compared with the previous year], especially in the presence of symptoms and without adequate explanation on further investigations of the lungs. At the time of implementation, this approach was very similar to the ESC/ERS guidelines of 2009</w:t>
      </w:r>
      <w:r w:rsidR="00D75D62">
        <w:rPr>
          <w:noProof/>
        </w:rPr>
        <w:t>(23)</w:t>
      </w:r>
      <w:r w:rsidR="00844B1F" w:rsidRPr="009822C8">
        <w:t xml:space="preserve"> in which a TRV on TTE of more than 3.4 m/s or 2.8 &lt; TRV ≤ 3.4 m/s with symptoms (defined as at least one of the following: current dyspnoea, current syncope/near syncope, presence of peripheral oedema) or TRV less than 2.8 m/s with these symptoms and an additional suggestive echocardiographic variable (eg right ventricular or right atrial dilatation) were an indication for RHC referral. The ESC/ERS guidelines updated in 2015 are still dependent on echocardiography with similar criteria for TRV and echocardiographic parameters of PH </w:t>
      </w:r>
      <w:r w:rsidR="00844B1F" w:rsidRPr="009822C8">
        <w:rPr>
          <w:noProof/>
        </w:rPr>
        <w:t>(</w:t>
      </w:r>
      <w:r w:rsidR="00D75D62" w:rsidRPr="009822C8">
        <w:rPr>
          <w:noProof/>
        </w:rPr>
        <w:t>9</w:t>
      </w:r>
      <w:r w:rsidR="00844B1F" w:rsidRPr="009822C8">
        <w:rPr>
          <w:noProof/>
        </w:rPr>
        <w:t>)</w:t>
      </w:r>
      <w:r w:rsidR="00844B1F" w:rsidRPr="009822C8">
        <w:t xml:space="preserve">. </w:t>
      </w:r>
    </w:p>
    <w:p w:rsidR="00572219" w:rsidRDefault="00572219">
      <w:pPr>
        <w:rPr>
          <w:b/>
        </w:rPr>
      </w:pPr>
      <w:r>
        <w:rPr>
          <w:b/>
        </w:rPr>
        <w:br w:type="page"/>
      </w:r>
    </w:p>
    <w:p w:rsidR="00844B1F" w:rsidRPr="00AD1F5E" w:rsidRDefault="00844B1F" w:rsidP="00572219">
      <w:pPr>
        <w:widowControl w:val="0"/>
        <w:autoSpaceDE w:val="0"/>
        <w:autoSpaceDN w:val="0"/>
        <w:adjustRightInd w:val="0"/>
        <w:jc w:val="both"/>
        <w:rPr>
          <w:sz w:val="22"/>
          <w:szCs w:val="22"/>
        </w:rPr>
      </w:pPr>
      <w:r w:rsidRPr="00FA1528">
        <w:rPr>
          <w:b/>
        </w:rPr>
        <w:t xml:space="preserve">Figure 1: </w:t>
      </w:r>
      <w:r w:rsidRPr="00FA1528">
        <w:rPr>
          <w:b/>
          <w:lang w:val="en-AU"/>
        </w:rPr>
        <w:t xml:space="preserve">Australian Scleroderma Cohort Study algorithm for assessing risk for pulmonary hypertension </w:t>
      </w:r>
    </w:p>
    <w:p w:rsidR="00844B1F" w:rsidRPr="00FA1528" w:rsidRDefault="00844B1F" w:rsidP="00844B1F">
      <w:pPr>
        <w:spacing w:after="144"/>
        <w:ind w:left="-900"/>
        <w:rPr>
          <w:sz w:val="16"/>
          <w:szCs w:val="16"/>
        </w:rPr>
      </w:pPr>
      <w:r w:rsidRPr="00FA1528">
        <w:rPr>
          <w:noProof/>
          <w:sz w:val="16"/>
          <w:szCs w:val="16"/>
          <w:lang w:val="en-AU" w:eastAsia="en-AU"/>
        </w:rPr>
        <w:drawing>
          <wp:inline distT="0" distB="0" distL="0" distR="0" wp14:anchorId="2E77E18F" wp14:editId="4815046A">
            <wp:extent cx="6165952" cy="5977982"/>
            <wp:effectExtent l="0" t="0" r="6350" b="3810"/>
            <wp:docPr id="10" name="Picture 1" descr="Australian Scleroderma Cohort Study algorithm for assessing risk for pulmonary hypertension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649" cy="5982536"/>
                    </a:xfrm>
                    <a:prstGeom prst="rect">
                      <a:avLst/>
                    </a:prstGeom>
                    <a:noFill/>
                    <a:ln>
                      <a:noFill/>
                    </a:ln>
                  </pic:spPr>
                </pic:pic>
              </a:graphicData>
            </a:graphic>
          </wp:inline>
        </w:drawing>
      </w:r>
    </w:p>
    <w:p w:rsidR="00844B1F" w:rsidRPr="00FA1528" w:rsidRDefault="00844B1F" w:rsidP="00844B1F">
      <w:pPr>
        <w:ind w:left="-907"/>
        <w:rPr>
          <w:sz w:val="16"/>
          <w:szCs w:val="16"/>
        </w:rPr>
      </w:pPr>
      <w:r w:rsidRPr="00FA1528">
        <w:rPr>
          <w:sz w:val="16"/>
          <w:szCs w:val="16"/>
        </w:rPr>
        <w:t>All SSc patients, defined according to ACR/EULAR criteria</w:t>
      </w:r>
      <w:r w:rsidR="00D75D62">
        <w:rPr>
          <w:noProof/>
          <w:sz w:val="16"/>
          <w:szCs w:val="16"/>
        </w:rPr>
        <w:t>(24)</w:t>
      </w:r>
      <w:r w:rsidRPr="00FA1528">
        <w:rPr>
          <w:sz w:val="16"/>
          <w:szCs w:val="16"/>
        </w:rPr>
        <w:t xml:space="preserve"> or Leroy/Medsger criteria</w:t>
      </w:r>
      <w:r w:rsidR="00D75D62">
        <w:rPr>
          <w:noProof/>
          <w:sz w:val="16"/>
          <w:szCs w:val="16"/>
        </w:rPr>
        <w:t>(25)</w:t>
      </w:r>
      <w:r w:rsidRPr="00FA1528">
        <w:rPr>
          <w:sz w:val="16"/>
          <w:szCs w:val="16"/>
        </w:rPr>
        <w:t xml:space="preserve"> and mixed connective tissue disease (MCTD), as originally described by Sharp et al.</w:t>
      </w:r>
      <w:r w:rsidR="00D75D62">
        <w:rPr>
          <w:noProof/>
          <w:sz w:val="16"/>
          <w:szCs w:val="16"/>
        </w:rPr>
        <w:t>(26)</w:t>
      </w:r>
      <w:r w:rsidRPr="00FA1528">
        <w:rPr>
          <w:sz w:val="16"/>
          <w:szCs w:val="16"/>
        </w:rPr>
        <w:t>, are eligible for annual screening.</w:t>
      </w:r>
      <w:r w:rsidRPr="00FA1528">
        <w:t xml:space="preserve"> </w:t>
      </w:r>
      <w:r w:rsidRPr="00FA1528">
        <w:rPr>
          <w:sz w:val="16"/>
          <w:szCs w:val="16"/>
        </w:rPr>
        <w:t>Abbreviations: antinuclear antibody (ANA), extractable nuclear antibody (ENA), chest radiograph (CXR), electrocardiogram (ECG), diffusing capacity of the lung for carbon monoxide</w:t>
      </w:r>
      <w:r w:rsidRPr="00FA1528">
        <w:rPr>
          <w:rFonts w:eastAsia="Times New Roman"/>
        </w:rPr>
        <w:t xml:space="preserve"> </w:t>
      </w:r>
      <w:r w:rsidRPr="00FA1528">
        <w:rPr>
          <w:sz w:val="16"/>
          <w:szCs w:val="16"/>
        </w:rPr>
        <w:t>corrected for haemo</w:t>
      </w:r>
      <w:r w:rsidRPr="00FA1528">
        <w:rPr>
          <w:rFonts w:eastAsia="MS Mincho"/>
          <w:sz w:val="16"/>
          <w:szCs w:val="16"/>
        </w:rPr>
        <w:t>globin</w:t>
      </w:r>
      <w:r w:rsidRPr="00FA1528">
        <w:rPr>
          <w:rFonts w:eastAsia="Times New Roman"/>
        </w:rPr>
        <w:t xml:space="preserve"> </w:t>
      </w:r>
      <w:r w:rsidRPr="00FA1528">
        <w:rPr>
          <w:sz w:val="16"/>
          <w:szCs w:val="16"/>
        </w:rPr>
        <w:t>(DLCO), six minute walk test (6MWT), pulmonary function test (PFT), pulmonary arterial hypertension (PAH), systolic pulmonary arterial pressure (sPAP) determined using the standard method of adding 5mmHg as the right atrial pressure, forced vital capacity (FVC), high resolution chest computed tomography (HRCT), right heart catheterisation (RHC), transthoracic echocardiogram (TTE), ventilation perfusion (V/Q) scan, computed tomography pulmonary angiography (CTPA). Subsequent to the baseline assessment, autoantibodies, a CXR or a 6MWT need only be repeated if clinically indicated.The time period for a fall in DLCO and/or FVC was defined as one year. Both FVC and DLCO were taken into consideration when considering the underlying aetiology (PAH versus interstitial lung disease (ILD) (ie in patients with a significant reduction in DLCO (&gt;20% in one year) or significantly reduced DLCO (&lt;50% predicted), the FVC was used to determine increased risk of ILD (&lt;85% predicted) and HRCT chest was used to confirm it. Pulmonary hypertension (PH) was attributed to ILD in the presence of extensive ILD on HRCT and hypoxemia at rest. PH due to left heart disease was defined according to the ESC/ERS criteria: PAWP&gt;15 mmHg and DPG&lt; 7 mmHg with PVR&lt;3 Wood Units</w:t>
      </w:r>
      <w:r>
        <w:rPr>
          <w:noProof/>
          <w:sz w:val="16"/>
          <w:szCs w:val="16"/>
        </w:rPr>
        <w:t>(</w:t>
      </w:r>
      <w:r w:rsidR="00D75D62">
        <w:rPr>
          <w:noProof/>
          <w:sz w:val="16"/>
          <w:szCs w:val="16"/>
        </w:rPr>
        <w:t>9</w:t>
      </w:r>
      <w:r>
        <w:rPr>
          <w:noProof/>
          <w:sz w:val="16"/>
          <w:szCs w:val="16"/>
        </w:rPr>
        <w:t>)</w:t>
      </w:r>
      <w:r w:rsidRPr="00FA1528">
        <w:rPr>
          <w:sz w:val="16"/>
          <w:szCs w:val="16"/>
        </w:rPr>
        <w:t xml:space="preserve">. </w:t>
      </w:r>
    </w:p>
    <w:p w:rsidR="00844B1F" w:rsidRPr="00FA1528" w:rsidRDefault="00844B1F" w:rsidP="00844B1F">
      <w:pPr>
        <w:ind w:left="-907"/>
        <w:rPr>
          <w:b/>
          <w:lang w:val="en-AU"/>
        </w:rPr>
      </w:pPr>
      <w:r w:rsidRPr="00FA1528">
        <w:rPr>
          <w:sz w:val="16"/>
          <w:szCs w:val="16"/>
        </w:rPr>
        <w:t>Respiratory investigations, including a CXR, HRCT and potentially a V/Q scan, are indicated in the following situations: FVC&lt;85% predicted, reduced exercise tolerance, declining six minute walk distance, and /or fine crepitation noted on respiratory examination.</w:t>
      </w:r>
    </w:p>
    <w:p w:rsidR="00844B1F" w:rsidRPr="00FA1528" w:rsidRDefault="00844B1F" w:rsidP="00844B1F">
      <w:pPr>
        <w:widowControl w:val="0"/>
        <w:tabs>
          <w:tab w:val="left" w:pos="220"/>
          <w:tab w:val="left" w:pos="720"/>
        </w:tabs>
        <w:autoSpaceDE w:val="0"/>
        <w:autoSpaceDN w:val="0"/>
        <w:adjustRightInd w:val="0"/>
        <w:spacing w:line="360" w:lineRule="auto"/>
        <w:jc w:val="both"/>
        <w:rPr>
          <w:sz w:val="22"/>
          <w:szCs w:val="22"/>
        </w:rPr>
      </w:pPr>
    </w:p>
    <w:p w:rsidR="00E80C92" w:rsidRPr="008B203B" w:rsidRDefault="008B203B" w:rsidP="008B203B">
      <w:pPr>
        <w:pStyle w:val="ListParagraph"/>
        <w:widowControl w:val="0"/>
        <w:numPr>
          <w:ilvl w:val="0"/>
          <w:numId w:val="18"/>
        </w:numPr>
        <w:autoSpaceDE w:val="0"/>
        <w:autoSpaceDN w:val="0"/>
        <w:adjustRightInd w:val="0"/>
        <w:spacing w:line="360" w:lineRule="auto"/>
        <w:ind w:left="284"/>
        <w:jc w:val="both"/>
        <w:rPr>
          <w:b/>
          <w:szCs w:val="22"/>
        </w:rPr>
      </w:pPr>
      <w:r w:rsidRPr="008B203B">
        <w:rPr>
          <w:b/>
          <w:szCs w:val="22"/>
        </w:rPr>
        <w:t xml:space="preserve">USE OF PAH THERAPY BY PATIENTS WITH SSc-RELATED PAH </w:t>
      </w:r>
    </w:p>
    <w:p w:rsidR="008B203B" w:rsidRDefault="008B203B" w:rsidP="00E80C92">
      <w:pPr>
        <w:widowControl w:val="0"/>
        <w:autoSpaceDE w:val="0"/>
        <w:autoSpaceDN w:val="0"/>
        <w:adjustRightInd w:val="0"/>
        <w:spacing w:line="360" w:lineRule="auto"/>
        <w:jc w:val="both"/>
        <w:rPr>
          <w:b/>
          <w:szCs w:val="22"/>
        </w:rPr>
      </w:pPr>
    </w:p>
    <w:p w:rsidR="008B203B" w:rsidRDefault="008B203B" w:rsidP="00E80C92">
      <w:pPr>
        <w:widowControl w:val="0"/>
        <w:autoSpaceDE w:val="0"/>
        <w:autoSpaceDN w:val="0"/>
        <w:adjustRightInd w:val="0"/>
        <w:spacing w:line="360" w:lineRule="auto"/>
        <w:jc w:val="both"/>
        <w:rPr>
          <w:b/>
          <w:szCs w:val="22"/>
        </w:rPr>
      </w:pPr>
      <w:r>
        <w:rPr>
          <w:b/>
          <w:szCs w:val="22"/>
        </w:rPr>
        <w:t>METHODS:</w:t>
      </w:r>
    </w:p>
    <w:p w:rsidR="00E80C92" w:rsidRPr="009822C8" w:rsidRDefault="00E80C92" w:rsidP="00E80C92">
      <w:pPr>
        <w:widowControl w:val="0"/>
        <w:autoSpaceDE w:val="0"/>
        <w:autoSpaceDN w:val="0"/>
        <w:adjustRightInd w:val="0"/>
        <w:spacing w:line="360" w:lineRule="auto"/>
        <w:jc w:val="both"/>
        <w:rPr>
          <w:b/>
        </w:rPr>
      </w:pPr>
      <w:r w:rsidRPr="009822C8">
        <w:rPr>
          <w:b/>
        </w:rPr>
        <w:t>Patients</w:t>
      </w:r>
    </w:p>
    <w:p w:rsidR="00D10E22" w:rsidRPr="009822C8" w:rsidRDefault="00E80C92" w:rsidP="00E80C92">
      <w:pPr>
        <w:widowControl w:val="0"/>
        <w:autoSpaceDE w:val="0"/>
        <w:autoSpaceDN w:val="0"/>
        <w:adjustRightInd w:val="0"/>
        <w:spacing w:line="360" w:lineRule="auto"/>
        <w:jc w:val="both"/>
      </w:pPr>
      <w:r w:rsidRPr="009822C8">
        <w:t xml:space="preserve">Patients </w:t>
      </w:r>
      <w:r w:rsidR="001D6A81" w:rsidRPr="009822C8">
        <w:t>diagnosed with PH in</w:t>
      </w:r>
      <w:r w:rsidRPr="009822C8">
        <w:t xml:space="preserve"> the </w:t>
      </w:r>
      <w:r w:rsidR="001D6A81" w:rsidRPr="009822C8">
        <w:t xml:space="preserve">ASCS were eligible for this </w:t>
      </w:r>
      <w:r w:rsidR="000B1B47">
        <w:t xml:space="preserve">cross-sectional </w:t>
      </w:r>
      <w:r w:rsidR="001D6A81" w:rsidRPr="009822C8">
        <w:t>analysis.</w:t>
      </w:r>
      <w:r w:rsidRPr="009822C8">
        <w:t xml:space="preserve"> This registry recruits consecutive prevalent and incident patients with SSc, and records clinical data annually. </w:t>
      </w:r>
      <w:r w:rsidR="00D10E22" w:rsidRPr="009822C8">
        <w:t xml:space="preserve">Comprehensive demographic and disease-related data, patient reported outcomes (PROs) by questionnaire and the results of investigations are recorded in a single secured web-based online database. Each of the 15 centres has the approval of their local ethics committee, according to local regulations. </w:t>
      </w:r>
      <w:r w:rsidRPr="009822C8">
        <w:t xml:space="preserve">Patients provided written informed consent at recruitment for collection of de-identified data. </w:t>
      </w:r>
    </w:p>
    <w:p w:rsidR="00D10E22" w:rsidRPr="009822C8" w:rsidRDefault="00D10E22" w:rsidP="00E80C92">
      <w:pPr>
        <w:widowControl w:val="0"/>
        <w:autoSpaceDE w:val="0"/>
        <w:autoSpaceDN w:val="0"/>
        <w:adjustRightInd w:val="0"/>
        <w:spacing w:line="360" w:lineRule="auto"/>
        <w:jc w:val="both"/>
      </w:pPr>
    </w:p>
    <w:p w:rsidR="00E80C92" w:rsidRPr="009822C8" w:rsidRDefault="00E80C92" w:rsidP="00E80C92">
      <w:pPr>
        <w:widowControl w:val="0"/>
        <w:autoSpaceDE w:val="0"/>
        <w:autoSpaceDN w:val="0"/>
        <w:adjustRightInd w:val="0"/>
        <w:spacing w:line="360" w:lineRule="auto"/>
        <w:jc w:val="both"/>
      </w:pPr>
      <w:r w:rsidRPr="009822C8">
        <w:t xml:space="preserve">Inclusion criteria for this analysis were: 1. </w:t>
      </w:r>
      <w:r w:rsidR="00D10E22" w:rsidRPr="009822C8">
        <w:t>p</w:t>
      </w:r>
      <w:r w:rsidRPr="009822C8">
        <w:t>atients with SSc</w:t>
      </w:r>
      <w:r w:rsidR="00D10E22" w:rsidRPr="009822C8">
        <w:t xml:space="preserve"> </w:t>
      </w:r>
      <w:r w:rsidRPr="009822C8">
        <w:t xml:space="preserve">according to ACR/EULAR criteria </w:t>
      </w:r>
      <w:r w:rsidR="00D75D62">
        <w:rPr>
          <w:noProof/>
        </w:rPr>
        <w:t>(24)</w:t>
      </w:r>
      <w:r w:rsidRPr="009822C8">
        <w:t xml:space="preserve"> or Leroy/Medsger criteria </w:t>
      </w:r>
      <w:r w:rsidR="00D75D62">
        <w:rPr>
          <w:noProof/>
        </w:rPr>
        <w:t>(25)</w:t>
      </w:r>
      <w:r w:rsidRPr="009822C8">
        <w:t xml:space="preserve"> and patients with </w:t>
      </w:r>
      <w:r w:rsidR="0007667B">
        <w:t>MCTD</w:t>
      </w:r>
      <w:r w:rsidRPr="009822C8">
        <w:t xml:space="preserve"> as originally described by Sharp et al. </w:t>
      </w:r>
      <w:r w:rsidR="00D75D62">
        <w:rPr>
          <w:noProof/>
        </w:rPr>
        <w:t>(26)</w:t>
      </w:r>
      <w:r w:rsidRPr="009822C8">
        <w:t xml:space="preserve">; 2. </w:t>
      </w:r>
      <w:r w:rsidR="00CC6063" w:rsidRPr="009822C8">
        <w:t>P</w:t>
      </w:r>
      <w:r w:rsidRPr="009822C8">
        <w:t xml:space="preserve">H confirmed on RHC with mean PAP </w:t>
      </w:r>
      <w:r w:rsidRPr="009822C8">
        <w:sym w:font="Symbol" w:char="F0B3"/>
      </w:r>
      <w:r w:rsidRPr="009822C8">
        <w:t xml:space="preserve"> 25mmHg</w:t>
      </w:r>
      <w:r w:rsidR="00CC6063" w:rsidRPr="009822C8">
        <w:t xml:space="preserve">; </w:t>
      </w:r>
      <w:r w:rsidRPr="009822C8">
        <w:t xml:space="preserve">3. </w:t>
      </w:r>
      <w:r w:rsidR="00D10E22" w:rsidRPr="009822C8">
        <w:t>p</w:t>
      </w:r>
      <w:r w:rsidRPr="009822C8">
        <w:t>atients who were alive between July 2016 and June 2017.</w:t>
      </w:r>
    </w:p>
    <w:p w:rsidR="00E80C92" w:rsidRPr="009822C8" w:rsidRDefault="00E80C92" w:rsidP="00E80C92">
      <w:pPr>
        <w:widowControl w:val="0"/>
        <w:autoSpaceDE w:val="0"/>
        <w:autoSpaceDN w:val="0"/>
        <w:adjustRightInd w:val="0"/>
        <w:spacing w:line="360" w:lineRule="auto"/>
        <w:jc w:val="both"/>
      </w:pPr>
    </w:p>
    <w:p w:rsidR="00E80C92" w:rsidRPr="009822C8" w:rsidRDefault="00E80C92" w:rsidP="00E80C92">
      <w:pPr>
        <w:widowControl w:val="0"/>
        <w:autoSpaceDE w:val="0"/>
        <w:autoSpaceDN w:val="0"/>
        <w:adjustRightInd w:val="0"/>
        <w:spacing w:line="360" w:lineRule="auto"/>
        <w:jc w:val="both"/>
        <w:rPr>
          <w:b/>
        </w:rPr>
      </w:pPr>
      <w:r w:rsidRPr="009822C8">
        <w:rPr>
          <w:b/>
        </w:rPr>
        <w:t>Data collection</w:t>
      </w:r>
    </w:p>
    <w:p w:rsidR="00E80C92" w:rsidRPr="009822C8" w:rsidRDefault="00E80C92" w:rsidP="00E80C92">
      <w:pPr>
        <w:widowControl w:val="0"/>
        <w:autoSpaceDE w:val="0"/>
        <w:autoSpaceDN w:val="0"/>
        <w:adjustRightInd w:val="0"/>
        <w:spacing w:line="360" w:lineRule="auto"/>
        <w:jc w:val="both"/>
      </w:pPr>
      <w:r w:rsidRPr="009822C8">
        <w:t>The index visit was defined as the last visit between June 2016 and Dec 2017. Not all tests were done on the same date as the index visit. For patients with multiple tests within the above date range, the last test was used.</w:t>
      </w:r>
    </w:p>
    <w:p w:rsidR="00E80C92" w:rsidRPr="009822C8" w:rsidRDefault="00E80C92" w:rsidP="00E80C92">
      <w:pPr>
        <w:widowControl w:val="0"/>
        <w:autoSpaceDE w:val="0"/>
        <w:autoSpaceDN w:val="0"/>
        <w:adjustRightInd w:val="0"/>
        <w:spacing w:line="360" w:lineRule="auto"/>
        <w:jc w:val="both"/>
      </w:pPr>
    </w:p>
    <w:p w:rsidR="00CC6063" w:rsidRPr="009822C8" w:rsidRDefault="00CC6063" w:rsidP="00E80C92">
      <w:pPr>
        <w:widowControl w:val="0"/>
        <w:autoSpaceDE w:val="0"/>
        <w:autoSpaceDN w:val="0"/>
        <w:adjustRightInd w:val="0"/>
        <w:spacing w:line="360" w:lineRule="auto"/>
        <w:jc w:val="both"/>
      </w:pPr>
      <w:r w:rsidRPr="009822C8">
        <w:t>The WHO group of PH was determined according to the physician’s judgement following RHC. Group 1 (PAH) included patients with PAWP &lt; 18mmHg as eligibility for PBS-funded PAH initially included these patients. Group 2 (left heart disease) was defined as PAWP</w:t>
      </w:r>
      <w:r w:rsidR="00A05ED3" w:rsidRPr="009822C8">
        <w:t xml:space="preserve"> </w:t>
      </w:r>
      <w:r w:rsidRPr="009822C8">
        <w:t>&gt;</w:t>
      </w:r>
      <w:r w:rsidR="00A05ED3" w:rsidRPr="009822C8">
        <w:t xml:space="preserve"> </w:t>
      </w:r>
      <w:r w:rsidRPr="009822C8">
        <w:t>18mmHg or elevated mPAP with transpulmonary gradient</w:t>
      </w:r>
      <w:r w:rsidR="00A05ED3" w:rsidRPr="009822C8">
        <w:t xml:space="preserve"> </w:t>
      </w:r>
      <w:r w:rsidRPr="009822C8">
        <w:t>&lt;</w:t>
      </w:r>
      <w:r w:rsidR="00A05ED3" w:rsidRPr="009822C8">
        <w:t xml:space="preserve"> </w:t>
      </w:r>
      <w:r w:rsidRPr="009822C8">
        <w:t xml:space="preserve">12 mmHg. Group 3 was defined as PH with moderate to severe </w:t>
      </w:r>
      <w:r w:rsidR="00A05ED3" w:rsidRPr="009822C8">
        <w:t>ILD</w:t>
      </w:r>
      <w:r w:rsidRPr="009822C8">
        <w:t xml:space="preserve"> based on extent of disease on high resolution CT </w:t>
      </w:r>
      <w:r w:rsidR="00A05ED3" w:rsidRPr="009822C8">
        <w:t xml:space="preserve">(HRCT) chest scan </w:t>
      </w:r>
      <w:r w:rsidRPr="009822C8">
        <w:t>with forced vital capacity on pulmonary function tests of &lt;70% predicted. Group 4, chronic thromboembolic PH (CTEPH) was based on evidence of widespread mismatched defects on ventilation:perfusion scan and/or pulmonary angiogram.</w:t>
      </w:r>
    </w:p>
    <w:p w:rsidR="00CC6063" w:rsidRPr="009822C8" w:rsidRDefault="00CC6063" w:rsidP="00E80C92">
      <w:pPr>
        <w:widowControl w:val="0"/>
        <w:autoSpaceDE w:val="0"/>
        <w:autoSpaceDN w:val="0"/>
        <w:adjustRightInd w:val="0"/>
        <w:spacing w:line="360" w:lineRule="auto"/>
        <w:jc w:val="both"/>
      </w:pPr>
    </w:p>
    <w:p w:rsidR="00E80C92" w:rsidRPr="009822C8" w:rsidRDefault="00E80C92" w:rsidP="00E80C92">
      <w:pPr>
        <w:widowControl w:val="0"/>
        <w:autoSpaceDE w:val="0"/>
        <w:autoSpaceDN w:val="0"/>
        <w:adjustRightInd w:val="0"/>
        <w:spacing w:line="360" w:lineRule="auto"/>
        <w:jc w:val="both"/>
      </w:pPr>
      <w:r w:rsidRPr="009822C8">
        <w:t>PAH duration was defined as the time elapsed from the first RHC with PAH until December 2017 rather than the date of index visit because some patients had their PAH RHC done after their index visit.</w:t>
      </w:r>
    </w:p>
    <w:p w:rsidR="00E80C92" w:rsidRPr="009822C8" w:rsidRDefault="00E80C92" w:rsidP="00E80C92">
      <w:pPr>
        <w:widowControl w:val="0"/>
        <w:autoSpaceDE w:val="0"/>
        <w:autoSpaceDN w:val="0"/>
        <w:adjustRightInd w:val="0"/>
        <w:spacing w:line="360" w:lineRule="auto"/>
        <w:jc w:val="both"/>
      </w:pPr>
    </w:p>
    <w:p w:rsidR="00D10E22" w:rsidRPr="009822C8" w:rsidRDefault="00E80C92" w:rsidP="00E80C92">
      <w:pPr>
        <w:widowControl w:val="0"/>
        <w:autoSpaceDE w:val="0"/>
        <w:autoSpaceDN w:val="0"/>
        <w:adjustRightInd w:val="0"/>
        <w:spacing w:line="360" w:lineRule="auto"/>
        <w:jc w:val="both"/>
      </w:pPr>
      <w:r w:rsidRPr="009822C8">
        <w:t xml:space="preserve">WHO functional class (FC) was assessed by the treating physician at the index visit.  FC at the index visit was missing for two patients so FC at the last visit was used. </w:t>
      </w:r>
    </w:p>
    <w:p w:rsidR="00D10E22" w:rsidRPr="009822C8" w:rsidRDefault="00D10E22" w:rsidP="00E80C92">
      <w:pPr>
        <w:widowControl w:val="0"/>
        <w:autoSpaceDE w:val="0"/>
        <w:autoSpaceDN w:val="0"/>
        <w:adjustRightInd w:val="0"/>
        <w:spacing w:line="360" w:lineRule="auto"/>
        <w:jc w:val="both"/>
      </w:pPr>
    </w:p>
    <w:p w:rsidR="00D10E22" w:rsidRPr="009822C8" w:rsidRDefault="00D10E22" w:rsidP="00D10E22">
      <w:pPr>
        <w:widowControl w:val="0"/>
        <w:autoSpaceDE w:val="0"/>
        <w:autoSpaceDN w:val="0"/>
        <w:adjustRightInd w:val="0"/>
        <w:spacing w:line="360" w:lineRule="auto"/>
        <w:jc w:val="both"/>
      </w:pPr>
      <w:r w:rsidRPr="009822C8">
        <w:t xml:space="preserve">Sex and age at time of index visit were determined. Disease subtype (lcSSc or dcSSc) was determined according to physician judgement. </w:t>
      </w:r>
      <w:r w:rsidR="00A05ED3" w:rsidRPr="009822C8">
        <w:t xml:space="preserve">PBS-reimbursed PAH drugs included: bosentan, ambrisentan, sitaxentan, macitentan, sildenafil, tadalafil, epoprostenolol, inhaled iloprost and riociguat. The only non-PBS reimbursed PAH therapy identified was selexipag. </w:t>
      </w:r>
      <w:r w:rsidRPr="009822C8">
        <w:t xml:space="preserve">Drugs </w:t>
      </w:r>
      <w:r w:rsidR="00CC6063" w:rsidRPr="009822C8">
        <w:t xml:space="preserve">and other </w:t>
      </w:r>
      <w:r w:rsidRPr="009822C8">
        <w:t xml:space="preserve">therapies </w:t>
      </w:r>
      <w:r w:rsidR="00CC6063" w:rsidRPr="009822C8">
        <w:t xml:space="preserve">were </w:t>
      </w:r>
      <w:r w:rsidRPr="009822C8">
        <w:t xml:space="preserve">recorded annually. </w:t>
      </w:r>
      <w:r w:rsidR="00A05ED3" w:rsidRPr="009822C8">
        <w:t>Six minute walk tests (6MWT) and TTE were recorded annually.</w:t>
      </w:r>
    </w:p>
    <w:p w:rsidR="00CC6063" w:rsidRPr="009822C8" w:rsidRDefault="00CC6063" w:rsidP="00CC6063">
      <w:pPr>
        <w:widowControl w:val="0"/>
        <w:autoSpaceDE w:val="0"/>
        <w:autoSpaceDN w:val="0"/>
        <w:adjustRightInd w:val="0"/>
        <w:spacing w:line="360" w:lineRule="auto"/>
        <w:jc w:val="both"/>
      </w:pPr>
    </w:p>
    <w:p w:rsidR="00E80C92" w:rsidRPr="009822C8" w:rsidRDefault="00E80C92" w:rsidP="00D10E22">
      <w:pPr>
        <w:widowControl w:val="0"/>
        <w:autoSpaceDE w:val="0"/>
        <w:autoSpaceDN w:val="0"/>
        <w:adjustRightInd w:val="0"/>
        <w:spacing w:line="360" w:lineRule="auto"/>
        <w:jc w:val="both"/>
      </w:pPr>
      <w:r w:rsidRPr="009822C8">
        <w:t xml:space="preserve">Disease-manifestations were defined as present if they were evident at any time before the index visit. </w:t>
      </w:r>
      <w:r w:rsidR="00D10E22" w:rsidRPr="009822C8">
        <w:t xml:space="preserve">These included digital ulcers, digital amputation, synovitis and myositis based on proximal weakness and raised creatine kinase, electromyographic or biopsy evidence of myositis. A diagnosis of </w:t>
      </w:r>
      <w:r w:rsidR="00A05ED3" w:rsidRPr="009822C8">
        <w:t>ILD</w:t>
      </w:r>
      <w:r w:rsidR="00D10E22" w:rsidRPr="009822C8">
        <w:t xml:space="preserve"> was based on characteristic changes </w:t>
      </w:r>
      <w:r w:rsidR="00A05ED3" w:rsidRPr="009822C8">
        <w:t>on HRCT</w:t>
      </w:r>
      <w:r w:rsidR="00FA22C3">
        <w:t xml:space="preserve"> </w:t>
      </w:r>
      <w:r w:rsidR="00D10E22" w:rsidRPr="009822C8">
        <w:t xml:space="preserve">chest where available. Physician’s best judgment was used for defining scleroderma renal crisis (SRC). Gastrointestinal features included reflux requiring treatment with proton pump inhibitor, symptoms and/or radiographic evidence of oesophageal stricture, and </w:t>
      </w:r>
      <w:r w:rsidR="00845D8A" w:rsidRPr="009822C8">
        <w:t>faecal</w:t>
      </w:r>
      <w:r w:rsidR="00D10E22" w:rsidRPr="009822C8">
        <w:t xml:space="preserve"> incontinence not due to other causes. Gastric antral vascular ectasia (GAVE) was defined by endoscopy. Information about treatment with corticosteroids, immunosuppressive therapy, invasive hyperalimentation and </w:t>
      </w:r>
      <w:r w:rsidR="00A05ED3" w:rsidRPr="009822C8">
        <w:t>other co-morbidities such as cardiovascular disease, diabetes and chronic obstructive airways disease (COAD) were also recorded.</w:t>
      </w:r>
    </w:p>
    <w:p w:rsidR="000D0234" w:rsidRPr="009822C8" w:rsidRDefault="000D0234" w:rsidP="00D10E22">
      <w:pPr>
        <w:widowControl w:val="0"/>
        <w:autoSpaceDE w:val="0"/>
        <w:autoSpaceDN w:val="0"/>
        <w:adjustRightInd w:val="0"/>
        <w:spacing w:line="360" w:lineRule="auto"/>
        <w:jc w:val="both"/>
      </w:pPr>
    </w:p>
    <w:p w:rsidR="000D0234" w:rsidRPr="009822C8" w:rsidRDefault="000D0234" w:rsidP="00D10E22">
      <w:pPr>
        <w:widowControl w:val="0"/>
        <w:autoSpaceDE w:val="0"/>
        <w:autoSpaceDN w:val="0"/>
        <w:adjustRightInd w:val="0"/>
        <w:spacing w:line="360" w:lineRule="auto"/>
        <w:jc w:val="both"/>
      </w:pPr>
      <w:r w:rsidRPr="00241953">
        <w:t>Hospitalisation in the 12 months before therapy was commenced and before the index visit was recorded.</w:t>
      </w:r>
    </w:p>
    <w:p w:rsidR="00A6513D" w:rsidRPr="009822C8" w:rsidRDefault="00A6513D" w:rsidP="00A6513D">
      <w:pPr>
        <w:widowControl w:val="0"/>
        <w:autoSpaceDE w:val="0"/>
        <w:autoSpaceDN w:val="0"/>
        <w:adjustRightInd w:val="0"/>
        <w:spacing w:line="360" w:lineRule="auto"/>
        <w:jc w:val="both"/>
      </w:pPr>
    </w:p>
    <w:p w:rsidR="009310DA" w:rsidRPr="009822C8" w:rsidRDefault="009310DA" w:rsidP="00A6513D">
      <w:pPr>
        <w:widowControl w:val="0"/>
        <w:autoSpaceDE w:val="0"/>
        <w:autoSpaceDN w:val="0"/>
        <w:adjustRightInd w:val="0"/>
        <w:spacing w:line="360" w:lineRule="auto"/>
        <w:jc w:val="both"/>
        <w:rPr>
          <w:b/>
        </w:rPr>
      </w:pPr>
      <w:r w:rsidRPr="009822C8">
        <w:rPr>
          <w:b/>
        </w:rPr>
        <w:t>Statistical analysis:</w:t>
      </w:r>
    </w:p>
    <w:p w:rsidR="00AD1F5E" w:rsidRPr="009822C8" w:rsidRDefault="00A6513D" w:rsidP="00A6513D">
      <w:pPr>
        <w:widowControl w:val="0"/>
        <w:autoSpaceDE w:val="0"/>
        <w:autoSpaceDN w:val="0"/>
        <w:adjustRightInd w:val="0"/>
        <w:spacing w:line="360" w:lineRule="auto"/>
        <w:jc w:val="both"/>
      </w:pPr>
      <w:r w:rsidRPr="009822C8">
        <w:t>Data for those patients for whom the variable was available are presented as numbers (percentages) for categorical variables, and mean ± standard deviation (SD) for continuous variables. Differences in frequencies of characteristics between functional class I/II and III/IV were compared using Chi-square test for categorical variables and independent samples t-test for continuous variables. A two-tailed p value ≤0.05 was used to indicate statistically significant differences. All statistical analyses were performed using STATA 14.2 (Statacorp, College Station, TX, USA).</w:t>
      </w:r>
    </w:p>
    <w:p w:rsidR="00AD1F5E" w:rsidRPr="009822C8" w:rsidRDefault="00AD1F5E" w:rsidP="00AD1F5E">
      <w:pPr>
        <w:widowControl w:val="0"/>
        <w:tabs>
          <w:tab w:val="left" w:pos="220"/>
          <w:tab w:val="left" w:pos="720"/>
        </w:tabs>
        <w:autoSpaceDE w:val="0"/>
        <w:autoSpaceDN w:val="0"/>
        <w:adjustRightInd w:val="0"/>
        <w:spacing w:line="360" w:lineRule="auto"/>
        <w:jc w:val="both"/>
        <w:rPr>
          <w:b/>
        </w:rPr>
      </w:pPr>
    </w:p>
    <w:p w:rsidR="00AD1F5E" w:rsidRPr="009822C8" w:rsidRDefault="00AD1F5E" w:rsidP="00AD1F5E">
      <w:pPr>
        <w:widowControl w:val="0"/>
        <w:tabs>
          <w:tab w:val="left" w:pos="220"/>
          <w:tab w:val="left" w:pos="720"/>
        </w:tabs>
        <w:autoSpaceDE w:val="0"/>
        <w:autoSpaceDN w:val="0"/>
        <w:adjustRightInd w:val="0"/>
        <w:spacing w:line="360" w:lineRule="auto"/>
        <w:jc w:val="both"/>
        <w:rPr>
          <w:b/>
        </w:rPr>
      </w:pPr>
    </w:p>
    <w:p w:rsidR="00AD1F5E" w:rsidRPr="009822C8" w:rsidRDefault="00AD1F5E" w:rsidP="008B203B">
      <w:pPr>
        <w:widowControl w:val="0"/>
        <w:tabs>
          <w:tab w:val="left" w:pos="220"/>
          <w:tab w:val="left" w:pos="720"/>
        </w:tabs>
        <w:autoSpaceDE w:val="0"/>
        <w:autoSpaceDN w:val="0"/>
        <w:adjustRightInd w:val="0"/>
        <w:spacing w:line="360" w:lineRule="auto"/>
        <w:jc w:val="both"/>
        <w:rPr>
          <w:b/>
        </w:rPr>
      </w:pPr>
      <w:r w:rsidRPr="009822C8">
        <w:rPr>
          <w:b/>
        </w:rPr>
        <w:t>RESULTS</w:t>
      </w:r>
    </w:p>
    <w:p w:rsidR="007B3046" w:rsidRDefault="007B3046" w:rsidP="00A6513D">
      <w:pPr>
        <w:widowControl w:val="0"/>
        <w:tabs>
          <w:tab w:val="left" w:pos="220"/>
          <w:tab w:val="left" w:pos="720"/>
        </w:tabs>
        <w:autoSpaceDE w:val="0"/>
        <w:autoSpaceDN w:val="0"/>
        <w:adjustRightInd w:val="0"/>
        <w:spacing w:line="360" w:lineRule="auto"/>
        <w:jc w:val="both"/>
      </w:pPr>
      <w:r>
        <w:t xml:space="preserve">Since its inception in 2007, 209 patients </w:t>
      </w:r>
      <w:r w:rsidR="00A770BD" w:rsidRPr="009822C8">
        <w:t xml:space="preserve">with SSc or MCTD </w:t>
      </w:r>
      <w:r w:rsidR="00A770BD">
        <w:t>and</w:t>
      </w:r>
      <w:r>
        <w:t xml:space="preserve"> RHC-defined PAH have been enrolled in the ASCS, of whom 32 were diagnosed before enrolment. In addition, 10 patients with exercise-induced PAH, 19 with PH due to left heart disease, 6 due to ILD and none due to CTEPH have also been identified.</w:t>
      </w:r>
    </w:p>
    <w:p w:rsidR="007B3046" w:rsidRDefault="007B3046" w:rsidP="00A6513D">
      <w:pPr>
        <w:widowControl w:val="0"/>
        <w:tabs>
          <w:tab w:val="left" w:pos="220"/>
          <w:tab w:val="left" w:pos="720"/>
        </w:tabs>
        <w:autoSpaceDE w:val="0"/>
        <w:autoSpaceDN w:val="0"/>
        <w:adjustRightInd w:val="0"/>
        <w:spacing w:line="360" w:lineRule="auto"/>
        <w:jc w:val="both"/>
      </w:pPr>
    </w:p>
    <w:p w:rsidR="00A6513D" w:rsidRPr="009822C8" w:rsidRDefault="00A05ED3" w:rsidP="00A6513D">
      <w:pPr>
        <w:widowControl w:val="0"/>
        <w:tabs>
          <w:tab w:val="left" w:pos="220"/>
          <w:tab w:val="left" w:pos="720"/>
        </w:tabs>
        <w:autoSpaceDE w:val="0"/>
        <w:autoSpaceDN w:val="0"/>
        <w:adjustRightInd w:val="0"/>
        <w:spacing w:line="360" w:lineRule="auto"/>
        <w:jc w:val="both"/>
      </w:pPr>
      <w:r w:rsidRPr="009822C8">
        <w:t xml:space="preserve">The total number of patients with any form of PH with an index visit between June 2016 and December 2017 was 116 (Table 1). The majority of these had PAH (104), </w:t>
      </w:r>
      <w:r w:rsidR="00FA22C3">
        <w:t>t</w:t>
      </w:r>
      <w:r w:rsidRPr="009822C8">
        <w:t>en had PH due to left heart disease</w:t>
      </w:r>
      <w:r w:rsidR="00A770BD">
        <w:t xml:space="preserve"> and</w:t>
      </w:r>
      <w:r w:rsidRPr="009822C8">
        <w:t xml:space="preserve"> 2 had PH due to ILD. All the patients with PAH were receiving PAH </w:t>
      </w:r>
      <w:r w:rsidR="007B3046">
        <w:t xml:space="preserve">vasodilator </w:t>
      </w:r>
      <w:r w:rsidRPr="009822C8">
        <w:t>therapy at the index visit as were two of the patients with PH due to left heart disease.</w:t>
      </w:r>
    </w:p>
    <w:p w:rsidR="00A05ED3" w:rsidRPr="00A05ED3" w:rsidRDefault="00A05ED3" w:rsidP="00A6513D">
      <w:pPr>
        <w:widowControl w:val="0"/>
        <w:tabs>
          <w:tab w:val="left" w:pos="220"/>
          <w:tab w:val="left" w:pos="720"/>
        </w:tabs>
        <w:autoSpaceDE w:val="0"/>
        <w:autoSpaceDN w:val="0"/>
        <w:adjustRightInd w:val="0"/>
        <w:spacing w:line="360" w:lineRule="auto"/>
        <w:jc w:val="both"/>
        <w:rPr>
          <w:sz w:val="22"/>
          <w:szCs w:val="22"/>
        </w:rPr>
      </w:pPr>
    </w:p>
    <w:p w:rsidR="008E2322" w:rsidRDefault="008E2322" w:rsidP="008E2322">
      <w:pPr>
        <w:widowControl w:val="0"/>
        <w:tabs>
          <w:tab w:val="left" w:pos="220"/>
          <w:tab w:val="left" w:pos="720"/>
        </w:tabs>
        <w:autoSpaceDE w:val="0"/>
        <w:autoSpaceDN w:val="0"/>
        <w:adjustRightInd w:val="0"/>
        <w:spacing w:line="360" w:lineRule="auto"/>
        <w:jc w:val="both"/>
      </w:pPr>
      <w:r>
        <w:t>A</w:t>
      </w:r>
      <w:r w:rsidRPr="00E90066">
        <w:t>t the time of diagnosis/first visit where PAH drugs were given</w:t>
      </w:r>
      <w:r>
        <w:t xml:space="preserve">, </w:t>
      </w:r>
      <w:r w:rsidRPr="00E90066">
        <w:t xml:space="preserve">80 (76.9%) </w:t>
      </w:r>
      <w:r>
        <w:t xml:space="preserve">of the 104 patients, </w:t>
      </w:r>
      <w:r w:rsidRPr="00E90066">
        <w:t>were classified as functional class III and</w:t>
      </w:r>
      <w:r>
        <w:t xml:space="preserve"> 11 (10.6%) were classified as functional class IV (Appendix I). There were 13 patients (12.5%) missing data for functional class at this time because the database captures data based on annual visits. Some patients were diagnosed between visits, so functional class was not recorded at the time of diagnosis. </w:t>
      </w:r>
    </w:p>
    <w:p w:rsidR="00572219" w:rsidRDefault="00572219">
      <w:pPr>
        <w:rPr>
          <w:rFonts w:eastAsia="Times New Roman"/>
          <w:b/>
          <w:bCs/>
          <w:color w:val="000000"/>
        </w:rPr>
      </w:pPr>
      <w:r>
        <w:rPr>
          <w:rFonts w:eastAsia="Times New Roman"/>
          <w:b/>
          <w:bCs/>
          <w:color w:val="000000"/>
        </w:rPr>
        <w:br w:type="page"/>
      </w:r>
    </w:p>
    <w:p w:rsidR="00A6513D" w:rsidRPr="006D4734" w:rsidRDefault="00A6513D" w:rsidP="00906B64">
      <w:pPr>
        <w:ind w:right="-858"/>
        <w:rPr>
          <w:rFonts w:eastAsia="Times New Roman"/>
          <w:b/>
          <w:bCs/>
          <w:color w:val="000000"/>
        </w:rPr>
      </w:pPr>
      <w:r w:rsidRPr="00A6513D">
        <w:rPr>
          <w:rFonts w:eastAsia="Times New Roman"/>
          <w:b/>
          <w:bCs/>
          <w:color w:val="000000"/>
        </w:rPr>
        <w:t xml:space="preserve">Table 1: ASIG patients </w:t>
      </w:r>
      <w:r w:rsidR="00903466">
        <w:rPr>
          <w:rFonts w:eastAsia="Times New Roman"/>
          <w:b/>
          <w:bCs/>
          <w:color w:val="000000"/>
        </w:rPr>
        <w:t xml:space="preserve">with SSc or MCTD </w:t>
      </w:r>
      <w:r w:rsidRPr="00A6513D">
        <w:rPr>
          <w:rFonts w:eastAsia="Times New Roman"/>
          <w:b/>
          <w:bCs/>
          <w:color w:val="000000"/>
        </w:rPr>
        <w:t xml:space="preserve">with any form of pulmonary hypertension </w:t>
      </w:r>
      <w:r w:rsidR="00C11398">
        <w:rPr>
          <w:rFonts w:eastAsia="Times New Roman"/>
          <w:b/>
          <w:bCs/>
          <w:color w:val="000000"/>
        </w:rPr>
        <w:t xml:space="preserve">with an index visit June </w:t>
      </w:r>
      <w:r w:rsidR="00022227">
        <w:rPr>
          <w:rFonts w:eastAsia="Times New Roman"/>
          <w:b/>
          <w:bCs/>
          <w:color w:val="000000"/>
        </w:rPr>
        <w:t>20</w:t>
      </w:r>
      <w:r w:rsidR="00C11398">
        <w:rPr>
          <w:rFonts w:eastAsia="Times New Roman"/>
          <w:b/>
          <w:bCs/>
          <w:color w:val="000000"/>
        </w:rPr>
        <w:t xml:space="preserve">16 </w:t>
      </w:r>
      <w:r w:rsidR="00022227">
        <w:rPr>
          <w:rFonts w:eastAsia="Times New Roman"/>
          <w:b/>
          <w:bCs/>
          <w:color w:val="000000"/>
        </w:rPr>
        <w:t>to</w:t>
      </w:r>
      <w:r w:rsidR="00C11398">
        <w:rPr>
          <w:rFonts w:eastAsia="Times New Roman"/>
          <w:b/>
          <w:bCs/>
          <w:color w:val="000000"/>
        </w:rPr>
        <w:t xml:space="preserve"> Dec</w:t>
      </w:r>
      <w:r w:rsidR="00022227">
        <w:rPr>
          <w:rFonts w:eastAsia="Times New Roman"/>
          <w:b/>
          <w:bCs/>
          <w:color w:val="000000"/>
        </w:rPr>
        <w:t>ember</w:t>
      </w:r>
      <w:r w:rsidR="00C11398">
        <w:rPr>
          <w:rFonts w:eastAsia="Times New Roman"/>
          <w:b/>
          <w:bCs/>
          <w:color w:val="000000"/>
        </w:rPr>
        <w:t xml:space="preserve"> </w:t>
      </w:r>
      <w:r w:rsidR="00022227">
        <w:rPr>
          <w:rFonts w:eastAsia="Times New Roman"/>
          <w:b/>
          <w:bCs/>
          <w:color w:val="000000"/>
        </w:rPr>
        <w:t>20</w:t>
      </w:r>
      <w:r w:rsidR="00C11398">
        <w:rPr>
          <w:rFonts w:eastAsia="Times New Roman"/>
          <w:b/>
          <w:bCs/>
          <w:color w:val="000000"/>
        </w:rPr>
        <w:t>17</w:t>
      </w:r>
    </w:p>
    <w:p w:rsidR="00A6513D" w:rsidRPr="006D4734" w:rsidRDefault="00A6513D" w:rsidP="00A6513D">
      <w:pPr>
        <w:widowControl w:val="0"/>
        <w:tabs>
          <w:tab w:val="left" w:pos="220"/>
          <w:tab w:val="left" w:pos="720"/>
        </w:tabs>
        <w:autoSpaceDE w:val="0"/>
        <w:autoSpaceDN w:val="0"/>
        <w:adjustRightInd w:val="0"/>
        <w:spacing w:line="360" w:lineRule="auto"/>
        <w:jc w:val="both"/>
        <w:rPr>
          <w:b/>
          <w:sz w:val="22"/>
          <w:szCs w:val="22"/>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220"/>
        <w:gridCol w:w="3147"/>
        <w:gridCol w:w="1701"/>
      </w:tblGrid>
      <w:tr w:rsidR="00B251E5" w:rsidRPr="006D4734" w:rsidTr="00B251E5">
        <w:trPr>
          <w:trHeight w:val="794"/>
        </w:trPr>
        <w:tc>
          <w:tcPr>
            <w:tcW w:w="3280" w:type="dxa"/>
            <w:shd w:val="clear" w:color="000000" w:fill="E7E6E6"/>
            <w:noWrap/>
            <w:vAlign w:val="bottom"/>
            <w:hideMark/>
          </w:tcPr>
          <w:p w:rsidR="006D4734" w:rsidRPr="006D4734" w:rsidRDefault="006D4734" w:rsidP="006D4734">
            <w:pPr>
              <w:rPr>
                <w:rFonts w:eastAsia="Times New Roman"/>
                <w:b/>
                <w:bCs/>
                <w:color w:val="000000"/>
              </w:rPr>
            </w:pPr>
            <w:r w:rsidRPr="006D4734">
              <w:rPr>
                <w:rFonts w:eastAsia="Times New Roman"/>
                <w:b/>
                <w:bCs/>
                <w:color w:val="000000"/>
              </w:rPr>
              <w:t>WHO group</w:t>
            </w:r>
          </w:p>
        </w:tc>
        <w:tc>
          <w:tcPr>
            <w:tcW w:w="1220" w:type="dxa"/>
            <w:shd w:val="clear" w:color="000000" w:fill="E7E6E6"/>
            <w:vAlign w:val="bottom"/>
            <w:hideMark/>
          </w:tcPr>
          <w:p w:rsidR="006D4734" w:rsidRDefault="006D4734" w:rsidP="006D4734">
            <w:pPr>
              <w:jc w:val="center"/>
              <w:rPr>
                <w:rFonts w:eastAsia="Times New Roman"/>
                <w:b/>
                <w:bCs/>
                <w:color w:val="000000"/>
              </w:rPr>
            </w:pPr>
            <w:r w:rsidRPr="006D4734">
              <w:rPr>
                <w:rFonts w:eastAsia="Times New Roman"/>
                <w:b/>
                <w:bCs/>
                <w:color w:val="000000"/>
              </w:rPr>
              <w:t xml:space="preserve">No. of </w:t>
            </w:r>
            <w:r w:rsidRPr="006D4734">
              <w:rPr>
                <w:rFonts w:eastAsia="Times New Roman"/>
                <w:b/>
                <w:bCs/>
                <w:color w:val="000000"/>
              </w:rPr>
              <w:br/>
              <w:t>patients</w:t>
            </w:r>
          </w:p>
          <w:p w:rsidR="00903466" w:rsidRPr="006D4734" w:rsidRDefault="00903466" w:rsidP="006D4734">
            <w:pPr>
              <w:jc w:val="center"/>
              <w:rPr>
                <w:rFonts w:eastAsia="Times New Roman"/>
                <w:b/>
                <w:bCs/>
                <w:color w:val="000000"/>
              </w:rPr>
            </w:pPr>
            <w:r>
              <w:rPr>
                <w:rFonts w:eastAsia="Times New Roman"/>
                <w:b/>
                <w:bCs/>
                <w:color w:val="000000"/>
              </w:rPr>
              <w:t>n = 116</w:t>
            </w:r>
          </w:p>
        </w:tc>
        <w:tc>
          <w:tcPr>
            <w:tcW w:w="3147" w:type="dxa"/>
            <w:shd w:val="clear" w:color="000000" w:fill="E7E6E6"/>
            <w:vAlign w:val="bottom"/>
            <w:hideMark/>
          </w:tcPr>
          <w:p w:rsidR="006D4734" w:rsidRPr="006D4734" w:rsidRDefault="006D4734" w:rsidP="006D4734">
            <w:pPr>
              <w:jc w:val="center"/>
              <w:rPr>
                <w:rFonts w:eastAsia="Times New Roman"/>
                <w:b/>
                <w:bCs/>
                <w:color w:val="000000"/>
              </w:rPr>
            </w:pPr>
            <w:r w:rsidRPr="006D4734">
              <w:rPr>
                <w:rFonts w:eastAsia="Times New Roman"/>
                <w:b/>
                <w:bCs/>
                <w:color w:val="000000"/>
              </w:rPr>
              <w:t>Pati</w:t>
            </w:r>
            <w:r w:rsidR="006547F4">
              <w:rPr>
                <w:rFonts w:eastAsia="Times New Roman"/>
                <w:b/>
                <w:bCs/>
                <w:color w:val="000000"/>
              </w:rPr>
              <w:t>ents receiving any PAH therapy</w:t>
            </w:r>
            <w:r w:rsidR="00AE2601">
              <w:rPr>
                <w:rFonts w:eastAsia="Times New Roman"/>
                <w:b/>
                <w:bCs/>
                <w:color w:val="000000"/>
              </w:rPr>
              <w:t xml:space="preserve"> at index visit</w:t>
            </w:r>
            <w:r w:rsidR="00406A4E">
              <w:rPr>
                <w:rFonts w:eastAsia="Times New Roman"/>
                <w:b/>
                <w:bCs/>
                <w:color w:val="000000"/>
              </w:rPr>
              <w:t>*</w:t>
            </w:r>
            <w:r w:rsidR="006547F4">
              <w:rPr>
                <w:rFonts w:eastAsia="Times New Roman"/>
                <w:b/>
                <w:bCs/>
                <w:color w:val="000000"/>
              </w:rPr>
              <w:t xml:space="preserve"> </w:t>
            </w:r>
          </w:p>
          <w:p w:rsidR="006D4734" w:rsidRPr="006D4734" w:rsidRDefault="006D4734" w:rsidP="006D4734">
            <w:pPr>
              <w:jc w:val="center"/>
              <w:rPr>
                <w:rFonts w:eastAsia="Times New Roman"/>
                <w:b/>
                <w:bCs/>
                <w:color w:val="000000"/>
              </w:rPr>
            </w:pPr>
            <w:r w:rsidRPr="006D4734">
              <w:rPr>
                <w:rFonts w:eastAsia="Times New Roman"/>
                <w:b/>
                <w:bCs/>
                <w:color w:val="000000"/>
              </w:rPr>
              <w:t>n (%)</w:t>
            </w:r>
          </w:p>
        </w:tc>
        <w:tc>
          <w:tcPr>
            <w:tcW w:w="1701" w:type="dxa"/>
            <w:shd w:val="clear" w:color="000000" w:fill="E7E6E6"/>
            <w:vAlign w:val="bottom"/>
            <w:hideMark/>
          </w:tcPr>
          <w:p w:rsidR="006D4734" w:rsidRPr="006D4734" w:rsidRDefault="006D4734" w:rsidP="006D4734">
            <w:pPr>
              <w:jc w:val="center"/>
              <w:rPr>
                <w:rFonts w:eastAsia="Times New Roman"/>
                <w:b/>
                <w:bCs/>
                <w:color w:val="000000"/>
              </w:rPr>
            </w:pPr>
            <w:r w:rsidRPr="006D4734">
              <w:rPr>
                <w:rFonts w:eastAsia="Times New Roman"/>
                <w:b/>
                <w:bCs/>
                <w:color w:val="000000"/>
              </w:rPr>
              <w:t xml:space="preserve">Reason for no </w:t>
            </w:r>
            <w:r w:rsidRPr="006D4734">
              <w:rPr>
                <w:rFonts w:eastAsia="Times New Roman"/>
                <w:b/>
                <w:bCs/>
                <w:color w:val="000000"/>
              </w:rPr>
              <w:br/>
              <w:t>treatment</w:t>
            </w:r>
          </w:p>
        </w:tc>
      </w:tr>
      <w:tr w:rsidR="00B251E5" w:rsidRPr="006D4734" w:rsidTr="00B251E5">
        <w:trPr>
          <w:trHeight w:val="320"/>
        </w:trPr>
        <w:tc>
          <w:tcPr>
            <w:tcW w:w="3280" w:type="dxa"/>
            <w:shd w:val="clear" w:color="auto" w:fill="auto"/>
            <w:noWrap/>
            <w:vAlign w:val="bottom"/>
            <w:hideMark/>
          </w:tcPr>
          <w:p w:rsidR="006D4734" w:rsidRPr="006D4734" w:rsidRDefault="006D4734" w:rsidP="006D4734">
            <w:pPr>
              <w:rPr>
                <w:rFonts w:eastAsia="Times New Roman"/>
                <w:color w:val="000000"/>
              </w:rPr>
            </w:pPr>
            <w:r w:rsidRPr="006D4734">
              <w:rPr>
                <w:rFonts w:eastAsia="Times New Roman"/>
                <w:color w:val="000000"/>
              </w:rPr>
              <w:t>PAH (PAWP up to &lt;18mmHg)</w:t>
            </w:r>
          </w:p>
        </w:tc>
        <w:tc>
          <w:tcPr>
            <w:tcW w:w="1220"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104</w:t>
            </w:r>
          </w:p>
        </w:tc>
        <w:tc>
          <w:tcPr>
            <w:tcW w:w="3147"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104 (100%)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p>
        </w:tc>
      </w:tr>
      <w:tr w:rsidR="00B251E5" w:rsidRPr="006D4734" w:rsidTr="00B251E5">
        <w:trPr>
          <w:trHeight w:val="320"/>
        </w:trPr>
        <w:tc>
          <w:tcPr>
            <w:tcW w:w="3280" w:type="dxa"/>
            <w:shd w:val="clear" w:color="auto" w:fill="auto"/>
            <w:noWrap/>
            <w:vAlign w:val="bottom"/>
            <w:hideMark/>
          </w:tcPr>
          <w:p w:rsidR="006D4734" w:rsidRPr="006D4734" w:rsidRDefault="006D4734" w:rsidP="006D4734">
            <w:pPr>
              <w:rPr>
                <w:rFonts w:eastAsia="Times New Roman"/>
                <w:color w:val="000000"/>
              </w:rPr>
            </w:pPr>
            <w:r w:rsidRPr="006D4734">
              <w:rPr>
                <w:rFonts w:eastAsia="Times New Roman"/>
                <w:color w:val="000000"/>
              </w:rPr>
              <w:t>CTEPH</w:t>
            </w:r>
          </w:p>
        </w:tc>
        <w:tc>
          <w:tcPr>
            <w:tcW w:w="1220"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w:t>
            </w:r>
          </w:p>
        </w:tc>
        <w:tc>
          <w:tcPr>
            <w:tcW w:w="3147"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N/A</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p>
        </w:tc>
      </w:tr>
      <w:tr w:rsidR="00B251E5" w:rsidRPr="006D4734" w:rsidTr="00B251E5">
        <w:trPr>
          <w:trHeight w:val="320"/>
        </w:trPr>
        <w:tc>
          <w:tcPr>
            <w:tcW w:w="3280" w:type="dxa"/>
            <w:shd w:val="clear" w:color="auto" w:fill="auto"/>
            <w:noWrap/>
            <w:vAlign w:val="bottom"/>
            <w:hideMark/>
          </w:tcPr>
          <w:p w:rsidR="006D4734" w:rsidRPr="006D4734" w:rsidRDefault="00022227" w:rsidP="006D4734">
            <w:pPr>
              <w:rPr>
                <w:rFonts w:eastAsia="Times New Roman"/>
                <w:color w:val="000000"/>
              </w:rPr>
            </w:pPr>
            <w:r>
              <w:rPr>
                <w:rFonts w:eastAsia="Times New Roman"/>
                <w:color w:val="000000"/>
              </w:rPr>
              <w:t>PH due to left</w:t>
            </w:r>
            <w:r w:rsidR="006D4734" w:rsidRPr="006D4734">
              <w:rPr>
                <w:rFonts w:eastAsia="Times New Roman"/>
                <w:color w:val="000000"/>
              </w:rPr>
              <w:t xml:space="preserve"> heart disease</w:t>
            </w:r>
          </w:p>
        </w:tc>
        <w:tc>
          <w:tcPr>
            <w:tcW w:w="1220"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10</w:t>
            </w:r>
          </w:p>
        </w:tc>
        <w:tc>
          <w:tcPr>
            <w:tcW w:w="3147"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2 (20%)</w:t>
            </w:r>
          </w:p>
        </w:tc>
        <w:tc>
          <w:tcPr>
            <w:tcW w:w="1701" w:type="dxa"/>
            <w:shd w:val="clear" w:color="auto" w:fill="auto"/>
            <w:noWrap/>
            <w:vAlign w:val="bottom"/>
            <w:hideMark/>
          </w:tcPr>
          <w:p w:rsidR="006D4734" w:rsidRPr="006D4734" w:rsidRDefault="006D4734" w:rsidP="006D4734">
            <w:pPr>
              <w:rPr>
                <w:rFonts w:eastAsia="Times New Roman"/>
              </w:rPr>
            </w:pPr>
            <w:r w:rsidRPr="006D4734">
              <w:rPr>
                <w:rFonts w:eastAsia="Times New Roman"/>
              </w:rPr>
              <w:t>PAH therapy not indicated or reimbursed</w:t>
            </w:r>
          </w:p>
        </w:tc>
      </w:tr>
      <w:tr w:rsidR="00B251E5" w:rsidRPr="006D4734" w:rsidTr="00B251E5">
        <w:trPr>
          <w:trHeight w:val="320"/>
        </w:trPr>
        <w:tc>
          <w:tcPr>
            <w:tcW w:w="3280" w:type="dxa"/>
            <w:shd w:val="clear" w:color="auto" w:fill="auto"/>
            <w:noWrap/>
            <w:vAlign w:val="bottom"/>
            <w:hideMark/>
          </w:tcPr>
          <w:p w:rsidR="006D4734" w:rsidRPr="006D4734" w:rsidRDefault="006D4734" w:rsidP="006D4734">
            <w:pPr>
              <w:rPr>
                <w:rFonts w:eastAsia="Times New Roman"/>
                <w:color w:val="000000"/>
              </w:rPr>
            </w:pPr>
            <w:r w:rsidRPr="006D4734">
              <w:rPr>
                <w:rFonts w:eastAsia="Times New Roman"/>
                <w:color w:val="000000"/>
              </w:rPr>
              <w:t>PH due to lung disease</w:t>
            </w:r>
          </w:p>
        </w:tc>
        <w:tc>
          <w:tcPr>
            <w:tcW w:w="1220"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2</w:t>
            </w:r>
          </w:p>
        </w:tc>
        <w:tc>
          <w:tcPr>
            <w:tcW w:w="3147"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w:t>
            </w:r>
          </w:p>
        </w:tc>
        <w:tc>
          <w:tcPr>
            <w:tcW w:w="1701" w:type="dxa"/>
            <w:shd w:val="clear" w:color="auto" w:fill="auto"/>
            <w:noWrap/>
            <w:vAlign w:val="bottom"/>
            <w:hideMark/>
          </w:tcPr>
          <w:p w:rsidR="006D4734" w:rsidRPr="006D4734" w:rsidRDefault="006D4734" w:rsidP="006D4734">
            <w:pPr>
              <w:rPr>
                <w:rFonts w:eastAsia="Times New Roman"/>
              </w:rPr>
            </w:pPr>
            <w:r w:rsidRPr="006D4734">
              <w:rPr>
                <w:rFonts w:eastAsia="Times New Roman"/>
              </w:rPr>
              <w:t>PAH therapy not indicated or reimbursed</w:t>
            </w:r>
          </w:p>
        </w:tc>
      </w:tr>
    </w:tbl>
    <w:p w:rsidR="00022227" w:rsidRPr="00B251E5" w:rsidRDefault="00022227" w:rsidP="00B251E5">
      <w:pPr>
        <w:widowControl w:val="0"/>
        <w:tabs>
          <w:tab w:val="left" w:pos="220"/>
          <w:tab w:val="left" w:pos="720"/>
        </w:tabs>
        <w:autoSpaceDE w:val="0"/>
        <w:autoSpaceDN w:val="0"/>
        <w:adjustRightInd w:val="0"/>
        <w:ind w:right="-858"/>
        <w:rPr>
          <w:sz w:val="22"/>
          <w:szCs w:val="22"/>
        </w:rPr>
      </w:pPr>
      <w:r w:rsidRPr="00B251E5">
        <w:rPr>
          <w:rFonts w:eastAsia="Times New Roman"/>
          <w:bCs/>
          <w:color w:val="000000"/>
          <w:sz w:val="22"/>
          <w:szCs w:val="22"/>
        </w:rPr>
        <w:t>PAH, pulmonary arterial hypertension; PAWP, pulmonary arterial wedge pressure; CTEPH, chronic thromboembolic pulmonary hypertension; PH, pulmonary hypertension; N/A, not applicable</w:t>
      </w:r>
    </w:p>
    <w:p w:rsidR="00022227" w:rsidRPr="00B251E5" w:rsidRDefault="00022227" w:rsidP="00B251E5">
      <w:pPr>
        <w:widowControl w:val="0"/>
        <w:tabs>
          <w:tab w:val="left" w:pos="220"/>
          <w:tab w:val="left" w:pos="720"/>
        </w:tabs>
        <w:autoSpaceDE w:val="0"/>
        <w:autoSpaceDN w:val="0"/>
        <w:adjustRightInd w:val="0"/>
        <w:ind w:right="-858"/>
        <w:rPr>
          <w:rFonts w:eastAsia="Times New Roman"/>
          <w:bCs/>
          <w:color w:val="000000"/>
          <w:sz w:val="22"/>
          <w:szCs w:val="22"/>
        </w:rPr>
      </w:pPr>
      <w:r w:rsidRPr="00B251E5">
        <w:rPr>
          <w:sz w:val="22"/>
          <w:szCs w:val="22"/>
        </w:rPr>
        <w:t>*</w:t>
      </w:r>
      <w:r w:rsidRPr="00B251E5">
        <w:rPr>
          <w:rFonts w:eastAsia="Times New Roman"/>
          <w:bCs/>
          <w:color w:val="000000"/>
          <w:sz w:val="22"/>
          <w:szCs w:val="22"/>
        </w:rPr>
        <w:t xml:space="preserve"> including investigational drugs for PAH e</w:t>
      </w:r>
      <w:r w:rsidR="00FA22C3">
        <w:rPr>
          <w:rFonts w:eastAsia="Times New Roman"/>
          <w:bCs/>
          <w:color w:val="000000"/>
          <w:sz w:val="22"/>
          <w:szCs w:val="22"/>
        </w:rPr>
        <w:t>.</w:t>
      </w:r>
      <w:r w:rsidRPr="00B251E5">
        <w:rPr>
          <w:rFonts w:eastAsia="Times New Roman"/>
          <w:bCs/>
          <w:color w:val="000000"/>
          <w:sz w:val="22"/>
          <w:szCs w:val="22"/>
        </w:rPr>
        <w:t>g</w:t>
      </w:r>
      <w:r w:rsidR="00FA22C3">
        <w:rPr>
          <w:rFonts w:eastAsia="Times New Roman"/>
          <w:bCs/>
          <w:color w:val="000000"/>
          <w:sz w:val="22"/>
          <w:szCs w:val="22"/>
        </w:rPr>
        <w:t>.</w:t>
      </w:r>
      <w:r w:rsidRPr="00B251E5">
        <w:rPr>
          <w:rFonts w:eastAsia="Times New Roman"/>
          <w:bCs/>
          <w:color w:val="000000"/>
          <w:sz w:val="22"/>
          <w:szCs w:val="22"/>
        </w:rPr>
        <w:t xml:space="preserve"> selexipag</w:t>
      </w:r>
    </w:p>
    <w:p w:rsidR="00AD1F5E" w:rsidRPr="006D4734" w:rsidRDefault="00AD1F5E" w:rsidP="00AD1F5E">
      <w:pPr>
        <w:widowControl w:val="0"/>
        <w:tabs>
          <w:tab w:val="left" w:pos="220"/>
          <w:tab w:val="left" w:pos="720"/>
        </w:tabs>
        <w:autoSpaceDE w:val="0"/>
        <w:autoSpaceDN w:val="0"/>
        <w:adjustRightInd w:val="0"/>
        <w:spacing w:line="360" w:lineRule="auto"/>
        <w:jc w:val="both"/>
        <w:rPr>
          <w:b/>
          <w:sz w:val="22"/>
          <w:szCs w:val="22"/>
        </w:rPr>
      </w:pPr>
    </w:p>
    <w:p w:rsidR="00022227" w:rsidRDefault="00022227" w:rsidP="006D4734">
      <w:pPr>
        <w:jc w:val="both"/>
        <w:rPr>
          <w:rFonts w:eastAsia="Times New Roman"/>
          <w:b/>
          <w:bCs/>
          <w:color w:val="000000"/>
        </w:rPr>
      </w:pPr>
    </w:p>
    <w:p w:rsidR="00022227" w:rsidRPr="00A05ED3" w:rsidRDefault="00A05ED3" w:rsidP="009822C8">
      <w:pPr>
        <w:spacing w:line="360" w:lineRule="auto"/>
        <w:jc w:val="both"/>
        <w:rPr>
          <w:rFonts w:eastAsia="Times New Roman"/>
          <w:bCs/>
          <w:color w:val="000000"/>
        </w:rPr>
      </w:pPr>
      <w:r w:rsidRPr="00A05ED3">
        <w:rPr>
          <w:rFonts w:eastAsia="Times New Roman"/>
          <w:bCs/>
          <w:color w:val="000000"/>
        </w:rPr>
        <w:t xml:space="preserve">Among the 104 patients with PAH, </w:t>
      </w:r>
      <w:r>
        <w:rPr>
          <w:rFonts w:eastAsia="Times New Roman"/>
          <w:bCs/>
          <w:color w:val="000000"/>
        </w:rPr>
        <w:t xml:space="preserve">25 (25%) were in </w:t>
      </w:r>
      <w:r w:rsidR="00B251E5">
        <w:rPr>
          <w:rFonts w:eastAsia="Times New Roman"/>
          <w:bCs/>
          <w:color w:val="000000"/>
        </w:rPr>
        <w:t xml:space="preserve">FC I/II and </w:t>
      </w:r>
      <w:r w:rsidRPr="00A05ED3">
        <w:rPr>
          <w:rFonts w:eastAsia="Times New Roman"/>
          <w:bCs/>
          <w:color w:val="000000"/>
        </w:rPr>
        <w:t>79 (76%) were in FC III or IV at the index visit</w:t>
      </w:r>
      <w:r w:rsidR="00B251E5">
        <w:rPr>
          <w:rFonts w:eastAsia="Times New Roman"/>
          <w:bCs/>
          <w:color w:val="000000"/>
        </w:rPr>
        <w:t xml:space="preserve"> (Table 2)</w:t>
      </w:r>
      <w:r>
        <w:rPr>
          <w:rFonts w:eastAsia="Times New Roman"/>
          <w:bCs/>
          <w:color w:val="000000"/>
        </w:rPr>
        <w:t>.</w:t>
      </w:r>
      <w:r w:rsidR="00B251E5">
        <w:rPr>
          <w:rFonts w:eastAsia="Times New Roman"/>
          <w:bCs/>
          <w:color w:val="000000"/>
        </w:rPr>
        <w:t xml:space="preserve"> The majority of patients were female and the mean age was around 67 years in </w:t>
      </w:r>
      <w:r w:rsidR="00FA22C3">
        <w:rPr>
          <w:rFonts w:eastAsia="Times New Roman"/>
          <w:bCs/>
          <w:color w:val="000000"/>
        </w:rPr>
        <w:t>both</w:t>
      </w:r>
      <w:r w:rsidR="00B251E5">
        <w:rPr>
          <w:rFonts w:eastAsia="Times New Roman"/>
          <w:bCs/>
          <w:color w:val="000000"/>
        </w:rPr>
        <w:t xml:space="preserve"> group</w:t>
      </w:r>
      <w:r w:rsidR="00FA22C3">
        <w:rPr>
          <w:rFonts w:eastAsia="Times New Roman"/>
          <w:bCs/>
          <w:color w:val="000000"/>
        </w:rPr>
        <w:t>s</w:t>
      </w:r>
      <w:r w:rsidR="00B251E5">
        <w:rPr>
          <w:rFonts w:eastAsia="Times New Roman"/>
          <w:bCs/>
          <w:color w:val="000000"/>
        </w:rPr>
        <w:t>. There was no difference in the duration of PAH since RHC diagnosis, which was around 5 years. Most patients had limited SSc and most patients were living in Victoria.</w:t>
      </w:r>
    </w:p>
    <w:p w:rsidR="00572219" w:rsidRDefault="00572219">
      <w:pPr>
        <w:rPr>
          <w:rFonts w:eastAsia="Times New Roman"/>
          <w:b/>
          <w:bCs/>
          <w:color w:val="000000"/>
        </w:rPr>
      </w:pPr>
      <w:r>
        <w:rPr>
          <w:rFonts w:eastAsia="Times New Roman"/>
          <w:b/>
          <w:bCs/>
          <w:color w:val="000000"/>
        </w:rPr>
        <w:br w:type="page"/>
      </w:r>
    </w:p>
    <w:p w:rsidR="00414AB7" w:rsidRDefault="00414AB7" w:rsidP="006D4734">
      <w:pPr>
        <w:jc w:val="both"/>
        <w:rPr>
          <w:rFonts w:eastAsia="Times New Roman"/>
          <w:b/>
          <w:bCs/>
          <w:color w:val="000000"/>
        </w:rPr>
      </w:pPr>
    </w:p>
    <w:p w:rsidR="006D4734" w:rsidRPr="006D4734" w:rsidRDefault="006D4734" w:rsidP="006D4734">
      <w:pPr>
        <w:jc w:val="both"/>
        <w:rPr>
          <w:rFonts w:eastAsia="Times New Roman"/>
          <w:b/>
          <w:bCs/>
          <w:color w:val="000000"/>
        </w:rPr>
      </w:pPr>
      <w:r w:rsidRPr="006D4734">
        <w:rPr>
          <w:rFonts w:eastAsia="Times New Roman"/>
          <w:b/>
          <w:bCs/>
          <w:color w:val="000000"/>
        </w:rPr>
        <w:t>Table 2: Clinica</w:t>
      </w:r>
      <w:r w:rsidR="006C3F19">
        <w:rPr>
          <w:rFonts w:eastAsia="Times New Roman"/>
          <w:b/>
          <w:bCs/>
          <w:color w:val="000000"/>
        </w:rPr>
        <w:t>l features of patients with RHC-</w:t>
      </w:r>
      <w:r w:rsidRPr="006D4734">
        <w:rPr>
          <w:rFonts w:eastAsia="Times New Roman"/>
          <w:b/>
          <w:bCs/>
          <w:color w:val="000000"/>
        </w:rPr>
        <w:t>defined PAH for which PAH drugs are PBS reimbursed</w:t>
      </w:r>
      <w:r w:rsidR="00AE2601">
        <w:rPr>
          <w:rFonts w:eastAsia="Times New Roman"/>
          <w:b/>
          <w:bCs/>
          <w:color w:val="000000"/>
        </w:rPr>
        <w:t>,</w:t>
      </w:r>
      <w:r w:rsidRPr="006D4734">
        <w:rPr>
          <w:rFonts w:eastAsia="Times New Roman"/>
          <w:b/>
          <w:bCs/>
          <w:color w:val="000000"/>
        </w:rPr>
        <w:t xml:space="preserve"> </w:t>
      </w:r>
      <w:r w:rsidR="00AE2601">
        <w:rPr>
          <w:rFonts w:eastAsia="Times New Roman"/>
          <w:b/>
          <w:bCs/>
          <w:color w:val="000000"/>
        </w:rPr>
        <w:t>according to functional class</w:t>
      </w:r>
      <w:r w:rsidR="00AE2601" w:rsidRPr="006D4734">
        <w:rPr>
          <w:rFonts w:eastAsia="Times New Roman"/>
          <w:b/>
          <w:bCs/>
          <w:color w:val="000000"/>
        </w:rPr>
        <w:t xml:space="preserve"> </w:t>
      </w:r>
      <w:r w:rsidRPr="006D4734">
        <w:rPr>
          <w:rFonts w:eastAsia="Times New Roman"/>
          <w:b/>
          <w:bCs/>
          <w:color w:val="000000"/>
        </w:rPr>
        <w:t>(at the index visit)</w:t>
      </w:r>
      <w:r w:rsidR="00AE2601">
        <w:rPr>
          <w:rFonts w:eastAsia="Times New Roman"/>
          <w:b/>
          <w:bCs/>
          <w:color w:val="000000"/>
        </w:rPr>
        <w:t xml:space="preserve"> </w:t>
      </w:r>
    </w:p>
    <w:p w:rsidR="006D4734" w:rsidRPr="006D4734" w:rsidRDefault="006D4734" w:rsidP="00AD1F5E">
      <w:pPr>
        <w:widowControl w:val="0"/>
        <w:tabs>
          <w:tab w:val="left" w:pos="220"/>
          <w:tab w:val="left" w:pos="720"/>
        </w:tabs>
        <w:autoSpaceDE w:val="0"/>
        <w:autoSpaceDN w:val="0"/>
        <w:adjustRightInd w:val="0"/>
        <w:spacing w:line="360" w:lineRule="auto"/>
        <w:jc w:val="both"/>
        <w:rPr>
          <w:b/>
          <w:sz w:val="22"/>
          <w:szCs w:val="22"/>
        </w:rPr>
      </w:pPr>
    </w:p>
    <w:tbl>
      <w:tblPr>
        <w:tblW w:w="8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gridCol w:w="1701"/>
      </w:tblGrid>
      <w:tr w:rsidR="00B251E5" w:rsidRPr="006D4734" w:rsidTr="00B251E5">
        <w:trPr>
          <w:trHeight w:val="320"/>
        </w:trPr>
        <w:tc>
          <w:tcPr>
            <w:tcW w:w="3721" w:type="dxa"/>
            <w:shd w:val="clear" w:color="000000" w:fill="E7E6E6"/>
            <w:noWrap/>
            <w:vAlign w:val="bottom"/>
            <w:hideMark/>
          </w:tcPr>
          <w:p w:rsidR="006D4734" w:rsidRPr="006D4734" w:rsidRDefault="006D4734" w:rsidP="006D4734">
            <w:pPr>
              <w:rPr>
                <w:rFonts w:eastAsia="Times New Roman"/>
                <w:color w:val="000000"/>
              </w:rPr>
            </w:pPr>
            <w:r w:rsidRPr="006D4734">
              <w:rPr>
                <w:rFonts w:eastAsia="Times New Roman"/>
                <w:color w:val="000000"/>
              </w:rPr>
              <w:t> </w:t>
            </w:r>
          </w:p>
        </w:tc>
        <w:tc>
          <w:tcPr>
            <w:tcW w:w="3359" w:type="dxa"/>
            <w:gridSpan w:val="2"/>
            <w:shd w:val="clear" w:color="000000" w:fill="E7E6E6"/>
            <w:noWrap/>
            <w:vAlign w:val="bottom"/>
            <w:hideMark/>
          </w:tcPr>
          <w:p w:rsidR="006D4734" w:rsidRPr="006D4734" w:rsidRDefault="006D4734" w:rsidP="006D4734">
            <w:pPr>
              <w:jc w:val="center"/>
              <w:rPr>
                <w:rFonts w:eastAsia="Times New Roman"/>
                <w:b/>
                <w:bCs/>
                <w:color w:val="000000"/>
              </w:rPr>
            </w:pPr>
            <w:r w:rsidRPr="006D4734">
              <w:rPr>
                <w:rFonts w:eastAsia="Times New Roman"/>
                <w:b/>
                <w:bCs/>
                <w:color w:val="000000"/>
              </w:rPr>
              <w:t>PAH</w:t>
            </w:r>
          </w:p>
          <w:p w:rsidR="006D4734" w:rsidRPr="006D4734" w:rsidRDefault="006D4734" w:rsidP="006D4734">
            <w:pPr>
              <w:jc w:val="center"/>
              <w:rPr>
                <w:rFonts w:eastAsia="Times New Roman"/>
                <w:b/>
                <w:bCs/>
                <w:color w:val="000000"/>
              </w:rPr>
            </w:pPr>
            <w:r w:rsidRPr="006D4734">
              <w:rPr>
                <w:rFonts w:eastAsia="Times New Roman"/>
                <w:b/>
                <w:bCs/>
                <w:color w:val="000000"/>
              </w:rPr>
              <w:t>n = 104</w:t>
            </w:r>
          </w:p>
        </w:tc>
        <w:tc>
          <w:tcPr>
            <w:tcW w:w="1701" w:type="dxa"/>
            <w:shd w:val="clear" w:color="000000" w:fill="E7E6E6"/>
            <w:noWrap/>
            <w:vAlign w:val="bottom"/>
            <w:hideMark/>
          </w:tcPr>
          <w:p w:rsidR="006D4734" w:rsidRPr="006D4734" w:rsidRDefault="006D4734" w:rsidP="006D4734">
            <w:pPr>
              <w:jc w:val="center"/>
              <w:rPr>
                <w:rFonts w:eastAsia="Times New Roman"/>
                <w:b/>
                <w:bCs/>
                <w:color w:val="000000"/>
              </w:rPr>
            </w:pPr>
            <w:r w:rsidRPr="006D4734">
              <w:rPr>
                <w:rFonts w:eastAsia="Times New Roman"/>
                <w:b/>
                <w:bCs/>
                <w:color w:val="000000"/>
              </w:rPr>
              <w:t> </w:t>
            </w:r>
          </w:p>
        </w:tc>
      </w:tr>
      <w:tr w:rsidR="00B251E5" w:rsidRPr="006D4734" w:rsidTr="00B251E5">
        <w:trPr>
          <w:trHeight w:val="650"/>
        </w:trPr>
        <w:tc>
          <w:tcPr>
            <w:tcW w:w="3721" w:type="dxa"/>
            <w:shd w:val="clear" w:color="000000" w:fill="E7E6E6"/>
            <w:noWrap/>
            <w:vAlign w:val="bottom"/>
            <w:hideMark/>
          </w:tcPr>
          <w:p w:rsidR="006D4734" w:rsidRPr="006D4734" w:rsidRDefault="006D4734" w:rsidP="006D4734">
            <w:pPr>
              <w:rPr>
                <w:rFonts w:eastAsia="Times New Roman"/>
                <w:color w:val="000000"/>
              </w:rPr>
            </w:pPr>
            <w:r w:rsidRPr="006D4734">
              <w:rPr>
                <w:rFonts w:eastAsia="Times New Roman"/>
                <w:color w:val="000000"/>
              </w:rPr>
              <w:t> </w:t>
            </w:r>
          </w:p>
          <w:p w:rsidR="006D4734" w:rsidRPr="006D4734" w:rsidRDefault="006D4734" w:rsidP="006D4734">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rsidR="006D4734" w:rsidRPr="006D4734" w:rsidRDefault="006D4734" w:rsidP="006D4734">
            <w:pPr>
              <w:jc w:val="center"/>
              <w:rPr>
                <w:rFonts w:eastAsia="Times New Roman"/>
                <w:b/>
                <w:bCs/>
                <w:color w:val="000000"/>
              </w:rPr>
            </w:pPr>
            <w:r w:rsidRPr="006D4734">
              <w:rPr>
                <w:rFonts w:eastAsia="Times New Roman"/>
                <w:b/>
                <w:bCs/>
                <w:color w:val="000000"/>
              </w:rPr>
              <w:t>FC I/II</w:t>
            </w:r>
          </w:p>
          <w:p w:rsidR="006D4734" w:rsidRPr="006D4734" w:rsidRDefault="006D4734" w:rsidP="006D4734">
            <w:pPr>
              <w:jc w:val="center"/>
              <w:rPr>
                <w:rFonts w:eastAsia="Times New Roman"/>
                <w:b/>
                <w:bCs/>
                <w:color w:val="000000"/>
              </w:rPr>
            </w:pPr>
            <w:r w:rsidRPr="006D4734">
              <w:rPr>
                <w:rFonts w:eastAsia="Times New Roman"/>
                <w:b/>
                <w:bCs/>
                <w:color w:val="000000"/>
              </w:rPr>
              <w:t>n = 25 (24%)</w:t>
            </w:r>
          </w:p>
        </w:tc>
        <w:tc>
          <w:tcPr>
            <w:tcW w:w="1701" w:type="dxa"/>
            <w:shd w:val="clear" w:color="000000" w:fill="E7E6E6"/>
            <w:noWrap/>
            <w:vAlign w:val="bottom"/>
            <w:hideMark/>
          </w:tcPr>
          <w:p w:rsidR="006D4734" w:rsidRPr="006D4734" w:rsidRDefault="006D4734" w:rsidP="006D4734">
            <w:pPr>
              <w:jc w:val="center"/>
              <w:rPr>
                <w:rFonts w:eastAsia="Times New Roman"/>
                <w:b/>
                <w:bCs/>
                <w:color w:val="000000"/>
              </w:rPr>
            </w:pPr>
            <w:r w:rsidRPr="006D4734">
              <w:rPr>
                <w:rFonts w:eastAsia="Times New Roman"/>
                <w:b/>
                <w:bCs/>
                <w:color w:val="000000"/>
              </w:rPr>
              <w:t>FC III/IV</w:t>
            </w:r>
          </w:p>
          <w:p w:rsidR="006D4734" w:rsidRPr="006D4734" w:rsidRDefault="006D4734" w:rsidP="006D4734">
            <w:pPr>
              <w:jc w:val="center"/>
              <w:rPr>
                <w:rFonts w:eastAsia="Times New Roman"/>
                <w:b/>
                <w:bCs/>
                <w:color w:val="000000"/>
              </w:rPr>
            </w:pPr>
            <w:r w:rsidRPr="006D4734">
              <w:rPr>
                <w:rFonts w:eastAsia="Times New Roman"/>
                <w:b/>
                <w:bCs/>
                <w:color w:val="000000"/>
              </w:rPr>
              <w:t>n = 79 (76%)</w:t>
            </w:r>
          </w:p>
        </w:tc>
        <w:tc>
          <w:tcPr>
            <w:tcW w:w="1701" w:type="dxa"/>
            <w:shd w:val="clear" w:color="000000" w:fill="E7E6E6"/>
            <w:noWrap/>
            <w:vAlign w:val="bottom"/>
            <w:hideMark/>
          </w:tcPr>
          <w:p w:rsidR="006D4734" w:rsidRPr="006D4734" w:rsidRDefault="006D4734" w:rsidP="006D4734">
            <w:pPr>
              <w:jc w:val="center"/>
              <w:rPr>
                <w:rFonts w:eastAsia="Times New Roman"/>
                <w:b/>
                <w:bCs/>
                <w:color w:val="000000"/>
              </w:rPr>
            </w:pPr>
            <w:r w:rsidRPr="006D4734">
              <w:rPr>
                <w:rFonts w:eastAsia="Times New Roman"/>
                <w:b/>
                <w:bCs/>
                <w:color w:val="000000"/>
              </w:rPr>
              <w:t>p value</w:t>
            </w:r>
          </w:p>
          <w:p w:rsidR="006D4734" w:rsidRPr="006D4734" w:rsidRDefault="006D4734" w:rsidP="006D4734">
            <w:pPr>
              <w:jc w:val="center"/>
              <w:rPr>
                <w:rFonts w:eastAsia="Times New Roman"/>
                <w:b/>
                <w:bCs/>
                <w:color w:val="000000"/>
              </w:rPr>
            </w:pPr>
            <w:r w:rsidRPr="006D4734">
              <w:rPr>
                <w:rFonts w:eastAsia="Times New Roman"/>
                <w:color w:val="000000"/>
              </w:rPr>
              <w:t> </w:t>
            </w: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rPr>
                <w:rFonts w:eastAsia="Times New Roman"/>
                <w:color w:val="000000"/>
              </w:rPr>
            </w:pPr>
            <w:r w:rsidRPr="006D4734">
              <w:rPr>
                <w:rFonts w:eastAsia="Times New Roman"/>
                <w:color w:val="000000"/>
              </w:rPr>
              <w:t>Female n (%)</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23 (92.0%)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62 (78.5%)</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0.127</w:t>
            </w: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rPr>
                <w:rFonts w:eastAsia="Times New Roman"/>
                <w:color w:val="000000"/>
              </w:rPr>
            </w:pPr>
            <w:r>
              <w:rPr>
                <w:rFonts w:eastAsia="Times New Roman"/>
                <w:color w:val="000000"/>
              </w:rPr>
              <w:t>Age (mean +/- SD</w:t>
            </w:r>
            <w:r w:rsidRPr="006D4734">
              <w:rPr>
                <w:rFonts w:eastAsia="Times New Roman"/>
                <w:color w:val="000000"/>
              </w:rPr>
              <w:t xml:space="preserve">) </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67.6 ± 10.7</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66.9 ± 9.1</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0.724</w:t>
            </w:r>
          </w:p>
        </w:tc>
      </w:tr>
      <w:tr w:rsidR="00B251E5" w:rsidRPr="006D4734" w:rsidTr="00B251E5">
        <w:trPr>
          <w:trHeight w:val="640"/>
        </w:trPr>
        <w:tc>
          <w:tcPr>
            <w:tcW w:w="3721" w:type="dxa"/>
            <w:shd w:val="clear" w:color="auto" w:fill="auto"/>
            <w:vAlign w:val="bottom"/>
            <w:hideMark/>
          </w:tcPr>
          <w:p w:rsidR="006D4734" w:rsidRPr="006D4734" w:rsidRDefault="006D4734" w:rsidP="006D4734">
            <w:pPr>
              <w:rPr>
                <w:rFonts w:eastAsia="Times New Roman"/>
                <w:color w:val="000000"/>
              </w:rPr>
            </w:pPr>
            <w:r w:rsidRPr="006D4734">
              <w:rPr>
                <w:rFonts w:eastAsia="Times New Roman"/>
                <w:color w:val="000000"/>
              </w:rPr>
              <w:t xml:space="preserve">Duration of PAH since </w:t>
            </w:r>
            <w:r w:rsidRPr="006D4734">
              <w:rPr>
                <w:rFonts w:eastAsia="Times New Roman"/>
                <w:color w:val="000000"/>
              </w:rPr>
              <w:br/>
              <w:t>RHC d</w:t>
            </w:r>
            <w:r w:rsidR="00041A4A">
              <w:rPr>
                <w:rFonts w:eastAsia="Times New Roman"/>
                <w:color w:val="000000"/>
              </w:rPr>
              <w:t>iagnosis (years mean +/- SD</w:t>
            </w:r>
            <w:r w:rsidRPr="006D4734">
              <w:rPr>
                <w:rFonts w:eastAsia="Times New Roman"/>
                <w:color w:val="000000"/>
              </w:rPr>
              <w:t>)</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5.2 ± 3.5</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4.6 ± 3.5</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0.482</w:t>
            </w: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rPr>
                <w:rFonts w:eastAsia="Times New Roman"/>
                <w:color w:val="000000"/>
              </w:rPr>
            </w:pPr>
            <w:r w:rsidRPr="006D4734">
              <w:rPr>
                <w:rFonts w:eastAsia="Times New Roman"/>
                <w:color w:val="000000"/>
              </w:rPr>
              <w:t>SSc subset n (%)*</w:t>
            </w:r>
          </w:p>
        </w:tc>
        <w:tc>
          <w:tcPr>
            <w:tcW w:w="1658" w:type="dxa"/>
            <w:shd w:val="clear" w:color="auto" w:fill="auto"/>
            <w:noWrap/>
            <w:vAlign w:val="bottom"/>
            <w:hideMark/>
          </w:tcPr>
          <w:p w:rsidR="006D4734" w:rsidRPr="006D4734" w:rsidRDefault="006D4734" w:rsidP="006D4734">
            <w:pPr>
              <w:rPr>
                <w:rFonts w:eastAsia="Times New Roman"/>
                <w:color w:val="000000"/>
              </w:rPr>
            </w:pPr>
          </w:p>
        </w:tc>
        <w:tc>
          <w:tcPr>
            <w:tcW w:w="1701" w:type="dxa"/>
            <w:shd w:val="clear" w:color="auto" w:fill="auto"/>
            <w:noWrap/>
            <w:vAlign w:val="bottom"/>
            <w:hideMark/>
          </w:tcPr>
          <w:p w:rsidR="006D4734" w:rsidRPr="006D4734" w:rsidRDefault="006D4734" w:rsidP="006D4734">
            <w:pPr>
              <w:jc w:val="center"/>
              <w:rPr>
                <w:rFonts w:eastAsia="Times New Roman"/>
                <w:sz w:val="20"/>
                <w:szCs w:val="20"/>
              </w:rPr>
            </w:pPr>
          </w:p>
        </w:tc>
        <w:tc>
          <w:tcPr>
            <w:tcW w:w="1701" w:type="dxa"/>
            <w:shd w:val="clear" w:color="auto" w:fill="auto"/>
            <w:noWrap/>
            <w:vAlign w:val="bottom"/>
            <w:hideMark/>
          </w:tcPr>
          <w:p w:rsidR="006D4734" w:rsidRPr="006D4734" w:rsidRDefault="006D4734" w:rsidP="006D4734">
            <w:pPr>
              <w:jc w:val="center"/>
              <w:rPr>
                <w:rFonts w:eastAsia="Times New Roman"/>
                <w:sz w:val="20"/>
                <w:szCs w:val="20"/>
              </w:rPr>
            </w:pP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jc w:val="right"/>
              <w:rPr>
                <w:rFonts w:eastAsia="Times New Roman"/>
                <w:color w:val="000000"/>
              </w:rPr>
            </w:pPr>
            <w:r w:rsidRPr="006D4734">
              <w:rPr>
                <w:rFonts w:eastAsia="Times New Roman"/>
                <w:color w:val="000000"/>
              </w:rPr>
              <w:t>limited</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20 (80.0%)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49 (64.5%)</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0.174</w:t>
            </w: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jc w:val="right"/>
              <w:rPr>
                <w:rFonts w:eastAsia="Times New Roman"/>
                <w:color w:val="000000"/>
              </w:rPr>
            </w:pPr>
            <w:r w:rsidRPr="006D4734">
              <w:rPr>
                <w:rFonts w:eastAsia="Times New Roman"/>
                <w:color w:val="000000"/>
              </w:rPr>
              <w:t>diffuse</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5 (20.0%)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19 (25.0%)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jc w:val="right"/>
              <w:rPr>
                <w:rFonts w:eastAsia="Times New Roman"/>
                <w:color w:val="000000"/>
              </w:rPr>
            </w:pPr>
            <w:r w:rsidRPr="006D4734">
              <w:rPr>
                <w:rFonts w:eastAsia="Times New Roman"/>
                <w:color w:val="000000"/>
              </w:rPr>
              <w:t>MCTD</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8 (10.5%)</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rPr>
                <w:rFonts w:eastAsia="Times New Roman"/>
                <w:color w:val="000000"/>
              </w:rPr>
            </w:pPr>
            <w:r w:rsidRPr="006D4734">
              <w:rPr>
                <w:rFonts w:eastAsia="Times New Roman"/>
                <w:color w:val="000000"/>
              </w:rPr>
              <w:t>State of origin n (%)</w:t>
            </w:r>
          </w:p>
        </w:tc>
        <w:tc>
          <w:tcPr>
            <w:tcW w:w="1658" w:type="dxa"/>
            <w:shd w:val="clear" w:color="auto" w:fill="auto"/>
            <w:noWrap/>
            <w:vAlign w:val="bottom"/>
            <w:hideMark/>
          </w:tcPr>
          <w:p w:rsidR="006D4734" w:rsidRPr="006D4734" w:rsidRDefault="006D4734" w:rsidP="006D4734">
            <w:pPr>
              <w:rPr>
                <w:rFonts w:eastAsia="Times New Roman"/>
                <w:color w:val="000000"/>
              </w:rPr>
            </w:pPr>
          </w:p>
        </w:tc>
        <w:tc>
          <w:tcPr>
            <w:tcW w:w="1701" w:type="dxa"/>
            <w:shd w:val="clear" w:color="auto" w:fill="auto"/>
            <w:noWrap/>
            <w:vAlign w:val="bottom"/>
            <w:hideMark/>
          </w:tcPr>
          <w:p w:rsidR="006D4734" w:rsidRPr="006D4734" w:rsidRDefault="006D4734" w:rsidP="006D4734">
            <w:pPr>
              <w:jc w:val="center"/>
              <w:rPr>
                <w:rFonts w:eastAsia="Times New Roman"/>
                <w:sz w:val="20"/>
                <w:szCs w:val="20"/>
              </w:rPr>
            </w:pPr>
          </w:p>
        </w:tc>
        <w:tc>
          <w:tcPr>
            <w:tcW w:w="1701" w:type="dxa"/>
            <w:shd w:val="clear" w:color="auto" w:fill="auto"/>
            <w:noWrap/>
            <w:vAlign w:val="bottom"/>
            <w:hideMark/>
          </w:tcPr>
          <w:p w:rsidR="006D4734" w:rsidRPr="006D4734" w:rsidRDefault="006D4734" w:rsidP="006D4734">
            <w:pPr>
              <w:jc w:val="center"/>
              <w:rPr>
                <w:rFonts w:eastAsia="Times New Roman"/>
                <w:sz w:val="20"/>
                <w:szCs w:val="20"/>
              </w:rPr>
            </w:pP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jc w:val="right"/>
              <w:rPr>
                <w:rFonts w:eastAsia="Times New Roman"/>
                <w:color w:val="000000"/>
              </w:rPr>
            </w:pPr>
            <w:r w:rsidRPr="006D4734">
              <w:rPr>
                <w:rFonts w:eastAsia="Times New Roman"/>
                <w:color w:val="000000"/>
              </w:rPr>
              <w:t>SA</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7 (28.0%)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19 (24.1%)</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0.414</w:t>
            </w: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jc w:val="right"/>
              <w:rPr>
                <w:rFonts w:eastAsia="Times New Roman"/>
                <w:color w:val="000000"/>
              </w:rPr>
            </w:pPr>
            <w:r w:rsidRPr="006D4734">
              <w:rPr>
                <w:rFonts w:eastAsia="Times New Roman"/>
                <w:color w:val="000000"/>
              </w:rPr>
              <w:t>Vic</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13 (52.0%)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49 (62.0%)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p>
        </w:tc>
      </w:tr>
      <w:tr w:rsidR="00B251E5" w:rsidRPr="006D4734" w:rsidTr="00B251E5">
        <w:trPr>
          <w:trHeight w:val="354"/>
        </w:trPr>
        <w:tc>
          <w:tcPr>
            <w:tcW w:w="3721" w:type="dxa"/>
            <w:shd w:val="clear" w:color="auto" w:fill="auto"/>
            <w:noWrap/>
            <w:vAlign w:val="bottom"/>
            <w:hideMark/>
          </w:tcPr>
          <w:p w:rsidR="006D4734" w:rsidRPr="006D4734" w:rsidRDefault="006D4734" w:rsidP="006D4734">
            <w:pPr>
              <w:jc w:val="right"/>
              <w:rPr>
                <w:rFonts w:eastAsia="Times New Roman"/>
                <w:color w:val="000000"/>
              </w:rPr>
            </w:pPr>
            <w:r w:rsidRPr="006D4734">
              <w:rPr>
                <w:rFonts w:eastAsia="Times New Roman"/>
                <w:color w:val="000000"/>
              </w:rPr>
              <w:t>WA</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4 (16.0%)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5 (6.3%)</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p>
        </w:tc>
      </w:tr>
      <w:tr w:rsidR="00B251E5" w:rsidRPr="006D4734" w:rsidTr="00B251E5">
        <w:trPr>
          <w:trHeight w:val="320"/>
        </w:trPr>
        <w:tc>
          <w:tcPr>
            <w:tcW w:w="3721" w:type="dxa"/>
            <w:shd w:val="clear" w:color="auto" w:fill="auto"/>
            <w:noWrap/>
            <w:vAlign w:val="bottom"/>
            <w:hideMark/>
          </w:tcPr>
          <w:p w:rsidR="006D4734" w:rsidRPr="006D4734" w:rsidRDefault="006D4734" w:rsidP="006D4734">
            <w:pPr>
              <w:jc w:val="right"/>
              <w:rPr>
                <w:rFonts w:eastAsia="Times New Roman"/>
                <w:color w:val="000000"/>
              </w:rPr>
            </w:pPr>
            <w:r w:rsidRPr="006D4734">
              <w:rPr>
                <w:rFonts w:eastAsia="Times New Roman"/>
                <w:color w:val="000000"/>
              </w:rPr>
              <w:t>NSW</w:t>
            </w:r>
          </w:p>
        </w:tc>
        <w:tc>
          <w:tcPr>
            <w:tcW w:w="1658"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1 (4.0%)</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r w:rsidRPr="006D4734">
              <w:rPr>
                <w:rFonts w:eastAsia="Times New Roman"/>
                <w:color w:val="000000"/>
              </w:rPr>
              <w:t>6 (7.6%)</w:t>
            </w:r>
          </w:p>
        </w:tc>
        <w:tc>
          <w:tcPr>
            <w:tcW w:w="1701" w:type="dxa"/>
            <w:shd w:val="clear" w:color="auto" w:fill="auto"/>
            <w:noWrap/>
            <w:vAlign w:val="bottom"/>
            <w:hideMark/>
          </w:tcPr>
          <w:p w:rsidR="006D4734" w:rsidRPr="006D4734" w:rsidRDefault="006D4734" w:rsidP="006D4734">
            <w:pPr>
              <w:jc w:val="center"/>
              <w:rPr>
                <w:rFonts w:eastAsia="Times New Roman"/>
                <w:color w:val="000000"/>
              </w:rPr>
            </w:pPr>
          </w:p>
        </w:tc>
      </w:tr>
    </w:tbl>
    <w:p w:rsidR="00022227" w:rsidRPr="00B251E5" w:rsidRDefault="00022227" w:rsidP="006D4734">
      <w:pPr>
        <w:jc w:val="both"/>
        <w:rPr>
          <w:rFonts w:eastAsia="Times New Roman"/>
          <w:color w:val="000000"/>
          <w:sz w:val="22"/>
        </w:rPr>
      </w:pPr>
      <w:r w:rsidRPr="00B251E5">
        <w:rPr>
          <w:rFonts w:eastAsia="Times New Roman"/>
          <w:color w:val="000000"/>
          <w:sz w:val="22"/>
        </w:rPr>
        <w:t>RHC, right heart catheter; PAH, pulmonary arterial hypertension; FC, functional class; SSc, systemic sclerosis; MCTD, mixed connective tissue disease</w:t>
      </w:r>
    </w:p>
    <w:p w:rsidR="006D4734" w:rsidRPr="00B251E5" w:rsidRDefault="006D4734" w:rsidP="006D4734">
      <w:pPr>
        <w:jc w:val="both"/>
        <w:rPr>
          <w:rFonts w:eastAsia="Times New Roman"/>
          <w:color w:val="000000"/>
          <w:sz w:val="22"/>
        </w:rPr>
      </w:pPr>
      <w:r w:rsidRPr="00B251E5">
        <w:rPr>
          <w:rFonts w:eastAsia="Times New Roman"/>
          <w:color w:val="000000"/>
          <w:sz w:val="22"/>
        </w:rPr>
        <w:t>*Sample size differs from heading: FC I/II n = 25, FC III/IV n = 76</w:t>
      </w:r>
    </w:p>
    <w:p w:rsidR="009310DA" w:rsidRPr="00B251E5" w:rsidRDefault="009310DA" w:rsidP="006D4734">
      <w:pPr>
        <w:jc w:val="both"/>
        <w:rPr>
          <w:rFonts w:eastAsia="Times New Roman"/>
          <w:color w:val="000000"/>
          <w:sz w:val="22"/>
        </w:rPr>
      </w:pPr>
      <w:r w:rsidRPr="00B251E5">
        <w:rPr>
          <w:rFonts w:eastAsia="Times New Roman"/>
          <w:color w:val="000000"/>
          <w:sz w:val="22"/>
        </w:rPr>
        <w:t>Chi</w:t>
      </w:r>
      <w:r w:rsidRPr="00B251E5">
        <w:rPr>
          <w:rFonts w:eastAsia="Times New Roman"/>
          <w:color w:val="000000"/>
          <w:sz w:val="22"/>
          <w:vertAlign w:val="superscript"/>
        </w:rPr>
        <w:t>2</w:t>
      </w:r>
      <w:r w:rsidRPr="00B251E5">
        <w:rPr>
          <w:rFonts w:eastAsia="Times New Roman"/>
          <w:color w:val="000000"/>
          <w:sz w:val="22"/>
        </w:rPr>
        <w:t xml:space="preserve"> test for categorical variables and t-test for continuous variables</w:t>
      </w:r>
    </w:p>
    <w:p w:rsidR="006D4734" w:rsidRDefault="006D4734" w:rsidP="00AD1F5E">
      <w:pPr>
        <w:widowControl w:val="0"/>
        <w:tabs>
          <w:tab w:val="left" w:pos="220"/>
          <w:tab w:val="left" w:pos="720"/>
        </w:tabs>
        <w:autoSpaceDE w:val="0"/>
        <w:autoSpaceDN w:val="0"/>
        <w:adjustRightInd w:val="0"/>
        <w:spacing w:line="360" w:lineRule="auto"/>
        <w:jc w:val="both"/>
        <w:rPr>
          <w:b/>
          <w:sz w:val="22"/>
          <w:szCs w:val="22"/>
        </w:rPr>
      </w:pPr>
    </w:p>
    <w:p w:rsidR="00341603" w:rsidRDefault="00341603" w:rsidP="00AD1F5E">
      <w:pPr>
        <w:widowControl w:val="0"/>
        <w:tabs>
          <w:tab w:val="left" w:pos="220"/>
          <w:tab w:val="left" w:pos="720"/>
        </w:tabs>
        <w:autoSpaceDE w:val="0"/>
        <w:autoSpaceDN w:val="0"/>
        <w:adjustRightInd w:val="0"/>
        <w:spacing w:line="360" w:lineRule="auto"/>
        <w:jc w:val="both"/>
        <w:rPr>
          <w:b/>
          <w:sz w:val="22"/>
          <w:szCs w:val="22"/>
        </w:rPr>
      </w:pPr>
    </w:p>
    <w:p w:rsidR="009310DA" w:rsidRPr="00B251E5" w:rsidRDefault="00B251E5" w:rsidP="009822C8">
      <w:pPr>
        <w:spacing w:line="360" w:lineRule="auto"/>
        <w:jc w:val="both"/>
        <w:rPr>
          <w:rFonts w:eastAsia="Times New Roman"/>
          <w:bCs/>
          <w:color w:val="000000"/>
        </w:rPr>
      </w:pPr>
      <w:r w:rsidRPr="00B251E5">
        <w:rPr>
          <w:rFonts w:eastAsia="Times New Roman"/>
          <w:bCs/>
          <w:color w:val="000000"/>
        </w:rPr>
        <w:t xml:space="preserve">As expected, patients in FC III/IV had more severe </w:t>
      </w:r>
      <w:r>
        <w:rPr>
          <w:rFonts w:eastAsia="Times New Roman"/>
          <w:bCs/>
          <w:color w:val="000000"/>
        </w:rPr>
        <w:t xml:space="preserve">PAH with shorter 6MWT distance and </w:t>
      </w:r>
      <w:r w:rsidRPr="00B251E5">
        <w:rPr>
          <w:rFonts w:eastAsia="Times New Roman"/>
          <w:bCs/>
          <w:color w:val="000000"/>
        </w:rPr>
        <w:t>higher estimated systolic PAP</w:t>
      </w:r>
      <w:r>
        <w:rPr>
          <w:rFonts w:eastAsia="Times New Roman"/>
          <w:bCs/>
          <w:color w:val="000000"/>
        </w:rPr>
        <w:t xml:space="preserve"> than patients in FC I/II at the index visit (Table 3).</w:t>
      </w:r>
    </w:p>
    <w:p w:rsidR="00572219" w:rsidRDefault="00572219">
      <w:pPr>
        <w:rPr>
          <w:rFonts w:eastAsia="Times New Roman"/>
          <w:b/>
          <w:bCs/>
          <w:color w:val="000000"/>
        </w:rPr>
      </w:pPr>
      <w:r>
        <w:rPr>
          <w:rFonts w:eastAsia="Times New Roman"/>
          <w:b/>
          <w:bCs/>
          <w:color w:val="000000"/>
        </w:rPr>
        <w:br w:type="page"/>
      </w:r>
    </w:p>
    <w:p w:rsidR="00414AB7" w:rsidRDefault="00414AB7" w:rsidP="00341603">
      <w:pPr>
        <w:jc w:val="both"/>
        <w:rPr>
          <w:rFonts w:eastAsia="Times New Roman"/>
          <w:b/>
          <w:bCs/>
          <w:color w:val="000000"/>
        </w:rPr>
      </w:pPr>
    </w:p>
    <w:p w:rsidR="00341603" w:rsidRPr="00937F13" w:rsidRDefault="00341603" w:rsidP="00341603">
      <w:pPr>
        <w:jc w:val="both"/>
        <w:rPr>
          <w:rFonts w:eastAsia="Times New Roman"/>
          <w:b/>
          <w:bCs/>
          <w:color w:val="000000"/>
        </w:rPr>
      </w:pPr>
      <w:r w:rsidRPr="00341603">
        <w:rPr>
          <w:rFonts w:eastAsia="Times New Roman"/>
          <w:b/>
          <w:bCs/>
          <w:color w:val="000000"/>
        </w:rPr>
        <w:t>Table 3: Assessment of PAH severity</w:t>
      </w:r>
      <w:r w:rsidR="009310DA">
        <w:rPr>
          <w:rFonts w:eastAsia="Times New Roman"/>
          <w:b/>
          <w:bCs/>
          <w:color w:val="000000"/>
        </w:rPr>
        <w:t xml:space="preserve"> in patients with RHC-defined PAH on any PAH specific therapy according to functional class</w:t>
      </w:r>
      <w:r w:rsidR="009310DA" w:rsidRPr="006D4734">
        <w:rPr>
          <w:rFonts w:eastAsia="Times New Roman"/>
          <w:b/>
          <w:bCs/>
          <w:color w:val="000000"/>
        </w:rPr>
        <w:t xml:space="preserve"> (at the index visit)</w:t>
      </w:r>
    </w:p>
    <w:p w:rsidR="00341603" w:rsidRPr="00937F13" w:rsidRDefault="00341603" w:rsidP="00AD1F5E">
      <w:pPr>
        <w:widowControl w:val="0"/>
        <w:tabs>
          <w:tab w:val="left" w:pos="220"/>
          <w:tab w:val="left" w:pos="720"/>
        </w:tabs>
        <w:autoSpaceDE w:val="0"/>
        <w:autoSpaceDN w:val="0"/>
        <w:adjustRightInd w:val="0"/>
        <w:spacing w:line="360" w:lineRule="auto"/>
        <w:jc w:val="both"/>
        <w:rPr>
          <w:b/>
          <w:sz w:val="22"/>
          <w:szCs w:val="22"/>
        </w:rPr>
      </w:pP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956"/>
        <w:gridCol w:w="1560"/>
        <w:gridCol w:w="992"/>
        <w:gridCol w:w="1843"/>
      </w:tblGrid>
      <w:tr w:rsidR="009E5CE1" w:rsidRPr="00937F13" w:rsidTr="00937F13">
        <w:trPr>
          <w:trHeight w:val="320"/>
        </w:trPr>
        <w:tc>
          <w:tcPr>
            <w:tcW w:w="3139" w:type="dxa"/>
            <w:shd w:val="clear" w:color="000000" w:fill="E7E6E6"/>
            <w:noWrap/>
            <w:vAlign w:val="bottom"/>
            <w:hideMark/>
          </w:tcPr>
          <w:p w:rsidR="008B0F16" w:rsidRPr="008B0F16" w:rsidRDefault="008B0F16" w:rsidP="008B0F16">
            <w:pPr>
              <w:rPr>
                <w:rFonts w:eastAsia="Times New Roman"/>
                <w:b/>
                <w:bCs/>
                <w:color w:val="000000"/>
              </w:rPr>
            </w:pPr>
            <w:r w:rsidRPr="008B0F16">
              <w:rPr>
                <w:rFonts w:eastAsia="Times New Roman"/>
                <w:b/>
                <w:bCs/>
                <w:color w:val="000000"/>
              </w:rPr>
              <w:t>Variable</w:t>
            </w:r>
          </w:p>
        </w:tc>
        <w:tc>
          <w:tcPr>
            <w:tcW w:w="1956" w:type="dxa"/>
            <w:shd w:val="clear" w:color="000000" w:fill="E7E6E6"/>
            <w:noWrap/>
            <w:vAlign w:val="bottom"/>
            <w:hideMark/>
          </w:tcPr>
          <w:p w:rsidR="009E5CE1" w:rsidRPr="00937F13" w:rsidRDefault="009E5CE1" w:rsidP="008B0F16">
            <w:pPr>
              <w:jc w:val="center"/>
              <w:rPr>
                <w:rFonts w:eastAsia="Times New Roman"/>
                <w:b/>
                <w:bCs/>
                <w:color w:val="000000"/>
              </w:rPr>
            </w:pPr>
            <w:r w:rsidRPr="008B0F16">
              <w:rPr>
                <w:rFonts w:eastAsia="Times New Roman"/>
                <w:b/>
                <w:bCs/>
                <w:color w:val="000000"/>
              </w:rPr>
              <w:t>FC I/II</w:t>
            </w:r>
            <w:r w:rsidRPr="00937F13">
              <w:rPr>
                <w:rFonts w:eastAsia="Times New Roman"/>
                <w:b/>
                <w:bCs/>
                <w:color w:val="000000"/>
              </w:rPr>
              <w:t xml:space="preserve"> </w:t>
            </w:r>
          </w:p>
          <w:p w:rsidR="008B0F16" w:rsidRPr="008B0F16" w:rsidRDefault="008B0F16" w:rsidP="008B0F16">
            <w:pPr>
              <w:jc w:val="center"/>
              <w:rPr>
                <w:rFonts w:eastAsia="Times New Roman"/>
                <w:b/>
                <w:bCs/>
                <w:color w:val="000000"/>
              </w:rPr>
            </w:pPr>
            <w:r w:rsidRPr="008B0F16">
              <w:rPr>
                <w:rFonts w:eastAsia="Times New Roman"/>
                <w:b/>
                <w:bCs/>
                <w:color w:val="000000"/>
              </w:rPr>
              <w:t>n = 19</w:t>
            </w:r>
          </w:p>
        </w:tc>
        <w:tc>
          <w:tcPr>
            <w:tcW w:w="1560" w:type="dxa"/>
            <w:shd w:val="clear" w:color="000000" w:fill="E7E6E6"/>
            <w:noWrap/>
            <w:vAlign w:val="bottom"/>
            <w:hideMark/>
          </w:tcPr>
          <w:p w:rsidR="009E5CE1" w:rsidRPr="00937F13" w:rsidRDefault="009E5CE1" w:rsidP="008B0F16">
            <w:pPr>
              <w:jc w:val="center"/>
              <w:rPr>
                <w:rFonts w:eastAsia="Times New Roman"/>
                <w:b/>
                <w:bCs/>
                <w:color w:val="000000"/>
              </w:rPr>
            </w:pPr>
            <w:r w:rsidRPr="008B0F16">
              <w:rPr>
                <w:rFonts w:eastAsia="Times New Roman"/>
                <w:b/>
                <w:bCs/>
                <w:color w:val="000000"/>
              </w:rPr>
              <w:t>FC III/IV</w:t>
            </w:r>
            <w:r w:rsidRPr="00937F13">
              <w:rPr>
                <w:rFonts w:eastAsia="Times New Roman"/>
                <w:b/>
                <w:bCs/>
                <w:color w:val="000000"/>
              </w:rPr>
              <w:t xml:space="preserve"> </w:t>
            </w:r>
          </w:p>
          <w:p w:rsidR="008B0F16" w:rsidRPr="008B0F16" w:rsidRDefault="008B0F16" w:rsidP="008B0F16">
            <w:pPr>
              <w:jc w:val="center"/>
              <w:rPr>
                <w:rFonts w:eastAsia="Times New Roman"/>
                <w:b/>
                <w:bCs/>
                <w:color w:val="000000"/>
              </w:rPr>
            </w:pPr>
            <w:r w:rsidRPr="008B0F16">
              <w:rPr>
                <w:rFonts w:eastAsia="Times New Roman"/>
                <w:b/>
                <w:bCs/>
                <w:color w:val="000000"/>
              </w:rPr>
              <w:t>n= 69</w:t>
            </w:r>
          </w:p>
        </w:tc>
        <w:tc>
          <w:tcPr>
            <w:tcW w:w="992" w:type="dxa"/>
            <w:shd w:val="clear" w:color="000000" w:fill="E7E6E6"/>
            <w:noWrap/>
            <w:vAlign w:val="bottom"/>
            <w:hideMark/>
          </w:tcPr>
          <w:p w:rsidR="008B0F16" w:rsidRPr="008B0F16" w:rsidRDefault="008B0F16" w:rsidP="008B0F16">
            <w:pPr>
              <w:jc w:val="center"/>
              <w:rPr>
                <w:rFonts w:eastAsia="Times New Roman"/>
                <w:b/>
                <w:bCs/>
                <w:color w:val="000000"/>
              </w:rPr>
            </w:pPr>
            <w:r w:rsidRPr="008B0F16">
              <w:rPr>
                <w:rFonts w:eastAsia="Times New Roman"/>
                <w:b/>
                <w:bCs/>
                <w:color w:val="000000"/>
              </w:rPr>
              <w:t>p value</w:t>
            </w:r>
          </w:p>
        </w:tc>
        <w:tc>
          <w:tcPr>
            <w:tcW w:w="1843" w:type="dxa"/>
            <w:shd w:val="clear" w:color="000000" w:fill="E7E6E6"/>
            <w:noWrap/>
            <w:vAlign w:val="bottom"/>
            <w:hideMark/>
          </w:tcPr>
          <w:p w:rsidR="008B0F16" w:rsidRPr="008B0F16" w:rsidRDefault="009E5CE1" w:rsidP="008B0F16">
            <w:pPr>
              <w:rPr>
                <w:rFonts w:eastAsia="Times New Roman"/>
                <w:b/>
                <w:bCs/>
                <w:color w:val="000000"/>
              </w:rPr>
            </w:pPr>
            <w:r w:rsidRPr="00937F13">
              <w:rPr>
                <w:rFonts w:eastAsia="Times New Roman"/>
                <w:b/>
                <w:bCs/>
                <w:color w:val="000000"/>
              </w:rPr>
              <w:t>Samples sizes</w:t>
            </w:r>
            <w:r w:rsidRPr="008B0F16">
              <w:rPr>
                <w:rFonts w:eastAsia="Times New Roman"/>
                <w:b/>
                <w:bCs/>
                <w:color w:val="000000"/>
              </w:rPr>
              <w:t xml:space="preserve"> </w:t>
            </w:r>
            <w:r w:rsidR="008B0F16" w:rsidRPr="008B0F16">
              <w:rPr>
                <w:rFonts w:eastAsia="Times New Roman"/>
                <w:b/>
                <w:bCs/>
                <w:color w:val="000000"/>
              </w:rPr>
              <w:t>(if different from n in table heading)</w:t>
            </w:r>
          </w:p>
        </w:tc>
      </w:tr>
      <w:tr w:rsidR="009E5CE1" w:rsidRPr="00937F13" w:rsidTr="00937F13">
        <w:trPr>
          <w:trHeight w:val="320"/>
        </w:trPr>
        <w:tc>
          <w:tcPr>
            <w:tcW w:w="3139" w:type="dxa"/>
            <w:shd w:val="clear" w:color="auto" w:fill="auto"/>
            <w:noWrap/>
            <w:vAlign w:val="bottom"/>
            <w:hideMark/>
          </w:tcPr>
          <w:p w:rsidR="008B0F16" w:rsidRPr="008B0F16" w:rsidRDefault="009E5CE1" w:rsidP="008B0F16">
            <w:pPr>
              <w:rPr>
                <w:rFonts w:eastAsia="Times New Roman"/>
                <w:color w:val="000000"/>
              </w:rPr>
            </w:pPr>
            <w:r w:rsidRPr="00937F13">
              <w:rPr>
                <w:rFonts w:eastAsia="Times New Roman"/>
                <w:color w:val="000000"/>
              </w:rPr>
              <w:t>6MWT (m, mean +/- SD</w:t>
            </w:r>
            <w:r w:rsidR="008B0F16" w:rsidRPr="008B0F16">
              <w:rPr>
                <w:rFonts w:eastAsia="Times New Roman"/>
                <w:color w:val="000000"/>
              </w:rPr>
              <w:t>)</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444.8 ± 121.2</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328.9 ± 107.4</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&lt;0.001</w:t>
            </w:r>
          </w:p>
        </w:tc>
        <w:tc>
          <w:tcPr>
            <w:tcW w:w="1843" w:type="dxa"/>
            <w:shd w:val="clear" w:color="auto" w:fill="auto"/>
            <w:noWrap/>
            <w:vAlign w:val="bottom"/>
            <w:hideMark/>
          </w:tcPr>
          <w:p w:rsidR="008B0F16" w:rsidRPr="008B0F16" w:rsidRDefault="008B0F16" w:rsidP="008B0F16">
            <w:pPr>
              <w:rPr>
                <w:rFonts w:eastAsia="Times New Roman"/>
                <w:color w:val="000000"/>
              </w:rPr>
            </w:pPr>
            <w:r w:rsidRPr="008B0F16">
              <w:rPr>
                <w:rFonts w:eastAsia="Times New Roman"/>
                <w:color w:val="000000"/>
              </w:rPr>
              <w:t>FC I/II n = 18, FC III/IV n = 59</w:t>
            </w:r>
          </w:p>
        </w:tc>
      </w:tr>
      <w:tr w:rsidR="009E5CE1" w:rsidRPr="00937F13" w:rsidTr="00937F13">
        <w:trPr>
          <w:trHeight w:val="320"/>
        </w:trPr>
        <w:tc>
          <w:tcPr>
            <w:tcW w:w="3139" w:type="dxa"/>
            <w:shd w:val="clear" w:color="auto" w:fill="auto"/>
            <w:noWrap/>
            <w:vAlign w:val="bottom"/>
            <w:hideMark/>
          </w:tcPr>
          <w:p w:rsidR="008B0F16" w:rsidRPr="008B0F16" w:rsidRDefault="009E5CE1" w:rsidP="008B0F16">
            <w:pPr>
              <w:jc w:val="right"/>
              <w:rPr>
                <w:rFonts w:eastAsia="Times New Roman"/>
                <w:color w:val="000000"/>
              </w:rPr>
            </w:pPr>
            <w:r w:rsidRPr="00937F13">
              <w:rPr>
                <w:rFonts w:eastAsia="Times New Roman"/>
                <w:color w:val="000000"/>
              </w:rPr>
              <w:t>SaO2 pre- (mmHg, mean +/- SD</w:t>
            </w:r>
            <w:r w:rsidR="008B0F16" w:rsidRPr="008B0F16">
              <w:rPr>
                <w:rFonts w:eastAsia="Times New Roman"/>
                <w:color w:val="000000"/>
              </w:rPr>
              <w:t>)</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97.3 ± 2.6</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96.1 ± 3.5</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0.192</w:t>
            </w:r>
          </w:p>
        </w:tc>
        <w:tc>
          <w:tcPr>
            <w:tcW w:w="1843" w:type="dxa"/>
            <w:shd w:val="clear" w:color="auto" w:fill="auto"/>
            <w:noWrap/>
            <w:vAlign w:val="bottom"/>
            <w:hideMark/>
          </w:tcPr>
          <w:p w:rsidR="008B0F16" w:rsidRPr="008B0F16" w:rsidRDefault="008B0F16" w:rsidP="008B0F16">
            <w:pPr>
              <w:rPr>
                <w:rFonts w:eastAsia="Times New Roman"/>
                <w:color w:val="000000"/>
              </w:rPr>
            </w:pPr>
            <w:r w:rsidRPr="008B0F16">
              <w:rPr>
                <w:rFonts w:eastAsia="Times New Roman"/>
                <w:color w:val="000000"/>
              </w:rPr>
              <w:t>FC I/II n = 18, FC III/IV n = 56</w:t>
            </w:r>
          </w:p>
        </w:tc>
      </w:tr>
      <w:tr w:rsidR="009E5CE1" w:rsidRPr="00937F13" w:rsidTr="00937F13">
        <w:trPr>
          <w:trHeight w:val="320"/>
        </w:trPr>
        <w:tc>
          <w:tcPr>
            <w:tcW w:w="3139" w:type="dxa"/>
            <w:shd w:val="clear" w:color="auto" w:fill="auto"/>
            <w:noWrap/>
            <w:vAlign w:val="bottom"/>
            <w:hideMark/>
          </w:tcPr>
          <w:p w:rsidR="008B0F16" w:rsidRPr="008B0F16" w:rsidRDefault="009E5CE1" w:rsidP="008B0F16">
            <w:pPr>
              <w:jc w:val="right"/>
              <w:rPr>
                <w:rFonts w:eastAsia="Times New Roman"/>
                <w:color w:val="000000"/>
              </w:rPr>
            </w:pPr>
            <w:r w:rsidRPr="00937F13">
              <w:rPr>
                <w:rFonts w:eastAsia="Times New Roman"/>
                <w:color w:val="000000"/>
              </w:rPr>
              <w:t>SaO2 post- (mmHg, mean +/- SD</w:t>
            </w:r>
            <w:r w:rsidR="008B0F16" w:rsidRPr="008B0F16">
              <w:rPr>
                <w:rFonts w:eastAsia="Times New Roman"/>
                <w:color w:val="000000"/>
              </w:rPr>
              <w:t>)</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91.9 ± 6.1</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89.6 ± 6.9</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0.209</w:t>
            </w:r>
          </w:p>
        </w:tc>
        <w:tc>
          <w:tcPr>
            <w:tcW w:w="1843" w:type="dxa"/>
            <w:shd w:val="clear" w:color="auto" w:fill="auto"/>
            <w:noWrap/>
            <w:vAlign w:val="bottom"/>
            <w:hideMark/>
          </w:tcPr>
          <w:p w:rsidR="008B0F16" w:rsidRPr="008B0F16" w:rsidRDefault="008B0F16" w:rsidP="008B0F16">
            <w:pPr>
              <w:rPr>
                <w:rFonts w:eastAsia="Times New Roman"/>
                <w:color w:val="000000"/>
              </w:rPr>
            </w:pPr>
            <w:r w:rsidRPr="008B0F16">
              <w:rPr>
                <w:rFonts w:eastAsia="Times New Roman"/>
                <w:color w:val="000000"/>
              </w:rPr>
              <w:t>FC I/II n = 18, FC III/IV n = 54</w:t>
            </w:r>
          </w:p>
        </w:tc>
      </w:tr>
      <w:tr w:rsidR="009E5CE1" w:rsidRPr="00937F13" w:rsidTr="00937F13">
        <w:trPr>
          <w:trHeight w:val="320"/>
        </w:trPr>
        <w:tc>
          <w:tcPr>
            <w:tcW w:w="3139" w:type="dxa"/>
            <w:shd w:val="clear" w:color="auto" w:fill="auto"/>
            <w:noWrap/>
            <w:vAlign w:val="bottom"/>
            <w:hideMark/>
          </w:tcPr>
          <w:p w:rsidR="008B0F16" w:rsidRPr="008B0F16" w:rsidRDefault="008B0F16" w:rsidP="008B0F16">
            <w:pPr>
              <w:rPr>
                <w:rFonts w:eastAsia="Times New Roman"/>
                <w:color w:val="000000"/>
              </w:rPr>
            </w:pPr>
            <w:r w:rsidRPr="008B0F16">
              <w:rPr>
                <w:rFonts w:eastAsia="Times New Roman"/>
                <w:color w:val="000000"/>
              </w:rPr>
              <w:t>TTE parameters</w:t>
            </w:r>
          </w:p>
        </w:tc>
        <w:tc>
          <w:tcPr>
            <w:tcW w:w="1956" w:type="dxa"/>
            <w:shd w:val="clear" w:color="auto" w:fill="auto"/>
            <w:noWrap/>
            <w:vAlign w:val="bottom"/>
            <w:hideMark/>
          </w:tcPr>
          <w:p w:rsidR="008B0F16" w:rsidRPr="008B0F16" w:rsidRDefault="008B0F16" w:rsidP="008B0F16">
            <w:pPr>
              <w:rPr>
                <w:rFonts w:eastAsia="Times New Roman"/>
                <w:color w:val="000000"/>
              </w:rPr>
            </w:pPr>
          </w:p>
        </w:tc>
        <w:tc>
          <w:tcPr>
            <w:tcW w:w="1560" w:type="dxa"/>
            <w:shd w:val="clear" w:color="auto" w:fill="auto"/>
            <w:noWrap/>
            <w:vAlign w:val="bottom"/>
            <w:hideMark/>
          </w:tcPr>
          <w:p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noWrap/>
            <w:vAlign w:val="bottom"/>
            <w:hideMark/>
          </w:tcPr>
          <w:p w:rsidR="008B0F16" w:rsidRPr="008B0F16" w:rsidRDefault="008B0F16" w:rsidP="008B0F16">
            <w:pPr>
              <w:jc w:val="right"/>
              <w:rPr>
                <w:rFonts w:eastAsia="Times New Roman"/>
                <w:color w:val="000000"/>
              </w:rPr>
            </w:pPr>
            <w:r w:rsidRPr="008B0F16">
              <w:rPr>
                <w:rFonts w:eastAsia="Times New Roman"/>
                <w:color w:val="000000"/>
              </w:rPr>
              <w:t>Est. s</w:t>
            </w:r>
            <w:r w:rsidR="009E5CE1" w:rsidRPr="00937F13">
              <w:rPr>
                <w:rFonts w:eastAsia="Times New Roman"/>
                <w:color w:val="000000"/>
              </w:rPr>
              <w:t>ystolic PAP (mmHg, mean +/- SD</w:t>
            </w:r>
            <w:r w:rsidRPr="008B0F16">
              <w:rPr>
                <w:rFonts w:eastAsia="Times New Roman"/>
                <w:color w:val="000000"/>
              </w:rPr>
              <w:t>)</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43.5 ± 21.0</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57.8 ± 23.8</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0.021</w:t>
            </w:r>
          </w:p>
        </w:tc>
        <w:tc>
          <w:tcPr>
            <w:tcW w:w="1843" w:type="dxa"/>
            <w:shd w:val="clear" w:color="auto" w:fill="auto"/>
            <w:noWrap/>
            <w:vAlign w:val="bottom"/>
            <w:hideMark/>
          </w:tcPr>
          <w:p w:rsidR="008B0F16" w:rsidRPr="008B0F16" w:rsidRDefault="008B0F16" w:rsidP="008B0F16">
            <w:pPr>
              <w:rPr>
                <w:rFonts w:eastAsia="Times New Roman"/>
                <w:color w:val="000000"/>
              </w:rPr>
            </w:pPr>
            <w:r w:rsidRPr="008B0F16">
              <w:rPr>
                <w:rFonts w:eastAsia="Times New Roman"/>
                <w:color w:val="000000"/>
              </w:rPr>
              <w:t>FC I/II n = 19, FC III/IV n = 65</w:t>
            </w:r>
          </w:p>
        </w:tc>
      </w:tr>
      <w:tr w:rsidR="009E5CE1" w:rsidRPr="00937F13" w:rsidTr="00937F13">
        <w:trPr>
          <w:trHeight w:val="320"/>
        </w:trPr>
        <w:tc>
          <w:tcPr>
            <w:tcW w:w="3139" w:type="dxa"/>
            <w:shd w:val="clear" w:color="auto" w:fill="auto"/>
            <w:vAlign w:val="bottom"/>
            <w:hideMark/>
          </w:tcPr>
          <w:p w:rsidR="008B0F16" w:rsidRPr="008B0F16" w:rsidRDefault="008B0F16" w:rsidP="00CC6063">
            <w:pPr>
              <w:jc w:val="right"/>
              <w:rPr>
                <w:rFonts w:eastAsia="Times New Roman"/>
                <w:color w:val="000000"/>
              </w:rPr>
            </w:pPr>
            <w:r w:rsidRPr="008B0F16">
              <w:rPr>
                <w:rFonts w:eastAsia="Times New Roman"/>
                <w:color w:val="000000"/>
              </w:rPr>
              <w:t>TR severity - n (%)</w:t>
            </w:r>
          </w:p>
        </w:tc>
        <w:tc>
          <w:tcPr>
            <w:tcW w:w="1956" w:type="dxa"/>
            <w:shd w:val="clear" w:color="auto" w:fill="auto"/>
            <w:noWrap/>
            <w:vAlign w:val="bottom"/>
            <w:hideMark/>
          </w:tcPr>
          <w:p w:rsidR="008B0F16" w:rsidRPr="008B0F16" w:rsidRDefault="008B0F16" w:rsidP="008B0F16">
            <w:pPr>
              <w:rPr>
                <w:rFonts w:eastAsia="Times New Roman"/>
                <w:color w:val="000000"/>
              </w:rPr>
            </w:pPr>
          </w:p>
        </w:tc>
        <w:tc>
          <w:tcPr>
            <w:tcW w:w="1560" w:type="dxa"/>
            <w:shd w:val="clear" w:color="auto" w:fill="auto"/>
            <w:noWrap/>
            <w:vAlign w:val="bottom"/>
            <w:hideMark/>
          </w:tcPr>
          <w:p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Trivial</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8 (42.1%)</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24 (34.8%)</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0.896</w:t>
            </w:r>
          </w:p>
        </w:tc>
        <w:tc>
          <w:tcPr>
            <w:tcW w:w="1843" w:type="dxa"/>
            <w:shd w:val="clear" w:color="auto" w:fill="auto"/>
            <w:noWrap/>
            <w:vAlign w:val="bottom"/>
            <w:hideMark/>
          </w:tcPr>
          <w:p w:rsidR="008B0F16" w:rsidRPr="008B0F16" w:rsidRDefault="008B0F16" w:rsidP="008B0F16">
            <w:pPr>
              <w:jc w:val="center"/>
              <w:rPr>
                <w:rFonts w:eastAsia="Times New Roman"/>
                <w:color w:val="00000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Mild</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6 (31.6%)</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22 (31.9%)</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Moderate</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3 (15.8%)</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16 (23.2%)</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Severe</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2 (10.5%)</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7 (10.1%)</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CC6063">
            <w:pPr>
              <w:jc w:val="right"/>
              <w:rPr>
                <w:rFonts w:eastAsia="Times New Roman"/>
                <w:color w:val="000000"/>
              </w:rPr>
            </w:pPr>
            <w:r w:rsidRPr="008B0F16">
              <w:rPr>
                <w:rFonts w:eastAsia="Times New Roman"/>
                <w:color w:val="000000"/>
              </w:rPr>
              <w:t>RV function -  n (%)</w:t>
            </w:r>
          </w:p>
        </w:tc>
        <w:tc>
          <w:tcPr>
            <w:tcW w:w="1956" w:type="dxa"/>
            <w:shd w:val="clear" w:color="auto" w:fill="auto"/>
            <w:noWrap/>
            <w:vAlign w:val="bottom"/>
            <w:hideMark/>
          </w:tcPr>
          <w:p w:rsidR="008B0F16" w:rsidRPr="008B0F16" w:rsidRDefault="008B0F16" w:rsidP="008B0F16">
            <w:pPr>
              <w:rPr>
                <w:rFonts w:eastAsia="Times New Roman"/>
                <w:color w:val="000000"/>
              </w:rPr>
            </w:pPr>
          </w:p>
        </w:tc>
        <w:tc>
          <w:tcPr>
            <w:tcW w:w="1560" w:type="dxa"/>
            <w:shd w:val="clear" w:color="auto" w:fill="auto"/>
            <w:noWrap/>
            <w:vAlign w:val="bottom"/>
            <w:hideMark/>
          </w:tcPr>
          <w:p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rsidR="008B0F16" w:rsidRPr="008B0F16" w:rsidRDefault="008B0F16" w:rsidP="008B0F16">
            <w:pPr>
              <w:rPr>
                <w:rFonts w:eastAsia="Times New Roman"/>
                <w:color w:val="000000"/>
              </w:rPr>
            </w:pPr>
            <w:r w:rsidRPr="008B0F16">
              <w:rPr>
                <w:rFonts w:eastAsia="Times New Roman"/>
                <w:color w:val="000000"/>
              </w:rPr>
              <w:t>FC I/II n = 19, FC III/IV n = 67</w:t>
            </w: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Normal</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18 (94.7%)</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46 (68.7%)</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0.132</w:t>
            </w:r>
          </w:p>
        </w:tc>
        <w:tc>
          <w:tcPr>
            <w:tcW w:w="1843" w:type="dxa"/>
            <w:shd w:val="clear" w:color="auto" w:fill="auto"/>
            <w:noWrap/>
            <w:vAlign w:val="bottom"/>
            <w:hideMark/>
          </w:tcPr>
          <w:p w:rsidR="008B0F16" w:rsidRPr="008B0F16" w:rsidRDefault="008B0F16" w:rsidP="008B0F16">
            <w:pPr>
              <w:jc w:val="center"/>
              <w:rPr>
                <w:rFonts w:eastAsia="Times New Roman"/>
                <w:color w:val="00000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Mild</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1 (5.3%)</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9 (13.4%)</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Moderate</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6 (9.0%)</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Severe</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6 (9.0%)</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640"/>
        </w:trPr>
        <w:tc>
          <w:tcPr>
            <w:tcW w:w="3139" w:type="dxa"/>
            <w:shd w:val="clear" w:color="auto" w:fill="auto"/>
            <w:vAlign w:val="bottom"/>
            <w:hideMark/>
          </w:tcPr>
          <w:p w:rsidR="008B0F16" w:rsidRPr="008B0F16" w:rsidRDefault="008B0F16" w:rsidP="00CC6063">
            <w:pPr>
              <w:jc w:val="right"/>
              <w:rPr>
                <w:rFonts w:eastAsia="Times New Roman"/>
                <w:color w:val="000000"/>
              </w:rPr>
            </w:pPr>
            <w:r w:rsidRPr="008B0F16">
              <w:rPr>
                <w:rFonts w:eastAsia="Times New Roman"/>
                <w:color w:val="000000"/>
              </w:rPr>
              <w:t>RV size- degree of enlarg</w:t>
            </w:r>
            <w:r w:rsidR="009E5CE1" w:rsidRPr="00937F13">
              <w:rPr>
                <w:rFonts w:eastAsia="Times New Roman"/>
                <w:color w:val="000000"/>
              </w:rPr>
              <w:t>e</w:t>
            </w:r>
            <w:r w:rsidR="00937F13">
              <w:rPr>
                <w:rFonts w:eastAsia="Times New Roman"/>
                <w:color w:val="000000"/>
              </w:rPr>
              <w:t>ment</w:t>
            </w:r>
            <w:r w:rsidRPr="008B0F16">
              <w:rPr>
                <w:rFonts w:eastAsia="Times New Roman"/>
                <w:color w:val="000000"/>
              </w:rPr>
              <w:t xml:space="preserve"> n (%)</w:t>
            </w:r>
          </w:p>
        </w:tc>
        <w:tc>
          <w:tcPr>
            <w:tcW w:w="1956" w:type="dxa"/>
            <w:shd w:val="clear" w:color="auto" w:fill="auto"/>
            <w:noWrap/>
            <w:vAlign w:val="bottom"/>
            <w:hideMark/>
          </w:tcPr>
          <w:p w:rsidR="008B0F16" w:rsidRPr="008B0F16" w:rsidRDefault="008B0F16" w:rsidP="008B0F16">
            <w:pPr>
              <w:rPr>
                <w:rFonts w:eastAsia="Times New Roman"/>
                <w:color w:val="000000"/>
              </w:rPr>
            </w:pPr>
          </w:p>
        </w:tc>
        <w:tc>
          <w:tcPr>
            <w:tcW w:w="1560" w:type="dxa"/>
            <w:shd w:val="clear" w:color="auto" w:fill="auto"/>
            <w:noWrap/>
            <w:vAlign w:val="bottom"/>
            <w:hideMark/>
          </w:tcPr>
          <w:p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Normal</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14 (73.7%)</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41 (59.4%)</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0.345</w:t>
            </w:r>
          </w:p>
        </w:tc>
        <w:tc>
          <w:tcPr>
            <w:tcW w:w="1843" w:type="dxa"/>
            <w:shd w:val="clear" w:color="auto" w:fill="auto"/>
            <w:noWrap/>
            <w:vAlign w:val="bottom"/>
            <w:hideMark/>
          </w:tcPr>
          <w:p w:rsidR="008B0F16" w:rsidRPr="008B0F16" w:rsidRDefault="008B0F16" w:rsidP="008B0F16">
            <w:pPr>
              <w:jc w:val="center"/>
              <w:rPr>
                <w:rFonts w:eastAsia="Times New Roman"/>
                <w:color w:val="00000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Mild</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3 (15.8%)</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12 (17.4%)</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Moderate</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2 (10.5%)</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6 (8.7%)</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r w:rsidR="009E5CE1" w:rsidRPr="00937F13" w:rsidTr="00937F13">
        <w:trPr>
          <w:trHeight w:val="320"/>
        </w:trPr>
        <w:tc>
          <w:tcPr>
            <w:tcW w:w="3139" w:type="dxa"/>
            <w:shd w:val="clear" w:color="auto" w:fill="auto"/>
            <w:vAlign w:val="bottom"/>
            <w:hideMark/>
          </w:tcPr>
          <w:p w:rsidR="008B0F16" w:rsidRPr="008B0F16" w:rsidRDefault="008B0F16" w:rsidP="008B0F16">
            <w:pPr>
              <w:jc w:val="right"/>
              <w:rPr>
                <w:rFonts w:eastAsia="Times New Roman"/>
                <w:color w:val="000000"/>
              </w:rPr>
            </w:pPr>
            <w:r w:rsidRPr="008B0F16">
              <w:rPr>
                <w:rFonts w:eastAsia="Times New Roman"/>
                <w:color w:val="000000"/>
              </w:rPr>
              <w:t>Severe</w:t>
            </w:r>
          </w:p>
        </w:tc>
        <w:tc>
          <w:tcPr>
            <w:tcW w:w="1956"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0</w:t>
            </w:r>
          </w:p>
        </w:tc>
        <w:tc>
          <w:tcPr>
            <w:tcW w:w="1560" w:type="dxa"/>
            <w:shd w:val="clear" w:color="auto" w:fill="auto"/>
            <w:noWrap/>
            <w:vAlign w:val="bottom"/>
            <w:hideMark/>
          </w:tcPr>
          <w:p w:rsidR="008B0F16" w:rsidRPr="008B0F16" w:rsidRDefault="008B0F16" w:rsidP="008B0F16">
            <w:pPr>
              <w:jc w:val="center"/>
              <w:rPr>
                <w:rFonts w:eastAsia="Times New Roman"/>
                <w:color w:val="000000"/>
              </w:rPr>
            </w:pPr>
            <w:r w:rsidRPr="008B0F16">
              <w:rPr>
                <w:rFonts w:eastAsia="Times New Roman"/>
                <w:color w:val="000000"/>
              </w:rPr>
              <w:t>10 (14.5%)</w:t>
            </w:r>
          </w:p>
        </w:tc>
        <w:tc>
          <w:tcPr>
            <w:tcW w:w="992" w:type="dxa"/>
            <w:shd w:val="clear" w:color="auto" w:fill="auto"/>
            <w:noWrap/>
            <w:vAlign w:val="bottom"/>
            <w:hideMark/>
          </w:tcPr>
          <w:p w:rsidR="008B0F16" w:rsidRPr="008B0F16" w:rsidRDefault="008B0F16" w:rsidP="008B0F16">
            <w:pPr>
              <w:jc w:val="center"/>
              <w:rPr>
                <w:rFonts w:eastAsia="Times New Roman"/>
                <w:color w:val="000000"/>
              </w:rPr>
            </w:pPr>
          </w:p>
        </w:tc>
        <w:tc>
          <w:tcPr>
            <w:tcW w:w="1843" w:type="dxa"/>
            <w:shd w:val="clear" w:color="auto" w:fill="auto"/>
            <w:noWrap/>
            <w:vAlign w:val="bottom"/>
            <w:hideMark/>
          </w:tcPr>
          <w:p w:rsidR="008B0F16" w:rsidRPr="008B0F16" w:rsidRDefault="008B0F16" w:rsidP="008B0F16">
            <w:pPr>
              <w:jc w:val="center"/>
              <w:rPr>
                <w:rFonts w:eastAsia="Times New Roman"/>
                <w:sz w:val="20"/>
                <w:szCs w:val="20"/>
              </w:rPr>
            </w:pPr>
          </w:p>
        </w:tc>
      </w:tr>
    </w:tbl>
    <w:p w:rsidR="00022227" w:rsidRPr="00B251E5" w:rsidRDefault="00022227" w:rsidP="00022227">
      <w:pPr>
        <w:widowControl w:val="0"/>
        <w:tabs>
          <w:tab w:val="left" w:pos="220"/>
          <w:tab w:val="left" w:pos="720"/>
        </w:tabs>
        <w:autoSpaceDE w:val="0"/>
        <w:autoSpaceDN w:val="0"/>
        <w:adjustRightInd w:val="0"/>
        <w:ind w:right="-858"/>
        <w:rPr>
          <w:rFonts w:eastAsia="Times New Roman"/>
          <w:color w:val="000000"/>
          <w:sz w:val="22"/>
        </w:rPr>
      </w:pPr>
      <w:r w:rsidRPr="00B251E5">
        <w:rPr>
          <w:rFonts w:eastAsia="Times New Roman"/>
          <w:color w:val="000000"/>
          <w:sz w:val="22"/>
        </w:rPr>
        <w:t>RHC, right heart catheter; PAH, pulmonary arterial hypertension; FC, functional class; 6MWT, six minute walk test; Sa02, oxygen saturation; TTE, transthoracic echocardiogram; Est. systolic PAP, estimated systolic pulmonary arterial pressure; TR, tricuspid regurgitation; RV, right ventricle</w:t>
      </w:r>
    </w:p>
    <w:p w:rsidR="008B0F16" w:rsidRPr="00B251E5" w:rsidRDefault="009310DA" w:rsidP="00022227">
      <w:pPr>
        <w:widowControl w:val="0"/>
        <w:tabs>
          <w:tab w:val="left" w:pos="220"/>
          <w:tab w:val="left" w:pos="720"/>
        </w:tabs>
        <w:autoSpaceDE w:val="0"/>
        <w:autoSpaceDN w:val="0"/>
        <w:adjustRightInd w:val="0"/>
        <w:jc w:val="both"/>
        <w:rPr>
          <w:b/>
          <w:sz w:val="21"/>
          <w:szCs w:val="22"/>
        </w:rPr>
      </w:pPr>
      <w:r w:rsidRPr="00B251E5">
        <w:rPr>
          <w:rFonts w:eastAsia="Times New Roman"/>
          <w:color w:val="000000"/>
          <w:sz w:val="22"/>
        </w:rPr>
        <w:t>Chi</w:t>
      </w:r>
      <w:r w:rsidRPr="00B251E5">
        <w:rPr>
          <w:rFonts w:eastAsia="Times New Roman"/>
          <w:color w:val="000000"/>
          <w:sz w:val="22"/>
          <w:vertAlign w:val="superscript"/>
        </w:rPr>
        <w:t>2</w:t>
      </w:r>
      <w:r w:rsidRPr="00B251E5">
        <w:rPr>
          <w:rFonts w:eastAsia="Times New Roman"/>
          <w:color w:val="000000"/>
          <w:sz w:val="22"/>
        </w:rPr>
        <w:t xml:space="preserve"> test for categorical variables and t-test for continuous variables</w:t>
      </w:r>
    </w:p>
    <w:p w:rsidR="00572219" w:rsidRDefault="00572219">
      <w:pPr>
        <w:rPr>
          <w:rFonts w:eastAsia="Times New Roman"/>
          <w:bCs/>
          <w:color w:val="000000"/>
        </w:rPr>
      </w:pPr>
      <w:r>
        <w:rPr>
          <w:rFonts w:eastAsia="Times New Roman"/>
          <w:bCs/>
          <w:color w:val="000000"/>
        </w:rPr>
        <w:br w:type="page"/>
      </w:r>
    </w:p>
    <w:p w:rsidR="005E16EF" w:rsidRDefault="00B251E5" w:rsidP="009822C8">
      <w:pPr>
        <w:spacing w:line="360" w:lineRule="auto"/>
        <w:ind w:right="-291"/>
        <w:jc w:val="both"/>
        <w:rPr>
          <w:rFonts w:eastAsia="Times New Roman"/>
          <w:bCs/>
          <w:color w:val="000000"/>
        </w:rPr>
      </w:pPr>
      <w:r>
        <w:rPr>
          <w:rFonts w:eastAsia="Times New Roman"/>
          <w:bCs/>
          <w:color w:val="000000"/>
        </w:rPr>
        <w:t xml:space="preserve">In patients who were in FC I/II at the </w:t>
      </w:r>
      <w:r w:rsidR="00C31BEC">
        <w:rPr>
          <w:rFonts w:eastAsia="Times New Roman"/>
          <w:bCs/>
          <w:color w:val="000000"/>
        </w:rPr>
        <w:t xml:space="preserve">first </w:t>
      </w:r>
      <w:r>
        <w:rPr>
          <w:rFonts w:eastAsia="Times New Roman"/>
          <w:bCs/>
          <w:color w:val="000000"/>
        </w:rPr>
        <w:t>visit, bosentan was most commonly prescribed as first PAH drug (44</w:t>
      </w:r>
      <w:r w:rsidR="005E16EF">
        <w:rPr>
          <w:rFonts w:eastAsia="Times New Roman"/>
          <w:bCs/>
          <w:color w:val="000000"/>
        </w:rPr>
        <w:t>.0</w:t>
      </w:r>
      <w:r>
        <w:rPr>
          <w:rFonts w:eastAsia="Times New Roman"/>
          <w:bCs/>
          <w:color w:val="000000"/>
        </w:rPr>
        <w:t>%) but by the index visit, this had fallen to 20</w:t>
      </w:r>
      <w:r w:rsidR="005E16EF">
        <w:rPr>
          <w:rFonts w:eastAsia="Times New Roman"/>
          <w:bCs/>
          <w:color w:val="000000"/>
        </w:rPr>
        <w:t>.0</w:t>
      </w:r>
      <w:r>
        <w:rPr>
          <w:rFonts w:eastAsia="Times New Roman"/>
          <w:bCs/>
          <w:color w:val="000000"/>
        </w:rPr>
        <w:t>% and 52</w:t>
      </w:r>
      <w:r w:rsidR="005E16EF">
        <w:rPr>
          <w:rFonts w:eastAsia="Times New Roman"/>
          <w:bCs/>
          <w:color w:val="000000"/>
        </w:rPr>
        <w:t>.0</w:t>
      </w:r>
      <w:r>
        <w:rPr>
          <w:rFonts w:eastAsia="Times New Roman"/>
          <w:bCs/>
          <w:color w:val="000000"/>
        </w:rPr>
        <w:t>% were prescribed macitentan</w:t>
      </w:r>
      <w:r w:rsidR="005E16EF">
        <w:rPr>
          <w:rFonts w:eastAsia="Times New Roman"/>
          <w:bCs/>
          <w:color w:val="000000"/>
        </w:rPr>
        <w:t xml:space="preserve"> (Table 4)</w:t>
      </w:r>
      <w:r>
        <w:rPr>
          <w:rFonts w:eastAsia="Times New Roman"/>
          <w:bCs/>
          <w:color w:val="000000"/>
        </w:rPr>
        <w:t>.</w:t>
      </w:r>
      <w:r w:rsidR="005E16EF">
        <w:rPr>
          <w:rFonts w:eastAsia="Times New Roman"/>
          <w:bCs/>
          <w:color w:val="000000"/>
        </w:rPr>
        <w:t xml:space="preserve"> Monotherapy was the first therapy in 76% of patients but 32.0% were receiving dual therapy at the index visit. </w:t>
      </w:r>
    </w:p>
    <w:p w:rsidR="005E16EF" w:rsidRDefault="005E16EF" w:rsidP="009822C8">
      <w:pPr>
        <w:spacing w:line="360" w:lineRule="auto"/>
        <w:ind w:right="-291"/>
        <w:jc w:val="both"/>
        <w:rPr>
          <w:rFonts w:eastAsia="Times New Roman"/>
          <w:bCs/>
          <w:color w:val="000000"/>
        </w:rPr>
      </w:pPr>
    </w:p>
    <w:p w:rsidR="000D0234" w:rsidRDefault="00845D8A" w:rsidP="009822C8">
      <w:pPr>
        <w:spacing w:line="360" w:lineRule="auto"/>
        <w:ind w:right="-291"/>
        <w:jc w:val="both"/>
        <w:rPr>
          <w:rFonts w:eastAsia="Times New Roman"/>
          <w:bCs/>
          <w:color w:val="000000"/>
        </w:rPr>
      </w:pPr>
      <w:r>
        <w:rPr>
          <w:rFonts w:eastAsia="Times New Roman"/>
          <w:bCs/>
          <w:color w:val="000000"/>
        </w:rPr>
        <w:t>In</w:t>
      </w:r>
      <w:r w:rsidR="005E16EF">
        <w:rPr>
          <w:rFonts w:eastAsia="Times New Roman"/>
          <w:bCs/>
          <w:color w:val="000000"/>
        </w:rPr>
        <w:t xml:space="preserve"> patients who were in FC III/IV at the index visit,</w:t>
      </w:r>
      <w:r>
        <w:rPr>
          <w:rFonts w:eastAsia="Times New Roman"/>
          <w:bCs/>
          <w:color w:val="000000"/>
        </w:rPr>
        <w:t xml:space="preserve"> macitentan was the most commonly prescribed as first PAH drug (40.5%), this increasing to 55.7% by the index visit.</w:t>
      </w:r>
      <w:r w:rsidR="005E16EF">
        <w:rPr>
          <w:rFonts w:eastAsia="Times New Roman"/>
          <w:bCs/>
          <w:color w:val="000000"/>
        </w:rPr>
        <w:t xml:space="preserve"> (Table 4). Monotherapy was the first therapy in 77.2% of patients but 44.3% were receiving dual therapy </w:t>
      </w:r>
      <w:r w:rsidR="000D0234">
        <w:rPr>
          <w:rFonts w:eastAsia="Times New Roman"/>
          <w:bCs/>
          <w:color w:val="000000"/>
        </w:rPr>
        <w:t xml:space="preserve">and 6.3% were receiving triple therapy </w:t>
      </w:r>
      <w:r w:rsidR="005E16EF">
        <w:rPr>
          <w:rFonts w:eastAsia="Times New Roman"/>
          <w:bCs/>
          <w:color w:val="000000"/>
        </w:rPr>
        <w:t xml:space="preserve">at the index visit. </w:t>
      </w:r>
      <w:r w:rsidR="008E2322" w:rsidRPr="008E2322">
        <w:rPr>
          <w:rFonts w:eastAsia="Times New Roman"/>
          <w:bCs/>
          <w:color w:val="000000"/>
        </w:rPr>
        <w:t xml:space="preserve">The </w:t>
      </w:r>
      <w:r w:rsidR="008E2322" w:rsidRPr="00916748">
        <w:rPr>
          <w:rFonts w:eastAsia="Times New Roman"/>
          <w:bCs/>
          <w:color w:val="000000"/>
        </w:rPr>
        <w:t xml:space="preserve">PAH specific drugs used as monotherapy, dual therapy and triple therapy </w:t>
      </w:r>
      <w:r w:rsidR="008E2322">
        <w:rPr>
          <w:rFonts w:eastAsia="Times New Roman"/>
          <w:bCs/>
          <w:color w:val="000000"/>
        </w:rPr>
        <w:t xml:space="preserve">by patients </w:t>
      </w:r>
      <w:r w:rsidR="008E2322" w:rsidRPr="00916748">
        <w:rPr>
          <w:rFonts w:eastAsia="Times New Roman"/>
          <w:bCs/>
          <w:color w:val="000000"/>
        </w:rPr>
        <w:t>according to functional class at the index visit</w:t>
      </w:r>
      <w:r w:rsidR="008E2322">
        <w:rPr>
          <w:rFonts w:eastAsia="Times New Roman"/>
          <w:bCs/>
          <w:color w:val="000000"/>
        </w:rPr>
        <w:t xml:space="preserve"> </w:t>
      </w:r>
      <w:r w:rsidR="008E2322" w:rsidRPr="00916748">
        <w:rPr>
          <w:rFonts w:eastAsia="Times New Roman"/>
          <w:bCs/>
          <w:color w:val="000000"/>
        </w:rPr>
        <w:t>are demonstrated in Appendices II-IV.</w:t>
      </w:r>
      <w:r w:rsidR="008E2322">
        <w:rPr>
          <w:rFonts w:eastAsia="Times New Roman"/>
          <w:b/>
          <w:bCs/>
          <w:color w:val="000000"/>
        </w:rPr>
        <w:t xml:space="preserve"> </w:t>
      </w:r>
      <w:r w:rsidR="000D0234">
        <w:rPr>
          <w:rFonts w:eastAsia="Times New Roman"/>
          <w:bCs/>
          <w:color w:val="000000"/>
        </w:rPr>
        <w:t xml:space="preserve">Dual therapy </w:t>
      </w:r>
      <w:r w:rsidR="008E2322">
        <w:rPr>
          <w:rFonts w:eastAsia="Times New Roman"/>
          <w:bCs/>
          <w:color w:val="000000"/>
        </w:rPr>
        <w:t xml:space="preserve">typically comprised </w:t>
      </w:r>
      <w:r w:rsidR="000D0234">
        <w:rPr>
          <w:rFonts w:eastAsia="Times New Roman"/>
          <w:bCs/>
          <w:color w:val="000000"/>
        </w:rPr>
        <w:t xml:space="preserve">an endothelin receptor antagonist and a phosphodiesterase-5 inhibitor and triple therapy entailed the addition of a prostanoid eg epoprostenol . </w:t>
      </w:r>
    </w:p>
    <w:p w:rsidR="000D0234" w:rsidRDefault="000D0234" w:rsidP="009822C8">
      <w:pPr>
        <w:spacing w:line="360" w:lineRule="auto"/>
        <w:ind w:right="-291"/>
        <w:jc w:val="both"/>
        <w:rPr>
          <w:rFonts w:eastAsia="Times New Roman"/>
          <w:bCs/>
          <w:color w:val="000000"/>
        </w:rPr>
      </w:pPr>
    </w:p>
    <w:p w:rsidR="00B251E5" w:rsidRDefault="005E16EF" w:rsidP="009822C8">
      <w:pPr>
        <w:spacing w:line="360" w:lineRule="auto"/>
        <w:ind w:right="-291"/>
        <w:jc w:val="both"/>
        <w:rPr>
          <w:rFonts w:eastAsia="Times New Roman"/>
          <w:bCs/>
          <w:color w:val="000000"/>
        </w:rPr>
      </w:pPr>
      <w:r>
        <w:rPr>
          <w:rFonts w:eastAsia="Times New Roman"/>
          <w:bCs/>
          <w:color w:val="000000"/>
        </w:rPr>
        <w:t>Anti-coagulation, was used in 19% of FC III/IV by the time of the index visit. Supportive therapy was used by both groups, such as diuretics (32% in FC I/II and 53.2% in FC III/IV at the index visit) but supplementary oxygen was only used in FC III/IV (12.8% at the time of first therapy increasing to 26.6% by the time of the index visit). A range of other therapies for other manifestations of SSc were used by all patients at both the first therapy and index visits.</w:t>
      </w:r>
    </w:p>
    <w:p w:rsidR="005E16EF" w:rsidRDefault="005E16EF" w:rsidP="009822C8">
      <w:pPr>
        <w:spacing w:line="360" w:lineRule="auto"/>
        <w:ind w:right="-291"/>
        <w:rPr>
          <w:rFonts w:eastAsia="Times New Roman"/>
          <w:bCs/>
          <w:color w:val="000000"/>
        </w:rPr>
      </w:pPr>
    </w:p>
    <w:p w:rsidR="005E16EF" w:rsidRPr="00B251E5" w:rsidRDefault="000D0234" w:rsidP="009822C8">
      <w:pPr>
        <w:spacing w:line="360" w:lineRule="auto"/>
        <w:ind w:right="-291"/>
        <w:rPr>
          <w:rFonts w:eastAsia="Times New Roman"/>
          <w:bCs/>
          <w:color w:val="000000"/>
        </w:rPr>
      </w:pPr>
      <w:r>
        <w:rPr>
          <w:rFonts w:eastAsia="Times New Roman"/>
          <w:bCs/>
          <w:color w:val="000000"/>
        </w:rPr>
        <w:t>Approximately o</w:t>
      </w:r>
      <w:r w:rsidR="008212CC">
        <w:rPr>
          <w:rFonts w:eastAsia="Times New Roman"/>
          <w:bCs/>
          <w:color w:val="000000"/>
        </w:rPr>
        <w:t>ne</w:t>
      </w:r>
      <w:r>
        <w:rPr>
          <w:rFonts w:eastAsia="Times New Roman"/>
          <w:bCs/>
          <w:color w:val="000000"/>
        </w:rPr>
        <w:t xml:space="preserve"> third of patients in FC I/II were </w:t>
      </w:r>
      <w:r w:rsidR="007B3046">
        <w:rPr>
          <w:rFonts w:eastAsia="Times New Roman"/>
          <w:bCs/>
          <w:color w:val="000000"/>
        </w:rPr>
        <w:t>hospitalised</w:t>
      </w:r>
      <w:r>
        <w:rPr>
          <w:rFonts w:eastAsia="Times New Roman"/>
          <w:bCs/>
          <w:color w:val="000000"/>
        </w:rPr>
        <w:t xml:space="preserve"> in the 12 months before the first visit when PAH therapy was commenced and also in the 12 months before the index visit (Table 4). In contrast, these figures were around 50% in the FC III/IV patients.</w:t>
      </w:r>
    </w:p>
    <w:p w:rsidR="00572219" w:rsidRDefault="00572219">
      <w:pPr>
        <w:rPr>
          <w:rFonts w:eastAsia="Times New Roman"/>
          <w:b/>
          <w:bCs/>
          <w:color w:val="000000"/>
        </w:rPr>
      </w:pPr>
      <w:r>
        <w:rPr>
          <w:rFonts w:eastAsia="Times New Roman"/>
          <w:b/>
          <w:bCs/>
          <w:color w:val="000000"/>
        </w:rPr>
        <w:br w:type="page"/>
      </w:r>
    </w:p>
    <w:p w:rsidR="009E5CE1" w:rsidRPr="00937F13" w:rsidRDefault="009E5CE1" w:rsidP="009E5CE1">
      <w:pPr>
        <w:jc w:val="both"/>
        <w:rPr>
          <w:rFonts w:eastAsia="Times New Roman"/>
          <w:b/>
          <w:bCs/>
          <w:color w:val="000000"/>
        </w:rPr>
      </w:pPr>
      <w:r w:rsidRPr="009E5CE1">
        <w:rPr>
          <w:rFonts w:eastAsia="Times New Roman"/>
          <w:b/>
          <w:bCs/>
          <w:color w:val="000000"/>
        </w:rPr>
        <w:t>Table 4: PAH specific and other therapies</w:t>
      </w:r>
      <w:r w:rsidR="009310DA">
        <w:rPr>
          <w:rFonts w:eastAsia="Times New Roman"/>
          <w:b/>
          <w:bCs/>
          <w:color w:val="000000"/>
        </w:rPr>
        <w:t xml:space="preserve"> used by patients with RHC-defined PAH according to functional class</w:t>
      </w:r>
      <w:r w:rsidR="009310DA" w:rsidRPr="006D4734">
        <w:rPr>
          <w:rFonts w:eastAsia="Times New Roman"/>
          <w:b/>
          <w:bCs/>
          <w:color w:val="000000"/>
        </w:rPr>
        <w:t xml:space="preserve"> (at the index visit)</w:t>
      </w:r>
    </w:p>
    <w:p w:rsidR="00341603" w:rsidRPr="00937F13" w:rsidRDefault="00341603" w:rsidP="00AD1F5E">
      <w:pPr>
        <w:widowControl w:val="0"/>
        <w:tabs>
          <w:tab w:val="left" w:pos="220"/>
          <w:tab w:val="left" w:pos="720"/>
        </w:tabs>
        <w:autoSpaceDE w:val="0"/>
        <w:autoSpaceDN w:val="0"/>
        <w:adjustRightInd w:val="0"/>
        <w:spacing w:line="360" w:lineRule="auto"/>
        <w:jc w:val="both"/>
        <w:rPr>
          <w:b/>
          <w:sz w:val="22"/>
          <w:szCs w:val="22"/>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985"/>
        <w:gridCol w:w="1984"/>
        <w:gridCol w:w="2052"/>
        <w:gridCol w:w="1471"/>
      </w:tblGrid>
      <w:tr w:rsidR="009E5CE1" w:rsidRPr="00937F13" w:rsidTr="009E5CE1">
        <w:trPr>
          <w:trHeight w:val="623"/>
        </w:trPr>
        <w:tc>
          <w:tcPr>
            <w:tcW w:w="2402" w:type="dxa"/>
            <w:shd w:val="clear" w:color="000000" w:fill="E7E6E6"/>
            <w:noWrap/>
            <w:vAlign w:val="bottom"/>
            <w:hideMark/>
          </w:tcPr>
          <w:p w:rsidR="009E5CE1" w:rsidRPr="00937F13" w:rsidRDefault="009E5CE1" w:rsidP="009E5CE1">
            <w:pPr>
              <w:rPr>
                <w:rFonts w:eastAsia="Times New Roman"/>
                <w:color w:val="000000"/>
              </w:rPr>
            </w:pPr>
            <w:r w:rsidRPr="009E5CE1">
              <w:rPr>
                <w:rFonts w:eastAsia="Times New Roman"/>
                <w:color w:val="000000"/>
              </w:rPr>
              <w:t> </w:t>
            </w:r>
          </w:p>
          <w:p w:rsidR="009E5CE1" w:rsidRPr="009E5CE1" w:rsidRDefault="009E5CE1" w:rsidP="009E5CE1">
            <w:pPr>
              <w:rPr>
                <w:rFonts w:eastAsia="Times New Roman"/>
                <w:color w:val="000000"/>
              </w:rPr>
            </w:pPr>
            <w:r w:rsidRPr="009E5CE1">
              <w:rPr>
                <w:rFonts w:eastAsia="Times New Roman"/>
                <w:color w:val="000000"/>
              </w:rPr>
              <w:t> </w:t>
            </w:r>
          </w:p>
        </w:tc>
        <w:tc>
          <w:tcPr>
            <w:tcW w:w="3969" w:type="dxa"/>
            <w:gridSpan w:val="2"/>
            <w:shd w:val="clear" w:color="000000" w:fill="E7E6E6"/>
            <w:noWrap/>
            <w:vAlign w:val="bottom"/>
            <w:hideMark/>
          </w:tcPr>
          <w:p w:rsidR="009E5CE1" w:rsidRPr="00937F13" w:rsidRDefault="009E5CE1" w:rsidP="009E5CE1">
            <w:pPr>
              <w:jc w:val="center"/>
              <w:rPr>
                <w:rFonts w:eastAsia="Times New Roman"/>
                <w:b/>
                <w:bCs/>
                <w:color w:val="000000"/>
              </w:rPr>
            </w:pPr>
            <w:r w:rsidRPr="009E5CE1">
              <w:rPr>
                <w:rFonts w:eastAsia="Times New Roman"/>
                <w:b/>
                <w:bCs/>
                <w:color w:val="000000"/>
              </w:rPr>
              <w:t>FC I/II at index visit</w:t>
            </w:r>
          </w:p>
          <w:p w:rsidR="009310DA" w:rsidRDefault="009E5CE1" w:rsidP="009310DA">
            <w:pPr>
              <w:jc w:val="center"/>
              <w:rPr>
                <w:rFonts w:eastAsia="Times New Roman"/>
                <w:color w:val="000000"/>
              </w:rPr>
            </w:pPr>
            <w:r w:rsidRPr="009E5CE1">
              <w:rPr>
                <w:rFonts w:eastAsia="Times New Roman"/>
                <w:color w:val="000000"/>
              </w:rPr>
              <w:t xml:space="preserve">n = 25 </w:t>
            </w:r>
          </w:p>
          <w:p w:rsidR="009310DA" w:rsidRPr="009E5CE1" w:rsidRDefault="009E5CE1" w:rsidP="009310DA">
            <w:pPr>
              <w:jc w:val="center"/>
              <w:rPr>
                <w:rFonts w:eastAsia="Times New Roman"/>
                <w:color w:val="000000"/>
              </w:rPr>
            </w:pPr>
            <w:r w:rsidRPr="009E5CE1">
              <w:rPr>
                <w:rFonts w:eastAsia="Times New Roman"/>
                <w:color w:val="000000"/>
              </w:rPr>
              <w:t>(24%)</w:t>
            </w:r>
          </w:p>
        </w:tc>
        <w:tc>
          <w:tcPr>
            <w:tcW w:w="3523" w:type="dxa"/>
            <w:gridSpan w:val="2"/>
            <w:shd w:val="clear" w:color="000000" w:fill="E7E6E6"/>
            <w:noWrap/>
            <w:vAlign w:val="bottom"/>
            <w:hideMark/>
          </w:tcPr>
          <w:p w:rsidR="009E5CE1" w:rsidRPr="00937F13" w:rsidRDefault="009E5CE1" w:rsidP="009E5CE1">
            <w:pPr>
              <w:jc w:val="center"/>
              <w:rPr>
                <w:rFonts w:eastAsia="Times New Roman"/>
                <w:b/>
                <w:bCs/>
                <w:color w:val="000000"/>
              </w:rPr>
            </w:pPr>
            <w:r w:rsidRPr="009E5CE1">
              <w:rPr>
                <w:rFonts w:eastAsia="Times New Roman"/>
                <w:b/>
                <w:bCs/>
                <w:color w:val="000000"/>
              </w:rPr>
              <w:t>FC III/IV at index visit</w:t>
            </w:r>
          </w:p>
          <w:p w:rsidR="009310DA" w:rsidRDefault="009E5CE1" w:rsidP="009E5CE1">
            <w:pPr>
              <w:jc w:val="center"/>
              <w:rPr>
                <w:rFonts w:eastAsia="Times New Roman"/>
                <w:color w:val="000000"/>
              </w:rPr>
            </w:pPr>
            <w:r w:rsidRPr="009E5CE1">
              <w:rPr>
                <w:rFonts w:eastAsia="Times New Roman"/>
                <w:color w:val="000000"/>
              </w:rPr>
              <w:t xml:space="preserve">n = 79 </w:t>
            </w:r>
          </w:p>
          <w:p w:rsidR="009E5CE1" w:rsidRPr="009E5CE1" w:rsidRDefault="009E5CE1" w:rsidP="009E5CE1">
            <w:pPr>
              <w:jc w:val="center"/>
              <w:rPr>
                <w:rFonts w:eastAsia="Times New Roman"/>
                <w:color w:val="000000"/>
              </w:rPr>
            </w:pPr>
            <w:r w:rsidRPr="009E5CE1">
              <w:rPr>
                <w:rFonts w:eastAsia="Times New Roman"/>
                <w:color w:val="000000"/>
              </w:rPr>
              <w:t>(76%)</w:t>
            </w:r>
          </w:p>
        </w:tc>
      </w:tr>
      <w:tr w:rsidR="009E5CE1" w:rsidRPr="00937F13" w:rsidTr="009E5CE1">
        <w:trPr>
          <w:trHeight w:val="1191"/>
        </w:trPr>
        <w:tc>
          <w:tcPr>
            <w:tcW w:w="2402" w:type="dxa"/>
            <w:shd w:val="clear" w:color="000000" w:fill="E7E6E6"/>
            <w:noWrap/>
            <w:vAlign w:val="bottom"/>
            <w:hideMark/>
          </w:tcPr>
          <w:p w:rsidR="009E5CE1" w:rsidRPr="009E5CE1" w:rsidRDefault="009E5CE1" w:rsidP="009E5CE1">
            <w:pPr>
              <w:rPr>
                <w:rFonts w:eastAsia="Times New Roman"/>
                <w:b/>
                <w:bCs/>
                <w:color w:val="000000"/>
              </w:rPr>
            </w:pPr>
            <w:r w:rsidRPr="009E5CE1">
              <w:rPr>
                <w:rFonts w:eastAsia="Times New Roman"/>
                <w:b/>
                <w:bCs/>
                <w:color w:val="000000"/>
              </w:rPr>
              <w:t>PAH Therapy</w:t>
            </w:r>
          </w:p>
        </w:tc>
        <w:tc>
          <w:tcPr>
            <w:tcW w:w="1985" w:type="dxa"/>
            <w:shd w:val="clear" w:color="000000" w:fill="E7E6E6"/>
            <w:vAlign w:val="bottom"/>
            <w:hideMark/>
          </w:tcPr>
          <w:p w:rsidR="009E5CE1" w:rsidRPr="009E5CE1" w:rsidRDefault="009E5CE1" w:rsidP="009E5CE1">
            <w:pPr>
              <w:jc w:val="center"/>
              <w:rPr>
                <w:rFonts w:eastAsia="Times New Roman"/>
                <w:color w:val="000000"/>
              </w:rPr>
            </w:pPr>
            <w:r w:rsidRPr="00937F13">
              <w:rPr>
                <w:rFonts w:eastAsia="Times New Roman"/>
                <w:color w:val="000000"/>
              </w:rPr>
              <w:t xml:space="preserve">Therapy </w:t>
            </w:r>
            <w:r w:rsidRPr="009E5CE1">
              <w:rPr>
                <w:rFonts w:eastAsia="Times New Roman"/>
                <w:color w:val="000000"/>
              </w:rPr>
              <w:t xml:space="preserve">at first visit where </w:t>
            </w:r>
            <w:r w:rsidRPr="009E5CE1">
              <w:rPr>
                <w:rFonts w:eastAsia="Times New Roman"/>
                <w:color w:val="000000"/>
              </w:rPr>
              <w:br/>
              <w:t xml:space="preserve">PAH </w:t>
            </w:r>
            <w:r w:rsidRPr="00937F13">
              <w:rPr>
                <w:rFonts w:eastAsia="Times New Roman"/>
                <w:color w:val="000000"/>
              </w:rPr>
              <w:t>drugs</w:t>
            </w:r>
            <w:r w:rsidRPr="009E5CE1">
              <w:rPr>
                <w:rFonts w:eastAsia="Times New Roman"/>
                <w:color w:val="000000"/>
              </w:rPr>
              <w:t xml:space="preserve"> </w:t>
            </w:r>
            <w:r w:rsidRPr="009E5CE1">
              <w:rPr>
                <w:rFonts w:eastAsia="Times New Roman"/>
                <w:color w:val="000000"/>
              </w:rPr>
              <w:br/>
              <w:t>were given, n (%)</w:t>
            </w:r>
          </w:p>
        </w:tc>
        <w:tc>
          <w:tcPr>
            <w:tcW w:w="1984" w:type="dxa"/>
            <w:shd w:val="clear" w:color="000000" w:fill="E7E6E6"/>
            <w:vAlign w:val="bottom"/>
            <w:hideMark/>
          </w:tcPr>
          <w:p w:rsidR="009E5CE1" w:rsidRPr="00937F13" w:rsidRDefault="009E5CE1" w:rsidP="009E5CE1">
            <w:pPr>
              <w:jc w:val="center"/>
              <w:rPr>
                <w:rFonts w:eastAsia="Times New Roman"/>
                <w:color w:val="000000"/>
              </w:rPr>
            </w:pPr>
            <w:r w:rsidRPr="00937F13">
              <w:rPr>
                <w:rFonts w:eastAsia="Times New Roman"/>
                <w:color w:val="000000"/>
              </w:rPr>
              <w:t>Therapy</w:t>
            </w:r>
            <w:r w:rsidRPr="009E5CE1">
              <w:rPr>
                <w:rFonts w:eastAsia="Times New Roman"/>
                <w:color w:val="000000"/>
              </w:rPr>
              <w:t xml:space="preserve"> at index visit </w:t>
            </w:r>
          </w:p>
          <w:p w:rsidR="009E5CE1" w:rsidRPr="009E5CE1" w:rsidRDefault="009E5CE1" w:rsidP="009E5CE1">
            <w:pPr>
              <w:jc w:val="center"/>
              <w:rPr>
                <w:rFonts w:eastAsia="Times New Roman"/>
                <w:color w:val="000000"/>
              </w:rPr>
            </w:pPr>
            <w:r w:rsidRPr="009E5CE1">
              <w:rPr>
                <w:rFonts w:eastAsia="Times New Roman"/>
                <w:color w:val="000000"/>
              </w:rPr>
              <w:t>n (%)</w:t>
            </w:r>
          </w:p>
        </w:tc>
        <w:tc>
          <w:tcPr>
            <w:tcW w:w="2052" w:type="dxa"/>
            <w:shd w:val="clear" w:color="000000" w:fill="E7E6E6"/>
            <w:vAlign w:val="bottom"/>
            <w:hideMark/>
          </w:tcPr>
          <w:p w:rsidR="009E5CE1" w:rsidRPr="009E5CE1" w:rsidRDefault="009E5CE1" w:rsidP="009E5CE1">
            <w:pPr>
              <w:jc w:val="center"/>
              <w:rPr>
                <w:rFonts w:eastAsia="Times New Roman"/>
                <w:color w:val="000000"/>
              </w:rPr>
            </w:pPr>
            <w:r w:rsidRPr="00937F13">
              <w:rPr>
                <w:rFonts w:eastAsia="Times New Roman"/>
                <w:color w:val="000000"/>
              </w:rPr>
              <w:t>Therapy</w:t>
            </w:r>
            <w:r w:rsidRPr="009E5CE1">
              <w:rPr>
                <w:rFonts w:eastAsia="Times New Roman"/>
                <w:color w:val="000000"/>
              </w:rPr>
              <w:t xml:space="preserve"> at first visit where </w:t>
            </w:r>
            <w:r w:rsidRPr="009E5CE1">
              <w:rPr>
                <w:rFonts w:eastAsia="Times New Roman"/>
                <w:color w:val="000000"/>
              </w:rPr>
              <w:br/>
              <w:t xml:space="preserve">PAH </w:t>
            </w:r>
            <w:r w:rsidRPr="00937F13">
              <w:rPr>
                <w:rFonts w:eastAsia="Times New Roman"/>
                <w:color w:val="000000"/>
              </w:rPr>
              <w:t>drugs</w:t>
            </w:r>
            <w:r w:rsidRPr="009E5CE1">
              <w:rPr>
                <w:rFonts w:eastAsia="Times New Roman"/>
                <w:color w:val="000000"/>
              </w:rPr>
              <w:t xml:space="preserve"> </w:t>
            </w:r>
            <w:r w:rsidRPr="009E5CE1">
              <w:rPr>
                <w:rFonts w:eastAsia="Times New Roman"/>
                <w:color w:val="000000"/>
              </w:rPr>
              <w:br/>
              <w:t>were given, n (%)</w:t>
            </w:r>
          </w:p>
        </w:tc>
        <w:tc>
          <w:tcPr>
            <w:tcW w:w="1471" w:type="dxa"/>
            <w:shd w:val="clear" w:color="000000" w:fill="E7E6E6"/>
            <w:vAlign w:val="bottom"/>
            <w:hideMark/>
          </w:tcPr>
          <w:p w:rsidR="009E5CE1" w:rsidRPr="00937F13" w:rsidRDefault="009E5CE1" w:rsidP="009E5CE1">
            <w:pPr>
              <w:jc w:val="center"/>
              <w:rPr>
                <w:rFonts w:eastAsia="Times New Roman"/>
                <w:color w:val="000000"/>
              </w:rPr>
            </w:pPr>
            <w:r w:rsidRPr="00937F13">
              <w:rPr>
                <w:rFonts w:eastAsia="Times New Roman"/>
                <w:color w:val="000000"/>
              </w:rPr>
              <w:t>Therapy</w:t>
            </w:r>
            <w:r w:rsidRPr="009E5CE1">
              <w:rPr>
                <w:rFonts w:eastAsia="Times New Roman"/>
                <w:color w:val="000000"/>
              </w:rPr>
              <w:t xml:space="preserve"> at index visit </w:t>
            </w:r>
          </w:p>
          <w:p w:rsidR="009E5CE1" w:rsidRPr="009E5CE1" w:rsidRDefault="009E5CE1" w:rsidP="009E5CE1">
            <w:pPr>
              <w:jc w:val="center"/>
              <w:rPr>
                <w:rFonts w:eastAsia="Times New Roman"/>
                <w:color w:val="000000"/>
              </w:rPr>
            </w:pPr>
            <w:r w:rsidRPr="009E5CE1">
              <w:rPr>
                <w:rFonts w:eastAsia="Times New Roman"/>
                <w:color w:val="000000"/>
              </w:rPr>
              <w:t>n (%)</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Bosentan</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11 (44.0%)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5 (20.0%)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29 (36.7%)</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19 (24.1%)</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Ambrisentan</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5 (20.0%)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5 (20.0%)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9 (11.4%)</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10 (13.0%)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Sitaxentan</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 (2.5%)</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Macitentan</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9 (36.0%)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13 (52.0%)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32 (40.5%)</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44 (55.7%)</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Sildenafil</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4 (16.0%)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6 (24.0%)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21 (26.6%)</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36 (45.6%)</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Tadalafil</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 (8.0%)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4 (16.0%)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4 (5.1%)</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9 (11.4%)</w:t>
            </w:r>
          </w:p>
        </w:tc>
      </w:tr>
      <w:tr w:rsidR="009E5CE1" w:rsidRPr="00937F13" w:rsidTr="009E5CE1">
        <w:trPr>
          <w:trHeight w:val="320"/>
        </w:trPr>
        <w:tc>
          <w:tcPr>
            <w:tcW w:w="2402" w:type="dxa"/>
            <w:shd w:val="clear" w:color="auto" w:fill="auto"/>
            <w:noWrap/>
            <w:vAlign w:val="bottom"/>
            <w:hideMark/>
          </w:tcPr>
          <w:p w:rsidR="009E5CE1" w:rsidRPr="009E5CE1" w:rsidRDefault="00572219" w:rsidP="009E5CE1">
            <w:pPr>
              <w:rPr>
                <w:rFonts w:eastAsia="Times New Roman"/>
                <w:color w:val="000000"/>
              </w:rPr>
            </w:pPr>
            <w:r w:rsidRPr="009E5CE1">
              <w:rPr>
                <w:rFonts w:eastAsia="Times New Roman"/>
                <w:color w:val="000000"/>
              </w:rPr>
              <w:t>Epoprostenol</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 (1.3%)</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 (3.8%)</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Inhaled iloprost</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Selexipag</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 (2.5%)</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Riociguat</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(1.3%)</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b/>
                <w:bCs/>
                <w:color w:val="000000"/>
              </w:rPr>
            </w:pPr>
            <w:r w:rsidRPr="009E5CE1">
              <w:rPr>
                <w:rFonts w:eastAsia="Times New Roman"/>
                <w:b/>
                <w:bCs/>
                <w:color w:val="000000"/>
              </w:rPr>
              <w:t>Combination therapy</w:t>
            </w:r>
          </w:p>
        </w:tc>
        <w:tc>
          <w:tcPr>
            <w:tcW w:w="1985" w:type="dxa"/>
            <w:shd w:val="clear" w:color="auto" w:fill="auto"/>
            <w:noWrap/>
            <w:vAlign w:val="bottom"/>
            <w:hideMark/>
          </w:tcPr>
          <w:p w:rsidR="009E5CE1" w:rsidRPr="009E5CE1" w:rsidRDefault="009E5CE1" w:rsidP="009E5CE1">
            <w:pPr>
              <w:rPr>
                <w:rFonts w:eastAsia="Times New Roman"/>
                <w:b/>
                <w:bCs/>
                <w:color w:val="000000"/>
              </w:rPr>
            </w:pPr>
          </w:p>
        </w:tc>
        <w:tc>
          <w:tcPr>
            <w:tcW w:w="1984" w:type="dxa"/>
            <w:shd w:val="clear" w:color="auto" w:fill="auto"/>
            <w:noWrap/>
            <w:vAlign w:val="bottom"/>
            <w:hideMark/>
          </w:tcPr>
          <w:p w:rsidR="009E5CE1" w:rsidRPr="009E5CE1" w:rsidRDefault="009E5CE1" w:rsidP="009E5CE1">
            <w:pPr>
              <w:jc w:val="center"/>
              <w:rPr>
                <w:rFonts w:eastAsia="Times New Roman"/>
                <w:sz w:val="20"/>
                <w:szCs w:val="20"/>
              </w:rPr>
            </w:pPr>
          </w:p>
        </w:tc>
        <w:tc>
          <w:tcPr>
            <w:tcW w:w="2052" w:type="dxa"/>
            <w:shd w:val="clear" w:color="auto" w:fill="auto"/>
            <w:noWrap/>
            <w:vAlign w:val="bottom"/>
            <w:hideMark/>
          </w:tcPr>
          <w:p w:rsidR="009E5CE1" w:rsidRPr="009E5CE1" w:rsidRDefault="009E5CE1" w:rsidP="009E5CE1">
            <w:pPr>
              <w:jc w:val="center"/>
              <w:rPr>
                <w:rFonts w:eastAsia="Times New Roman"/>
                <w:sz w:val="20"/>
                <w:szCs w:val="20"/>
              </w:rPr>
            </w:pPr>
          </w:p>
        </w:tc>
        <w:tc>
          <w:tcPr>
            <w:tcW w:w="1471" w:type="dxa"/>
            <w:shd w:val="clear" w:color="auto" w:fill="auto"/>
            <w:noWrap/>
            <w:vAlign w:val="bottom"/>
            <w:hideMark/>
          </w:tcPr>
          <w:p w:rsidR="009E5CE1" w:rsidRPr="009E5CE1" w:rsidRDefault="009E5CE1" w:rsidP="009E5CE1">
            <w:pPr>
              <w:jc w:val="center"/>
              <w:rPr>
                <w:rFonts w:eastAsia="Times New Roman"/>
                <w:sz w:val="20"/>
                <w:szCs w:val="20"/>
              </w:rPr>
            </w:pP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 xml:space="preserve">Monotherapy </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19 (76.0%)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16 (64.0%)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61 (77.2%)</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39 (49.4%)</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Dual therapy</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6 (24.0%)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8 (32.0%)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17 (21.5%)</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35 (44.3%)</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Triple therapy</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(1.3%)</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5 (6.3%)</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jc w:val="center"/>
              <w:rPr>
                <w:rFonts w:eastAsia="Times New Roman"/>
                <w:color w:val="000000"/>
              </w:rPr>
            </w:pPr>
          </w:p>
        </w:tc>
        <w:tc>
          <w:tcPr>
            <w:tcW w:w="1985" w:type="dxa"/>
            <w:shd w:val="clear" w:color="auto" w:fill="auto"/>
            <w:noWrap/>
            <w:vAlign w:val="bottom"/>
            <w:hideMark/>
          </w:tcPr>
          <w:p w:rsidR="009E5CE1" w:rsidRPr="009E5CE1" w:rsidRDefault="009E5CE1" w:rsidP="009E5CE1">
            <w:pPr>
              <w:rPr>
                <w:rFonts w:eastAsia="Times New Roman"/>
                <w:sz w:val="20"/>
                <w:szCs w:val="20"/>
              </w:rPr>
            </w:pPr>
          </w:p>
        </w:tc>
        <w:tc>
          <w:tcPr>
            <w:tcW w:w="1984" w:type="dxa"/>
            <w:shd w:val="clear" w:color="auto" w:fill="auto"/>
            <w:noWrap/>
            <w:vAlign w:val="bottom"/>
            <w:hideMark/>
          </w:tcPr>
          <w:p w:rsidR="009E5CE1" w:rsidRPr="009E5CE1" w:rsidRDefault="009E5CE1" w:rsidP="009E5CE1">
            <w:pPr>
              <w:jc w:val="center"/>
              <w:rPr>
                <w:rFonts w:eastAsia="Times New Roman"/>
                <w:sz w:val="20"/>
                <w:szCs w:val="20"/>
              </w:rPr>
            </w:pPr>
          </w:p>
        </w:tc>
        <w:tc>
          <w:tcPr>
            <w:tcW w:w="2052" w:type="dxa"/>
            <w:shd w:val="clear" w:color="auto" w:fill="auto"/>
            <w:noWrap/>
            <w:vAlign w:val="bottom"/>
            <w:hideMark/>
          </w:tcPr>
          <w:p w:rsidR="009E5CE1" w:rsidRPr="009E5CE1" w:rsidRDefault="009E5CE1" w:rsidP="009E5CE1">
            <w:pPr>
              <w:jc w:val="center"/>
              <w:rPr>
                <w:rFonts w:eastAsia="Times New Roman"/>
                <w:sz w:val="20"/>
                <w:szCs w:val="20"/>
              </w:rPr>
            </w:pPr>
          </w:p>
        </w:tc>
        <w:tc>
          <w:tcPr>
            <w:tcW w:w="1471" w:type="dxa"/>
            <w:shd w:val="clear" w:color="auto" w:fill="auto"/>
            <w:noWrap/>
            <w:vAlign w:val="bottom"/>
            <w:hideMark/>
          </w:tcPr>
          <w:p w:rsidR="009E5CE1" w:rsidRPr="009E5CE1" w:rsidRDefault="009E5CE1" w:rsidP="009E5CE1">
            <w:pPr>
              <w:jc w:val="center"/>
              <w:rPr>
                <w:rFonts w:eastAsia="Times New Roman"/>
                <w:sz w:val="20"/>
                <w:szCs w:val="20"/>
              </w:rPr>
            </w:pP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b/>
                <w:bCs/>
                <w:color w:val="000000"/>
              </w:rPr>
            </w:pPr>
            <w:r w:rsidRPr="009E5CE1">
              <w:rPr>
                <w:rFonts w:eastAsia="Times New Roman"/>
                <w:b/>
                <w:bCs/>
                <w:color w:val="000000"/>
              </w:rPr>
              <w:t>Other therapies</w:t>
            </w:r>
          </w:p>
        </w:tc>
        <w:tc>
          <w:tcPr>
            <w:tcW w:w="1985" w:type="dxa"/>
            <w:shd w:val="clear" w:color="auto" w:fill="auto"/>
            <w:noWrap/>
            <w:vAlign w:val="bottom"/>
            <w:hideMark/>
          </w:tcPr>
          <w:p w:rsidR="009E5CE1" w:rsidRPr="009E5CE1" w:rsidRDefault="009E5CE1" w:rsidP="009E5CE1">
            <w:pPr>
              <w:rPr>
                <w:rFonts w:eastAsia="Times New Roman"/>
                <w:b/>
                <w:bCs/>
                <w:color w:val="000000"/>
              </w:rPr>
            </w:pPr>
          </w:p>
        </w:tc>
        <w:tc>
          <w:tcPr>
            <w:tcW w:w="1984" w:type="dxa"/>
            <w:shd w:val="clear" w:color="auto" w:fill="auto"/>
            <w:noWrap/>
            <w:vAlign w:val="bottom"/>
            <w:hideMark/>
          </w:tcPr>
          <w:p w:rsidR="009E5CE1" w:rsidRPr="009E5CE1" w:rsidRDefault="009E5CE1" w:rsidP="009E5CE1">
            <w:pPr>
              <w:jc w:val="center"/>
              <w:rPr>
                <w:rFonts w:eastAsia="Times New Roman"/>
                <w:sz w:val="20"/>
                <w:szCs w:val="20"/>
              </w:rPr>
            </w:pPr>
          </w:p>
        </w:tc>
        <w:tc>
          <w:tcPr>
            <w:tcW w:w="2052" w:type="dxa"/>
            <w:shd w:val="clear" w:color="auto" w:fill="auto"/>
            <w:noWrap/>
            <w:vAlign w:val="bottom"/>
            <w:hideMark/>
          </w:tcPr>
          <w:p w:rsidR="009E5CE1" w:rsidRPr="009E5CE1" w:rsidRDefault="009E5CE1" w:rsidP="009E5CE1">
            <w:pPr>
              <w:jc w:val="center"/>
              <w:rPr>
                <w:rFonts w:eastAsia="Times New Roman"/>
                <w:sz w:val="20"/>
                <w:szCs w:val="20"/>
              </w:rPr>
            </w:pPr>
          </w:p>
        </w:tc>
        <w:tc>
          <w:tcPr>
            <w:tcW w:w="1471" w:type="dxa"/>
            <w:shd w:val="clear" w:color="auto" w:fill="auto"/>
            <w:noWrap/>
            <w:vAlign w:val="bottom"/>
            <w:hideMark/>
          </w:tcPr>
          <w:p w:rsidR="009E5CE1" w:rsidRPr="009E5CE1" w:rsidRDefault="009E5CE1" w:rsidP="009E5CE1">
            <w:pPr>
              <w:jc w:val="center"/>
              <w:rPr>
                <w:rFonts w:eastAsia="Times New Roman"/>
                <w:sz w:val="20"/>
                <w:szCs w:val="20"/>
              </w:rPr>
            </w:pP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rPr>
            </w:pPr>
            <w:r w:rsidRPr="009E5CE1">
              <w:rPr>
                <w:rFonts w:eastAsia="Times New Roman"/>
              </w:rPr>
              <w:t>Warfarin</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 (8.0%)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 (12.0%)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10 (12.7%)</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12 (15.2%)</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rPr>
            </w:pPr>
            <w:r w:rsidRPr="009E5CE1">
              <w:rPr>
                <w:rFonts w:eastAsia="Times New Roman"/>
              </w:rPr>
              <w:t>NOAC</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(4.0%)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(1.3%)</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 (3.8%)</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Diuretics</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8 (32.0%)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8 (32.0%)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29 (36.7%)</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42 (53.2%)</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Supplementary oxygen</w:t>
            </w:r>
            <w:r w:rsidR="009310DA" w:rsidRPr="00937F13">
              <w:rPr>
                <w:rFonts w:eastAsia="Times New Roman"/>
                <w:color w:val="000000"/>
                <w:vertAlign w:val="superscript"/>
              </w:rPr>
              <w:t>1</w:t>
            </w:r>
          </w:p>
        </w:tc>
        <w:tc>
          <w:tcPr>
            <w:tcW w:w="1985"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0</w:t>
            </w:r>
          </w:p>
        </w:tc>
        <w:tc>
          <w:tcPr>
            <w:tcW w:w="1984"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0</w:t>
            </w:r>
          </w:p>
        </w:tc>
        <w:tc>
          <w:tcPr>
            <w:tcW w:w="2052"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10 (12.8%)</w:t>
            </w:r>
          </w:p>
        </w:tc>
        <w:tc>
          <w:tcPr>
            <w:tcW w:w="1471"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21 (26.6%)</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Proton pump inhibitor</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22 (88.0%)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25 (100%)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63 (79.8%)</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66 (83.5%)</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Calcium channel blocker</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13 (52.0%)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14 (56.0%)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33 (41.8%)</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29 (36.7%)</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PGE infusion (intermittent)</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Corticosteroids (prednisolone)</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(4.0%)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 (8.0%)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19 (24.1%)</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23 (29.1%)</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vertAlign w:val="superscript"/>
              </w:rPr>
            </w:pPr>
            <w:r w:rsidRPr="009E5CE1">
              <w:rPr>
                <w:rFonts w:eastAsia="Times New Roman"/>
                <w:color w:val="000000"/>
              </w:rPr>
              <w:t>Conventional immunosuppressive</w:t>
            </w:r>
            <w:r w:rsidR="009310DA">
              <w:rPr>
                <w:rFonts w:eastAsia="Times New Roman"/>
                <w:color w:val="000000"/>
                <w:vertAlign w:val="superscript"/>
              </w:rPr>
              <w:t>2</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2 (8.0%)</w:t>
            </w:r>
          </w:p>
        </w:tc>
        <w:tc>
          <w:tcPr>
            <w:tcW w:w="1984"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3 (12.0%)</w:t>
            </w:r>
          </w:p>
        </w:tc>
        <w:tc>
          <w:tcPr>
            <w:tcW w:w="2052"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22 (27.9%)</w:t>
            </w:r>
          </w:p>
        </w:tc>
        <w:tc>
          <w:tcPr>
            <w:tcW w:w="1471"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30 (38.0%)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vertAlign w:val="superscript"/>
              </w:rPr>
            </w:pPr>
            <w:r w:rsidRPr="009E5CE1">
              <w:rPr>
                <w:rFonts w:eastAsia="Times New Roman"/>
                <w:color w:val="000000"/>
              </w:rPr>
              <w:t>bDMARD</w:t>
            </w:r>
            <w:r w:rsidR="009310DA">
              <w:rPr>
                <w:rFonts w:eastAsia="Times New Roman"/>
                <w:color w:val="000000"/>
                <w:vertAlign w:val="superscript"/>
              </w:rPr>
              <w:t>3</w:t>
            </w:r>
          </w:p>
        </w:tc>
        <w:tc>
          <w:tcPr>
            <w:tcW w:w="1985"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0</w:t>
            </w:r>
          </w:p>
        </w:tc>
        <w:tc>
          <w:tcPr>
            <w:tcW w:w="1984"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0</w:t>
            </w:r>
          </w:p>
        </w:tc>
        <w:tc>
          <w:tcPr>
            <w:tcW w:w="2052"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0</w:t>
            </w:r>
          </w:p>
        </w:tc>
        <w:tc>
          <w:tcPr>
            <w:tcW w:w="1471"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1 (1.3%)</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Dialysis</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Renal transp</w:t>
            </w:r>
            <w:r w:rsidRPr="00937F13">
              <w:rPr>
                <w:rFonts w:eastAsia="Times New Roman"/>
                <w:color w:val="000000"/>
              </w:rPr>
              <w:t>l</w:t>
            </w:r>
            <w:r w:rsidRPr="009E5CE1">
              <w:rPr>
                <w:rFonts w:eastAsia="Times New Roman"/>
                <w:color w:val="000000"/>
              </w:rPr>
              <w:t>ant</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Heart lung transplant</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Bone marrow transplant</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Pacemaker</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1 (4%)</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rPr>
            </w:pPr>
            <w:r w:rsidRPr="009E5CE1">
              <w:rPr>
                <w:rFonts w:eastAsia="Times New Roman"/>
                <w:color w:val="000000"/>
              </w:rPr>
              <w:t>Implantable defibrillator</w:t>
            </w:r>
          </w:p>
        </w:tc>
        <w:tc>
          <w:tcPr>
            <w:tcW w:w="1985"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rsidTr="009E5CE1">
        <w:trPr>
          <w:trHeight w:val="320"/>
        </w:trPr>
        <w:tc>
          <w:tcPr>
            <w:tcW w:w="2402" w:type="dxa"/>
            <w:shd w:val="clear" w:color="auto" w:fill="auto"/>
            <w:noWrap/>
            <w:vAlign w:val="bottom"/>
            <w:hideMark/>
          </w:tcPr>
          <w:p w:rsidR="009E5CE1" w:rsidRPr="009E5CE1" w:rsidRDefault="009E5CE1" w:rsidP="009E5CE1">
            <w:pPr>
              <w:rPr>
                <w:rFonts w:eastAsia="Times New Roman"/>
                <w:color w:val="000000"/>
                <w:vertAlign w:val="superscript"/>
              </w:rPr>
            </w:pPr>
            <w:r w:rsidRPr="00937F13">
              <w:rPr>
                <w:rFonts w:eastAsia="Times New Roman"/>
                <w:color w:val="000000"/>
              </w:rPr>
              <w:t>Hospital admissions in the</w:t>
            </w:r>
            <w:r w:rsidRPr="009E5CE1">
              <w:rPr>
                <w:rFonts w:eastAsia="Times New Roman"/>
                <w:color w:val="000000"/>
              </w:rPr>
              <w:t xml:space="preserve"> 12 months before index visit</w:t>
            </w:r>
            <w:r w:rsidR="00937F13" w:rsidRPr="00937F13">
              <w:rPr>
                <w:rFonts w:eastAsia="Times New Roman"/>
                <w:color w:val="000000"/>
                <w:vertAlign w:val="superscript"/>
              </w:rPr>
              <w:t>*</w:t>
            </w:r>
          </w:p>
        </w:tc>
        <w:tc>
          <w:tcPr>
            <w:tcW w:w="1985"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8 (32.0%)</w:t>
            </w:r>
          </w:p>
        </w:tc>
        <w:tc>
          <w:tcPr>
            <w:tcW w:w="1984"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7 (33.3%)</w:t>
            </w:r>
          </w:p>
        </w:tc>
        <w:tc>
          <w:tcPr>
            <w:tcW w:w="2052"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37 (53.6%)</w:t>
            </w:r>
          </w:p>
        </w:tc>
        <w:tc>
          <w:tcPr>
            <w:tcW w:w="1471" w:type="dxa"/>
            <w:shd w:val="clear" w:color="auto" w:fill="auto"/>
            <w:noWrap/>
            <w:vAlign w:val="bottom"/>
            <w:hideMark/>
          </w:tcPr>
          <w:p w:rsidR="009E5CE1" w:rsidRPr="009E5CE1" w:rsidRDefault="009E5CE1" w:rsidP="009E5CE1">
            <w:pPr>
              <w:jc w:val="center"/>
              <w:rPr>
                <w:rFonts w:eastAsia="Times New Roman"/>
              </w:rPr>
            </w:pPr>
            <w:r w:rsidRPr="009E5CE1">
              <w:rPr>
                <w:rFonts w:eastAsia="Times New Roman"/>
              </w:rPr>
              <w:t>29 (49.2%)</w:t>
            </w:r>
          </w:p>
        </w:tc>
      </w:tr>
    </w:tbl>
    <w:p w:rsidR="00022227" w:rsidRPr="00B251E5" w:rsidRDefault="00022227" w:rsidP="00B251E5">
      <w:pPr>
        <w:spacing w:line="276" w:lineRule="auto"/>
        <w:ind w:right="-858"/>
        <w:rPr>
          <w:rFonts w:eastAsia="Times New Roman"/>
          <w:color w:val="000000"/>
          <w:sz w:val="22"/>
        </w:rPr>
      </w:pPr>
      <w:r w:rsidRPr="00B251E5">
        <w:rPr>
          <w:rFonts w:eastAsia="Times New Roman"/>
          <w:color w:val="000000"/>
          <w:sz w:val="22"/>
        </w:rPr>
        <w:t>RHC, right heart catheter; PAH, pulmonary arterial hypertension; FC, functional class; NOAC, new oral anticoagulants; PGE, prostaglandin E; bDMARD, biologic disease-modifying anti-rheumatic drug</w:t>
      </w:r>
    </w:p>
    <w:p w:rsidR="009310DA" w:rsidRPr="00B251E5" w:rsidRDefault="009310DA" w:rsidP="00B251E5">
      <w:pPr>
        <w:spacing w:line="276" w:lineRule="auto"/>
        <w:ind w:right="-858"/>
        <w:rPr>
          <w:sz w:val="22"/>
        </w:rPr>
      </w:pPr>
      <w:r w:rsidRPr="00B251E5">
        <w:rPr>
          <w:rFonts w:eastAsia="Times New Roman"/>
          <w:color w:val="000000"/>
          <w:sz w:val="22"/>
          <w:vertAlign w:val="superscript"/>
        </w:rPr>
        <w:t>1</w:t>
      </w:r>
      <w:r w:rsidRPr="00B251E5">
        <w:rPr>
          <w:sz w:val="22"/>
        </w:rPr>
        <w:t>22 patients were missing data for index visit so data from previous visit were used</w:t>
      </w:r>
    </w:p>
    <w:p w:rsidR="009E5CE1" w:rsidRPr="00B251E5" w:rsidRDefault="009310DA" w:rsidP="00B251E5">
      <w:pPr>
        <w:ind w:right="-858"/>
        <w:rPr>
          <w:rFonts w:eastAsia="Times New Roman"/>
          <w:color w:val="000000"/>
          <w:sz w:val="22"/>
        </w:rPr>
      </w:pPr>
      <w:r w:rsidRPr="00B251E5">
        <w:rPr>
          <w:rFonts w:eastAsia="Times New Roman"/>
          <w:color w:val="000000"/>
          <w:sz w:val="22"/>
          <w:vertAlign w:val="superscript"/>
        </w:rPr>
        <w:t>2</w:t>
      </w:r>
      <w:r w:rsidR="009E5CE1" w:rsidRPr="00B251E5">
        <w:rPr>
          <w:rFonts w:eastAsia="Times New Roman"/>
          <w:color w:val="000000"/>
          <w:sz w:val="22"/>
        </w:rPr>
        <w:t>methotrexate, leflunomide, azathioprine, penicillamine, hydroxychloroquine, mycophenolate, cyclophosphamide, calineurin inhibitors, IV immunoglobulin</w:t>
      </w:r>
    </w:p>
    <w:p w:rsidR="00937F13" w:rsidRPr="00B251E5" w:rsidRDefault="009310DA" w:rsidP="00B251E5">
      <w:pPr>
        <w:ind w:right="-858"/>
        <w:rPr>
          <w:rFonts w:eastAsia="Times New Roman"/>
          <w:color w:val="000000"/>
          <w:sz w:val="22"/>
        </w:rPr>
      </w:pPr>
      <w:r w:rsidRPr="00B251E5">
        <w:rPr>
          <w:rFonts w:eastAsia="Times New Roman"/>
          <w:color w:val="000000"/>
          <w:sz w:val="22"/>
          <w:vertAlign w:val="superscript"/>
        </w:rPr>
        <w:t>3</w:t>
      </w:r>
      <w:r w:rsidR="00937F13" w:rsidRPr="00B251E5">
        <w:rPr>
          <w:rFonts w:eastAsia="Times New Roman"/>
          <w:color w:val="000000"/>
          <w:sz w:val="22"/>
        </w:rPr>
        <w:t>TNF inhibitor, anti-CD20, tocilizumab, abatacept, B cell modulators</w:t>
      </w:r>
    </w:p>
    <w:p w:rsidR="00937F13" w:rsidRPr="00B251E5" w:rsidRDefault="00937F13" w:rsidP="00B251E5">
      <w:pPr>
        <w:ind w:right="-858"/>
        <w:rPr>
          <w:rFonts w:eastAsia="Times New Roman"/>
          <w:color w:val="000000"/>
          <w:sz w:val="22"/>
        </w:rPr>
      </w:pPr>
      <w:r w:rsidRPr="00B251E5">
        <w:rPr>
          <w:rFonts w:eastAsia="Times New Roman"/>
          <w:color w:val="000000"/>
          <w:sz w:val="22"/>
          <w:vertAlign w:val="superscript"/>
        </w:rPr>
        <w:t>*</w:t>
      </w:r>
      <w:r w:rsidRPr="00B251E5">
        <w:rPr>
          <w:rFonts w:eastAsia="Times New Roman"/>
          <w:color w:val="000000"/>
          <w:sz w:val="22"/>
        </w:rPr>
        <w:t>Sample size differs from heading: FC I/II n = 25, FC III/IV n = 69 (first PAH visit). FC I/II n = 21, FC III/IV n = 59 (index visit)</w:t>
      </w:r>
    </w:p>
    <w:p w:rsidR="00937F13" w:rsidRDefault="00937F13" w:rsidP="00937F13">
      <w:pPr>
        <w:rPr>
          <w:rFonts w:ascii="Calibri" w:eastAsia="Times New Roman" w:hAnsi="Calibri"/>
          <w:color w:val="000000"/>
        </w:rPr>
      </w:pPr>
    </w:p>
    <w:p w:rsidR="009E5CE1" w:rsidRDefault="009E5CE1" w:rsidP="009E5CE1">
      <w:pPr>
        <w:rPr>
          <w:rFonts w:ascii="Calibri" w:eastAsia="Times New Roman" w:hAnsi="Calibri"/>
          <w:color w:val="000000"/>
        </w:rPr>
      </w:pPr>
    </w:p>
    <w:p w:rsidR="000D0234" w:rsidRPr="000D0234" w:rsidRDefault="000D0234" w:rsidP="009822C8">
      <w:pPr>
        <w:spacing w:line="360" w:lineRule="auto"/>
        <w:jc w:val="both"/>
        <w:rPr>
          <w:rFonts w:eastAsia="Times New Roman"/>
          <w:bCs/>
          <w:color w:val="000000"/>
        </w:rPr>
      </w:pPr>
      <w:r>
        <w:rPr>
          <w:rFonts w:eastAsia="Times New Roman"/>
          <w:bCs/>
          <w:color w:val="000000"/>
        </w:rPr>
        <w:t xml:space="preserve">These patients had a range of other co-morbidities, such as ILD, gastro-oesophageal disease, </w:t>
      </w:r>
      <w:r w:rsidR="00C31BEC">
        <w:rPr>
          <w:rFonts w:eastAsia="Times New Roman"/>
          <w:bCs/>
          <w:color w:val="000000"/>
        </w:rPr>
        <w:t xml:space="preserve">faecal </w:t>
      </w:r>
      <w:r>
        <w:rPr>
          <w:rFonts w:eastAsia="Times New Roman"/>
          <w:bCs/>
          <w:color w:val="000000"/>
        </w:rPr>
        <w:t>incontinence, digital ulcers, synovitis, cardiovascular disease and COAD (Table 5)</w:t>
      </w:r>
    </w:p>
    <w:p w:rsidR="00572219" w:rsidRDefault="00572219">
      <w:pPr>
        <w:rPr>
          <w:rFonts w:eastAsia="Times New Roman"/>
          <w:b/>
          <w:bCs/>
          <w:color w:val="000000"/>
        </w:rPr>
      </w:pPr>
      <w:r>
        <w:rPr>
          <w:rFonts w:eastAsia="Times New Roman"/>
          <w:b/>
          <w:bCs/>
          <w:color w:val="000000"/>
        </w:rPr>
        <w:br w:type="page"/>
      </w:r>
    </w:p>
    <w:p w:rsidR="009310DA" w:rsidRPr="00937F13" w:rsidRDefault="00937F13" w:rsidP="009310DA">
      <w:pPr>
        <w:jc w:val="both"/>
        <w:rPr>
          <w:rFonts w:eastAsia="Times New Roman"/>
          <w:b/>
          <w:bCs/>
          <w:color w:val="000000"/>
        </w:rPr>
      </w:pPr>
      <w:r>
        <w:rPr>
          <w:rFonts w:eastAsia="Times New Roman"/>
          <w:b/>
          <w:bCs/>
          <w:color w:val="000000"/>
        </w:rPr>
        <w:t xml:space="preserve">Table 5: </w:t>
      </w:r>
      <w:r w:rsidRPr="00241953">
        <w:rPr>
          <w:rFonts w:eastAsia="Times New Roman"/>
          <w:b/>
          <w:bCs/>
          <w:color w:val="000000"/>
        </w:rPr>
        <w:t xml:space="preserve">Co-morbidities </w:t>
      </w:r>
      <w:r w:rsidR="009310DA" w:rsidRPr="00241953">
        <w:rPr>
          <w:rFonts w:eastAsia="Times New Roman"/>
          <w:b/>
          <w:bCs/>
          <w:color w:val="000000"/>
        </w:rPr>
        <w:t>of patients with RHC-defined PAH according to functional class (at the index visit)</w:t>
      </w:r>
    </w:p>
    <w:p w:rsidR="009E5CE1" w:rsidRPr="00937F13" w:rsidRDefault="009E5CE1" w:rsidP="009E5CE1">
      <w:pPr>
        <w:rPr>
          <w:rFonts w:eastAsia="Times New Roman"/>
          <w:color w:val="000000"/>
        </w:rPr>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559"/>
        <w:gridCol w:w="1077"/>
        <w:gridCol w:w="2268"/>
      </w:tblGrid>
      <w:tr w:rsidR="003332C5" w:rsidRPr="00937F13" w:rsidTr="00241953">
        <w:trPr>
          <w:trHeight w:val="879"/>
        </w:trPr>
        <w:tc>
          <w:tcPr>
            <w:tcW w:w="3544" w:type="dxa"/>
            <w:shd w:val="clear" w:color="auto" w:fill="auto"/>
            <w:noWrap/>
            <w:vAlign w:val="bottom"/>
            <w:hideMark/>
          </w:tcPr>
          <w:p w:rsidR="003332C5" w:rsidRPr="00937F13" w:rsidRDefault="003332C5">
            <w:pPr>
              <w:rPr>
                <w:sz w:val="20"/>
                <w:szCs w:val="20"/>
              </w:rPr>
            </w:pPr>
          </w:p>
        </w:tc>
        <w:tc>
          <w:tcPr>
            <w:tcW w:w="1701" w:type="dxa"/>
            <w:shd w:val="clear" w:color="000000" w:fill="E7E6E6"/>
            <w:noWrap/>
            <w:vAlign w:val="bottom"/>
            <w:hideMark/>
          </w:tcPr>
          <w:p w:rsidR="003332C5" w:rsidRPr="00937F13" w:rsidRDefault="003332C5">
            <w:pPr>
              <w:jc w:val="center"/>
              <w:rPr>
                <w:rFonts w:eastAsia="Times New Roman"/>
                <w:b/>
                <w:bCs/>
                <w:color w:val="000000"/>
              </w:rPr>
            </w:pPr>
            <w:r w:rsidRPr="00937F13">
              <w:rPr>
                <w:rFonts w:eastAsia="Times New Roman"/>
                <w:b/>
                <w:bCs/>
                <w:color w:val="000000"/>
              </w:rPr>
              <w:t>FC I/II</w:t>
            </w:r>
          </w:p>
          <w:p w:rsidR="003332C5" w:rsidRPr="00937F13" w:rsidRDefault="003332C5" w:rsidP="00022227">
            <w:pPr>
              <w:jc w:val="center"/>
              <w:rPr>
                <w:rFonts w:eastAsia="Times New Roman"/>
                <w:b/>
                <w:bCs/>
                <w:color w:val="000000"/>
              </w:rPr>
            </w:pPr>
            <w:r w:rsidRPr="00937F13">
              <w:rPr>
                <w:rFonts w:eastAsia="Times New Roman"/>
                <w:color w:val="000000"/>
              </w:rPr>
              <w:t>n = 25</w:t>
            </w:r>
          </w:p>
        </w:tc>
        <w:tc>
          <w:tcPr>
            <w:tcW w:w="1559" w:type="dxa"/>
            <w:shd w:val="clear" w:color="000000" w:fill="E7E6E6"/>
            <w:noWrap/>
            <w:vAlign w:val="bottom"/>
            <w:hideMark/>
          </w:tcPr>
          <w:p w:rsidR="003332C5" w:rsidRPr="00937F13" w:rsidRDefault="003332C5">
            <w:pPr>
              <w:jc w:val="center"/>
              <w:rPr>
                <w:rFonts w:eastAsia="Times New Roman"/>
                <w:b/>
                <w:bCs/>
                <w:color w:val="000000"/>
              </w:rPr>
            </w:pPr>
            <w:r w:rsidRPr="00937F13">
              <w:rPr>
                <w:rFonts w:eastAsia="Times New Roman"/>
                <w:b/>
                <w:bCs/>
                <w:color w:val="000000"/>
              </w:rPr>
              <w:t>FC III/IV</w:t>
            </w:r>
          </w:p>
          <w:p w:rsidR="003332C5" w:rsidRPr="00937F13" w:rsidRDefault="003332C5" w:rsidP="00022227">
            <w:pPr>
              <w:jc w:val="center"/>
              <w:rPr>
                <w:rFonts w:eastAsia="Times New Roman"/>
                <w:b/>
                <w:bCs/>
                <w:color w:val="000000"/>
              </w:rPr>
            </w:pPr>
            <w:r w:rsidRPr="00937F13">
              <w:rPr>
                <w:rFonts w:eastAsia="Times New Roman"/>
                <w:color w:val="000000"/>
              </w:rPr>
              <w:t>n = 79</w:t>
            </w:r>
          </w:p>
        </w:tc>
        <w:tc>
          <w:tcPr>
            <w:tcW w:w="1077" w:type="dxa"/>
            <w:shd w:val="clear" w:color="000000" w:fill="E7E6E6"/>
            <w:vAlign w:val="bottom"/>
          </w:tcPr>
          <w:p w:rsidR="003332C5" w:rsidRDefault="003332C5" w:rsidP="00241953">
            <w:pPr>
              <w:jc w:val="center"/>
              <w:rPr>
                <w:rFonts w:eastAsia="Times New Roman"/>
                <w:b/>
                <w:bCs/>
                <w:color w:val="000000"/>
              </w:rPr>
            </w:pPr>
          </w:p>
          <w:p w:rsidR="003332C5" w:rsidRPr="00937F13" w:rsidRDefault="003332C5" w:rsidP="00241953">
            <w:pPr>
              <w:jc w:val="center"/>
              <w:rPr>
                <w:rFonts w:eastAsia="Times New Roman"/>
                <w:b/>
                <w:bCs/>
                <w:color w:val="000000"/>
              </w:rPr>
            </w:pPr>
            <w:r w:rsidRPr="008B0F16">
              <w:rPr>
                <w:rFonts w:eastAsia="Times New Roman"/>
                <w:b/>
                <w:bCs/>
                <w:color w:val="000000"/>
              </w:rPr>
              <w:t>p value</w:t>
            </w:r>
          </w:p>
        </w:tc>
        <w:tc>
          <w:tcPr>
            <w:tcW w:w="2268" w:type="dxa"/>
            <w:shd w:val="clear" w:color="000000" w:fill="E7E6E6"/>
            <w:noWrap/>
            <w:vAlign w:val="bottom"/>
            <w:hideMark/>
          </w:tcPr>
          <w:p w:rsidR="003332C5" w:rsidRPr="00937F13" w:rsidRDefault="003332C5">
            <w:pPr>
              <w:rPr>
                <w:rFonts w:eastAsia="Times New Roman"/>
                <w:b/>
                <w:bCs/>
                <w:color w:val="000000"/>
              </w:rPr>
            </w:pPr>
            <w:r w:rsidRPr="00937F13">
              <w:rPr>
                <w:rFonts w:eastAsia="Times New Roman"/>
                <w:b/>
                <w:bCs/>
                <w:color w:val="000000"/>
              </w:rPr>
              <w:t xml:space="preserve">Samples sizes, </w:t>
            </w:r>
          </w:p>
          <w:p w:rsidR="003332C5" w:rsidRPr="00937F13" w:rsidRDefault="003332C5" w:rsidP="00022227">
            <w:pPr>
              <w:rPr>
                <w:rFonts w:eastAsia="Times New Roman"/>
                <w:b/>
                <w:bCs/>
                <w:color w:val="000000"/>
              </w:rPr>
            </w:pPr>
            <w:r w:rsidRPr="00937F13">
              <w:rPr>
                <w:rFonts w:eastAsia="Times New Roman"/>
                <w:b/>
                <w:bCs/>
                <w:color w:val="000000"/>
              </w:rPr>
              <w:t>(if different from n in table heading)</w:t>
            </w:r>
          </w:p>
        </w:tc>
      </w:tr>
      <w:tr w:rsidR="003332C5" w:rsidRPr="00937F13" w:rsidTr="00241953">
        <w:trPr>
          <w:trHeight w:val="320"/>
        </w:trPr>
        <w:tc>
          <w:tcPr>
            <w:tcW w:w="3544" w:type="dxa"/>
            <w:shd w:val="clear" w:color="auto" w:fill="auto"/>
            <w:noWrap/>
            <w:vAlign w:val="bottom"/>
            <w:hideMark/>
          </w:tcPr>
          <w:p w:rsidR="003332C5" w:rsidRPr="00937F13" w:rsidRDefault="003332C5" w:rsidP="000D2B85">
            <w:pPr>
              <w:rPr>
                <w:rFonts w:eastAsia="Times New Roman"/>
                <w:color w:val="000000"/>
              </w:rPr>
            </w:pPr>
            <w:r>
              <w:rPr>
                <w:rFonts w:eastAsia="Times New Roman"/>
                <w:color w:val="000000"/>
              </w:rPr>
              <w:t>Interstitial lung disease</w:t>
            </w:r>
          </w:p>
        </w:tc>
        <w:tc>
          <w:tcPr>
            <w:tcW w:w="1701" w:type="dxa"/>
            <w:shd w:val="clear" w:color="auto" w:fill="auto"/>
            <w:noWrap/>
            <w:vAlign w:val="bottom"/>
            <w:hideMark/>
          </w:tcPr>
          <w:p w:rsidR="003332C5" w:rsidRPr="00937F13" w:rsidRDefault="003332C5" w:rsidP="000D2B85">
            <w:pPr>
              <w:jc w:val="center"/>
              <w:rPr>
                <w:rFonts w:eastAsia="Times New Roman"/>
                <w:color w:val="000000"/>
              </w:rPr>
            </w:pPr>
            <w:r w:rsidRPr="00937F13">
              <w:rPr>
                <w:rFonts w:eastAsia="Times New Roman"/>
                <w:color w:val="000000"/>
              </w:rPr>
              <w:t>9 (39.0%)</w:t>
            </w:r>
          </w:p>
        </w:tc>
        <w:tc>
          <w:tcPr>
            <w:tcW w:w="1559" w:type="dxa"/>
            <w:shd w:val="clear" w:color="auto" w:fill="auto"/>
            <w:noWrap/>
            <w:vAlign w:val="bottom"/>
            <w:hideMark/>
          </w:tcPr>
          <w:p w:rsidR="003332C5" w:rsidRPr="00937F13" w:rsidRDefault="003332C5" w:rsidP="000D2B85">
            <w:pPr>
              <w:jc w:val="center"/>
              <w:rPr>
                <w:rFonts w:eastAsia="Times New Roman"/>
                <w:color w:val="000000"/>
              </w:rPr>
            </w:pPr>
            <w:r w:rsidRPr="00937F13">
              <w:rPr>
                <w:rFonts w:eastAsia="Times New Roman"/>
                <w:color w:val="000000"/>
              </w:rPr>
              <w:t>30 (38.0%)</w:t>
            </w:r>
          </w:p>
        </w:tc>
        <w:tc>
          <w:tcPr>
            <w:tcW w:w="1077" w:type="dxa"/>
            <w:vAlign w:val="bottom"/>
          </w:tcPr>
          <w:p w:rsidR="003332C5" w:rsidRPr="00937F13" w:rsidRDefault="003332C5" w:rsidP="003332C5">
            <w:pPr>
              <w:jc w:val="center"/>
              <w:rPr>
                <w:rFonts w:eastAsia="Times New Roman"/>
                <w:color w:val="000000"/>
              </w:rPr>
            </w:pPr>
            <w:r>
              <w:rPr>
                <w:rFonts w:eastAsia="Times New Roman"/>
                <w:color w:val="000000"/>
              </w:rPr>
              <w:t>0.859</w:t>
            </w:r>
          </w:p>
        </w:tc>
        <w:tc>
          <w:tcPr>
            <w:tcW w:w="2268" w:type="dxa"/>
            <w:shd w:val="clear" w:color="auto" w:fill="auto"/>
            <w:noWrap/>
            <w:vAlign w:val="bottom"/>
            <w:hideMark/>
          </w:tcPr>
          <w:p w:rsidR="003332C5" w:rsidRPr="00937F13" w:rsidRDefault="003332C5" w:rsidP="000D2B85">
            <w:pPr>
              <w:jc w:val="center"/>
              <w:rPr>
                <w:rFonts w:eastAsia="Times New Roman"/>
                <w:color w:val="000000"/>
              </w:rPr>
            </w:pPr>
          </w:p>
        </w:tc>
      </w:tr>
      <w:tr w:rsidR="003332C5" w:rsidRPr="00937F13" w:rsidTr="00241953">
        <w:trPr>
          <w:trHeight w:val="562"/>
        </w:trPr>
        <w:tc>
          <w:tcPr>
            <w:tcW w:w="3544" w:type="dxa"/>
            <w:shd w:val="clear" w:color="auto" w:fill="auto"/>
            <w:vAlign w:val="bottom"/>
            <w:hideMark/>
          </w:tcPr>
          <w:p w:rsidR="003332C5" w:rsidRPr="00937F13" w:rsidRDefault="003332C5" w:rsidP="00937F13">
            <w:pPr>
              <w:rPr>
                <w:rFonts w:eastAsia="Times New Roman"/>
                <w:color w:val="000000"/>
              </w:rPr>
            </w:pPr>
            <w:r w:rsidRPr="00937F13">
              <w:rPr>
                <w:rFonts w:eastAsia="Times New Roman"/>
                <w:color w:val="000000"/>
              </w:rPr>
              <w:t>Osesophageal disease (</w:t>
            </w:r>
            <w:r>
              <w:rPr>
                <w:rFonts w:eastAsia="Times New Roman"/>
                <w:color w:val="000000"/>
              </w:rPr>
              <w:t>GOR, dysmotility, stricture and/or</w:t>
            </w:r>
            <w:r w:rsidRPr="00937F13">
              <w:rPr>
                <w:rFonts w:eastAsia="Times New Roman"/>
                <w:color w:val="000000"/>
              </w:rPr>
              <w:t xml:space="preserve"> Barret's)</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13 (52.0%)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38 (48.1%)</w:t>
            </w:r>
          </w:p>
        </w:tc>
        <w:tc>
          <w:tcPr>
            <w:tcW w:w="1077" w:type="dxa"/>
            <w:vAlign w:val="bottom"/>
          </w:tcPr>
          <w:p w:rsidR="003332C5" w:rsidRPr="00937F13" w:rsidRDefault="003332C5" w:rsidP="003332C5">
            <w:pPr>
              <w:jc w:val="center"/>
              <w:rPr>
                <w:rFonts w:eastAsia="Times New Roman"/>
                <w:color w:val="000000"/>
              </w:rPr>
            </w:pPr>
            <w:r>
              <w:rPr>
                <w:rFonts w:eastAsia="Times New Roman"/>
                <w:color w:val="000000"/>
              </w:rPr>
              <w:t>0.734</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GAVE</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4</w:t>
            </w:r>
            <w:r>
              <w:rPr>
                <w:rFonts w:eastAsia="Times New Roman"/>
                <w:color w:val="000000"/>
              </w:rPr>
              <w:t xml:space="preserve"> </w:t>
            </w:r>
            <w:r w:rsidRPr="00937F13">
              <w:rPr>
                <w:rFonts w:eastAsia="Times New Roman"/>
                <w:color w:val="000000"/>
              </w:rPr>
              <w:t>(16.0%)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9 (11.4%)</w:t>
            </w:r>
          </w:p>
        </w:tc>
        <w:tc>
          <w:tcPr>
            <w:tcW w:w="1077" w:type="dxa"/>
            <w:vAlign w:val="bottom"/>
          </w:tcPr>
          <w:p w:rsidR="003332C5" w:rsidRPr="00937F13" w:rsidRDefault="003332C5" w:rsidP="003332C5">
            <w:pPr>
              <w:jc w:val="center"/>
              <w:rPr>
                <w:rFonts w:eastAsia="Times New Roman"/>
                <w:color w:val="000000"/>
              </w:rPr>
            </w:pPr>
            <w:r w:rsidRPr="003332C5">
              <w:rPr>
                <w:rFonts w:eastAsia="Times New Roman"/>
                <w:color w:val="000000"/>
              </w:rPr>
              <w:t>0.544</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rsidP="00937F13">
            <w:pPr>
              <w:rPr>
                <w:rFonts w:eastAsia="Times New Roman"/>
                <w:color w:val="000000"/>
              </w:rPr>
            </w:pPr>
            <w:r w:rsidRPr="00937F13">
              <w:rPr>
                <w:rFonts w:eastAsia="Times New Roman"/>
                <w:color w:val="000000"/>
              </w:rPr>
              <w:t xml:space="preserve">IV TPN or PEG feeding </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 (1.3%)</w:t>
            </w:r>
          </w:p>
        </w:tc>
        <w:tc>
          <w:tcPr>
            <w:tcW w:w="1077" w:type="dxa"/>
            <w:vAlign w:val="bottom"/>
          </w:tcPr>
          <w:p w:rsidR="003332C5" w:rsidRPr="00937F13" w:rsidRDefault="003332C5" w:rsidP="003332C5">
            <w:pPr>
              <w:jc w:val="center"/>
              <w:rPr>
                <w:rFonts w:eastAsia="Times New Roman"/>
                <w:color w:val="000000"/>
              </w:rPr>
            </w:pPr>
            <w:r w:rsidRPr="003332C5">
              <w:rPr>
                <w:rFonts w:eastAsia="Times New Roman"/>
                <w:color w:val="000000"/>
              </w:rPr>
              <w:t>0.386</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rsidP="00022227">
            <w:pPr>
              <w:rPr>
                <w:rFonts w:eastAsia="Times New Roman"/>
                <w:color w:val="000000"/>
              </w:rPr>
            </w:pPr>
            <w:r w:rsidRPr="00937F13">
              <w:rPr>
                <w:rFonts w:eastAsia="Times New Roman"/>
                <w:color w:val="000000"/>
              </w:rPr>
              <w:t xml:space="preserve">Anal incontinence </w:t>
            </w:r>
          </w:p>
        </w:tc>
        <w:tc>
          <w:tcPr>
            <w:tcW w:w="1701" w:type="dxa"/>
            <w:shd w:val="clear" w:color="auto" w:fill="auto"/>
            <w:noWrap/>
            <w:vAlign w:val="bottom"/>
            <w:hideMark/>
          </w:tcPr>
          <w:p w:rsidR="003332C5" w:rsidRPr="00937F13" w:rsidRDefault="003332C5" w:rsidP="00022227">
            <w:pPr>
              <w:jc w:val="center"/>
              <w:rPr>
                <w:rFonts w:eastAsia="Times New Roman"/>
                <w:color w:val="000000"/>
              </w:rPr>
            </w:pPr>
            <w:r w:rsidRPr="00937F13">
              <w:rPr>
                <w:rFonts w:eastAsia="Times New Roman"/>
                <w:color w:val="000000"/>
              </w:rPr>
              <w:t>12 (48.0%)</w:t>
            </w:r>
          </w:p>
        </w:tc>
        <w:tc>
          <w:tcPr>
            <w:tcW w:w="1559" w:type="dxa"/>
            <w:shd w:val="clear" w:color="auto" w:fill="auto"/>
            <w:noWrap/>
            <w:vAlign w:val="bottom"/>
            <w:hideMark/>
          </w:tcPr>
          <w:p w:rsidR="003332C5" w:rsidRPr="00937F13" w:rsidRDefault="003332C5" w:rsidP="00022227">
            <w:pPr>
              <w:jc w:val="center"/>
              <w:rPr>
                <w:rFonts w:eastAsia="Times New Roman"/>
                <w:color w:val="000000"/>
              </w:rPr>
            </w:pPr>
            <w:r w:rsidRPr="00937F13">
              <w:rPr>
                <w:rFonts w:eastAsia="Times New Roman"/>
                <w:color w:val="000000"/>
              </w:rPr>
              <w:t>29 (38.2%%)</w:t>
            </w:r>
          </w:p>
        </w:tc>
        <w:tc>
          <w:tcPr>
            <w:tcW w:w="1077" w:type="dxa"/>
            <w:vAlign w:val="bottom"/>
          </w:tcPr>
          <w:p w:rsidR="003332C5" w:rsidRPr="00937F13" w:rsidRDefault="003332C5" w:rsidP="00241953">
            <w:pPr>
              <w:jc w:val="center"/>
              <w:rPr>
                <w:rFonts w:eastAsia="Times New Roman"/>
                <w:color w:val="000000"/>
              </w:rPr>
            </w:pPr>
            <w:r w:rsidRPr="003332C5">
              <w:rPr>
                <w:rFonts w:eastAsia="Times New Roman"/>
                <w:color w:val="000000"/>
              </w:rPr>
              <w:t>0.417</w:t>
            </w:r>
          </w:p>
        </w:tc>
        <w:tc>
          <w:tcPr>
            <w:tcW w:w="2268" w:type="dxa"/>
            <w:shd w:val="clear" w:color="auto" w:fill="auto"/>
            <w:noWrap/>
            <w:vAlign w:val="bottom"/>
            <w:hideMark/>
          </w:tcPr>
          <w:p w:rsidR="003332C5" w:rsidRPr="00937F13" w:rsidRDefault="003332C5" w:rsidP="00022227">
            <w:pPr>
              <w:rPr>
                <w:rFonts w:eastAsia="Times New Roman"/>
                <w:color w:val="000000"/>
              </w:rPr>
            </w:pPr>
            <w:r w:rsidRPr="00937F13">
              <w:rPr>
                <w:rFonts w:eastAsia="Times New Roman"/>
                <w:color w:val="000000"/>
              </w:rPr>
              <w:t>FC I/II n = 25, FC III/IV n = 76</w:t>
            </w: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Renal crisis</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2 (2.5%)</w:t>
            </w:r>
          </w:p>
        </w:tc>
        <w:tc>
          <w:tcPr>
            <w:tcW w:w="1077" w:type="dxa"/>
            <w:vAlign w:val="bottom"/>
          </w:tcPr>
          <w:p w:rsidR="003332C5" w:rsidRPr="00937F13" w:rsidRDefault="003332C5" w:rsidP="003332C5">
            <w:pPr>
              <w:jc w:val="center"/>
              <w:rPr>
                <w:rFonts w:eastAsia="Times New Roman"/>
                <w:color w:val="000000"/>
              </w:rPr>
            </w:pPr>
            <w:r w:rsidRPr="003332C5">
              <w:rPr>
                <w:rFonts w:eastAsia="Times New Roman"/>
                <w:color w:val="000000"/>
              </w:rPr>
              <w:t>0.422</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Digital ulcers</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18 (72.0%)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43 (55.1%)</w:t>
            </w:r>
          </w:p>
        </w:tc>
        <w:tc>
          <w:tcPr>
            <w:tcW w:w="1077" w:type="dxa"/>
            <w:vAlign w:val="bottom"/>
          </w:tcPr>
          <w:p w:rsidR="003332C5" w:rsidRPr="00937F13" w:rsidRDefault="003332C5" w:rsidP="003332C5">
            <w:pPr>
              <w:jc w:val="center"/>
              <w:rPr>
                <w:rFonts w:eastAsia="Times New Roman"/>
                <w:color w:val="000000"/>
              </w:rPr>
            </w:pPr>
            <w:r w:rsidRPr="003332C5">
              <w:rPr>
                <w:rFonts w:eastAsia="Times New Roman"/>
                <w:color w:val="000000"/>
              </w:rPr>
              <w:t>0.135</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Gangrene/autoamputa</w:t>
            </w:r>
            <w:r>
              <w:rPr>
                <w:rFonts w:eastAsia="Times New Roman"/>
                <w:color w:val="000000"/>
              </w:rPr>
              <w:t>t</w:t>
            </w:r>
            <w:r w:rsidRPr="00937F13">
              <w:rPr>
                <w:rFonts w:eastAsia="Times New Roman"/>
                <w:color w:val="000000"/>
              </w:rPr>
              <w:t>ion</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13 (16.9%)</w:t>
            </w:r>
          </w:p>
        </w:tc>
        <w:tc>
          <w:tcPr>
            <w:tcW w:w="1077" w:type="dxa"/>
            <w:vAlign w:val="bottom"/>
          </w:tcPr>
          <w:p w:rsidR="003332C5" w:rsidRPr="00937F13" w:rsidRDefault="003332C5" w:rsidP="00241953">
            <w:pPr>
              <w:jc w:val="center"/>
              <w:rPr>
                <w:rFonts w:eastAsia="Times New Roman"/>
                <w:color w:val="000000"/>
              </w:rPr>
            </w:pPr>
            <w:r w:rsidRPr="003332C5">
              <w:rPr>
                <w:rFonts w:eastAsia="Times New Roman"/>
                <w:color w:val="000000"/>
              </w:rPr>
              <w:t>0.104</w:t>
            </w:r>
          </w:p>
        </w:tc>
        <w:tc>
          <w:tcPr>
            <w:tcW w:w="2268"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FC I/II n = 25, FC III/IV n = 77</w:t>
            </w: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Synovitis</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8 (32.0%)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35 (45.5%)</w:t>
            </w:r>
          </w:p>
        </w:tc>
        <w:tc>
          <w:tcPr>
            <w:tcW w:w="1077" w:type="dxa"/>
            <w:vAlign w:val="bottom"/>
          </w:tcPr>
          <w:p w:rsidR="003332C5" w:rsidRPr="00937F13" w:rsidRDefault="003332C5" w:rsidP="00241953">
            <w:pPr>
              <w:jc w:val="center"/>
              <w:rPr>
                <w:rFonts w:eastAsia="Times New Roman"/>
                <w:color w:val="000000"/>
              </w:rPr>
            </w:pPr>
            <w:r w:rsidRPr="003332C5">
              <w:rPr>
                <w:rFonts w:eastAsia="Times New Roman"/>
                <w:color w:val="000000"/>
              </w:rPr>
              <w:t>0.237</w:t>
            </w:r>
          </w:p>
        </w:tc>
        <w:tc>
          <w:tcPr>
            <w:tcW w:w="2268"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FC I/II n = 25, FC III/IV n = 77</w:t>
            </w: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Myositis</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3 (3.8%)</w:t>
            </w:r>
          </w:p>
        </w:tc>
        <w:tc>
          <w:tcPr>
            <w:tcW w:w="1077" w:type="dxa"/>
            <w:vAlign w:val="bottom"/>
          </w:tcPr>
          <w:p w:rsidR="003332C5" w:rsidRPr="00937F13" w:rsidRDefault="003332C5" w:rsidP="003332C5">
            <w:pPr>
              <w:jc w:val="center"/>
              <w:rPr>
                <w:rFonts w:eastAsia="Times New Roman"/>
                <w:color w:val="000000"/>
              </w:rPr>
            </w:pPr>
            <w:r w:rsidRPr="003332C5">
              <w:rPr>
                <w:rFonts w:eastAsia="Times New Roman"/>
                <w:color w:val="000000"/>
              </w:rPr>
              <w:t>0.323</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Coronary artery stent/plasty or CABG or valvular surgery</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4 (16.0%)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15 (19.0%)</w:t>
            </w:r>
          </w:p>
        </w:tc>
        <w:tc>
          <w:tcPr>
            <w:tcW w:w="1077" w:type="dxa"/>
            <w:vAlign w:val="bottom"/>
          </w:tcPr>
          <w:p w:rsidR="003332C5" w:rsidRPr="00937F13" w:rsidRDefault="003332C5" w:rsidP="003332C5">
            <w:pPr>
              <w:jc w:val="center"/>
              <w:rPr>
                <w:rFonts w:eastAsia="Times New Roman"/>
                <w:color w:val="000000"/>
              </w:rPr>
            </w:pPr>
            <w:r w:rsidRPr="003332C5">
              <w:rPr>
                <w:rFonts w:eastAsia="Times New Roman"/>
                <w:color w:val="000000"/>
              </w:rPr>
              <w:t>0.736</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Pr>
                <w:rFonts w:eastAsia="Times New Roman"/>
                <w:color w:val="000000"/>
              </w:rPr>
              <w:t>Myocardial infarc</w:t>
            </w:r>
            <w:r w:rsidRPr="00937F13">
              <w:rPr>
                <w:rFonts w:eastAsia="Times New Roman"/>
                <w:color w:val="000000"/>
              </w:rPr>
              <w:t>tion</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4 (16.0%)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13 (16.4%)</w:t>
            </w:r>
          </w:p>
        </w:tc>
        <w:tc>
          <w:tcPr>
            <w:tcW w:w="1077" w:type="dxa"/>
            <w:vAlign w:val="bottom"/>
          </w:tcPr>
          <w:p w:rsidR="003332C5" w:rsidRPr="00937F13" w:rsidRDefault="003332C5" w:rsidP="003332C5">
            <w:pPr>
              <w:jc w:val="center"/>
              <w:rPr>
                <w:rFonts w:eastAsia="Times New Roman"/>
                <w:color w:val="000000"/>
              </w:rPr>
            </w:pPr>
            <w:r w:rsidRPr="003332C5">
              <w:rPr>
                <w:rFonts w:eastAsia="Times New Roman"/>
                <w:color w:val="000000"/>
              </w:rPr>
              <w:t>0.428</w:t>
            </w:r>
          </w:p>
        </w:tc>
        <w:tc>
          <w:tcPr>
            <w:tcW w:w="2268" w:type="dxa"/>
            <w:shd w:val="clear" w:color="auto" w:fill="auto"/>
            <w:noWrap/>
            <w:vAlign w:val="bottom"/>
            <w:hideMark/>
          </w:tcPr>
          <w:p w:rsidR="003332C5" w:rsidRPr="00937F13" w:rsidRDefault="003332C5">
            <w:pPr>
              <w:jc w:val="center"/>
              <w:rPr>
                <w:rFonts w:eastAsia="Times New Roman"/>
                <w:color w:val="000000"/>
              </w:rPr>
            </w:pPr>
          </w:p>
        </w:tc>
      </w:tr>
      <w:tr w:rsidR="003332C5" w:rsidRPr="00937F13" w:rsidTr="00241953">
        <w:trPr>
          <w:trHeight w:val="320"/>
        </w:trPr>
        <w:tc>
          <w:tcPr>
            <w:tcW w:w="3544" w:type="dxa"/>
            <w:shd w:val="clear" w:color="auto" w:fill="auto"/>
            <w:noWrap/>
            <w:vAlign w:val="bottom"/>
            <w:hideMark/>
          </w:tcPr>
          <w:p w:rsidR="003332C5" w:rsidRPr="00937F13" w:rsidRDefault="003332C5" w:rsidP="00937F13">
            <w:pPr>
              <w:rPr>
                <w:rFonts w:eastAsia="Times New Roman"/>
                <w:color w:val="000000"/>
              </w:rPr>
            </w:pPr>
            <w:r w:rsidRPr="00937F13">
              <w:rPr>
                <w:rFonts w:eastAsia="Times New Roman"/>
                <w:color w:val="000000"/>
              </w:rPr>
              <w:t>Peripheral vascular disease</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11 (14.7%)</w:t>
            </w:r>
          </w:p>
        </w:tc>
        <w:tc>
          <w:tcPr>
            <w:tcW w:w="1077" w:type="dxa"/>
            <w:vAlign w:val="bottom"/>
          </w:tcPr>
          <w:p w:rsidR="003332C5" w:rsidRPr="00937F13" w:rsidRDefault="003332C5" w:rsidP="00241953">
            <w:pPr>
              <w:jc w:val="center"/>
              <w:rPr>
                <w:rFonts w:eastAsia="Times New Roman"/>
                <w:color w:val="000000"/>
              </w:rPr>
            </w:pPr>
            <w:r w:rsidRPr="003332C5">
              <w:rPr>
                <w:rFonts w:eastAsia="Times New Roman"/>
                <w:color w:val="000000"/>
              </w:rPr>
              <w:t>0.042</w:t>
            </w:r>
          </w:p>
        </w:tc>
        <w:tc>
          <w:tcPr>
            <w:tcW w:w="2268"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FC I/II n = 25, FC III/IV n = 75</w:t>
            </w: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TIA/CVA</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4 (5.3%)</w:t>
            </w:r>
          </w:p>
        </w:tc>
        <w:tc>
          <w:tcPr>
            <w:tcW w:w="1077" w:type="dxa"/>
            <w:vAlign w:val="bottom"/>
          </w:tcPr>
          <w:p w:rsidR="003332C5" w:rsidRPr="00937F13" w:rsidRDefault="003332C5" w:rsidP="00241953">
            <w:pPr>
              <w:jc w:val="center"/>
              <w:rPr>
                <w:rFonts w:eastAsia="Times New Roman"/>
                <w:color w:val="000000"/>
              </w:rPr>
            </w:pPr>
            <w:r w:rsidRPr="003332C5">
              <w:rPr>
                <w:rFonts w:eastAsia="Times New Roman"/>
                <w:color w:val="000000"/>
              </w:rPr>
              <w:t>0.499</w:t>
            </w:r>
          </w:p>
        </w:tc>
        <w:tc>
          <w:tcPr>
            <w:tcW w:w="2268"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FC I/II n = 25, FC III/IV n = 75</w:t>
            </w: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Diabetes</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4 (5.3%)</w:t>
            </w:r>
          </w:p>
        </w:tc>
        <w:tc>
          <w:tcPr>
            <w:tcW w:w="1077" w:type="dxa"/>
            <w:vAlign w:val="bottom"/>
          </w:tcPr>
          <w:p w:rsidR="003332C5" w:rsidRPr="00937F13" w:rsidRDefault="003332C5" w:rsidP="00241953">
            <w:pPr>
              <w:jc w:val="center"/>
              <w:rPr>
                <w:rFonts w:eastAsia="Times New Roman"/>
                <w:color w:val="000000"/>
              </w:rPr>
            </w:pPr>
            <w:r w:rsidRPr="003332C5">
              <w:rPr>
                <w:rFonts w:eastAsia="Times New Roman"/>
                <w:color w:val="000000"/>
              </w:rPr>
              <w:t>0.499</w:t>
            </w:r>
          </w:p>
        </w:tc>
        <w:tc>
          <w:tcPr>
            <w:tcW w:w="2268"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FC I/II n = 25, FC III/IV n = 75</w:t>
            </w:r>
          </w:p>
        </w:tc>
      </w:tr>
      <w:tr w:rsidR="003332C5" w:rsidRPr="00937F13" w:rsidTr="00241953">
        <w:trPr>
          <w:trHeight w:val="320"/>
        </w:trPr>
        <w:tc>
          <w:tcPr>
            <w:tcW w:w="3544"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COAD</w:t>
            </w:r>
          </w:p>
        </w:tc>
        <w:tc>
          <w:tcPr>
            <w:tcW w:w="1701"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5 (20.0%)</w:t>
            </w:r>
          </w:p>
        </w:tc>
        <w:tc>
          <w:tcPr>
            <w:tcW w:w="1559" w:type="dxa"/>
            <w:shd w:val="clear" w:color="auto" w:fill="auto"/>
            <w:noWrap/>
            <w:vAlign w:val="bottom"/>
            <w:hideMark/>
          </w:tcPr>
          <w:p w:rsidR="003332C5" w:rsidRPr="00937F13" w:rsidRDefault="003332C5">
            <w:pPr>
              <w:jc w:val="center"/>
              <w:rPr>
                <w:rFonts w:eastAsia="Times New Roman"/>
                <w:color w:val="000000"/>
              </w:rPr>
            </w:pPr>
            <w:r w:rsidRPr="00937F13">
              <w:rPr>
                <w:rFonts w:eastAsia="Times New Roman"/>
                <w:color w:val="000000"/>
              </w:rPr>
              <w:t>10 (13.3%)</w:t>
            </w:r>
          </w:p>
        </w:tc>
        <w:tc>
          <w:tcPr>
            <w:tcW w:w="1077" w:type="dxa"/>
            <w:vAlign w:val="bottom"/>
          </w:tcPr>
          <w:p w:rsidR="003332C5" w:rsidRPr="00937F13" w:rsidRDefault="003332C5" w:rsidP="00241953">
            <w:pPr>
              <w:jc w:val="center"/>
              <w:rPr>
                <w:rFonts w:eastAsia="Times New Roman"/>
                <w:color w:val="000000"/>
              </w:rPr>
            </w:pPr>
            <w:r w:rsidRPr="003332C5">
              <w:rPr>
                <w:rFonts w:eastAsia="Times New Roman"/>
                <w:color w:val="000000"/>
              </w:rPr>
              <w:t>0.37</w:t>
            </w:r>
            <w:r>
              <w:rPr>
                <w:rFonts w:eastAsia="Times New Roman"/>
                <w:color w:val="000000"/>
              </w:rPr>
              <w:t>0</w:t>
            </w:r>
          </w:p>
        </w:tc>
        <w:tc>
          <w:tcPr>
            <w:tcW w:w="2268" w:type="dxa"/>
            <w:shd w:val="clear" w:color="auto" w:fill="auto"/>
            <w:noWrap/>
            <w:vAlign w:val="bottom"/>
            <w:hideMark/>
          </w:tcPr>
          <w:p w:rsidR="003332C5" w:rsidRPr="00937F13" w:rsidRDefault="003332C5">
            <w:pPr>
              <w:rPr>
                <w:rFonts w:eastAsia="Times New Roman"/>
                <w:color w:val="000000"/>
              </w:rPr>
            </w:pPr>
            <w:r w:rsidRPr="00937F13">
              <w:rPr>
                <w:rFonts w:eastAsia="Times New Roman"/>
                <w:color w:val="000000"/>
              </w:rPr>
              <w:t>FC I/II n = 25, FC III/IV n = 75</w:t>
            </w:r>
          </w:p>
        </w:tc>
      </w:tr>
    </w:tbl>
    <w:p w:rsidR="00937F13" w:rsidRPr="00B251E5" w:rsidRDefault="00022227" w:rsidP="00B251E5">
      <w:pPr>
        <w:ind w:right="-858"/>
        <w:rPr>
          <w:rFonts w:eastAsia="Times New Roman"/>
          <w:color w:val="000000"/>
          <w:sz w:val="22"/>
        </w:rPr>
      </w:pPr>
      <w:r w:rsidRPr="00B251E5">
        <w:rPr>
          <w:rFonts w:eastAsia="Times New Roman"/>
          <w:color w:val="000000"/>
          <w:sz w:val="22"/>
        </w:rPr>
        <w:t>RHC, right heart catheter; PAH, pulmonary arterial hypertension; FC, functional class; GOR, gastro-oesophageal reflux; GAVE, gastric antral vascular ectasia; IV, intravenous; TPN, total parenteral nutrition; PEG, percutaneous enteric gastrostomy</w:t>
      </w:r>
      <w:r w:rsidR="00E80C92" w:rsidRPr="00B251E5">
        <w:rPr>
          <w:rFonts w:eastAsia="Times New Roman"/>
          <w:color w:val="000000"/>
          <w:sz w:val="22"/>
        </w:rPr>
        <w:t>; CABG, coronary bypass graft; TIA, transient ischaemic attack; CVA, cerebrovascular accident; COAD, chronic obstructive airways disease.</w:t>
      </w:r>
    </w:p>
    <w:p w:rsidR="00572219" w:rsidRDefault="00572219">
      <w:pPr>
        <w:rPr>
          <w:b/>
          <w:sz w:val="22"/>
          <w:szCs w:val="22"/>
        </w:rPr>
      </w:pPr>
      <w:r>
        <w:rPr>
          <w:b/>
          <w:sz w:val="22"/>
          <w:szCs w:val="22"/>
        </w:rPr>
        <w:br w:type="page"/>
      </w:r>
    </w:p>
    <w:p w:rsidR="00341603" w:rsidRDefault="009822C8" w:rsidP="00AD1F5E">
      <w:pPr>
        <w:widowControl w:val="0"/>
        <w:tabs>
          <w:tab w:val="left" w:pos="220"/>
          <w:tab w:val="left" w:pos="720"/>
        </w:tabs>
        <w:autoSpaceDE w:val="0"/>
        <w:autoSpaceDN w:val="0"/>
        <w:adjustRightInd w:val="0"/>
        <w:spacing w:line="360" w:lineRule="auto"/>
        <w:jc w:val="both"/>
        <w:rPr>
          <w:b/>
          <w:sz w:val="22"/>
          <w:szCs w:val="22"/>
        </w:rPr>
      </w:pPr>
      <w:r>
        <w:rPr>
          <w:b/>
          <w:sz w:val="22"/>
          <w:szCs w:val="22"/>
        </w:rPr>
        <w:t>DISCUSSION</w:t>
      </w:r>
    </w:p>
    <w:p w:rsidR="009822C8" w:rsidRDefault="009822C8" w:rsidP="00AD1F5E">
      <w:pPr>
        <w:widowControl w:val="0"/>
        <w:tabs>
          <w:tab w:val="left" w:pos="220"/>
          <w:tab w:val="left" w:pos="720"/>
        </w:tabs>
        <w:autoSpaceDE w:val="0"/>
        <w:autoSpaceDN w:val="0"/>
        <w:adjustRightInd w:val="0"/>
        <w:spacing w:line="360" w:lineRule="auto"/>
        <w:jc w:val="both"/>
        <w:rPr>
          <w:b/>
          <w:sz w:val="22"/>
          <w:szCs w:val="22"/>
        </w:rPr>
      </w:pPr>
    </w:p>
    <w:p w:rsidR="005D4C93" w:rsidRDefault="009822C8"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sidRPr="009822C8">
        <w:t>Since the inception of the ASCS</w:t>
      </w:r>
      <w:r w:rsidR="0007667B">
        <w:t xml:space="preserve"> in 2007</w:t>
      </w:r>
      <w:r w:rsidR="00A770BD">
        <w:t xml:space="preserve"> to 2016</w:t>
      </w:r>
      <w:r w:rsidRPr="009822C8">
        <w:t>, a</w:t>
      </w:r>
      <w:r w:rsidRPr="009822C8">
        <w:rPr>
          <w:rFonts w:eastAsia="Times New Roman"/>
          <w:color w:val="222222"/>
          <w:shd w:val="clear" w:color="auto" w:fill="FFFFFF"/>
          <w:lang w:val="en-AU"/>
        </w:rPr>
        <w:t xml:space="preserve"> new diagnosis of WHO Group I PAH has been made in 160 of 1636 patients </w:t>
      </w:r>
      <w:r w:rsidR="00A770BD">
        <w:rPr>
          <w:rFonts w:eastAsia="Times New Roman"/>
          <w:color w:val="222222"/>
          <w:shd w:val="clear" w:color="auto" w:fill="FFFFFF"/>
          <w:lang w:val="en-AU"/>
        </w:rPr>
        <w:t xml:space="preserve">with SSc or MCTD </w:t>
      </w:r>
      <w:r w:rsidRPr="009822C8">
        <w:rPr>
          <w:rFonts w:eastAsia="Times New Roman"/>
          <w:color w:val="222222"/>
          <w:shd w:val="clear" w:color="auto" w:fill="FFFFFF"/>
          <w:lang w:val="en-AU"/>
        </w:rPr>
        <w:t>as a result of active risk assessment, with a prevalence of 11.8%</w:t>
      </w:r>
      <w:r w:rsidR="00A770BD">
        <w:rPr>
          <w:rFonts w:eastAsia="Times New Roman"/>
          <w:color w:val="222222"/>
          <w:shd w:val="clear" w:color="auto" w:fill="FFFFFF"/>
          <w:lang w:val="en-AU"/>
        </w:rPr>
        <w:t xml:space="preserve"> (11)</w:t>
      </w:r>
      <w:r w:rsidR="0007667B">
        <w:rPr>
          <w:rFonts w:eastAsia="Times New Roman"/>
          <w:color w:val="222222"/>
          <w:shd w:val="clear" w:color="auto" w:fill="FFFFFF"/>
          <w:lang w:val="en-AU"/>
        </w:rPr>
        <w:t xml:space="preserve">. </w:t>
      </w:r>
      <w:r w:rsidR="00A770BD">
        <w:rPr>
          <w:rFonts w:eastAsia="Times New Roman"/>
          <w:color w:val="222222"/>
          <w:shd w:val="clear" w:color="auto" w:fill="FFFFFF"/>
          <w:lang w:val="en-AU"/>
        </w:rPr>
        <w:t xml:space="preserve"> By December 2017, 244 patients have been diagnosed with PH by RHC, of whom 209 had Group 1 PAH. </w:t>
      </w:r>
      <w:r w:rsidR="0007667B">
        <w:rPr>
          <w:rFonts w:eastAsia="Times New Roman"/>
          <w:color w:val="222222"/>
          <w:shd w:val="clear" w:color="auto" w:fill="FFFFFF"/>
          <w:lang w:val="en-AU"/>
        </w:rPr>
        <w:t>During the period of July 2016 to June 2017, 116 patients with PH were alive, of whom 104 had PAH. At an index visit between June 2016 and December 2017, 79 were in FC III or IV. These patients had more severe disease based on estimated systolic PAP on TTE and 6MWT distance. Approximately half were on dual or triple therapy at the index visit compare</w:t>
      </w:r>
      <w:r w:rsidR="00752CB4">
        <w:rPr>
          <w:rFonts w:eastAsia="Times New Roman"/>
          <w:color w:val="222222"/>
          <w:shd w:val="clear" w:color="auto" w:fill="FFFFFF"/>
          <w:lang w:val="en-AU"/>
        </w:rPr>
        <w:t>d</w:t>
      </w:r>
      <w:r w:rsidR="0007667B">
        <w:rPr>
          <w:rFonts w:eastAsia="Times New Roman"/>
          <w:color w:val="222222"/>
          <w:shd w:val="clear" w:color="auto" w:fill="FFFFFF"/>
          <w:lang w:val="en-AU"/>
        </w:rPr>
        <w:t xml:space="preserve"> with 36% of those in FC I/II at the index visit. Only </w:t>
      </w:r>
      <w:r w:rsidR="00241953">
        <w:rPr>
          <w:rFonts w:eastAsia="Times New Roman"/>
          <w:color w:val="222222"/>
          <w:shd w:val="clear" w:color="auto" w:fill="FFFFFF"/>
          <w:lang w:val="en-AU"/>
        </w:rPr>
        <w:t>two</w:t>
      </w:r>
      <w:r w:rsidR="0007667B">
        <w:rPr>
          <w:rFonts w:eastAsia="Times New Roman"/>
          <w:color w:val="222222"/>
          <w:shd w:val="clear" w:color="auto" w:fill="FFFFFF"/>
          <w:lang w:val="en-AU"/>
        </w:rPr>
        <w:t xml:space="preserve"> patients with PH due to other causes (left heart disease) </w:t>
      </w:r>
      <w:r w:rsidR="0007667B" w:rsidRPr="00241953">
        <w:rPr>
          <w:rFonts w:eastAsia="Times New Roman"/>
          <w:color w:val="222222"/>
          <w:shd w:val="clear" w:color="auto" w:fill="FFFFFF"/>
          <w:lang w:val="en-AU"/>
        </w:rPr>
        <w:t>were receiving PAH therapy</w:t>
      </w:r>
      <w:r w:rsidR="00241953">
        <w:rPr>
          <w:rFonts w:eastAsia="Times New Roman"/>
          <w:color w:val="222222"/>
          <w:shd w:val="clear" w:color="auto" w:fill="FFFFFF"/>
          <w:lang w:val="en-AU"/>
        </w:rPr>
        <w:t>, funded from non-PBS sources</w:t>
      </w:r>
      <w:r w:rsidR="0007667B" w:rsidRPr="00241953">
        <w:rPr>
          <w:rFonts w:eastAsia="Times New Roman"/>
          <w:color w:val="222222"/>
          <w:shd w:val="clear" w:color="auto" w:fill="FFFFFF"/>
          <w:lang w:val="en-AU"/>
        </w:rPr>
        <w:t>.</w:t>
      </w:r>
      <w:r w:rsidR="00336EAF">
        <w:rPr>
          <w:rFonts w:eastAsia="Times New Roman"/>
          <w:color w:val="222222"/>
          <w:shd w:val="clear" w:color="auto" w:fill="FFFFFF"/>
          <w:lang w:val="en-AU"/>
        </w:rPr>
        <w:t xml:space="preserve"> </w:t>
      </w:r>
    </w:p>
    <w:p w:rsidR="005D4C93" w:rsidRDefault="005D4C93"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p>
    <w:p w:rsidR="003C121E" w:rsidRDefault="003C121E"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Pr>
          <w:rFonts w:eastAsia="Times New Roman"/>
          <w:color w:val="222222"/>
          <w:shd w:val="clear" w:color="auto" w:fill="FFFFFF"/>
          <w:lang w:val="en-AU"/>
        </w:rPr>
        <w:t>Although assessment of outcomes is beyond the scope of this analysis, PBS-reimbursed PAH therapy is limited to patients in FC III and IV, but approximately a quarter of patients were in FC I/II at the time of the index</w:t>
      </w:r>
      <w:r w:rsidR="00D75D62">
        <w:rPr>
          <w:rFonts w:eastAsia="Times New Roman"/>
          <w:color w:val="222222"/>
          <w:shd w:val="clear" w:color="auto" w:fill="FFFFFF"/>
          <w:lang w:val="en-AU"/>
        </w:rPr>
        <w:t xml:space="preserve"> visit</w:t>
      </w:r>
      <w:r w:rsidR="00336EAF">
        <w:rPr>
          <w:rFonts w:eastAsia="Times New Roman"/>
          <w:color w:val="222222"/>
          <w:shd w:val="clear" w:color="auto" w:fill="FFFFFF"/>
          <w:lang w:val="en-AU"/>
        </w:rPr>
        <w:t xml:space="preserve"> suggesting improvement in FC since initiation of PAH therapy</w:t>
      </w:r>
      <w:r>
        <w:rPr>
          <w:rFonts w:eastAsia="Times New Roman"/>
          <w:color w:val="222222"/>
          <w:shd w:val="clear" w:color="auto" w:fill="FFFFFF"/>
          <w:lang w:val="en-AU"/>
        </w:rPr>
        <w:t xml:space="preserve">. The mean follow up was approximately 5 years which is substantially longer than the prognosis of untreated PAH. </w:t>
      </w:r>
      <w:r w:rsidR="00D75D62">
        <w:rPr>
          <w:rFonts w:eastAsia="Times New Roman"/>
          <w:color w:val="222222"/>
          <w:shd w:val="clear" w:color="auto" w:fill="FFFFFF"/>
          <w:lang w:val="en-AU"/>
        </w:rPr>
        <w:t xml:space="preserve">Being a cross-sectional analysis, this cohort included some with longstanding disease. </w:t>
      </w:r>
      <w:r>
        <w:rPr>
          <w:rFonts w:eastAsia="Times New Roman"/>
          <w:color w:val="222222"/>
          <w:shd w:val="clear" w:color="auto" w:fill="FFFFFF"/>
          <w:lang w:val="en-AU"/>
        </w:rPr>
        <w:t xml:space="preserve">It is well-recognised that patients with prevalent PAH have a survival bias that can skew outcome analyses </w:t>
      </w:r>
      <w:r w:rsidR="00D75D62">
        <w:rPr>
          <w:rFonts w:eastAsia="Times New Roman"/>
          <w:noProof/>
          <w:color w:val="222222"/>
          <w:shd w:val="clear" w:color="auto" w:fill="FFFFFF"/>
          <w:lang w:val="en-AU"/>
        </w:rPr>
        <w:t>(12)</w:t>
      </w:r>
      <w:r w:rsidR="00D75D62">
        <w:rPr>
          <w:rFonts w:eastAsia="Times New Roman"/>
          <w:color w:val="222222"/>
          <w:shd w:val="clear" w:color="auto" w:fill="FFFFFF"/>
          <w:lang w:val="en-AU"/>
        </w:rPr>
        <w:t>. Although all the patients included in this analysis had been followed from the time of diagnosis, this bias cannot be excluded.</w:t>
      </w:r>
    </w:p>
    <w:p w:rsidR="0007667B" w:rsidRDefault="0007667B"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p>
    <w:p w:rsidR="00FB7E5A" w:rsidRPr="00FB7E5A" w:rsidRDefault="00FB7E5A"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sidRPr="00FB7E5A">
        <w:rPr>
          <w:rFonts w:eastAsia="Times New Roman"/>
          <w:color w:val="222222"/>
          <w:shd w:val="clear" w:color="auto" w:fill="FFFFFF"/>
          <w:lang w:val="en-AU"/>
        </w:rPr>
        <w:t xml:space="preserve">The number of patients with RHC demonstrated PH due to left heart disease or ILD is quite low in this cohort. This may reflect low </w:t>
      </w:r>
      <w:r>
        <w:rPr>
          <w:rFonts w:eastAsia="Times New Roman"/>
          <w:color w:val="222222"/>
          <w:shd w:val="clear" w:color="auto" w:fill="FFFFFF"/>
          <w:lang w:val="en-AU"/>
        </w:rPr>
        <w:t xml:space="preserve">rates of </w:t>
      </w:r>
      <w:r w:rsidRPr="00FB7E5A">
        <w:rPr>
          <w:rFonts w:eastAsia="Times New Roman"/>
          <w:color w:val="222222"/>
          <w:shd w:val="clear" w:color="auto" w:fill="FFFFFF"/>
          <w:lang w:val="en-AU"/>
        </w:rPr>
        <w:t>referral for RHC of patients suspected to have PH due to these indications for which PAH vasodilator therapy is not PBS reimbursed, rather than low rates of these forms of PH in this cohort.</w:t>
      </w:r>
    </w:p>
    <w:p w:rsidR="00FB7E5A" w:rsidRDefault="00FB7E5A" w:rsidP="00AD1F5E">
      <w:pPr>
        <w:widowControl w:val="0"/>
        <w:tabs>
          <w:tab w:val="left" w:pos="220"/>
          <w:tab w:val="left" w:pos="720"/>
        </w:tabs>
        <w:autoSpaceDE w:val="0"/>
        <w:autoSpaceDN w:val="0"/>
        <w:adjustRightInd w:val="0"/>
        <w:spacing w:line="360" w:lineRule="auto"/>
        <w:jc w:val="both"/>
        <w:rPr>
          <w:b/>
          <w:sz w:val="22"/>
          <w:szCs w:val="22"/>
        </w:rPr>
      </w:pPr>
    </w:p>
    <w:p w:rsidR="0007667B" w:rsidRDefault="000B1B47"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Pr>
          <w:rFonts w:eastAsia="Times New Roman"/>
          <w:color w:val="222222"/>
          <w:shd w:val="clear" w:color="auto" w:fill="FFFFFF"/>
          <w:lang w:val="en-AU"/>
        </w:rPr>
        <w:t>Note that the ASCS is a dynamic registry with data collected in a real-life setting and hence not all annual visits occur at the scheduled time. Hence the longer period over which an index visit was identified</w:t>
      </w:r>
      <w:r w:rsidR="00F55954">
        <w:rPr>
          <w:rFonts w:eastAsia="Times New Roman"/>
          <w:color w:val="222222"/>
          <w:shd w:val="clear" w:color="auto" w:fill="FFFFFF"/>
          <w:lang w:val="en-AU"/>
        </w:rPr>
        <w:t xml:space="preserve"> </w:t>
      </w:r>
      <w:r>
        <w:rPr>
          <w:rFonts w:eastAsia="Times New Roman"/>
          <w:color w:val="222222"/>
          <w:shd w:val="clear" w:color="auto" w:fill="FFFFFF"/>
          <w:lang w:val="en-AU"/>
        </w:rPr>
        <w:t>ensure</w:t>
      </w:r>
      <w:r w:rsidR="00F55954">
        <w:rPr>
          <w:rFonts w:eastAsia="Times New Roman"/>
          <w:color w:val="222222"/>
          <w:shd w:val="clear" w:color="auto" w:fill="FFFFFF"/>
          <w:lang w:val="en-AU"/>
        </w:rPr>
        <w:t>d</w:t>
      </w:r>
      <w:r>
        <w:rPr>
          <w:rFonts w:eastAsia="Times New Roman"/>
          <w:color w:val="222222"/>
          <w:shd w:val="clear" w:color="auto" w:fill="FFFFFF"/>
          <w:lang w:val="en-AU"/>
        </w:rPr>
        <w:t xml:space="preserve"> that at least one representative visit was included for each patient. Drug use is recorded annually at which time it is possible to determine when two or more drugs are taken concurrently but not at which stage they were commenced e</w:t>
      </w:r>
      <w:r w:rsidR="008212CC">
        <w:rPr>
          <w:rFonts w:eastAsia="Times New Roman"/>
          <w:color w:val="222222"/>
          <w:shd w:val="clear" w:color="auto" w:fill="FFFFFF"/>
          <w:lang w:val="en-AU"/>
        </w:rPr>
        <w:t>.</w:t>
      </w:r>
      <w:r>
        <w:rPr>
          <w:rFonts w:eastAsia="Times New Roman"/>
          <w:color w:val="222222"/>
          <w:shd w:val="clear" w:color="auto" w:fill="FFFFFF"/>
          <w:lang w:val="en-AU"/>
        </w:rPr>
        <w:t>g</w:t>
      </w:r>
      <w:r w:rsidR="008212CC">
        <w:rPr>
          <w:rFonts w:eastAsia="Times New Roman"/>
          <w:color w:val="222222"/>
          <w:shd w:val="clear" w:color="auto" w:fill="FFFFFF"/>
          <w:lang w:val="en-AU"/>
        </w:rPr>
        <w:t>.</w:t>
      </w:r>
      <w:r>
        <w:rPr>
          <w:rFonts w:eastAsia="Times New Roman"/>
          <w:color w:val="222222"/>
          <w:shd w:val="clear" w:color="auto" w:fill="FFFFFF"/>
          <w:lang w:val="en-AU"/>
        </w:rPr>
        <w:t xml:space="preserve"> for how long monotherapy continued before another drug was added. Nor is it possible to identify the exact sources of these drugs. </w:t>
      </w:r>
      <w:r w:rsidR="008212CC">
        <w:rPr>
          <w:rFonts w:eastAsia="Times New Roman"/>
          <w:color w:val="222222"/>
          <w:shd w:val="clear" w:color="auto" w:fill="FFFFFF"/>
          <w:lang w:val="en-AU"/>
        </w:rPr>
        <w:t>Anecdotally</w:t>
      </w:r>
      <w:r>
        <w:rPr>
          <w:rFonts w:eastAsia="Times New Roman"/>
          <w:color w:val="222222"/>
          <w:shd w:val="clear" w:color="auto" w:fill="FFFFFF"/>
          <w:lang w:val="en-AU"/>
        </w:rPr>
        <w:t>, most patients on an ERA receive it from the PBS and the second drug, usually a PDE5 inhibitor is obtained from a local hospital, a Special Access Scheme or is self-funded.</w:t>
      </w:r>
    </w:p>
    <w:p w:rsidR="000B1B47" w:rsidRDefault="000B1B47"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p>
    <w:p w:rsidR="000B1B47" w:rsidRPr="006D4734" w:rsidRDefault="000B1B47" w:rsidP="00AD1F5E">
      <w:pPr>
        <w:widowControl w:val="0"/>
        <w:tabs>
          <w:tab w:val="left" w:pos="220"/>
          <w:tab w:val="left" w:pos="720"/>
        </w:tabs>
        <w:autoSpaceDE w:val="0"/>
        <w:autoSpaceDN w:val="0"/>
        <w:adjustRightInd w:val="0"/>
        <w:spacing w:line="360" w:lineRule="auto"/>
        <w:jc w:val="both"/>
        <w:rPr>
          <w:b/>
          <w:sz w:val="22"/>
          <w:szCs w:val="22"/>
        </w:rPr>
      </w:pPr>
      <w:r>
        <w:rPr>
          <w:rFonts w:eastAsia="Times New Roman"/>
          <w:color w:val="222222"/>
          <w:shd w:val="clear" w:color="auto" w:fill="FFFFFF"/>
          <w:lang w:val="en-AU"/>
        </w:rPr>
        <w:t xml:space="preserve">It is also worth noting that following publication of the ECS/ERS guidelines in 2015, the uptake of initial combination has increased. </w:t>
      </w:r>
      <w:r w:rsidR="00D75D62">
        <w:rPr>
          <w:rFonts w:eastAsia="Times New Roman"/>
          <w:color w:val="222222"/>
          <w:shd w:val="clear" w:color="auto" w:fill="FFFFFF"/>
          <w:lang w:val="en-AU"/>
        </w:rPr>
        <w:t>It is not possible to draw conclusions about</w:t>
      </w:r>
      <w:r>
        <w:rPr>
          <w:rFonts w:eastAsia="Times New Roman"/>
          <w:color w:val="222222"/>
          <w:shd w:val="clear" w:color="auto" w:fill="FFFFFF"/>
          <w:lang w:val="en-AU"/>
        </w:rPr>
        <w:t xml:space="preserve"> change</w:t>
      </w:r>
      <w:r w:rsidR="00D75D62">
        <w:rPr>
          <w:rFonts w:eastAsia="Times New Roman"/>
          <w:color w:val="222222"/>
          <w:shd w:val="clear" w:color="auto" w:fill="FFFFFF"/>
          <w:lang w:val="en-AU"/>
        </w:rPr>
        <w:t>s</w:t>
      </w:r>
      <w:r>
        <w:rPr>
          <w:rFonts w:eastAsia="Times New Roman"/>
          <w:color w:val="222222"/>
          <w:shd w:val="clear" w:color="auto" w:fill="FFFFFF"/>
          <w:lang w:val="en-AU"/>
        </w:rPr>
        <w:t xml:space="preserve"> in prescribing</w:t>
      </w:r>
      <w:r w:rsidR="00D75D62">
        <w:rPr>
          <w:rFonts w:eastAsia="Times New Roman"/>
          <w:color w:val="222222"/>
          <w:shd w:val="clear" w:color="auto" w:fill="FFFFFF"/>
          <w:lang w:val="en-AU"/>
        </w:rPr>
        <w:t xml:space="preserve"> patterns</w:t>
      </w:r>
      <w:r>
        <w:rPr>
          <w:rFonts w:eastAsia="Times New Roman"/>
          <w:color w:val="222222"/>
          <w:shd w:val="clear" w:color="auto" w:fill="FFFFFF"/>
          <w:lang w:val="en-AU"/>
        </w:rPr>
        <w:t xml:space="preserve"> in this cross-sectional analysis.</w:t>
      </w:r>
      <w:r w:rsidR="00483CA4">
        <w:rPr>
          <w:rFonts w:eastAsia="Times New Roman"/>
          <w:color w:val="222222"/>
          <w:shd w:val="clear" w:color="auto" w:fill="FFFFFF"/>
          <w:lang w:val="en-AU"/>
        </w:rPr>
        <w:t xml:space="preserve"> Finally, patients seen at ASCS centres are not recruited to the Registry of the Australian New Zealand Pulmonary Hypertension Society (PHSANZ) in order to avoid duplicate reporting.</w:t>
      </w:r>
    </w:p>
    <w:p w:rsidR="00336EAF" w:rsidRDefault="00336EAF">
      <w:pPr>
        <w:rPr>
          <w:b/>
          <w:sz w:val="22"/>
          <w:szCs w:val="22"/>
        </w:rPr>
      </w:pPr>
    </w:p>
    <w:p w:rsidR="0007667B" w:rsidRDefault="0007667B">
      <w:pPr>
        <w:rPr>
          <w:b/>
          <w:sz w:val="22"/>
          <w:szCs w:val="22"/>
        </w:rPr>
      </w:pPr>
      <w:r>
        <w:rPr>
          <w:b/>
          <w:sz w:val="22"/>
          <w:szCs w:val="22"/>
        </w:rPr>
        <w:br w:type="page"/>
      </w:r>
    </w:p>
    <w:p w:rsidR="00AD1F5E" w:rsidRDefault="00AD1F5E" w:rsidP="00AD1F5E">
      <w:pPr>
        <w:widowControl w:val="0"/>
        <w:tabs>
          <w:tab w:val="left" w:pos="220"/>
          <w:tab w:val="left" w:pos="720"/>
        </w:tabs>
        <w:autoSpaceDE w:val="0"/>
        <w:autoSpaceDN w:val="0"/>
        <w:adjustRightInd w:val="0"/>
        <w:spacing w:line="360" w:lineRule="auto"/>
        <w:jc w:val="both"/>
        <w:rPr>
          <w:b/>
          <w:sz w:val="22"/>
          <w:szCs w:val="22"/>
        </w:rPr>
      </w:pPr>
    </w:p>
    <w:p w:rsidR="00311529" w:rsidRPr="00AD1F5E" w:rsidRDefault="00AD1F5E" w:rsidP="009822C8">
      <w:pPr>
        <w:pStyle w:val="ListParagraph"/>
        <w:widowControl w:val="0"/>
        <w:numPr>
          <w:ilvl w:val="0"/>
          <w:numId w:val="18"/>
        </w:numPr>
        <w:tabs>
          <w:tab w:val="left" w:pos="220"/>
          <w:tab w:val="left" w:pos="720"/>
        </w:tabs>
        <w:autoSpaceDE w:val="0"/>
        <w:autoSpaceDN w:val="0"/>
        <w:adjustRightInd w:val="0"/>
        <w:spacing w:line="360" w:lineRule="auto"/>
        <w:ind w:left="426"/>
        <w:jc w:val="both"/>
        <w:rPr>
          <w:b/>
          <w:sz w:val="22"/>
          <w:szCs w:val="22"/>
        </w:rPr>
      </w:pPr>
      <w:r>
        <w:rPr>
          <w:b/>
          <w:sz w:val="22"/>
          <w:szCs w:val="22"/>
        </w:rPr>
        <w:t>REFERENCES</w:t>
      </w:r>
    </w:p>
    <w:p w:rsidR="00D75D62" w:rsidRPr="00D75D62" w:rsidRDefault="00D75D62" w:rsidP="00D75D62">
      <w:pPr>
        <w:pStyle w:val="EndNoteBibliography"/>
      </w:pPr>
      <w:bookmarkStart w:id="1" w:name="_ENREF_1"/>
      <w:r w:rsidRPr="00D75D62">
        <w:t>1.</w:t>
      </w:r>
      <w:r w:rsidRPr="00D75D62">
        <w:tab/>
        <w:t>Roberts-Thomson P, Jones M, Hakendorf P, Dharmapatni ASSK, Walker J, Macfarlane J, et al. Scleroderma in South Australia: epidemiological observations of possible pathogenic significance. Internal medicine journal. 2001;31(4):220-9.</w:t>
      </w:r>
      <w:bookmarkEnd w:id="1"/>
    </w:p>
    <w:p w:rsidR="00D75D62" w:rsidRPr="00D75D62" w:rsidRDefault="00D75D62" w:rsidP="00D75D62">
      <w:pPr>
        <w:pStyle w:val="EndNoteBibliography"/>
      </w:pPr>
      <w:bookmarkStart w:id="2" w:name="_ENREF_2"/>
      <w:r w:rsidRPr="00D75D62">
        <w:t>2.</w:t>
      </w:r>
      <w:r w:rsidRPr="00D75D62">
        <w:tab/>
        <w:t>Elhai M, Meune C, Avouac J, Kahan A, Allanore Y. Trends in mortality in patients with systemic sclerosis over 40 years: a systematic review and meta-analysis of cohort studies. Rheumatology (Oxford). 2012;51(6):1017-26.</w:t>
      </w:r>
      <w:bookmarkEnd w:id="2"/>
    </w:p>
    <w:p w:rsidR="00D75D62" w:rsidRPr="00D75D62" w:rsidRDefault="00D75D62" w:rsidP="00D75D62">
      <w:pPr>
        <w:pStyle w:val="EndNoteBibliography"/>
      </w:pPr>
      <w:bookmarkStart w:id="3" w:name="_ENREF_3"/>
      <w:r w:rsidRPr="00D75D62">
        <w:t>3.</w:t>
      </w:r>
      <w:r w:rsidRPr="00D75D62">
        <w:tab/>
        <w:t>Hao Y, Hudson M, Baron M, Carreira P, Stevens W, Rabusa C, et al. Early mortality in a multinational systemic sclerosis inception cohort. Arthritis Rheumatol. 2016.</w:t>
      </w:r>
      <w:bookmarkEnd w:id="3"/>
    </w:p>
    <w:p w:rsidR="00D75D62" w:rsidRPr="00D75D62" w:rsidRDefault="00D75D62" w:rsidP="00D75D62">
      <w:pPr>
        <w:pStyle w:val="EndNoteBibliography"/>
      </w:pPr>
      <w:bookmarkStart w:id="4" w:name="_ENREF_4"/>
      <w:r w:rsidRPr="00D75D62">
        <w:t>4.</w:t>
      </w:r>
      <w:r w:rsidRPr="00D75D62">
        <w:tab/>
        <w:t>Morrisroe K, Stevens W, Sahhar J, Ngian GS, Rabusa C, Ferdowsi N, et al. Quantifying the direct public health care cost of systemic sclerosis: A comprehensive data linkage study. Medicine (Baltimore). 2017;96(48):e8503.</w:t>
      </w:r>
      <w:bookmarkEnd w:id="4"/>
    </w:p>
    <w:p w:rsidR="00D75D62" w:rsidRPr="00D75D62" w:rsidRDefault="00D75D62" w:rsidP="00D75D62">
      <w:pPr>
        <w:pStyle w:val="EndNoteBibliography"/>
      </w:pPr>
      <w:bookmarkStart w:id="5" w:name="_ENREF_5"/>
      <w:r w:rsidRPr="00D75D62">
        <w:t>5.</w:t>
      </w:r>
      <w:r w:rsidRPr="00D75D62">
        <w:tab/>
        <w:t>Morrisroe K, Sudararajan V, Stevens W, Sahhar J, Zochling J, Roddy J, et al. Work productivity in systemic sclerosis, its economic burden and association with health-related quality of life. Rheumatology (Oxford). 2018;57(1):73-83.</w:t>
      </w:r>
      <w:bookmarkEnd w:id="5"/>
    </w:p>
    <w:p w:rsidR="00D75D62" w:rsidRPr="00D75D62" w:rsidRDefault="00D75D62" w:rsidP="00D75D62">
      <w:pPr>
        <w:pStyle w:val="EndNoteBibliography"/>
      </w:pPr>
      <w:bookmarkStart w:id="6" w:name="_ENREF_6"/>
      <w:r w:rsidRPr="00D75D62">
        <w:t>6.</w:t>
      </w:r>
      <w:r w:rsidRPr="00D75D62">
        <w:tab/>
        <w:t>Tyndall AJ, Bannert B, Vonk M, Airo P, Cozzi F, Carreira PE, et al. Causes and risk factors for death in systemic sclerosis: a study from the EULAR Scleroderma Trials and Research (EUSTAR) database. Ann Rheum Dis. 2010;69(10):1809-15.</w:t>
      </w:r>
      <w:bookmarkEnd w:id="6"/>
    </w:p>
    <w:p w:rsidR="00D75D62" w:rsidRPr="00D75D62" w:rsidRDefault="00D75D62" w:rsidP="00D75D62">
      <w:pPr>
        <w:pStyle w:val="EndNoteBibliography"/>
      </w:pPr>
      <w:bookmarkStart w:id="7" w:name="_ENREF_7"/>
      <w:r w:rsidRPr="00D75D62">
        <w:t>7.</w:t>
      </w:r>
      <w:r w:rsidRPr="00D75D62">
        <w:tab/>
        <w:t>Steen VD, Medsger TA. Changes in causes of death in systemic sclerosis, 1972-2002. Annals of the rheumatic diseases. 2007;66(7):940-4.</w:t>
      </w:r>
      <w:bookmarkEnd w:id="7"/>
    </w:p>
    <w:p w:rsidR="00D75D62" w:rsidRPr="00D75D62" w:rsidRDefault="00D75D62" w:rsidP="00D75D62">
      <w:pPr>
        <w:pStyle w:val="EndNoteBibliography"/>
      </w:pPr>
      <w:bookmarkStart w:id="8" w:name="_ENREF_8"/>
      <w:r w:rsidRPr="00D75D62">
        <w:t>8.</w:t>
      </w:r>
      <w:r w:rsidRPr="00D75D62">
        <w:tab/>
        <w:t>Calderone A, Stevens W, Prior D, Nandurkar H, Gabbay E, Proudman SM, et al. Multicentre randomised placebo-controlled trial of oral anticoagulation with apixaban in systemic sclerosis-related pulmonary arterial hypertension: the SPHInX study protocol. BMJ Open. 2016;6(12):e011028.</w:t>
      </w:r>
      <w:bookmarkEnd w:id="8"/>
    </w:p>
    <w:p w:rsidR="00D75D62" w:rsidRPr="00D75D62" w:rsidRDefault="00D75D62" w:rsidP="00D75D62">
      <w:pPr>
        <w:pStyle w:val="EndNoteBibliography"/>
      </w:pPr>
      <w:bookmarkStart w:id="9" w:name="_ENREF_9"/>
      <w:r w:rsidRPr="00D75D62">
        <w:t>9.</w:t>
      </w:r>
      <w:r w:rsidRPr="00D75D62">
        <w:tab/>
        <w:t>Galie N, Humbert M, Vachiery JL, Gibbs S, Lang I, Torbicki A, 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European heart journal. 2016;37(1):67-119.</w:t>
      </w:r>
      <w:bookmarkEnd w:id="9"/>
    </w:p>
    <w:p w:rsidR="00D75D62" w:rsidRPr="00D75D62" w:rsidRDefault="00D75D62" w:rsidP="00D75D62">
      <w:pPr>
        <w:pStyle w:val="EndNoteBibliography"/>
      </w:pPr>
      <w:bookmarkStart w:id="10" w:name="_ENREF_10"/>
      <w:r w:rsidRPr="00D75D62">
        <w:t>10.</w:t>
      </w:r>
      <w:r w:rsidRPr="00D75D62">
        <w:tab/>
        <w:t>Avouac J, Airo P, Meune C, Beretta L, Dieude P, Caramaschi P, et al. Prevalence of pulmonary hypertension in systemic sclerosis in European Caucasians and metaanalysis of 5 studies. J Rheumatol. 2010;37(11):2290-8.</w:t>
      </w:r>
      <w:bookmarkEnd w:id="10"/>
    </w:p>
    <w:p w:rsidR="00D75D62" w:rsidRPr="00D75D62" w:rsidRDefault="00D75D62" w:rsidP="00D75D62">
      <w:pPr>
        <w:pStyle w:val="EndNoteBibliography"/>
      </w:pPr>
      <w:bookmarkStart w:id="11" w:name="_ENREF_11"/>
      <w:r w:rsidRPr="00D75D62">
        <w:t>11.</w:t>
      </w:r>
      <w:r w:rsidRPr="00D75D62">
        <w:tab/>
        <w:t>Morrisroe K, Stevens W, Sahhar J, Rabusa C, Nikpour M, Proudman S, et al. Epidemiology and disease characteristics of systemic sclerosis-related pulmonary arterial hypertension: results from a real-life screening programme. Arthritis Res Ther. 2017;19(1):42.</w:t>
      </w:r>
      <w:bookmarkEnd w:id="11"/>
    </w:p>
    <w:p w:rsidR="00D75D62" w:rsidRPr="00D75D62" w:rsidRDefault="00D75D62" w:rsidP="00D75D62">
      <w:pPr>
        <w:pStyle w:val="EndNoteBibliography"/>
      </w:pPr>
      <w:bookmarkStart w:id="12" w:name="_ENREF_12"/>
      <w:r w:rsidRPr="00D75D62">
        <w:t>12.</w:t>
      </w:r>
      <w:r w:rsidRPr="00D75D62">
        <w:tab/>
        <w:t>Morrisroe K, Stevens W, Huq M, Prior D, Sahhar J, Ngian GS, et al. Survival and quality of life in incident systemic sclerosis-related pulmonary arterial hypertension. Arthritis Res Ther. 2017;19(1):122.</w:t>
      </w:r>
      <w:bookmarkEnd w:id="12"/>
    </w:p>
    <w:p w:rsidR="00D75D62" w:rsidRPr="00D75D62" w:rsidRDefault="00D75D62" w:rsidP="00D75D62">
      <w:pPr>
        <w:pStyle w:val="EndNoteBibliography"/>
      </w:pPr>
      <w:bookmarkStart w:id="13" w:name="_ENREF_13"/>
      <w:r w:rsidRPr="00D75D62">
        <w:t>13.</w:t>
      </w:r>
      <w:r w:rsidRPr="00D75D62">
        <w:tab/>
        <w:t>Kawut SM, Taichman DB, Archer-Chicko CL, Palevsky HI, Kimmel SE. Hemodynamics and survival in patients with pulmonary arterial hypertension related to systemic sclerosis. Chest. 2003;123(2):344-50.</w:t>
      </w:r>
      <w:bookmarkEnd w:id="13"/>
    </w:p>
    <w:p w:rsidR="00D75D62" w:rsidRPr="00D75D62" w:rsidRDefault="00D75D62" w:rsidP="00D75D62">
      <w:pPr>
        <w:pStyle w:val="EndNoteBibliography"/>
      </w:pPr>
      <w:bookmarkStart w:id="14" w:name="_ENREF_14"/>
      <w:r w:rsidRPr="00D75D62">
        <w:t>14.</w:t>
      </w:r>
      <w:r w:rsidRPr="00D75D62">
        <w:tab/>
        <w:t>Ngian GS, Stevens W, Prior D, Gabbay E, Roddy J, Tran A, et al. Predictors of mortality in connective tissue disease-associated pulmonary arterial hypertension: a cohort study. Arthritis Res Ther. 2012;14(5):R213.</w:t>
      </w:r>
      <w:bookmarkEnd w:id="14"/>
    </w:p>
    <w:p w:rsidR="00D75D62" w:rsidRPr="00D75D62" w:rsidRDefault="00D75D62" w:rsidP="00D75D62">
      <w:pPr>
        <w:pStyle w:val="EndNoteBibliography"/>
      </w:pPr>
      <w:bookmarkStart w:id="15" w:name="_ENREF_15"/>
      <w:r w:rsidRPr="00D75D62">
        <w:t>15.</w:t>
      </w:r>
      <w:r w:rsidRPr="00D75D62">
        <w:tab/>
        <w:t>Galiè N, Hoeper M, Humbert M, Torbicki A, Vachiery JL, Barbera J, et al.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2009;30(20):2493-537.</w:t>
      </w:r>
      <w:bookmarkEnd w:id="15"/>
    </w:p>
    <w:p w:rsidR="00D75D62" w:rsidRPr="00D75D62" w:rsidRDefault="00D75D62" w:rsidP="00D75D62">
      <w:pPr>
        <w:pStyle w:val="EndNoteBibliography"/>
      </w:pPr>
      <w:bookmarkStart w:id="16" w:name="_ENREF_16"/>
      <w:r w:rsidRPr="00D75D62">
        <w:t>16.</w:t>
      </w:r>
      <w:r w:rsidRPr="00D75D62">
        <w:tab/>
        <w:t>Steen V, Medsger TA, Jr. Predictors of isolated pulmonary hypertension in patients with systemic sclerosis and limited cutaneous involvement. Arthritis Rheum. 2003;48(2):516-22.</w:t>
      </w:r>
      <w:bookmarkEnd w:id="16"/>
    </w:p>
    <w:p w:rsidR="00D75D62" w:rsidRPr="00D75D62" w:rsidRDefault="00D75D62" w:rsidP="00D75D62">
      <w:pPr>
        <w:pStyle w:val="EndNoteBibliography"/>
      </w:pPr>
      <w:bookmarkStart w:id="17" w:name="_ENREF_17"/>
      <w:r w:rsidRPr="00D75D62">
        <w:t>17.</w:t>
      </w:r>
      <w:r w:rsidRPr="00D75D62">
        <w:tab/>
        <w:t>Chung K, Strange G, Scalia G, Codde J, Celermajer D, Marwick T, et al. The National Echo Database Australia (NEDA) and</w:t>
      </w:r>
    </w:p>
    <w:p w:rsidR="00D75D62" w:rsidRPr="00D75D62" w:rsidRDefault="00D75D62" w:rsidP="00D75D62">
      <w:pPr>
        <w:pStyle w:val="EndNoteBibliography"/>
      </w:pPr>
      <w:r w:rsidRPr="00D75D62">
        <w:t>Pulmonary Hypertension (PHT). Heart Lung and Circulation 2016;25(Suppl 2).</w:t>
      </w:r>
      <w:bookmarkEnd w:id="17"/>
    </w:p>
    <w:p w:rsidR="00D75D62" w:rsidRPr="00D75D62" w:rsidRDefault="00D75D62" w:rsidP="00D75D62">
      <w:pPr>
        <w:pStyle w:val="EndNoteBibliography"/>
      </w:pPr>
      <w:bookmarkStart w:id="18" w:name="_ENREF_18"/>
      <w:r w:rsidRPr="00D75D62">
        <w:t>18.</w:t>
      </w:r>
      <w:r w:rsidRPr="00D75D62">
        <w:tab/>
        <w:t>Thakkar V, Stevens WM, Moore OA, Nikpour M. Performance of screening algorithms in systemic sclerosis-related pulmonary arterial hypertension: a systematic review. Intern Med J. 2013;43(7):751-60.</w:t>
      </w:r>
      <w:bookmarkEnd w:id="18"/>
    </w:p>
    <w:p w:rsidR="00D75D62" w:rsidRPr="00D75D62" w:rsidRDefault="00D75D62" w:rsidP="00D75D62">
      <w:pPr>
        <w:pStyle w:val="EndNoteBibliography"/>
      </w:pPr>
      <w:bookmarkStart w:id="19" w:name="_ENREF_19"/>
      <w:r w:rsidRPr="00D75D62">
        <w:t>19.</w:t>
      </w:r>
      <w:r w:rsidRPr="00D75D62">
        <w:tab/>
        <w:t>Condliffe R, Kiely DG, Peacock AJ, Corris PA, Gibbs JS, Vrapi F, et al. Connective tissue disease-associated pulmonary arterial hypertension in the modern treatment era. American journal of respiratory and critical care medicine. 2009;179(2):151-7.</w:t>
      </w:r>
      <w:bookmarkEnd w:id="19"/>
    </w:p>
    <w:p w:rsidR="00D75D62" w:rsidRPr="00D75D62" w:rsidRDefault="00D75D62" w:rsidP="00D75D62">
      <w:pPr>
        <w:pStyle w:val="EndNoteBibliography"/>
      </w:pPr>
      <w:bookmarkStart w:id="20" w:name="_ENREF_20"/>
      <w:r w:rsidRPr="00D75D62">
        <w:t>20.</w:t>
      </w:r>
      <w:r w:rsidRPr="00D75D62">
        <w:tab/>
        <w:t>Humbert M, Montani D, Souza R. Predicting survival in pulmonary arterial hypertension: time to combine markers. Chest. 2011;139(6):1263-4.</w:t>
      </w:r>
      <w:bookmarkEnd w:id="20"/>
    </w:p>
    <w:p w:rsidR="00D75D62" w:rsidRPr="00D75D62" w:rsidRDefault="00D75D62" w:rsidP="00D75D62">
      <w:pPr>
        <w:pStyle w:val="EndNoteBibliography"/>
      </w:pPr>
      <w:bookmarkStart w:id="21" w:name="_ENREF_21"/>
      <w:r w:rsidRPr="00D75D62">
        <w:t>21.</w:t>
      </w:r>
      <w:r w:rsidRPr="00D75D62">
        <w:tab/>
        <w:t>Galie N, Rubin L, Hoeper M, Jansa P, Al-Hiti H, Meyer G, et al. Treatment of patients with mildly symptomatic pulmonary arterial hypertension with bosentan (EARLY study): a double-blind, randomised controlled trial. Lancet. 2008;371(9630):2093-100.</w:t>
      </w:r>
      <w:bookmarkEnd w:id="21"/>
    </w:p>
    <w:p w:rsidR="00D75D62" w:rsidRPr="00D75D62" w:rsidRDefault="00D75D62" w:rsidP="00D75D62">
      <w:pPr>
        <w:pStyle w:val="EndNoteBibliography"/>
      </w:pPr>
      <w:bookmarkStart w:id="22" w:name="_ENREF_22"/>
      <w:r w:rsidRPr="00D75D62">
        <w:t>22.</w:t>
      </w:r>
      <w:r w:rsidRPr="00D75D62">
        <w:tab/>
        <w:t>Coyle K, Coyle D, Blouin J, Lee K, Jabr MF, Tran K, et al. Cost Effectiveness of First-Line Oral Therapies for Pulmonary Arterial Hypertension: A Modelling Study. Pharmacoeconomics. 2016;34(5):509-20.</w:t>
      </w:r>
      <w:bookmarkEnd w:id="22"/>
    </w:p>
    <w:p w:rsidR="00D75D62" w:rsidRPr="00D75D62" w:rsidRDefault="00D75D62" w:rsidP="00D75D62">
      <w:pPr>
        <w:pStyle w:val="EndNoteBibliography"/>
      </w:pPr>
      <w:bookmarkStart w:id="23" w:name="_ENREF_23"/>
      <w:r w:rsidRPr="00D75D62">
        <w:t>23.</w:t>
      </w:r>
      <w:r w:rsidRPr="00D75D62">
        <w:tab/>
        <w:t>Galie N, Hoeper MM, Humbert M, Torbicki A, Vachiery JL, Barbera JA, et al.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European heart journal. 2009;30(20):2493-537.</w:t>
      </w:r>
      <w:bookmarkEnd w:id="23"/>
    </w:p>
    <w:p w:rsidR="00D75D62" w:rsidRPr="00D75D62" w:rsidRDefault="00D75D62" w:rsidP="00D75D62">
      <w:pPr>
        <w:pStyle w:val="EndNoteBibliography"/>
      </w:pPr>
      <w:bookmarkStart w:id="24" w:name="_ENREF_24"/>
      <w:r w:rsidRPr="00D75D62">
        <w:t>24.</w:t>
      </w:r>
      <w:r w:rsidRPr="00D75D62">
        <w:tab/>
        <w:t>van den Hoogen F, Khanna D, Fransen J, Johnson SR, Baron M, Tyndall A, et al. 2013 classification criteria for systemic sclerosis: an American College of Rheumatology/European League against Rheumatism collaborative initiative. Arthritis Rheum. 2013;65(11):2737-47.</w:t>
      </w:r>
      <w:bookmarkEnd w:id="24"/>
    </w:p>
    <w:p w:rsidR="00D75D62" w:rsidRPr="00D75D62" w:rsidRDefault="00D75D62" w:rsidP="00D75D62">
      <w:pPr>
        <w:pStyle w:val="EndNoteBibliography"/>
      </w:pPr>
      <w:bookmarkStart w:id="25" w:name="_ENREF_25"/>
      <w:r w:rsidRPr="00D75D62">
        <w:t>25.</w:t>
      </w:r>
      <w:r w:rsidRPr="00D75D62">
        <w:tab/>
        <w:t>LeRoy EC, Medsger TA, Jr. Criteria for the classification of early systemic sclerosis. J Rheumatol. 2001;28(7):1573-6.</w:t>
      </w:r>
      <w:bookmarkEnd w:id="25"/>
    </w:p>
    <w:p w:rsidR="00D75D62" w:rsidRPr="00D75D62" w:rsidRDefault="00D75D62" w:rsidP="00D75D62">
      <w:pPr>
        <w:pStyle w:val="EndNoteBibliography"/>
      </w:pPr>
      <w:bookmarkStart w:id="26" w:name="_ENREF_26"/>
      <w:r w:rsidRPr="00D75D62">
        <w:t>26.</w:t>
      </w:r>
      <w:r w:rsidRPr="00D75D62">
        <w:tab/>
        <w:t>Sharp GC, Irwin WS, Tan EM, al. e. Mixed connective tissue disease: an apparently distinct rheumatic disease syndrome, associated with a specific antibody to extractable nuclear antigen (ENA). American Journal of Medicine. 1972;52(2):148-59.</w:t>
      </w:r>
      <w:bookmarkEnd w:id="26"/>
    </w:p>
    <w:p w:rsidR="008E2322" w:rsidRDefault="008E2322" w:rsidP="00EE2DC8">
      <w:pPr>
        <w:spacing w:line="360" w:lineRule="auto"/>
        <w:jc w:val="both"/>
        <w:rPr>
          <w:sz w:val="22"/>
          <w:szCs w:val="22"/>
          <w:lang w:val="en-AU"/>
        </w:rPr>
      </w:pPr>
    </w:p>
    <w:p w:rsidR="008E2322" w:rsidRDefault="008E2322">
      <w:pPr>
        <w:rPr>
          <w:sz w:val="22"/>
          <w:szCs w:val="22"/>
          <w:lang w:val="en-AU"/>
        </w:rPr>
      </w:pPr>
      <w:r>
        <w:rPr>
          <w:sz w:val="22"/>
          <w:szCs w:val="22"/>
          <w:lang w:val="en-AU"/>
        </w:rPr>
        <w:br w:type="page"/>
      </w:r>
    </w:p>
    <w:p w:rsidR="008E2322" w:rsidRPr="0040674C" w:rsidRDefault="008E2322" w:rsidP="008E2322">
      <w:pPr>
        <w:widowControl w:val="0"/>
        <w:tabs>
          <w:tab w:val="left" w:pos="220"/>
          <w:tab w:val="left" w:pos="720"/>
        </w:tabs>
        <w:autoSpaceDE w:val="0"/>
        <w:autoSpaceDN w:val="0"/>
        <w:adjustRightInd w:val="0"/>
        <w:spacing w:line="360" w:lineRule="auto"/>
        <w:jc w:val="both"/>
        <w:rPr>
          <w:b/>
          <w:szCs w:val="22"/>
        </w:rPr>
      </w:pPr>
      <w:r w:rsidRPr="0040674C">
        <w:rPr>
          <w:b/>
          <w:szCs w:val="22"/>
        </w:rPr>
        <w:t>APPENDICES</w:t>
      </w:r>
    </w:p>
    <w:p w:rsidR="008E2322" w:rsidRDefault="008E2322" w:rsidP="008E2322">
      <w:pPr>
        <w:jc w:val="both"/>
        <w:rPr>
          <w:rFonts w:eastAsia="Times New Roman"/>
          <w:b/>
          <w:bCs/>
          <w:color w:val="000000"/>
        </w:rPr>
      </w:pPr>
    </w:p>
    <w:p w:rsidR="008E2322" w:rsidRDefault="008E2322" w:rsidP="008E2322">
      <w:pPr>
        <w:jc w:val="both"/>
        <w:rPr>
          <w:rFonts w:eastAsia="Times New Roman"/>
          <w:b/>
          <w:bCs/>
          <w:color w:val="000000"/>
        </w:rPr>
      </w:pPr>
      <w:r>
        <w:rPr>
          <w:rFonts w:eastAsia="Times New Roman"/>
          <w:b/>
          <w:bCs/>
          <w:color w:val="000000"/>
        </w:rPr>
        <w:t>Appendix</w:t>
      </w:r>
      <w:r w:rsidRPr="009E5CE1">
        <w:rPr>
          <w:rFonts w:eastAsia="Times New Roman"/>
          <w:b/>
          <w:bCs/>
          <w:color w:val="000000"/>
        </w:rPr>
        <w:t xml:space="preserve"> </w:t>
      </w:r>
      <w:r>
        <w:rPr>
          <w:rFonts w:eastAsia="Times New Roman"/>
          <w:b/>
          <w:bCs/>
          <w:color w:val="000000"/>
        </w:rPr>
        <w:t>I</w:t>
      </w:r>
      <w:r w:rsidRPr="009E5CE1">
        <w:rPr>
          <w:rFonts w:eastAsia="Times New Roman"/>
          <w:b/>
          <w:bCs/>
          <w:color w:val="000000"/>
        </w:rPr>
        <w:t>:</w:t>
      </w:r>
      <w:r>
        <w:rPr>
          <w:rFonts w:eastAsia="Times New Roman"/>
          <w:b/>
          <w:bCs/>
          <w:color w:val="000000"/>
        </w:rPr>
        <w:t xml:space="preserve"> Functional class of patients with RHC-defined PAH at the time of diagnosis/first vi</w:t>
      </w:r>
      <w:r w:rsidR="00F9557B">
        <w:rPr>
          <w:rFonts w:eastAsia="Times New Roman"/>
          <w:b/>
          <w:bCs/>
          <w:color w:val="000000"/>
        </w:rPr>
        <w:t>sit where PAH drugs were given.</w:t>
      </w:r>
    </w:p>
    <w:p w:rsidR="008E2322" w:rsidRPr="003C4378" w:rsidRDefault="008E2322" w:rsidP="008E2322">
      <w:pPr>
        <w:jc w:val="both"/>
        <w:rPr>
          <w:rFonts w:eastAsia="Times New Roman"/>
          <w:b/>
          <w:bCs/>
          <w:color w:val="000000"/>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tblGrid>
      <w:tr w:rsidR="008E2322" w:rsidRPr="006D4734" w:rsidTr="00916748">
        <w:trPr>
          <w:trHeight w:val="794"/>
        </w:trPr>
        <w:tc>
          <w:tcPr>
            <w:tcW w:w="2410" w:type="dxa"/>
            <w:shd w:val="clear" w:color="000000" w:fill="E7E6E6"/>
            <w:noWrap/>
            <w:vAlign w:val="bottom"/>
            <w:hideMark/>
          </w:tcPr>
          <w:p w:rsidR="008E2322" w:rsidRPr="00C73CD8" w:rsidRDefault="008E2322" w:rsidP="00916748">
            <w:pPr>
              <w:rPr>
                <w:rFonts w:eastAsia="Times New Roman"/>
                <w:b/>
                <w:color w:val="000000"/>
              </w:rPr>
            </w:pPr>
            <w:r w:rsidRPr="00C73CD8">
              <w:rPr>
                <w:rFonts w:eastAsia="Times New Roman"/>
                <w:b/>
                <w:color w:val="000000"/>
              </w:rPr>
              <w:t>Functional class</w:t>
            </w:r>
          </w:p>
          <w:p w:rsidR="008E2322" w:rsidRPr="00C73CD8" w:rsidRDefault="008E2322" w:rsidP="00916748">
            <w:pPr>
              <w:rPr>
                <w:rFonts w:eastAsia="Times New Roman"/>
                <w:b/>
                <w:color w:val="000000"/>
              </w:rPr>
            </w:pPr>
          </w:p>
        </w:tc>
        <w:tc>
          <w:tcPr>
            <w:tcW w:w="2410" w:type="dxa"/>
            <w:shd w:val="clear" w:color="000000" w:fill="E7E6E6"/>
            <w:vAlign w:val="bottom"/>
            <w:hideMark/>
          </w:tcPr>
          <w:p w:rsidR="008E2322" w:rsidRPr="00C73CD8" w:rsidRDefault="008E2322" w:rsidP="00916748">
            <w:pPr>
              <w:jc w:val="center"/>
              <w:rPr>
                <w:rFonts w:eastAsia="Times New Roman"/>
                <w:b/>
                <w:color w:val="000000"/>
              </w:rPr>
            </w:pPr>
            <w:r w:rsidRPr="00C73CD8">
              <w:rPr>
                <w:rFonts w:eastAsia="Times New Roman"/>
                <w:b/>
                <w:color w:val="000000"/>
              </w:rPr>
              <w:t>No. of patients</w:t>
            </w:r>
          </w:p>
          <w:p w:rsidR="008E2322" w:rsidRPr="00C73CD8" w:rsidRDefault="008E2322" w:rsidP="00916748">
            <w:pPr>
              <w:jc w:val="center"/>
              <w:rPr>
                <w:rFonts w:eastAsia="Times New Roman"/>
                <w:color w:val="000000"/>
              </w:rPr>
            </w:pPr>
            <w:r w:rsidRPr="00C73CD8">
              <w:rPr>
                <w:rFonts w:eastAsia="Times New Roman"/>
                <w:color w:val="000000"/>
              </w:rPr>
              <w:t>n = 104</w:t>
            </w:r>
          </w:p>
        </w:tc>
      </w:tr>
      <w:tr w:rsidR="008E2322" w:rsidRPr="006D4734" w:rsidTr="00916748">
        <w:trPr>
          <w:trHeight w:val="320"/>
        </w:trPr>
        <w:tc>
          <w:tcPr>
            <w:tcW w:w="2410" w:type="dxa"/>
            <w:shd w:val="clear" w:color="auto" w:fill="auto"/>
            <w:noWrap/>
            <w:vAlign w:val="bottom"/>
            <w:hideMark/>
          </w:tcPr>
          <w:p w:rsidR="008E2322" w:rsidRPr="006D4734" w:rsidRDefault="008E2322" w:rsidP="00916748">
            <w:pPr>
              <w:rPr>
                <w:rFonts w:eastAsia="Times New Roman"/>
                <w:color w:val="000000"/>
              </w:rPr>
            </w:pPr>
            <w:r>
              <w:rPr>
                <w:rFonts w:eastAsia="Times New Roman"/>
                <w:color w:val="000000"/>
              </w:rPr>
              <w:t>I</w:t>
            </w:r>
          </w:p>
        </w:tc>
        <w:tc>
          <w:tcPr>
            <w:tcW w:w="2410" w:type="dxa"/>
            <w:shd w:val="clear" w:color="auto" w:fill="auto"/>
            <w:noWrap/>
            <w:vAlign w:val="bottom"/>
            <w:hideMark/>
          </w:tcPr>
          <w:p w:rsidR="008E2322" w:rsidRPr="006D4734" w:rsidRDefault="008E2322" w:rsidP="00916748">
            <w:pPr>
              <w:jc w:val="center"/>
              <w:rPr>
                <w:rFonts w:eastAsia="Times New Roman"/>
                <w:color w:val="000000"/>
              </w:rPr>
            </w:pPr>
            <w:r>
              <w:rPr>
                <w:rFonts w:eastAsia="Times New Roman"/>
                <w:color w:val="000000"/>
              </w:rPr>
              <w:t>0</w:t>
            </w:r>
          </w:p>
        </w:tc>
      </w:tr>
      <w:tr w:rsidR="008E2322" w:rsidRPr="006D4734" w:rsidTr="00916748">
        <w:trPr>
          <w:trHeight w:val="320"/>
        </w:trPr>
        <w:tc>
          <w:tcPr>
            <w:tcW w:w="2410" w:type="dxa"/>
            <w:shd w:val="clear" w:color="auto" w:fill="auto"/>
            <w:noWrap/>
            <w:vAlign w:val="bottom"/>
            <w:hideMark/>
          </w:tcPr>
          <w:p w:rsidR="008E2322" w:rsidRPr="006D4734" w:rsidRDefault="008E2322" w:rsidP="00916748">
            <w:pPr>
              <w:rPr>
                <w:rFonts w:eastAsia="Times New Roman"/>
                <w:color w:val="000000"/>
              </w:rPr>
            </w:pPr>
            <w:r>
              <w:rPr>
                <w:rFonts w:eastAsia="Times New Roman"/>
                <w:color w:val="000000"/>
              </w:rPr>
              <w:t>II</w:t>
            </w:r>
          </w:p>
        </w:tc>
        <w:tc>
          <w:tcPr>
            <w:tcW w:w="2410" w:type="dxa"/>
            <w:shd w:val="clear" w:color="auto" w:fill="auto"/>
            <w:noWrap/>
            <w:vAlign w:val="bottom"/>
            <w:hideMark/>
          </w:tcPr>
          <w:p w:rsidR="008E2322" w:rsidRPr="006D4734" w:rsidRDefault="008E2322" w:rsidP="00916748">
            <w:pPr>
              <w:jc w:val="center"/>
              <w:rPr>
                <w:rFonts w:eastAsia="Times New Roman"/>
                <w:color w:val="000000"/>
              </w:rPr>
            </w:pPr>
            <w:r>
              <w:rPr>
                <w:rFonts w:eastAsia="Times New Roman"/>
                <w:color w:val="000000"/>
              </w:rPr>
              <w:t>1 (1.0%)</w:t>
            </w:r>
          </w:p>
        </w:tc>
      </w:tr>
      <w:tr w:rsidR="008E2322" w:rsidRPr="006D4734" w:rsidTr="00916748">
        <w:trPr>
          <w:trHeight w:val="320"/>
        </w:trPr>
        <w:tc>
          <w:tcPr>
            <w:tcW w:w="2410" w:type="dxa"/>
            <w:shd w:val="clear" w:color="auto" w:fill="auto"/>
            <w:noWrap/>
            <w:vAlign w:val="bottom"/>
            <w:hideMark/>
          </w:tcPr>
          <w:p w:rsidR="008E2322" w:rsidRPr="006D4734" w:rsidRDefault="008E2322" w:rsidP="00916748">
            <w:pPr>
              <w:rPr>
                <w:rFonts w:eastAsia="Times New Roman"/>
                <w:color w:val="000000"/>
              </w:rPr>
            </w:pPr>
            <w:r>
              <w:rPr>
                <w:rFonts w:eastAsia="Times New Roman"/>
                <w:color w:val="000000"/>
              </w:rPr>
              <w:t>III</w:t>
            </w:r>
          </w:p>
        </w:tc>
        <w:tc>
          <w:tcPr>
            <w:tcW w:w="2410" w:type="dxa"/>
            <w:shd w:val="clear" w:color="auto" w:fill="auto"/>
            <w:noWrap/>
            <w:vAlign w:val="bottom"/>
            <w:hideMark/>
          </w:tcPr>
          <w:p w:rsidR="008E2322" w:rsidRPr="006D4734" w:rsidRDefault="008E2322" w:rsidP="00916748">
            <w:pPr>
              <w:jc w:val="center"/>
              <w:rPr>
                <w:rFonts w:eastAsia="Times New Roman"/>
                <w:color w:val="000000"/>
              </w:rPr>
            </w:pPr>
            <w:r>
              <w:rPr>
                <w:rFonts w:eastAsia="Times New Roman"/>
                <w:color w:val="000000"/>
              </w:rPr>
              <w:t>80 (76.9%)</w:t>
            </w:r>
          </w:p>
        </w:tc>
      </w:tr>
      <w:tr w:rsidR="008E2322" w:rsidRPr="006D4734" w:rsidTr="00916748">
        <w:trPr>
          <w:trHeight w:val="320"/>
        </w:trPr>
        <w:tc>
          <w:tcPr>
            <w:tcW w:w="2410" w:type="dxa"/>
            <w:shd w:val="clear" w:color="auto" w:fill="auto"/>
            <w:noWrap/>
            <w:vAlign w:val="bottom"/>
            <w:hideMark/>
          </w:tcPr>
          <w:p w:rsidR="008E2322" w:rsidRPr="006D4734" w:rsidRDefault="008E2322" w:rsidP="00916748">
            <w:pPr>
              <w:rPr>
                <w:rFonts w:eastAsia="Times New Roman"/>
                <w:color w:val="000000"/>
              </w:rPr>
            </w:pPr>
            <w:r>
              <w:rPr>
                <w:rFonts w:eastAsia="Times New Roman"/>
                <w:color w:val="000000"/>
              </w:rPr>
              <w:t>IV</w:t>
            </w:r>
          </w:p>
        </w:tc>
        <w:tc>
          <w:tcPr>
            <w:tcW w:w="2410" w:type="dxa"/>
            <w:shd w:val="clear" w:color="auto" w:fill="auto"/>
            <w:noWrap/>
            <w:vAlign w:val="bottom"/>
            <w:hideMark/>
          </w:tcPr>
          <w:p w:rsidR="008E2322" w:rsidRPr="006D4734" w:rsidRDefault="008E2322" w:rsidP="00916748">
            <w:pPr>
              <w:jc w:val="center"/>
              <w:rPr>
                <w:rFonts w:eastAsia="Times New Roman"/>
                <w:color w:val="000000"/>
              </w:rPr>
            </w:pPr>
            <w:r>
              <w:rPr>
                <w:rFonts w:eastAsia="Times New Roman"/>
                <w:color w:val="000000"/>
              </w:rPr>
              <w:t>11 (10.6%)</w:t>
            </w:r>
          </w:p>
        </w:tc>
      </w:tr>
      <w:tr w:rsidR="008E2322" w:rsidRPr="006D4734" w:rsidTr="00916748">
        <w:trPr>
          <w:trHeight w:val="320"/>
        </w:trPr>
        <w:tc>
          <w:tcPr>
            <w:tcW w:w="2410" w:type="dxa"/>
            <w:shd w:val="clear" w:color="auto" w:fill="auto"/>
            <w:noWrap/>
            <w:vAlign w:val="bottom"/>
          </w:tcPr>
          <w:p w:rsidR="008E2322" w:rsidRDefault="008E2322" w:rsidP="00916748">
            <w:pPr>
              <w:rPr>
                <w:rFonts w:eastAsia="Times New Roman"/>
                <w:color w:val="000000"/>
              </w:rPr>
            </w:pPr>
            <w:r>
              <w:rPr>
                <w:rFonts w:eastAsia="Times New Roman"/>
                <w:color w:val="000000"/>
              </w:rPr>
              <w:t>Missing</w:t>
            </w:r>
          </w:p>
        </w:tc>
        <w:tc>
          <w:tcPr>
            <w:tcW w:w="2410"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12 (11.5%)</w:t>
            </w:r>
          </w:p>
        </w:tc>
      </w:tr>
    </w:tbl>
    <w:p w:rsidR="008E2322" w:rsidRDefault="008E2322" w:rsidP="008E2322">
      <w:pPr>
        <w:jc w:val="both"/>
        <w:rPr>
          <w:rFonts w:eastAsia="Times New Roman"/>
          <w:b/>
          <w:bCs/>
          <w:color w:val="000000"/>
        </w:rPr>
      </w:pPr>
    </w:p>
    <w:p w:rsidR="008E2322" w:rsidRDefault="008E2322" w:rsidP="008E2322">
      <w:pPr>
        <w:jc w:val="both"/>
        <w:rPr>
          <w:rFonts w:eastAsia="Times New Roman"/>
          <w:b/>
          <w:bCs/>
          <w:color w:val="000000"/>
        </w:rPr>
      </w:pPr>
      <w:r>
        <w:rPr>
          <w:rFonts w:eastAsia="Times New Roman"/>
          <w:b/>
          <w:bCs/>
          <w:color w:val="000000"/>
        </w:rPr>
        <w:t>Appendix II</w:t>
      </w:r>
      <w:r w:rsidRPr="009E5CE1">
        <w:rPr>
          <w:rFonts w:eastAsia="Times New Roman"/>
          <w:b/>
          <w:bCs/>
          <w:color w:val="000000"/>
        </w:rPr>
        <w:t>: PAH specific therapies</w:t>
      </w:r>
      <w:r>
        <w:rPr>
          <w:rFonts w:eastAsia="Times New Roman"/>
          <w:b/>
          <w:bCs/>
          <w:color w:val="000000"/>
        </w:rPr>
        <w:t xml:space="preserve"> used by patients on monotherapy with RHC-defined PAH, according to functional class at the index visit</w:t>
      </w:r>
    </w:p>
    <w:p w:rsidR="008E2322" w:rsidRPr="00411257" w:rsidRDefault="008E2322" w:rsidP="008E2322">
      <w:pPr>
        <w:jc w:val="both"/>
        <w:rPr>
          <w:rFonts w:eastAsia="Times New Roman"/>
          <w:b/>
          <w:bCs/>
          <w:color w:val="000000"/>
        </w:rPr>
      </w:pP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tblGrid>
      <w:tr w:rsidR="008E2322" w:rsidRPr="006D4734" w:rsidTr="00916748">
        <w:trPr>
          <w:trHeight w:val="650"/>
        </w:trPr>
        <w:tc>
          <w:tcPr>
            <w:tcW w:w="3721" w:type="dxa"/>
            <w:shd w:val="clear" w:color="000000" w:fill="E7E6E6"/>
            <w:noWrap/>
            <w:vAlign w:val="bottom"/>
            <w:hideMark/>
          </w:tcPr>
          <w:p w:rsidR="008E2322" w:rsidRPr="006D4734" w:rsidRDefault="008E2322" w:rsidP="00916748">
            <w:pPr>
              <w:rPr>
                <w:rFonts w:eastAsia="Times New Roman"/>
                <w:color w:val="000000"/>
              </w:rPr>
            </w:pPr>
            <w:r w:rsidRPr="006D4734">
              <w:rPr>
                <w:rFonts w:eastAsia="Times New Roman"/>
                <w:color w:val="000000"/>
              </w:rPr>
              <w:t>  </w:t>
            </w:r>
            <w:r w:rsidRPr="009E5CE1">
              <w:rPr>
                <w:rFonts w:eastAsia="Times New Roman"/>
                <w:b/>
                <w:bCs/>
                <w:color w:val="000000"/>
              </w:rPr>
              <w:t>PAH Therapy</w:t>
            </w:r>
          </w:p>
          <w:p w:rsidR="008E2322" w:rsidRPr="006D4734" w:rsidRDefault="008E2322" w:rsidP="00916748">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rsidR="008E2322" w:rsidRPr="00937F13" w:rsidRDefault="008E2322" w:rsidP="00916748">
            <w:pPr>
              <w:jc w:val="center"/>
              <w:rPr>
                <w:rFonts w:eastAsia="Times New Roman"/>
                <w:b/>
                <w:bCs/>
                <w:color w:val="000000"/>
              </w:rPr>
            </w:pPr>
            <w:r w:rsidRPr="009E5CE1">
              <w:rPr>
                <w:rFonts w:eastAsia="Times New Roman"/>
                <w:b/>
                <w:bCs/>
                <w:color w:val="000000"/>
              </w:rPr>
              <w:t>FC I/II at index visit</w:t>
            </w:r>
          </w:p>
          <w:p w:rsidR="008E2322" w:rsidRPr="006D4734" w:rsidRDefault="008E2322" w:rsidP="00916748">
            <w:pPr>
              <w:jc w:val="center"/>
              <w:rPr>
                <w:rFonts w:eastAsia="Times New Roman"/>
                <w:b/>
                <w:bCs/>
                <w:color w:val="000000"/>
              </w:rPr>
            </w:pPr>
            <w:r>
              <w:rPr>
                <w:rFonts w:eastAsia="Times New Roman"/>
                <w:color w:val="000000"/>
              </w:rPr>
              <w:t>n = 16</w:t>
            </w:r>
            <w:r w:rsidRPr="009E5CE1">
              <w:rPr>
                <w:rFonts w:eastAsia="Times New Roman"/>
                <w:color w:val="000000"/>
              </w:rPr>
              <w:t xml:space="preserve"> </w:t>
            </w:r>
          </w:p>
        </w:tc>
        <w:tc>
          <w:tcPr>
            <w:tcW w:w="1701" w:type="dxa"/>
            <w:shd w:val="clear" w:color="000000" w:fill="E7E6E6"/>
            <w:noWrap/>
            <w:vAlign w:val="bottom"/>
            <w:hideMark/>
          </w:tcPr>
          <w:p w:rsidR="008E2322" w:rsidRPr="00937F13" w:rsidRDefault="008E2322" w:rsidP="00916748">
            <w:pPr>
              <w:jc w:val="center"/>
              <w:rPr>
                <w:rFonts w:eastAsia="Times New Roman"/>
                <w:b/>
                <w:bCs/>
                <w:color w:val="000000"/>
              </w:rPr>
            </w:pPr>
            <w:r w:rsidRPr="009E5CE1">
              <w:rPr>
                <w:rFonts w:eastAsia="Times New Roman"/>
                <w:b/>
                <w:bCs/>
                <w:color w:val="000000"/>
              </w:rPr>
              <w:t>FC III/IV at index visit</w:t>
            </w:r>
          </w:p>
          <w:p w:rsidR="008E2322" w:rsidRPr="006D4734" w:rsidRDefault="008E2322" w:rsidP="00916748">
            <w:pPr>
              <w:jc w:val="center"/>
              <w:rPr>
                <w:rFonts w:eastAsia="Times New Roman"/>
                <w:b/>
                <w:bCs/>
                <w:color w:val="000000"/>
              </w:rPr>
            </w:pPr>
            <w:r>
              <w:rPr>
                <w:rFonts w:eastAsia="Times New Roman"/>
                <w:color w:val="000000"/>
              </w:rPr>
              <w:t>n = 39</w:t>
            </w:r>
            <w:r w:rsidRPr="009E5CE1">
              <w:rPr>
                <w:rFonts w:eastAsia="Times New Roman"/>
                <w:color w:val="000000"/>
              </w:rPr>
              <w:t xml:space="preserve"> </w:t>
            </w:r>
          </w:p>
        </w:tc>
      </w:tr>
      <w:tr w:rsidR="008E2322" w:rsidRPr="006D4734" w:rsidTr="00916748">
        <w:trPr>
          <w:trHeight w:val="320"/>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Bosentan</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5 (31.3%)</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9 (23.1%)</w:t>
            </w:r>
          </w:p>
        </w:tc>
      </w:tr>
      <w:tr w:rsidR="008E2322" w:rsidRPr="006D4734" w:rsidTr="00916748">
        <w:trPr>
          <w:trHeight w:val="320"/>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Ambrisentan</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3 (18.8%)</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5 (12.8%)</w:t>
            </w:r>
          </w:p>
        </w:tc>
      </w:tr>
      <w:tr w:rsidR="008E2322" w:rsidRPr="006D4734" w:rsidTr="00916748">
        <w:trPr>
          <w:trHeight w:val="320"/>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Macitentan</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7 (43.8%)</w:t>
            </w:r>
          </w:p>
        </w:tc>
        <w:tc>
          <w:tcPr>
            <w:tcW w:w="1701" w:type="dxa"/>
            <w:shd w:val="clear" w:color="auto" w:fill="auto"/>
            <w:noWrap/>
            <w:vAlign w:val="bottom"/>
          </w:tcPr>
          <w:p w:rsidR="008E2322" w:rsidRPr="006D4734" w:rsidRDefault="008E2322" w:rsidP="00916748">
            <w:pPr>
              <w:jc w:val="center"/>
              <w:rPr>
                <w:rFonts w:eastAsia="Times New Roman"/>
                <w:sz w:val="20"/>
                <w:szCs w:val="20"/>
              </w:rPr>
            </w:pPr>
            <w:r>
              <w:rPr>
                <w:rFonts w:eastAsia="Times New Roman"/>
                <w:color w:val="000000"/>
              </w:rPr>
              <w:t>19 (48.7%)</w:t>
            </w:r>
          </w:p>
        </w:tc>
      </w:tr>
      <w:tr w:rsidR="008E2322" w:rsidRPr="006D4734" w:rsidTr="00916748">
        <w:trPr>
          <w:trHeight w:val="320"/>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Sildenafil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1 (6.3%)</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4 (10.3%)</w:t>
            </w:r>
          </w:p>
        </w:tc>
      </w:tr>
      <w:tr w:rsidR="008E2322" w:rsidRPr="006D4734" w:rsidTr="00916748">
        <w:trPr>
          <w:trHeight w:val="320"/>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Tadalafil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2 (5.1%)</w:t>
            </w:r>
          </w:p>
        </w:tc>
      </w:tr>
    </w:tbl>
    <w:p w:rsidR="008E2322" w:rsidRDefault="008E2322" w:rsidP="008E2322">
      <w:pPr>
        <w:jc w:val="both"/>
        <w:rPr>
          <w:rFonts w:eastAsia="Times New Roman"/>
          <w:b/>
          <w:bCs/>
          <w:color w:val="000000"/>
        </w:rPr>
      </w:pPr>
    </w:p>
    <w:p w:rsidR="008E2322" w:rsidRPr="00411257" w:rsidRDefault="008E2322" w:rsidP="008E2322">
      <w:pPr>
        <w:jc w:val="both"/>
        <w:rPr>
          <w:rFonts w:eastAsia="Times New Roman"/>
          <w:b/>
          <w:bCs/>
          <w:color w:val="000000"/>
        </w:rPr>
      </w:pPr>
      <w:r>
        <w:rPr>
          <w:rFonts w:eastAsia="Times New Roman"/>
          <w:b/>
          <w:bCs/>
          <w:color w:val="000000"/>
        </w:rPr>
        <w:t>Appendix III</w:t>
      </w:r>
      <w:r w:rsidRPr="009E5CE1">
        <w:rPr>
          <w:rFonts w:eastAsia="Times New Roman"/>
          <w:b/>
          <w:bCs/>
          <w:color w:val="000000"/>
        </w:rPr>
        <w:t>: PAH specific therapies</w:t>
      </w:r>
      <w:r>
        <w:rPr>
          <w:rFonts w:eastAsia="Times New Roman"/>
          <w:b/>
          <w:bCs/>
          <w:color w:val="000000"/>
        </w:rPr>
        <w:t xml:space="preserve"> used by patients on dual therapy with RHC-defined PAH, according to functional class at the index visit</w:t>
      </w:r>
    </w:p>
    <w:p w:rsidR="008E2322" w:rsidRDefault="008E2322" w:rsidP="008E2322">
      <w:pPr>
        <w:pStyle w:val="ListParagraph"/>
        <w:ind w:hanging="360"/>
        <w:rPr>
          <w:rFonts w:ascii="Arial" w:hAnsi="Arial" w:cs="Arial"/>
          <w:color w:val="1F497D"/>
          <w:sz w:val="18"/>
          <w:szCs w:val="18"/>
        </w:rPr>
      </w:pP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tblGrid>
      <w:tr w:rsidR="008E2322" w:rsidRPr="006D4734" w:rsidTr="00916748">
        <w:trPr>
          <w:trHeight w:val="650"/>
        </w:trPr>
        <w:tc>
          <w:tcPr>
            <w:tcW w:w="3721" w:type="dxa"/>
            <w:shd w:val="clear" w:color="000000" w:fill="E7E6E6"/>
            <w:noWrap/>
            <w:vAlign w:val="bottom"/>
            <w:hideMark/>
          </w:tcPr>
          <w:p w:rsidR="008E2322" w:rsidRPr="006D4734" w:rsidRDefault="008E2322" w:rsidP="00916748">
            <w:pPr>
              <w:rPr>
                <w:rFonts w:eastAsia="Times New Roman"/>
                <w:color w:val="000000"/>
              </w:rPr>
            </w:pPr>
            <w:r w:rsidRPr="006D4734">
              <w:rPr>
                <w:rFonts w:eastAsia="Times New Roman"/>
                <w:color w:val="000000"/>
              </w:rPr>
              <w:t>  </w:t>
            </w:r>
            <w:r w:rsidRPr="009E5CE1">
              <w:rPr>
                <w:rFonts w:eastAsia="Times New Roman"/>
                <w:b/>
                <w:bCs/>
                <w:color w:val="000000"/>
              </w:rPr>
              <w:t>PAH Therapy</w:t>
            </w:r>
          </w:p>
          <w:p w:rsidR="008E2322" w:rsidRPr="006D4734" w:rsidRDefault="008E2322" w:rsidP="00916748">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rsidR="008E2322" w:rsidRPr="00937F13" w:rsidRDefault="008E2322" w:rsidP="00916748">
            <w:pPr>
              <w:jc w:val="center"/>
              <w:rPr>
                <w:rFonts w:eastAsia="Times New Roman"/>
                <w:b/>
                <w:bCs/>
                <w:color w:val="000000"/>
              </w:rPr>
            </w:pPr>
            <w:r w:rsidRPr="009E5CE1">
              <w:rPr>
                <w:rFonts w:eastAsia="Times New Roman"/>
                <w:b/>
                <w:bCs/>
                <w:color w:val="000000"/>
              </w:rPr>
              <w:t>FC I/II at index visit</w:t>
            </w:r>
          </w:p>
          <w:p w:rsidR="008E2322" w:rsidRPr="006D4734" w:rsidRDefault="008E2322" w:rsidP="00916748">
            <w:pPr>
              <w:jc w:val="center"/>
              <w:rPr>
                <w:rFonts w:eastAsia="Times New Roman"/>
                <w:b/>
                <w:bCs/>
                <w:color w:val="000000"/>
              </w:rPr>
            </w:pPr>
            <w:r>
              <w:rPr>
                <w:rFonts w:eastAsia="Times New Roman"/>
                <w:color w:val="000000"/>
              </w:rPr>
              <w:t>n = 8</w:t>
            </w:r>
            <w:r w:rsidRPr="009E5CE1">
              <w:rPr>
                <w:rFonts w:eastAsia="Times New Roman"/>
                <w:color w:val="000000"/>
              </w:rPr>
              <w:t xml:space="preserve"> </w:t>
            </w:r>
          </w:p>
        </w:tc>
        <w:tc>
          <w:tcPr>
            <w:tcW w:w="1701" w:type="dxa"/>
            <w:shd w:val="clear" w:color="000000" w:fill="E7E6E6"/>
            <w:noWrap/>
            <w:vAlign w:val="bottom"/>
            <w:hideMark/>
          </w:tcPr>
          <w:p w:rsidR="008E2322" w:rsidRPr="00937F13" w:rsidRDefault="008E2322" w:rsidP="00916748">
            <w:pPr>
              <w:jc w:val="center"/>
              <w:rPr>
                <w:rFonts w:eastAsia="Times New Roman"/>
                <w:b/>
                <w:bCs/>
                <w:color w:val="000000"/>
              </w:rPr>
            </w:pPr>
            <w:r w:rsidRPr="009E5CE1">
              <w:rPr>
                <w:rFonts w:eastAsia="Times New Roman"/>
                <w:b/>
                <w:bCs/>
                <w:color w:val="000000"/>
              </w:rPr>
              <w:t>FC III/IV at index visit</w:t>
            </w:r>
          </w:p>
          <w:p w:rsidR="008E2322" w:rsidRPr="006D4734" w:rsidRDefault="008E2322" w:rsidP="00916748">
            <w:pPr>
              <w:jc w:val="center"/>
              <w:rPr>
                <w:rFonts w:eastAsia="Times New Roman"/>
                <w:b/>
                <w:bCs/>
                <w:color w:val="000000"/>
              </w:rPr>
            </w:pPr>
            <w:r>
              <w:rPr>
                <w:rFonts w:eastAsia="Times New Roman"/>
                <w:color w:val="000000"/>
              </w:rPr>
              <w:t>n = 35</w:t>
            </w:r>
            <w:r w:rsidRPr="009E5CE1">
              <w:rPr>
                <w:rFonts w:eastAsia="Times New Roman"/>
                <w:color w:val="000000"/>
              </w:rPr>
              <w:t xml:space="preserve"> </w:t>
            </w:r>
          </w:p>
        </w:tc>
      </w:tr>
      <w:tr w:rsidR="008E2322" w:rsidRPr="006D4734" w:rsidTr="00916748">
        <w:trPr>
          <w:trHeight w:val="320"/>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Bosentan</w:t>
            </w:r>
            <w:r>
              <w:rPr>
                <w:rFonts w:eastAsia="Times New Roman"/>
                <w:color w:val="000000"/>
              </w:rPr>
              <w:t xml:space="preserve"> </w:t>
            </w:r>
            <w:r w:rsidRPr="009E5CE1">
              <w:rPr>
                <w:rFonts w:eastAsia="Times New Roman"/>
                <w:color w:val="000000"/>
              </w:rPr>
              <w:t>Sildenafil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7 (20.0%)</w:t>
            </w:r>
          </w:p>
        </w:tc>
      </w:tr>
      <w:tr w:rsidR="008E2322" w:rsidRPr="006D4734" w:rsidTr="00916748">
        <w:trPr>
          <w:trHeight w:val="320"/>
        </w:trPr>
        <w:tc>
          <w:tcPr>
            <w:tcW w:w="3721" w:type="dxa"/>
            <w:shd w:val="clear" w:color="auto" w:fill="auto"/>
            <w:noWrap/>
            <w:vAlign w:val="bottom"/>
            <w:hideMark/>
          </w:tcPr>
          <w:p w:rsidR="008E2322" w:rsidRPr="0061319B" w:rsidRDefault="008E2322" w:rsidP="00916748">
            <w:pPr>
              <w:rPr>
                <w:rFonts w:eastAsia="Times New Roman"/>
                <w:b/>
                <w:color w:val="000000"/>
              </w:rPr>
            </w:pPr>
            <w:r w:rsidRPr="009E5CE1">
              <w:rPr>
                <w:rFonts w:eastAsia="Times New Roman"/>
                <w:color w:val="000000"/>
              </w:rPr>
              <w:t>Ambrisentan</w:t>
            </w:r>
            <w:r>
              <w:rPr>
                <w:rFonts w:eastAsia="Times New Roman"/>
                <w:color w:val="000000"/>
              </w:rPr>
              <w:t xml:space="preserve"> </w:t>
            </w:r>
            <w:r w:rsidRPr="009E5CE1">
              <w:rPr>
                <w:rFonts w:eastAsia="Times New Roman"/>
                <w:color w:val="000000"/>
              </w:rPr>
              <w:t>Sildenafil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5 (14.3%)</w:t>
            </w:r>
          </w:p>
        </w:tc>
      </w:tr>
      <w:tr w:rsidR="008E2322" w:rsidRPr="006D4734" w:rsidTr="00916748">
        <w:trPr>
          <w:trHeight w:val="317"/>
        </w:trPr>
        <w:tc>
          <w:tcPr>
            <w:tcW w:w="3721" w:type="dxa"/>
            <w:shd w:val="clear" w:color="auto" w:fill="auto"/>
            <w:vAlign w:val="bottom"/>
          </w:tcPr>
          <w:p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Sildenafil</w:t>
            </w:r>
          </w:p>
        </w:tc>
        <w:tc>
          <w:tcPr>
            <w:tcW w:w="1658" w:type="dxa"/>
            <w:shd w:val="clear" w:color="auto" w:fill="auto"/>
            <w:noWrap/>
            <w:vAlign w:val="bottom"/>
          </w:tcPr>
          <w:p w:rsidR="008E2322" w:rsidRDefault="008E2322" w:rsidP="00916748">
            <w:pPr>
              <w:jc w:val="center"/>
              <w:rPr>
                <w:rFonts w:eastAsia="Times New Roman"/>
                <w:color w:val="000000"/>
              </w:rPr>
            </w:pPr>
            <w:r>
              <w:rPr>
                <w:rFonts w:eastAsia="Times New Roman"/>
                <w:color w:val="000000"/>
              </w:rPr>
              <w:t>5 (62.5%)</w:t>
            </w:r>
          </w:p>
        </w:tc>
        <w:tc>
          <w:tcPr>
            <w:tcW w:w="1701" w:type="dxa"/>
            <w:shd w:val="clear" w:color="auto" w:fill="auto"/>
            <w:noWrap/>
            <w:vAlign w:val="bottom"/>
          </w:tcPr>
          <w:p w:rsidR="008E2322" w:rsidRDefault="008E2322" w:rsidP="00916748">
            <w:pPr>
              <w:jc w:val="center"/>
              <w:rPr>
                <w:rFonts w:eastAsia="Times New Roman"/>
                <w:color w:val="000000"/>
              </w:rPr>
            </w:pPr>
            <w:r>
              <w:rPr>
                <w:rFonts w:eastAsia="Times New Roman"/>
                <w:color w:val="000000"/>
              </w:rPr>
              <w:t>15 (42.9%)</w:t>
            </w:r>
          </w:p>
        </w:tc>
      </w:tr>
      <w:tr w:rsidR="008E2322" w:rsidRPr="006D4734" w:rsidTr="00916748">
        <w:trPr>
          <w:trHeight w:val="317"/>
        </w:trPr>
        <w:tc>
          <w:tcPr>
            <w:tcW w:w="3721" w:type="dxa"/>
            <w:shd w:val="clear" w:color="auto" w:fill="auto"/>
            <w:vAlign w:val="bottom"/>
            <w:hideMark/>
          </w:tcPr>
          <w:p w:rsidR="008E2322" w:rsidRPr="009E5CE1" w:rsidRDefault="008E2322" w:rsidP="00916748">
            <w:pPr>
              <w:rPr>
                <w:rFonts w:eastAsia="Times New Roman"/>
                <w:color w:val="000000"/>
              </w:rPr>
            </w:pPr>
            <w:r w:rsidRPr="009E5CE1">
              <w:rPr>
                <w:rFonts w:eastAsia="Times New Roman"/>
                <w:color w:val="000000"/>
              </w:rPr>
              <w:t>Ambrisentan</w:t>
            </w:r>
            <w:r>
              <w:rPr>
                <w:rFonts w:eastAsia="Times New Roman"/>
                <w:color w:val="000000"/>
              </w:rPr>
              <w:t xml:space="preserve"> </w:t>
            </w:r>
            <w:r w:rsidRPr="009E5CE1">
              <w:rPr>
                <w:rFonts w:eastAsia="Times New Roman"/>
                <w:color w:val="000000"/>
              </w:rPr>
              <w:t>Tadalafil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2 (25.0%)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r>
      <w:tr w:rsidR="008E2322" w:rsidRPr="006D4734" w:rsidTr="00916748">
        <w:trPr>
          <w:trHeight w:val="320"/>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Tadalafil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1 (12.5%)</w:t>
            </w:r>
          </w:p>
        </w:tc>
        <w:tc>
          <w:tcPr>
            <w:tcW w:w="1701" w:type="dxa"/>
            <w:shd w:val="clear" w:color="auto" w:fill="auto"/>
            <w:noWrap/>
            <w:vAlign w:val="bottom"/>
          </w:tcPr>
          <w:p w:rsidR="008E2322" w:rsidRPr="006D4734" w:rsidRDefault="008E2322" w:rsidP="00916748">
            <w:pPr>
              <w:jc w:val="center"/>
              <w:rPr>
                <w:rFonts w:eastAsia="Times New Roman"/>
                <w:sz w:val="20"/>
                <w:szCs w:val="20"/>
              </w:rPr>
            </w:pPr>
            <w:r w:rsidRPr="009346F8">
              <w:rPr>
                <w:rFonts w:eastAsia="Times New Roman"/>
                <w:color w:val="000000"/>
                <w:sz w:val="22"/>
                <w:szCs w:val="22"/>
              </w:rPr>
              <w:t>7 (20.0%)</w:t>
            </w:r>
          </w:p>
        </w:tc>
      </w:tr>
      <w:tr w:rsidR="008E2322" w:rsidRPr="006D4734" w:rsidTr="00916748">
        <w:trPr>
          <w:trHeight w:val="320"/>
        </w:trPr>
        <w:tc>
          <w:tcPr>
            <w:tcW w:w="3721" w:type="dxa"/>
            <w:shd w:val="clear" w:color="auto" w:fill="auto"/>
            <w:noWrap/>
            <w:vAlign w:val="bottom"/>
          </w:tcPr>
          <w:p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Riociguat</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1 (2.9%)</w:t>
            </w:r>
          </w:p>
        </w:tc>
      </w:tr>
    </w:tbl>
    <w:p w:rsidR="008E2322" w:rsidRDefault="008E2322" w:rsidP="008E2322">
      <w:pPr>
        <w:jc w:val="both"/>
        <w:rPr>
          <w:rFonts w:eastAsia="Times New Roman"/>
          <w:b/>
          <w:bCs/>
          <w:color w:val="000000"/>
        </w:rPr>
      </w:pPr>
    </w:p>
    <w:p w:rsidR="00572219" w:rsidRDefault="00572219">
      <w:pPr>
        <w:rPr>
          <w:rFonts w:eastAsia="Times New Roman"/>
          <w:b/>
          <w:bCs/>
          <w:color w:val="000000"/>
        </w:rPr>
      </w:pPr>
      <w:r>
        <w:rPr>
          <w:rFonts w:eastAsia="Times New Roman"/>
          <w:b/>
          <w:bCs/>
          <w:color w:val="000000"/>
        </w:rPr>
        <w:br w:type="page"/>
      </w:r>
    </w:p>
    <w:p w:rsidR="008E2322" w:rsidRDefault="008E2322" w:rsidP="008E2322">
      <w:pPr>
        <w:jc w:val="both"/>
        <w:rPr>
          <w:rFonts w:eastAsia="Times New Roman"/>
          <w:b/>
          <w:bCs/>
          <w:color w:val="000000"/>
        </w:rPr>
      </w:pPr>
      <w:r>
        <w:rPr>
          <w:rFonts w:eastAsia="Times New Roman"/>
          <w:b/>
          <w:bCs/>
          <w:color w:val="000000"/>
        </w:rPr>
        <w:t>Appendix IV</w:t>
      </w:r>
      <w:r w:rsidRPr="009E5CE1">
        <w:rPr>
          <w:rFonts w:eastAsia="Times New Roman"/>
          <w:b/>
          <w:bCs/>
          <w:color w:val="000000"/>
        </w:rPr>
        <w:t>: PAH specific therapies</w:t>
      </w:r>
      <w:r>
        <w:rPr>
          <w:rFonts w:eastAsia="Times New Roman"/>
          <w:b/>
          <w:bCs/>
          <w:color w:val="000000"/>
        </w:rPr>
        <w:t xml:space="preserve"> used by patients on triple therapy with RHC-defined PAH, according to functional class at the index visit</w:t>
      </w:r>
    </w:p>
    <w:p w:rsidR="008E2322" w:rsidRPr="008D56C9" w:rsidRDefault="008E2322" w:rsidP="008E2322">
      <w:pPr>
        <w:jc w:val="both"/>
        <w:rPr>
          <w:rFonts w:asciiTheme="minorHAnsi" w:eastAsia="Times New Roman" w:hAnsiTheme="minorHAnsi" w:cstheme="minorBidi"/>
          <w:b/>
          <w:bCs/>
          <w:color w:val="000000"/>
          <w:sz w:val="22"/>
          <w:szCs w:val="22"/>
          <w:lang w:val="en-AU"/>
        </w:rPr>
      </w:pP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tblGrid>
      <w:tr w:rsidR="008E2322" w:rsidRPr="006D4734" w:rsidTr="00916748">
        <w:trPr>
          <w:trHeight w:val="650"/>
        </w:trPr>
        <w:tc>
          <w:tcPr>
            <w:tcW w:w="3721" w:type="dxa"/>
            <w:shd w:val="clear" w:color="000000" w:fill="E7E6E6"/>
            <w:noWrap/>
            <w:vAlign w:val="bottom"/>
            <w:hideMark/>
          </w:tcPr>
          <w:p w:rsidR="008E2322" w:rsidRPr="006D4734" w:rsidRDefault="008E2322" w:rsidP="00916748">
            <w:pPr>
              <w:rPr>
                <w:rFonts w:eastAsia="Times New Roman"/>
                <w:color w:val="000000"/>
              </w:rPr>
            </w:pPr>
            <w:r w:rsidRPr="006D4734">
              <w:rPr>
                <w:rFonts w:eastAsia="Times New Roman"/>
                <w:color w:val="000000"/>
              </w:rPr>
              <w:t>  </w:t>
            </w:r>
            <w:r w:rsidRPr="009E5CE1">
              <w:rPr>
                <w:rFonts w:eastAsia="Times New Roman"/>
                <w:b/>
                <w:bCs/>
                <w:color w:val="000000"/>
              </w:rPr>
              <w:t>PAH Therapy</w:t>
            </w:r>
          </w:p>
          <w:p w:rsidR="008E2322" w:rsidRPr="006D4734" w:rsidRDefault="008E2322" w:rsidP="00916748">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rsidR="008E2322" w:rsidRPr="00937F13" w:rsidRDefault="008E2322" w:rsidP="00916748">
            <w:pPr>
              <w:jc w:val="center"/>
              <w:rPr>
                <w:rFonts w:eastAsia="Times New Roman"/>
                <w:b/>
                <w:bCs/>
                <w:color w:val="000000"/>
              </w:rPr>
            </w:pPr>
            <w:r w:rsidRPr="009E5CE1">
              <w:rPr>
                <w:rFonts w:eastAsia="Times New Roman"/>
                <w:b/>
                <w:bCs/>
                <w:color w:val="000000"/>
              </w:rPr>
              <w:t>FC I/II at index visit</w:t>
            </w:r>
          </w:p>
          <w:p w:rsidR="008E2322" w:rsidRPr="006D4734" w:rsidRDefault="008E2322" w:rsidP="00916748">
            <w:pPr>
              <w:jc w:val="center"/>
              <w:rPr>
                <w:rFonts w:eastAsia="Times New Roman"/>
                <w:b/>
                <w:bCs/>
                <w:color w:val="000000"/>
              </w:rPr>
            </w:pPr>
            <w:r>
              <w:rPr>
                <w:rFonts w:eastAsia="Times New Roman"/>
                <w:color w:val="000000"/>
              </w:rPr>
              <w:t>n = 1</w:t>
            </w:r>
            <w:r w:rsidRPr="009E5CE1">
              <w:rPr>
                <w:rFonts w:eastAsia="Times New Roman"/>
                <w:color w:val="000000"/>
              </w:rPr>
              <w:t xml:space="preserve"> </w:t>
            </w:r>
          </w:p>
        </w:tc>
        <w:tc>
          <w:tcPr>
            <w:tcW w:w="1701" w:type="dxa"/>
            <w:shd w:val="clear" w:color="000000" w:fill="E7E6E6"/>
            <w:noWrap/>
            <w:vAlign w:val="bottom"/>
            <w:hideMark/>
          </w:tcPr>
          <w:p w:rsidR="008E2322" w:rsidRPr="00937F13" w:rsidRDefault="008E2322" w:rsidP="00916748">
            <w:pPr>
              <w:jc w:val="center"/>
              <w:rPr>
                <w:rFonts w:eastAsia="Times New Roman"/>
                <w:b/>
                <w:bCs/>
                <w:color w:val="000000"/>
              </w:rPr>
            </w:pPr>
            <w:r w:rsidRPr="009E5CE1">
              <w:rPr>
                <w:rFonts w:eastAsia="Times New Roman"/>
                <w:b/>
                <w:bCs/>
                <w:color w:val="000000"/>
              </w:rPr>
              <w:t>FC III/IV at index visit</w:t>
            </w:r>
          </w:p>
          <w:p w:rsidR="008E2322" w:rsidRPr="006D4734" w:rsidRDefault="008E2322" w:rsidP="00916748">
            <w:pPr>
              <w:jc w:val="center"/>
              <w:rPr>
                <w:rFonts w:eastAsia="Times New Roman"/>
                <w:b/>
                <w:bCs/>
                <w:color w:val="000000"/>
              </w:rPr>
            </w:pPr>
            <w:r>
              <w:rPr>
                <w:rFonts w:eastAsia="Times New Roman"/>
                <w:color w:val="000000"/>
              </w:rPr>
              <w:t>n = 5</w:t>
            </w:r>
            <w:r w:rsidRPr="009E5CE1">
              <w:rPr>
                <w:rFonts w:eastAsia="Times New Roman"/>
                <w:color w:val="000000"/>
              </w:rPr>
              <w:t xml:space="preserve"> </w:t>
            </w:r>
          </w:p>
        </w:tc>
      </w:tr>
      <w:tr w:rsidR="008E2322" w:rsidRPr="006D4734" w:rsidTr="00916748">
        <w:trPr>
          <w:trHeight w:val="317"/>
        </w:trPr>
        <w:tc>
          <w:tcPr>
            <w:tcW w:w="3721" w:type="dxa"/>
            <w:shd w:val="clear" w:color="auto" w:fill="auto"/>
            <w:noWrap/>
            <w:vAlign w:val="bottom"/>
            <w:hideMark/>
          </w:tcPr>
          <w:p w:rsidR="008E2322" w:rsidRPr="009E5CE1" w:rsidRDefault="008E2322" w:rsidP="00916748">
            <w:pPr>
              <w:rPr>
                <w:rFonts w:eastAsia="Times New Roman"/>
                <w:color w:val="000000"/>
              </w:rPr>
            </w:pPr>
            <w:r w:rsidRPr="009E5CE1">
              <w:rPr>
                <w:rFonts w:eastAsia="Times New Roman"/>
                <w:color w:val="000000"/>
              </w:rPr>
              <w:t>Bosentan</w:t>
            </w:r>
            <w:r>
              <w:rPr>
                <w:rFonts w:eastAsia="Times New Roman"/>
                <w:color w:val="000000"/>
              </w:rPr>
              <w:t xml:space="preserve"> </w:t>
            </w:r>
            <w:r w:rsidRPr="009E5CE1">
              <w:rPr>
                <w:rFonts w:eastAsia="Times New Roman"/>
                <w:color w:val="000000"/>
              </w:rPr>
              <w:t>Sildenafil</w:t>
            </w:r>
            <w:r>
              <w:rPr>
                <w:rFonts w:eastAsia="Times New Roman"/>
                <w:color w:val="000000"/>
              </w:rPr>
              <w:t xml:space="preserve"> </w:t>
            </w:r>
            <w:r w:rsidRPr="00750FE2">
              <w:rPr>
                <w:rFonts w:eastAsia="Times New Roman"/>
                <w:color w:val="000000"/>
              </w:rPr>
              <w:t>Epoprostenol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2 (40.0%)</w:t>
            </w:r>
          </w:p>
        </w:tc>
      </w:tr>
      <w:tr w:rsidR="008E2322" w:rsidRPr="006D4734" w:rsidTr="00916748">
        <w:trPr>
          <w:trHeight w:val="317"/>
        </w:trPr>
        <w:tc>
          <w:tcPr>
            <w:tcW w:w="3721" w:type="dxa"/>
            <w:shd w:val="clear" w:color="auto" w:fill="auto"/>
            <w:noWrap/>
            <w:vAlign w:val="bottom"/>
          </w:tcPr>
          <w:p w:rsidR="008E2322" w:rsidRPr="009E5CE1" w:rsidRDefault="008E2322" w:rsidP="00916748">
            <w:pPr>
              <w:rPr>
                <w:rFonts w:eastAsia="Times New Roman"/>
                <w:color w:val="000000"/>
              </w:rPr>
            </w:pPr>
            <w:r w:rsidRPr="009E5CE1">
              <w:rPr>
                <w:rFonts w:eastAsia="Times New Roman"/>
                <w:color w:val="000000"/>
              </w:rPr>
              <w:t>Bosentan</w:t>
            </w:r>
            <w:r>
              <w:rPr>
                <w:rFonts w:eastAsia="Times New Roman"/>
                <w:color w:val="000000"/>
              </w:rPr>
              <w:t xml:space="preserve"> </w:t>
            </w:r>
            <w:r w:rsidRPr="009E5CE1">
              <w:rPr>
                <w:rFonts w:eastAsia="Times New Roman"/>
                <w:color w:val="000000"/>
              </w:rPr>
              <w:t>Sildenafil</w:t>
            </w:r>
            <w:r>
              <w:rPr>
                <w:rFonts w:eastAsia="Times New Roman"/>
                <w:color w:val="000000"/>
              </w:rPr>
              <w:t xml:space="preserve"> </w:t>
            </w:r>
            <w:r w:rsidRPr="00750FE2">
              <w:rPr>
                <w:rFonts w:eastAsia="Times New Roman"/>
                <w:color w:val="000000"/>
              </w:rPr>
              <w:t>Selexipag</w:t>
            </w:r>
          </w:p>
        </w:tc>
        <w:tc>
          <w:tcPr>
            <w:tcW w:w="1658" w:type="dxa"/>
            <w:shd w:val="clear" w:color="auto" w:fill="auto"/>
            <w:noWrap/>
            <w:vAlign w:val="bottom"/>
          </w:tcPr>
          <w:p w:rsidR="008E2322"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Default="008E2322" w:rsidP="00916748">
            <w:pPr>
              <w:jc w:val="center"/>
              <w:rPr>
                <w:rFonts w:eastAsia="Times New Roman"/>
                <w:color w:val="000000"/>
              </w:rPr>
            </w:pPr>
            <w:r>
              <w:rPr>
                <w:rFonts w:eastAsia="Times New Roman"/>
                <w:color w:val="000000"/>
              </w:rPr>
              <w:t>1 (20.0%)</w:t>
            </w:r>
          </w:p>
        </w:tc>
      </w:tr>
      <w:tr w:rsidR="008E2322" w:rsidRPr="006D4734" w:rsidTr="00916748">
        <w:trPr>
          <w:trHeight w:val="317"/>
        </w:trPr>
        <w:tc>
          <w:tcPr>
            <w:tcW w:w="3721" w:type="dxa"/>
            <w:shd w:val="clear" w:color="auto" w:fill="auto"/>
            <w:noWrap/>
            <w:vAlign w:val="bottom"/>
          </w:tcPr>
          <w:p w:rsidR="008E2322" w:rsidRPr="009E5CE1" w:rsidRDefault="008E2322" w:rsidP="00916748">
            <w:pPr>
              <w:rPr>
                <w:rFonts w:eastAsia="Times New Roman"/>
                <w:color w:val="000000"/>
              </w:rPr>
            </w:pPr>
            <w:r w:rsidRPr="009E5CE1">
              <w:rPr>
                <w:rFonts w:eastAsia="Times New Roman"/>
                <w:color w:val="000000"/>
              </w:rPr>
              <w:t>Ambrisentan</w:t>
            </w:r>
            <w:r>
              <w:rPr>
                <w:rFonts w:eastAsia="Times New Roman"/>
                <w:color w:val="000000"/>
              </w:rPr>
              <w:t xml:space="preserve"> </w:t>
            </w:r>
            <w:r w:rsidRPr="009E5CE1">
              <w:rPr>
                <w:rFonts w:eastAsia="Times New Roman"/>
                <w:color w:val="000000"/>
              </w:rPr>
              <w:t>Tadalafil</w:t>
            </w:r>
            <w:r w:rsidRPr="00750FE2">
              <w:rPr>
                <w:rFonts w:eastAsia="Times New Roman"/>
                <w:color w:val="000000"/>
              </w:rPr>
              <w:t xml:space="preserve"> Selexipag</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1 (100%)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r>
      <w:tr w:rsidR="008E2322" w:rsidRPr="006D4734" w:rsidTr="00916748">
        <w:trPr>
          <w:trHeight w:val="317"/>
        </w:trPr>
        <w:tc>
          <w:tcPr>
            <w:tcW w:w="3721" w:type="dxa"/>
            <w:shd w:val="clear" w:color="auto" w:fill="auto"/>
            <w:vAlign w:val="bottom"/>
          </w:tcPr>
          <w:p w:rsidR="008E2322" w:rsidRPr="0061319B" w:rsidRDefault="008E2322" w:rsidP="00916748">
            <w:pPr>
              <w:rPr>
                <w:rFonts w:eastAsia="Times New Roman"/>
                <w:b/>
                <w:color w:val="000000"/>
              </w:rPr>
            </w:pPr>
            <w:r w:rsidRPr="009E5CE1">
              <w:rPr>
                <w:rFonts w:eastAsia="Times New Roman"/>
                <w:color w:val="000000"/>
              </w:rPr>
              <w:t>Macitentan Sildenafil</w:t>
            </w:r>
            <w:r>
              <w:rPr>
                <w:rFonts w:eastAsia="Times New Roman"/>
                <w:color w:val="000000"/>
              </w:rPr>
              <w:t xml:space="preserve"> </w:t>
            </w:r>
            <w:r w:rsidRPr="00750FE2">
              <w:rPr>
                <w:rFonts w:eastAsia="Times New Roman"/>
                <w:color w:val="000000"/>
              </w:rPr>
              <w:t>Epoprostenol</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1 (20.0%)</w:t>
            </w:r>
          </w:p>
        </w:tc>
      </w:tr>
      <w:tr w:rsidR="008E2322" w:rsidRPr="006D4734" w:rsidTr="00916748">
        <w:trPr>
          <w:trHeight w:val="317"/>
        </w:trPr>
        <w:tc>
          <w:tcPr>
            <w:tcW w:w="3721" w:type="dxa"/>
            <w:shd w:val="clear" w:color="auto" w:fill="auto"/>
            <w:vAlign w:val="bottom"/>
          </w:tcPr>
          <w:p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Sildenafil</w:t>
            </w:r>
            <w:r>
              <w:rPr>
                <w:rFonts w:eastAsia="Times New Roman"/>
                <w:color w:val="000000"/>
              </w:rPr>
              <w:t xml:space="preserve"> </w:t>
            </w:r>
            <w:r w:rsidRPr="00750FE2">
              <w:rPr>
                <w:rFonts w:eastAsia="Times New Roman"/>
                <w:color w:val="000000"/>
              </w:rPr>
              <w:t>Selexipag</w:t>
            </w:r>
          </w:p>
        </w:tc>
        <w:tc>
          <w:tcPr>
            <w:tcW w:w="1658"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rsidR="008E2322" w:rsidRPr="006D4734" w:rsidRDefault="008E2322" w:rsidP="00916748">
            <w:pPr>
              <w:jc w:val="center"/>
              <w:rPr>
                <w:rFonts w:eastAsia="Times New Roman"/>
                <w:color w:val="000000"/>
              </w:rPr>
            </w:pPr>
            <w:r>
              <w:rPr>
                <w:rFonts w:eastAsia="Times New Roman"/>
                <w:color w:val="000000"/>
              </w:rPr>
              <w:t>1 (20.0%)</w:t>
            </w:r>
          </w:p>
        </w:tc>
      </w:tr>
    </w:tbl>
    <w:p w:rsidR="003E4B68" w:rsidRPr="00FA1528" w:rsidRDefault="003E4B68" w:rsidP="00EE2DC8">
      <w:pPr>
        <w:spacing w:line="360" w:lineRule="auto"/>
        <w:jc w:val="both"/>
        <w:rPr>
          <w:sz w:val="22"/>
          <w:szCs w:val="22"/>
          <w:lang w:val="en-AU"/>
        </w:rPr>
      </w:pPr>
    </w:p>
    <w:sectPr w:rsidR="003E4B68" w:rsidRPr="00FA1528" w:rsidSect="00D75D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1A249" w15:done="0"/>
  <w15:commentEx w15:paraId="5EE0914E" w15:done="0"/>
  <w15:commentEx w15:paraId="00F43B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74" w:rsidRDefault="00B83974" w:rsidP="00AD31DB">
      <w:r>
        <w:separator/>
      </w:r>
    </w:p>
  </w:endnote>
  <w:endnote w:type="continuationSeparator" w:id="0">
    <w:p w:rsidR="00B83974" w:rsidRDefault="00B83974" w:rsidP="00AD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AB" w:rsidRDefault="00465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40500"/>
      <w:docPartObj>
        <w:docPartGallery w:val="Page Numbers (Bottom of Page)"/>
        <w:docPartUnique/>
      </w:docPartObj>
    </w:sdtPr>
    <w:sdtEndPr>
      <w:rPr>
        <w:noProof/>
      </w:rPr>
    </w:sdtEndPr>
    <w:sdtContent>
      <w:p w:rsidR="00AD31DB" w:rsidRDefault="00AD31DB">
        <w:pPr>
          <w:pStyle w:val="Footer"/>
          <w:jc w:val="center"/>
        </w:pPr>
        <w:r>
          <w:fldChar w:fldCharType="begin"/>
        </w:r>
        <w:r>
          <w:instrText xml:space="preserve"> PAGE   \* MERGEFORMAT </w:instrText>
        </w:r>
        <w:r>
          <w:fldChar w:fldCharType="separate"/>
        </w:r>
        <w:r w:rsidR="00B83974">
          <w:rPr>
            <w:noProof/>
          </w:rPr>
          <w:t>1</w:t>
        </w:r>
        <w:r>
          <w:rPr>
            <w:noProof/>
          </w:rPr>
          <w:fldChar w:fldCharType="end"/>
        </w:r>
      </w:p>
    </w:sdtContent>
  </w:sdt>
  <w:p w:rsidR="00AD31DB" w:rsidRDefault="00AD3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AB" w:rsidRDefault="00465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74" w:rsidRDefault="00B83974" w:rsidP="00AD31DB">
      <w:r>
        <w:separator/>
      </w:r>
    </w:p>
  </w:footnote>
  <w:footnote w:type="continuationSeparator" w:id="0">
    <w:p w:rsidR="00B83974" w:rsidRDefault="00B83974" w:rsidP="00AD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AB" w:rsidRDefault="00465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AB" w:rsidRDefault="00465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AB" w:rsidRDefault="0046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0CDD6A"/>
    <w:lvl w:ilvl="0" w:tplc="EDD00160">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E7C56"/>
    <w:multiLevelType w:val="hybridMultilevel"/>
    <w:tmpl w:val="68B09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40429"/>
    <w:multiLevelType w:val="hybridMultilevel"/>
    <w:tmpl w:val="A088F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16DC7"/>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000F3A"/>
    <w:multiLevelType w:val="multilevel"/>
    <w:tmpl w:val="B1CE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31600"/>
    <w:multiLevelType w:val="hybridMultilevel"/>
    <w:tmpl w:val="63AEAA5C"/>
    <w:lvl w:ilvl="0" w:tplc="0409000F">
      <w:start w:val="1"/>
      <w:numFmt w:val="decimal"/>
      <w:lvlText w:val="%1."/>
      <w:lvlJc w:val="left"/>
      <w:pPr>
        <w:tabs>
          <w:tab w:val="num" w:pos="720"/>
        </w:tabs>
        <w:ind w:left="720" w:hanging="360"/>
      </w:pPr>
    </w:lvl>
    <w:lvl w:ilvl="1" w:tplc="C120FD08">
      <w:start w:val="2006"/>
      <w:numFmt w:val="decimal"/>
      <w:lvlText w:val="%2"/>
      <w:lvlJc w:val="left"/>
      <w:pPr>
        <w:tabs>
          <w:tab w:val="num" w:pos="1480"/>
        </w:tabs>
        <w:ind w:left="1480" w:hanging="400"/>
      </w:pPr>
      <w:rPr>
        <w:rFonts w:hint="default"/>
      </w:rPr>
    </w:lvl>
    <w:lvl w:ilvl="2" w:tplc="0409001B">
      <w:start w:val="1"/>
      <w:numFmt w:val="lowerRoman"/>
      <w:lvlText w:val="%3."/>
      <w:lvlJc w:val="right"/>
      <w:pPr>
        <w:tabs>
          <w:tab w:val="num" w:pos="2160"/>
        </w:tabs>
        <w:ind w:left="2160" w:hanging="180"/>
      </w:pPr>
    </w:lvl>
    <w:lvl w:ilvl="3" w:tplc="54443038">
      <w:start w:val="2003"/>
      <w:numFmt w:val="decimal"/>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6B5EB1"/>
    <w:multiLevelType w:val="hybridMultilevel"/>
    <w:tmpl w:val="FB1C10F2"/>
    <w:lvl w:ilvl="0" w:tplc="80D86936">
      <w:start w:val="1"/>
      <w:numFmt w:val="bullet"/>
      <w:lvlText w:val="•"/>
      <w:lvlJc w:val="left"/>
      <w:pPr>
        <w:tabs>
          <w:tab w:val="num" w:pos="360"/>
        </w:tabs>
        <w:ind w:left="360" w:hanging="360"/>
      </w:pPr>
      <w:rPr>
        <w:rFonts w:ascii="Arial" w:hAnsi="Arial" w:hint="default"/>
      </w:rPr>
    </w:lvl>
    <w:lvl w:ilvl="1" w:tplc="CCC079FC">
      <w:numFmt w:val="bullet"/>
      <w:lvlText w:val="o"/>
      <w:lvlJc w:val="left"/>
      <w:pPr>
        <w:tabs>
          <w:tab w:val="num" w:pos="1080"/>
        </w:tabs>
        <w:ind w:left="1080" w:hanging="360"/>
      </w:pPr>
      <w:rPr>
        <w:rFonts w:ascii="Courier New" w:hAnsi="Courier New" w:hint="default"/>
      </w:rPr>
    </w:lvl>
    <w:lvl w:ilvl="2" w:tplc="513E3D9E" w:tentative="1">
      <w:start w:val="1"/>
      <w:numFmt w:val="bullet"/>
      <w:lvlText w:val="•"/>
      <w:lvlJc w:val="left"/>
      <w:pPr>
        <w:tabs>
          <w:tab w:val="num" w:pos="1800"/>
        </w:tabs>
        <w:ind w:left="1800" w:hanging="360"/>
      </w:pPr>
      <w:rPr>
        <w:rFonts w:ascii="Arial" w:hAnsi="Arial" w:hint="default"/>
      </w:rPr>
    </w:lvl>
    <w:lvl w:ilvl="3" w:tplc="463A7978" w:tentative="1">
      <w:start w:val="1"/>
      <w:numFmt w:val="bullet"/>
      <w:lvlText w:val="•"/>
      <w:lvlJc w:val="left"/>
      <w:pPr>
        <w:tabs>
          <w:tab w:val="num" w:pos="2520"/>
        </w:tabs>
        <w:ind w:left="2520" w:hanging="360"/>
      </w:pPr>
      <w:rPr>
        <w:rFonts w:ascii="Arial" w:hAnsi="Arial" w:hint="default"/>
      </w:rPr>
    </w:lvl>
    <w:lvl w:ilvl="4" w:tplc="80361A6C" w:tentative="1">
      <w:start w:val="1"/>
      <w:numFmt w:val="bullet"/>
      <w:lvlText w:val="•"/>
      <w:lvlJc w:val="left"/>
      <w:pPr>
        <w:tabs>
          <w:tab w:val="num" w:pos="3240"/>
        </w:tabs>
        <w:ind w:left="3240" w:hanging="360"/>
      </w:pPr>
      <w:rPr>
        <w:rFonts w:ascii="Arial" w:hAnsi="Arial" w:hint="default"/>
      </w:rPr>
    </w:lvl>
    <w:lvl w:ilvl="5" w:tplc="1EEA448E" w:tentative="1">
      <w:start w:val="1"/>
      <w:numFmt w:val="bullet"/>
      <w:lvlText w:val="•"/>
      <w:lvlJc w:val="left"/>
      <w:pPr>
        <w:tabs>
          <w:tab w:val="num" w:pos="3960"/>
        </w:tabs>
        <w:ind w:left="3960" w:hanging="360"/>
      </w:pPr>
      <w:rPr>
        <w:rFonts w:ascii="Arial" w:hAnsi="Arial" w:hint="default"/>
      </w:rPr>
    </w:lvl>
    <w:lvl w:ilvl="6" w:tplc="6C7ADD32" w:tentative="1">
      <w:start w:val="1"/>
      <w:numFmt w:val="bullet"/>
      <w:lvlText w:val="•"/>
      <w:lvlJc w:val="left"/>
      <w:pPr>
        <w:tabs>
          <w:tab w:val="num" w:pos="4680"/>
        </w:tabs>
        <w:ind w:left="4680" w:hanging="360"/>
      </w:pPr>
      <w:rPr>
        <w:rFonts w:ascii="Arial" w:hAnsi="Arial" w:hint="default"/>
      </w:rPr>
    </w:lvl>
    <w:lvl w:ilvl="7" w:tplc="80E423CE" w:tentative="1">
      <w:start w:val="1"/>
      <w:numFmt w:val="bullet"/>
      <w:lvlText w:val="•"/>
      <w:lvlJc w:val="left"/>
      <w:pPr>
        <w:tabs>
          <w:tab w:val="num" w:pos="5400"/>
        </w:tabs>
        <w:ind w:left="5400" w:hanging="360"/>
      </w:pPr>
      <w:rPr>
        <w:rFonts w:ascii="Arial" w:hAnsi="Arial" w:hint="default"/>
      </w:rPr>
    </w:lvl>
    <w:lvl w:ilvl="8" w:tplc="E2268F4E" w:tentative="1">
      <w:start w:val="1"/>
      <w:numFmt w:val="bullet"/>
      <w:lvlText w:val="•"/>
      <w:lvlJc w:val="left"/>
      <w:pPr>
        <w:tabs>
          <w:tab w:val="num" w:pos="6120"/>
        </w:tabs>
        <w:ind w:left="6120" w:hanging="360"/>
      </w:pPr>
      <w:rPr>
        <w:rFonts w:ascii="Arial" w:hAnsi="Arial" w:hint="default"/>
      </w:rPr>
    </w:lvl>
  </w:abstractNum>
  <w:abstractNum w:abstractNumId="7">
    <w:nsid w:val="40762161"/>
    <w:multiLevelType w:val="hybridMultilevel"/>
    <w:tmpl w:val="5816ADF6"/>
    <w:lvl w:ilvl="0" w:tplc="28606E40">
      <w:start w:val="1"/>
      <w:numFmt w:val="bullet"/>
      <w:lvlText w:val=""/>
      <w:lvlJc w:val="left"/>
      <w:pPr>
        <w:tabs>
          <w:tab w:val="num" w:pos="720"/>
        </w:tabs>
        <w:ind w:left="720" w:hanging="360"/>
      </w:pPr>
      <w:rPr>
        <w:rFonts w:ascii="Wingdings 3" w:hAnsi="Wingdings 3" w:hint="default"/>
      </w:rPr>
    </w:lvl>
    <w:lvl w:ilvl="1" w:tplc="F878945A" w:tentative="1">
      <w:start w:val="1"/>
      <w:numFmt w:val="bullet"/>
      <w:lvlText w:val=""/>
      <w:lvlJc w:val="left"/>
      <w:pPr>
        <w:tabs>
          <w:tab w:val="num" w:pos="1440"/>
        </w:tabs>
        <w:ind w:left="1440" w:hanging="360"/>
      </w:pPr>
      <w:rPr>
        <w:rFonts w:ascii="Wingdings 3" w:hAnsi="Wingdings 3" w:hint="default"/>
      </w:rPr>
    </w:lvl>
    <w:lvl w:ilvl="2" w:tplc="E1843F80" w:tentative="1">
      <w:start w:val="1"/>
      <w:numFmt w:val="bullet"/>
      <w:lvlText w:val=""/>
      <w:lvlJc w:val="left"/>
      <w:pPr>
        <w:tabs>
          <w:tab w:val="num" w:pos="2160"/>
        </w:tabs>
        <w:ind w:left="2160" w:hanging="360"/>
      </w:pPr>
      <w:rPr>
        <w:rFonts w:ascii="Wingdings 3" w:hAnsi="Wingdings 3" w:hint="default"/>
      </w:rPr>
    </w:lvl>
    <w:lvl w:ilvl="3" w:tplc="70D4D26C" w:tentative="1">
      <w:start w:val="1"/>
      <w:numFmt w:val="bullet"/>
      <w:lvlText w:val=""/>
      <w:lvlJc w:val="left"/>
      <w:pPr>
        <w:tabs>
          <w:tab w:val="num" w:pos="2880"/>
        </w:tabs>
        <w:ind w:left="2880" w:hanging="360"/>
      </w:pPr>
      <w:rPr>
        <w:rFonts w:ascii="Wingdings 3" w:hAnsi="Wingdings 3" w:hint="default"/>
      </w:rPr>
    </w:lvl>
    <w:lvl w:ilvl="4" w:tplc="07AA4F72" w:tentative="1">
      <w:start w:val="1"/>
      <w:numFmt w:val="bullet"/>
      <w:lvlText w:val=""/>
      <w:lvlJc w:val="left"/>
      <w:pPr>
        <w:tabs>
          <w:tab w:val="num" w:pos="3600"/>
        </w:tabs>
        <w:ind w:left="3600" w:hanging="360"/>
      </w:pPr>
      <w:rPr>
        <w:rFonts w:ascii="Wingdings 3" w:hAnsi="Wingdings 3" w:hint="default"/>
      </w:rPr>
    </w:lvl>
    <w:lvl w:ilvl="5" w:tplc="61FC96BC" w:tentative="1">
      <w:start w:val="1"/>
      <w:numFmt w:val="bullet"/>
      <w:lvlText w:val=""/>
      <w:lvlJc w:val="left"/>
      <w:pPr>
        <w:tabs>
          <w:tab w:val="num" w:pos="4320"/>
        </w:tabs>
        <w:ind w:left="4320" w:hanging="360"/>
      </w:pPr>
      <w:rPr>
        <w:rFonts w:ascii="Wingdings 3" w:hAnsi="Wingdings 3" w:hint="default"/>
      </w:rPr>
    </w:lvl>
    <w:lvl w:ilvl="6" w:tplc="332C70A8" w:tentative="1">
      <w:start w:val="1"/>
      <w:numFmt w:val="bullet"/>
      <w:lvlText w:val=""/>
      <w:lvlJc w:val="left"/>
      <w:pPr>
        <w:tabs>
          <w:tab w:val="num" w:pos="5040"/>
        </w:tabs>
        <w:ind w:left="5040" w:hanging="360"/>
      </w:pPr>
      <w:rPr>
        <w:rFonts w:ascii="Wingdings 3" w:hAnsi="Wingdings 3" w:hint="default"/>
      </w:rPr>
    </w:lvl>
    <w:lvl w:ilvl="7" w:tplc="5236407C" w:tentative="1">
      <w:start w:val="1"/>
      <w:numFmt w:val="bullet"/>
      <w:lvlText w:val=""/>
      <w:lvlJc w:val="left"/>
      <w:pPr>
        <w:tabs>
          <w:tab w:val="num" w:pos="5760"/>
        </w:tabs>
        <w:ind w:left="5760" w:hanging="360"/>
      </w:pPr>
      <w:rPr>
        <w:rFonts w:ascii="Wingdings 3" w:hAnsi="Wingdings 3" w:hint="default"/>
      </w:rPr>
    </w:lvl>
    <w:lvl w:ilvl="8" w:tplc="323ED9CA" w:tentative="1">
      <w:start w:val="1"/>
      <w:numFmt w:val="bullet"/>
      <w:lvlText w:val=""/>
      <w:lvlJc w:val="left"/>
      <w:pPr>
        <w:tabs>
          <w:tab w:val="num" w:pos="6480"/>
        </w:tabs>
        <w:ind w:left="6480" w:hanging="360"/>
      </w:pPr>
      <w:rPr>
        <w:rFonts w:ascii="Wingdings 3" w:hAnsi="Wingdings 3" w:hint="default"/>
      </w:rPr>
    </w:lvl>
  </w:abstractNum>
  <w:abstractNum w:abstractNumId="8">
    <w:nsid w:val="479E2E1E"/>
    <w:multiLevelType w:val="hybridMultilevel"/>
    <w:tmpl w:val="78DAC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DF112E"/>
    <w:multiLevelType w:val="hybridMultilevel"/>
    <w:tmpl w:val="63AEAA5C"/>
    <w:lvl w:ilvl="0" w:tplc="0409000F">
      <w:start w:val="1"/>
      <w:numFmt w:val="decimal"/>
      <w:lvlText w:val="%1."/>
      <w:lvlJc w:val="left"/>
      <w:pPr>
        <w:tabs>
          <w:tab w:val="num" w:pos="720"/>
        </w:tabs>
        <w:ind w:left="720" w:hanging="360"/>
      </w:pPr>
    </w:lvl>
    <w:lvl w:ilvl="1" w:tplc="C120FD08">
      <w:start w:val="2006"/>
      <w:numFmt w:val="decimal"/>
      <w:lvlText w:val="%2"/>
      <w:lvlJc w:val="left"/>
      <w:pPr>
        <w:tabs>
          <w:tab w:val="num" w:pos="1480"/>
        </w:tabs>
        <w:ind w:left="1480" w:hanging="400"/>
      </w:pPr>
      <w:rPr>
        <w:rFonts w:hint="default"/>
      </w:rPr>
    </w:lvl>
    <w:lvl w:ilvl="2" w:tplc="0409001B">
      <w:start w:val="1"/>
      <w:numFmt w:val="lowerRoman"/>
      <w:lvlText w:val="%3."/>
      <w:lvlJc w:val="right"/>
      <w:pPr>
        <w:tabs>
          <w:tab w:val="num" w:pos="2160"/>
        </w:tabs>
        <w:ind w:left="2160" w:hanging="180"/>
      </w:pPr>
    </w:lvl>
    <w:lvl w:ilvl="3" w:tplc="54443038">
      <w:start w:val="2003"/>
      <w:numFmt w:val="decimal"/>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3040EF2"/>
    <w:multiLevelType w:val="hybridMultilevel"/>
    <w:tmpl w:val="3D463AF0"/>
    <w:lvl w:ilvl="0" w:tplc="7E46D140">
      <w:start w:val="1"/>
      <w:numFmt w:val="decimal"/>
      <w:lvlText w:val="%1."/>
      <w:lvlJc w:val="left"/>
      <w:pPr>
        <w:tabs>
          <w:tab w:val="num" w:pos="720"/>
        </w:tabs>
        <w:ind w:left="720" w:hanging="360"/>
      </w:pPr>
    </w:lvl>
    <w:lvl w:ilvl="1" w:tplc="3A1A71B6" w:tentative="1">
      <w:start w:val="1"/>
      <w:numFmt w:val="decimal"/>
      <w:lvlText w:val="%2."/>
      <w:lvlJc w:val="left"/>
      <w:pPr>
        <w:tabs>
          <w:tab w:val="num" w:pos="1440"/>
        </w:tabs>
        <w:ind w:left="1440" w:hanging="360"/>
      </w:pPr>
    </w:lvl>
    <w:lvl w:ilvl="2" w:tplc="F116760E" w:tentative="1">
      <w:start w:val="1"/>
      <w:numFmt w:val="decimal"/>
      <w:lvlText w:val="%3."/>
      <w:lvlJc w:val="left"/>
      <w:pPr>
        <w:tabs>
          <w:tab w:val="num" w:pos="2160"/>
        </w:tabs>
        <w:ind w:left="2160" w:hanging="360"/>
      </w:pPr>
    </w:lvl>
    <w:lvl w:ilvl="3" w:tplc="620A8226" w:tentative="1">
      <w:start w:val="1"/>
      <w:numFmt w:val="decimal"/>
      <w:lvlText w:val="%4."/>
      <w:lvlJc w:val="left"/>
      <w:pPr>
        <w:tabs>
          <w:tab w:val="num" w:pos="2880"/>
        </w:tabs>
        <w:ind w:left="2880" w:hanging="360"/>
      </w:pPr>
    </w:lvl>
    <w:lvl w:ilvl="4" w:tplc="77DA8C0A" w:tentative="1">
      <w:start w:val="1"/>
      <w:numFmt w:val="decimal"/>
      <w:lvlText w:val="%5."/>
      <w:lvlJc w:val="left"/>
      <w:pPr>
        <w:tabs>
          <w:tab w:val="num" w:pos="3600"/>
        </w:tabs>
        <w:ind w:left="3600" w:hanging="360"/>
      </w:pPr>
    </w:lvl>
    <w:lvl w:ilvl="5" w:tplc="EBD8441A" w:tentative="1">
      <w:start w:val="1"/>
      <w:numFmt w:val="decimal"/>
      <w:lvlText w:val="%6."/>
      <w:lvlJc w:val="left"/>
      <w:pPr>
        <w:tabs>
          <w:tab w:val="num" w:pos="4320"/>
        </w:tabs>
        <w:ind w:left="4320" w:hanging="360"/>
      </w:pPr>
    </w:lvl>
    <w:lvl w:ilvl="6" w:tplc="030C1B02" w:tentative="1">
      <w:start w:val="1"/>
      <w:numFmt w:val="decimal"/>
      <w:lvlText w:val="%7."/>
      <w:lvlJc w:val="left"/>
      <w:pPr>
        <w:tabs>
          <w:tab w:val="num" w:pos="5040"/>
        </w:tabs>
        <w:ind w:left="5040" w:hanging="360"/>
      </w:pPr>
    </w:lvl>
    <w:lvl w:ilvl="7" w:tplc="907EBACE" w:tentative="1">
      <w:start w:val="1"/>
      <w:numFmt w:val="decimal"/>
      <w:lvlText w:val="%8."/>
      <w:lvlJc w:val="left"/>
      <w:pPr>
        <w:tabs>
          <w:tab w:val="num" w:pos="5760"/>
        </w:tabs>
        <w:ind w:left="5760" w:hanging="360"/>
      </w:pPr>
    </w:lvl>
    <w:lvl w:ilvl="8" w:tplc="0D42FDE4" w:tentative="1">
      <w:start w:val="1"/>
      <w:numFmt w:val="decimal"/>
      <w:lvlText w:val="%9."/>
      <w:lvlJc w:val="left"/>
      <w:pPr>
        <w:tabs>
          <w:tab w:val="num" w:pos="6480"/>
        </w:tabs>
        <w:ind w:left="6480" w:hanging="360"/>
      </w:pPr>
    </w:lvl>
  </w:abstractNum>
  <w:abstractNum w:abstractNumId="11">
    <w:nsid w:val="5BED6FF6"/>
    <w:multiLevelType w:val="hybridMultilevel"/>
    <w:tmpl w:val="0DE695DC"/>
    <w:lvl w:ilvl="0" w:tplc="AF7A5C8E">
      <w:start w:val="1"/>
      <w:numFmt w:val="bullet"/>
      <w:lvlText w:val="◦"/>
      <w:lvlJc w:val="left"/>
      <w:pPr>
        <w:tabs>
          <w:tab w:val="num" w:pos="720"/>
        </w:tabs>
        <w:ind w:left="720" w:hanging="360"/>
      </w:pPr>
      <w:rPr>
        <w:rFonts w:ascii="Verdana" w:hAnsi="Verdana" w:hint="default"/>
      </w:rPr>
    </w:lvl>
    <w:lvl w:ilvl="1" w:tplc="091A9AC8">
      <w:start w:val="1"/>
      <w:numFmt w:val="bullet"/>
      <w:lvlText w:val="◦"/>
      <w:lvlJc w:val="left"/>
      <w:pPr>
        <w:tabs>
          <w:tab w:val="num" w:pos="1440"/>
        </w:tabs>
        <w:ind w:left="1440" w:hanging="360"/>
      </w:pPr>
      <w:rPr>
        <w:rFonts w:ascii="Verdana" w:hAnsi="Verdana" w:hint="default"/>
      </w:rPr>
    </w:lvl>
    <w:lvl w:ilvl="2" w:tplc="900A558C" w:tentative="1">
      <w:start w:val="1"/>
      <w:numFmt w:val="bullet"/>
      <w:lvlText w:val="◦"/>
      <w:lvlJc w:val="left"/>
      <w:pPr>
        <w:tabs>
          <w:tab w:val="num" w:pos="2160"/>
        </w:tabs>
        <w:ind w:left="2160" w:hanging="360"/>
      </w:pPr>
      <w:rPr>
        <w:rFonts w:ascii="Verdana" w:hAnsi="Verdana" w:hint="default"/>
      </w:rPr>
    </w:lvl>
    <w:lvl w:ilvl="3" w:tplc="54547EC6" w:tentative="1">
      <w:start w:val="1"/>
      <w:numFmt w:val="bullet"/>
      <w:lvlText w:val="◦"/>
      <w:lvlJc w:val="left"/>
      <w:pPr>
        <w:tabs>
          <w:tab w:val="num" w:pos="2880"/>
        </w:tabs>
        <w:ind w:left="2880" w:hanging="360"/>
      </w:pPr>
      <w:rPr>
        <w:rFonts w:ascii="Verdana" w:hAnsi="Verdana" w:hint="default"/>
      </w:rPr>
    </w:lvl>
    <w:lvl w:ilvl="4" w:tplc="FDE4BD14" w:tentative="1">
      <w:start w:val="1"/>
      <w:numFmt w:val="bullet"/>
      <w:lvlText w:val="◦"/>
      <w:lvlJc w:val="left"/>
      <w:pPr>
        <w:tabs>
          <w:tab w:val="num" w:pos="3600"/>
        </w:tabs>
        <w:ind w:left="3600" w:hanging="360"/>
      </w:pPr>
      <w:rPr>
        <w:rFonts w:ascii="Verdana" w:hAnsi="Verdana" w:hint="default"/>
      </w:rPr>
    </w:lvl>
    <w:lvl w:ilvl="5" w:tplc="27F06C7A" w:tentative="1">
      <w:start w:val="1"/>
      <w:numFmt w:val="bullet"/>
      <w:lvlText w:val="◦"/>
      <w:lvlJc w:val="left"/>
      <w:pPr>
        <w:tabs>
          <w:tab w:val="num" w:pos="4320"/>
        </w:tabs>
        <w:ind w:left="4320" w:hanging="360"/>
      </w:pPr>
      <w:rPr>
        <w:rFonts w:ascii="Verdana" w:hAnsi="Verdana" w:hint="default"/>
      </w:rPr>
    </w:lvl>
    <w:lvl w:ilvl="6" w:tplc="F0F20CEE" w:tentative="1">
      <w:start w:val="1"/>
      <w:numFmt w:val="bullet"/>
      <w:lvlText w:val="◦"/>
      <w:lvlJc w:val="left"/>
      <w:pPr>
        <w:tabs>
          <w:tab w:val="num" w:pos="5040"/>
        </w:tabs>
        <w:ind w:left="5040" w:hanging="360"/>
      </w:pPr>
      <w:rPr>
        <w:rFonts w:ascii="Verdana" w:hAnsi="Verdana" w:hint="default"/>
      </w:rPr>
    </w:lvl>
    <w:lvl w:ilvl="7" w:tplc="6FAEFD1A" w:tentative="1">
      <w:start w:val="1"/>
      <w:numFmt w:val="bullet"/>
      <w:lvlText w:val="◦"/>
      <w:lvlJc w:val="left"/>
      <w:pPr>
        <w:tabs>
          <w:tab w:val="num" w:pos="5760"/>
        </w:tabs>
        <w:ind w:left="5760" w:hanging="360"/>
      </w:pPr>
      <w:rPr>
        <w:rFonts w:ascii="Verdana" w:hAnsi="Verdana" w:hint="default"/>
      </w:rPr>
    </w:lvl>
    <w:lvl w:ilvl="8" w:tplc="8AA6A122" w:tentative="1">
      <w:start w:val="1"/>
      <w:numFmt w:val="bullet"/>
      <w:lvlText w:val="◦"/>
      <w:lvlJc w:val="left"/>
      <w:pPr>
        <w:tabs>
          <w:tab w:val="num" w:pos="6480"/>
        </w:tabs>
        <w:ind w:left="6480" w:hanging="360"/>
      </w:pPr>
      <w:rPr>
        <w:rFonts w:ascii="Verdana" w:hAnsi="Verdana" w:hint="default"/>
      </w:rPr>
    </w:lvl>
  </w:abstractNum>
  <w:abstractNum w:abstractNumId="12">
    <w:nsid w:val="61716DBA"/>
    <w:multiLevelType w:val="hybridMultilevel"/>
    <w:tmpl w:val="0BE83220"/>
    <w:lvl w:ilvl="0" w:tplc="C5CA76C6">
      <w:start w:val="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890D0F"/>
    <w:multiLevelType w:val="hybridMultilevel"/>
    <w:tmpl w:val="795E7B6A"/>
    <w:lvl w:ilvl="0" w:tplc="689A7C3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A4785"/>
    <w:multiLevelType w:val="hybridMultilevel"/>
    <w:tmpl w:val="02FE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841DD6"/>
    <w:multiLevelType w:val="hybridMultilevel"/>
    <w:tmpl w:val="DD56D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9F7850"/>
    <w:multiLevelType w:val="hybridMultilevel"/>
    <w:tmpl w:val="63AEAA5C"/>
    <w:lvl w:ilvl="0" w:tplc="0409000F">
      <w:start w:val="1"/>
      <w:numFmt w:val="decimal"/>
      <w:lvlText w:val="%1."/>
      <w:lvlJc w:val="left"/>
      <w:pPr>
        <w:tabs>
          <w:tab w:val="num" w:pos="720"/>
        </w:tabs>
        <w:ind w:left="720" w:hanging="360"/>
      </w:pPr>
    </w:lvl>
    <w:lvl w:ilvl="1" w:tplc="C120FD08">
      <w:start w:val="2006"/>
      <w:numFmt w:val="decimal"/>
      <w:lvlText w:val="%2"/>
      <w:lvlJc w:val="left"/>
      <w:pPr>
        <w:tabs>
          <w:tab w:val="num" w:pos="1480"/>
        </w:tabs>
        <w:ind w:left="1480" w:hanging="400"/>
      </w:pPr>
      <w:rPr>
        <w:rFonts w:hint="default"/>
      </w:rPr>
    </w:lvl>
    <w:lvl w:ilvl="2" w:tplc="0409001B">
      <w:start w:val="1"/>
      <w:numFmt w:val="lowerRoman"/>
      <w:lvlText w:val="%3."/>
      <w:lvlJc w:val="right"/>
      <w:pPr>
        <w:tabs>
          <w:tab w:val="num" w:pos="2160"/>
        </w:tabs>
        <w:ind w:left="2160" w:hanging="180"/>
      </w:pPr>
    </w:lvl>
    <w:lvl w:ilvl="3" w:tplc="54443038">
      <w:start w:val="2003"/>
      <w:numFmt w:val="decimal"/>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4010FEF"/>
    <w:multiLevelType w:val="hybridMultilevel"/>
    <w:tmpl w:val="D6A4F85C"/>
    <w:lvl w:ilvl="0" w:tplc="689A7C38">
      <w:start w:val="1"/>
      <w:numFmt w:val="bullet"/>
      <w:lvlText w:val="•"/>
      <w:lvlJc w:val="left"/>
      <w:pPr>
        <w:tabs>
          <w:tab w:val="num" w:pos="720"/>
        </w:tabs>
        <w:ind w:left="720" w:hanging="360"/>
      </w:pPr>
      <w:rPr>
        <w:rFonts w:ascii="Arial" w:hAnsi="Arial" w:hint="default"/>
      </w:rPr>
    </w:lvl>
    <w:lvl w:ilvl="1" w:tplc="0DA61D42">
      <w:numFmt w:val="bullet"/>
      <w:lvlText w:val="o"/>
      <w:lvlJc w:val="left"/>
      <w:pPr>
        <w:tabs>
          <w:tab w:val="num" w:pos="1440"/>
        </w:tabs>
        <w:ind w:left="1440" w:hanging="360"/>
      </w:pPr>
      <w:rPr>
        <w:rFonts w:ascii="Courier New" w:hAnsi="Courier New" w:hint="default"/>
      </w:rPr>
    </w:lvl>
    <w:lvl w:ilvl="2" w:tplc="F690BD58" w:tentative="1">
      <w:start w:val="1"/>
      <w:numFmt w:val="bullet"/>
      <w:lvlText w:val="•"/>
      <w:lvlJc w:val="left"/>
      <w:pPr>
        <w:tabs>
          <w:tab w:val="num" w:pos="2160"/>
        </w:tabs>
        <w:ind w:left="2160" w:hanging="360"/>
      </w:pPr>
      <w:rPr>
        <w:rFonts w:ascii="Arial" w:hAnsi="Arial" w:hint="default"/>
      </w:rPr>
    </w:lvl>
    <w:lvl w:ilvl="3" w:tplc="8DC64A26" w:tentative="1">
      <w:start w:val="1"/>
      <w:numFmt w:val="bullet"/>
      <w:lvlText w:val="•"/>
      <w:lvlJc w:val="left"/>
      <w:pPr>
        <w:tabs>
          <w:tab w:val="num" w:pos="2880"/>
        </w:tabs>
        <w:ind w:left="2880" w:hanging="360"/>
      </w:pPr>
      <w:rPr>
        <w:rFonts w:ascii="Arial" w:hAnsi="Arial" w:hint="default"/>
      </w:rPr>
    </w:lvl>
    <w:lvl w:ilvl="4" w:tplc="E59638D8" w:tentative="1">
      <w:start w:val="1"/>
      <w:numFmt w:val="bullet"/>
      <w:lvlText w:val="•"/>
      <w:lvlJc w:val="left"/>
      <w:pPr>
        <w:tabs>
          <w:tab w:val="num" w:pos="3600"/>
        </w:tabs>
        <w:ind w:left="3600" w:hanging="360"/>
      </w:pPr>
      <w:rPr>
        <w:rFonts w:ascii="Arial" w:hAnsi="Arial" w:hint="default"/>
      </w:rPr>
    </w:lvl>
    <w:lvl w:ilvl="5" w:tplc="4886BFC4" w:tentative="1">
      <w:start w:val="1"/>
      <w:numFmt w:val="bullet"/>
      <w:lvlText w:val="•"/>
      <w:lvlJc w:val="left"/>
      <w:pPr>
        <w:tabs>
          <w:tab w:val="num" w:pos="4320"/>
        </w:tabs>
        <w:ind w:left="4320" w:hanging="360"/>
      </w:pPr>
      <w:rPr>
        <w:rFonts w:ascii="Arial" w:hAnsi="Arial" w:hint="default"/>
      </w:rPr>
    </w:lvl>
    <w:lvl w:ilvl="6" w:tplc="64F0E7CA" w:tentative="1">
      <w:start w:val="1"/>
      <w:numFmt w:val="bullet"/>
      <w:lvlText w:val="•"/>
      <w:lvlJc w:val="left"/>
      <w:pPr>
        <w:tabs>
          <w:tab w:val="num" w:pos="5040"/>
        </w:tabs>
        <w:ind w:left="5040" w:hanging="360"/>
      </w:pPr>
      <w:rPr>
        <w:rFonts w:ascii="Arial" w:hAnsi="Arial" w:hint="default"/>
      </w:rPr>
    </w:lvl>
    <w:lvl w:ilvl="7" w:tplc="E09EC484" w:tentative="1">
      <w:start w:val="1"/>
      <w:numFmt w:val="bullet"/>
      <w:lvlText w:val="•"/>
      <w:lvlJc w:val="left"/>
      <w:pPr>
        <w:tabs>
          <w:tab w:val="num" w:pos="5760"/>
        </w:tabs>
        <w:ind w:left="5760" w:hanging="360"/>
      </w:pPr>
      <w:rPr>
        <w:rFonts w:ascii="Arial" w:hAnsi="Arial" w:hint="default"/>
      </w:rPr>
    </w:lvl>
    <w:lvl w:ilvl="8" w:tplc="901CFE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6"/>
  </w:num>
  <w:num w:numId="4">
    <w:abstractNumId w:val="10"/>
  </w:num>
  <w:num w:numId="5">
    <w:abstractNumId w:val="9"/>
  </w:num>
  <w:num w:numId="6">
    <w:abstractNumId w:val="7"/>
  </w:num>
  <w:num w:numId="7">
    <w:abstractNumId w:val="11"/>
  </w:num>
  <w:num w:numId="8">
    <w:abstractNumId w:val="13"/>
  </w:num>
  <w:num w:numId="9">
    <w:abstractNumId w:val="4"/>
  </w:num>
  <w:num w:numId="10">
    <w:abstractNumId w:val="16"/>
  </w:num>
  <w:num w:numId="11">
    <w:abstractNumId w:val="5"/>
  </w:num>
  <w:num w:numId="12">
    <w:abstractNumId w:val="8"/>
  </w:num>
  <w:num w:numId="13">
    <w:abstractNumId w:val="14"/>
  </w:num>
  <w:num w:numId="14">
    <w:abstractNumId w:val="12"/>
  </w:num>
  <w:num w:numId="15">
    <w:abstractNumId w:val="2"/>
  </w:num>
  <w:num w:numId="16">
    <w:abstractNumId w:val="3"/>
  </w:num>
  <w:num w:numId="17">
    <w:abstractNumId w:val="1"/>
  </w:num>
  <w:num w:numId="18">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roudman@internode.on.net">
    <w15:presenceInfo w15:providerId="Windows Live" w15:userId="f957ee59293da7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revisionView w:inkAnnotations="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va5e9efwaatwe9p9wpr9zr0s0psppfvvfs&quot;&gt;ASIG Library&lt;record-ids&gt;&lt;item&gt;6&lt;/item&gt;&lt;item&gt;733&lt;/item&gt;&lt;item&gt;771&lt;/item&gt;&lt;item&gt;775&lt;/item&gt;&lt;item&gt;975&lt;/item&gt;&lt;item&gt;1485&lt;/item&gt;&lt;item&gt;1503&lt;/item&gt;&lt;item&gt;1519&lt;/item&gt;&lt;item&gt;1525&lt;/item&gt;&lt;item&gt;1532&lt;/item&gt;&lt;item&gt;1537&lt;/item&gt;&lt;item&gt;1539&lt;/item&gt;&lt;item&gt;1543&lt;/item&gt;&lt;item&gt;1544&lt;/item&gt;&lt;item&gt;1547&lt;/item&gt;&lt;item&gt;1550&lt;/item&gt;&lt;/record-ids&gt;&lt;/item&gt;&lt;/Libraries&gt;"/>
  </w:docVars>
  <w:rsids>
    <w:rsidRoot w:val="001079FC"/>
    <w:rsid w:val="000028BD"/>
    <w:rsid w:val="00003D23"/>
    <w:rsid w:val="000102A7"/>
    <w:rsid w:val="00011F0E"/>
    <w:rsid w:val="00013153"/>
    <w:rsid w:val="00016FDB"/>
    <w:rsid w:val="00017255"/>
    <w:rsid w:val="00022227"/>
    <w:rsid w:val="00022D4C"/>
    <w:rsid w:val="00032219"/>
    <w:rsid w:val="00033598"/>
    <w:rsid w:val="00041A4A"/>
    <w:rsid w:val="000456FA"/>
    <w:rsid w:val="00051FD1"/>
    <w:rsid w:val="00053ACF"/>
    <w:rsid w:val="00054A61"/>
    <w:rsid w:val="000674FC"/>
    <w:rsid w:val="00067F91"/>
    <w:rsid w:val="00070A2D"/>
    <w:rsid w:val="00075932"/>
    <w:rsid w:val="0007667B"/>
    <w:rsid w:val="00082946"/>
    <w:rsid w:val="000A2A98"/>
    <w:rsid w:val="000A3137"/>
    <w:rsid w:val="000B1B47"/>
    <w:rsid w:val="000B3967"/>
    <w:rsid w:val="000C42A6"/>
    <w:rsid w:val="000D0234"/>
    <w:rsid w:val="000D27FC"/>
    <w:rsid w:val="000D2B85"/>
    <w:rsid w:val="000D37B1"/>
    <w:rsid w:val="000D3A08"/>
    <w:rsid w:val="000D56B9"/>
    <w:rsid w:val="000E7C34"/>
    <w:rsid w:val="000F152A"/>
    <w:rsid w:val="000F3E59"/>
    <w:rsid w:val="0010215D"/>
    <w:rsid w:val="0010232E"/>
    <w:rsid w:val="00103730"/>
    <w:rsid w:val="001079FC"/>
    <w:rsid w:val="0011131D"/>
    <w:rsid w:val="00112842"/>
    <w:rsid w:val="00124BDC"/>
    <w:rsid w:val="001363DC"/>
    <w:rsid w:val="00145916"/>
    <w:rsid w:val="001462B4"/>
    <w:rsid w:val="001575C2"/>
    <w:rsid w:val="001754A4"/>
    <w:rsid w:val="00176A3B"/>
    <w:rsid w:val="00187E1B"/>
    <w:rsid w:val="001906E4"/>
    <w:rsid w:val="00192CC7"/>
    <w:rsid w:val="00193D31"/>
    <w:rsid w:val="001A25BB"/>
    <w:rsid w:val="001A3618"/>
    <w:rsid w:val="001A5FF6"/>
    <w:rsid w:val="001B5EF1"/>
    <w:rsid w:val="001C71E8"/>
    <w:rsid w:val="001D6A81"/>
    <w:rsid w:val="001E04A3"/>
    <w:rsid w:val="001F1D92"/>
    <w:rsid w:val="001F3511"/>
    <w:rsid w:val="001F53AF"/>
    <w:rsid w:val="00200829"/>
    <w:rsid w:val="00200CF9"/>
    <w:rsid w:val="00205D08"/>
    <w:rsid w:val="00213688"/>
    <w:rsid w:val="00223805"/>
    <w:rsid w:val="00234725"/>
    <w:rsid w:val="00241953"/>
    <w:rsid w:val="0024541C"/>
    <w:rsid w:val="00252BCC"/>
    <w:rsid w:val="002542A5"/>
    <w:rsid w:val="00255932"/>
    <w:rsid w:val="0026070B"/>
    <w:rsid w:val="00262381"/>
    <w:rsid w:val="00271AF9"/>
    <w:rsid w:val="00274137"/>
    <w:rsid w:val="0027736A"/>
    <w:rsid w:val="00283B24"/>
    <w:rsid w:val="00290252"/>
    <w:rsid w:val="00290972"/>
    <w:rsid w:val="00292F36"/>
    <w:rsid w:val="0029701D"/>
    <w:rsid w:val="002A266B"/>
    <w:rsid w:val="002B2C45"/>
    <w:rsid w:val="002C0985"/>
    <w:rsid w:val="002D2867"/>
    <w:rsid w:val="002D4126"/>
    <w:rsid w:val="002E0DCA"/>
    <w:rsid w:val="002E1121"/>
    <w:rsid w:val="002E1E67"/>
    <w:rsid w:val="002F39F3"/>
    <w:rsid w:val="00306EE9"/>
    <w:rsid w:val="003078F7"/>
    <w:rsid w:val="00311529"/>
    <w:rsid w:val="00312732"/>
    <w:rsid w:val="003137AB"/>
    <w:rsid w:val="00315359"/>
    <w:rsid w:val="003157A9"/>
    <w:rsid w:val="003332C5"/>
    <w:rsid w:val="00334D82"/>
    <w:rsid w:val="00335BEC"/>
    <w:rsid w:val="003363A6"/>
    <w:rsid w:val="00336EAF"/>
    <w:rsid w:val="00341603"/>
    <w:rsid w:val="00343BCF"/>
    <w:rsid w:val="00350F72"/>
    <w:rsid w:val="00364D4E"/>
    <w:rsid w:val="0037218C"/>
    <w:rsid w:val="003726AA"/>
    <w:rsid w:val="003750F4"/>
    <w:rsid w:val="00376C06"/>
    <w:rsid w:val="0037789E"/>
    <w:rsid w:val="003801B7"/>
    <w:rsid w:val="00391451"/>
    <w:rsid w:val="003977E2"/>
    <w:rsid w:val="003979C4"/>
    <w:rsid w:val="003A409F"/>
    <w:rsid w:val="003B3B84"/>
    <w:rsid w:val="003B58B1"/>
    <w:rsid w:val="003B7907"/>
    <w:rsid w:val="003C121E"/>
    <w:rsid w:val="003E4B68"/>
    <w:rsid w:val="003F3F79"/>
    <w:rsid w:val="004002B0"/>
    <w:rsid w:val="00406A4E"/>
    <w:rsid w:val="00414AB7"/>
    <w:rsid w:val="00416A02"/>
    <w:rsid w:val="004264EF"/>
    <w:rsid w:val="00433420"/>
    <w:rsid w:val="00433521"/>
    <w:rsid w:val="00433BB8"/>
    <w:rsid w:val="00451C93"/>
    <w:rsid w:val="00453DFB"/>
    <w:rsid w:val="00461F27"/>
    <w:rsid w:val="004652AB"/>
    <w:rsid w:val="00483CA4"/>
    <w:rsid w:val="00485974"/>
    <w:rsid w:val="0049636B"/>
    <w:rsid w:val="004B3E17"/>
    <w:rsid w:val="004B612B"/>
    <w:rsid w:val="004C1618"/>
    <w:rsid w:val="004D62CD"/>
    <w:rsid w:val="004D644B"/>
    <w:rsid w:val="004D6BFC"/>
    <w:rsid w:val="004E0014"/>
    <w:rsid w:val="004E587B"/>
    <w:rsid w:val="004F623C"/>
    <w:rsid w:val="00501154"/>
    <w:rsid w:val="00503ACD"/>
    <w:rsid w:val="00503CC7"/>
    <w:rsid w:val="0050731E"/>
    <w:rsid w:val="00524AEE"/>
    <w:rsid w:val="005269CD"/>
    <w:rsid w:val="00527A0C"/>
    <w:rsid w:val="00532949"/>
    <w:rsid w:val="00532AC8"/>
    <w:rsid w:val="00534598"/>
    <w:rsid w:val="00534A50"/>
    <w:rsid w:val="00541640"/>
    <w:rsid w:val="00561CDD"/>
    <w:rsid w:val="0056509D"/>
    <w:rsid w:val="00566B17"/>
    <w:rsid w:val="00570052"/>
    <w:rsid w:val="00572219"/>
    <w:rsid w:val="00575CC6"/>
    <w:rsid w:val="00582325"/>
    <w:rsid w:val="00585B07"/>
    <w:rsid w:val="005B1320"/>
    <w:rsid w:val="005B1A24"/>
    <w:rsid w:val="005B3F8A"/>
    <w:rsid w:val="005C661E"/>
    <w:rsid w:val="005C687D"/>
    <w:rsid w:val="005D4309"/>
    <w:rsid w:val="005D4B11"/>
    <w:rsid w:val="005D4C93"/>
    <w:rsid w:val="005D4F34"/>
    <w:rsid w:val="005E16EF"/>
    <w:rsid w:val="005E1973"/>
    <w:rsid w:val="005F0047"/>
    <w:rsid w:val="005F00BD"/>
    <w:rsid w:val="005F4740"/>
    <w:rsid w:val="0060350C"/>
    <w:rsid w:val="00603BBC"/>
    <w:rsid w:val="00604DF0"/>
    <w:rsid w:val="00644FEF"/>
    <w:rsid w:val="00651DF8"/>
    <w:rsid w:val="006547F4"/>
    <w:rsid w:val="00654D87"/>
    <w:rsid w:val="00660DA9"/>
    <w:rsid w:val="006719D7"/>
    <w:rsid w:val="00674975"/>
    <w:rsid w:val="00684F7F"/>
    <w:rsid w:val="0068628A"/>
    <w:rsid w:val="00695E94"/>
    <w:rsid w:val="006976F4"/>
    <w:rsid w:val="00697718"/>
    <w:rsid w:val="006A6DA9"/>
    <w:rsid w:val="006B233E"/>
    <w:rsid w:val="006B7EBF"/>
    <w:rsid w:val="006C3F19"/>
    <w:rsid w:val="006C53B1"/>
    <w:rsid w:val="006C67EC"/>
    <w:rsid w:val="006D4734"/>
    <w:rsid w:val="006D703F"/>
    <w:rsid w:val="006F4BBC"/>
    <w:rsid w:val="006F704B"/>
    <w:rsid w:val="006F7C53"/>
    <w:rsid w:val="00703913"/>
    <w:rsid w:val="007049EB"/>
    <w:rsid w:val="00706ABF"/>
    <w:rsid w:val="007234DF"/>
    <w:rsid w:val="00726293"/>
    <w:rsid w:val="00727DB0"/>
    <w:rsid w:val="007319E1"/>
    <w:rsid w:val="0074706D"/>
    <w:rsid w:val="0075078C"/>
    <w:rsid w:val="00752CB4"/>
    <w:rsid w:val="007531B8"/>
    <w:rsid w:val="00773ED8"/>
    <w:rsid w:val="00781C8C"/>
    <w:rsid w:val="00785919"/>
    <w:rsid w:val="00785DB2"/>
    <w:rsid w:val="00792C2B"/>
    <w:rsid w:val="007A5BBE"/>
    <w:rsid w:val="007B3046"/>
    <w:rsid w:val="007B620B"/>
    <w:rsid w:val="007C50F4"/>
    <w:rsid w:val="007C5190"/>
    <w:rsid w:val="007C7E4B"/>
    <w:rsid w:val="007D313E"/>
    <w:rsid w:val="007D4DFF"/>
    <w:rsid w:val="007D7E5B"/>
    <w:rsid w:val="007E5687"/>
    <w:rsid w:val="007F5F64"/>
    <w:rsid w:val="00804D12"/>
    <w:rsid w:val="00805515"/>
    <w:rsid w:val="0081721D"/>
    <w:rsid w:val="008212CC"/>
    <w:rsid w:val="008272C0"/>
    <w:rsid w:val="00832462"/>
    <w:rsid w:val="00832CD9"/>
    <w:rsid w:val="00843ECE"/>
    <w:rsid w:val="00844B1F"/>
    <w:rsid w:val="00845D8A"/>
    <w:rsid w:val="008509B8"/>
    <w:rsid w:val="0085186D"/>
    <w:rsid w:val="008524F9"/>
    <w:rsid w:val="008571F5"/>
    <w:rsid w:val="008575AB"/>
    <w:rsid w:val="008614F1"/>
    <w:rsid w:val="00862C1D"/>
    <w:rsid w:val="00871221"/>
    <w:rsid w:val="00874287"/>
    <w:rsid w:val="008745CE"/>
    <w:rsid w:val="00876CD8"/>
    <w:rsid w:val="008802B5"/>
    <w:rsid w:val="00891BD6"/>
    <w:rsid w:val="008B0F16"/>
    <w:rsid w:val="008B203B"/>
    <w:rsid w:val="008C44A2"/>
    <w:rsid w:val="008D320C"/>
    <w:rsid w:val="008E1B42"/>
    <w:rsid w:val="008E2322"/>
    <w:rsid w:val="008F22D9"/>
    <w:rsid w:val="008F2F26"/>
    <w:rsid w:val="008F79E1"/>
    <w:rsid w:val="00903466"/>
    <w:rsid w:val="00906B64"/>
    <w:rsid w:val="00906CD4"/>
    <w:rsid w:val="00912D36"/>
    <w:rsid w:val="00920D88"/>
    <w:rsid w:val="00921681"/>
    <w:rsid w:val="00924101"/>
    <w:rsid w:val="009264CD"/>
    <w:rsid w:val="00926659"/>
    <w:rsid w:val="009310DA"/>
    <w:rsid w:val="00937F13"/>
    <w:rsid w:val="009404CB"/>
    <w:rsid w:val="00944D6B"/>
    <w:rsid w:val="00950F06"/>
    <w:rsid w:val="00950F8F"/>
    <w:rsid w:val="00954CFC"/>
    <w:rsid w:val="00957476"/>
    <w:rsid w:val="00957925"/>
    <w:rsid w:val="00967427"/>
    <w:rsid w:val="00981787"/>
    <w:rsid w:val="009822BF"/>
    <w:rsid w:val="009822C8"/>
    <w:rsid w:val="00990C28"/>
    <w:rsid w:val="00992458"/>
    <w:rsid w:val="009945C0"/>
    <w:rsid w:val="00994B0D"/>
    <w:rsid w:val="00996244"/>
    <w:rsid w:val="009A6D78"/>
    <w:rsid w:val="009A6F1C"/>
    <w:rsid w:val="009B3381"/>
    <w:rsid w:val="009B37D2"/>
    <w:rsid w:val="009B747F"/>
    <w:rsid w:val="009C45BB"/>
    <w:rsid w:val="009C4921"/>
    <w:rsid w:val="009C6525"/>
    <w:rsid w:val="009D5726"/>
    <w:rsid w:val="009D5D70"/>
    <w:rsid w:val="009D6851"/>
    <w:rsid w:val="009D7B04"/>
    <w:rsid w:val="009E074A"/>
    <w:rsid w:val="009E096B"/>
    <w:rsid w:val="009E19CC"/>
    <w:rsid w:val="009E3234"/>
    <w:rsid w:val="009E5906"/>
    <w:rsid w:val="009E5CE1"/>
    <w:rsid w:val="009E69EC"/>
    <w:rsid w:val="009F4004"/>
    <w:rsid w:val="009F63BA"/>
    <w:rsid w:val="00A05A53"/>
    <w:rsid w:val="00A05ED3"/>
    <w:rsid w:val="00A14056"/>
    <w:rsid w:val="00A14B2E"/>
    <w:rsid w:val="00A16240"/>
    <w:rsid w:val="00A16678"/>
    <w:rsid w:val="00A26E4F"/>
    <w:rsid w:val="00A414FE"/>
    <w:rsid w:val="00A548BF"/>
    <w:rsid w:val="00A63A13"/>
    <w:rsid w:val="00A6513D"/>
    <w:rsid w:val="00A770BD"/>
    <w:rsid w:val="00A84CB7"/>
    <w:rsid w:val="00A8595F"/>
    <w:rsid w:val="00A86502"/>
    <w:rsid w:val="00A91AE0"/>
    <w:rsid w:val="00A95CCF"/>
    <w:rsid w:val="00A96538"/>
    <w:rsid w:val="00AA3E06"/>
    <w:rsid w:val="00AA43C3"/>
    <w:rsid w:val="00AB0D23"/>
    <w:rsid w:val="00AB15B2"/>
    <w:rsid w:val="00AC23D7"/>
    <w:rsid w:val="00AC3E56"/>
    <w:rsid w:val="00AC4956"/>
    <w:rsid w:val="00AC77B4"/>
    <w:rsid w:val="00AD039E"/>
    <w:rsid w:val="00AD1F5E"/>
    <w:rsid w:val="00AD2A37"/>
    <w:rsid w:val="00AD31DB"/>
    <w:rsid w:val="00AD5660"/>
    <w:rsid w:val="00AE0AC0"/>
    <w:rsid w:val="00AE2601"/>
    <w:rsid w:val="00AE2D15"/>
    <w:rsid w:val="00AF2763"/>
    <w:rsid w:val="00AF7380"/>
    <w:rsid w:val="00AF7605"/>
    <w:rsid w:val="00B02263"/>
    <w:rsid w:val="00B03945"/>
    <w:rsid w:val="00B03D13"/>
    <w:rsid w:val="00B15ACA"/>
    <w:rsid w:val="00B16F3B"/>
    <w:rsid w:val="00B23C17"/>
    <w:rsid w:val="00B251E5"/>
    <w:rsid w:val="00B25CB6"/>
    <w:rsid w:val="00B260B8"/>
    <w:rsid w:val="00B37AEE"/>
    <w:rsid w:val="00B47914"/>
    <w:rsid w:val="00B653E9"/>
    <w:rsid w:val="00B67413"/>
    <w:rsid w:val="00B7256C"/>
    <w:rsid w:val="00B75F88"/>
    <w:rsid w:val="00B77115"/>
    <w:rsid w:val="00B8325B"/>
    <w:rsid w:val="00B83974"/>
    <w:rsid w:val="00BB3E8F"/>
    <w:rsid w:val="00BC2993"/>
    <w:rsid w:val="00BC4CCE"/>
    <w:rsid w:val="00BC6A56"/>
    <w:rsid w:val="00BD08C2"/>
    <w:rsid w:val="00BD4FD6"/>
    <w:rsid w:val="00BD66A9"/>
    <w:rsid w:val="00BD7750"/>
    <w:rsid w:val="00BE2DE9"/>
    <w:rsid w:val="00C007BE"/>
    <w:rsid w:val="00C03F8C"/>
    <w:rsid w:val="00C06203"/>
    <w:rsid w:val="00C079FE"/>
    <w:rsid w:val="00C11351"/>
    <w:rsid w:val="00C11398"/>
    <w:rsid w:val="00C14742"/>
    <w:rsid w:val="00C2160D"/>
    <w:rsid w:val="00C225BA"/>
    <w:rsid w:val="00C272C7"/>
    <w:rsid w:val="00C31BEC"/>
    <w:rsid w:val="00C34735"/>
    <w:rsid w:val="00C370D3"/>
    <w:rsid w:val="00C44D58"/>
    <w:rsid w:val="00C46C82"/>
    <w:rsid w:val="00C50E89"/>
    <w:rsid w:val="00C53678"/>
    <w:rsid w:val="00C54734"/>
    <w:rsid w:val="00C650A4"/>
    <w:rsid w:val="00C73F4C"/>
    <w:rsid w:val="00C747EF"/>
    <w:rsid w:val="00C8324D"/>
    <w:rsid w:val="00C915AC"/>
    <w:rsid w:val="00CA2F5D"/>
    <w:rsid w:val="00CA589B"/>
    <w:rsid w:val="00CB02D0"/>
    <w:rsid w:val="00CB2841"/>
    <w:rsid w:val="00CC52CB"/>
    <w:rsid w:val="00CC588C"/>
    <w:rsid w:val="00CC6063"/>
    <w:rsid w:val="00CC6494"/>
    <w:rsid w:val="00CE3669"/>
    <w:rsid w:val="00CE50D6"/>
    <w:rsid w:val="00CE53A0"/>
    <w:rsid w:val="00CF4E3E"/>
    <w:rsid w:val="00CF742C"/>
    <w:rsid w:val="00D03B0E"/>
    <w:rsid w:val="00D06DE7"/>
    <w:rsid w:val="00D071BA"/>
    <w:rsid w:val="00D07699"/>
    <w:rsid w:val="00D106A3"/>
    <w:rsid w:val="00D10E22"/>
    <w:rsid w:val="00D117BC"/>
    <w:rsid w:val="00D12D53"/>
    <w:rsid w:val="00D1642C"/>
    <w:rsid w:val="00D2270D"/>
    <w:rsid w:val="00D41138"/>
    <w:rsid w:val="00D426C3"/>
    <w:rsid w:val="00D53149"/>
    <w:rsid w:val="00D75387"/>
    <w:rsid w:val="00D75D62"/>
    <w:rsid w:val="00D768A4"/>
    <w:rsid w:val="00D80B67"/>
    <w:rsid w:val="00D81247"/>
    <w:rsid w:val="00D81BC0"/>
    <w:rsid w:val="00D97E59"/>
    <w:rsid w:val="00DC3B47"/>
    <w:rsid w:val="00DC5F2C"/>
    <w:rsid w:val="00DC7CE2"/>
    <w:rsid w:val="00DD3304"/>
    <w:rsid w:val="00DE38C9"/>
    <w:rsid w:val="00DE61EC"/>
    <w:rsid w:val="00DE73B3"/>
    <w:rsid w:val="00DF0F42"/>
    <w:rsid w:val="00E0158D"/>
    <w:rsid w:val="00E01BB0"/>
    <w:rsid w:val="00E06557"/>
    <w:rsid w:val="00E07E03"/>
    <w:rsid w:val="00E1536F"/>
    <w:rsid w:val="00E1677E"/>
    <w:rsid w:val="00E23F65"/>
    <w:rsid w:val="00E360E3"/>
    <w:rsid w:val="00E40125"/>
    <w:rsid w:val="00E40305"/>
    <w:rsid w:val="00E4279A"/>
    <w:rsid w:val="00E5158C"/>
    <w:rsid w:val="00E544AE"/>
    <w:rsid w:val="00E64B8F"/>
    <w:rsid w:val="00E71311"/>
    <w:rsid w:val="00E73080"/>
    <w:rsid w:val="00E74075"/>
    <w:rsid w:val="00E765DB"/>
    <w:rsid w:val="00E80C92"/>
    <w:rsid w:val="00E818E9"/>
    <w:rsid w:val="00E81EF1"/>
    <w:rsid w:val="00E8640D"/>
    <w:rsid w:val="00E871AD"/>
    <w:rsid w:val="00E94D1E"/>
    <w:rsid w:val="00E9525A"/>
    <w:rsid w:val="00E95C49"/>
    <w:rsid w:val="00E96748"/>
    <w:rsid w:val="00EB24ED"/>
    <w:rsid w:val="00EB51EF"/>
    <w:rsid w:val="00EC50D7"/>
    <w:rsid w:val="00ED031F"/>
    <w:rsid w:val="00ED40D6"/>
    <w:rsid w:val="00ED78FC"/>
    <w:rsid w:val="00EE2DC8"/>
    <w:rsid w:val="00EE402B"/>
    <w:rsid w:val="00EF3F69"/>
    <w:rsid w:val="00F02A87"/>
    <w:rsid w:val="00F06CB1"/>
    <w:rsid w:val="00F239C2"/>
    <w:rsid w:val="00F24706"/>
    <w:rsid w:val="00F26FFE"/>
    <w:rsid w:val="00F36464"/>
    <w:rsid w:val="00F4148E"/>
    <w:rsid w:val="00F41587"/>
    <w:rsid w:val="00F435CC"/>
    <w:rsid w:val="00F43C39"/>
    <w:rsid w:val="00F538C9"/>
    <w:rsid w:val="00F55954"/>
    <w:rsid w:val="00F641F4"/>
    <w:rsid w:val="00F66651"/>
    <w:rsid w:val="00F800C5"/>
    <w:rsid w:val="00F915C3"/>
    <w:rsid w:val="00F9557B"/>
    <w:rsid w:val="00FA1528"/>
    <w:rsid w:val="00FA22C3"/>
    <w:rsid w:val="00FA665E"/>
    <w:rsid w:val="00FA715C"/>
    <w:rsid w:val="00FB7E5A"/>
    <w:rsid w:val="00FC46B2"/>
    <w:rsid w:val="00FD0E75"/>
    <w:rsid w:val="00FD47DC"/>
    <w:rsid w:val="00FE733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3"/>
    <w:rPr>
      <w:rFonts w:ascii="Times New Roman" w:hAnsi="Times New Roman" w:cs="Times New Roman"/>
      <w:lang w:val="en-GB" w:eastAsia="en-GB"/>
    </w:rPr>
  </w:style>
  <w:style w:type="paragraph" w:styleId="Heading1">
    <w:name w:val="heading 1"/>
    <w:basedOn w:val="Normal"/>
    <w:link w:val="Heading1Char"/>
    <w:uiPriority w:val="9"/>
    <w:qFormat/>
    <w:rsid w:val="005B1A24"/>
    <w:pPr>
      <w:spacing w:before="100" w:beforeAutospacing="1" w:after="100" w:afterAutospacing="1"/>
      <w:outlineLvl w:val="0"/>
    </w:pPr>
    <w:rPr>
      <w:rFonts w:ascii="Times" w:hAnsi="Times"/>
      <w:b/>
      <w:bCs/>
      <w:kern w:val="36"/>
      <w:sz w:val="48"/>
      <w:szCs w:val="48"/>
      <w:lang w:val="en-AU" w:eastAsia="en-US"/>
    </w:rPr>
  </w:style>
  <w:style w:type="paragraph" w:styleId="Heading2">
    <w:name w:val="heading 2"/>
    <w:basedOn w:val="Normal"/>
    <w:next w:val="Normal"/>
    <w:link w:val="Heading2Char"/>
    <w:uiPriority w:val="9"/>
    <w:semiHidden/>
    <w:unhideWhenUsed/>
    <w:qFormat/>
    <w:rsid w:val="005B1A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68"/>
    <w:pPr>
      <w:ind w:left="720"/>
      <w:contextualSpacing/>
    </w:pPr>
  </w:style>
  <w:style w:type="character" w:styleId="CommentReference">
    <w:name w:val="annotation reference"/>
    <w:basedOn w:val="DefaultParagraphFont"/>
    <w:uiPriority w:val="99"/>
    <w:semiHidden/>
    <w:unhideWhenUsed/>
    <w:rsid w:val="00ED78FC"/>
    <w:rPr>
      <w:sz w:val="18"/>
      <w:szCs w:val="18"/>
    </w:rPr>
  </w:style>
  <w:style w:type="paragraph" w:styleId="CommentText">
    <w:name w:val="annotation text"/>
    <w:basedOn w:val="Normal"/>
    <w:link w:val="CommentTextChar"/>
    <w:uiPriority w:val="99"/>
    <w:semiHidden/>
    <w:unhideWhenUsed/>
    <w:rsid w:val="00ED78FC"/>
  </w:style>
  <w:style w:type="character" w:customStyle="1" w:styleId="CommentTextChar">
    <w:name w:val="Comment Text Char"/>
    <w:basedOn w:val="DefaultParagraphFont"/>
    <w:link w:val="CommentText"/>
    <w:uiPriority w:val="99"/>
    <w:semiHidden/>
    <w:rsid w:val="00ED78FC"/>
    <w:rPr>
      <w:lang w:val="en-US"/>
    </w:rPr>
  </w:style>
  <w:style w:type="paragraph" w:styleId="CommentSubject">
    <w:name w:val="annotation subject"/>
    <w:basedOn w:val="CommentText"/>
    <w:next w:val="CommentText"/>
    <w:link w:val="CommentSubjectChar"/>
    <w:uiPriority w:val="99"/>
    <w:semiHidden/>
    <w:unhideWhenUsed/>
    <w:rsid w:val="00ED78FC"/>
    <w:rPr>
      <w:b/>
      <w:bCs/>
      <w:sz w:val="20"/>
      <w:szCs w:val="20"/>
    </w:rPr>
  </w:style>
  <w:style w:type="character" w:customStyle="1" w:styleId="CommentSubjectChar">
    <w:name w:val="Comment Subject Char"/>
    <w:basedOn w:val="CommentTextChar"/>
    <w:link w:val="CommentSubject"/>
    <w:uiPriority w:val="99"/>
    <w:semiHidden/>
    <w:rsid w:val="00ED78FC"/>
    <w:rPr>
      <w:b/>
      <w:bCs/>
      <w:sz w:val="20"/>
      <w:szCs w:val="20"/>
      <w:lang w:val="en-US"/>
    </w:rPr>
  </w:style>
  <w:style w:type="paragraph" w:styleId="BalloonText">
    <w:name w:val="Balloon Text"/>
    <w:basedOn w:val="Normal"/>
    <w:link w:val="BalloonTextChar"/>
    <w:uiPriority w:val="99"/>
    <w:semiHidden/>
    <w:unhideWhenUsed/>
    <w:rsid w:val="00ED7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8FC"/>
    <w:rPr>
      <w:rFonts w:ascii="Lucida Grande" w:hAnsi="Lucida Grande" w:cs="Lucida Grande"/>
      <w:sz w:val="18"/>
      <w:szCs w:val="18"/>
      <w:lang w:val="en-US"/>
    </w:rPr>
  </w:style>
  <w:style w:type="paragraph" w:styleId="NormalWeb">
    <w:name w:val="Normal (Web)"/>
    <w:basedOn w:val="Normal"/>
    <w:uiPriority w:val="99"/>
    <w:semiHidden/>
    <w:unhideWhenUsed/>
    <w:rsid w:val="00315359"/>
    <w:pPr>
      <w:spacing w:before="100" w:beforeAutospacing="1" w:after="100" w:afterAutospacing="1"/>
    </w:pPr>
    <w:rPr>
      <w:rFonts w:ascii="Times" w:hAnsi="Times"/>
      <w:sz w:val="20"/>
      <w:szCs w:val="20"/>
      <w:lang w:eastAsia="en-US"/>
    </w:rPr>
  </w:style>
  <w:style w:type="paragraph" w:customStyle="1" w:styleId="StyleArial11ptJustifiedLinespacing15lines">
    <w:name w:val="Style Arial 11 pt Justified Line spacing:  1.5 lines"/>
    <w:basedOn w:val="Normal"/>
    <w:rsid w:val="00033598"/>
    <w:pPr>
      <w:spacing w:before="120" w:line="360" w:lineRule="auto"/>
      <w:ind w:left="567"/>
      <w:jc w:val="both"/>
    </w:pPr>
    <w:rPr>
      <w:rFonts w:ascii="Arial" w:eastAsia="Times New Roman" w:hAnsi="Arial"/>
      <w:sz w:val="22"/>
      <w:szCs w:val="20"/>
      <w:lang w:val="en-AU" w:eastAsia="en-US"/>
    </w:rPr>
  </w:style>
  <w:style w:type="character" w:customStyle="1" w:styleId="Heading1Char">
    <w:name w:val="Heading 1 Char"/>
    <w:basedOn w:val="DefaultParagraphFont"/>
    <w:link w:val="Heading1"/>
    <w:uiPriority w:val="9"/>
    <w:rsid w:val="005B1A24"/>
    <w:rPr>
      <w:rFonts w:ascii="Times" w:hAnsi="Times"/>
      <w:b/>
      <w:bCs/>
      <w:kern w:val="36"/>
      <w:sz w:val="48"/>
      <w:szCs w:val="48"/>
      <w:lang w:eastAsia="en-US"/>
    </w:rPr>
  </w:style>
  <w:style w:type="character" w:styleId="Hyperlink">
    <w:name w:val="Hyperlink"/>
    <w:basedOn w:val="DefaultParagraphFont"/>
    <w:uiPriority w:val="99"/>
    <w:unhideWhenUsed/>
    <w:rsid w:val="005B1A24"/>
    <w:rPr>
      <w:color w:val="0000FF"/>
      <w:u w:val="single"/>
    </w:rPr>
  </w:style>
  <w:style w:type="character" w:customStyle="1" w:styleId="breadcrumbsubjects">
    <w:name w:val="breadcrumb_subjects"/>
    <w:basedOn w:val="DefaultParagraphFont"/>
    <w:rsid w:val="005B1A24"/>
  </w:style>
  <w:style w:type="character" w:customStyle="1" w:styleId="volume-value">
    <w:name w:val="volume-value"/>
    <w:basedOn w:val="DefaultParagraphFont"/>
    <w:rsid w:val="005B1A24"/>
  </w:style>
  <w:style w:type="character" w:customStyle="1" w:styleId="vol-issue-comma">
    <w:name w:val="vol-issue-comma"/>
    <w:basedOn w:val="DefaultParagraphFont"/>
    <w:rsid w:val="005B1A24"/>
  </w:style>
  <w:style w:type="character" w:customStyle="1" w:styleId="issue-value">
    <w:name w:val="issue-value"/>
    <w:basedOn w:val="DefaultParagraphFont"/>
    <w:rsid w:val="005B1A24"/>
  </w:style>
  <w:style w:type="character" w:customStyle="1" w:styleId="slug-pages">
    <w:name w:val="slug-pages"/>
    <w:basedOn w:val="DefaultParagraphFont"/>
    <w:rsid w:val="005B1A24"/>
  </w:style>
  <w:style w:type="character" w:customStyle="1" w:styleId="Heading2Char">
    <w:name w:val="Heading 2 Char"/>
    <w:basedOn w:val="DefaultParagraphFont"/>
    <w:link w:val="Heading2"/>
    <w:uiPriority w:val="9"/>
    <w:semiHidden/>
    <w:rsid w:val="005B1A24"/>
    <w:rPr>
      <w:rFonts w:asciiTheme="majorHAnsi" w:eastAsiaTheme="majorEastAsia" w:hAnsiTheme="majorHAnsi" w:cstheme="majorBidi"/>
      <w:b/>
      <w:bCs/>
      <w:color w:val="4F81BD" w:themeColor="accent1"/>
      <w:sz w:val="26"/>
      <w:szCs w:val="26"/>
      <w:lang w:val="en-US"/>
    </w:rPr>
  </w:style>
  <w:style w:type="character" w:customStyle="1" w:styleId="highwire-cite-doi">
    <w:name w:val="highwire-cite-doi"/>
    <w:basedOn w:val="DefaultParagraphFont"/>
    <w:rsid w:val="005B1A24"/>
  </w:style>
  <w:style w:type="character" w:customStyle="1" w:styleId="highwire-cite-elocation">
    <w:name w:val="highwire-cite-elocation"/>
    <w:basedOn w:val="DefaultParagraphFont"/>
    <w:rsid w:val="005B1A24"/>
  </w:style>
  <w:style w:type="character" w:customStyle="1" w:styleId="highwire-cite-fpub">
    <w:name w:val="highwire-cite-fpub"/>
    <w:basedOn w:val="DefaultParagraphFont"/>
    <w:rsid w:val="005B1A24"/>
  </w:style>
  <w:style w:type="paragraph" w:styleId="Revision">
    <w:name w:val="Revision"/>
    <w:hidden/>
    <w:uiPriority w:val="99"/>
    <w:semiHidden/>
    <w:rsid w:val="00532949"/>
    <w:rPr>
      <w:lang w:val="en-US"/>
    </w:rPr>
  </w:style>
  <w:style w:type="paragraph" w:customStyle="1" w:styleId="EndNoteBibliographyTitle">
    <w:name w:val="EndNote Bibliography Title"/>
    <w:basedOn w:val="Normal"/>
    <w:link w:val="EndNoteBibliographyTitleChar"/>
    <w:rsid w:val="0031152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11529"/>
    <w:rPr>
      <w:rFonts w:ascii="Cambria" w:hAnsi="Cambria" w:cs="Times New Roman"/>
      <w:noProof/>
      <w:lang w:val="en-GB" w:eastAsia="en-GB"/>
    </w:rPr>
  </w:style>
  <w:style w:type="paragraph" w:customStyle="1" w:styleId="EndNoteBibliography">
    <w:name w:val="EndNote Bibliography"/>
    <w:basedOn w:val="Normal"/>
    <w:link w:val="EndNoteBibliographyChar"/>
    <w:rsid w:val="00311529"/>
    <w:pPr>
      <w:jc w:val="both"/>
    </w:pPr>
    <w:rPr>
      <w:rFonts w:ascii="Cambria" w:hAnsi="Cambria"/>
      <w:noProof/>
    </w:rPr>
  </w:style>
  <w:style w:type="character" w:customStyle="1" w:styleId="EndNoteBibliographyChar">
    <w:name w:val="EndNote Bibliography Char"/>
    <w:basedOn w:val="DefaultParagraphFont"/>
    <w:link w:val="EndNoteBibliography"/>
    <w:rsid w:val="00311529"/>
    <w:rPr>
      <w:rFonts w:ascii="Cambria" w:hAnsi="Cambria" w:cs="Times New Roman"/>
      <w:noProof/>
      <w:lang w:val="en-GB" w:eastAsia="en-GB"/>
    </w:rPr>
  </w:style>
  <w:style w:type="paragraph" w:styleId="Header">
    <w:name w:val="header"/>
    <w:basedOn w:val="Normal"/>
    <w:link w:val="HeaderChar"/>
    <w:uiPriority w:val="99"/>
    <w:unhideWhenUsed/>
    <w:rsid w:val="00AD31DB"/>
    <w:pPr>
      <w:tabs>
        <w:tab w:val="center" w:pos="4513"/>
        <w:tab w:val="right" w:pos="9026"/>
      </w:tabs>
    </w:pPr>
  </w:style>
  <w:style w:type="character" w:customStyle="1" w:styleId="HeaderChar">
    <w:name w:val="Header Char"/>
    <w:basedOn w:val="DefaultParagraphFont"/>
    <w:link w:val="Header"/>
    <w:uiPriority w:val="99"/>
    <w:rsid w:val="00AD31DB"/>
    <w:rPr>
      <w:rFonts w:ascii="Times New Roman" w:hAnsi="Times New Roman" w:cs="Times New Roman"/>
      <w:lang w:val="en-GB" w:eastAsia="en-GB"/>
    </w:rPr>
  </w:style>
  <w:style w:type="paragraph" w:styleId="Footer">
    <w:name w:val="footer"/>
    <w:basedOn w:val="Normal"/>
    <w:link w:val="FooterChar"/>
    <w:uiPriority w:val="99"/>
    <w:unhideWhenUsed/>
    <w:rsid w:val="00AD31DB"/>
    <w:pPr>
      <w:tabs>
        <w:tab w:val="center" w:pos="4513"/>
        <w:tab w:val="right" w:pos="9026"/>
      </w:tabs>
    </w:pPr>
  </w:style>
  <w:style w:type="character" w:customStyle="1" w:styleId="FooterChar">
    <w:name w:val="Footer Char"/>
    <w:basedOn w:val="DefaultParagraphFont"/>
    <w:link w:val="Footer"/>
    <w:uiPriority w:val="99"/>
    <w:rsid w:val="00AD31DB"/>
    <w:rPr>
      <w:rFonts w:ascii="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3"/>
    <w:rPr>
      <w:rFonts w:ascii="Times New Roman" w:hAnsi="Times New Roman" w:cs="Times New Roman"/>
      <w:lang w:val="en-GB" w:eastAsia="en-GB"/>
    </w:rPr>
  </w:style>
  <w:style w:type="paragraph" w:styleId="Heading1">
    <w:name w:val="heading 1"/>
    <w:basedOn w:val="Normal"/>
    <w:link w:val="Heading1Char"/>
    <w:uiPriority w:val="9"/>
    <w:qFormat/>
    <w:rsid w:val="005B1A24"/>
    <w:pPr>
      <w:spacing w:before="100" w:beforeAutospacing="1" w:after="100" w:afterAutospacing="1"/>
      <w:outlineLvl w:val="0"/>
    </w:pPr>
    <w:rPr>
      <w:rFonts w:ascii="Times" w:hAnsi="Times"/>
      <w:b/>
      <w:bCs/>
      <w:kern w:val="36"/>
      <w:sz w:val="48"/>
      <w:szCs w:val="48"/>
      <w:lang w:val="en-AU" w:eastAsia="en-US"/>
    </w:rPr>
  </w:style>
  <w:style w:type="paragraph" w:styleId="Heading2">
    <w:name w:val="heading 2"/>
    <w:basedOn w:val="Normal"/>
    <w:next w:val="Normal"/>
    <w:link w:val="Heading2Char"/>
    <w:uiPriority w:val="9"/>
    <w:semiHidden/>
    <w:unhideWhenUsed/>
    <w:qFormat/>
    <w:rsid w:val="005B1A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68"/>
    <w:pPr>
      <w:ind w:left="720"/>
      <w:contextualSpacing/>
    </w:pPr>
  </w:style>
  <w:style w:type="character" w:styleId="CommentReference">
    <w:name w:val="annotation reference"/>
    <w:basedOn w:val="DefaultParagraphFont"/>
    <w:uiPriority w:val="99"/>
    <w:semiHidden/>
    <w:unhideWhenUsed/>
    <w:rsid w:val="00ED78FC"/>
    <w:rPr>
      <w:sz w:val="18"/>
      <w:szCs w:val="18"/>
    </w:rPr>
  </w:style>
  <w:style w:type="paragraph" w:styleId="CommentText">
    <w:name w:val="annotation text"/>
    <w:basedOn w:val="Normal"/>
    <w:link w:val="CommentTextChar"/>
    <w:uiPriority w:val="99"/>
    <w:semiHidden/>
    <w:unhideWhenUsed/>
    <w:rsid w:val="00ED78FC"/>
  </w:style>
  <w:style w:type="character" w:customStyle="1" w:styleId="CommentTextChar">
    <w:name w:val="Comment Text Char"/>
    <w:basedOn w:val="DefaultParagraphFont"/>
    <w:link w:val="CommentText"/>
    <w:uiPriority w:val="99"/>
    <w:semiHidden/>
    <w:rsid w:val="00ED78FC"/>
    <w:rPr>
      <w:lang w:val="en-US"/>
    </w:rPr>
  </w:style>
  <w:style w:type="paragraph" w:styleId="CommentSubject">
    <w:name w:val="annotation subject"/>
    <w:basedOn w:val="CommentText"/>
    <w:next w:val="CommentText"/>
    <w:link w:val="CommentSubjectChar"/>
    <w:uiPriority w:val="99"/>
    <w:semiHidden/>
    <w:unhideWhenUsed/>
    <w:rsid w:val="00ED78FC"/>
    <w:rPr>
      <w:b/>
      <w:bCs/>
      <w:sz w:val="20"/>
      <w:szCs w:val="20"/>
    </w:rPr>
  </w:style>
  <w:style w:type="character" w:customStyle="1" w:styleId="CommentSubjectChar">
    <w:name w:val="Comment Subject Char"/>
    <w:basedOn w:val="CommentTextChar"/>
    <w:link w:val="CommentSubject"/>
    <w:uiPriority w:val="99"/>
    <w:semiHidden/>
    <w:rsid w:val="00ED78FC"/>
    <w:rPr>
      <w:b/>
      <w:bCs/>
      <w:sz w:val="20"/>
      <w:szCs w:val="20"/>
      <w:lang w:val="en-US"/>
    </w:rPr>
  </w:style>
  <w:style w:type="paragraph" w:styleId="BalloonText">
    <w:name w:val="Balloon Text"/>
    <w:basedOn w:val="Normal"/>
    <w:link w:val="BalloonTextChar"/>
    <w:uiPriority w:val="99"/>
    <w:semiHidden/>
    <w:unhideWhenUsed/>
    <w:rsid w:val="00ED7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8FC"/>
    <w:rPr>
      <w:rFonts w:ascii="Lucida Grande" w:hAnsi="Lucida Grande" w:cs="Lucida Grande"/>
      <w:sz w:val="18"/>
      <w:szCs w:val="18"/>
      <w:lang w:val="en-US"/>
    </w:rPr>
  </w:style>
  <w:style w:type="paragraph" w:styleId="NormalWeb">
    <w:name w:val="Normal (Web)"/>
    <w:basedOn w:val="Normal"/>
    <w:uiPriority w:val="99"/>
    <w:semiHidden/>
    <w:unhideWhenUsed/>
    <w:rsid w:val="00315359"/>
    <w:pPr>
      <w:spacing w:before="100" w:beforeAutospacing="1" w:after="100" w:afterAutospacing="1"/>
    </w:pPr>
    <w:rPr>
      <w:rFonts w:ascii="Times" w:hAnsi="Times"/>
      <w:sz w:val="20"/>
      <w:szCs w:val="20"/>
      <w:lang w:eastAsia="en-US"/>
    </w:rPr>
  </w:style>
  <w:style w:type="paragraph" w:customStyle="1" w:styleId="StyleArial11ptJustifiedLinespacing15lines">
    <w:name w:val="Style Arial 11 pt Justified Line spacing:  1.5 lines"/>
    <w:basedOn w:val="Normal"/>
    <w:rsid w:val="00033598"/>
    <w:pPr>
      <w:spacing w:before="120" w:line="360" w:lineRule="auto"/>
      <w:ind w:left="567"/>
      <w:jc w:val="both"/>
    </w:pPr>
    <w:rPr>
      <w:rFonts w:ascii="Arial" w:eastAsia="Times New Roman" w:hAnsi="Arial"/>
      <w:sz w:val="22"/>
      <w:szCs w:val="20"/>
      <w:lang w:val="en-AU" w:eastAsia="en-US"/>
    </w:rPr>
  </w:style>
  <w:style w:type="character" w:customStyle="1" w:styleId="Heading1Char">
    <w:name w:val="Heading 1 Char"/>
    <w:basedOn w:val="DefaultParagraphFont"/>
    <w:link w:val="Heading1"/>
    <w:uiPriority w:val="9"/>
    <w:rsid w:val="005B1A24"/>
    <w:rPr>
      <w:rFonts w:ascii="Times" w:hAnsi="Times"/>
      <w:b/>
      <w:bCs/>
      <w:kern w:val="36"/>
      <w:sz w:val="48"/>
      <w:szCs w:val="48"/>
      <w:lang w:eastAsia="en-US"/>
    </w:rPr>
  </w:style>
  <w:style w:type="character" w:styleId="Hyperlink">
    <w:name w:val="Hyperlink"/>
    <w:basedOn w:val="DefaultParagraphFont"/>
    <w:uiPriority w:val="99"/>
    <w:unhideWhenUsed/>
    <w:rsid w:val="005B1A24"/>
    <w:rPr>
      <w:color w:val="0000FF"/>
      <w:u w:val="single"/>
    </w:rPr>
  </w:style>
  <w:style w:type="character" w:customStyle="1" w:styleId="breadcrumbsubjects">
    <w:name w:val="breadcrumb_subjects"/>
    <w:basedOn w:val="DefaultParagraphFont"/>
    <w:rsid w:val="005B1A24"/>
  </w:style>
  <w:style w:type="character" w:customStyle="1" w:styleId="volume-value">
    <w:name w:val="volume-value"/>
    <w:basedOn w:val="DefaultParagraphFont"/>
    <w:rsid w:val="005B1A24"/>
  </w:style>
  <w:style w:type="character" w:customStyle="1" w:styleId="vol-issue-comma">
    <w:name w:val="vol-issue-comma"/>
    <w:basedOn w:val="DefaultParagraphFont"/>
    <w:rsid w:val="005B1A24"/>
  </w:style>
  <w:style w:type="character" w:customStyle="1" w:styleId="issue-value">
    <w:name w:val="issue-value"/>
    <w:basedOn w:val="DefaultParagraphFont"/>
    <w:rsid w:val="005B1A24"/>
  </w:style>
  <w:style w:type="character" w:customStyle="1" w:styleId="slug-pages">
    <w:name w:val="slug-pages"/>
    <w:basedOn w:val="DefaultParagraphFont"/>
    <w:rsid w:val="005B1A24"/>
  </w:style>
  <w:style w:type="character" w:customStyle="1" w:styleId="Heading2Char">
    <w:name w:val="Heading 2 Char"/>
    <w:basedOn w:val="DefaultParagraphFont"/>
    <w:link w:val="Heading2"/>
    <w:uiPriority w:val="9"/>
    <w:semiHidden/>
    <w:rsid w:val="005B1A24"/>
    <w:rPr>
      <w:rFonts w:asciiTheme="majorHAnsi" w:eastAsiaTheme="majorEastAsia" w:hAnsiTheme="majorHAnsi" w:cstheme="majorBidi"/>
      <w:b/>
      <w:bCs/>
      <w:color w:val="4F81BD" w:themeColor="accent1"/>
      <w:sz w:val="26"/>
      <w:szCs w:val="26"/>
      <w:lang w:val="en-US"/>
    </w:rPr>
  </w:style>
  <w:style w:type="character" w:customStyle="1" w:styleId="highwire-cite-doi">
    <w:name w:val="highwire-cite-doi"/>
    <w:basedOn w:val="DefaultParagraphFont"/>
    <w:rsid w:val="005B1A24"/>
  </w:style>
  <w:style w:type="character" w:customStyle="1" w:styleId="highwire-cite-elocation">
    <w:name w:val="highwire-cite-elocation"/>
    <w:basedOn w:val="DefaultParagraphFont"/>
    <w:rsid w:val="005B1A24"/>
  </w:style>
  <w:style w:type="character" w:customStyle="1" w:styleId="highwire-cite-fpub">
    <w:name w:val="highwire-cite-fpub"/>
    <w:basedOn w:val="DefaultParagraphFont"/>
    <w:rsid w:val="005B1A24"/>
  </w:style>
  <w:style w:type="paragraph" w:styleId="Revision">
    <w:name w:val="Revision"/>
    <w:hidden/>
    <w:uiPriority w:val="99"/>
    <w:semiHidden/>
    <w:rsid w:val="00532949"/>
    <w:rPr>
      <w:lang w:val="en-US"/>
    </w:rPr>
  </w:style>
  <w:style w:type="paragraph" w:customStyle="1" w:styleId="EndNoteBibliographyTitle">
    <w:name w:val="EndNote Bibliography Title"/>
    <w:basedOn w:val="Normal"/>
    <w:link w:val="EndNoteBibliographyTitleChar"/>
    <w:rsid w:val="0031152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11529"/>
    <w:rPr>
      <w:rFonts w:ascii="Cambria" w:hAnsi="Cambria" w:cs="Times New Roman"/>
      <w:noProof/>
      <w:lang w:val="en-GB" w:eastAsia="en-GB"/>
    </w:rPr>
  </w:style>
  <w:style w:type="paragraph" w:customStyle="1" w:styleId="EndNoteBibliography">
    <w:name w:val="EndNote Bibliography"/>
    <w:basedOn w:val="Normal"/>
    <w:link w:val="EndNoteBibliographyChar"/>
    <w:rsid w:val="00311529"/>
    <w:pPr>
      <w:jc w:val="both"/>
    </w:pPr>
    <w:rPr>
      <w:rFonts w:ascii="Cambria" w:hAnsi="Cambria"/>
      <w:noProof/>
    </w:rPr>
  </w:style>
  <w:style w:type="character" w:customStyle="1" w:styleId="EndNoteBibliographyChar">
    <w:name w:val="EndNote Bibliography Char"/>
    <w:basedOn w:val="DefaultParagraphFont"/>
    <w:link w:val="EndNoteBibliography"/>
    <w:rsid w:val="00311529"/>
    <w:rPr>
      <w:rFonts w:ascii="Cambria" w:hAnsi="Cambria" w:cs="Times New Roman"/>
      <w:noProof/>
      <w:lang w:val="en-GB" w:eastAsia="en-GB"/>
    </w:rPr>
  </w:style>
  <w:style w:type="paragraph" w:styleId="Header">
    <w:name w:val="header"/>
    <w:basedOn w:val="Normal"/>
    <w:link w:val="HeaderChar"/>
    <w:uiPriority w:val="99"/>
    <w:unhideWhenUsed/>
    <w:rsid w:val="00AD31DB"/>
    <w:pPr>
      <w:tabs>
        <w:tab w:val="center" w:pos="4513"/>
        <w:tab w:val="right" w:pos="9026"/>
      </w:tabs>
    </w:pPr>
  </w:style>
  <w:style w:type="character" w:customStyle="1" w:styleId="HeaderChar">
    <w:name w:val="Header Char"/>
    <w:basedOn w:val="DefaultParagraphFont"/>
    <w:link w:val="Header"/>
    <w:uiPriority w:val="99"/>
    <w:rsid w:val="00AD31DB"/>
    <w:rPr>
      <w:rFonts w:ascii="Times New Roman" w:hAnsi="Times New Roman" w:cs="Times New Roman"/>
      <w:lang w:val="en-GB" w:eastAsia="en-GB"/>
    </w:rPr>
  </w:style>
  <w:style w:type="paragraph" w:styleId="Footer">
    <w:name w:val="footer"/>
    <w:basedOn w:val="Normal"/>
    <w:link w:val="FooterChar"/>
    <w:uiPriority w:val="99"/>
    <w:unhideWhenUsed/>
    <w:rsid w:val="00AD31DB"/>
    <w:pPr>
      <w:tabs>
        <w:tab w:val="center" w:pos="4513"/>
        <w:tab w:val="right" w:pos="9026"/>
      </w:tabs>
    </w:pPr>
  </w:style>
  <w:style w:type="character" w:customStyle="1" w:styleId="FooterChar">
    <w:name w:val="Footer Char"/>
    <w:basedOn w:val="DefaultParagraphFont"/>
    <w:link w:val="Footer"/>
    <w:uiPriority w:val="99"/>
    <w:rsid w:val="00AD31DB"/>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955">
      <w:bodyDiv w:val="1"/>
      <w:marLeft w:val="0"/>
      <w:marRight w:val="0"/>
      <w:marTop w:val="0"/>
      <w:marBottom w:val="0"/>
      <w:divBdr>
        <w:top w:val="none" w:sz="0" w:space="0" w:color="auto"/>
        <w:left w:val="none" w:sz="0" w:space="0" w:color="auto"/>
        <w:bottom w:val="none" w:sz="0" w:space="0" w:color="auto"/>
        <w:right w:val="none" w:sz="0" w:space="0" w:color="auto"/>
      </w:divBdr>
      <w:divsChild>
        <w:div w:id="50273005">
          <w:marLeft w:val="1166"/>
          <w:marRight w:val="0"/>
          <w:marTop w:val="62"/>
          <w:marBottom w:val="0"/>
          <w:divBdr>
            <w:top w:val="none" w:sz="0" w:space="0" w:color="auto"/>
            <w:left w:val="none" w:sz="0" w:space="0" w:color="auto"/>
            <w:bottom w:val="none" w:sz="0" w:space="0" w:color="auto"/>
            <w:right w:val="none" w:sz="0" w:space="0" w:color="auto"/>
          </w:divBdr>
        </w:div>
        <w:div w:id="229342324">
          <w:marLeft w:val="1166"/>
          <w:marRight w:val="0"/>
          <w:marTop w:val="62"/>
          <w:marBottom w:val="0"/>
          <w:divBdr>
            <w:top w:val="none" w:sz="0" w:space="0" w:color="auto"/>
            <w:left w:val="none" w:sz="0" w:space="0" w:color="auto"/>
            <w:bottom w:val="none" w:sz="0" w:space="0" w:color="auto"/>
            <w:right w:val="none" w:sz="0" w:space="0" w:color="auto"/>
          </w:divBdr>
        </w:div>
        <w:div w:id="259144237">
          <w:marLeft w:val="547"/>
          <w:marRight w:val="0"/>
          <w:marTop w:val="82"/>
          <w:marBottom w:val="0"/>
          <w:divBdr>
            <w:top w:val="none" w:sz="0" w:space="0" w:color="auto"/>
            <w:left w:val="none" w:sz="0" w:space="0" w:color="auto"/>
            <w:bottom w:val="none" w:sz="0" w:space="0" w:color="auto"/>
            <w:right w:val="none" w:sz="0" w:space="0" w:color="auto"/>
          </w:divBdr>
        </w:div>
        <w:div w:id="540941670">
          <w:marLeft w:val="1166"/>
          <w:marRight w:val="0"/>
          <w:marTop w:val="62"/>
          <w:marBottom w:val="0"/>
          <w:divBdr>
            <w:top w:val="none" w:sz="0" w:space="0" w:color="auto"/>
            <w:left w:val="none" w:sz="0" w:space="0" w:color="auto"/>
            <w:bottom w:val="none" w:sz="0" w:space="0" w:color="auto"/>
            <w:right w:val="none" w:sz="0" w:space="0" w:color="auto"/>
          </w:divBdr>
        </w:div>
        <w:div w:id="573708966">
          <w:marLeft w:val="1166"/>
          <w:marRight w:val="0"/>
          <w:marTop w:val="62"/>
          <w:marBottom w:val="0"/>
          <w:divBdr>
            <w:top w:val="none" w:sz="0" w:space="0" w:color="auto"/>
            <w:left w:val="none" w:sz="0" w:space="0" w:color="auto"/>
            <w:bottom w:val="none" w:sz="0" w:space="0" w:color="auto"/>
            <w:right w:val="none" w:sz="0" w:space="0" w:color="auto"/>
          </w:divBdr>
        </w:div>
        <w:div w:id="823473569">
          <w:marLeft w:val="1166"/>
          <w:marRight w:val="0"/>
          <w:marTop w:val="62"/>
          <w:marBottom w:val="0"/>
          <w:divBdr>
            <w:top w:val="none" w:sz="0" w:space="0" w:color="auto"/>
            <w:left w:val="none" w:sz="0" w:space="0" w:color="auto"/>
            <w:bottom w:val="none" w:sz="0" w:space="0" w:color="auto"/>
            <w:right w:val="none" w:sz="0" w:space="0" w:color="auto"/>
          </w:divBdr>
        </w:div>
        <w:div w:id="878274176">
          <w:marLeft w:val="1166"/>
          <w:marRight w:val="0"/>
          <w:marTop w:val="62"/>
          <w:marBottom w:val="0"/>
          <w:divBdr>
            <w:top w:val="none" w:sz="0" w:space="0" w:color="auto"/>
            <w:left w:val="none" w:sz="0" w:space="0" w:color="auto"/>
            <w:bottom w:val="none" w:sz="0" w:space="0" w:color="auto"/>
            <w:right w:val="none" w:sz="0" w:space="0" w:color="auto"/>
          </w:divBdr>
        </w:div>
        <w:div w:id="898440812">
          <w:marLeft w:val="547"/>
          <w:marRight w:val="0"/>
          <w:marTop w:val="82"/>
          <w:marBottom w:val="0"/>
          <w:divBdr>
            <w:top w:val="none" w:sz="0" w:space="0" w:color="auto"/>
            <w:left w:val="none" w:sz="0" w:space="0" w:color="auto"/>
            <w:bottom w:val="none" w:sz="0" w:space="0" w:color="auto"/>
            <w:right w:val="none" w:sz="0" w:space="0" w:color="auto"/>
          </w:divBdr>
        </w:div>
        <w:div w:id="924459732">
          <w:marLeft w:val="1166"/>
          <w:marRight w:val="0"/>
          <w:marTop w:val="62"/>
          <w:marBottom w:val="0"/>
          <w:divBdr>
            <w:top w:val="none" w:sz="0" w:space="0" w:color="auto"/>
            <w:left w:val="none" w:sz="0" w:space="0" w:color="auto"/>
            <w:bottom w:val="none" w:sz="0" w:space="0" w:color="auto"/>
            <w:right w:val="none" w:sz="0" w:space="0" w:color="auto"/>
          </w:divBdr>
        </w:div>
        <w:div w:id="1333416604">
          <w:marLeft w:val="1166"/>
          <w:marRight w:val="0"/>
          <w:marTop w:val="62"/>
          <w:marBottom w:val="0"/>
          <w:divBdr>
            <w:top w:val="none" w:sz="0" w:space="0" w:color="auto"/>
            <w:left w:val="none" w:sz="0" w:space="0" w:color="auto"/>
            <w:bottom w:val="none" w:sz="0" w:space="0" w:color="auto"/>
            <w:right w:val="none" w:sz="0" w:space="0" w:color="auto"/>
          </w:divBdr>
        </w:div>
        <w:div w:id="1613901320">
          <w:marLeft w:val="1166"/>
          <w:marRight w:val="0"/>
          <w:marTop w:val="62"/>
          <w:marBottom w:val="0"/>
          <w:divBdr>
            <w:top w:val="none" w:sz="0" w:space="0" w:color="auto"/>
            <w:left w:val="none" w:sz="0" w:space="0" w:color="auto"/>
            <w:bottom w:val="none" w:sz="0" w:space="0" w:color="auto"/>
            <w:right w:val="none" w:sz="0" w:space="0" w:color="auto"/>
          </w:divBdr>
        </w:div>
        <w:div w:id="1638795651">
          <w:marLeft w:val="1166"/>
          <w:marRight w:val="0"/>
          <w:marTop w:val="62"/>
          <w:marBottom w:val="0"/>
          <w:divBdr>
            <w:top w:val="none" w:sz="0" w:space="0" w:color="auto"/>
            <w:left w:val="none" w:sz="0" w:space="0" w:color="auto"/>
            <w:bottom w:val="none" w:sz="0" w:space="0" w:color="auto"/>
            <w:right w:val="none" w:sz="0" w:space="0" w:color="auto"/>
          </w:divBdr>
        </w:div>
        <w:div w:id="1687905220">
          <w:marLeft w:val="1166"/>
          <w:marRight w:val="0"/>
          <w:marTop w:val="62"/>
          <w:marBottom w:val="0"/>
          <w:divBdr>
            <w:top w:val="none" w:sz="0" w:space="0" w:color="auto"/>
            <w:left w:val="none" w:sz="0" w:space="0" w:color="auto"/>
            <w:bottom w:val="none" w:sz="0" w:space="0" w:color="auto"/>
            <w:right w:val="none" w:sz="0" w:space="0" w:color="auto"/>
          </w:divBdr>
        </w:div>
        <w:div w:id="1981306473">
          <w:marLeft w:val="1166"/>
          <w:marRight w:val="0"/>
          <w:marTop w:val="62"/>
          <w:marBottom w:val="0"/>
          <w:divBdr>
            <w:top w:val="none" w:sz="0" w:space="0" w:color="auto"/>
            <w:left w:val="none" w:sz="0" w:space="0" w:color="auto"/>
            <w:bottom w:val="none" w:sz="0" w:space="0" w:color="auto"/>
            <w:right w:val="none" w:sz="0" w:space="0" w:color="auto"/>
          </w:divBdr>
        </w:div>
        <w:div w:id="2081172198">
          <w:marLeft w:val="547"/>
          <w:marRight w:val="0"/>
          <w:marTop w:val="96"/>
          <w:marBottom w:val="0"/>
          <w:divBdr>
            <w:top w:val="none" w:sz="0" w:space="0" w:color="auto"/>
            <w:left w:val="none" w:sz="0" w:space="0" w:color="auto"/>
            <w:bottom w:val="none" w:sz="0" w:space="0" w:color="auto"/>
            <w:right w:val="none" w:sz="0" w:space="0" w:color="auto"/>
          </w:divBdr>
        </w:div>
        <w:div w:id="2129812735">
          <w:marLeft w:val="1166"/>
          <w:marRight w:val="0"/>
          <w:marTop w:val="62"/>
          <w:marBottom w:val="0"/>
          <w:divBdr>
            <w:top w:val="none" w:sz="0" w:space="0" w:color="auto"/>
            <w:left w:val="none" w:sz="0" w:space="0" w:color="auto"/>
            <w:bottom w:val="none" w:sz="0" w:space="0" w:color="auto"/>
            <w:right w:val="none" w:sz="0" w:space="0" w:color="auto"/>
          </w:divBdr>
        </w:div>
      </w:divsChild>
    </w:div>
    <w:div w:id="162597548">
      <w:bodyDiv w:val="1"/>
      <w:marLeft w:val="0"/>
      <w:marRight w:val="0"/>
      <w:marTop w:val="0"/>
      <w:marBottom w:val="0"/>
      <w:divBdr>
        <w:top w:val="none" w:sz="0" w:space="0" w:color="auto"/>
        <w:left w:val="none" w:sz="0" w:space="0" w:color="auto"/>
        <w:bottom w:val="none" w:sz="0" w:space="0" w:color="auto"/>
        <w:right w:val="none" w:sz="0" w:space="0" w:color="auto"/>
      </w:divBdr>
    </w:div>
    <w:div w:id="186605930">
      <w:bodyDiv w:val="1"/>
      <w:marLeft w:val="0"/>
      <w:marRight w:val="0"/>
      <w:marTop w:val="0"/>
      <w:marBottom w:val="0"/>
      <w:divBdr>
        <w:top w:val="none" w:sz="0" w:space="0" w:color="auto"/>
        <w:left w:val="none" w:sz="0" w:space="0" w:color="auto"/>
        <w:bottom w:val="none" w:sz="0" w:space="0" w:color="auto"/>
        <w:right w:val="none" w:sz="0" w:space="0" w:color="auto"/>
      </w:divBdr>
      <w:divsChild>
        <w:div w:id="653066764">
          <w:marLeft w:val="1166"/>
          <w:marRight w:val="0"/>
          <w:marTop w:val="840"/>
          <w:marBottom w:val="0"/>
          <w:divBdr>
            <w:top w:val="none" w:sz="0" w:space="0" w:color="auto"/>
            <w:left w:val="none" w:sz="0" w:space="0" w:color="auto"/>
            <w:bottom w:val="none" w:sz="0" w:space="0" w:color="auto"/>
            <w:right w:val="none" w:sz="0" w:space="0" w:color="auto"/>
          </w:divBdr>
        </w:div>
        <w:div w:id="1383676692">
          <w:marLeft w:val="1166"/>
          <w:marRight w:val="0"/>
          <w:marTop w:val="840"/>
          <w:marBottom w:val="0"/>
          <w:divBdr>
            <w:top w:val="none" w:sz="0" w:space="0" w:color="auto"/>
            <w:left w:val="none" w:sz="0" w:space="0" w:color="auto"/>
            <w:bottom w:val="none" w:sz="0" w:space="0" w:color="auto"/>
            <w:right w:val="none" w:sz="0" w:space="0" w:color="auto"/>
          </w:divBdr>
        </w:div>
        <w:div w:id="1543057181">
          <w:marLeft w:val="1166"/>
          <w:marRight w:val="0"/>
          <w:marTop w:val="840"/>
          <w:marBottom w:val="0"/>
          <w:divBdr>
            <w:top w:val="none" w:sz="0" w:space="0" w:color="auto"/>
            <w:left w:val="none" w:sz="0" w:space="0" w:color="auto"/>
            <w:bottom w:val="none" w:sz="0" w:space="0" w:color="auto"/>
            <w:right w:val="none" w:sz="0" w:space="0" w:color="auto"/>
          </w:divBdr>
        </w:div>
        <w:div w:id="2128311031">
          <w:marLeft w:val="1166"/>
          <w:marRight w:val="0"/>
          <w:marTop w:val="840"/>
          <w:marBottom w:val="0"/>
          <w:divBdr>
            <w:top w:val="none" w:sz="0" w:space="0" w:color="auto"/>
            <w:left w:val="none" w:sz="0" w:space="0" w:color="auto"/>
            <w:bottom w:val="none" w:sz="0" w:space="0" w:color="auto"/>
            <w:right w:val="none" w:sz="0" w:space="0" w:color="auto"/>
          </w:divBdr>
        </w:div>
      </w:divsChild>
    </w:div>
    <w:div w:id="196242158">
      <w:bodyDiv w:val="1"/>
      <w:marLeft w:val="0"/>
      <w:marRight w:val="0"/>
      <w:marTop w:val="0"/>
      <w:marBottom w:val="0"/>
      <w:divBdr>
        <w:top w:val="none" w:sz="0" w:space="0" w:color="auto"/>
        <w:left w:val="none" w:sz="0" w:space="0" w:color="auto"/>
        <w:bottom w:val="none" w:sz="0" w:space="0" w:color="auto"/>
        <w:right w:val="none" w:sz="0" w:space="0" w:color="auto"/>
      </w:divBdr>
    </w:div>
    <w:div w:id="235476002">
      <w:bodyDiv w:val="1"/>
      <w:marLeft w:val="0"/>
      <w:marRight w:val="0"/>
      <w:marTop w:val="0"/>
      <w:marBottom w:val="0"/>
      <w:divBdr>
        <w:top w:val="none" w:sz="0" w:space="0" w:color="auto"/>
        <w:left w:val="none" w:sz="0" w:space="0" w:color="auto"/>
        <w:bottom w:val="none" w:sz="0" w:space="0" w:color="auto"/>
        <w:right w:val="none" w:sz="0" w:space="0" w:color="auto"/>
      </w:divBdr>
    </w:div>
    <w:div w:id="247546387">
      <w:bodyDiv w:val="1"/>
      <w:marLeft w:val="0"/>
      <w:marRight w:val="0"/>
      <w:marTop w:val="0"/>
      <w:marBottom w:val="0"/>
      <w:divBdr>
        <w:top w:val="none" w:sz="0" w:space="0" w:color="auto"/>
        <w:left w:val="none" w:sz="0" w:space="0" w:color="auto"/>
        <w:bottom w:val="none" w:sz="0" w:space="0" w:color="auto"/>
        <w:right w:val="none" w:sz="0" w:space="0" w:color="auto"/>
      </w:divBdr>
    </w:div>
    <w:div w:id="296379162">
      <w:bodyDiv w:val="1"/>
      <w:marLeft w:val="0"/>
      <w:marRight w:val="0"/>
      <w:marTop w:val="0"/>
      <w:marBottom w:val="0"/>
      <w:divBdr>
        <w:top w:val="none" w:sz="0" w:space="0" w:color="auto"/>
        <w:left w:val="none" w:sz="0" w:space="0" w:color="auto"/>
        <w:bottom w:val="none" w:sz="0" w:space="0" w:color="auto"/>
        <w:right w:val="none" w:sz="0" w:space="0" w:color="auto"/>
      </w:divBdr>
    </w:div>
    <w:div w:id="306470313">
      <w:bodyDiv w:val="1"/>
      <w:marLeft w:val="0"/>
      <w:marRight w:val="0"/>
      <w:marTop w:val="0"/>
      <w:marBottom w:val="0"/>
      <w:divBdr>
        <w:top w:val="none" w:sz="0" w:space="0" w:color="auto"/>
        <w:left w:val="none" w:sz="0" w:space="0" w:color="auto"/>
        <w:bottom w:val="none" w:sz="0" w:space="0" w:color="auto"/>
        <w:right w:val="none" w:sz="0" w:space="0" w:color="auto"/>
      </w:divBdr>
    </w:div>
    <w:div w:id="345448188">
      <w:bodyDiv w:val="1"/>
      <w:marLeft w:val="0"/>
      <w:marRight w:val="0"/>
      <w:marTop w:val="0"/>
      <w:marBottom w:val="0"/>
      <w:divBdr>
        <w:top w:val="none" w:sz="0" w:space="0" w:color="auto"/>
        <w:left w:val="none" w:sz="0" w:space="0" w:color="auto"/>
        <w:bottom w:val="none" w:sz="0" w:space="0" w:color="auto"/>
        <w:right w:val="none" w:sz="0" w:space="0" w:color="auto"/>
      </w:divBdr>
    </w:div>
    <w:div w:id="425809977">
      <w:bodyDiv w:val="1"/>
      <w:marLeft w:val="0"/>
      <w:marRight w:val="0"/>
      <w:marTop w:val="0"/>
      <w:marBottom w:val="0"/>
      <w:divBdr>
        <w:top w:val="none" w:sz="0" w:space="0" w:color="auto"/>
        <w:left w:val="none" w:sz="0" w:space="0" w:color="auto"/>
        <w:bottom w:val="none" w:sz="0" w:space="0" w:color="auto"/>
        <w:right w:val="none" w:sz="0" w:space="0" w:color="auto"/>
      </w:divBdr>
    </w:div>
    <w:div w:id="491525210">
      <w:bodyDiv w:val="1"/>
      <w:marLeft w:val="0"/>
      <w:marRight w:val="0"/>
      <w:marTop w:val="0"/>
      <w:marBottom w:val="0"/>
      <w:divBdr>
        <w:top w:val="none" w:sz="0" w:space="0" w:color="auto"/>
        <w:left w:val="none" w:sz="0" w:space="0" w:color="auto"/>
        <w:bottom w:val="none" w:sz="0" w:space="0" w:color="auto"/>
        <w:right w:val="none" w:sz="0" w:space="0" w:color="auto"/>
      </w:divBdr>
    </w:div>
    <w:div w:id="518739645">
      <w:bodyDiv w:val="1"/>
      <w:marLeft w:val="0"/>
      <w:marRight w:val="0"/>
      <w:marTop w:val="0"/>
      <w:marBottom w:val="0"/>
      <w:divBdr>
        <w:top w:val="none" w:sz="0" w:space="0" w:color="auto"/>
        <w:left w:val="none" w:sz="0" w:space="0" w:color="auto"/>
        <w:bottom w:val="none" w:sz="0" w:space="0" w:color="auto"/>
        <w:right w:val="none" w:sz="0" w:space="0" w:color="auto"/>
      </w:divBdr>
    </w:div>
    <w:div w:id="602957479">
      <w:bodyDiv w:val="1"/>
      <w:marLeft w:val="0"/>
      <w:marRight w:val="0"/>
      <w:marTop w:val="0"/>
      <w:marBottom w:val="0"/>
      <w:divBdr>
        <w:top w:val="none" w:sz="0" w:space="0" w:color="auto"/>
        <w:left w:val="none" w:sz="0" w:space="0" w:color="auto"/>
        <w:bottom w:val="none" w:sz="0" w:space="0" w:color="auto"/>
        <w:right w:val="none" w:sz="0" w:space="0" w:color="auto"/>
      </w:divBdr>
    </w:div>
    <w:div w:id="702023912">
      <w:bodyDiv w:val="1"/>
      <w:marLeft w:val="0"/>
      <w:marRight w:val="0"/>
      <w:marTop w:val="0"/>
      <w:marBottom w:val="0"/>
      <w:divBdr>
        <w:top w:val="none" w:sz="0" w:space="0" w:color="auto"/>
        <w:left w:val="none" w:sz="0" w:space="0" w:color="auto"/>
        <w:bottom w:val="none" w:sz="0" w:space="0" w:color="auto"/>
        <w:right w:val="none" w:sz="0" w:space="0" w:color="auto"/>
      </w:divBdr>
    </w:div>
    <w:div w:id="736440028">
      <w:bodyDiv w:val="1"/>
      <w:marLeft w:val="0"/>
      <w:marRight w:val="0"/>
      <w:marTop w:val="0"/>
      <w:marBottom w:val="0"/>
      <w:divBdr>
        <w:top w:val="none" w:sz="0" w:space="0" w:color="auto"/>
        <w:left w:val="none" w:sz="0" w:space="0" w:color="auto"/>
        <w:bottom w:val="none" w:sz="0" w:space="0" w:color="auto"/>
        <w:right w:val="none" w:sz="0" w:space="0" w:color="auto"/>
      </w:divBdr>
      <w:divsChild>
        <w:div w:id="208530">
          <w:marLeft w:val="979"/>
          <w:marRight w:val="0"/>
          <w:marTop w:val="65"/>
          <w:marBottom w:val="360"/>
          <w:divBdr>
            <w:top w:val="none" w:sz="0" w:space="0" w:color="auto"/>
            <w:left w:val="none" w:sz="0" w:space="0" w:color="auto"/>
            <w:bottom w:val="none" w:sz="0" w:space="0" w:color="auto"/>
            <w:right w:val="none" w:sz="0" w:space="0" w:color="auto"/>
          </w:divBdr>
        </w:div>
        <w:div w:id="741175048">
          <w:marLeft w:val="979"/>
          <w:marRight w:val="0"/>
          <w:marTop w:val="65"/>
          <w:marBottom w:val="360"/>
          <w:divBdr>
            <w:top w:val="none" w:sz="0" w:space="0" w:color="auto"/>
            <w:left w:val="none" w:sz="0" w:space="0" w:color="auto"/>
            <w:bottom w:val="none" w:sz="0" w:space="0" w:color="auto"/>
            <w:right w:val="none" w:sz="0" w:space="0" w:color="auto"/>
          </w:divBdr>
        </w:div>
        <w:div w:id="1621839030">
          <w:marLeft w:val="979"/>
          <w:marRight w:val="0"/>
          <w:marTop w:val="65"/>
          <w:marBottom w:val="360"/>
          <w:divBdr>
            <w:top w:val="none" w:sz="0" w:space="0" w:color="auto"/>
            <w:left w:val="none" w:sz="0" w:space="0" w:color="auto"/>
            <w:bottom w:val="none" w:sz="0" w:space="0" w:color="auto"/>
            <w:right w:val="none" w:sz="0" w:space="0" w:color="auto"/>
          </w:divBdr>
        </w:div>
      </w:divsChild>
    </w:div>
    <w:div w:id="793257112">
      <w:bodyDiv w:val="1"/>
      <w:marLeft w:val="0"/>
      <w:marRight w:val="0"/>
      <w:marTop w:val="0"/>
      <w:marBottom w:val="0"/>
      <w:divBdr>
        <w:top w:val="none" w:sz="0" w:space="0" w:color="auto"/>
        <w:left w:val="none" w:sz="0" w:space="0" w:color="auto"/>
        <w:bottom w:val="none" w:sz="0" w:space="0" w:color="auto"/>
        <w:right w:val="none" w:sz="0" w:space="0" w:color="auto"/>
      </w:divBdr>
    </w:div>
    <w:div w:id="854151849">
      <w:bodyDiv w:val="1"/>
      <w:marLeft w:val="0"/>
      <w:marRight w:val="0"/>
      <w:marTop w:val="0"/>
      <w:marBottom w:val="0"/>
      <w:divBdr>
        <w:top w:val="none" w:sz="0" w:space="0" w:color="auto"/>
        <w:left w:val="none" w:sz="0" w:space="0" w:color="auto"/>
        <w:bottom w:val="none" w:sz="0" w:space="0" w:color="auto"/>
        <w:right w:val="none" w:sz="0" w:space="0" w:color="auto"/>
      </w:divBdr>
    </w:div>
    <w:div w:id="854542098">
      <w:bodyDiv w:val="1"/>
      <w:marLeft w:val="0"/>
      <w:marRight w:val="0"/>
      <w:marTop w:val="0"/>
      <w:marBottom w:val="0"/>
      <w:divBdr>
        <w:top w:val="none" w:sz="0" w:space="0" w:color="auto"/>
        <w:left w:val="none" w:sz="0" w:space="0" w:color="auto"/>
        <w:bottom w:val="none" w:sz="0" w:space="0" w:color="auto"/>
        <w:right w:val="none" w:sz="0" w:space="0" w:color="auto"/>
      </w:divBdr>
    </w:div>
    <w:div w:id="1052077312">
      <w:bodyDiv w:val="1"/>
      <w:marLeft w:val="0"/>
      <w:marRight w:val="0"/>
      <w:marTop w:val="0"/>
      <w:marBottom w:val="0"/>
      <w:divBdr>
        <w:top w:val="none" w:sz="0" w:space="0" w:color="auto"/>
        <w:left w:val="none" w:sz="0" w:space="0" w:color="auto"/>
        <w:bottom w:val="none" w:sz="0" w:space="0" w:color="auto"/>
        <w:right w:val="none" w:sz="0" w:space="0" w:color="auto"/>
      </w:divBdr>
    </w:div>
    <w:div w:id="1168596828">
      <w:bodyDiv w:val="1"/>
      <w:marLeft w:val="0"/>
      <w:marRight w:val="0"/>
      <w:marTop w:val="0"/>
      <w:marBottom w:val="0"/>
      <w:divBdr>
        <w:top w:val="none" w:sz="0" w:space="0" w:color="auto"/>
        <w:left w:val="none" w:sz="0" w:space="0" w:color="auto"/>
        <w:bottom w:val="none" w:sz="0" w:space="0" w:color="auto"/>
        <w:right w:val="none" w:sz="0" w:space="0" w:color="auto"/>
      </w:divBdr>
      <w:divsChild>
        <w:div w:id="272596606">
          <w:marLeft w:val="547"/>
          <w:marRight w:val="0"/>
          <w:marTop w:val="72"/>
          <w:marBottom w:val="0"/>
          <w:divBdr>
            <w:top w:val="none" w:sz="0" w:space="0" w:color="auto"/>
            <w:left w:val="none" w:sz="0" w:space="0" w:color="auto"/>
            <w:bottom w:val="none" w:sz="0" w:space="0" w:color="auto"/>
            <w:right w:val="none" w:sz="0" w:space="0" w:color="auto"/>
          </w:divBdr>
        </w:div>
        <w:div w:id="353269360">
          <w:marLeft w:val="1166"/>
          <w:marRight w:val="0"/>
          <w:marTop w:val="62"/>
          <w:marBottom w:val="0"/>
          <w:divBdr>
            <w:top w:val="none" w:sz="0" w:space="0" w:color="auto"/>
            <w:left w:val="none" w:sz="0" w:space="0" w:color="auto"/>
            <w:bottom w:val="none" w:sz="0" w:space="0" w:color="auto"/>
            <w:right w:val="none" w:sz="0" w:space="0" w:color="auto"/>
          </w:divBdr>
        </w:div>
        <w:div w:id="799958638">
          <w:marLeft w:val="1166"/>
          <w:marRight w:val="0"/>
          <w:marTop w:val="62"/>
          <w:marBottom w:val="0"/>
          <w:divBdr>
            <w:top w:val="none" w:sz="0" w:space="0" w:color="auto"/>
            <w:left w:val="none" w:sz="0" w:space="0" w:color="auto"/>
            <w:bottom w:val="none" w:sz="0" w:space="0" w:color="auto"/>
            <w:right w:val="none" w:sz="0" w:space="0" w:color="auto"/>
          </w:divBdr>
        </w:div>
        <w:div w:id="977538846">
          <w:marLeft w:val="547"/>
          <w:marRight w:val="0"/>
          <w:marTop w:val="72"/>
          <w:marBottom w:val="0"/>
          <w:divBdr>
            <w:top w:val="none" w:sz="0" w:space="0" w:color="auto"/>
            <w:left w:val="none" w:sz="0" w:space="0" w:color="auto"/>
            <w:bottom w:val="none" w:sz="0" w:space="0" w:color="auto"/>
            <w:right w:val="none" w:sz="0" w:space="0" w:color="auto"/>
          </w:divBdr>
        </w:div>
        <w:div w:id="1059598350">
          <w:marLeft w:val="1166"/>
          <w:marRight w:val="0"/>
          <w:marTop w:val="62"/>
          <w:marBottom w:val="0"/>
          <w:divBdr>
            <w:top w:val="none" w:sz="0" w:space="0" w:color="auto"/>
            <w:left w:val="none" w:sz="0" w:space="0" w:color="auto"/>
            <w:bottom w:val="none" w:sz="0" w:space="0" w:color="auto"/>
            <w:right w:val="none" w:sz="0" w:space="0" w:color="auto"/>
          </w:divBdr>
        </w:div>
        <w:div w:id="1076166691">
          <w:marLeft w:val="1166"/>
          <w:marRight w:val="0"/>
          <w:marTop w:val="62"/>
          <w:marBottom w:val="0"/>
          <w:divBdr>
            <w:top w:val="none" w:sz="0" w:space="0" w:color="auto"/>
            <w:left w:val="none" w:sz="0" w:space="0" w:color="auto"/>
            <w:bottom w:val="none" w:sz="0" w:space="0" w:color="auto"/>
            <w:right w:val="none" w:sz="0" w:space="0" w:color="auto"/>
          </w:divBdr>
        </w:div>
        <w:div w:id="1118185469">
          <w:marLeft w:val="1166"/>
          <w:marRight w:val="0"/>
          <w:marTop w:val="62"/>
          <w:marBottom w:val="0"/>
          <w:divBdr>
            <w:top w:val="none" w:sz="0" w:space="0" w:color="auto"/>
            <w:left w:val="none" w:sz="0" w:space="0" w:color="auto"/>
            <w:bottom w:val="none" w:sz="0" w:space="0" w:color="auto"/>
            <w:right w:val="none" w:sz="0" w:space="0" w:color="auto"/>
          </w:divBdr>
        </w:div>
        <w:div w:id="1254898943">
          <w:marLeft w:val="1166"/>
          <w:marRight w:val="0"/>
          <w:marTop w:val="62"/>
          <w:marBottom w:val="0"/>
          <w:divBdr>
            <w:top w:val="none" w:sz="0" w:space="0" w:color="auto"/>
            <w:left w:val="none" w:sz="0" w:space="0" w:color="auto"/>
            <w:bottom w:val="none" w:sz="0" w:space="0" w:color="auto"/>
            <w:right w:val="none" w:sz="0" w:space="0" w:color="auto"/>
          </w:divBdr>
        </w:div>
        <w:div w:id="1262180403">
          <w:marLeft w:val="547"/>
          <w:marRight w:val="0"/>
          <w:marTop w:val="72"/>
          <w:marBottom w:val="0"/>
          <w:divBdr>
            <w:top w:val="none" w:sz="0" w:space="0" w:color="auto"/>
            <w:left w:val="none" w:sz="0" w:space="0" w:color="auto"/>
            <w:bottom w:val="none" w:sz="0" w:space="0" w:color="auto"/>
            <w:right w:val="none" w:sz="0" w:space="0" w:color="auto"/>
          </w:divBdr>
        </w:div>
        <w:div w:id="1599367958">
          <w:marLeft w:val="547"/>
          <w:marRight w:val="0"/>
          <w:marTop w:val="72"/>
          <w:marBottom w:val="0"/>
          <w:divBdr>
            <w:top w:val="none" w:sz="0" w:space="0" w:color="auto"/>
            <w:left w:val="none" w:sz="0" w:space="0" w:color="auto"/>
            <w:bottom w:val="none" w:sz="0" w:space="0" w:color="auto"/>
            <w:right w:val="none" w:sz="0" w:space="0" w:color="auto"/>
          </w:divBdr>
        </w:div>
        <w:div w:id="1651061378">
          <w:marLeft w:val="1166"/>
          <w:marRight w:val="0"/>
          <w:marTop w:val="62"/>
          <w:marBottom w:val="0"/>
          <w:divBdr>
            <w:top w:val="none" w:sz="0" w:space="0" w:color="auto"/>
            <w:left w:val="none" w:sz="0" w:space="0" w:color="auto"/>
            <w:bottom w:val="none" w:sz="0" w:space="0" w:color="auto"/>
            <w:right w:val="none" w:sz="0" w:space="0" w:color="auto"/>
          </w:divBdr>
        </w:div>
        <w:div w:id="1684624970">
          <w:marLeft w:val="1166"/>
          <w:marRight w:val="0"/>
          <w:marTop w:val="62"/>
          <w:marBottom w:val="0"/>
          <w:divBdr>
            <w:top w:val="none" w:sz="0" w:space="0" w:color="auto"/>
            <w:left w:val="none" w:sz="0" w:space="0" w:color="auto"/>
            <w:bottom w:val="none" w:sz="0" w:space="0" w:color="auto"/>
            <w:right w:val="none" w:sz="0" w:space="0" w:color="auto"/>
          </w:divBdr>
        </w:div>
        <w:div w:id="1747873859">
          <w:marLeft w:val="1166"/>
          <w:marRight w:val="0"/>
          <w:marTop w:val="62"/>
          <w:marBottom w:val="0"/>
          <w:divBdr>
            <w:top w:val="none" w:sz="0" w:space="0" w:color="auto"/>
            <w:left w:val="none" w:sz="0" w:space="0" w:color="auto"/>
            <w:bottom w:val="none" w:sz="0" w:space="0" w:color="auto"/>
            <w:right w:val="none" w:sz="0" w:space="0" w:color="auto"/>
          </w:divBdr>
        </w:div>
        <w:div w:id="1764718308">
          <w:marLeft w:val="547"/>
          <w:marRight w:val="0"/>
          <w:marTop w:val="72"/>
          <w:marBottom w:val="0"/>
          <w:divBdr>
            <w:top w:val="none" w:sz="0" w:space="0" w:color="auto"/>
            <w:left w:val="none" w:sz="0" w:space="0" w:color="auto"/>
            <w:bottom w:val="none" w:sz="0" w:space="0" w:color="auto"/>
            <w:right w:val="none" w:sz="0" w:space="0" w:color="auto"/>
          </w:divBdr>
        </w:div>
        <w:div w:id="1819228150">
          <w:marLeft w:val="1166"/>
          <w:marRight w:val="0"/>
          <w:marTop w:val="62"/>
          <w:marBottom w:val="0"/>
          <w:divBdr>
            <w:top w:val="none" w:sz="0" w:space="0" w:color="auto"/>
            <w:left w:val="none" w:sz="0" w:space="0" w:color="auto"/>
            <w:bottom w:val="none" w:sz="0" w:space="0" w:color="auto"/>
            <w:right w:val="none" w:sz="0" w:space="0" w:color="auto"/>
          </w:divBdr>
        </w:div>
        <w:div w:id="2145537161">
          <w:marLeft w:val="1166"/>
          <w:marRight w:val="0"/>
          <w:marTop w:val="62"/>
          <w:marBottom w:val="0"/>
          <w:divBdr>
            <w:top w:val="none" w:sz="0" w:space="0" w:color="auto"/>
            <w:left w:val="none" w:sz="0" w:space="0" w:color="auto"/>
            <w:bottom w:val="none" w:sz="0" w:space="0" w:color="auto"/>
            <w:right w:val="none" w:sz="0" w:space="0" w:color="auto"/>
          </w:divBdr>
        </w:div>
      </w:divsChild>
    </w:div>
    <w:div w:id="1357273063">
      <w:bodyDiv w:val="1"/>
      <w:marLeft w:val="0"/>
      <w:marRight w:val="0"/>
      <w:marTop w:val="0"/>
      <w:marBottom w:val="0"/>
      <w:divBdr>
        <w:top w:val="none" w:sz="0" w:space="0" w:color="auto"/>
        <w:left w:val="none" w:sz="0" w:space="0" w:color="auto"/>
        <w:bottom w:val="none" w:sz="0" w:space="0" w:color="auto"/>
        <w:right w:val="none" w:sz="0" w:space="0" w:color="auto"/>
      </w:divBdr>
      <w:divsChild>
        <w:div w:id="2037458989">
          <w:marLeft w:val="0"/>
          <w:marRight w:val="0"/>
          <w:marTop w:val="0"/>
          <w:marBottom w:val="0"/>
          <w:divBdr>
            <w:top w:val="none" w:sz="0" w:space="0" w:color="auto"/>
            <w:left w:val="none" w:sz="0" w:space="0" w:color="auto"/>
            <w:bottom w:val="none" w:sz="0" w:space="0" w:color="auto"/>
            <w:right w:val="none" w:sz="0" w:space="0" w:color="auto"/>
          </w:divBdr>
          <w:divsChild>
            <w:div w:id="13229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4141">
      <w:bodyDiv w:val="1"/>
      <w:marLeft w:val="0"/>
      <w:marRight w:val="0"/>
      <w:marTop w:val="0"/>
      <w:marBottom w:val="0"/>
      <w:divBdr>
        <w:top w:val="none" w:sz="0" w:space="0" w:color="auto"/>
        <w:left w:val="none" w:sz="0" w:space="0" w:color="auto"/>
        <w:bottom w:val="none" w:sz="0" w:space="0" w:color="auto"/>
        <w:right w:val="none" w:sz="0" w:space="0" w:color="auto"/>
      </w:divBdr>
    </w:div>
    <w:div w:id="1460997696">
      <w:bodyDiv w:val="1"/>
      <w:marLeft w:val="0"/>
      <w:marRight w:val="0"/>
      <w:marTop w:val="0"/>
      <w:marBottom w:val="0"/>
      <w:divBdr>
        <w:top w:val="none" w:sz="0" w:space="0" w:color="auto"/>
        <w:left w:val="none" w:sz="0" w:space="0" w:color="auto"/>
        <w:bottom w:val="none" w:sz="0" w:space="0" w:color="auto"/>
        <w:right w:val="none" w:sz="0" w:space="0" w:color="auto"/>
      </w:divBdr>
    </w:div>
    <w:div w:id="1498034708">
      <w:bodyDiv w:val="1"/>
      <w:marLeft w:val="0"/>
      <w:marRight w:val="0"/>
      <w:marTop w:val="0"/>
      <w:marBottom w:val="0"/>
      <w:divBdr>
        <w:top w:val="none" w:sz="0" w:space="0" w:color="auto"/>
        <w:left w:val="none" w:sz="0" w:space="0" w:color="auto"/>
        <w:bottom w:val="none" w:sz="0" w:space="0" w:color="auto"/>
        <w:right w:val="none" w:sz="0" w:space="0" w:color="auto"/>
      </w:divBdr>
      <w:divsChild>
        <w:div w:id="219052849">
          <w:marLeft w:val="576"/>
          <w:marRight w:val="0"/>
          <w:marTop w:val="80"/>
          <w:marBottom w:val="0"/>
          <w:divBdr>
            <w:top w:val="none" w:sz="0" w:space="0" w:color="auto"/>
            <w:left w:val="none" w:sz="0" w:space="0" w:color="auto"/>
            <w:bottom w:val="none" w:sz="0" w:space="0" w:color="auto"/>
            <w:right w:val="none" w:sz="0" w:space="0" w:color="auto"/>
          </w:divBdr>
        </w:div>
        <w:div w:id="687365199">
          <w:marLeft w:val="576"/>
          <w:marRight w:val="0"/>
          <w:marTop w:val="80"/>
          <w:marBottom w:val="0"/>
          <w:divBdr>
            <w:top w:val="none" w:sz="0" w:space="0" w:color="auto"/>
            <w:left w:val="none" w:sz="0" w:space="0" w:color="auto"/>
            <w:bottom w:val="none" w:sz="0" w:space="0" w:color="auto"/>
            <w:right w:val="none" w:sz="0" w:space="0" w:color="auto"/>
          </w:divBdr>
        </w:div>
        <w:div w:id="916211798">
          <w:marLeft w:val="576"/>
          <w:marRight w:val="0"/>
          <w:marTop w:val="80"/>
          <w:marBottom w:val="0"/>
          <w:divBdr>
            <w:top w:val="none" w:sz="0" w:space="0" w:color="auto"/>
            <w:left w:val="none" w:sz="0" w:space="0" w:color="auto"/>
            <w:bottom w:val="none" w:sz="0" w:space="0" w:color="auto"/>
            <w:right w:val="none" w:sz="0" w:space="0" w:color="auto"/>
          </w:divBdr>
        </w:div>
        <w:div w:id="1729499204">
          <w:marLeft w:val="576"/>
          <w:marRight w:val="0"/>
          <w:marTop w:val="80"/>
          <w:marBottom w:val="0"/>
          <w:divBdr>
            <w:top w:val="none" w:sz="0" w:space="0" w:color="auto"/>
            <w:left w:val="none" w:sz="0" w:space="0" w:color="auto"/>
            <w:bottom w:val="none" w:sz="0" w:space="0" w:color="auto"/>
            <w:right w:val="none" w:sz="0" w:space="0" w:color="auto"/>
          </w:divBdr>
        </w:div>
        <w:div w:id="1904946776">
          <w:marLeft w:val="576"/>
          <w:marRight w:val="0"/>
          <w:marTop w:val="80"/>
          <w:marBottom w:val="0"/>
          <w:divBdr>
            <w:top w:val="none" w:sz="0" w:space="0" w:color="auto"/>
            <w:left w:val="none" w:sz="0" w:space="0" w:color="auto"/>
            <w:bottom w:val="none" w:sz="0" w:space="0" w:color="auto"/>
            <w:right w:val="none" w:sz="0" w:space="0" w:color="auto"/>
          </w:divBdr>
        </w:div>
      </w:divsChild>
    </w:div>
    <w:div w:id="1533181797">
      <w:bodyDiv w:val="1"/>
      <w:marLeft w:val="0"/>
      <w:marRight w:val="0"/>
      <w:marTop w:val="0"/>
      <w:marBottom w:val="0"/>
      <w:divBdr>
        <w:top w:val="none" w:sz="0" w:space="0" w:color="auto"/>
        <w:left w:val="none" w:sz="0" w:space="0" w:color="auto"/>
        <w:bottom w:val="none" w:sz="0" w:space="0" w:color="auto"/>
        <w:right w:val="none" w:sz="0" w:space="0" w:color="auto"/>
      </w:divBdr>
    </w:div>
    <w:div w:id="1559587178">
      <w:bodyDiv w:val="1"/>
      <w:marLeft w:val="0"/>
      <w:marRight w:val="0"/>
      <w:marTop w:val="0"/>
      <w:marBottom w:val="0"/>
      <w:divBdr>
        <w:top w:val="none" w:sz="0" w:space="0" w:color="auto"/>
        <w:left w:val="none" w:sz="0" w:space="0" w:color="auto"/>
        <w:bottom w:val="none" w:sz="0" w:space="0" w:color="auto"/>
        <w:right w:val="none" w:sz="0" w:space="0" w:color="auto"/>
      </w:divBdr>
    </w:div>
    <w:div w:id="1566526739">
      <w:bodyDiv w:val="1"/>
      <w:marLeft w:val="0"/>
      <w:marRight w:val="0"/>
      <w:marTop w:val="0"/>
      <w:marBottom w:val="0"/>
      <w:divBdr>
        <w:top w:val="none" w:sz="0" w:space="0" w:color="auto"/>
        <w:left w:val="none" w:sz="0" w:space="0" w:color="auto"/>
        <w:bottom w:val="none" w:sz="0" w:space="0" w:color="auto"/>
        <w:right w:val="none" w:sz="0" w:space="0" w:color="auto"/>
      </w:divBdr>
    </w:div>
    <w:div w:id="1577596336">
      <w:bodyDiv w:val="1"/>
      <w:marLeft w:val="0"/>
      <w:marRight w:val="0"/>
      <w:marTop w:val="0"/>
      <w:marBottom w:val="0"/>
      <w:divBdr>
        <w:top w:val="none" w:sz="0" w:space="0" w:color="auto"/>
        <w:left w:val="none" w:sz="0" w:space="0" w:color="auto"/>
        <w:bottom w:val="none" w:sz="0" w:space="0" w:color="auto"/>
        <w:right w:val="none" w:sz="0" w:space="0" w:color="auto"/>
      </w:divBdr>
    </w:div>
    <w:div w:id="1623683898">
      <w:bodyDiv w:val="1"/>
      <w:marLeft w:val="0"/>
      <w:marRight w:val="0"/>
      <w:marTop w:val="0"/>
      <w:marBottom w:val="0"/>
      <w:divBdr>
        <w:top w:val="none" w:sz="0" w:space="0" w:color="auto"/>
        <w:left w:val="none" w:sz="0" w:space="0" w:color="auto"/>
        <w:bottom w:val="none" w:sz="0" w:space="0" w:color="auto"/>
        <w:right w:val="none" w:sz="0" w:space="0" w:color="auto"/>
      </w:divBdr>
    </w:div>
    <w:div w:id="1799108598">
      <w:bodyDiv w:val="1"/>
      <w:marLeft w:val="0"/>
      <w:marRight w:val="0"/>
      <w:marTop w:val="0"/>
      <w:marBottom w:val="0"/>
      <w:divBdr>
        <w:top w:val="none" w:sz="0" w:space="0" w:color="auto"/>
        <w:left w:val="none" w:sz="0" w:space="0" w:color="auto"/>
        <w:bottom w:val="none" w:sz="0" w:space="0" w:color="auto"/>
        <w:right w:val="none" w:sz="0" w:space="0" w:color="auto"/>
      </w:divBdr>
    </w:div>
    <w:div w:id="1802648686">
      <w:bodyDiv w:val="1"/>
      <w:marLeft w:val="0"/>
      <w:marRight w:val="0"/>
      <w:marTop w:val="0"/>
      <w:marBottom w:val="0"/>
      <w:divBdr>
        <w:top w:val="none" w:sz="0" w:space="0" w:color="auto"/>
        <w:left w:val="none" w:sz="0" w:space="0" w:color="auto"/>
        <w:bottom w:val="none" w:sz="0" w:space="0" w:color="auto"/>
        <w:right w:val="none" w:sz="0" w:space="0" w:color="auto"/>
      </w:divBdr>
    </w:div>
    <w:div w:id="1902061069">
      <w:bodyDiv w:val="1"/>
      <w:marLeft w:val="0"/>
      <w:marRight w:val="0"/>
      <w:marTop w:val="0"/>
      <w:marBottom w:val="0"/>
      <w:divBdr>
        <w:top w:val="none" w:sz="0" w:space="0" w:color="auto"/>
        <w:left w:val="none" w:sz="0" w:space="0" w:color="auto"/>
        <w:bottom w:val="none" w:sz="0" w:space="0" w:color="auto"/>
        <w:right w:val="none" w:sz="0" w:space="0" w:color="auto"/>
      </w:divBdr>
    </w:div>
    <w:div w:id="1971133468">
      <w:bodyDiv w:val="1"/>
      <w:marLeft w:val="0"/>
      <w:marRight w:val="0"/>
      <w:marTop w:val="0"/>
      <w:marBottom w:val="0"/>
      <w:divBdr>
        <w:top w:val="none" w:sz="0" w:space="0" w:color="auto"/>
        <w:left w:val="none" w:sz="0" w:space="0" w:color="auto"/>
        <w:bottom w:val="none" w:sz="0" w:space="0" w:color="auto"/>
        <w:right w:val="none" w:sz="0" w:space="0" w:color="auto"/>
      </w:divBdr>
    </w:div>
    <w:div w:id="2045790218">
      <w:bodyDiv w:val="1"/>
      <w:marLeft w:val="0"/>
      <w:marRight w:val="0"/>
      <w:marTop w:val="0"/>
      <w:marBottom w:val="0"/>
      <w:divBdr>
        <w:top w:val="none" w:sz="0" w:space="0" w:color="auto"/>
        <w:left w:val="none" w:sz="0" w:space="0" w:color="auto"/>
        <w:bottom w:val="none" w:sz="0" w:space="0" w:color="auto"/>
        <w:right w:val="none" w:sz="0" w:space="0" w:color="auto"/>
      </w:divBdr>
    </w:div>
    <w:div w:id="2071883930">
      <w:bodyDiv w:val="1"/>
      <w:marLeft w:val="0"/>
      <w:marRight w:val="0"/>
      <w:marTop w:val="0"/>
      <w:marBottom w:val="0"/>
      <w:divBdr>
        <w:top w:val="none" w:sz="0" w:space="0" w:color="auto"/>
        <w:left w:val="none" w:sz="0" w:space="0" w:color="auto"/>
        <w:bottom w:val="none" w:sz="0" w:space="0" w:color="auto"/>
        <w:right w:val="none" w:sz="0" w:space="0" w:color="auto"/>
      </w:divBdr>
    </w:div>
    <w:div w:id="2097823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7200</Words>
  <Characters>41046</Characters>
  <Application>Microsoft Office Word</Application>
  <DocSecurity>0</DocSecurity>
  <Lines>342</Lines>
  <Paragraphs>96</Paragraphs>
  <ScaleCrop>false</ScaleCrop>
  <LinksUpToDate>false</LinksUpToDate>
  <CharactersWithSpaces>48150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2018-05-04T05:12:00Z</dcterms:created>
  <dcterms:modified xsi:type="dcterms:W3CDTF">2018-05-04T05:13:00Z</dcterms:modified>
</cp:coreProperties>
</file>