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D2A" w:rsidRPr="007E6AC0" w:rsidRDefault="005B5D2A" w:rsidP="00121658">
      <w:pPr>
        <w:pStyle w:val="Titlepage"/>
        <w:spacing w:before="4200"/>
        <w:rPr>
          <w:rFonts w:asciiTheme="minorHAnsi" w:hAnsiTheme="minorHAnsi"/>
          <w:b/>
          <w:sz w:val="52"/>
          <w:szCs w:val="52"/>
        </w:rPr>
      </w:pPr>
      <w:r w:rsidRPr="007E6AC0">
        <w:rPr>
          <w:rFonts w:asciiTheme="minorHAnsi" w:hAnsiTheme="minorHAnsi"/>
          <w:b/>
          <w:sz w:val="52"/>
          <w:szCs w:val="52"/>
        </w:rPr>
        <w:t>Pharmaceutical Benefits Scheme</w:t>
      </w:r>
    </w:p>
    <w:p w:rsidR="005B5D2A" w:rsidRPr="007E6AC0" w:rsidRDefault="005B5D2A" w:rsidP="00121658">
      <w:pPr>
        <w:pStyle w:val="Titlepage"/>
        <w:spacing w:before="200"/>
        <w:rPr>
          <w:rFonts w:asciiTheme="minorHAnsi" w:hAnsiTheme="minorHAnsi"/>
          <w:b/>
        </w:rPr>
      </w:pPr>
      <w:r w:rsidRPr="007E6AC0">
        <w:rPr>
          <w:rFonts w:asciiTheme="minorHAnsi" w:hAnsiTheme="minorHAnsi"/>
          <w:b/>
        </w:rPr>
        <w:t>Post-market Review</w:t>
      </w:r>
    </w:p>
    <w:p w:rsidR="008A1DA0" w:rsidRPr="008A1DA0" w:rsidRDefault="008A1DA0" w:rsidP="00121658">
      <w:pPr>
        <w:spacing w:before="240" w:line="240" w:lineRule="auto"/>
        <w:jc w:val="center"/>
        <w:rPr>
          <w:rFonts w:asciiTheme="minorHAnsi" w:hAnsiTheme="minorHAnsi"/>
          <w:b/>
          <w:color w:val="365F91" w:themeColor="accent1" w:themeShade="BF"/>
          <w:sz w:val="32"/>
          <w:szCs w:val="32"/>
        </w:rPr>
      </w:pPr>
      <w:r w:rsidRPr="008A1DA0">
        <w:rPr>
          <w:rFonts w:asciiTheme="minorHAnsi" w:hAnsiTheme="minorHAnsi"/>
          <w:b/>
          <w:color w:val="365F91" w:themeColor="accent1" w:themeShade="BF"/>
          <w:sz w:val="32"/>
          <w:szCs w:val="32"/>
        </w:rPr>
        <w:t xml:space="preserve">Post-market Review of Medicines to treat Pulmonary Arterial Hypertension </w:t>
      </w:r>
    </w:p>
    <w:p w:rsidR="007E6AC0" w:rsidRPr="008A1DA0" w:rsidRDefault="007E6AC0" w:rsidP="00121658">
      <w:pPr>
        <w:spacing w:before="240" w:after="200" w:line="240" w:lineRule="auto"/>
        <w:jc w:val="center"/>
        <w:rPr>
          <w:rFonts w:asciiTheme="minorHAnsi" w:hAnsiTheme="minorHAnsi"/>
          <w:b/>
          <w:i/>
          <w:color w:val="365F91" w:themeColor="accent1" w:themeShade="BF"/>
          <w:sz w:val="32"/>
          <w:szCs w:val="32"/>
        </w:rPr>
      </w:pPr>
      <w:r w:rsidRPr="008A1DA0">
        <w:rPr>
          <w:rFonts w:asciiTheme="minorHAnsi" w:hAnsiTheme="minorHAnsi"/>
          <w:b/>
          <w:i/>
          <w:color w:val="365F91" w:themeColor="accent1" w:themeShade="BF"/>
          <w:sz w:val="32"/>
          <w:szCs w:val="32"/>
        </w:rPr>
        <w:t>Report to PBAC</w:t>
      </w:r>
    </w:p>
    <w:p w:rsidR="0011622D" w:rsidRPr="008A1DA0" w:rsidRDefault="0011622D" w:rsidP="00121658">
      <w:pPr>
        <w:spacing w:before="240" w:after="200" w:line="240" w:lineRule="auto"/>
        <w:jc w:val="center"/>
        <w:rPr>
          <w:rFonts w:asciiTheme="minorHAnsi" w:hAnsiTheme="minorHAnsi"/>
          <w:b/>
          <w:i/>
          <w:color w:val="365F91" w:themeColor="accent1" w:themeShade="BF"/>
          <w:sz w:val="32"/>
          <w:szCs w:val="32"/>
        </w:rPr>
      </w:pPr>
      <w:r w:rsidRPr="008A1DA0">
        <w:rPr>
          <w:rFonts w:asciiTheme="minorHAnsi" w:hAnsiTheme="minorHAnsi"/>
          <w:b/>
          <w:i/>
          <w:color w:val="365F91" w:themeColor="accent1" w:themeShade="BF"/>
          <w:sz w:val="32"/>
          <w:szCs w:val="32"/>
        </w:rPr>
        <w:t>Background and T</w:t>
      </w:r>
      <w:r w:rsidR="007E6AC0" w:rsidRPr="008A1DA0">
        <w:rPr>
          <w:rFonts w:asciiTheme="minorHAnsi" w:hAnsiTheme="minorHAnsi"/>
          <w:b/>
          <w:i/>
          <w:color w:val="365F91" w:themeColor="accent1" w:themeShade="BF"/>
          <w:sz w:val="32"/>
          <w:szCs w:val="32"/>
        </w:rPr>
        <w:t xml:space="preserve">erm of </w:t>
      </w:r>
      <w:r w:rsidRPr="008A1DA0">
        <w:rPr>
          <w:rFonts w:asciiTheme="minorHAnsi" w:hAnsiTheme="minorHAnsi"/>
          <w:b/>
          <w:i/>
          <w:color w:val="365F91" w:themeColor="accent1" w:themeShade="BF"/>
          <w:sz w:val="32"/>
          <w:szCs w:val="32"/>
        </w:rPr>
        <w:t>R</w:t>
      </w:r>
      <w:r w:rsidR="007E6AC0" w:rsidRPr="008A1DA0">
        <w:rPr>
          <w:rFonts w:asciiTheme="minorHAnsi" w:hAnsiTheme="minorHAnsi"/>
          <w:b/>
          <w:i/>
          <w:color w:val="365F91" w:themeColor="accent1" w:themeShade="BF"/>
          <w:sz w:val="32"/>
          <w:szCs w:val="32"/>
        </w:rPr>
        <w:t>eference</w:t>
      </w:r>
      <w:r w:rsidRPr="008A1DA0">
        <w:rPr>
          <w:rFonts w:asciiTheme="minorHAnsi" w:hAnsiTheme="minorHAnsi"/>
          <w:b/>
          <w:i/>
          <w:color w:val="365F91" w:themeColor="accent1" w:themeShade="BF"/>
          <w:sz w:val="32"/>
          <w:szCs w:val="32"/>
        </w:rPr>
        <w:t xml:space="preserve"> 1</w:t>
      </w:r>
    </w:p>
    <w:p w:rsidR="008A1DA0" w:rsidRPr="008A1DA0" w:rsidRDefault="008A1DA0" w:rsidP="00121658">
      <w:pPr>
        <w:spacing w:before="240" w:after="200" w:line="240" w:lineRule="auto"/>
        <w:jc w:val="center"/>
        <w:rPr>
          <w:rFonts w:asciiTheme="minorHAnsi" w:hAnsiTheme="minorHAnsi"/>
          <w:b/>
          <w:i/>
          <w:color w:val="365F91" w:themeColor="accent1" w:themeShade="BF"/>
          <w:sz w:val="28"/>
          <w:szCs w:val="28"/>
        </w:rPr>
      </w:pPr>
    </w:p>
    <w:p w:rsidR="007E6AC0" w:rsidRPr="008A1DA0" w:rsidRDefault="007E6AC0" w:rsidP="00121658">
      <w:pPr>
        <w:spacing w:before="240" w:after="200" w:line="240" w:lineRule="auto"/>
        <w:jc w:val="center"/>
        <w:rPr>
          <w:rFonts w:asciiTheme="minorHAnsi" w:hAnsiTheme="minorHAnsi"/>
          <w:b/>
          <w:i/>
          <w:color w:val="365F91" w:themeColor="accent1" w:themeShade="BF"/>
          <w:sz w:val="28"/>
          <w:szCs w:val="28"/>
        </w:rPr>
      </w:pPr>
      <w:r w:rsidRPr="008A1DA0">
        <w:rPr>
          <w:rFonts w:asciiTheme="minorHAnsi" w:hAnsiTheme="minorHAnsi"/>
          <w:b/>
          <w:i/>
          <w:color w:val="365F91" w:themeColor="accent1" w:themeShade="BF"/>
          <w:sz w:val="28"/>
          <w:szCs w:val="28"/>
        </w:rPr>
        <w:t xml:space="preserve">Draft </w:t>
      </w:r>
      <w:r w:rsidR="005B5D2A" w:rsidRPr="008A1DA0">
        <w:rPr>
          <w:rFonts w:asciiTheme="minorHAnsi" w:hAnsiTheme="minorHAnsi"/>
          <w:b/>
          <w:i/>
          <w:color w:val="365F91" w:themeColor="accent1" w:themeShade="BF"/>
          <w:sz w:val="28"/>
          <w:szCs w:val="28"/>
        </w:rPr>
        <w:t>Repor</w:t>
      </w:r>
      <w:r w:rsidRPr="008A1DA0">
        <w:rPr>
          <w:rFonts w:asciiTheme="minorHAnsi" w:hAnsiTheme="minorHAnsi"/>
          <w:b/>
          <w:i/>
          <w:color w:val="365F91" w:themeColor="accent1" w:themeShade="BF"/>
          <w:sz w:val="28"/>
          <w:szCs w:val="28"/>
        </w:rPr>
        <w:t>t</w:t>
      </w:r>
    </w:p>
    <w:p w:rsidR="00A56E19" w:rsidRPr="007E6AC0" w:rsidRDefault="009509AD" w:rsidP="00121658">
      <w:pPr>
        <w:spacing w:before="240" w:after="200" w:line="240" w:lineRule="auto"/>
        <w:jc w:val="center"/>
        <w:rPr>
          <w:rFonts w:asciiTheme="minorHAnsi" w:hAnsiTheme="minorHAnsi"/>
          <w:b/>
          <w:i/>
          <w:color w:val="365F91" w:themeColor="accent1" w:themeShade="BF"/>
          <w:sz w:val="28"/>
          <w:szCs w:val="28"/>
        </w:rPr>
        <w:sectPr w:rsidR="00A56E19" w:rsidRPr="007E6AC0" w:rsidSect="00CB3D44">
          <w:headerReference w:type="even" r:id="rId9"/>
          <w:headerReference w:type="default" r:id="rId10"/>
          <w:footerReference w:type="even" r:id="rId11"/>
          <w:footerReference w:type="default" r:id="rId12"/>
          <w:headerReference w:type="first" r:id="rId13"/>
          <w:footerReference w:type="first" r:id="rId14"/>
          <w:footnotePr>
            <w:numFmt w:val="chicago"/>
          </w:footnotePr>
          <w:pgSz w:w="11906" w:h="16838"/>
          <w:pgMar w:top="1134" w:right="1134" w:bottom="1134" w:left="1134" w:header="708" w:footer="708" w:gutter="0"/>
          <w:pgNumType w:fmt="lowerRoman" w:start="1"/>
          <w:cols w:space="708"/>
          <w:titlePg/>
          <w:docGrid w:linePitch="360"/>
        </w:sectPr>
      </w:pPr>
      <w:r>
        <w:rPr>
          <w:rFonts w:asciiTheme="minorHAnsi" w:hAnsiTheme="minorHAnsi"/>
          <w:b/>
          <w:i/>
          <w:color w:val="365F91" w:themeColor="accent1" w:themeShade="BF"/>
          <w:sz w:val="28"/>
          <w:szCs w:val="28"/>
        </w:rPr>
        <w:t>May</w:t>
      </w:r>
      <w:r w:rsidR="007E6AC0" w:rsidRPr="007E6AC0">
        <w:rPr>
          <w:rFonts w:asciiTheme="minorHAnsi" w:hAnsiTheme="minorHAnsi"/>
          <w:b/>
          <w:i/>
          <w:color w:val="365F91" w:themeColor="accent1" w:themeShade="BF"/>
          <w:sz w:val="28"/>
          <w:szCs w:val="28"/>
        </w:rPr>
        <w:t xml:space="preserve"> </w:t>
      </w:r>
      <w:r w:rsidR="000A2DB5" w:rsidRPr="007E6AC0">
        <w:rPr>
          <w:rFonts w:asciiTheme="minorHAnsi" w:hAnsiTheme="minorHAnsi"/>
          <w:b/>
          <w:i/>
          <w:color w:val="365F91" w:themeColor="accent1" w:themeShade="BF"/>
          <w:sz w:val="28"/>
          <w:szCs w:val="28"/>
        </w:rPr>
        <w:t>201</w:t>
      </w:r>
      <w:r w:rsidR="00944EDA" w:rsidRPr="007E6AC0">
        <w:rPr>
          <w:rFonts w:asciiTheme="minorHAnsi" w:hAnsiTheme="minorHAnsi"/>
          <w:b/>
          <w:i/>
          <w:color w:val="365F91" w:themeColor="accent1" w:themeShade="BF"/>
          <w:sz w:val="28"/>
          <w:szCs w:val="28"/>
        </w:rPr>
        <w:t>8</w:t>
      </w:r>
    </w:p>
    <w:bookmarkStart w:id="0" w:name="_Toc505071879" w:displacedByCustomXml="next"/>
    <w:bookmarkStart w:id="1" w:name="_Toc508969410" w:displacedByCustomXml="next"/>
    <w:bookmarkStart w:id="2" w:name="_Toc508969573" w:displacedByCustomXml="next"/>
    <w:bookmarkStart w:id="3" w:name="_Toc509584372" w:displacedByCustomXml="next"/>
    <w:sdt>
      <w:sdtPr>
        <w:rPr>
          <w:rFonts w:ascii="Cambria" w:hAnsi="Cambria"/>
          <w:b/>
        </w:rPr>
        <w:id w:val="-955704347"/>
        <w:docPartObj>
          <w:docPartGallery w:val="Table of Contents"/>
          <w:docPartUnique/>
        </w:docPartObj>
      </w:sdtPr>
      <w:sdtEndPr>
        <w:rPr>
          <w:b w:val="0"/>
          <w:bCs/>
          <w:noProof/>
        </w:rPr>
      </w:sdtEndPr>
      <w:sdtContent>
        <w:p w:rsidR="00133CE7" w:rsidRPr="00526CFC" w:rsidRDefault="00133CE7" w:rsidP="00121658">
          <w:pPr>
            <w:pStyle w:val="BodyTextnospacebefore"/>
            <w:spacing w:before="480"/>
            <w:jc w:val="center"/>
            <w:rPr>
              <w:b/>
              <w:color w:val="548DD4" w:themeColor="text2" w:themeTint="99"/>
              <w:sz w:val="32"/>
              <w:szCs w:val="32"/>
            </w:rPr>
          </w:pPr>
          <w:r w:rsidRPr="00526CFC">
            <w:rPr>
              <w:b/>
              <w:color w:val="548DD4" w:themeColor="text2" w:themeTint="99"/>
              <w:sz w:val="32"/>
              <w:szCs w:val="32"/>
            </w:rPr>
            <w:t>Contents</w:t>
          </w:r>
          <w:bookmarkEnd w:id="3"/>
          <w:bookmarkEnd w:id="2"/>
          <w:bookmarkEnd w:id="1"/>
          <w:bookmarkEnd w:id="0"/>
        </w:p>
        <w:p w:rsidR="00526CFC" w:rsidRPr="00526CFC" w:rsidRDefault="00526CFC">
          <w:pPr>
            <w:pStyle w:val="TOC1"/>
            <w:rPr>
              <w:rFonts w:asciiTheme="minorHAnsi" w:eastAsiaTheme="minorEastAsia" w:hAnsiTheme="minorHAnsi" w:cstheme="minorBidi"/>
              <w:sz w:val="22"/>
              <w:szCs w:val="22"/>
              <w:lang w:eastAsia="en-AU"/>
            </w:rPr>
          </w:pPr>
          <w:r w:rsidRPr="003F5FE5">
            <w:rPr>
              <w:rFonts w:asciiTheme="minorHAnsi" w:hAnsiTheme="minorHAnsi"/>
            </w:rPr>
            <w:t>List of Tables</w:t>
          </w:r>
          <w:r w:rsidRPr="00526CFC">
            <w:rPr>
              <w:rFonts w:asciiTheme="minorHAnsi" w:hAnsiTheme="minorHAnsi"/>
              <w:webHidden/>
            </w:rPr>
            <w:tab/>
            <w:t>3</w:t>
          </w:r>
        </w:p>
        <w:p w:rsidR="00526CFC" w:rsidRPr="00526CFC" w:rsidRDefault="00526CFC">
          <w:pPr>
            <w:pStyle w:val="TOC1"/>
            <w:rPr>
              <w:rFonts w:asciiTheme="minorHAnsi" w:eastAsiaTheme="minorEastAsia" w:hAnsiTheme="minorHAnsi" w:cstheme="minorBidi"/>
              <w:sz w:val="22"/>
              <w:szCs w:val="22"/>
              <w:lang w:eastAsia="en-AU"/>
            </w:rPr>
          </w:pPr>
          <w:r w:rsidRPr="003F5FE5">
            <w:rPr>
              <w:rFonts w:asciiTheme="minorHAnsi" w:hAnsiTheme="minorHAnsi"/>
            </w:rPr>
            <w:t>List of Figures</w:t>
          </w:r>
          <w:r w:rsidRPr="00526CFC">
            <w:rPr>
              <w:rFonts w:asciiTheme="minorHAnsi" w:hAnsiTheme="minorHAnsi"/>
              <w:webHidden/>
            </w:rPr>
            <w:tab/>
            <w:t>4</w:t>
          </w:r>
        </w:p>
        <w:p w:rsidR="00526CFC" w:rsidRPr="00526CFC" w:rsidRDefault="00526CFC">
          <w:pPr>
            <w:pStyle w:val="TOC1"/>
            <w:rPr>
              <w:rFonts w:asciiTheme="minorHAnsi" w:eastAsiaTheme="minorEastAsia" w:hAnsiTheme="minorHAnsi" w:cstheme="minorBidi"/>
              <w:sz w:val="22"/>
              <w:szCs w:val="22"/>
              <w:lang w:eastAsia="en-AU"/>
            </w:rPr>
          </w:pPr>
          <w:r w:rsidRPr="003F5FE5">
            <w:rPr>
              <w:rFonts w:asciiTheme="minorHAnsi" w:hAnsiTheme="minorHAnsi"/>
            </w:rPr>
            <w:t>Acknowledgements</w:t>
          </w:r>
          <w:r w:rsidRPr="00526CFC">
            <w:rPr>
              <w:rFonts w:asciiTheme="minorHAnsi" w:hAnsiTheme="minorHAnsi"/>
              <w:webHidden/>
            </w:rPr>
            <w:tab/>
            <w:t>5</w:t>
          </w:r>
        </w:p>
        <w:p w:rsidR="00526CFC" w:rsidRPr="00526CFC" w:rsidRDefault="00526CFC">
          <w:pPr>
            <w:pStyle w:val="TOC1"/>
            <w:rPr>
              <w:rFonts w:asciiTheme="minorHAnsi" w:eastAsiaTheme="minorEastAsia" w:hAnsiTheme="minorHAnsi" w:cstheme="minorBidi"/>
              <w:sz w:val="22"/>
              <w:szCs w:val="22"/>
              <w:lang w:eastAsia="en-AU"/>
            </w:rPr>
          </w:pPr>
          <w:r w:rsidRPr="003F5FE5">
            <w:rPr>
              <w:rFonts w:asciiTheme="minorHAnsi" w:hAnsiTheme="minorHAnsi"/>
            </w:rPr>
            <w:t>Abbreviations</w:t>
          </w:r>
          <w:r w:rsidRPr="00526CFC">
            <w:rPr>
              <w:rFonts w:asciiTheme="minorHAnsi" w:hAnsiTheme="minorHAnsi"/>
              <w:webHidden/>
            </w:rPr>
            <w:tab/>
            <w:t>6</w:t>
          </w:r>
        </w:p>
        <w:p w:rsidR="00526CFC" w:rsidRPr="00526CFC" w:rsidRDefault="00526CFC">
          <w:pPr>
            <w:pStyle w:val="TOC1"/>
            <w:rPr>
              <w:rFonts w:asciiTheme="minorHAnsi" w:eastAsiaTheme="minorEastAsia" w:hAnsiTheme="minorHAnsi" w:cstheme="minorBidi"/>
              <w:sz w:val="22"/>
              <w:szCs w:val="22"/>
              <w:lang w:eastAsia="en-AU"/>
            </w:rPr>
          </w:pPr>
          <w:r w:rsidRPr="003F5FE5">
            <w:rPr>
              <w:rFonts w:asciiTheme="minorHAnsi" w:hAnsiTheme="minorHAnsi"/>
            </w:rPr>
            <w:t>Report Structure</w:t>
          </w:r>
          <w:r w:rsidRPr="00526CFC">
            <w:rPr>
              <w:rFonts w:asciiTheme="minorHAnsi" w:hAnsiTheme="minorHAnsi"/>
              <w:webHidden/>
            </w:rPr>
            <w:tab/>
            <w:t>10</w:t>
          </w:r>
        </w:p>
        <w:p w:rsidR="00526CFC" w:rsidRPr="00526CFC" w:rsidRDefault="00526CFC">
          <w:pPr>
            <w:pStyle w:val="TOC1"/>
            <w:rPr>
              <w:rFonts w:asciiTheme="minorHAnsi" w:eastAsiaTheme="minorEastAsia" w:hAnsiTheme="minorHAnsi" w:cstheme="minorBidi"/>
              <w:sz w:val="22"/>
              <w:szCs w:val="22"/>
              <w:lang w:eastAsia="en-AU"/>
            </w:rPr>
          </w:pPr>
          <w:r w:rsidRPr="003F5FE5">
            <w:rPr>
              <w:rFonts w:asciiTheme="minorHAnsi" w:hAnsiTheme="minorHAnsi"/>
            </w:rPr>
            <w:t>Background</w:t>
          </w:r>
          <w:r w:rsidRPr="00526CFC">
            <w:rPr>
              <w:rFonts w:asciiTheme="minorHAnsi" w:hAnsiTheme="minorHAnsi"/>
              <w:webHidden/>
            </w:rPr>
            <w:tab/>
            <w:t>11</w:t>
          </w:r>
        </w:p>
        <w:p w:rsidR="00526CFC" w:rsidRPr="00526CFC" w:rsidRDefault="00526CFC">
          <w:pPr>
            <w:pStyle w:val="TOC2"/>
            <w:rPr>
              <w:rFonts w:asciiTheme="minorHAnsi" w:eastAsiaTheme="minorEastAsia" w:hAnsiTheme="minorHAnsi" w:cstheme="minorBidi"/>
              <w:noProof/>
              <w:sz w:val="22"/>
              <w:szCs w:val="22"/>
              <w:lang w:eastAsia="en-AU"/>
            </w:rPr>
          </w:pPr>
          <w:r w:rsidRPr="003F5FE5">
            <w:rPr>
              <w:rFonts w:asciiTheme="minorHAnsi" w:hAnsiTheme="minorHAnsi"/>
              <w:noProof/>
            </w:rPr>
            <w:t>B.1 Post-market monitoring</w:t>
          </w:r>
          <w:r w:rsidRPr="00526CFC">
            <w:rPr>
              <w:rFonts w:asciiTheme="minorHAnsi" w:hAnsiTheme="minorHAnsi"/>
              <w:noProof/>
              <w:webHidden/>
            </w:rPr>
            <w:tab/>
            <w:t>11</w:t>
          </w:r>
        </w:p>
        <w:p w:rsidR="00526CFC" w:rsidRPr="00526CFC" w:rsidRDefault="00526CFC">
          <w:pPr>
            <w:pStyle w:val="TOC2"/>
            <w:rPr>
              <w:rFonts w:asciiTheme="minorHAnsi" w:eastAsiaTheme="minorEastAsia" w:hAnsiTheme="minorHAnsi" w:cstheme="minorBidi"/>
              <w:noProof/>
              <w:sz w:val="22"/>
              <w:szCs w:val="22"/>
              <w:lang w:eastAsia="en-AU"/>
            </w:rPr>
          </w:pPr>
          <w:r w:rsidRPr="003F5FE5">
            <w:rPr>
              <w:rFonts w:asciiTheme="minorHAnsi" w:hAnsiTheme="minorHAnsi"/>
              <w:noProof/>
            </w:rPr>
            <w:t>B.2 Context of the Review</w:t>
          </w:r>
          <w:r w:rsidRPr="00526CFC">
            <w:rPr>
              <w:rFonts w:asciiTheme="minorHAnsi" w:hAnsiTheme="minorHAnsi"/>
              <w:noProof/>
              <w:webHidden/>
            </w:rPr>
            <w:tab/>
            <w:t>11</w:t>
          </w:r>
        </w:p>
        <w:p w:rsidR="00526CFC" w:rsidRPr="00526CFC" w:rsidRDefault="00526CFC">
          <w:pPr>
            <w:pStyle w:val="TOC2"/>
            <w:rPr>
              <w:rFonts w:asciiTheme="minorHAnsi" w:eastAsiaTheme="minorEastAsia" w:hAnsiTheme="minorHAnsi" w:cstheme="minorBidi"/>
              <w:noProof/>
              <w:sz w:val="22"/>
              <w:szCs w:val="22"/>
              <w:lang w:eastAsia="en-AU"/>
            </w:rPr>
          </w:pPr>
          <w:r w:rsidRPr="003F5FE5">
            <w:rPr>
              <w:rFonts w:asciiTheme="minorHAnsi" w:hAnsiTheme="minorHAnsi"/>
              <w:noProof/>
            </w:rPr>
            <w:t>B.3 Review Process</w:t>
          </w:r>
          <w:r w:rsidRPr="00526CFC">
            <w:rPr>
              <w:rFonts w:asciiTheme="minorHAnsi" w:hAnsiTheme="minorHAnsi"/>
              <w:noProof/>
              <w:webHidden/>
            </w:rPr>
            <w:tab/>
            <w:t>12</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B.3.1 Purpose of the Review</w:t>
          </w:r>
          <w:r w:rsidRPr="00526CFC">
            <w:rPr>
              <w:rFonts w:asciiTheme="minorHAnsi" w:hAnsiTheme="minorHAnsi"/>
              <w:noProof/>
              <w:webHidden/>
            </w:rPr>
            <w:tab/>
            <w:t>12</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B.3.2 Review Reference Group</w:t>
          </w:r>
          <w:r w:rsidRPr="00526CFC">
            <w:rPr>
              <w:rFonts w:asciiTheme="minorHAnsi" w:hAnsiTheme="minorHAnsi"/>
              <w:noProof/>
              <w:webHidden/>
            </w:rPr>
            <w:tab/>
            <w:t>12</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B.3.3 Review Terms of Reference</w:t>
          </w:r>
          <w:r w:rsidRPr="00526CFC">
            <w:rPr>
              <w:rFonts w:asciiTheme="minorHAnsi" w:hAnsiTheme="minorHAnsi"/>
              <w:noProof/>
              <w:webHidden/>
            </w:rPr>
            <w:tab/>
            <w:t>13</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B.3.4 Public submissions</w:t>
          </w:r>
          <w:r w:rsidRPr="00526CFC">
            <w:rPr>
              <w:rFonts w:asciiTheme="minorHAnsi" w:hAnsiTheme="minorHAnsi"/>
              <w:noProof/>
              <w:webHidden/>
            </w:rPr>
            <w:tab/>
            <w:t>15</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B.3.5 Consumer Forum</w:t>
          </w:r>
          <w:r w:rsidRPr="00526CFC">
            <w:rPr>
              <w:rFonts w:asciiTheme="minorHAnsi" w:hAnsiTheme="minorHAnsi"/>
              <w:noProof/>
              <w:webHidden/>
            </w:rPr>
            <w:tab/>
            <w:t>15</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B.3.6 Public consultation on the draft Report</w:t>
          </w:r>
          <w:r w:rsidRPr="00526CFC">
            <w:rPr>
              <w:rFonts w:asciiTheme="minorHAnsi" w:hAnsiTheme="minorHAnsi"/>
              <w:noProof/>
              <w:webHidden/>
            </w:rPr>
            <w:tab/>
            <w:t>15</w:t>
          </w:r>
        </w:p>
        <w:p w:rsidR="00526CFC" w:rsidRPr="00526CFC" w:rsidRDefault="00526CFC">
          <w:pPr>
            <w:pStyle w:val="TOC2"/>
            <w:rPr>
              <w:rFonts w:asciiTheme="minorHAnsi" w:eastAsiaTheme="minorEastAsia" w:hAnsiTheme="minorHAnsi" w:cstheme="minorBidi"/>
              <w:noProof/>
              <w:sz w:val="22"/>
              <w:szCs w:val="22"/>
              <w:lang w:eastAsia="en-AU"/>
            </w:rPr>
          </w:pPr>
          <w:r w:rsidRPr="003F5FE5">
            <w:rPr>
              <w:rFonts w:asciiTheme="minorHAnsi" w:hAnsiTheme="minorHAnsi"/>
              <w:noProof/>
            </w:rPr>
            <w:t>B.4 Pulmonary Arterial Hypertension in Australia</w:t>
          </w:r>
          <w:r w:rsidRPr="00526CFC">
            <w:rPr>
              <w:rFonts w:asciiTheme="minorHAnsi" w:hAnsiTheme="minorHAnsi"/>
              <w:noProof/>
              <w:webHidden/>
            </w:rPr>
            <w:tab/>
            <w:t>15</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B.4.1 Description of the condition</w:t>
          </w:r>
          <w:r w:rsidRPr="00526CFC">
            <w:rPr>
              <w:rFonts w:asciiTheme="minorHAnsi" w:hAnsiTheme="minorHAnsi"/>
              <w:noProof/>
              <w:webHidden/>
            </w:rPr>
            <w:tab/>
            <w:t>15</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B.4.2 Prevalence of PAH</w:t>
          </w:r>
          <w:r w:rsidRPr="00526CFC">
            <w:rPr>
              <w:rFonts w:asciiTheme="minorHAnsi" w:hAnsiTheme="minorHAnsi"/>
              <w:noProof/>
              <w:webHidden/>
            </w:rPr>
            <w:tab/>
            <w:t>16</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B.4.3 WHO classification and functional classes</w:t>
          </w:r>
          <w:r w:rsidRPr="00526CFC">
            <w:rPr>
              <w:rFonts w:asciiTheme="minorHAnsi" w:hAnsiTheme="minorHAnsi"/>
              <w:noProof/>
              <w:webHidden/>
            </w:rPr>
            <w:tab/>
            <w:t>17</w:t>
          </w:r>
        </w:p>
        <w:p w:rsidR="00526CFC" w:rsidRPr="00526CFC" w:rsidRDefault="00526CFC">
          <w:pPr>
            <w:pStyle w:val="TOC3"/>
            <w:tabs>
              <w:tab w:val="left" w:pos="1865"/>
            </w:tabs>
            <w:rPr>
              <w:rFonts w:asciiTheme="minorHAnsi" w:eastAsiaTheme="minorEastAsia" w:hAnsiTheme="minorHAnsi" w:cstheme="minorBidi"/>
              <w:noProof/>
              <w:sz w:val="22"/>
              <w:szCs w:val="22"/>
              <w:lang w:eastAsia="en-AU"/>
            </w:rPr>
          </w:pPr>
          <w:r w:rsidRPr="003F5FE5">
            <w:rPr>
              <w:rFonts w:asciiTheme="minorHAnsi" w:hAnsiTheme="minorHAnsi"/>
              <w:noProof/>
            </w:rPr>
            <w:t>B.4.4</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 xml:space="preserve"> Description of the intervention</w:t>
          </w:r>
          <w:r w:rsidRPr="00526CFC">
            <w:rPr>
              <w:rFonts w:asciiTheme="minorHAnsi" w:hAnsiTheme="minorHAnsi"/>
              <w:noProof/>
              <w:webHidden/>
            </w:rPr>
            <w:tab/>
            <w:t>19</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B.4.5. Pulmonary Arterial Hypertension medicines on the PBS</w:t>
          </w:r>
          <w:r w:rsidRPr="00526CFC">
            <w:rPr>
              <w:rFonts w:asciiTheme="minorHAnsi" w:hAnsiTheme="minorHAnsi"/>
              <w:noProof/>
              <w:webHidden/>
            </w:rPr>
            <w:tab/>
            <w:t>23</w:t>
          </w:r>
        </w:p>
        <w:p w:rsidR="00526CFC" w:rsidRPr="00526CFC" w:rsidRDefault="00526CFC">
          <w:pPr>
            <w:pStyle w:val="TOC1"/>
            <w:rPr>
              <w:rFonts w:asciiTheme="minorHAnsi" w:eastAsiaTheme="minorEastAsia" w:hAnsiTheme="minorHAnsi" w:cstheme="minorBidi"/>
              <w:sz w:val="22"/>
              <w:szCs w:val="22"/>
              <w:lang w:eastAsia="en-AU"/>
            </w:rPr>
          </w:pPr>
          <w:r w:rsidRPr="003F5FE5">
            <w:rPr>
              <w:rFonts w:asciiTheme="minorHAnsi" w:hAnsiTheme="minorHAnsi"/>
            </w:rPr>
            <w:t>ToR 1: Concordance between prescribing restrictions and clinical guidelines</w:t>
          </w:r>
          <w:r w:rsidRPr="00526CFC">
            <w:rPr>
              <w:rFonts w:asciiTheme="minorHAnsi" w:hAnsiTheme="minorHAnsi"/>
              <w:webHidden/>
            </w:rPr>
            <w:tab/>
            <w:t>29</w:t>
          </w:r>
        </w:p>
        <w:p w:rsidR="00526CFC" w:rsidRPr="00526CFC" w:rsidRDefault="00526CFC">
          <w:pPr>
            <w:pStyle w:val="TOC2"/>
            <w:rPr>
              <w:rFonts w:asciiTheme="minorHAnsi" w:eastAsiaTheme="minorEastAsia" w:hAnsiTheme="minorHAnsi" w:cstheme="minorBidi"/>
              <w:noProof/>
              <w:sz w:val="22"/>
              <w:szCs w:val="22"/>
              <w:lang w:eastAsia="en-AU"/>
            </w:rPr>
          </w:pPr>
          <w:r w:rsidRPr="003F5FE5">
            <w:rPr>
              <w:rFonts w:asciiTheme="minorHAnsi" w:hAnsiTheme="minorHAnsi"/>
              <w:noProof/>
            </w:rPr>
            <w:t>1.2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Key findings for ToR 1</w:t>
          </w:r>
          <w:r w:rsidRPr="00526CFC">
            <w:rPr>
              <w:rFonts w:asciiTheme="minorHAnsi" w:hAnsiTheme="minorHAnsi"/>
              <w:noProof/>
              <w:webHidden/>
            </w:rPr>
            <w:tab/>
            <w:t>29</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1.2.1</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Key findings for research question 1</w:t>
          </w:r>
          <w:r w:rsidRPr="00526CFC">
            <w:rPr>
              <w:rFonts w:asciiTheme="minorHAnsi" w:hAnsiTheme="minorHAnsi"/>
              <w:noProof/>
              <w:webHidden/>
            </w:rPr>
            <w:tab/>
            <w:t>29</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1.2.2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Key findings for research question 2</w:t>
          </w:r>
          <w:r w:rsidRPr="00526CFC">
            <w:rPr>
              <w:rFonts w:asciiTheme="minorHAnsi" w:hAnsiTheme="minorHAnsi"/>
              <w:noProof/>
              <w:webHidden/>
            </w:rPr>
            <w:tab/>
            <w:t>29</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1.2.3</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Key findings for research question 3</w:t>
          </w:r>
          <w:r w:rsidRPr="00526CFC">
            <w:rPr>
              <w:rFonts w:asciiTheme="minorHAnsi" w:hAnsiTheme="minorHAnsi"/>
              <w:noProof/>
              <w:webHidden/>
            </w:rPr>
            <w:tab/>
            <w:t>31</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Stakeholder Views</w:t>
          </w:r>
          <w:r w:rsidRPr="00526CFC">
            <w:rPr>
              <w:rFonts w:asciiTheme="minorHAnsi" w:hAnsiTheme="minorHAnsi"/>
              <w:noProof/>
              <w:webHidden/>
            </w:rPr>
            <w:tab/>
            <w:t>35</w:t>
          </w:r>
        </w:p>
        <w:p w:rsidR="00526CFC" w:rsidRPr="00526CFC" w:rsidRDefault="00526CFC">
          <w:pPr>
            <w:pStyle w:val="TOC3"/>
            <w:rPr>
              <w:rFonts w:asciiTheme="minorHAnsi" w:eastAsiaTheme="minorEastAsia" w:hAnsiTheme="minorHAnsi" w:cstheme="minorBidi"/>
              <w:noProof/>
              <w:sz w:val="22"/>
              <w:szCs w:val="22"/>
              <w:lang w:eastAsia="en-AU"/>
            </w:rPr>
          </w:pPr>
          <w:r w:rsidRPr="003F5FE5">
            <w:rPr>
              <w:rFonts w:asciiTheme="minorHAnsi" w:hAnsiTheme="minorHAnsi"/>
              <w:noProof/>
            </w:rPr>
            <w:t>Consumer Views</w:t>
          </w:r>
          <w:r w:rsidRPr="00526CFC">
            <w:rPr>
              <w:rFonts w:asciiTheme="minorHAnsi" w:hAnsiTheme="minorHAnsi"/>
              <w:noProof/>
              <w:webHidden/>
            </w:rPr>
            <w:tab/>
            <w:t>35</w:t>
          </w:r>
        </w:p>
        <w:p w:rsidR="00526CFC" w:rsidRPr="00526CFC" w:rsidRDefault="00526CFC">
          <w:pPr>
            <w:pStyle w:val="TOC2"/>
            <w:rPr>
              <w:rFonts w:asciiTheme="minorHAnsi" w:eastAsiaTheme="minorEastAsia" w:hAnsiTheme="minorHAnsi" w:cstheme="minorBidi"/>
              <w:noProof/>
              <w:sz w:val="22"/>
              <w:szCs w:val="22"/>
              <w:lang w:eastAsia="en-AU"/>
            </w:rPr>
          </w:pPr>
          <w:r w:rsidRPr="003F5FE5">
            <w:rPr>
              <w:rFonts w:asciiTheme="minorHAnsi" w:hAnsiTheme="minorHAnsi"/>
              <w:noProof/>
            </w:rPr>
            <w:t>1.3</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Methodology</w:t>
          </w:r>
          <w:r w:rsidRPr="00526CFC">
            <w:rPr>
              <w:rFonts w:asciiTheme="minorHAnsi" w:hAnsiTheme="minorHAnsi"/>
              <w:noProof/>
              <w:webHidden/>
            </w:rPr>
            <w:tab/>
            <w:t>36</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1.3.1</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Guidelines search</w:t>
          </w:r>
          <w:r w:rsidRPr="00526CFC">
            <w:rPr>
              <w:rFonts w:asciiTheme="minorHAnsi" w:hAnsiTheme="minorHAnsi"/>
              <w:noProof/>
              <w:webHidden/>
            </w:rPr>
            <w:tab/>
            <w:t>36</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1.3.2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Current clinical guidelines identified</w:t>
          </w:r>
          <w:r w:rsidRPr="00526CFC">
            <w:rPr>
              <w:rFonts w:asciiTheme="minorHAnsi" w:hAnsiTheme="minorHAnsi"/>
              <w:noProof/>
              <w:webHidden/>
            </w:rPr>
            <w:tab/>
            <w:t>38</w:t>
          </w:r>
        </w:p>
        <w:p w:rsidR="00526CFC" w:rsidRPr="00526CFC" w:rsidRDefault="00526CFC">
          <w:pPr>
            <w:pStyle w:val="TOC2"/>
            <w:rPr>
              <w:rFonts w:asciiTheme="minorHAnsi" w:eastAsiaTheme="minorEastAsia" w:hAnsiTheme="minorHAnsi" w:cstheme="minorBidi"/>
              <w:noProof/>
              <w:sz w:val="22"/>
              <w:szCs w:val="22"/>
              <w:lang w:eastAsia="en-AU"/>
            </w:rPr>
          </w:pPr>
          <w:r w:rsidRPr="003F5FE5">
            <w:rPr>
              <w:rFonts w:asciiTheme="minorHAnsi" w:hAnsiTheme="minorHAnsi"/>
              <w:noProof/>
            </w:rPr>
            <w:t>1.4</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Overview of current clinical guidance</w:t>
          </w:r>
          <w:r w:rsidRPr="00526CFC">
            <w:rPr>
              <w:rFonts w:asciiTheme="minorHAnsi" w:hAnsiTheme="minorHAnsi"/>
              <w:noProof/>
              <w:webHidden/>
            </w:rPr>
            <w:tab/>
            <w:t>41</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1.4.1</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Guidelines overview</w:t>
          </w:r>
          <w:r w:rsidRPr="00526CFC">
            <w:rPr>
              <w:rFonts w:asciiTheme="minorHAnsi" w:hAnsiTheme="minorHAnsi"/>
              <w:noProof/>
              <w:webHidden/>
            </w:rPr>
            <w:tab/>
            <w:t>41</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1.4.2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treatment algorithm</w:t>
          </w:r>
          <w:r w:rsidRPr="00526CFC">
            <w:rPr>
              <w:rFonts w:asciiTheme="minorHAnsi" w:hAnsiTheme="minorHAnsi"/>
              <w:noProof/>
              <w:webHidden/>
            </w:rPr>
            <w:tab/>
            <w:t>42</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1.4.3</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Diagnostic and monitoring recommendations</w:t>
          </w:r>
          <w:r w:rsidRPr="00526CFC">
            <w:rPr>
              <w:rFonts w:asciiTheme="minorHAnsi" w:hAnsiTheme="minorHAnsi"/>
              <w:noProof/>
              <w:webHidden/>
            </w:rPr>
            <w:tab/>
            <w:t>53</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1.4.4</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treatment centres</w:t>
          </w:r>
          <w:r w:rsidRPr="00526CFC">
            <w:rPr>
              <w:rFonts w:asciiTheme="minorHAnsi" w:hAnsiTheme="minorHAnsi"/>
              <w:noProof/>
              <w:webHidden/>
            </w:rPr>
            <w:tab/>
            <w:t>61</w:t>
          </w:r>
        </w:p>
        <w:p w:rsidR="00526CFC" w:rsidRPr="00526CFC" w:rsidRDefault="00526CFC">
          <w:pPr>
            <w:pStyle w:val="TOC2"/>
            <w:rPr>
              <w:rFonts w:asciiTheme="minorHAnsi" w:eastAsiaTheme="minorEastAsia" w:hAnsiTheme="minorHAnsi" w:cstheme="minorBidi"/>
              <w:noProof/>
              <w:sz w:val="22"/>
              <w:szCs w:val="22"/>
              <w:lang w:eastAsia="en-AU"/>
            </w:rPr>
          </w:pPr>
          <w:r w:rsidRPr="003F5FE5">
            <w:rPr>
              <w:rFonts w:asciiTheme="minorHAnsi" w:hAnsiTheme="minorHAnsi"/>
              <w:noProof/>
            </w:rPr>
            <w:lastRenderedPageBreak/>
            <w:t>1.5</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PBS restrictions and TGA indications</w:t>
          </w:r>
          <w:r w:rsidRPr="00526CFC">
            <w:rPr>
              <w:rFonts w:asciiTheme="minorHAnsi" w:hAnsiTheme="minorHAnsi"/>
              <w:noProof/>
              <w:webHidden/>
            </w:rPr>
            <w:tab/>
            <w:t>62</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1.5.1</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TGA indications</w:t>
          </w:r>
          <w:r w:rsidRPr="00526CFC">
            <w:rPr>
              <w:rFonts w:asciiTheme="minorHAnsi" w:hAnsiTheme="minorHAnsi"/>
              <w:noProof/>
              <w:webHidden/>
            </w:rPr>
            <w:tab/>
            <w:t>62</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1.5.2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PBS prescribing restrictions</w:t>
          </w:r>
          <w:r w:rsidRPr="00526CFC">
            <w:rPr>
              <w:rFonts w:asciiTheme="minorHAnsi" w:hAnsiTheme="minorHAnsi"/>
              <w:noProof/>
              <w:webHidden/>
            </w:rPr>
            <w:tab/>
            <w:t>70</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1.5.3</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therapy recommendations</w:t>
          </w:r>
          <w:r w:rsidRPr="00526CFC">
            <w:rPr>
              <w:rFonts w:asciiTheme="minorHAnsi" w:hAnsiTheme="minorHAnsi"/>
              <w:noProof/>
              <w:webHidden/>
            </w:rPr>
            <w:tab/>
            <w:t>73</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1.5.4</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diagnostic and monitoring recommendations</w:t>
          </w:r>
          <w:r w:rsidRPr="00526CFC">
            <w:rPr>
              <w:rFonts w:asciiTheme="minorHAnsi" w:hAnsiTheme="minorHAnsi"/>
              <w:noProof/>
              <w:webHidden/>
            </w:rPr>
            <w:tab/>
            <w:t>87</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1.5.5</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Other issues</w:t>
          </w:r>
          <w:r w:rsidRPr="00526CFC">
            <w:rPr>
              <w:rFonts w:asciiTheme="minorHAnsi" w:hAnsiTheme="minorHAnsi"/>
              <w:noProof/>
              <w:webHidden/>
            </w:rPr>
            <w:tab/>
            <w:t>88</w:t>
          </w:r>
        </w:p>
        <w:p w:rsidR="00526CFC" w:rsidRPr="00526CFC" w:rsidRDefault="00526CFC">
          <w:pPr>
            <w:pStyle w:val="TOC2"/>
            <w:rPr>
              <w:rFonts w:asciiTheme="minorHAnsi" w:eastAsiaTheme="minorEastAsia" w:hAnsiTheme="minorHAnsi" w:cstheme="minorBidi"/>
              <w:noProof/>
              <w:sz w:val="22"/>
              <w:szCs w:val="22"/>
              <w:lang w:eastAsia="en-AU"/>
            </w:rPr>
          </w:pPr>
          <w:r w:rsidRPr="003F5FE5">
            <w:rPr>
              <w:rFonts w:asciiTheme="minorHAnsi" w:hAnsiTheme="minorHAnsi"/>
              <w:noProof/>
            </w:rPr>
            <w:t>1.6</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Synthesis of findings</w:t>
          </w:r>
          <w:r w:rsidRPr="00526CFC">
            <w:rPr>
              <w:rFonts w:asciiTheme="minorHAnsi" w:hAnsiTheme="minorHAnsi"/>
              <w:noProof/>
              <w:webHidden/>
            </w:rPr>
            <w:tab/>
            <w:t>91</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1.6.1</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Guidelines for PAH</w:t>
          </w:r>
          <w:r w:rsidRPr="00526CFC">
            <w:rPr>
              <w:rFonts w:asciiTheme="minorHAnsi" w:hAnsiTheme="minorHAnsi"/>
              <w:noProof/>
              <w:webHidden/>
            </w:rPr>
            <w:tab/>
            <w:t>91</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1.6.2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Alignment of TGA, PBS and guideline requirements</w:t>
          </w:r>
          <w:r w:rsidRPr="00526CFC">
            <w:rPr>
              <w:rFonts w:asciiTheme="minorHAnsi" w:hAnsiTheme="minorHAnsi"/>
              <w:noProof/>
              <w:webHidden/>
            </w:rPr>
            <w:tab/>
            <w:t>92</w:t>
          </w:r>
        </w:p>
        <w:p w:rsidR="00526CFC" w:rsidRPr="00526CFC" w:rsidRDefault="00526CFC">
          <w:pPr>
            <w:pStyle w:val="TOC3"/>
            <w:tabs>
              <w:tab w:val="left" w:pos="1851"/>
            </w:tabs>
            <w:rPr>
              <w:rFonts w:asciiTheme="minorHAnsi" w:eastAsiaTheme="minorEastAsia" w:hAnsiTheme="minorHAnsi" w:cstheme="minorBidi"/>
              <w:noProof/>
              <w:sz w:val="22"/>
              <w:szCs w:val="22"/>
              <w:lang w:eastAsia="en-AU"/>
            </w:rPr>
          </w:pPr>
          <w:r w:rsidRPr="003F5FE5">
            <w:rPr>
              <w:rFonts w:asciiTheme="minorHAnsi" w:hAnsiTheme="minorHAnsi"/>
              <w:noProof/>
            </w:rPr>
            <w:t>1.6.3</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Other Issues</w:t>
          </w:r>
          <w:r w:rsidRPr="00526CFC">
            <w:rPr>
              <w:rFonts w:asciiTheme="minorHAnsi" w:hAnsiTheme="minorHAnsi"/>
              <w:noProof/>
              <w:webHidden/>
            </w:rPr>
            <w:tab/>
            <w:t>95</w:t>
          </w:r>
        </w:p>
        <w:p w:rsidR="00526CFC" w:rsidRPr="00526CFC" w:rsidRDefault="00526CFC">
          <w:pPr>
            <w:pStyle w:val="TOC2"/>
            <w:tabs>
              <w:tab w:val="left" w:pos="2155"/>
            </w:tabs>
            <w:rPr>
              <w:rFonts w:asciiTheme="minorHAnsi" w:eastAsiaTheme="minorEastAsia" w:hAnsiTheme="minorHAnsi" w:cstheme="minorBidi"/>
              <w:noProof/>
              <w:sz w:val="22"/>
              <w:szCs w:val="22"/>
              <w:lang w:eastAsia="en-AU"/>
            </w:rPr>
          </w:pPr>
          <w:r w:rsidRPr="003F5FE5">
            <w:rPr>
              <w:rFonts w:asciiTheme="minorHAnsi" w:hAnsiTheme="minorHAnsi"/>
              <w:noProof/>
            </w:rPr>
            <w:t>Appendix 1.A</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Bibliography</w:t>
          </w:r>
          <w:r w:rsidRPr="00526CFC">
            <w:rPr>
              <w:rFonts w:asciiTheme="minorHAnsi" w:hAnsiTheme="minorHAnsi"/>
              <w:noProof/>
              <w:webHidden/>
            </w:rPr>
            <w:tab/>
            <w:t>96</w:t>
          </w:r>
        </w:p>
        <w:p w:rsidR="00526CFC" w:rsidRPr="00526CFC" w:rsidRDefault="00526CFC">
          <w:pPr>
            <w:pStyle w:val="TOC2"/>
            <w:tabs>
              <w:tab w:val="left" w:pos="2152"/>
            </w:tabs>
            <w:rPr>
              <w:rFonts w:asciiTheme="minorHAnsi" w:eastAsiaTheme="minorEastAsia" w:hAnsiTheme="minorHAnsi" w:cstheme="minorBidi"/>
              <w:noProof/>
              <w:sz w:val="22"/>
              <w:szCs w:val="22"/>
              <w:lang w:eastAsia="en-AU"/>
            </w:rPr>
          </w:pPr>
          <w:r w:rsidRPr="003F5FE5">
            <w:rPr>
              <w:rFonts w:asciiTheme="minorHAnsi" w:hAnsiTheme="minorHAnsi"/>
              <w:noProof/>
            </w:rPr>
            <w:t>Appendix 1.B</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Further ARTG and PBS information for PAH medicines</w:t>
          </w:r>
          <w:r w:rsidRPr="00526CFC">
            <w:rPr>
              <w:rFonts w:asciiTheme="minorHAnsi" w:hAnsiTheme="minorHAnsi"/>
              <w:noProof/>
              <w:webHidden/>
            </w:rPr>
            <w:tab/>
            <w:t>100</w:t>
          </w:r>
        </w:p>
        <w:p w:rsidR="00526CFC" w:rsidRPr="00526CFC" w:rsidRDefault="00526CFC">
          <w:pPr>
            <w:pStyle w:val="TOC2"/>
            <w:tabs>
              <w:tab w:val="left" w:pos="2140"/>
            </w:tabs>
            <w:rPr>
              <w:rFonts w:asciiTheme="minorHAnsi" w:eastAsiaTheme="minorEastAsia" w:hAnsiTheme="minorHAnsi" w:cstheme="minorBidi"/>
              <w:noProof/>
              <w:sz w:val="22"/>
              <w:szCs w:val="22"/>
              <w:lang w:eastAsia="en-AU"/>
            </w:rPr>
          </w:pPr>
          <w:r w:rsidRPr="003F5FE5">
            <w:rPr>
              <w:rFonts w:asciiTheme="minorHAnsi" w:hAnsiTheme="minorHAnsi"/>
              <w:noProof/>
            </w:rPr>
            <w:t>Appendix 1.C</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Published treatment and diagnostic algorithms</w:t>
          </w:r>
          <w:r w:rsidRPr="00526CFC">
            <w:rPr>
              <w:rFonts w:asciiTheme="minorHAnsi" w:hAnsiTheme="minorHAnsi"/>
              <w:noProof/>
              <w:webHidden/>
            </w:rPr>
            <w:tab/>
            <w:t>116</w:t>
          </w:r>
        </w:p>
        <w:p w:rsidR="00526CFC" w:rsidRPr="00526CFC" w:rsidRDefault="00526CFC">
          <w:pPr>
            <w:pStyle w:val="TOC2"/>
            <w:tabs>
              <w:tab w:val="left" w:pos="2164"/>
            </w:tabs>
            <w:rPr>
              <w:rFonts w:asciiTheme="minorHAnsi" w:eastAsiaTheme="minorEastAsia" w:hAnsiTheme="minorHAnsi" w:cstheme="minorBidi"/>
              <w:noProof/>
              <w:sz w:val="22"/>
              <w:szCs w:val="22"/>
              <w:lang w:eastAsia="en-AU"/>
            </w:rPr>
          </w:pPr>
          <w:r w:rsidRPr="003F5FE5">
            <w:rPr>
              <w:rFonts w:asciiTheme="minorHAnsi" w:hAnsiTheme="minorHAnsi"/>
              <w:noProof/>
            </w:rPr>
            <w:t>Appendix 1.D</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Details of PAH restrictions</w:t>
          </w:r>
          <w:r w:rsidRPr="00526CFC">
            <w:rPr>
              <w:rFonts w:asciiTheme="minorHAnsi" w:hAnsiTheme="minorHAnsi"/>
              <w:noProof/>
              <w:webHidden/>
            </w:rPr>
            <w:tab/>
            <w:t>122</w:t>
          </w:r>
        </w:p>
        <w:p w:rsidR="00133CE7" w:rsidRDefault="00A705D5" w:rsidP="00121658">
          <w:pPr>
            <w:jc w:val="left"/>
          </w:pPr>
        </w:p>
      </w:sdtContent>
    </w:sdt>
    <w:p w:rsidR="00B26475" w:rsidRPr="0003313D" w:rsidRDefault="00B26475" w:rsidP="00121658">
      <w:pPr>
        <w:pStyle w:val="Heading1"/>
        <w:numPr>
          <w:ilvl w:val="0"/>
          <w:numId w:val="0"/>
        </w:numPr>
        <w:spacing w:before="0"/>
        <w:jc w:val="left"/>
      </w:pPr>
      <w:bookmarkStart w:id="4" w:name="_Toc513107568"/>
      <w:r w:rsidRPr="0003313D">
        <w:lastRenderedPageBreak/>
        <w:t>List of Tables</w:t>
      </w:r>
      <w:bookmarkEnd w:id="4"/>
    </w:p>
    <w:p w:rsidR="001D1104" w:rsidRPr="006452D3" w:rsidRDefault="001D1104" w:rsidP="005E4483">
      <w:pPr>
        <w:pStyle w:val="TableofFigures"/>
        <w:tabs>
          <w:tab w:val="right" w:leader="dot" w:pos="9628"/>
        </w:tabs>
        <w:rPr>
          <w:b/>
        </w:rPr>
      </w:pPr>
      <w:r w:rsidRPr="006452D3">
        <w:rPr>
          <w:b/>
        </w:rPr>
        <w:t>Background</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B.1</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WHO classification of PH and Group 1 PAH disease subtypes</w:t>
      </w:r>
      <w:r w:rsidRPr="00526CFC">
        <w:rPr>
          <w:rFonts w:asciiTheme="minorHAnsi" w:hAnsiTheme="minorHAnsi"/>
          <w:noProof/>
          <w:webHidden/>
        </w:rPr>
        <w:tab/>
        <w:t>18</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B.2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WHO functional classes for PAH</w:t>
      </w:r>
      <w:r w:rsidRPr="00526CFC">
        <w:rPr>
          <w:rFonts w:asciiTheme="minorHAnsi" w:hAnsiTheme="minorHAnsi"/>
          <w:noProof/>
          <w:webHidden/>
        </w:rPr>
        <w:tab/>
        <w:t>19</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B.3</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medicines TGA registered in Australia</w:t>
      </w:r>
      <w:r w:rsidRPr="00526CFC">
        <w:rPr>
          <w:rFonts w:asciiTheme="minorHAnsi" w:hAnsiTheme="minorHAnsi"/>
          <w:noProof/>
          <w:webHidden/>
        </w:rPr>
        <w:tab/>
        <w:t>21</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B.4</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Date of first PBS listing and PBS subsidised indication for PAH medicines</w:t>
      </w:r>
      <w:r w:rsidRPr="00526CFC">
        <w:rPr>
          <w:rFonts w:asciiTheme="minorHAnsi" w:hAnsiTheme="minorHAnsi"/>
          <w:noProof/>
          <w:webHidden/>
        </w:rPr>
        <w:tab/>
        <w:t>24</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B.5</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The Economic analyses and equi-effective doses considered by the PBAC in recommending PBS listing of PAH medicines</w:t>
      </w:r>
      <w:r w:rsidRPr="00526CFC">
        <w:rPr>
          <w:rFonts w:asciiTheme="minorHAnsi" w:hAnsiTheme="minorHAnsi"/>
          <w:noProof/>
          <w:webHidden/>
        </w:rPr>
        <w:tab/>
        <w:t>25</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B.6</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Overview of PBS-listed PAH medicines by PAH type and WHO Functional Class</w:t>
      </w:r>
      <w:r w:rsidRPr="00526CFC">
        <w:rPr>
          <w:rFonts w:asciiTheme="minorHAnsi" w:hAnsiTheme="minorHAnsi"/>
          <w:noProof/>
          <w:webHidden/>
        </w:rPr>
        <w:tab/>
        <w:t>27</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B.7</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Brands Registered in Australia</w:t>
      </w:r>
      <w:r w:rsidRPr="00526CFC">
        <w:rPr>
          <w:rFonts w:asciiTheme="minorHAnsi" w:hAnsiTheme="minorHAnsi"/>
          <w:noProof/>
          <w:webHidden/>
        </w:rPr>
        <w:tab/>
        <w:t>100</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B.8</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History of PBAC Considerations for PAH Medicines</w:t>
      </w:r>
      <w:r w:rsidRPr="00526CFC">
        <w:rPr>
          <w:rFonts w:asciiTheme="minorHAnsi" w:hAnsiTheme="minorHAnsi"/>
          <w:noProof/>
          <w:webHidden/>
        </w:rPr>
        <w:tab/>
        <w:t>102</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B.9</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item numbers, DPMQs, authorities and treatment phases (Prices current for 1 December 2017 Schedule)</w:t>
      </w:r>
      <w:r w:rsidRPr="00526CFC">
        <w:rPr>
          <w:rFonts w:asciiTheme="minorHAnsi" w:hAnsiTheme="minorHAnsi"/>
          <w:noProof/>
          <w:webHidden/>
        </w:rPr>
        <w:tab/>
        <w:t>106</w:t>
      </w:r>
    </w:p>
    <w:p w:rsidR="00526CFC" w:rsidRPr="00526CFC" w:rsidRDefault="006452D3" w:rsidP="00C6441A">
      <w:pPr>
        <w:spacing w:before="40" w:after="40"/>
        <w:jc w:val="left"/>
        <w:rPr>
          <w:rFonts w:asciiTheme="minorHAnsi" w:hAnsiTheme="minorHAnsi"/>
          <w:noProof/>
        </w:rPr>
      </w:pPr>
      <w:r w:rsidRPr="00526CFC">
        <w:rPr>
          <w:rFonts w:asciiTheme="minorHAnsi" w:hAnsiTheme="minorHAnsi"/>
          <w:b/>
        </w:rPr>
        <w:t>ToR</w:t>
      </w:r>
      <w:r w:rsidR="001D1104" w:rsidRPr="00526CFC">
        <w:rPr>
          <w:rFonts w:asciiTheme="minorHAnsi" w:hAnsiTheme="minorHAnsi"/>
          <w:b/>
        </w:rPr>
        <w:t xml:space="preserve"> 1</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1.1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Summary of PBS-TGA-PAH Guidelines alignment</w:t>
      </w:r>
      <w:r w:rsidRPr="00526CFC">
        <w:rPr>
          <w:rFonts w:asciiTheme="minorHAnsi" w:hAnsiTheme="minorHAnsi"/>
          <w:noProof/>
          <w:webHidden/>
        </w:rPr>
        <w:tab/>
        <w:t>32</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1.2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PIPOH guideline selection criteria</w:t>
      </w:r>
      <w:r w:rsidRPr="00526CFC">
        <w:rPr>
          <w:rFonts w:asciiTheme="minorHAnsi" w:hAnsiTheme="minorHAnsi"/>
          <w:noProof/>
          <w:webHidden/>
        </w:rPr>
        <w:tab/>
        <w:t>36</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1.3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Specialist groups targeted in search strategy</w:t>
      </w:r>
      <w:r w:rsidRPr="00526CFC">
        <w:rPr>
          <w:rFonts w:asciiTheme="minorHAnsi" w:hAnsiTheme="minorHAnsi"/>
          <w:noProof/>
          <w:webHidden/>
        </w:rPr>
        <w:tab/>
        <w:t>38</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1.4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Guidelines relevant to this review</w:t>
      </w:r>
      <w:r w:rsidRPr="00526CFC">
        <w:rPr>
          <w:rFonts w:asciiTheme="minorHAnsi" w:hAnsiTheme="minorHAnsi"/>
          <w:noProof/>
          <w:webHidden/>
        </w:rPr>
        <w:tab/>
        <w:t>40</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1.5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pharmacotherapy – patient groups receiving monotherapy</w:t>
      </w:r>
      <w:r w:rsidRPr="00526CFC">
        <w:rPr>
          <w:rFonts w:asciiTheme="minorHAnsi" w:hAnsiTheme="minorHAnsi"/>
          <w:noProof/>
          <w:webHidden/>
        </w:rPr>
        <w:tab/>
        <w:t>43</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1.6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pharmacotherapy – patient groups receiving combination therapy</w:t>
      </w:r>
      <w:r w:rsidRPr="00526CFC">
        <w:rPr>
          <w:rFonts w:asciiTheme="minorHAnsi" w:hAnsiTheme="minorHAnsi"/>
          <w:noProof/>
          <w:webHidden/>
        </w:rPr>
        <w:tab/>
        <w:t>45</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1.7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Guideline recommendations supporting the therapy pathways</w:t>
      </w:r>
      <w:r w:rsidRPr="00526CFC">
        <w:rPr>
          <w:rFonts w:asciiTheme="minorHAnsi" w:hAnsiTheme="minorHAnsi"/>
          <w:noProof/>
          <w:webHidden/>
        </w:rPr>
        <w:tab/>
        <w:t>46</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1.8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Guideline recommendations regarding high dose CCBs</w:t>
      </w:r>
      <w:r w:rsidRPr="00526CFC">
        <w:rPr>
          <w:rFonts w:asciiTheme="minorHAnsi" w:hAnsiTheme="minorHAnsi"/>
          <w:noProof/>
          <w:webHidden/>
        </w:rPr>
        <w:tab/>
        <w:t>50</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1.9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Guideline diagnostic recommendations for PAH</w:t>
      </w:r>
      <w:r w:rsidRPr="00526CFC">
        <w:rPr>
          <w:rFonts w:asciiTheme="minorHAnsi" w:hAnsiTheme="minorHAnsi"/>
          <w:noProof/>
          <w:webHidden/>
        </w:rPr>
        <w:tab/>
        <w:t>54</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1.10</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Monitoring recommendations and other patient assessments for PAH</w:t>
      </w:r>
      <w:r w:rsidRPr="00526CFC">
        <w:rPr>
          <w:rFonts w:asciiTheme="minorHAnsi" w:hAnsiTheme="minorHAnsi"/>
          <w:noProof/>
          <w:webHidden/>
        </w:rPr>
        <w:tab/>
        <w:t>56</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1.11</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Clinical features of high risk vs low risk PAH patients (ESC/ERS Guideline)</w:t>
      </w:r>
      <w:r w:rsidRPr="00526CFC">
        <w:rPr>
          <w:rFonts w:asciiTheme="minorHAnsi" w:hAnsiTheme="minorHAnsi"/>
          <w:noProof/>
          <w:webHidden/>
        </w:rPr>
        <w:tab/>
        <w:t>58</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1.12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Clinical features of high risk PAH patients (USA)</w:t>
      </w:r>
      <w:r w:rsidRPr="00526CFC">
        <w:rPr>
          <w:rFonts w:asciiTheme="minorHAnsi" w:hAnsiTheme="minorHAnsi"/>
          <w:noProof/>
          <w:webHidden/>
        </w:rPr>
        <w:tab/>
        <w:t>58</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1.13</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ESC/ERS suggested assessments and timing for follow-up</w:t>
      </w:r>
      <w:r w:rsidRPr="00526CFC">
        <w:rPr>
          <w:rFonts w:asciiTheme="minorHAnsi" w:hAnsiTheme="minorHAnsi"/>
          <w:noProof/>
          <w:webHidden/>
        </w:rPr>
        <w:tab/>
        <w:t>60</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1.14</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Overview of registered indications for PAH medicines</w:t>
      </w:r>
      <w:r w:rsidRPr="00526CFC">
        <w:rPr>
          <w:rFonts w:asciiTheme="minorHAnsi" w:hAnsiTheme="minorHAnsi"/>
          <w:noProof/>
          <w:webHidden/>
        </w:rPr>
        <w:tab/>
        <w:t>63</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1.15</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medicines – TGA wording of registered indications</w:t>
      </w:r>
      <w:r w:rsidRPr="00526CFC">
        <w:rPr>
          <w:rFonts w:asciiTheme="minorHAnsi" w:hAnsiTheme="minorHAnsi"/>
          <w:noProof/>
          <w:webHidden/>
        </w:rPr>
        <w:tab/>
        <w:t>64</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1.16</w:t>
      </w:r>
      <w:r w:rsidRPr="00526CFC">
        <w:rPr>
          <w:rFonts w:asciiTheme="minorHAnsi" w:eastAsiaTheme="minorEastAsia" w:hAnsiTheme="minorHAnsi" w:cstheme="minorBidi"/>
          <w:noProof/>
          <w:sz w:val="22"/>
          <w:szCs w:val="22"/>
          <w:lang w:eastAsia="en-AU"/>
        </w:rPr>
        <w:tab/>
      </w:r>
      <w:r w:rsidRPr="003F5FE5">
        <w:rPr>
          <w:rFonts w:asciiTheme="minorHAnsi" w:hAnsiTheme="minorHAnsi" w:cs="Arial"/>
          <w:noProof/>
        </w:rPr>
        <w:t>Alignment of ARTG indications with PBS listings (not accounting for WHO FC)</w:t>
      </w:r>
      <w:r w:rsidRPr="00526CFC">
        <w:rPr>
          <w:rFonts w:asciiTheme="minorHAnsi" w:hAnsiTheme="minorHAnsi"/>
          <w:noProof/>
          <w:webHidden/>
        </w:rPr>
        <w:tab/>
        <w:t>71</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1.17</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Restriction criteria considered in this review</w:t>
      </w:r>
      <w:r w:rsidRPr="00526CFC">
        <w:rPr>
          <w:rFonts w:asciiTheme="minorHAnsi" w:hAnsiTheme="minorHAnsi"/>
          <w:noProof/>
          <w:webHidden/>
        </w:rPr>
        <w:tab/>
        <w:t>75</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1.18</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PBS criteria for vasodilator therapy</w:t>
      </w:r>
      <w:r w:rsidRPr="00526CFC">
        <w:rPr>
          <w:rFonts w:asciiTheme="minorHAnsi" w:hAnsiTheme="minorHAnsi"/>
          <w:noProof/>
          <w:webHidden/>
        </w:rPr>
        <w:tab/>
        <w:t>77</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 xml:space="preserve">Table 1.19 </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Restriction criteria for diagnostic tests and monitoring considered in this review</w:t>
      </w:r>
      <w:r w:rsidRPr="00526CFC">
        <w:rPr>
          <w:rFonts w:asciiTheme="minorHAnsi" w:hAnsiTheme="minorHAnsi"/>
          <w:noProof/>
          <w:webHidden/>
        </w:rPr>
        <w:tab/>
        <w:t>84</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cs="Arial"/>
          <w:noProof/>
        </w:rPr>
        <w:t>Table 1.20</w:t>
      </w:r>
      <w:r w:rsidRPr="00526CFC">
        <w:rPr>
          <w:rFonts w:asciiTheme="minorHAnsi" w:eastAsiaTheme="minorEastAsia" w:hAnsiTheme="minorHAnsi" w:cstheme="minorBidi"/>
          <w:noProof/>
          <w:sz w:val="22"/>
          <w:szCs w:val="22"/>
          <w:lang w:eastAsia="en-AU"/>
        </w:rPr>
        <w:tab/>
      </w:r>
      <w:r w:rsidRPr="003F5FE5">
        <w:rPr>
          <w:rFonts w:asciiTheme="minorHAnsi" w:hAnsiTheme="minorHAnsi" w:cs="Arial"/>
          <w:noProof/>
        </w:rPr>
        <w:t>PAH Medicines – PI references to use in combination with other PAH medicines</w:t>
      </w:r>
      <w:r w:rsidRPr="00526CFC">
        <w:rPr>
          <w:rFonts w:asciiTheme="minorHAnsi" w:hAnsiTheme="minorHAnsi"/>
          <w:noProof/>
          <w:webHidden/>
        </w:rPr>
        <w:tab/>
        <w:t>109</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cs="Arial"/>
          <w:noProof/>
        </w:rPr>
        <w:t>Table 1.21</w:t>
      </w:r>
      <w:r w:rsidRPr="00526CFC">
        <w:rPr>
          <w:rFonts w:asciiTheme="minorHAnsi" w:eastAsiaTheme="minorEastAsia" w:hAnsiTheme="minorHAnsi" w:cstheme="minorBidi"/>
          <w:noProof/>
          <w:sz w:val="22"/>
          <w:szCs w:val="22"/>
          <w:lang w:eastAsia="en-AU"/>
        </w:rPr>
        <w:tab/>
      </w:r>
      <w:r w:rsidRPr="003F5FE5">
        <w:rPr>
          <w:rFonts w:asciiTheme="minorHAnsi" w:hAnsiTheme="minorHAnsi" w:cs="Arial"/>
          <w:noProof/>
        </w:rPr>
        <w:t>PAH medicines – paediatric use instructions and warnings</w:t>
      </w:r>
      <w:r w:rsidRPr="00526CFC">
        <w:rPr>
          <w:rFonts w:asciiTheme="minorHAnsi" w:hAnsiTheme="minorHAnsi"/>
          <w:noProof/>
          <w:webHidden/>
        </w:rPr>
        <w:tab/>
        <w:t>114</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1.22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Clinical criteria and prescribing instructions common to all PAH items</w:t>
      </w:r>
      <w:r w:rsidRPr="00526CFC">
        <w:rPr>
          <w:rFonts w:asciiTheme="minorHAnsi" w:hAnsiTheme="minorHAnsi"/>
          <w:noProof/>
          <w:webHidden/>
        </w:rPr>
        <w:tab/>
        <w:t>122</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1.23</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initial treatment: clinical criteria and prescribing instructions</w:t>
      </w:r>
      <w:r w:rsidRPr="00526CFC">
        <w:rPr>
          <w:rFonts w:asciiTheme="minorHAnsi" w:hAnsiTheme="minorHAnsi"/>
          <w:noProof/>
          <w:webHidden/>
        </w:rPr>
        <w:tab/>
        <w:t>123</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1.24</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PAH continuing treatment: clinical criteria and prescribing instructions</w:t>
      </w:r>
      <w:r w:rsidRPr="00526CFC">
        <w:rPr>
          <w:rFonts w:asciiTheme="minorHAnsi" w:hAnsiTheme="minorHAnsi"/>
          <w:noProof/>
          <w:webHidden/>
        </w:rPr>
        <w:tab/>
        <w:t>129</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Table 1.25</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Administrative information in PAH items</w:t>
      </w:r>
      <w:r w:rsidRPr="00526CFC">
        <w:rPr>
          <w:rFonts w:asciiTheme="minorHAnsi" w:hAnsiTheme="minorHAnsi"/>
          <w:noProof/>
          <w:webHidden/>
        </w:rPr>
        <w:tab/>
        <w:t>132</w:t>
      </w:r>
    </w:p>
    <w:p w:rsidR="00B26475" w:rsidRPr="00520971" w:rsidRDefault="00B26475" w:rsidP="00C6441A">
      <w:pPr>
        <w:spacing w:beforeLines="40" w:before="96" w:after="40"/>
        <w:ind w:left="1418"/>
        <w:jc w:val="left"/>
      </w:pPr>
    </w:p>
    <w:p w:rsidR="00B26475" w:rsidRPr="0003313D" w:rsidRDefault="00B26475" w:rsidP="00121658">
      <w:pPr>
        <w:pStyle w:val="Heading1"/>
        <w:numPr>
          <w:ilvl w:val="0"/>
          <w:numId w:val="0"/>
        </w:numPr>
        <w:spacing w:before="0"/>
        <w:jc w:val="left"/>
      </w:pPr>
      <w:bookmarkStart w:id="5" w:name="_Toc513107569"/>
      <w:r w:rsidRPr="0003313D">
        <w:lastRenderedPageBreak/>
        <w:t>List of Figures</w:t>
      </w:r>
      <w:bookmarkEnd w:id="5"/>
    </w:p>
    <w:p w:rsidR="001D1104" w:rsidRPr="00526CFC" w:rsidRDefault="00C6441A" w:rsidP="005E4483">
      <w:pPr>
        <w:pStyle w:val="TableofFigures"/>
        <w:tabs>
          <w:tab w:val="right" w:leader="dot" w:pos="9628"/>
        </w:tabs>
        <w:spacing w:before="240"/>
        <w:rPr>
          <w:rFonts w:asciiTheme="minorHAnsi" w:hAnsiTheme="minorHAnsi"/>
          <w:b/>
        </w:rPr>
      </w:pPr>
      <w:r w:rsidRPr="00526CFC">
        <w:rPr>
          <w:rFonts w:asciiTheme="minorHAnsi" w:hAnsiTheme="minorHAnsi"/>
          <w:b/>
        </w:rPr>
        <w:t>ToR 1</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Figure 1.1</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REVEAL risk score calculator</w:t>
      </w:r>
      <w:r w:rsidRPr="00526CFC">
        <w:rPr>
          <w:rFonts w:asciiTheme="minorHAnsi" w:hAnsiTheme="minorHAnsi"/>
          <w:noProof/>
          <w:webHidden/>
        </w:rPr>
        <w:tab/>
        <w:t>59</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Figure 1.2</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Treatment algorithm for PAH ESC/ERS Guideline</w:t>
      </w:r>
      <w:r w:rsidRPr="00526CFC">
        <w:rPr>
          <w:rFonts w:asciiTheme="minorHAnsi" w:hAnsiTheme="minorHAnsi"/>
          <w:noProof/>
          <w:webHidden/>
        </w:rPr>
        <w:tab/>
        <w:t>116</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Figure 1.3</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Treatment algorithm from McLaughlin et al (2015)</w:t>
      </w:r>
      <w:r w:rsidRPr="00526CFC">
        <w:rPr>
          <w:rFonts w:asciiTheme="minorHAnsi" w:hAnsiTheme="minorHAnsi"/>
          <w:noProof/>
          <w:webHidden/>
        </w:rPr>
        <w:tab/>
        <w:t>117</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Figure 1.4</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Diagnostic algorithm for PAH, ESC/ERS Guideline</w:t>
      </w:r>
      <w:r w:rsidRPr="00526CFC">
        <w:rPr>
          <w:rFonts w:asciiTheme="minorHAnsi" w:hAnsiTheme="minorHAnsi"/>
          <w:noProof/>
          <w:webHidden/>
        </w:rPr>
        <w:tab/>
        <w:t>118</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Figure 1.5</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Diagnostic algorithm for PAH</w:t>
      </w:r>
      <w:r w:rsidRPr="00526CFC">
        <w:rPr>
          <w:rFonts w:asciiTheme="minorHAnsi" w:hAnsiTheme="minorHAnsi"/>
          <w:noProof/>
          <w:webHidden/>
        </w:rPr>
        <w:tab/>
        <w:t>119</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Figure 1.6</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Treatment algorithm for Paediatric PAH (World Symposium)</w:t>
      </w:r>
      <w:r w:rsidRPr="00526CFC">
        <w:rPr>
          <w:rFonts w:asciiTheme="minorHAnsi" w:hAnsiTheme="minorHAnsi"/>
          <w:noProof/>
          <w:webHidden/>
        </w:rPr>
        <w:tab/>
        <w:t>120</w:t>
      </w:r>
    </w:p>
    <w:p w:rsidR="00526CFC" w:rsidRPr="00526CFC" w:rsidRDefault="00526CFC">
      <w:pPr>
        <w:pStyle w:val="TableofFigures"/>
        <w:tabs>
          <w:tab w:val="right" w:leader="dot" w:pos="9628"/>
        </w:tabs>
        <w:rPr>
          <w:rFonts w:asciiTheme="minorHAnsi" w:eastAsiaTheme="minorEastAsia" w:hAnsiTheme="minorHAnsi" w:cstheme="minorBidi"/>
          <w:noProof/>
          <w:sz w:val="22"/>
          <w:szCs w:val="22"/>
          <w:lang w:eastAsia="en-AU"/>
        </w:rPr>
      </w:pPr>
      <w:r w:rsidRPr="003F5FE5">
        <w:rPr>
          <w:rFonts w:asciiTheme="minorHAnsi" w:hAnsiTheme="minorHAnsi"/>
          <w:noProof/>
        </w:rPr>
        <w:t>Figure 1.7</w:t>
      </w:r>
      <w:r w:rsidRPr="00526CFC">
        <w:rPr>
          <w:rFonts w:asciiTheme="minorHAnsi" w:eastAsiaTheme="minorEastAsia" w:hAnsiTheme="minorHAnsi" w:cstheme="minorBidi"/>
          <w:noProof/>
          <w:sz w:val="22"/>
          <w:szCs w:val="22"/>
          <w:lang w:eastAsia="en-AU"/>
        </w:rPr>
        <w:tab/>
      </w:r>
      <w:r w:rsidRPr="003F5FE5">
        <w:rPr>
          <w:rFonts w:asciiTheme="minorHAnsi" w:hAnsiTheme="minorHAnsi"/>
          <w:noProof/>
        </w:rPr>
        <w:t>Diagnostic algorithm for Paediatric PAH</w:t>
      </w:r>
      <w:r w:rsidRPr="00526CFC">
        <w:rPr>
          <w:rFonts w:asciiTheme="minorHAnsi" w:hAnsiTheme="minorHAnsi"/>
          <w:noProof/>
          <w:webHidden/>
        </w:rPr>
        <w:tab/>
        <w:t>121</w:t>
      </w:r>
    </w:p>
    <w:p w:rsidR="00E34E46" w:rsidRDefault="00E34E46" w:rsidP="00C6441A">
      <w:pPr>
        <w:spacing w:beforeLines="40" w:before="96" w:after="40"/>
        <w:ind w:left="1418"/>
        <w:jc w:val="left"/>
      </w:pPr>
    </w:p>
    <w:p w:rsidR="00E76317" w:rsidRDefault="00E76317" w:rsidP="00121658">
      <w:pPr>
        <w:pStyle w:val="Heading1"/>
        <w:numPr>
          <w:ilvl w:val="0"/>
          <w:numId w:val="0"/>
        </w:numPr>
        <w:spacing w:before="0"/>
        <w:jc w:val="left"/>
      </w:pPr>
      <w:bookmarkStart w:id="6" w:name="_Toc513107570"/>
      <w:r>
        <w:lastRenderedPageBreak/>
        <w:t>Acknowledgements</w:t>
      </w:r>
      <w:bookmarkEnd w:id="6"/>
    </w:p>
    <w:p w:rsidR="00E76317" w:rsidRPr="003314AE" w:rsidRDefault="00E76317" w:rsidP="00121658">
      <w:pPr>
        <w:pStyle w:val="BodyText"/>
        <w:jc w:val="left"/>
        <w:rPr>
          <w:rFonts w:asciiTheme="minorHAnsi" w:hAnsiTheme="minorHAnsi"/>
        </w:rPr>
      </w:pPr>
      <w:r w:rsidRPr="003314AE">
        <w:rPr>
          <w:rFonts w:asciiTheme="minorHAnsi" w:hAnsiTheme="minorHAnsi"/>
        </w:rPr>
        <w:t xml:space="preserve">The </w:t>
      </w:r>
      <w:r w:rsidR="00BD517A" w:rsidRPr="003314AE">
        <w:rPr>
          <w:rFonts w:asciiTheme="minorHAnsi" w:hAnsiTheme="minorHAnsi"/>
        </w:rPr>
        <w:t>following organisations and staff have been involved in the preparation of this report:</w:t>
      </w:r>
    </w:p>
    <w:p w:rsidR="007448CC" w:rsidRDefault="007448CC" w:rsidP="00121658">
      <w:pPr>
        <w:pStyle w:val="Heading1"/>
        <w:numPr>
          <w:ilvl w:val="0"/>
          <w:numId w:val="0"/>
        </w:numPr>
        <w:spacing w:before="0"/>
        <w:jc w:val="left"/>
      </w:pPr>
      <w:bookmarkStart w:id="7" w:name="_Toc480371853"/>
      <w:bookmarkStart w:id="8" w:name="_Toc486514186"/>
      <w:bookmarkStart w:id="9" w:name="_Toc513107571"/>
      <w:r>
        <w:t>Abbreviations</w:t>
      </w:r>
      <w:bookmarkEnd w:id="7"/>
      <w:bookmarkEnd w:id="8"/>
      <w:bookmarkEnd w:id="9"/>
    </w:p>
    <w:tbl>
      <w:tblPr>
        <w:tblW w:w="4946"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Caption w:val="Abbreviations"/>
      </w:tblPr>
      <w:tblGrid>
        <w:gridCol w:w="2234"/>
        <w:gridCol w:w="7514"/>
      </w:tblGrid>
      <w:tr w:rsidR="006C0DFB" w:rsidRPr="006C0DFB" w:rsidTr="006C0DFB">
        <w:trPr>
          <w:trHeight w:val="170"/>
        </w:trPr>
        <w:tc>
          <w:tcPr>
            <w:tcW w:w="1146" w:type="pct"/>
            <w:tcBorders>
              <w:bottom w:val="nil"/>
            </w:tcBorders>
            <w:shd w:val="clear" w:color="auto" w:fill="BFBFBF" w:themeFill="background1" w:themeFillShade="BF"/>
            <w:vAlign w:val="bottom"/>
          </w:tcPr>
          <w:p w:rsidR="006C0DFB" w:rsidRPr="006C0DFB" w:rsidRDefault="006C0DFB" w:rsidP="00121658">
            <w:pPr>
              <w:spacing w:before="40" w:after="40"/>
              <w:jc w:val="left"/>
              <w:rPr>
                <w:rFonts w:ascii="Calibri" w:hAnsi="Calibri" w:cs="Arial"/>
                <w:b/>
                <w:color w:val="000000"/>
                <w:sz w:val="22"/>
                <w:szCs w:val="22"/>
              </w:rPr>
            </w:pPr>
            <w:r w:rsidRPr="006C0DFB">
              <w:rPr>
                <w:rFonts w:ascii="Calibri" w:hAnsi="Calibri" w:cs="Arial"/>
                <w:b/>
                <w:color w:val="000000"/>
                <w:sz w:val="22"/>
                <w:szCs w:val="22"/>
              </w:rPr>
              <w:t>Abbreviation</w:t>
            </w:r>
          </w:p>
        </w:tc>
        <w:tc>
          <w:tcPr>
            <w:tcW w:w="3854" w:type="pct"/>
            <w:tcBorders>
              <w:bottom w:val="nil"/>
            </w:tcBorders>
            <w:shd w:val="clear" w:color="auto" w:fill="BFBFBF" w:themeFill="background1" w:themeFillShade="BF"/>
            <w:vAlign w:val="bottom"/>
          </w:tcPr>
          <w:p w:rsidR="006C0DFB" w:rsidRPr="006C0DFB" w:rsidRDefault="006C0DFB" w:rsidP="00121658">
            <w:pPr>
              <w:spacing w:before="40" w:after="40"/>
              <w:jc w:val="left"/>
              <w:rPr>
                <w:rFonts w:ascii="Calibri" w:hAnsi="Calibri" w:cs="Arial"/>
                <w:b/>
                <w:color w:val="000000"/>
                <w:sz w:val="22"/>
                <w:szCs w:val="22"/>
              </w:rPr>
            </w:pPr>
            <w:r w:rsidRPr="006C0DFB">
              <w:rPr>
                <w:rFonts w:ascii="Calibri" w:hAnsi="Calibri" w:cs="Arial"/>
                <w:b/>
                <w:color w:val="000000"/>
                <w:sz w:val="22"/>
                <w:szCs w:val="22"/>
              </w:rPr>
              <w:t>Full Name / Wording</w:t>
            </w:r>
          </w:p>
        </w:tc>
      </w:tr>
      <w:tr w:rsidR="0003499D" w:rsidRPr="003314AE" w:rsidTr="006C0DFB">
        <w:trPr>
          <w:trHeight w:val="170"/>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bookmarkStart w:id="10" w:name="_Toc480371854"/>
            <w:bookmarkStart w:id="11" w:name="_Toc486514187"/>
            <w:r w:rsidRPr="006C0DFB">
              <w:rPr>
                <w:rFonts w:ascii="Calibri" w:hAnsi="Calibri" w:cs="Arial"/>
                <w:color w:val="000000"/>
                <w:sz w:val="22"/>
                <w:szCs w:val="22"/>
              </w:rPr>
              <w:t>6MWT</w:t>
            </w:r>
          </w:p>
        </w:tc>
        <w:tc>
          <w:tcPr>
            <w:tcW w:w="3854" w:type="pct"/>
            <w:tcBorders>
              <w:top w:val="nil"/>
              <w:left w:val="nil"/>
              <w:bottom w:val="nil"/>
              <w:right w:val="nil"/>
            </w:tcBorders>
            <w:shd w:val="clear" w:color="auto" w:fill="auto"/>
            <w:vAlign w:val="bottom"/>
          </w:tcPr>
          <w:p w:rsidR="0003499D"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Six minute w</w:t>
            </w:r>
            <w:r w:rsidR="0003499D" w:rsidRPr="006C0DFB">
              <w:rPr>
                <w:rFonts w:ascii="Calibri" w:hAnsi="Calibri" w:cs="Arial"/>
                <w:color w:val="000000"/>
                <w:sz w:val="22"/>
                <w:szCs w:val="22"/>
              </w:rPr>
              <w:t xml:space="preserve">alk </w:t>
            </w:r>
            <w:r w:rsidRPr="006C0DFB">
              <w:rPr>
                <w:rFonts w:ascii="Calibri" w:hAnsi="Calibri" w:cs="Arial"/>
                <w:color w:val="000000"/>
                <w:sz w:val="22"/>
                <w:szCs w:val="22"/>
              </w:rPr>
              <w:t>t</w:t>
            </w:r>
            <w:r w:rsidR="0003499D" w:rsidRPr="006C0DFB">
              <w:rPr>
                <w:rFonts w:ascii="Calibri" w:hAnsi="Calibri" w:cs="Arial"/>
                <w:color w:val="000000"/>
                <w:sz w:val="22"/>
                <w:szCs w:val="22"/>
              </w:rPr>
              <w:t>est</w:t>
            </w:r>
          </w:p>
        </w:tc>
      </w:tr>
      <w:tr w:rsidR="0003499D" w:rsidRPr="003314AE" w:rsidTr="006C0DFB">
        <w:trPr>
          <w:trHeight w:val="288"/>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6MWD</w:t>
            </w:r>
          </w:p>
        </w:tc>
        <w:tc>
          <w:tcPr>
            <w:tcW w:w="3854" w:type="pct"/>
            <w:tcBorders>
              <w:top w:val="nil"/>
              <w:left w:val="nil"/>
              <w:bottom w:val="nil"/>
              <w:right w:val="nil"/>
            </w:tcBorders>
            <w:shd w:val="clear" w:color="auto" w:fill="auto"/>
            <w:vAlign w:val="bottom"/>
          </w:tcPr>
          <w:p w:rsidR="0003499D"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Six minute w</w:t>
            </w:r>
            <w:r w:rsidR="0003499D" w:rsidRPr="006C0DFB">
              <w:rPr>
                <w:rFonts w:ascii="Calibri" w:hAnsi="Calibri" w:cs="Arial"/>
                <w:color w:val="000000"/>
                <w:sz w:val="22"/>
                <w:szCs w:val="22"/>
              </w:rPr>
              <w:t xml:space="preserve">alk </w:t>
            </w:r>
            <w:r w:rsidRPr="006C0DFB">
              <w:rPr>
                <w:rFonts w:ascii="Calibri" w:hAnsi="Calibri" w:cs="Arial"/>
                <w:color w:val="000000"/>
                <w:sz w:val="22"/>
                <w:szCs w:val="22"/>
              </w:rPr>
              <w:t>d</w:t>
            </w:r>
            <w:r w:rsidR="0003499D" w:rsidRPr="006C0DFB">
              <w:rPr>
                <w:rFonts w:ascii="Calibri" w:hAnsi="Calibri" w:cs="Arial"/>
                <w:color w:val="000000"/>
                <w:sz w:val="22"/>
                <w:szCs w:val="22"/>
              </w:rPr>
              <w:t>istance</w:t>
            </w:r>
          </w:p>
        </w:tc>
      </w:tr>
      <w:tr w:rsidR="0003499D" w:rsidRPr="003314AE" w:rsidTr="006C0DFB">
        <w:trPr>
          <w:trHeight w:val="170"/>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ACC</w:t>
            </w:r>
          </w:p>
        </w:tc>
        <w:tc>
          <w:tcPr>
            <w:tcW w:w="3854"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American College of Cardiology </w:t>
            </w:r>
          </w:p>
        </w:tc>
      </w:tr>
      <w:tr w:rsidR="00542508" w:rsidRPr="003314AE" w:rsidTr="006C0DFB">
        <w:trPr>
          <w:trHeight w:val="170"/>
        </w:trPr>
        <w:tc>
          <w:tcPr>
            <w:tcW w:w="1146" w:type="pct"/>
            <w:tcBorders>
              <w:top w:val="nil"/>
              <w:left w:val="nil"/>
              <w:bottom w:val="nil"/>
              <w:right w:val="nil"/>
            </w:tcBorders>
            <w:shd w:val="clear" w:color="auto" w:fill="auto"/>
            <w:vAlign w:val="bottom"/>
          </w:tcPr>
          <w:p w:rsidR="00542508" w:rsidRPr="006C0DFB" w:rsidRDefault="00542508"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AE</w:t>
            </w:r>
          </w:p>
        </w:tc>
        <w:tc>
          <w:tcPr>
            <w:tcW w:w="3854" w:type="pct"/>
            <w:tcBorders>
              <w:top w:val="nil"/>
              <w:left w:val="nil"/>
              <w:bottom w:val="nil"/>
              <w:right w:val="nil"/>
            </w:tcBorders>
            <w:shd w:val="clear" w:color="auto" w:fill="auto"/>
            <w:vAlign w:val="bottom"/>
          </w:tcPr>
          <w:p w:rsidR="00542508" w:rsidRPr="006C0DFB" w:rsidRDefault="00542508"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Adverse </w:t>
            </w:r>
            <w:r w:rsidR="00711867" w:rsidRPr="006C0DFB">
              <w:rPr>
                <w:rFonts w:ascii="Calibri" w:hAnsi="Calibri" w:cs="Arial"/>
                <w:color w:val="000000"/>
                <w:sz w:val="22"/>
                <w:szCs w:val="22"/>
              </w:rPr>
              <w:t>e</w:t>
            </w:r>
            <w:r w:rsidRPr="006C0DFB">
              <w:rPr>
                <w:rFonts w:ascii="Calibri" w:hAnsi="Calibri" w:cs="Arial"/>
                <w:color w:val="000000"/>
                <w:sz w:val="22"/>
                <w:szCs w:val="22"/>
              </w:rPr>
              <w:t>vent</w:t>
            </w:r>
          </w:p>
        </w:tc>
      </w:tr>
      <w:tr w:rsidR="0003499D" w:rsidRPr="003314AE" w:rsidTr="006C0DFB">
        <w:trPr>
          <w:trHeight w:val="170"/>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AHA</w:t>
            </w:r>
          </w:p>
        </w:tc>
        <w:tc>
          <w:tcPr>
            <w:tcW w:w="3854"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American Heart Association</w:t>
            </w:r>
          </w:p>
        </w:tc>
      </w:tr>
      <w:tr w:rsidR="00542508" w:rsidRPr="003314AE" w:rsidTr="006C0DFB">
        <w:trPr>
          <w:trHeight w:val="170"/>
        </w:trPr>
        <w:tc>
          <w:tcPr>
            <w:tcW w:w="1146" w:type="pct"/>
            <w:tcBorders>
              <w:top w:val="nil"/>
              <w:left w:val="nil"/>
              <w:bottom w:val="nil"/>
              <w:right w:val="nil"/>
            </w:tcBorders>
            <w:shd w:val="clear" w:color="auto" w:fill="auto"/>
            <w:vAlign w:val="bottom"/>
          </w:tcPr>
          <w:p w:rsidR="00542508" w:rsidRPr="006C0DFB" w:rsidRDefault="00542508"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ARD</w:t>
            </w:r>
          </w:p>
        </w:tc>
        <w:tc>
          <w:tcPr>
            <w:tcW w:w="3854" w:type="pct"/>
            <w:tcBorders>
              <w:top w:val="nil"/>
              <w:left w:val="nil"/>
              <w:bottom w:val="nil"/>
              <w:right w:val="nil"/>
            </w:tcBorders>
            <w:shd w:val="clear" w:color="auto" w:fill="auto"/>
            <w:vAlign w:val="bottom"/>
          </w:tcPr>
          <w:p w:rsidR="00542508"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sz w:val="22"/>
                <w:szCs w:val="22"/>
              </w:rPr>
              <w:t>Absolute risk d</w:t>
            </w:r>
            <w:r w:rsidR="00542508" w:rsidRPr="006C0DFB">
              <w:rPr>
                <w:rFonts w:ascii="Calibri" w:hAnsi="Calibri"/>
                <w:sz w:val="22"/>
                <w:szCs w:val="22"/>
              </w:rPr>
              <w:t>ifference</w:t>
            </w:r>
          </w:p>
        </w:tc>
      </w:tr>
      <w:tr w:rsidR="00542508" w:rsidRPr="003314AE" w:rsidTr="006C0DFB">
        <w:trPr>
          <w:trHeight w:val="170"/>
        </w:trPr>
        <w:tc>
          <w:tcPr>
            <w:tcW w:w="1146" w:type="pct"/>
            <w:tcBorders>
              <w:top w:val="nil"/>
              <w:left w:val="nil"/>
              <w:bottom w:val="nil"/>
              <w:right w:val="nil"/>
            </w:tcBorders>
            <w:shd w:val="clear" w:color="auto" w:fill="auto"/>
            <w:vAlign w:val="bottom"/>
          </w:tcPr>
          <w:p w:rsidR="00542508" w:rsidRPr="006C0DFB" w:rsidRDefault="00542508"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ARTG</w:t>
            </w:r>
          </w:p>
        </w:tc>
        <w:tc>
          <w:tcPr>
            <w:tcW w:w="3854" w:type="pct"/>
            <w:tcBorders>
              <w:top w:val="nil"/>
              <w:left w:val="nil"/>
              <w:bottom w:val="nil"/>
              <w:right w:val="nil"/>
            </w:tcBorders>
            <w:shd w:val="clear" w:color="auto" w:fill="auto"/>
            <w:vAlign w:val="bottom"/>
          </w:tcPr>
          <w:p w:rsidR="00542508" w:rsidRPr="006C0DFB" w:rsidRDefault="00542508"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Australian Register of Therapeutic Goods</w:t>
            </w:r>
          </w:p>
        </w:tc>
      </w:tr>
      <w:tr w:rsidR="0003499D" w:rsidRPr="003314AE" w:rsidTr="006C0DFB">
        <w:trPr>
          <w:trHeight w:val="170"/>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ATC</w:t>
            </w:r>
          </w:p>
        </w:tc>
        <w:tc>
          <w:tcPr>
            <w:tcW w:w="3854"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Anatomical Therapeutic Chemical (code)</w:t>
            </w:r>
          </w:p>
        </w:tc>
      </w:tr>
      <w:tr w:rsidR="0003499D" w:rsidRPr="003314AE" w:rsidTr="006C0DFB">
        <w:trPr>
          <w:trHeight w:val="170"/>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proofErr w:type="spellStart"/>
            <w:r w:rsidRPr="006C0DFB">
              <w:rPr>
                <w:rFonts w:ascii="Calibri" w:hAnsi="Calibri" w:cs="Arial"/>
                <w:color w:val="000000"/>
                <w:sz w:val="22"/>
                <w:szCs w:val="22"/>
              </w:rPr>
              <w:t>AusPAR</w:t>
            </w:r>
            <w:proofErr w:type="spellEnd"/>
          </w:p>
        </w:tc>
        <w:tc>
          <w:tcPr>
            <w:tcW w:w="3854" w:type="pct"/>
            <w:tcBorders>
              <w:top w:val="nil"/>
              <w:left w:val="nil"/>
              <w:bottom w:val="nil"/>
              <w:right w:val="nil"/>
            </w:tcBorders>
            <w:shd w:val="clear" w:color="auto" w:fill="auto"/>
            <w:vAlign w:val="bottom"/>
          </w:tcPr>
          <w:p w:rsidR="0003499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Australian public assessment r</w:t>
            </w:r>
            <w:r w:rsidR="0003499D" w:rsidRPr="006C0DFB">
              <w:rPr>
                <w:rFonts w:ascii="Calibri" w:hAnsi="Calibri" w:cs="Arial"/>
                <w:color w:val="000000"/>
                <w:sz w:val="22"/>
                <w:szCs w:val="22"/>
              </w:rPr>
              <w:t>eport</w:t>
            </w:r>
          </w:p>
        </w:tc>
      </w:tr>
      <w:tr w:rsidR="0003499D" w:rsidRPr="003314AE" w:rsidTr="006C0DFB">
        <w:trPr>
          <w:trHeight w:val="170"/>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BNP</w:t>
            </w:r>
          </w:p>
        </w:tc>
        <w:tc>
          <w:tcPr>
            <w:tcW w:w="3854" w:type="pct"/>
            <w:tcBorders>
              <w:top w:val="nil"/>
              <w:left w:val="nil"/>
              <w:bottom w:val="nil"/>
              <w:right w:val="nil"/>
            </w:tcBorders>
            <w:shd w:val="clear" w:color="auto" w:fill="auto"/>
            <w:vAlign w:val="bottom"/>
          </w:tcPr>
          <w:p w:rsidR="0003499D"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B-type natriuretic p</w:t>
            </w:r>
            <w:r w:rsidR="0003499D" w:rsidRPr="006C0DFB">
              <w:rPr>
                <w:rFonts w:ascii="Calibri" w:hAnsi="Calibri" w:cs="Arial"/>
                <w:color w:val="000000"/>
                <w:sz w:val="22"/>
                <w:szCs w:val="22"/>
              </w:rPr>
              <w:t>eptide</w:t>
            </w:r>
          </w:p>
        </w:tc>
      </w:tr>
      <w:tr w:rsidR="0003499D" w:rsidRPr="003314AE" w:rsidTr="006C0DFB">
        <w:trPr>
          <w:trHeight w:val="170"/>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CADTH</w:t>
            </w:r>
          </w:p>
        </w:tc>
        <w:tc>
          <w:tcPr>
            <w:tcW w:w="3854"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Canadian Agency for Drugs and Technologies in Health</w:t>
            </w:r>
          </w:p>
        </w:tc>
      </w:tr>
      <w:tr w:rsidR="0003499D" w:rsidRPr="003314AE" w:rsidTr="006C0DFB">
        <w:trPr>
          <w:trHeight w:val="170"/>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CATAG</w:t>
            </w:r>
          </w:p>
        </w:tc>
        <w:tc>
          <w:tcPr>
            <w:tcW w:w="3854"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Council of Australian Therapeutics Advisory Groups</w:t>
            </w:r>
          </w:p>
        </w:tc>
      </w:tr>
      <w:tr w:rsidR="0003499D" w:rsidRPr="003314AE" w:rsidTr="006C0DFB">
        <w:trPr>
          <w:trHeight w:val="170"/>
        </w:trPr>
        <w:tc>
          <w:tcPr>
            <w:tcW w:w="1146" w:type="pct"/>
            <w:tcBorders>
              <w:top w:val="nil"/>
              <w:left w:val="nil"/>
              <w:bottom w:val="nil"/>
              <w:right w:val="nil"/>
            </w:tcBorders>
            <w:shd w:val="clear" w:color="auto" w:fill="auto"/>
            <w:vAlign w:val="bottom"/>
          </w:tcPr>
          <w:p w:rsidR="0003499D" w:rsidRPr="006C0DFB" w:rsidRDefault="0003499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CCB</w:t>
            </w:r>
          </w:p>
        </w:tc>
        <w:tc>
          <w:tcPr>
            <w:tcW w:w="3854" w:type="pct"/>
            <w:tcBorders>
              <w:top w:val="nil"/>
              <w:left w:val="nil"/>
              <w:bottom w:val="nil"/>
              <w:right w:val="nil"/>
            </w:tcBorders>
            <w:shd w:val="clear" w:color="auto" w:fill="auto"/>
            <w:vAlign w:val="bottom"/>
          </w:tcPr>
          <w:p w:rsidR="0003499D"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Calcium channel b</w:t>
            </w:r>
            <w:r w:rsidR="0003499D" w:rsidRPr="006C0DFB">
              <w:rPr>
                <w:rFonts w:ascii="Calibri" w:hAnsi="Calibri" w:cs="Arial"/>
                <w:color w:val="000000"/>
                <w:sz w:val="22"/>
                <w:szCs w:val="22"/>
              </w:rPr>
              <w:t>locker</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CI</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w:t>
            </w:r>
            <w:r w:rsidR="00711867" w:rsidRPr="006C0DFB">
              <w:rPr>
                <w:rFonts w:ascii="Calibri" w:hAnsi="Calibri" w:cs="Arial"/>
                <w:color w:val="000000"/>
                <w:sz w:val="22"/>
                <w:szCs w:val="22"/>
              </w:rPr>
              <w:t>ardiac i</w:t>
            </w:r>
            <w:r w:rsidRPr="006C0DFB">
              <w:rPr>
                <w:rFonts w:ascii="Calibri" w:hAnsi="Calibri" w:cs="Arial"/>
                <w:color w:val="000000"/>
                <w:sz w:val="22"/>
                <w:szCs w:val="22"/>
              </w:rPr>
              <w:t>ndex</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CO</w:t>
            </w:r>
          </w:p>
        </w:tc>
        <w:tc>
          <w:tcPr>
            <w:tcW w:w="3854" w:type="pct"/>
            <w:tcBorders>
              <w:top w:val="nil"/>
              <w:left w:val="nil"/>
              <w:bottom w:val="nil"/>
              <w:right w:val="nil"/>
            </w:tcBorders>
            <w:shd w:val="clear" w:color="auto" w:fill="auto"/>
            <w:vAlign w:val="bottom"/>
          </w:tcPr>
          <w:p w:rsidR="00AF191D"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Cardiac o</w:t>
            </w:r>
            <w:r w:rsidR="00AF191D" w:rsidRPr="006C0DFB">
              <w:rPr>
                <w:rFonts w:ascii="Calibri" w:hAnsi="Calibri" w:cs="Arial"/>
                <w:color w:val="000000"/>
                <w:sz w:val="22"/>
                <w:szCs w:val="22"/>
              </w:rPr>
              <w:t>utput</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CPET</w:t>
            </w:r>
          </w:p>
        </w:tc>
        <w:tc>
          <w:tcPr>
            <w:tcW w:w="3854" w:type="pct"/>
            <w:tcBorders>
              <w:top w:val="nil"/>
              <w:left w:val="nil"/>
              <w:bottom w:val="nil"/>
              <w:right w:val="nil"/>
            </w:tcBorders>
            <w:shd w:val="clear" w:color="auto" w:fill="auto"/>
            <w:vAlign w:val="bottom"/>
          </w:tcPr>
          <w:p w:rsidR="00AF191D"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Cardiopulmonary exercise t</w:t>
            </w:r>
            <w:r w:rsidR="00AF191D" w:rsidRPr="006C0DFB">
              <w:rPr>
                <w:rFonts w:ascii="Calibri" w:hAnsi="Calibri" w:cs="Arial"/>
                <w:color w:val="000000"/>
                <w:sz w:val="22"/>
                <w:szCs w:val="22"/>
              </w:rPr>
              <w:t>esting</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CSR</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Clinical </w:t>
            </w:r>
            <w:r w:rsidR="0027496F" w:rsidRPr="006C0DFB">
              <w:rPr>
                <w:rFonts w:ascii="Calibri" w:hAnsi="Calibri" w:cs="Arial"/>
                <w:color w:val="000000"/>
                <w:sz w:val="22"/>
                <w:szCs w:val="22"/>
              </w:rPr>
              <w:t>study r</w:t>
            </w:r>
            <w:r w:rsidRPr="006C0DFB">
              <w:rPr>
                <w:rFonts w:ascii="Calibri" w:hAnsi="Calibri" w:cs="Arial"/>
                <w:color w:val="000000"/>
                <w:sz w:val="22"/>
                <w:szCs w:val="22"/>
              </w:rPr>
              <w:t>eport</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CTEPH</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Chronic thromboembolic pulmonary hypertension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DHS</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Department of Human Services (formerly Medicare Australia)</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DPMQ</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Dispensed price per maximum q</w:t>
            </w:r>
            <w:r w:rsidR="00AF191D" w:rsidRPr="006C0DFB">
              <w:rPr>
                <w:rFonts w:ascii="Calibri" w:hAnsi="Calibri" w:cs="Arial"/>
                <w:color w:val="000000"/>
                <w:sz w:val="22"/>
                <w:szCs w:val="22"/>
              </w:rPr>
              <w:t>uantity</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proofErr w:type="spellStart"/>
            <w:r w:rsidRPr="006C0DFB">
              <w:rPr>
                <w:rFonts w:ascii="Calibri" w:hAnsi="Calibri" w:cs="Arial"/>
                <w:color w:val="000000"/>
                <w:sz w:val="22"/>
                <w:szCs w:val="22"/>
              </w:rPr>
              <w:t>DLco</w:t>
            </w:r>
            <w:proofErr w:type="spellEnd"/>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Diffusing capacity of lung for carbon monoxide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DTC</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Hospital Drugs and Therapeutics Committee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DUSC</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Drug Utilisation Sub-Committee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EMA</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European Medicines Agency</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EPAR</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European public assessment r</w:t>
            </w:r>
            <w:r w:rsidR="00AF191D" w:rsidRPr="006C0DFB">
              <w:rPr>
                <w:rFonts w:ascii="Calibri" w:hAnsi="Calibri" w:cs="Arial"/>
                <w:color w:val="000000"/>
                <w:sz w:val="22"/>
                <w:szCs w:val="22"/>
              </w:rPr>
              <w:t>eport</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EQ-5D</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proofErr w:type="spellStart"/>
            <w:r w:rsidRPr="006C0DFB">
              <w:rPr>
                <w:rFonts w:ascii="Calibri" w:hAnsi="Calibri" w:cs="Arial"/>
                <w:color w:val="000000"/>
                <w:sz w:val="22"/>
                <w:szCs w:val="22"/>
              </w:rPr>
              <w:t>EuroQol</w:t>
            </w:r>
            <w:proofErr w:type="spellEnd"/>
            <w:r w:rsidRPr="006C0DFB">
              <w:rPr>
                <w:rFonts w:ascii="Calibri" w:hAnsi="Calibri" w:cs="Arial"/>
                <w:color w:val="000000"/>
                <w:sz w:val="22"/>
                <w:szCs w:val="22"/>
              </w:rPr>
              <w:t xml:space="preserve"> 5-d</w:t>
            </w:r>
            <w:r w:rsidR="00AF191D" w:rsidRPr="006C0DFB">
              <w:rPr>
                <w:rFonts w:ascii="Calibri" w:hAnsi="Calibri" w:cs="Arial"/>
                <w:color w:val="000000"/>
                <w:sz w:val="22"/>
                <w:szCs w:val="22"/>
              </w:rPr>
              <w:t>imension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EQ-VAS</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proofErr w:type="spellStart"/>
            <w:r w:rsidRPr="006C0DFB">
              <w:rPr>
                <w:rFonts w:ascii="Calibri" w:hAnsi="Calibri" w:cs="Arial"/>
                <w:color w:val="000000"/>
                <w:sz w:val="22"/>
                <w:szCs w:val="22"/>
              </w:rPr>
              <w:t>EuroQol</w:t>
            </w:r>
            <w:proofErr w:type="spellEnd"/>
            <w:r w:rsidRPr="006C0DFB">
              <w:rPr>
                <w:rFonts w:ascii="Calibri" w:hAnsi="Calibri" w:cs="Arial"/>
                <w:color w:val="000000"/>
                <w:sz w:val="22"/>
                <w:szCs w:val="22"/>
              </w:rPr>
              <w:t xml:space="preserve"> visual analogue s</w:t>
            </w:r>
            <w:r w:rsidR="00AF191D" w:rsidRPr="006C0DFB">
              <w:rPr>
                <w:rFonts w:ascii="Calibri" w:hAnsi="Calibri" w:cs="Arial"/>
                <w:color w:val="000000"/>
                <w:sz w:val="22"/>
                <w:szCs w:val="22"/>
              </w:rPr>
              <w:t>cale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ERA</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Endothelin receptor a</w:t>
            </w:r>
            <w:r w:rsidR="00AF191D" w:rsidRPr="006C0DFB">
              <w:rPr>
                <w:rFonts w:ascii="Calibri" w:hAnsi="Calibri" w:cs="Arial"/>
                <w:color w:val="000000"/>
                <w:sz w:val="22"/>
                <w:szCs w:val="22"/>
              </w:rPr>
              <w:t>ntagonist</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ERS</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European Respiratory Society</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ESC</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European Society of Cardiology</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FC</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Functional </w:t>
            </w:r>
            <w:r w:rsidR="0027496F" w:rsidRPr="006C0DFB">
              <w:rPr>
                <w:rFonts w:ascii="Calibri" w:hAnsi="Calibri" w:cs="Arial"/>
                <w:color w:val="000000"/>
                <w:sz w:val="22"/>
                <w:szCs w:val="22"/>
              </w:rPr>
              <w:t>c</w:t>
            </w:r>
            <w:r w:rsidRPr="006C0DFB">
              <w:rPr>
                <w:rFonts w:ascii="Calibri" w:hAnsi="Calibri" w:cs="Arial"/>
                <w:color w:val="000000"/>
                <w:sz w:val="22"/>
                <w:szCs w:val="22"/>
              </w:rPr>
              <w:t>lass</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FDA</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United States Food and Drug Administration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GP</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General p</w:t>
            </w:r>
            <w:r w:rsidR="00AF191D" w:rsidRPr="006C0DFB">
              <w:rPr>
                <w:rFonts w:ascii="Calibri" w:hAnsi="Calibri" w:cs="Arial"/>
                <w:color w:val="000000"/>
                <w:sz w:val="22"/>
                <w:szCs w:val="22"/>
              </w:rPr>
              <w:t>ractitioner</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GRADE</w:t>
            </w:r>
            <w:r w:rsidRPr="006C0DFB">
              <w:rPr>
                <w:rFonts w:ascii="Calibri" w:hAnsi="Calibri" w:cs="Arial"/>
                <w:color w:val="000000"/>
                <w:sz w:val="22"/>
                <w:szCs w:val="22"/>
              </w:rPr>
              <w:tab/>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Grading of Recommendations Assessment, Development, and Evaluation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HPAH</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Heritable pulmonary arterial hypertension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HR</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Hazard r</w:t>
            </w:r>
            <w:r w:rsidR="00AF191D" w:rsidRPr="006C0DFB">
              <w:rPr>
                <w:rFonts w:ascii="Calibri" w:hAnsi="Calibri" w:cs="Arial"/>
                <w:color w:val="000000"/>
                <w:sz w:val="22"/>
                <w:szCs w:val="22"/>
              </w:rPr>
              <w:t>atio</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IPAH</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Idiopathic pulmonary arterial h</w:t>
            </w:r>
            <w:r w:rsidR="00AF191D" w:rsidRPr="006C0DFB">
              <w:rPr>
                <w:rFonts w:ascii="Calibri" w:hAnsi="Calibri" w:cs="Arial"/>
                <w:color w:val="000000"/>
                <w:sz w:val="22"/>
                <w:szCs w:val="22"/>
              </w:rPr>
              <w:t>ypertension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IV</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Intravenous</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LPH questionnaire</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Living with pulmonary h</w:t>
            </w:r>
            <w:r w:rsidR="00AF191D" w:rsidRPr="006C0DFB">
              <w:rPr>
                <w:rFonts w:ascii="Calibri" w:hAnsi="Calibri" w:cs="Arial"/>
                <w:color w:val="000000"/>
                <w:sz w:val="22"/>
                <w:szCs w:val="22"/>
              </w:rPr>
              <w:t>ypertension questionnaire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LVF</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Left ventricular function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MLHF questionnaire</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Minnesota living with heart f</w:t>
            </w:r>
            <w:r w:rsidR="00AF191D" w:rsidRPr="006C0DFB">
              <w:rPr>
                <w:rFonts w:ascii="Calibri" w:hAnsi="Calibri" w:cs="Arial"/>
                <w:color w:val="000000"/>
                <w:sz w:val="22"/>
                <w:szCs w:val="22"/>
              </w:rPr>
              <w:t>ailure questionnaire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proofErr w:type="spellStart"/>
            <w:r w:rsidRPr="006C0DFB">
              <w:rPr>
                <w:rFonts w:ascii="Calibri" w:hAnsi="Calibri" w:cs="Arial"/>
                <w:color w:val="000000"/>
                <w:sz w:val="22"/>
                <w:szCs w:val="22"/>
              </w:rPr>
              <w:t>mPAP</w:t>
            </w:r>
            <w:proofErr w:type="spellEnd"/>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Mean p</w:t>
            </w:r>
            <w:r w:rsidR="00AF191D" w:rsidRPr="006C0DFB">
              <w:rPr>
                <w:rFonts w:ascii="Calibri" w:hAnsi="Calibri" w:cs="Arial"/>
                <w:color w:val="000000"/>
                <w:sz w:val="22"/>
                <w:szCs w:val="22"/>
              </w:rPr>
              <w:t xml:space="preserve">ulmonary </w:t>
            </w:r>
            <w:r w:rsidRPr="006C0DFB">
              <w:rPr>
                <w:rFonts w:ascii="Calibri" w:hAnsi="Calibri" w:cs="Arial"/>
                <w:color w:val="000000"/>
                <w:sz w:val="22"/>
                <w:szCs w:val="22"/>
              </w:rPr>
              <w:t>arterial p</w:t>
            </w:r>
            <w:r w:rsidR="00AF191D" w:rsidRPr="006C0DFB">
              <w:rPr>
                <w:rFonts w:ascii="Calibri" w:hAnsi="Calibri" w:cs="Arial"/>
                <w:color w:val="000000"/>
                <w:sz w:val="22"/>
                <w:szCs w:val="22"/>
              </w:rPr>
              <w:t>ressure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proofErr w:type="spellStart"/>
            <w:r w:rsidRPr="006C0DFB">
              <w:rPr>
                <w:rFonts w:ascii="Calibri" w:hAnsi="Calibri" w:cs="Arial"/>
                <w:color w:val="000000"/>
                <w:sz w:val="22"/>
                <w:szCs w:val="22"/>
              </w:rPr>
              <w:t>mRAP</w:t>
            </w:r>
            <w:proofErr w:type="spellEnd"/>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Mean right a</w:t>
            </w:r>
            <w:r w:rsidR="00AF191D" w:rsidRPr="006C0DFB">
              <w:rPr>
                <w:rFonts w:ascii="Calibri" w:hAnsi="Calibri" w:cs="Arial"/>
                <w:color w:val="000000"/>
                <w:sz w:val="22"/>
                <w:szCs w:val="22"/>
              </w:rPr>
              <w:t>tr</w:t>
            </w:r>
            <w:r w:rsidRPr="006C0DFB">
              <w:rPr>
                <w:rFonts w:ascii="Calibri" w:hAnsi="Calibri" w:cs="Arial"/>
                <w:color w:val="000000"/>
                <w:sz w:val="22"/>
                <w:szCs w:val="22"/>
              </w:rPr>
              <w:t>ial p</w:t>
            </w:r>
            <w:r w:rsidR="00AF191D" w:rsidRPr="006C0DFB">
              <w:rPr>
                <w:rFonts w:ascii="Calibri" w:hAnsi="Calibri" w:cs="Arial"/>
                <w:color w:val="000000"/>
                <w:sz w:val="22"/>
                <w:szCs w:val="22"/>
              </w:rPr>
              <w:t>ressure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MRI</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Magnetic resonance imaging</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MTD</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Maximum tolerable dose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NHS</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National Health Service (United Kingdom)</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NICE</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National Institute for Health and Care Excellence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NT-</w:t>
            </w:r>
            <w:proofErr w:type="spellStart"/>
            <w:r w:rsidRPr="006C0DFB">
              <w:rPr>
                <w:rFonts w:ascii="Calibri" w:hAnsi="Calibri" w:cs="Arial"/>
                <w:color w:val="000000"/>
                <w:sz w:val="22"/>
                <w:szCs w:val="22"/>
              </w:rPr>
              <w:t>proBNP</w:t>
            </w:r>
            <w:proofErr w:type="spellEnd"/>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N-terminal pro-B-type </w:t>
            </w:r>
            <w:r w:rsidR="00F24DA7" w:rsidRPr="006C0DFB">
              <w:rPr>
                <w:rFonts w:ascii="Calibri" w:hAnsi="Calibri" w:cs="Arial"/>
                <w:color w:val="000000"/>
                <w:sz w:val="22"/>
                <w:szCs w:val="22"/>
              </w:rPr>
              <w:t>natriuretic peptide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NNT</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Number </w:t>
            </w:r>
            <w:r w:rsidR="00F24DA7" w:rsidRPr="006C0DFB">
              <w:rPr>
                <w:rFonts w:ascii="Calibri" w:hAnsi="Calibri" w:cs="Arial"/>
                <w:color w:val="000000"/>
                <w:sz w:val="22"/>
                <w:szCs w:val="22"/>
              </w:rPr>
              <w:t>needed to treat</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NYHA</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New York Heart Association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PAH</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Pulmonary </w:t>
            </w:r>
            <w:r w:rsidR="00F24DA7" w:rsidRPr="006C0DFB">
              <w:rPr>
                <w:rFonts w:ascii="Calibri" w:hAnsi="Calibri" w:cs="Arial"/>
                <w:color w:val="000000"/>
                <w:sz w:val="22"/>
                <w:szCs w:val="22"/>
              </w:rPr>
              <w:t>arterial hypertension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PAH-CHD</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PAH</w:t>
            </w:r>
            <w:r w:rsidR="00AF191D" w:rsidRPr="006C0DFB">
              <w:rPr>
                <w:rFonts w:ascii="Calibri" w:hAnsi="Calibri" w:cs="Arial"/>
                <w:color w:val="000000"/>
                <w:sz w:val="22"/>
                <w:szCs w:val="22"/>
              </w:rPr>
              <w:t xml:space="preserve"> associated with </w:t>
            </w:r>
            <w:r w:rsidRPr="006C0DFB">
              <w:rPr>
                <w:rFonts w:ascii="Calibri" w:hAnsi="Calibri" w:cs="Arial"/>
                <w:color w:val="000000"/>
                <w:sz w:val="22"/>
                <w:szCs w:val="22"/>
              </w:rPr>
              <w:t>congenital heart disease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PAH-CTD</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PAH</w:t>
            </w:r>
            <w:r w:rsidR="00AF191D" w:rsidRPr="006C0DFB">
              <w:rPr>
                <w:rFonts w:ascii="Calibri" w:hAnsi="Calibri" w:cs="Arial"/>
                <w:color w:val="000000"/>
                <w:sz w:val="22"/>
                <w:szCs w:val="22"/>
              </w:rPr>
              <w:t xml:space="preserve"> associated with </w:t>
            </w:r>
            <w:r w:rsidRPr="006C0DFB">
              <w:rPr>
                <w:rFonts w:ascii="Calibri" w:hAnsi="Calibri" w:cs="Arial"/>
                <w:color w:val="000000"/>
                <w:sz w:val="22"/>
                <w:szCs w:val="22"/>
              </w:rPr>
              <w:t>connective tissue disease</w:t>
            </w:r>
          </w:p>
        </w:tc>
      </w:tr>
      <w:tr w:rsidR="00AF191D" w:rsidRPr="003314AE" w:rsidTr="006C0DFB">
        <w:trPr>
          <w:trHeight w:val="170"/>
        </w:trPr>
        <w:tc>
          <w:tcPr>
            <w:tcW w:w="1146" w:type="pct"/>
            <w:tcBorders>
              <w:top w:val="nil"/>
              <w:left w:val="nil"/>
              <w:bottom w:val="nil"/>
              <w:right w:val="nil"/>
            </w:tcBorders>
            <w:shd w:val="clear" w:color="auto" w:fill="auto"/>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PAH-HIV</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PAH</w:t>
            </w:r>
            <w:r w:rsidR="00AF191D" w:rsidRPr="006C0DFB">
              <w:rPr>
                <w:rFonts w:ascii="Calibri" w:hAnsi="Calibri" w:cs="Arial"/>
                <w:color w:val="000000"/>
                <w:sz w:val="22"/>
                <w:szCs w:val="22"/>
              </w:rPr>
              <w:t xml:space="preserve"> associated wi</w:t>
            </w:r>
            <w:r w:rsidRPr="006C0DFB">
              <w:rPr>
                <w:rFonts w:ascii="Calibri" w:hAnsi="Calibri" w:cs="Arial"/>
                <w:color w:val="000000"/>
                <w:sz w:val="22"/>
                <w:szCs w:val="22"/>
              </w:rPr>
              <w:t>th human immunodeficiency virus</w:t>
            </w:r>
          </w:p>
        </w:tc>
      </w:tr>
      <w:tr w:rsidR="00AF191D" w:rsidRPr="003314AE" w:rsidTr="006C0DFB">
        <w:trPr>
          <w:trHeight w:val="170"/>
        </w:trPr>
        <w:tc>
          <w:tcPr>
            <w:tcW w:w="1146" w:type="pct"/>
            <w:tcBorders>
              <w:top w:val="nil"/>
              <w:left w:val="nil"/>
              <w:bottom w:val="nil"/>
              <w:right w:val="nil"/>
            </w:tcBorders>
            <w:shd w:val="clear" w:color="auto" w:fill="auto"/>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PAH-PH</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PAH</w:t>
            </w:r>
            <w:r w:rsidR="00AF191D" w:rsidRPr="006C0DFB">
              <w:rPr>
                <w:rFonts w:ascii="Calibri" w:hAnsi="Calibri" w:cs="Arial"/>
                <w:color w:val="000000"/>
                <w:sz w:val="22"/>
                <w:szCs w:val="22"/>
              </w:rPr>
              <w:t xml:space="preserve"> associated with portal hypertension</w:t>
            </w:r>
          </w:p>
        </w:tc>
      </w:tr>
      <w:tr w:rsidR="00AF191D" w:rsidRPr="003314AE" w:rsidTr="006C0DFB">
        <w:trPr>
          <w:trHeight w:val="170"/>
        </w:trPr>
        <w:tc>
          <w:tcPr>
            <w:tcW w:w="1146" w:type="pct"/>
            <w:tcBorders>
              <w:top w:val="nil"/>
              <w:left w:val="nil"/>
              <w:bottom w:val="nil"/>
              <w:right w:val="nil"/>
            </w:tcBorders>
            <w:shd w:val="clear" w:color="auto" w:fill="auto"/>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PASP</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Pulmonary artery systolic pressure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PAP</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Pulmonary artery pressure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PAWP</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Pulmonary artery wedge pressure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PBAC</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Pharmaceutical Benefits Advisory Committee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PBS</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Pharmaceutical Benefits Scheme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PCWP</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Pulmonary </w:t>
            </w:r>
            <w:r w:rsidR="00F24DA7" w:rsidRPr="006C0DFB">
              <w:rPr>
                <w:rFonts w:ascii="Calibri" w:hAnsi="Calibri" w:cs="Arial"/>
                <w:color w:val="000000"/>
                <w:sz w:val="22"/>
                <w:szCs w:val="22"/>
              </w:rPr>
              <w:t>capillary wedge pressure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PDE</w:t>
            </w:r>
            <w:r w:rsidRPr="006C0DFB">
              <w:rPr>
                <w:rFonts w:ascii="Calibri" w:hAnsi="Calibri" w:cs="Arial"/>
                <w:color w:val="000000"/>
                <w:sz w:val="22"/>
                <w:szCs w:val="22"/>
              </w:rPr>
              <w:noBreakHyphen/>
              <w:t>5</w:t>
            </w:r>
            <w:r w:rsidR="0027496F" w:rsidRPr="006C0DFB">
              <w:rPr>
                <w:rFonts w:ascii="Calibri" w:hAnsi="Calibri" w:cs="Arial"/>
                <w:color w:val="000000"/>
                <w:sz w:val="22"/>
                <w:szCs w:val="22"/>
              </w:rPr>
              <w:t xml:space="preserve"> i</w:t>
            </w:r>
            <w:r w:rsidRPr="006C0DFB">
              <w:rPr>
                <w:rFonts w:ascii="Calibri" w:hAnsi="Calibri" w:cs="Arial"/>
                <w:color w:val="000000"/>
                <w:sz w:val="22"/>
                <w:szCs w:val="22"/>
              </w:rPr>
              <w:t>nhibitor</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Phosphodiesterase-5 i</w:t>
            </w:r>
            <w:r w:rsidR="00AF191D" w:rsidRPr="006C0DFB">
              <w:rPr>
                <w:rFonts w:ascii="Calibri" w:hAnsi="Calibri" w:cs="Arial"/>
                <w:color w:val="000000"/>
                <w:sz w:val="22"/>
                <w:szCs w:val="22"/>
              </w:rPr>
              <w:t>nhibitor</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PH</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Pulmonary </w:t>
            </w:r>
            <w:r w:rsidR="00F24DA7" w:rsidRPr="006C0DFB">
              <w:rPr>
                <w:rFonts w:ascii="Calibri" w:hAnsi="Calibri" w:cs="Arial"/>
                <w:color w:val="000000"/>
                <w:sz w:val="22"/>
                <w:szCs w:val="22"/>
              </w:rPr>
              <w:t>h</w:t>
            </w:r>
            <w:r w:rsidRPr="006C0DFB">
              <w:rPr>
                <w:rFonts w:ascii="Calibri" w:hAnsi="Calibri" w:cs="Arial"/>
                <w:color w:val="000000"/>
                <w:sz w:val="22"/>
                <w:szCs w:val="22"/>
              </w:rPr>
              <w:t>ypertension</w:t>
            </w:r>
          </w:p>
        </w:tc>
      </w:tr>
      <w:tr w:rsidR="00BA6E87" w:rsidRPr="003314AE" w:rsidTr="006C0DFB">
        <w:trPr>
          <w:trHeight w:val="170"/>
        </w:trPr>
        <w:tc>
          <w:tcPr>
            <w:tcW w:w="1146" w:type="pct"/>
            <w:tcBorders>
              <w:top w:val="nil"/>
              <w:left w:val="nil"/>
              <w:bottom w:val="nil"/>
              <w:right w:val="nil"/>
            </w:tcBorders>
            <w:shd w:val="clear" w:color="auto" w:fill="auto"/>
            <w:vAlign w:val="bottom"/>
          </w:tcPr>
          <w:p w:rsidR="00BA6E87" w:rsidRPr="006C0DFB" w:rsidRDefault="00BA6E8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PHAA</w:t>
            </w:r>
          </w:p>
        </w:tc>
        <w:tc>
          <w:tcPr>
            <w:tcW w:w="3854" w:type="pct"/>
            <w:tcBorders>
              <w:top w:val="nil"/>
              <w:left w:val="nil"/>
              <w:bottom w:val="nil"/>
              <w:right w:val="nil"/>
            </w:tcBorders>
            <w:shd w:val="clear" w:color="auto" w:fill="auto"/>
            <w:vAlign w:val="bottom"/>
          </w:tcPr>
          <w:p w:rsidR="00BA6E87" w:rsidRPr="006C0DFB" w:rsidRDefault="00BA6E8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Pulmonary Hypertension Association Australia</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PHSANZ</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Pulmonary Hypertension Society of Australia and New Zealand</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PI</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Product i</w:t>
            </w:r>
            <w:r w:rsidR="00AF191D" w:rsidRPr="006C0DFB">
              <w:rPr>
                <w:rFonts w:ascii="Calibri" w:hAnsi="Calibri" w:cs="Arial"/>
                <w:color w:val="000000"/>
                <w:sz w:val="22"/>
                <w:szCs w:val="22"/>
              </w:rPr>
              <w:t>nformation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PICO</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Population, Intervention, Comparator and Outcome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PK</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Pharmacokinetics</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PPH </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Primary pulmonary hypertension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PPHN</w:t>
            </w:r>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Persistent pulmonary hypertension of the n</w:t>
            </w:r>
            <w:r w:rsidR="00AF191D" w:rsidRPr="006C0DFB">
              <w:rPr>
                <w:rFonts w:ascii="Calibri" w:hAnsi="Calibri" w:cs="Arial"/>
                <w:color w:val="000000"/>
                <w:sz w:val="22"/>
                <w:szCs w:val="22"/>
              </w:rPr>
              <w:t>ewborn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PSD</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Public summary document</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PVR</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Pulmonary vascular resistance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QoL</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Quality of l</w:t>
            </w:r>
            <w:r w:rsidR="00AF191D" w:rsidRPr="006C0DFB">
              <w:rPr>
                <w:rFonts w:ascii="Calibri" w:hAnsi="Calibri" w:cs="Arial"/>
                <w:color w:val="000000"/>
                <w:sz w:val="22"/>
                <w:szCs w:val="22"/>
              </w:rPr>
              <w:t>ife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RA</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Right atrial/atrium</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RAP</w:t>
            </w:r>
          </w:p>
        </w:tc>
        <w:tc>
          <w:tcPr>
            <w:tcW w:w="3854" w:type="pct"/>
            <w:tcBorders>
              <w:top w:val="nil"/>
              <w:left w:val="nil"/>
              <w:bottom w:val="nil"/>
              <w:right w:val="nil"/>
            </w:tcBorders>
            <w:shd w:val="clear" w:color="auto" w:fill="auto"/>
            <w:vAlign w:val="bottom"/>
          </w:tcPr>
          <w:p w:rsidR="00AF191D" w:rsidRPr="006C0DFB" w:rsidRDefault="00F24DA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Right atrial pressure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RCT</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Randomised controlled trial</w:t>
            </w:r>
          </w:p>
        </w:tc>
      </w:tr>
      <w:tr w:rsidR="00BA6E87" w:rsidRPr="003314AE" w:rsidTr="006C0DFB">
        <w:trPr>
          <w:trHeight w:val="170"/>
        </w:trPr>
        <w:tc>
          <w:tcPr>
            <w:tcW w:w="1146" w:type="pct"/>
            <w:tcBorders>
              <w:top w:val="nil"/>
              <w:left w:val="nil"/>
              <w:bottom w:val="nil"/>
              <w:right w:val="nil"/>
            </w:tcBorders>
            <w:shd w:val="clear" w:color="auto" w:fill="auto"/>
            <w:vAlign w:val="bottom"/>
          </w:tcPr>
          <w:p w:rsidR="00BA6E87" w:rsidRPr="006C0DFB" w:rsidRDefault="00BA6E8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RG</w:t>
            </w:r>
          </w:p>
        </w:tc>
        <w:tc>
          <w:tcPr>
            <w:tcW w:w="3854" w:type="pct"/>
            <w:tcBorders>
              <w:top w:val="nil"/>
              <w:left w:val="nil"/>
              <w:bottom w:val="nil"/>
              <w:right w:val="nil"/>
            </w:tcBorders>
            <w:shd w:val="clear" w:color="auto" w:fill="auto"/>
            <w:vAlign w:val="bottom"/>
          </w:tcPr>
          <w:p w:rsidR="00BA6E87" w:rsidRPr="006C0DFB" w:rsidRDefault="00BA6E8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Reference Group</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RHC</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Right </w:t>
            </w:r>
            <w:r w:rsidR="00F24DA7" w:rsidRPr="006C0DFB">
              <w:rPr>
                <w:rFonts w:ascii="Calibri" w:hAnsi="Calibri" w:cs="Arial"/>
                <w:color w:val="000000"/>
                <w:sz w:val="22"/>
                <w:szCs w:val="22"/>
              </w:rPr>
              <w:t>h</w:t>
            </w:r>
            <w:r w:rsidRPr="006C0DFB">
              <w:rPr>
                <w:rFonts w:ascii="Calibri" w:hAnsi="Calibri" w:cs="Arial"/>
                <w:color w:val="000000"/>
                <w:sz w:val="22"/>
                <w:szCs w:val="22"/>
              </w:rPr>
              <w:t xml:space="preserve">eart </w:t>
            </w:r>
            <w:r w:rsidR="00F24DA7" w:rsidRPr="006C0DFB">
              <w:rPr>
                <w:rFonts w:ascii="Calibri" w:hAnsi="Calibri" w:cs="Arial"/>
                <w:color w:val="000000"/>
                <w:sz w:val="22"/>
                <w:szCs w:val="22"/>
              </w:rPr>
              <w:t>c</w:t>
            </w:r>
            <w:r w:rsidRPr="006C0DFB">
              <w:rPr>
                <w:rFonts w:ascii="Calibri" w:hAnsi="Calibri" w:cs="Arial"/>
                <w:color w:val="000000"/>
                <w:sz w:val="22"/>
                <w:szCs w:val="22"/>
              </w:rPr>
              <w:t>atheterisation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RR</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 xml:space="preserve">Relative </w:t>
            </w:r>
            <w:r w:rsidR="00F24DA7" w:rsidRPr="006C0DFB">
              <w:rPr>
                <w:rFonts w:ascii="Calibri" w:hAnsi="Calibri" w:cs="Arial"/>
                <w:color w:val="000000"/>
                <w:sz w:val="22"/>
                <w:szCs w:val="22"/>
              </w:rPr>
              <w:t>r</w:t>
            </w:r>
            <w:r w:rsidRPr="006C0DFB">
              <w:rPr>
                <w:rFonts w:ascii="Calibri" w:hAnsi="Calibri" w:cs="Arial"/>
                <w:color w:val="000000"/>
                <w:sz w:val="22"/>
                <w:szCs w:val="22"/>
              </w:rPr>
              <w:t>isk</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RVEF</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Right ventricular ejection fraction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RVSP</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Right ventricular systolic pressure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SC</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Subcutaneous</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sGC stimulator</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Soluble guanylate cyclase stimulator</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proofErr w:type="spellStart"/>
            <w:r w:rsidRPr="006C0DFB">
              <w:rPr>
                <w:rFonts w:ascii="Calibri" w:hAnsi="Calibri" w:cs="Arial"/>
                <w:color w:val="000000"/>
                <w:sz w:val="22"/>
                <w:szCs w:val="22"/>
              </w:rPr>
              <w:t>SmPC</w:t>
            </w:r>
            <w:proofErr w:type="spellEnd"/>
          </w:p>
        </w:tc>
        <w:tc>
          <w:tcPr>
            <w:tcW w:w="3854"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European summary of product c</w:t>
            </w:r>
            <w:r w:rsidR="00AF191D" w:rsidRPr="006C0DFB">
              <w:rPr>
                <w:rFonts w:ascii="Calibri" w:hAnsi="Calibri" w:cs="Arial"/>
                <w:color w:val="000000"/>
                <w:sz w:val="22"/>
                <w:szCs w:val="22"/>
              </w:rPr>
              <w:t>haracteristics</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proofErr w:type="spellStart"/>
            <w:r w:rsidRPr="006C0DFB">
              <w:rPr>
                <w:rFonts w:ascii="Calibri" w:hAnsi="Calibri" w:cs="Arial"/>
                <w:color w:val="000000"/>
                <w:sz w:val="22"/>
                <w:szCs w:val="22"/>
              </w:rPr>
              <w:t>SoC</w:t>
            </w:r>
            <w:proofErr w:type="spellEnd"/>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Standard of care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SvO</w:t>
            </w:r>
            <w:r w:rsidRPr="006C0DFB">
              <w:rPr>
                <w:rFonts w:ascii="Calibri" w:hAnsi="Calibri" w:cs="Arial"/>
                <w:color w:val="000000"/>
                <w:sz w:val="22"/>
                <w:szCs w:val="22"/>
                <w:vertAlign w:val="subscript"/>
              </w:rPr>
              <w:t>2</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Mixed venous oxygen saturation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TGA</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Therapeutic Goods Administration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27496F" w:rsidP="00C6441A">
            <w:pPr>
              <w:spacing w:beforeLines="40" w:before="96" w:afterLines="40" w:after="96"/>
              <w:jc w:val="left"/>
              <w:rPr>
                <w:rFonts w:ascii="Calibri" w:hAnsi="Calibri" w:cs="Arial"/>
                <w:color w:val="000000"/>
                <w:sz w:val="22"/>
                <w:szCs w:val="22"/>
              </w:rPr>
            </w:pPr>
            <w:proofErr w:type="spellStart"/>
            <w:r w:rsidRPr="006C0DFB">
              <w:rPr>
                <w:rFonts w:ascii="Calibri" w:hAnsi="Calibri" w:cs="Arial"/>
                <w:color w:val="000000"/>
                <w:sz w:val="22"/>
                <w:szCs w:val="22"/>
              </w:rPr>
              <w:t>tid</w:t>
            </w:r>
            <w:proofErr w:type="spellEnd"/>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Three times a day</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TRV</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Tricuspid regurgitation velocity</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TAPSE</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Tricuspid annular plane systolic excursion</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TSANZ</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Thoracic Society of Australia and New Zealand</w:t>
            </w:r>
          </w:p>
        </w:tc>
      </w:tr>
      <w:tr w:rsidR="00711867" w:rsidRPr="003314AE" w:rsidTr="006C0DFB">
        <w:trPr>
          <w:trHeight w:val="170"/>
        </w:trPr>
        <w:tc>
          <w:tcPr>
            <w:tcW w:w="1146" w:type="pct"/>
            <w:tcBorders>
              <w:top w:val="nil"/>
              <w:left w:val="nil"/>
              <w:bottom w:val="nil"/>
              <w:right w:val="nil"/>
            </w:tcBorders>
            <w:shd w:val="clear" w:color="auto" w:fill="auto"/>
            <w:vAlign w:val="bottom"/>
          </w:tcPr>
          <w:p w:rsidR="00711867"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US/USA</w:t>
            </w:r>
          </w:p>
        </w:tc>
        <w:tc>
          <w:tcPr>
            <w:tcW w:w="3854" w:type="pct"/>
            <w:tcBorders>
              <w:top w:val="nil"/>
              <w:left w:val="nil"/>
              <w:bottom w:val="nil"/>
              <w:right w:val="nil"/>
            </w:tcBorders>
            <w:shd w:val="clear" w:color="auto" w:fill="auto"/>
            <w:vAlign w:val="bottom"/>
          </w:tcPr>
          <w:p w:rsidR="00711867"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United States/United States of America</w:t>
            </w:r>
          </w:p>
        </w:tc>
      </w:tr>
      <w:tr w:rsidR="00711867" w:rsidRPr="003314AE" w:rsidTr="006C0DFB">
        <w:trPr>
          <w:trHeight w:val="170"/>
        </w:trPr>
        <w:tc>
          <w:tcPr>
            <w:tcW w:w="1146" w:type="pct"/>
            <w:tcBorders>
              <w:top w:val="nil"/>
              <w:left w:val="nil"/>
              <w:bottom w:val="nil"/>
              <w:right w:val="nil"/>
            </w:tcBorders>
            <w:shd w:val="clear" w:color="auto" w:fill="auto"/>
            <w:vAlign w:val="bottom"/>
          </w:tcPr>
          <w:p w:rsidR="00711867"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VE/VCO</w:t>
            </w:r>
            <w:r w:rsidRPr="006C0DFB">
              <w:rPr>
                <w:rFonts w:ascii="Calibri" w:hAnsi="Calibri" w:cs="Arial"/>
                <w:color w:val="000000"/>
                <w:sz w:val="22"/>
                <w:szCs w:val="22"/>
                <w:vertAlign w:val="subscript"/>
              </w:rPr>
              <w:t>2</w:t>
            </w:r>
          </w:p>
        </w:tc>
        <w:tc>
          <w:tcPr>
            <w:tcW w:w="3854" w:type="pct"/>
            <w:tcBorders>
              <w:top w:val="nil"/>
              <w:left w:val="nil"/>
              <w:bottom w:val="nil"/>
              <w:right w:val="nil"/>
            </w:tcBorders>
            <w:shd w:val="clear" w:color="auto" w:fill="auto"/>
            <w:vAlign w:val="bottom"/>
          </w:tcPr>
          <w:p w:rsidR="00711867"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Minute ventilation/carbon dioxide production</w:t>
            </w:r>
          </w:p>
        </w:tc>
      </w:tr>
      <w:tr w:rsidR="00711867" w:rsidRPr="003314AE" w:rsidTr="006C0DFB">
        <w:trPr>
          <w:trHeight w:val="170"/>
        </w:trPr>
        <w:tc>
          <w:tcPr>
            <w:tcW w:w="1146" w:type="pct"/>
            <w:tcBorders>
              <w:top w:val="nil"/>
              <w:left w:val="nil"/>
              <w:bottom w:val="nil"/>
              <w:right w:val="nil"/>
            </w:tcBorders>
            <w:shd w:val="clear" w:color="auto" w:fill="auto"/>
            <w:vAlign w:val="bottom"/>
          </w:tcPr>
          <w:p w:rsidR="00711867"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VO</w:t>
            </w:r>
            <w:r w:rsidRPr="006C0DFB">
              <w:rPr>
                <w:rFonts w:ascii="Calibri" w:hAnsi="Calibri" w:cs="Arial"/>
                <w:color w:val="000000"/>
                <w:sz w:val="22"/>
                <w:szCs w:val="22"/>
                <w:vertAlign w:val="subscript"/>
              </w:rPr>
              <w:t>2</w:t>
            </w:r>
          </w:p>
        </w:tc>
        <w:tc>
          <w:tcPr>
            <w:tcW w:w="3854" w:type="pct"/>
            <w:tcBorders>
              <w:top w:val="nil"/>
              <w:left w:val="nil"/>
              <w:bottom w:val="nil"/>
              <w:right w:val="nil"/>
            </w:tcBorders>
            <w:shd w:val="clear" w:color="auto" w:fill="auto"/>
            <w:vAlign w:val="bottom"/>
          </w:tcPr>
          <w:p w:rsidR="00711867" w:rsidRPr="006C0DFB" w:rsidRDefault="00711867"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Oxygen uptake</w:t>
            </w:r>
          </w:p>
        </w:tc>
      </w:tr>
      <w:tr w:rsidR="00AF191D" w:rsidRPr="003314AE" w:rsidTr="006C0DFB">
        <w:trPr>
          <w:trHeight w:val="170"/>
        </w:trPr>
        <w:tc>
          <w:tcPr>
            <w:tcW w:w="1146"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WHO</w:t>
            </w:r>
          </w:p>
        </w:tc>
        <w:tc>
          <w:tcPr>
            <w:tcW w:w="3854" w:type="pct"/>
            <w:tcBorders>
              <w:top w:val="nil"/>
              <w:left w:val="nil"/>
              <w:bottom w:val="nil"/>
              <w:right w:val="nil"/>
            </w:tcBorders>
            <w:shd w:val="clear" w:color="auto" w:fill="auto"/>
            <w:vAlign w:val="bottom"/>
          </w:tcPr>
          <w:p w:rsidR="00AF191D" w:rsidRPr="006C0DFB" w:rsidRDefault="00AF191D" w:rsidP="00C6441A">
            <w:pPr>
              <w:spacing w:beforeLines="40" w:before="96" w:afterLines="40" w:after="96"/>
              <w:jc w:val="left"/>
              <w:rPr>
                <w:rFonts w:ascii="Calibri" w:hAnsi="Calibri" w:cs="Arial"/>
                <w:color w:val="000000"/>
                <w:sz w:val="22"/>
                <w:szCs w:val="22"/>
              </w:rPr>
            </w:pPr>
            <w:r w:rsidRPr="006C0DFB">
              <w:rPr>
                <w:rFonts w:ascii="Calibri" w:hAnsi="Calibri" w:cs="Arial"/>
                <w:color w:val="000000"/>
                <w:sz w:val="22"/>
                <w:szCs w:val="22"/>
              </w:rPr>
              <w:t>World Health Organization</w:t>
            </w:r>
          </w:p>
        </w:tc>
      </w:tr>
    </w:tbl>
    <w:p w:rsidR="00BB7124" w:rsidRDefault="00BB7124" w:rsidP="00121658">
      <w:pPr>
        <w:pStyle w:val="Heading1"/>
        <w:numPr>
          <w:ilvl w:val="0"/>
          <w:numId w:val="0"/>
        </w:numPr>
        <w:jc w:val="left"/>
      </w:pPr>
      <w:bookmarkStart w:id="12" w:name="_Toc513107572"/>
      <w:r>
        <w:t>Report Structure</w:t>
      </w:r>
      <w:bookmarkEnd w:id="10"/>
      <w:bookmarkEnd w:id="11"/>
      <w:bookmarkEnd w:id="12"/>
    </w:p>
    <w:p w:rsidR="00421B3C" w:rsidRPr="003314AE" w:rsidRDefault="00421B3C" w:rsidP="00121658">
      <w:pPr>
        <w:pStyle w:val="ToRinbox"/>
        <w:jc w:val="left"/>
        <w:rPr>
          <w:rFonts w:asciiTheme="minorHAnsi" w:hAnsiTheme="minorHAnsi"/>
        </w:rPr>
      </w:pPr>
      <w:r w:rsidRPr="003314AE">
        <w:rPr>
          <w:rFonts w:asciiTheme="minorHAnsi" w:hAnsiTheme="minorHAnsi"/>
        </w:rPr>
        <w:t xml:space="preserve">This Report is presented in </w:t>
      </w:r>
      <w:r w:rsidR="00944EDA" w:rsidRPr="003314AE">
        <w:rPr>
          <w:rFonts w:asciiTheme="minorHAnsi" w:hAnsiTheme="minorHAnsi"/>
        </w:rPr>
        <w:t>six</w:t>
      </w:r>
      <w:r w:rsidRPr="003314AE">
        <w:rPr>
          <w:rFonts w:asciiTheme="minorHAnsi" w:hAnsiTheme="minorHAnsi"/>
        </w:rPr>
        <w:t xml:space="preserve"> separate parts, as briefly outlined below. The Report has been structured in this way to address the Terms of Reference </w:t>
      </w:r>
      <w:r w:rsidR="0085664C" w:rsidRPr="003314AE">
        <w:rPr>
          <w:rFonts w:asciiTheme="minorHAnsi" w:hAnsiTheme="minorHAnsi"/>
        </w:rPr>
        <w:t xml:space="preserve">(ToR) </w:t>
      </w:r>
      <w:r w:rsidRPr="003314AE">
        <w:rPr>
          <w:rFonts w:asciiTheme="minorHAnsi" w:hAnsiTheme="minorHAnsi"/>
        </w:rPr>
        <w:t>of the Review.</w:t>
      </w:r>
    </w:p>
    <w:p w:rsidR="00421B3C" w:rsidRPr="003314AE" w:rsidRDefault="00B72D30"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Background</w:t>
      </w:r>
      <w:r w:rsidRPr="003314AE">
        <w:rPr>
          <w:rFonts w:asciiTheme="minorHAnsi" w:hAnsiTheme="minorHAnsi"/>
        </w:rPr>
        <w:tab/>
      </w:r>
      <w:r w:rsidR="00421B3C" w:rsidRPr="003314AE">
        <w:rPr>
          <w:rFonts w:asciiTheme="minorHAnsi" w:hAnsiTheme="minorHAnsi"/>
        </w:rPr>
        <w:t>Provides the context</w:t>
      </w:r>
      <w:r w:rsidR="0085664C" w:rsidRPr="003314AE">
        <w:rPr>
          <w:rFonts w:asciiTheme="minorHAnsi" w:hAnsiTheme="minorHAnsi"/>
        </w:rPr>
        <w:t xml:space="preserve"> and objectives of </w:t>
      </w:r>
      <w:r w:rsidR="00421B3C" w:rsidRPr="003314AE">
        <w:rPr>
          <w:rFonts w:asciiTheme="minorHAnsi" w:hAnsiTheme="minorHAnsi"/>
        </w:rPr>
        <w:t xml:space="preserve">the Review, </w:t>
      </w:r>
      <w:r w:rsidR="0085664C" w:rsidRPr="003314AE">
        <w:rPr>
          <w:rFonts w:asciiTheme="minorHAnsi" w:hAnsiTheme="minorHAnsi"/>
        </w:rPr>
        <w:t xml:space="preserve">a brief description of </w:t>
      </w:r>
      <w:r w:rsidR="00FC63C1" w:rsidRPr="003314AE">
        <w:rPr>
          <w:rFonts w:asciiTheme="minorHAnsi" w:hAnsiTheme="minorHAnsi"/>
        </w:rPr>
        <w:t>PAH</w:t>
      </w:r>
      <w:r w:rsidR="0085664C" w:rsidRPr="003314AE">
        <w:rPr>
          <w:rFonts w:asciiTheme="minorHAnsi" w:hAnsiTheme="minorHAnsi"/>
        </w:rPr>
        <w:t xml:space="preserve"> and its prevalence in Australia, the listing history for PBS listed </w:t>
      </w:r>
      <w:r w:rsidR="00FC63C1" w:rsidRPr="003314AE">
        <w:rPr>
          <w:rFonts w:asciiTheme="minorHAnsi" w:hAnsiTheme="minorHAnsi"/>
        </w:rPr>
        <w:t>PAH</w:t>
      </w:r>
      <w:r w:rsidR="0085664C" w:rsidRPr="003314AE">
        <w:rPr>
          <w:rFonts w:asciiTheme="minorHAnsi" w:hAnsiTheme="minorHAnsi"/>
        </w:rPr>
        <w:t xml:space="preserve"> medications and their prescribing restrictions, and the ToR for the review.</w:t>
      </w:r>
    </w:p>
    <w:p w:rsidR="00421B3C"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1</w:t>
      </w:r>
      <w:r w:rsidRPr="003314AE">
        <w:rPr>
          <w:rFonts w:asciiTheme="minorHAnsi" w:hAnsiTheme="minorHAnsi"/>
        </w:rPr>
        <w:t xml:space="preserve"> </w:t>
      </w:r>
      <w:r w:rsidRPr="003314AE">
        <w:rPr>
          <w:rFonts w:asciiTheme="minorHAnsi" w:hAnsiTheme="minorHAnsi"/>
        </w:rPr>
        <w:tab/>
        <w:t xml:space="preserve">ToR 1: </w:t>
      </w:r>
      <w:r w:rsidR="00944EDA" w:rsidRPr="003314AE">
        <w:rPr>
          <w:rFonts w:asciiTheme="minorHAnsi" w:hAnsiTheme="minorHAnsi"/>
        </w:rPr>
        <w:t>Review</w:t>
      </w:r>
      <w:r w:rsidR="00F62E0A" w:rsidRPr="003314AE">
        <w:rPr>
          <w:rFonts w:asciiTheme="minorHAnsi" w:hAnsiTheme="minorHAnsi"/>
        </w:rPr>
        <w:t>s</w:t>
      </w:r>
      <w:r w:rsidR="00944EDA" w:rsidRPr="003314AE">
        <w:rPr>
          <w:rFonts w:asciiTheme="minorHAnsi" w:hAnsiTheme="minorHAnsi"/>
        </w:rPr>
        <w:t xml:space="preserve"> recent clinical guidelines for the management of PAH and compare this to the PBS restrictions and Therapeutic Goods Administration (TGA) indications for the use of PAH medicines.</w:t>
      </w:r>
    </w:p>
    <w:p w:rsidR="00944EDA"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2</w:t>
      </w:r>
      <w:r w:rsidRPr="003314AE">
        <w:rPr>
          <w:rFonts w:asciiTheme="minorHAnsi" w:hAnsiTheme="minorHAnsi"/>
        </w:rPr>
        <w:tab/>
        <w:t xml:space="preserve">ToR 2: </w:t>
      </w:r>
      <w:r w:rsidR="00944EDA" w:rsidRPr="003314AE">
        <w:rPr>
          <w:rFonts w:asciiTheme="minorHAnsi" w:hAnsiTheme="minorHAnsi"/>
        </w:rPr>
        <w:t>Review</w:t>
      </w:r>
      <w:r w:rsidR="00F62E0A" w:rsidRPr="003314AE">
        <w:rPr>
          <w:rFonts w:asciiTheme="minorHAnsi" w:hAnsiTheme="minorHAnsi"/>
        </w:rPr>
        <w:t>s</w:t>
      </w:r>
      <w:r w:rsidR="00944EDA" w:rsidRPr="003314AE">
        <w:rPr>
          <w:rFonts w:asciiTheme="minorHAnsi" w:hAnsiTheme="minorHAnsi"/>
        </w:rPr>
        <w:t xml:space="preserve"> the utilisation of PAH medicines in Australia, including sources of data that can provide additional information on clinical use that is not available from PBS data.</w:t>
      </w:r>
    </w:p>
    <w:p w:rsidR="00421B3C"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3</w:t>
      </w:r>
      <w:r w:rsidRPr="003314AE">
        <w:rPr>
          <w:rFonts w:asciiTheme="minorHAnsi" w:hAnsiTheme="minorHAnsi"/>
        </w:rPr>
        <w:tab/>
        <w:t xml:space="preserve">ToR 3: </w:t>
      </w:r>
      <w:r w:rsidR="00944EDA" w:rsidRPr="003314AE">
        <w:rPr>
          <w:rFonts w:asciiTheme="minorHAnsi" w:hAnsiTheme="minorHAnsi"/>
        </w:rPr>
        <w:t>Review</w:t>
      </w:r>
      <w:r w:rsidR="00F62E0A" w:rsidRPr="003314AE">
        <w:rPr>
          <w:rFonts w:asciiTheme="minorHAnsi" w:hAnsiTheme="minorHAnsi"/>
        </w:rPr>
        <w:t>s</w:t>
      </w:r>
      <w:r w:rsidR="00944EDA" w:rsidRPr="003314AE">
        <w:rPr>
          <w:rFonts w:asciiTheme="minorHAnsi" w:hAnsiTheme="minorHAnsi"/>
        </w:rPr>
        <w:t xml:space="preserve"> the clinical outcomes that are most important or clinically relevant to patients with PAH, and the extent to which these outcomes are included in the evidence previously considered by PBAC.</w:t>
      </w:r>
    </w:p>
    <w:p w:rsidR="00421B3C"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4</w:t>
      </w:r>
      <w:r w:rsidRPr="003314AE">
        <w:rPr>
          <w:rFonts w:asciiTheme="minorHAnsi" w:hAnsiTheme="minorHAnsi"/>
        </w:rPr>
        <w:tab/>
        <w:t xml:space="preserve">ToR 4: </w:t>
      </w:r>
      <w:r w:rsidR="00944EDA" w:rsidRPr="003314AE">
        <w:rPr>
          <w:rFonts w:asciiTheme="minorHAnsi" w:hAnsiTheme="minorHAnsi"/>
        </w:rPr>
        <w:t>Collate</w:t>
      </w:r>
      <w:r w:rsidR="00F62E0A" w:rsidRPr="003314AE">
        <w:rPr>
          <w:rFonts w:asciiTheme="minorHAnsi" w:hAnsiTheme="minorHAnsi"/>
        </w:rPr>
        <w:t>s</w:t>
      </w:r>
      <w:r w:rsidR="00944EDA" w:rsidRPr="003314AE">
        <w:rPr>
          <w:rFonts w:asciiTheme="minorHAnsi" w:hAnsiTheme="minorHAnsi"/>
        </w:rPr>
        <w:t xml:space="preserve"> and evaluate</w:t>
      </w:r>
      <w:r w:rsidR="00F62E0A" w:rsidRPr="003314AE">
        <w:rPr>
          <w:rFonts w:asciiTheme="minorHAnsi" w:hAnsiTheme="minorHAnsi"/>
        </w:rPr>
        <w:t>s</w:t>
      </w:r>
      <w:r w:rsidR="00944EDA" w:rsidRPr="003314AE">
        <w:rPr>
          <w:rFonts w:asciiTheme="minorHAnsi" w:hAnsiTheme="minorHAnsi"/>
        </w:rPr>
        <w:t xml:space="preserve"> evidence on the comparative effectiveness of PAH medicines, including combination use and use in the WHO functional class II patient populations.</w:t>
      </w:r>
    </w:p>
    <w:p w:rsidR="00417A76" w:rsidRPr="003314AE" w:rsidRDefault="00421B3C" w:rsidP="00862FD6">
      <w:pPr>
        <w:pStyle w:val="ToRsinboxwithhangingindent"/>
        <w:pBdr>
          <w:left w:val="single" w:sz="4" w:space="5" w:color="auto"/>
        </w:pBdr>
        <w:tabs>
          <w:tab w:val="clear" w:pos="1304"/>
          <w:tab w:val="left" w:pos="1560"/>
        </w:tabs>
        <w:ind w:left="1560" w:hanging="1560"/>
        <w:jc w:val="left"/>
        <w:rPr>
          <w:rFonts w:asciiTheme="minorHAnsi" w:hAnsiTheme="minorHAnsi"/>
        </w:rPr>
      </w:pPr>
      <w:r w:rsidRPr="003314AE">
        <w:rPr>
          <w:rFonts w:asciiTheme="minorHAnsi" w:hAnsiTheme="minorHAnsi"/>
          <w:b/>
        </w:rPr>
        <w:t xml:space="preserve">Section </w:t>
      </w:r>
      <w:r w:rsidR="00B72D30" w:rsidRPr="003314AE">
        <w:rPr>
          <w:rFonts w:asciiTheme="minorHAnsi" w:hAnsiTheme="minorHAnsi"/>
          <w:b/>
        </w:rPr>
        <w:t>5</w:t>
      </w:r>
      <w:r w:rsidRPr="003314AE">
        <w:rPr>
          <w:rFonts w:asciiTheme="minorHAnsi" w:hAnsiTheme="minorHAnsi"/>
        </w:rPr>
        <w:tab/>
        <w:t xml:space="preserve">ToR 5: </w:t>
      </w:r>
      <w:r w:rsidR="004B426F" w:rsidRPr="003314AE">
        <w:rPr>
          <w:rFonts w:asciiTheme="minorHAnsi" w:hAnsiTheme="minorHAnsi"/>
        </w:rPr>
        <w:t>Summarises the evidence considered in</w:t>
      </w:r>
      <w:r w:rsidR="00944EDA" w:rsidRPr="003314AE">
        <w:rPr>
          <w:rFonts w:asciiTheme="minorHAnsi" w:hAnsiTheme="minorHAnsi"/>
        </w:rPr>
        <w:t xml:space="preserve"> ToR 1-4 </w:t>
      </w:r>
      <w:r w:rsidR="004B426F" w:rsidRPr="003314AE">
        <w:rPr>
          <w:rFonts w:asciiTheme="minorHAnsi" w:hAnsiTheme="minorHAnsi"/>
        </w:rPr>
        <w:t>and pr</w:t>
      </w:r>
      <w:r w:rsidR="00E80465" w:rsidRPr="003314AE">
        <w:rPr>
          <w:rFonts w:asciiTheme="minorHAnsi" w:hAnsiTheme="minorHAnsi"/>
        </w:rPr>
        <w:t>e</w:t>
      </w:r>
      <w:r w:rsidR="004B426F" w:rsidRPr="003314AE">
        <w:rPr>
          <w:rFonts w:asciiTheme="minorHAnsi" w:hAnsiTheme="minorHAnsi"/>
        </w:rPr>
        <w:t xml:space="preserve">sents options for the PBAC to determine if a </w:t>
      </w:r>
      <w:r w:rsidR="00944EDA" w:rsidRPr="003314AE">
        <w:rPr>
          <w:rFonts w:asciiTheme="minorHAnsi" w:hAnsiTheme="minorHAnsi"/>
        </w:rPr>
        <w:t xml:space="preserve">cost-effectiveness </w:t>
      </w:r>
      <w:r w:rsidR="004B426F" w:rsidRPr="003314AE">
        <w:rPr>
          <w:rFonts w:asciiTheme="minorHAnsi" w:hAnsiTheme="minorHAnsi"/>
        </w:rPr>
        <w:t xml:space="preserve">review </w:t>
      </w:r>
      <w:r w:rsidR="00944EDA" w:rsidRPr="003314AE">
        <w:rPr>
          <w:rFonts w:asciiTheme="minorHAnsi" w:hAnsiTheme="minorHAnsi"/>
        </w:rPr>
        <w:t>of existing PBS listings for PAH medicines</w:t>
      </w:r>
      <w:r w:rsidR="001A0F96">
        <w:rPr>
          <w:rFonts w:asciiTheme="minorHAnsi" w:hAnsiTheme="minorHAnsi"/>
        </w:rPr>
        <w:t xml:space="preserve"> is required</w:t>
      </w:r>
      <w:r w:rsidR="00944EDA" w:rsidRPr="003314AE">
        <w:rPr>
          <w:rFonts w:asciiTheme="minorHAnsi" w:hAnsiTheme="minorHAnsi"/>
        </w:rPr>
        <w:t xml:space="preserve">, </w:t>
      </w:r>
      <w:r w:rsidR="001A0F96">
        <w:rPr>
          <w:rFonts w:asciiTheme="minorHAnsi" w:hAnsiTheme="minorHAnsi"/>
        </w:rPr>
        <w:t>including for</w:t>
      </w:r>
      <w:r w:rsidR="00944EDA" w:rsidRPr="003314AE">
        <w:rPr>
          <w:rFonts w:asciiTheme="minorHAnsi" w:hAnsiTheme="minorHAnsi"/>
        </w:rPr>
        <w:t xml:space="preserve"> treatment of WHO functional class II and combination treatment in class III and class IV patients.</w:t>
      </w:r>
    </w:p>
    <w:p w:rsidR="003D6003" w:rsidRDefault="0003409D" w:rsidP="003A138E">
      <w:pPr>
        <w:pStyle w:val="Heading1"/>
        <w:numPr>
          <w:ilvl w:val="0"/>
          <w:numId w:val="0"/>
        </w:numPr>
      </w:pPr>
      <w:bookmarkStart w:id="13" w:name="_Toc480371855"/>
      <w:bookmarkStart w:id="14" w:name="_Toc486514188"/>
      <w:bookmarkStart w:id="15" w:name="_Toc513107573"/>
      <w:r w:rsidRPr="003A138E">
        <w:t>Background</w:t>
      </w:r>
      <w:bookmarkEnd w:id="13"/>
      <w:bookmarkEnd w:id="14"/>
      <w:bookmarkEnd w:id="15"/>
    </w:p>
    <w:p w:rsidR="007053C1" w:rsidRDefault="007053C1" w:rsidP="00121658">
      <w:pPr>
        <w:pStyle w:val="Heading2"/>
        <w:numPr>
          <w:ilvl w:val="0"/>
          <w:numId w:val="0"/>
        </w:numPr>
        <w:jc w:val="left"/>
      </w:pPr>
      <w:bookmarkStart w:id="16" w:name="_Toc513107574"/>
      <w:r>
        <w:t>B.1 Post-market monitoring</w:t>
      </w:r>
      <w:bookmarkEnd w:id="16"/>
    </w:p>
    <w:p w:rsidR="007053C1" w:rsidRPr="003314AE" w:rsidRDefault="007053C1" w:rsidP="00121658">
      <w:pPr>
        <w:pStyle w:val="BodyTextnospacebefore"/>
      </w:pPr>
      <w:r w:rsidRPr="003314AE">
        <w:t>The Post-Market Review (PMR) program is a systematic approach to monitoring medicines subsidised by the PBS. PMRs were initiated under the 2011-12 Budget measure ‘Improving sustainability of the PBS through enhanced post-market surveillance’.</w:t>
      </w:r>
    </w:p>
    <w:p w:rsidR="007053C1" w:rsidRPr="003314AE" w:rsidRDefault="007053C1" w:rsidP="00121658">
      <w:pPr>
        <w:pStyle w:val="BodyTextnospacebefore"/>
      </w:pPr>
      <w:r w:rsidRPr="003314AE">
        <w:t>PMRs are established under the quality use of medicines objective of the National Medicines Policy framework; promoting the safe and effective use of medicines, with the aim to improve health outcomes for all Australians.</w:t>
      </w:r>
    </w:p>
    <w:p w:rsidR="007053C1" w:rsidRPr="003314AE" w:rsidRDefault="007053C1" w:rsidP="00121658">
      <w:pPr>
        <w:pStyle w:val="BodyTextnospacebefore"/>
      </w:pPr>
      <w:r w:rsidRPr="003314AE">
        <w:t>The PMR program contributes to the following:</w:t>
      </w:r>
    </w:p>
    <w:p w:rsidR="00DE3173" w:rsidRPr="006C0DFB" w:rsidRDefault="00DE3173" w:rsidP="00921D13">
      <w:pPr>
        <w:pStyle w:val="08Bulletsseriesofsentences"/>
        <w:rPr>
          <w:lang w:eastAsia="en-AU"/>
        </w:rPr>
      </w:pPr>
      <w:r w:rsidRPr="006C0DFB">
        <w:rPr>
          <w:lang w:eastAsia="en-AU"/>
        </w:rPr>
        <w:t>Improved patient safety through better understanding of adverse events and medicine-related harms.</w:t>
      </w:r>
    </w:p>
    <w:p w:rsidR="00DE3173" w:rsidRPr="006C0DFB" w:rsidRDefault="00DE3173" w:rsidP="00921D13">
      <w:pPr>
        <w:pStyle w:val="08Bulletsseriesofsentences"/>
        <w:rPr>
          <w:lang w:eastAsia="en-AU"/>
        </w:rPr>
      </w:pPr>
      <w:r w:rsidRPr="006C0DFB">
        <w:rPr>
          <w:lang w:eastAsia="en-AU"/>
        </w:rPr>
        <w:t>Ensuring the ongoing viability of the PBS through targeted medicines usage and avoiding preventable wastage or inappropriate prescribing.</w:t>
      </w:r>
    </w:p>
    <w:p w:rsidR="00DE3173" w:rsidRPr="006C0DFB" w:rsidRDefault="00DE3173" w:rsidP="00921D13">
      <w:pPr>
        <w:pStyle w:val="08Bulletsseriesofsentences"/>
        <w:rPr>
          <w:lang w:eastAsia="en-AU"/>
        </w:rPr>
      </w:pPr>
      <w:r w:rsidRPr="006C0DFB">
        <w:rPr>
          <w:lang w:eastAsia="en-AU"/>
        </w:rPr>
        <w:t>A better understanding of medicines utilisation, to review intended clinical benefit and inform medicines evaluation processes.</w:t>
      </w:r>
    </w:p>
    <w:p w:rsidR="00DE3173" w:rsidRPr="006C0DFB" w:rsidRDefault="00DE3173" w:rsidP="00921D13">
      <w:pPr>
        <w:pStyle w:val="08Bulletsseriesofsentences"/>
        <w:rPr>
          <w:lang w:eastAsia="en-AU"/>
        </w:rPr>
      </w:pPr>
      <w:r w:rsidRPr="006C0DFB">
        <w:rPr>
          <w:lang w:eastAsia="en-AU"/>
        </w:rPr>
        <w:t>Ongoing cost-effectiveness, including through better management of clinical and economic uncertainty.</w:t>
      </w:r>
    </w:p>
    <w:p w:rsidR="00DE3173" w:rsidRPr="006C0DFB" w:rsidRDefault="00DE3173" w:rsidP="00921D13">
      <w:pPr>
        <w:pStyle w:val="08Bulletsseriesofsentences"/>
        <w:rPr>
          <w:lang w:eastAsia="en-AU"/>
        </w:rPr>
      </w:pPr>
      <w:r w:rsidRPr="006C0DFB">
        <w:rPr>
          <w:lang w:eastAsia="en-AU"/>
        </w:rPr>
        <w:t>Overall improvements to the quality use of medicines and education for patients and prescribers.</w:t>
      </w:r>
    </w:p>
    <w:p w:rsidR="007053C1" w:rsidRPr="00DA3E05" w:rsidRDefault="007053C1" w:rsidP="00121658">
      <w:pPr>
        <w:pStyle w:val="BodyTextnospacebefore"/>
      </w:pPr>
      <w:r w:rsidRPr="00DA3E05">
        <w:t>Post-market reviews can be initiated when concerns related to the quality use of a medicine, cost-effectiveness, clinical effectiveness, higher than predicted utilisation and/or international differences are raised. A full post-market review will only proceed following PBAC agreement and Mi</w:t>
      </w:r>
      <w:r w:rsidR="00F20537">
        <w:t>nisterial approval.</w:t>
      </w:r>
    </w:p>
    <w:p w:rsidR="007053C1" w:rsidRDefault="007053C1" w:rsidP="00121658">
      <w:pPr>
        <w:pStyle w:val="Heading2"/>
        <w:numPr>
          <w:ilvl w:val="0"/>
          <w:numId w:val="0"/>
        </w:numPr>
        <w:jc w:val="left"/>
      </w:pPr>
      <w:bookmarkStart w:id="17" w:name="_Toc513107575"/>
      <w:r>
        <w:t>B.2 Context of the Review</w:t>
      </w:r>
      <w:bookmarkEnd w:id="17"/>
    </w:p>
    <w:p w:rsidR="007053C1" w:rsidRPr="003314AE" w:rsidRDefault="007053C1" w:rsidP="00121658">
      <w:pPr>
        <w:pStyle w:val="BodyTextnospacebefore"/>
      </w:pPr>
      <w:r w:rsidRPr="00DA3E05">
        <w:t>In 2013, the Pulmonary Hypertension Society of Australia and New Zealand (PHSANZ) requested</w:t>
      </w:r>
      <w:r w:rsidRPr="003314AE">
        <w:t xml:space="preserve"> changes to the then current PBS restrictions for PAH medicines. At its November 2013 meeting, the PBAC considered that “such changes would all require consultation from sponsors and most would require evidence-based submissions regarding maintenance of acceptable cost-effectiveness”. PBAC also noted that requests to make PAH medicines available for patients with World Health Organization Functional Class II (WHO FC II) disease or for use as part of combination therapy would require a submission to be made to the PBAC</w:t>
      </w:r>
      <w:r w:rsidR="005C080A" w:rsidRPr="003314AE">
        <w:t>,</w:t>
      </w:r>
      <w:r w:rsidRPr="003314AE">
        <w:t xml:space="preserve"> with evidence demonstrating the comparative clinical effectiveness and safety and cost-effectiveness of</w:t>
      </w:r>
      <w:r w:rsidR="001A0F96">
        <w:t xml:space="preserve"> therapy in such circumstances.</w:t>
      </w:r>
    </w:p>
    <w:p w:rsidR="007053C1" w:rsidRPr="003314AE" w:rsidRDefault="007053C1" w:rsidP="00121658">
      <w:pPr>
        <w:pStyle w:val="BodyTextnospacebefore"/>
      </w:pPr>
      <w:r w:rsidRPr="003314AE">
        <w:t xml:space="preserve">In </w:t>
      </w:r>
      <w:r w:rsidR="00FB5000">
        <w:t xml:space="preserve">March </w:t>
      </w:r>
      <w:r w:rsidRPr="003314AE">
        <w:t xml:space="preserve">2014, </w:t>
      </w:r>
      <w:r w:rsidR="00C67A2F">
        <w:t>when</w:t>
      </w:r>
      <w:r w:rsidRPr="003314AE">
        <w:t xml:space="preserve"> considering the submission for macitentan, the PBAC noted that “the PBS restrictions for the PAH agents have not been updated for some time and note that terminology and clinical guidelines have since changed”. The PBAC recommended that the restrictions for the PAH medicines be reviewed to reflect current clinical guidelines on the proviso that the resultant change does not create any additional expenditure for the Commonwealth.</w:t>
      </w:r>
    </w:p>
    <w:p w:rsidR="007053C1" w:rsidRPr="003314AE" w:rsidRDefault="007053C1" w:rsidP="00121658">
      <w:pPr>
        <w:pStyle w:val="BodyTextnospacebefore"/>
      </w:pPr>
      <w:r w:rsidRPr="003314AE">
        <w:t>In February 2015 the Drug Utilisation Subcommittee (DUSC) conducted a PAH medicines utilisation analysis. The DUSC considered that the PBS restriction</w:t>
      </w:r>
      <w:r w:rsidR="00C67A2F">
        <w:t>s</w:t>
      </w:r>
      <w:r w:rsidRPr="003314AE">
        <w:t xml:space="preserve"> for PAH </w:t>
      </w:r>
      <w:r w:rsidR="00C67A2F" w:rsidRPr="003314AE">
        <w:t>medicines were</w:t>
      </w:r>
      <w:r w:rsidRPr="003314AE">
        <w:t xml:space="preserve"> not consistent with current treatment guidelines in that:</w:t>
      </w:r>
    </w:p>
    <w:p w:rsidR="007053C1" w:rsidRPr="003314AE" w:rsidRDefault="007053C1" w:rsidP="00921D13">
      <w:pPr>
        <w:pStyle w:val="08Bulletsseriesofsentences"/>
      </w:pPr>
      <w:r w:rsidRPr="003314AE">
        <w:t>It required failure to respond to 6 or more weeks of appropriate vasodilator treatment for WHO FC III patients with a mean right atrial pressure of 8 mmHg or less;</w:t>
      </w:r>
    </w:p>
    <w:p w:rsidR="007053C1" w:rsidRPr="003314AE" w:rsidRDefault="007053C1" w:rsidP="00921D13">
      <w:pPr>
        <w:pStyle w:val="08Bulletsseriesofsentences"/>
      </w:pPr>
      <w:r w:rsidRPr="003314AE">
        <w:t>It did not allow treatment of WHO FC II patients; and</w:t>
      </w:r>
    </w:p>
    <w:p w:rsidR="007053C1" w:rsidRPr="003314AE" w:rsidRDefault="007053C1" w:rsidP="00921D13">
      <w:pPr>
        <w:pStyle w:val="08Bulletsseriesofsentences"/>
      </w:pPr>
      <w:r w:rsidRPr="003314AE">
        <w:t>It did not allow combination therapy.</w:t>
      </w:r>
    </w:p>
    <w:p w:rsidR="007053C1" w:rsidRPr="003314AE" w:rsidRDefault="007053C1" w:rsidP="00121658">
      <w:pPr>
        <w:pStyle w:val="BodyTextnospacebefore"/>
      </w:pPr>
      <w:r w:rsidRPr="003314AE">
        <w:t xml:space="preserve">These issues were also noted in a submission from the sponsors of bosentan, epoprostenol and macitentan that requested amending the current ‘continuing treatment’ restriction of PAH medicines. At the July 2015 meeting, the PBAC considered that there were a number of issues around PAH medicines including: </w:t>
      </w:r>
    </w:p>
    <w:p w:rsidR="007053C1" w:rsidRPr="003314AE" w:rsidRDefault="007053C1" w:rsidP="00921D13">
      <w:pPr>
        <w:pStyle w:val="08Bulletsseriesofsentences"/>
      </w:pPr>
      <w:r w:rsidRPr="003314AE">
        <w:t xml:space="preserve">A lack of evidence to support the cost-effectiveness of combined therapy </w:t>
      </w:r>
      <w:r w:rsidR="00D709C2" w:rsidRPr="003314AE">
        <w:t xml:space="preserve">with two or more </w:t>
      </w:r>
      <w:r w:rsidRPr="003314AE">
        <w:t xml:space="preserve">PAH </w:t>
      </w:r>
      <w:r w:rsidR="00D709C2" w:rsidRPr="003314AE">
        <w:t>medicines</w:t>
      </w:r>
      <w:r w:rsidR="00293DD7">
        <w:t>;</w:t>
      </w:r>
    </w:p>
    <w:p w:rsidR="007053C1" w:rsidRPr="00D842FD" w:rsidRDefault="007053C1" w:rsidP="00921D13">
      <w:pPr>
        <w:pStyle w:val="08Bulletsseriesofsentences"/>
      </w:pPr>
      <w:r w:rsidRPr="003314AE">
        <w:t xml:space="preserve">A lack of evidence to support the cost-effectiveness of PAH medicines for use in WHO FC II </w:t>
      </w:r>
      <w:r w:rsidRPr="00D842FD">
        <w:t>patients</w:t>
      </w:r>
      <w:r w:rsidR="004575B0" w:rsidRPr="00D842FD">
        <w:t xml:space="preserve">; </w:t>
      </w:r>
      <w:r w:rsidRPr="00D842FD">
        <w:t>and</w:t>
      </w:r>
    </w:p>
    <w:p w:rsidR="007053C1" w:rsidRPr="00D842FD" w:rsidRDefault="007053C1" w:rsidP="00921D13">
      <w:pPr>
        <w:pStyle w:val="08Bulletsseriesofsentences"/>
      </w:pPr>
      <w:r w:rsidRPr="00D842FD">
        <w:t xml:space="preserve">Difficulty in identifying the population of patients who would derive the most benefit from these </w:t>
      </w:r>
      <w:r w:rsidR="00E80465" w:rsidRPr="00D842FD">
        <w:t>medicines</w:t>
      </w:r>
      <w:r w:rsidRPr="00D842FD">
        <w:t xml:space="preserve"> (bosentan, epoprostenol and macitentan, PSD, July 2015 PBAC meeting).</w:t>
      </w:r>
    </w:p>
    <w:p w:rsidR="007053C1" w:rsidRPr="003314AE" w:rsidRDefault="00E80465" w:rsidP="00121658">
      <w:pPr>
        <w:pStyle w:val="BodyTextnospacebefore"/>
      </w:pPr>
      <w:r w:rsidRPr="00D842FD">
        <w:t>T</w:t>
      </w:r>
      <w:r w:rsidR="007053C1" w:rsidRPr="00D842FD">
        <w:t xml:space="preserve">he PBAC recommended that a Post-Market Review should be undertaken </w:t>
      </w:r>
      <w:r w:rsidR="00DE3ABD" w:rsidRPr="00D842FD">
        <w:t xml:space="preserve">of medicines </w:t>
      </w:r>
      <w:r w:rsidR="007053C1" w:rsidRPr="00D842FD">
        <w:t>for the treatment of PAH, including the existing listed medicines for FC III and IV patients, and a review of the clinical place of these therapies as recommended in international guidelines.</w:t>
      </w:r>
    </w:p>
    <w:p w:rsidR="007053C1" w:rsidRDefault="007053C1" w:rsidP="00121658">
      <w:pPr>
        <w:pStyle w:val="Heading2"/>
        <w:numPr>
          <w:ilvl w:val="0"/>
          <w:numId w:val="0"/>
        </w:numPr>
        <w:jc w:val="left"/>
      </w:pPr>
      <w:bookmarkStart w:id="18" w:name="_Toc513107576"/>
      <w:r>
        <w:t>B.3 Review Process</w:t>
      </w:r>
      <w:bookmarkEnd w:id="18"/>
    </w:p>
    <w:p w:rsidR="007053C1" w:rsidRPr="00522F52" w:rsidRDefault="007053C1" w:rsidP="00121658">
      <w:pPr>
        <w:pStyle w:val="Heading3"/>
        <w:numPr>
          <w:ilvl w:val="0"/>
          <w:numId w:val="0"/>
        </w:numPr>
      </w:pPr>
      <w:bookmarkStart w:id="19" w:name="_Toc513107577"/>
      <w:r w:rsidRPr="00522F52">
        <w:t>B.3.1 Purpose of the Review</w:t>
      </w:r>
      <w:bookmarkEnd w:id="19"/>
    </w:p>
    <w:p w:rsidR="007053C1" w:rsidRPr="00DA3E05" w:rsidRDefault="007053C1" w:rsidP="00121658">
      <w:pPr>
        <w:pStyle w:val="BodyTextnospacebefore"/>
      </w:pPr>
      <w:r w:rsidRPr="00DA3E05">
        <w:t>The purpose of the Post-market Review of PAH Medicines is to review the efficacy and cost</w:t>
      </w:r>
      <w:r w:rsidRPr="00DA3E05">
        <w:rPr>
          <w:rFonts w:ascii="MS Gothic" w:eastAsia="MS Gothic" w:hAnsi="MS Gothic" w:cs="MS Gothic" w:hint="eastAsia"/>
        </w:rPr>
        <w:t>‑</w:t>
      </w:r>
      <w:r w:rsidRPr="00DA3E05">
        <w:t>effectiveness of PAH medicines, including the existing listing for class III and class IV patients, and the additional clinical place of these therapies as recommend</w:t>
      </w:r>
      <w:r w:rsidR="00F20537">
        <w:t>ed in international guidelines</w:t>
      </w:r>
    </w:p>
    <w:p w:rsidR="007053C1" w:rsidRDefault="007053C1" w:rsidP="00121658">
      <w:pPr>
        <w:pStyle w:val="Heading3"/>
        <w:numPr>
          <w:ilvl w:val="0"/>
          <w:numId w:val="0"/>
        </w:numPr>
      </w:pPr>
      <w:bookmarkStart w:id="20" w:name="_Toc513107578"/>
      <w:r>
        <w:t>B.3.2</w:t>
      </w:r>
      <w:r w:rsidR="009101A0">
        <w:t xml:space="preserve"> </w:t>
      </w:r>
      <w:r w:rsidRPr="00522F52">
        <w:t>Review</w:t>
      </w:r>
      <w:r>
        <w:t xml:space="preserve"> Reference Group</w:t>
      </w:r>
      <w:bookmarkEnd w:id="20"/>
    </w:p>
    <w:p w:rsidR="007053C1" w:rsidRPr="00DA3E05" w:rsidRDefault="007053C1" w:rsidP="00121658">
      <w:pPr>
        <w:pStyle w:val="BodyTextnospacebefore"/>
      </w:pPr>
      <w:r w:rsidRPr="00DA3E05">
        <w:t xml:space="preserve">A Reference Group is formed to assist in the review of the evidence and information for each of the Review’s terms of reference, and to ensure that the perspectives of stakeholders are considered in its preparation of the final report to the PBAC. The Reference Group may provide the PBAC with options to address key findings. Members of the Reference Group are appointed as either individuals or organisational representatives. Representation includes clinical experts, health economists and representatives of relevant health professional and consumer organisations. The Reference Group for the Review was </w:t>
      </w:r>
      <w:r w:rsidRPr="00D842FD">
        <w:t xml:space="preserve">appointed on </w:t>
      </w:r>
      <w:r w:rsidR="00DE3ABD" w:rsidRPr="00D842FD">
        <w:t>9 May 2017</w:t>
      </w:r>
      <w:r w:rsidRPr="00D842FD">
        <w:t>. A</w:t>
      </w:r>
      <w:r w:rsidRPr="00DA3E05">
        <w:t xml:space="preserve"> full list of Reference </w:t>
      </w:r>
      <w:r w:rsidRPr="00D842FD">
        <w:t>Group members is provided in the final report published on the PBS website at Append</w:t>
      </w:r>
      <w:r w:rsidR="00F20537" w:rsidRPr="00D842FD">
        <w:t>ix B – Reference Group Members.</w:t>
      </w:r>
    </w:p>
    <w:p w:rsidR="007053C1" w:rsidRDefault="007053C1" w:rsidP="00121658">
      <w:pPr>
        <w:pStyle w:val="Heading3"/>
        <w:numPr>
          <w:ilvl w:val="0"/>
          <w:numId w:val="0"/>
        </w:numPr>
        <w:jc w:val="left"/>
      </w:pPr>
      <w:bookmarkStart w:id="21" w:name="_Toc513107579"/>
      <w:r>
        <w:t>B.3.3</w:t>
      </w:r>
      <w:r w:rsidR="009101A0">
        <w:t xml:space="preserve"> </w:t>
      </w:r>
      <w:r>
        <w:t>Review Terms of Reference</w:t>
      </w:r>
      <w:bookmarkEnd w:id="21"/>
    </w:p>
    <w:p w:rsidR="006D232C" w:rsidRPr="003314AE" w:rsidRDefault="003C5912" w:rsidP="00121658">
      <w:pPr>
        <w:pStyle w:val="BodyTextnospacebefore"/>
      </w:pPr>
      <w:r w:rsidRPr="003314AE">
        <w:t xml:space="preserve">The </w:t>
      </w:r>
      <w:r w:rsidR="00586B4B" w:rsidRPr="003314AE">
        <w:t xml:space="preserve">Review’s </w:t>
      </w:r>
      <w:r w:rsidRPr="003314AE">
        <w:t>draft Terms of Referenc</w:t>
      </w:r>
      <w:r w:rsidR="008B565E" w:rsidRPr="003314AE">
        <w:t xml:space="preserve">e (ToR) </w:t>
      </w:r>
      <w:r w:rsidRPr="003314AE">
        <w:t>were open to public consulta</w:t>
      </w:r>
      <w:r w:rsidR="008B565E" w:rsidRPr="003314AE">
        <w:t xml:space="preserve">tion between </w:t>
      </w:r>
      <w:r w:rsidR="00944EDA" w:rsidRPr="003314AE">
        <w:t>2 May</w:t>
      </w:r>
      <w:r w:rsidR="008B565E" w:rsidRPr="003314AE">
        <w:t xml:space="preserve"> and </w:t>
      </w:r>
      <w:r w:rsidR="00944EDA" w:rsidRPr="003314AE">
        <w:t>16 May 2016</w:t>
      </w:r>
      <w:r w:rsidR="005F46F0" w:rsidRPr="003314AE">
        <w:t xml:space="preserve">. </w:t>
      </w:r>
      <w:r w:rsidR="00586B4B" w:rsidRPr="003314AE">
        <w:t>Fourteen submissions</w:t>
      </w:r>
      <w:r w:rsidR="006D232C" w:rsidRPr="003314AE">
        <w:t xml:space="preserve"> on the draft ToR </w:t>
      </w:r>
      <w:r w:rsidR="00175C85" w:rsidRPr="003314AE">
        <w:t>were received</w:t>
      </w:r>
      <w:r w:rsidR="00586B4B" w:rsidRPr="003314AE">
        <w:t>,</w:t>
      </w:r>
      <w:r w:rsidR="006D232C" w:rsidRPr="003314AE">
        <w:t xml:space="preserve"> </w:t>
      </w:r>
      <w:r w:rsidR="00175C85" w:rsidRPr="003314AE">
        <w:t xml:space="preserve">including </w:t>
      </w:r>
      <w:r w:rsidR="00B94F5A" w:rsidRPr="003314AE">
        <w:t xml:space="preserve">seven from individuals, </w:t>
      </w:r>
      <w:r w:rsidR="00944EDA" w:rsidRPr="003314AE">
        <w:t>two</w:t>
      </w:r>
      <w:r w:rsidRPr="003314AE">
        <w:t xml:space="preserve"> from industry</w:t>
      </w:r>
      <w:r w:rsidR="008B565E" w:rsidRPr="003314AE">
        <w:t>;</w:t>
      </w:r>
      <w:r w:rsidRPr="003314AE">
        <w:t xml:space="preserve"> and </w:t>
      </w:r>
      <w:r w:rsidR="00B94F5A" w:rsidRPr="003314AE">
        <w:t>five</w:t>
      </w:r>
      <w:r w:rsidRPr="003314AE">
        <w:t xml:space="preserve"> from heal</w:t>
      </w:r>
      <w:r w:rsidR="006D232C" w:rsidRPr="003314AE">
        <w:t>th professional peak bodies, consumer groups</w:t>
      </w:r>
      <w:r w:rsidR="002018FA" w:rsidRPr="003314AE">
        <w:t xml:space="preserve"> and health professionals</w:t>
      </w:r>
      <w:r w:rsidR="005F46F0" w:rsidRPr="003314AE">
        <w:t xml:space="preserve">. </w:t>
      </w:r>
      <w:r w:rsidR="002018FA" w:rsidRPr="003314AE">
        <w:t>P</w:t>
      </w:r>
      <w:r w:rsidR="006D232C" w:rsidRPr="003314AE">
        <w:t xml:space="preserve">ublic </w:t>
      </w:r>
      <w:r w:rsidR="00586B4B" w:rsidRPr="003314AE">
        <w:t xml:space="preserve">submissions </w:t>
      </w:r>
      <w:r w:rsidR="006D232C" w:rsidRPr="003314AE">
        <w:t>were published on the</w:t>
      </w:r>
      <w:r w:rsidR="00B94F5A" w:rsidRPr="003314AE">
        <w:t xml:space="preserve"> </w:t>
      </w:r>
      <w:r w:rsidR="00B94F5A" w:rsidRPr="003F5FE5">
        <w:rPr>
          <w:rFonts w:ascii="Calibri" w:hAnsi="Calibri"/>
        </w:rPr>
        <w:t>PAH Review Public Consultation</w:t>
      </w:r>
      <w:r w:rsidR="00B94F5A" w:rsidRPr="003314AE">
        <w:t xml:space="preserve"> </w:t>
      </w:r>
      <w:r w:rsidR="006D232C" w:rsidRPr="003314AE">
        <w:t>website</w:t>
      </w:r>
      <w:r w:rsidR="002018FA" w:rsidRPr="003314AE">
        <w:t>, except where requested otherwise.</w:t>
      </w:r>
    </w:p>
    <w:p w:rsidR="005F46F0" w:rsidRPr="003314AE" w:rsidRDefault="003C5912" w:rsidP="00121658">
      <w:pPr>
        <w:pStyle w:val="BodyTextnospacebefore"/>
      </w:pPr>
      <w:r w:rsidRPr="003314AE">
        <w:t>Th</w:t>
      </w:r>
      <w:r w:rsidR="008B565E" w:rsidRPr="003314AE">
        <w:t>e PBAC considered the draft ToR</w:t>
      </w:r>
      <w:r w:rsidRPr="003314AE">
        <w:t xml:space="preserve"> </w:t>
      </w:r>
      <w:r w:rsidR="008B565E" w:rsidRPr="003314AE">
        <w:t xml:space="preserve">and </w:t>
      </w:r>
      <w:r w:rsidRPr="003314AE">
        <w:t xml:space="preserve">comments from stakeholders </w:t>
      </w:r>
      <w:r w:rsidR="008B565E" w:rsidRPr="003314AE">
        <w:t xml:space="preserve">in </w:t>
      </w:r>
      <w:r w:rsidR="00B94F5A" w:rsidRPr="003314AE">
        <w:t>August 2016</w:t>
      </w:r>
      <w:r w:rsidRPr="003314AE">
        <w:t>.</w:t>
      </w:r>
      <w:r w:rsidR="00175C85" w:rsidRPr="003314AE">
        <w:t xml:space="preserve"> In </w:t>
      </w:r>
      <w:r w:rsidR="000F5B05" w:rsidRPr="003314AE">
        <w:t>December 2016</w:t>
      </w:r>
      <w:r w:rsidR="00175C85" w:rsidRPr="003314AE">
        <w:t>, the Minister for Health approved the final Review ToR.</w:t>
      </w:r>
      <w:r w:rsidR="006D232C" w:rsidRPr="003314AE">
        <w:t xml:space="preserve"> </w:t>
      </w:r>
      <w:r w:rsidRPr="003314AE">
        <w:t>Research questions relating to the ToR were developed to guide the technical review</w:t>
      </w:r>
      <w:r w:rsidR="005F46F0" w:rsidRPr="003314AE">
        <w:t xml:space="preserve">. </w:t>
      </w:r>
      <w:r w:rsidRPr="003314AE">
        <w:t>The final ToR and research questions</w:t>
      </w:r>
      <w:r w:rsidR="00F00E40" w:rsidRPr="003314AE">
        <w:t xml:space="preserve">, approved </w:t>
      </w:r>
      <w:r w:rsidRPr="003314AE">
        <w:t xml:space="preserve">by the </w:t>
      </w:r>
      <w:r w:rsidR="002225C8" w:rsidRPr="003314AE">
        <w:t>R</w:t>
      </w:r>
      <w:r w:rsidR="000F5B05" w:rsidRPr="003314AE">
        <w:t xml:space="preserve">eference </w:t>
      </w:r>
      <w:r w:rsidR="002225C8" w:rsidRPr="003314AE">
        <w:t>G</w:t>
      </w:r>
      <w:r w:rsidR="000F5B05" w:rsidRPr="003314AE">
        <w:t>roup</w:t>
      </w:r>
      <w:r w:rsidR="00F00E40" w:rsidRPr="003314AE">
        <w:t xml:space="preserve"> Chair</w:t>
      </w:r>
      <w:r w:rsidRPr="003314AE">
        <w:t>, are listed below.</w:t>
      </w:r>
    </w:p>
    <w:p w:rsidR="007053C1" w:rsidRPr="003314AE" w:rsidRDefault="007053C1" w:rsidP="00121658">
      <w:pPr>
        <w:pStyle w:val="Heading4"/>
      </w:pPr>
      <w:r w:rsidRPr="003314AE">
        <w:t>Terms of reference 1</w:t>
      </w:r>
    </w:p>
    <w:p w:rsidR="008B565E" w:rsidRPr="003314AE" w:rsidRDefault="008B565E" w:rsidP="00121658">
      <w:pPr>
        <w:pStyle w:val="BodyTextnospacebefore"/>
      </w:pPr>
      <w:r w:rsidRPr="003314AE">
        <w:t xml:space="preserve">ToR 1: </w:t>
      </w:r>
      <w:r w:rsidR="00B94F5A" w:rsidRPr="003314AE">
        <w:t>Review recent clinical guidelines for the management of PAH and compare this to the PBS restrictions and Therapeutic Goods Administration (TGA) indications for the use of PAH medicines.</w:t>
      </w:r>
    </w:p>
    <w:p w:rsidR="00B40903" w:rsidRPr="003314AE" w:rsidRDefault="00DA3E05" w:rsidP="00121658">
      <w:pPr>
        <w:pStyle w:val="BodyText"/>
        <w:spacing w:before="120"/>
        <w:jc w:val="left"/>
        <w:rPr>
          <w:rFonts w:ascii="Calibri" w:hAnsi="Calibri"/>
        </w:rPr>
      </w:pPr>
      <w:r>
        <w:rPr>
          <w:rFonts w:ascii="Calibri" w:hAnsi="Calibri"/>
        </w:rPr>
        <w:t>Q1.</w:t>
      </w:r>
      <w:r>
        <w:rPr>
          <w:rFonts w:ascii="Calibri" w:hAnsi="Calibri"/>
        </w:rPr>
        <w:tab/>
      </w:r>
      <w:r w:rsidR="00A8308B" w:rsidRPr="003314AE">
        <w:rPr>
          <w:rFonts w:ascii="Calibri" w:hAnsi="Calibri"/>
        </w:rPr>
        <w:t>What are the clinical treatment algorithms recommended in recent Australian, European and North American guidelines for the treatment of WHO FC II, III and IV PAH?</w:t>
      </w:r>
    </w:p>
    <w:p w:rsidR="00B40903" w:rsidRPr="003314AE" w:rsidRDefault="00DA3E05" w:rsidP="00121658">
      <w:pPr>
        <w:pStyle w:val="BodyText"/>
        <w:spacing w:before="120"/>
        <w:jc w:val="left"/>
        <w:rPr>
          <w:rFonts w:ascii="Calibri" w:hAnsi="Calibri"/>
        </w:rPr>
      </w:pPr>
      <w:r>
        <w:rPr>
          <w:rFonts w:ascii="Calibri" w:hAnsi="Calibri"/>
        </w:rPr>
        <w:t>Q2.</w:t>
      </w:r>
      <w:r>
        <w:rPr>
          <w:rFonts w:ascii="Calibri" w:hAnsi="Calibri"/>
        </w:rPr>
        <w:tab/>
      </w:r>
      <w:r w:rsidR="00A8308B" w:rsidRPr="003314AE">
        <w:rPr>
          <w:rFonts w:ascii="Calibri" w:hAnsi="Calibri"/>
        </w:rPr>
        <w:t>Are the current PBS restrictions for PAH medicines, the TGA-approved indications and the recommendations from clinical guidelines consistent?</w:t>
      </w:r>
    </w:p>
    <w:p w:rsidR="00B40903" w:rsidRPr="003314AE" w:rsidRDefault="00DA3E05" w:rsidP="00121658">
      <w:pPr>
        <w:pStyle w:val="BodyText"/>
        <w:spacing w:before="120"/>
        <w:jc w:val="left"/>
        <w:rPr>
          <w:rFonts w:ascii="Calibri" w:hAnsi="Calibri"/>
        </w:rPr>
      </w:pPr>
      <w:r>
        <w:rPr>
          <w:rFonts w:ascii="Calibri" w:hAnsi="Calibri"/>
        </w:rPr>
        <w:t>Q3.</w:t>
      </w:r>
      <w:r>
        <w:rPr>
          <w:rFonts w:ascii="Calibri" w:hAnsi="Calibri"/>
        </w:rPr>
        <w:tab/>
      </w:r>
      <w:r w:rsidR="00A8308B" w:rsidRPr="003314AE">
        <w:rPr>
          <w:rFonts w:ascii="Calibri" w:hAnsi="Calibri"/>
        </w:rPr>
        <w:t>Are the current diagnostic and prognostic criteria in PBS restrictions for patients with PAH consistent with Australian and international guidelines?</w:t>
      </w:r>
    </w:p>
    <w:p w:rsidR="007053C1" w:rsidRPr="003314AE" w:rsidRDefault="007053C1" w:rsidP="00121658">
      <w:pPr>
        <w:pStyle w:val="Heading4"/>
      </w:pPr>
      <w:r w:rsidRPr="003314AE">
        <w:t>Terms of reference 2</w:t>
      </w:r>
    </w:p>
    <w:p w:rsidR="00B40903" w:rsidRPr="003314AE" w:rsidRDefault="00B40903" w:rsidP="00121658">
      <w:pPr>
        <w:pStyle w:val="BodyTextnospacebefore"/>
      </w:pPr>
      <w:r w:rsidRPr="003314AE">
        <w:t xml:space="preserve">ToR 2: </w:t>
      </w:r>
      <w:r w:rsidR="00B94F5A" w:rsidRPr="003314AE">
        <w:t>Review the utilisation of PAH medicines in Australia, including sources of data that can provide additional information on clinical use that is not available from PBS data.</w:t>
      </w:r>
      <w:r w:rsidR="003D4F24" w:rsidRPr="003314AE">
        <w:t xml:space="preserve"> </w:t>
      </w:r>
      <w:r w:rsidRPr="003314AE">
        <w:t>Through a literature review:</w:t>
      </w:r>
    </w:p>
    <w:p w:rsidR="007053C1" w:rsidRPr="003314AE" w:rsidRDefault="007053C1" w:rsidP="00121658">
      <w:pPr>
        <w:pStyle w:val="BodyText"/>
        <w:jc w:val="left"/>
        <w:rPr>
          <w:rFonts w:ascii="Calibri" w:hAnsi="Calibri"/>
        </w:rPr>
      </w:pPr>
      <w:r w:rsidRPr="003314AE">
        <w:rPr>
          <w:rFonts w:ascii="Calibri" w:hAnsi="Calibri"/>
        </w:rPr>
        <w:t xml:space="preserve">Q1. </w:t>
      </w:r>
      <w:r w:rsidRPr="003314AE">
        <w:rPr>
          <w:rFonts w:ascii="Calibri" w:hAnsi="Calibri"/>
        </w:rPr>
        <w:tab/>
        <w:t>What is the prevalence and incidence of PBS-listed PAH medicine use?</w:t>
      </w:r>
    </w:p>
    <w:p w:rsidR="007053C1" w:rsidRPr="003314AE" w:rsidRDefault="007053C1" w:rsidP="00121658">
      <w:pPr>
        <w:pStyle w:val="BodyText"/>
        <w:spacing w:before="120"/>
        <w:jc w:val="left"/>
        <w:rPr>
          <w:rFonts w:ascii="Calibri" w:hAnsi="Calibri"/>
        </w:rPr>
      </w:pPr>
      <w:r w:rsidRPr="003314AE">
        <w:rPr>
          <w:rFonts w:ascii="Calibri" w:hAnsi="Calibri"/>
        </w:rPr>
        <w:t>Q2.</w:t>
      </w:r>
      <w:r w:rsidRPr="003314AE">
        <w:rPr>
          <w:rFonts w:ascii="Calibri" w:hAnsi="Calibri"/>
        </w:rPr>
        <w:tab/>
        <w:t>If and how has the prevalence and incidence of PAH medicine use changed over time during July 2013 to December 2016?</w:t>
      </w:r>
    </w:p>
    <w:p w:rsidR="007053C1" w:rsidRPr="003314AE" w:rsidRDefault="007053C1" w:rsidP="00121658">
      <w:pPr>
        <w:pStyle w:val="BodyText"/>
        <w:spacing w:before="120"/>
        <w:jc w:val="left"/>
        <w:rPr>
          <w:rFonts w:ascii="Calibri" w:hAnsi="Calibri"/>
        </w:rPr>
      </w:pPr>
      <w:r w:rsidRPr="003314AE">
        <w:rPr>
          <w:rFonts w:ascii="Calibri" w:hAnsi="Calibri"/>
        </w:rPr>
        <w:t>Q3.</w:t>
      </w:r>
      <w:r w:rsidRPr="003314AE">
        <w:rPr>
          <w:rFonts w:ascii="Calibri" w:hAnsi="Calibri"/>
        </w:rPr>
        <w:tab/>
        <w:t>What is the length of time on treatment according to individual PAH medicines, as well as overall length of time on treatment with any PBS-listed PAH medicine?</w:t>
      </w:r>
    </w:p>
    <w:p w:rsidR="007053C1" w:rsidRPr="003314AE" w:rsidRDefault="007053C1" w:rsidP="00121658">
      <w:pPr>
        <w:pStyle w:val="BodyText"/>
        <w:jc w:val="left"/>
        <w:rPr>
          <w:rFonts w:ascii="Calibri" w:hAnsi="Calibri"/>
        </w:rPr>
      </w:pPr>
      <w:r w:rsidRPr="003314AE">
        <w:rPr>
          <w:rFonts w:ascii="Calibri" w:hAnsi="Calibri"/>
        </w:rPr>
        <w:t>Q4.</w:t>
      </w:r>
      <w:r w:rsidRPr="003314AE">
        <w:rPr>
          <w:rFonts w:ascii="Calibri" w:hAnsi="Calibri"/>
        </w:rPr>
        <w:tab/>
        <w:t>Based on co-prescribed PBS-listed PAH medicines, is there evidence of combination treatment with two or more individual PAH medicines among prevalent and incident users?</w:t>
      </w:r>
    </w:p>
    <w:p w:rsidR="007053C1" w:rsidRPr="003314AE" w:rsidRDefault="007053C1" w:rsidP="00121658">
      <w:pPr>
        <w:pStyle w:val="BodyText"/>
        <w:spacing w:before="120"/>
        <w:jc w:val="left"/>
        <w:rPr>
          <w:rFonts w:ascii="Calibri" w:hAnsi="Calibri"/>
        </w:rPr>
      </w:pPr>
      <w:r w:rsidRPr="003314AE">
        <w:rPr>
          <w:rFonts w:ascii="Calibri" w:hAnsi="Calibri"/>
        </w:rPr>
        <w:t>Q5.</w:t>
      </w:r>
      <w:r w:rsidRPr="003314AE">
        <w:rPr>
          <w:rFonts w:ascii="Calibri" w:hAnsi="Calibri"/>
        </w:rPr>
        <w:tab/>
        <w:t>What is the prevalence of switching between PAH medicines taking into account length of treatment?</w:t>
      </w:r>
    </w:p>
    <w:p w:rsidR="007053C1" w:rsidRPr="003314AE" w:rsidRDefault="007053C1" w:rsidP="00121658">
      <w:pPr>
        <w:pStyle w:val="BodyText"/>
        <w:spacing w:before="120"/>
        <w:jc w:val="left"/>
        <w:rPr>
          <w:rFonts w:ascii="Calibri" w:hAnsi="Calibri"/>
        </w:rPr>
      </w:pPr>
      <w:r w:rsidRPr="003314AE">
        <w:rPr>
          <w:rFonts w:ascii="Calibri" w:hAnsi="Calibri"/>
        </w:rPr>
        <w:t>Q6.</w:t>
      </w:r>
      <w:r w:rsidRPr="003314AE">
        <w:rPr>
          <w:rFonts w:ascii="Calibri" w:hAnsi="Calibri"/>
        </w:rPr>
        <w:tab/>
        <w:t>What is the extent of combination treatment in data collected in the PHSANZ registry and the Australian Scleroderma Cohort Study?</w:t>
      </w:r>
    </w:p>
    <w:p w:rsidR="007053C1" w:rsidRPr="003314AE" w:rsidRDefault="007053C1" w:rsidP="00121658">
      <w:pPr>
        <w:pStyle w:val="Heading4"/>
      </w:pPr>
      <w:r w:rsidRPr="003314AE">
        <w:t>Terms of reference 3</w:t>
      </w:r>
    </w:p>
    <w:p w:rsidR="00B40903" w:rsidRPr="003314AE" w:rsidRDefault="00953452" w:rsidP="00121658">
      <w:pPr>
        <w:pStyle w:val="BodyText"/>
        <w:spacing w:before="120"/>
        <w:jc w:val="left"/>
        <w:rPr>
          <w:rFonts w:ascii="Calibri" w:hAnsi="Calibri"/>
        </w:rPr>
      </w:pPr>
      <w:r w:rsidRPr="003314AE">
        <w:rPr>
          <w:rFonts w:ascii="Calibri" w:hAnsi="Calibri"/>
        </w:rPr>
        <w:t xml:space="preserve">ToR 3: </w:t>
      </w:r>
      <w:r w:rsidR="00B94F5A" w:rsidRPr="003314AE">
        <w:rPr>
          <w:rFonts w:ascii="Calibri" w:hAnsi="Calibri"/>
        </w:rPr>
        <w:t>Review the clinical outcomes that are most important or clinically relevant to patients with PAH, and the extent to which these outcomes are included in the evidence previously considered by PBAC.</w:t>
      </w:r>
    </w:p>
    <w:p w:rsidR="007053C1" w:rsidRPr="003314AE" w:rsidRDefault="007053C1" w:rsidP="00121658">
      <w:pPr>
        <w:pStyle w:val="BodyText"/>
        <w:spacing w:before="120"/>
        <w:jc w:val="left"/>
        <w:rPr>
          <w:rFonts w:ascii="Calibri" w:hAnsi="Calibri"/>
        </w:rPr>
      </w:pPr>
      <w:r w:rsidRPr="003314AE">
        <w:rPr>
          <w:rFonts w:ascii="Calibri" w:hAnsi="Calibri"/>
        </w:rPr>
        <w:t>Through a consumer forum:</w:t>
      </w:r>
    </w:p>
    <w:p w:rsidR="007053C1" w:rsidRPr="003314AE" w:rsidRDefault="007053C1" w:rsidP="00121658">
      <w:pPr>
        <w:pStyle w:val="BodyText"/>
        <w:spacing w:before="120"/>
        <w:jc w:val="left"/>
        <w:rPr>
          <w:rFonts w:ascii="Calibri" w:hAnsi="Calibri"/>
        </w:rPr>
      </w:pPr>
      <w:r w:rsidRPr="003314AE">
        <w:rPr>
          <w:rFonts w:ascii="Calibri" w:hAnsi="Calibri"/>
        </w:rPr>
        <w:t>Q1.</w:t>
      </w:r>
      <w:r w:rsidRPr="003314AE">
        <w:rPr>
          <w:rFonts w:ascii="Calibri" w:hAnsi="Calibri"/>
        </w:rPr>
        <w:tab/>
        <w:t>How have PAH medicines made a difference to your symptoms and daily life?</w:t>
      </w:r>
    </w:p>
    <w:p w:rsidR="007053C1" w:rsidRPr="003314AE" w:rsidRDefault="007053C1" w:rsidP="00121658">
      <w:pPr>
        <w:pStyle w:val="BodyText"/>
        <w:jc w:val="left"/>
        <w:rPr>
          <w:rFonts w:ascii="Calibri" w:hAnsi="Calibri"/>
        </w:rPr>
      </w:pPr>
      <w:r w:rsidRPr="003314AE">
        <w:rPr>
          <w:rFonts w:ascii="Calibri" w:hAnsi="Calibri"/>
        </w:rPr>
        <w:t>Q2.</w:t>
      </w:r>
      <w:r w:rsidRPr="003314AE">
        <w:rPr>
          <w:rFonts w:ascii="Calibri" w:hAnsi="Calibri"/>
        </w:rPr>
        <w:tab/>
        <w:t>What changes in health do you value the most?</w:t>
      </w:r>
    </w:p>
    <w:p w:rsidR="007053C1" w:rsidRPr="003314AE" w:rsidRDefault="007053C1" w:rsidP="00121658">
      <w:pPr>
        <w:pStyle w:val="BodyText"/>
        <w:jc w:val="left"/>
        <w:rPr>
          <w:rFonts w:ascii="Calibri" w:hAnsi="Calibri"/>
        </w:rPr>
      </w:pPr>
      <w:r w:rsidRPr="003314AE">
        <w:rPr>
          <w:rFonts w:ascii="Calibri" w:hAnsi="Calibri"/>
        </w:rPr>
        <w:t>Q3.</w:t>
      </w:r>
      <w:r w:rsidRPr="003314AE">
        <w:rPr>
          <w:rFonts w:ascii="Calibri" w:hAnsi="Calibri"/>
        </w:rPr>
        <w:tab/>
        <w:t>Are important changes in your health reflected in clinical measures such as 6MWD or rates of hospitalisation?</w:t>
      </w:r>
    </w:p>
    <w:p w:rsidR="007053C1" w:rsidRPr="003314AE" w:rsidRDefault="007053C1" w:rsidP="00121658">
      <w:pPr>
        <w:pStyle w:val="BodyText"/>
        <w:jc w:val="left"/>
        <w:rPr>
          <w:rFonts w:ascii="Calibri" w:hAnsi="Calibri"/>
        </w:rPr>
      </w:pPr>
      <w:r w:rsidRPr="003314AE">
        <w:rPr>
          <w:rFonts w:ascii="Calibri" w:hAnsi="Calibri"/>
        </w:rPr>
        <w:t>Q4.</w:t>
      </w:r>
      <w:r w:rsidRPr="003314AE">
        <w:rPr>
          <w:rFonts w:ascii="Calibri" w:hAnsi="Calibri"/>
        </w:rPr>
        <w:tab/>
        <w:t>Are there side effects from PAH medicines that impact negatively on your daily activities and quality of life?</w:t>
      </w:r>
    </w:p>
    <w:p w:rsidR="007053C1" w:rsidRPr="003314AE" w:rsidRDefault="007053C1" w:rsidP="00121658">
      <w:pPr>
        <w:pStyle w:val="BodyText"/>
        <w:jc w:val="left"/>
        <w:rPr>
          <w:rFonts w:ascii="Calibri" w:hAnsi="Calibri"/>
        </w:rPr>
      </w:pPr>
      <w:r w:rsidRPr="003314AE">
        <w:rPr>
          <w:rFonts w:ascii="Calibri" w:hAnsi="Calibri"/>
        </w:rPr>
        <w:t>Q5.</w:t>
      </w:r>
      <w:r w:rsidRPr="003314AE">
        <w:rPr>
          <w:rFonts w:ascii="Calibri" w:hAnsi="Calibri"/>
        </w:rPr>
        <w:tab/>
        <w:t>Are there any other clinical outcomes that should be highlighted to the PBAC when they consider the effectiveness of PAH medicines</w:t>
      </w:r>
      <w:r w:rsidR="003D4F24" w:rsidRPr="003314AE">
        <w:rPr>
          <w:rFonts w:ascii="Calibri" w:hAnsi="Calibri"/>
        </w:rPr>
        <w:t>?</w:t>
      </w:r>
    </w:p>
    <w:p w:rsidR="007053C1" w:rsidRPr="003314AE" w:rsidRDefault="007053C1" w:rsidP="00121658">
      <w:pPr>
        <w:pStyle w:val="Heading4"/>
      </w:pPr>
      <w:r w:rsidRPr="003314AE">
        <w:t>Terms of reference 4</w:t>
      </w:r>
    </w:p>
    <w:p w:rsidR="00953452" w:rsidRPr="003314AE" w:rsidRDefault="00953452" w:rsidP="00121658">
      <w:pPr>
        <w:pStyle w:val="BodyText"/>
        <w:spacing w:before="120"/>
        <w:jc w:val="left"/>
        <w:rPr>
          <w:rFonts w:ascii="Calibri" w:hAnsi="Calibri"/>
        </w:rPr>
      </w:pPr>
      <w:r w:rsidRPr="003314AE">
        <w:rPr>
          <w:rFonts w:ascii="Calibri" w:hAnsi="Calibri"/>
        </w:rPr>
        <w:t xml:space="preserve">ToR 4: </w:t>
      </w:r>
      <w:r w:rsidR="00B94F5A" w:rsidRPr="003314AE">
        <w:rPr>
          <w:rFonts w:ascii="Calibri" w:hAnsi="Calibri"/>
        </w:rPr>
        <w:t>Collate and evaluate evidence on the comparative effectiveness of PAH medicines, including combination use and use in the WHO functional class II patient populations.</w:t>
      </w:r>
    </w:p>
    <w:p w:rsidR="00953452" w:rsidRPr="003314AE" w:rsidRDefault="00DA3E05" w:rsidP="00121658">
      <w:pPr>
        <w:pStyle w:val="BodyText"/>
        <w:spacing w:before="120"/>
        <w:jc w:val="left"/>
        <w:rPr>
          <w:rFonts w:ascii="Calibri" w:hAnsi="Calibri"/>
        </w:rPr>
      </w:pPr>
      <w:r>
        <w:rPr>
          <w:rFonts w:ascii="Calibri" w:hAnsi="Calibri"/>
        </w:rPr>
        <w:t>Q1.</w:t>
      </w:r>
      <w:r>
        <w:rPr>
          <w:rFonts w:ascii="Calibri" w:hAnsi="Calibri"/>
        </w:rPr>
        <w:tab/>
      </w:r>
      <w:r w:rsidR="00A8308B" w:rsidRPr="003314AE">
        <w:rPr>
          <w:rFonts w:ascii="Calibri" w:hAnsi="Calibri"/>
        </w:rPr>
        <w:t>What is the effectiveness and safety of monotherapy with a PAH medicine, compared to</w:t>
      </w:r>
      <w:r w:rsidR="00A8308B" w:rsidRPr="003314AE">
        <w:rPr>
          <w:rFonts w:ascii="Calibri" w:hAnsi="Calibri"/>
          <w:i/>
        </w:rPr>
        <w:t xml:space="preserve"> </w:t>
      </w:r>
      <w:r w:rsidR="00A8308B" w:rsidRPr="003314AE">
        <w:rPr>
          <w:rFonts w:ascii="Calibri" w:hAnsi="Calibri"/>
        </w:rPr>
        <w:t>placebo/no treatment or another PAH medicine listed on the PBS, in patients with WHO FC I or II PAH?</w:t>
      </w:r>
    </w:p>
    <w:p w:rsidR="00A8308B" w:rsidRPr="003314AE" w:rsidRDefault="00DA3E05" w:rsidP="00121658">
      <w:pPr>
        <w:pStyle w:val="BodyText"/>
        <w:spacing w:before="120"/>
        <w:jc w:val="left"/>
        <w:rPr>
          <w:rFonts w:ascii="Calibri" w:hAnsi="Calibri"/>
        </w:rPr>
      </w:pPr>
      <w:r>
        <w:rPr>
          <w:rFonts w:ascii="Calibri" w:hAnsi="Calibri"/>
        </w:rPr>
        <w:t>Q2.</w:t>
      </w:r>
      <w:r>
        <w:rPr>
          <w:rFonts w:ascii="Calibri" w:hAnsi="Calibri"/>
        </w:rPr>
        <w:tab/>
      </w:r>
      <w:r w:rsidR="00A8308B" w:rsidRPr="003314AE">
        <w:rPr>
          <w:rFonts w:ascii="Calibri" w:hAnsi="Calibri"/>
        </w:rPr>
        <w:t>What is the new evidence concerning the effectiveness and safety of monotherapy with a PAH medicine, compared to the main comparator accepted by the PBAC, in patients with WHO FC III or IV PAH, that has not previously been considered by the PBAC?</w:t>
      </w:r>
    </w:p>
    <w:p w:rsidR="007053C1" w:rsidRPr="003314AE" w:rsidRDefault="00DA3E05" w:rsidP="00121658">
      <w:pPr>
        <w:pStyle w:val="BodyText"/>
        <w:spacing w:before="120"/>
        <w:jc w:val="left"/>
        <w:rPr>
          <w:rFonts w:ascii="Calibri" w:hAnsi="Calibri"/>
        </w:rPr>
      </w:pPr>
      <w:r>
        <w:rPr>
          <w:rFonts w:ascii="Calibri" w:hAnsi="Calibri"/>
        </w:rPr>
        <w:t>Q3.</w:t>
      </w:r>
      <w:r>
        <w:rPr>
          <w:rFonts w:ascii="Calibri" w:hAnsi="Calibri"/>
        </w:rPr>
        <w:tab/>
      </w:r>
      <w:r w:rsidR="00A8308B" w:rsidRPr="003314AE">
        <w:rPr>
          <w:rFonts w:ascii="Calibri" w:hAnsi="Calibri"/>
        </w:rPr>
        <w:t xml:space="preserve">What is the effectiveness and safety of dual combination therapy involving any combination of an ERA, a </w:t>
      </w:r>
      <w:r w:rsidR="00AF191D" w:rsidRPr="003314AE">
        <w:rPr>
          <w:rFonts w:ascii="Calibri" w:hAnsi="Calibri"/>
        </w:rPr>
        <w:t>PDE</w:t>
      </w:r>
      <w:r w:rsidR="00AF191D" w:rsidRPr="003314AE">
        <w:rPr>
          <w:rFonts w:ascii="Calibri" w:hAnsi="Calibri"/>
        </w:rPr>
        <w:noBreakHyphen/>
        <w:t>5</w:t>
      </w:r>
      <w:r w:rsidR="00A8308B" w:rsidRPr="003314AE">
        <w:rPr>
          <w:rFonts w:ascii="Calibri" w:hAnsi="Calibri"/>
        </w:rPr>
        <w:t xml:space="preserve"> inhibitor, a prostanoid, or a sGC stimulat</w:t>
      </w:r>
      <w:r w:rsidR="00751282">
        <w:rPr>
          <w:rFonts w:ascii="Calibri" w:hAnsi="Calibri"/>
        </w:rPr>
        <w:t xml:space="preserve">or, compared to monotherapy, </w:t>
      </w:r>
      <w:proofErr w:type="gramStart"/>
      <w:r w:rsidR="00751282">
        <w:rPr>
          <w:rFonts w:ascii="Calibri" w:hAnsi="Calibri"/>
        </w:rPr>
        <w:t>in</w:t>
      </w:r>
      <w:proofErr w:type="gramEnd"/>
    </w:p>
    <w:p w:rsidR="007053C1" w:rsidRPr="003314AE" w:rsidRDefault="00A8308B" w:rsidP="00807704">
      <w:pPr>
        <w:pStyle w:val="BodyText"/>
        <w:numPr>
          <w:ilvl w:val="0"/>
          <w:numId w:val="21"/>
        </w:numPr>
        <w:spacing w:before="120"/>
        <w:ind w:left="993" w:hanging="426"/>
        <w:jc w:val="left"/>
        <w:rPr>
          <w:rFonts w:ascii="Calibri" w:hAnsi="Calibri"/>
        </w:rPr>
      </w:pPr>
      <w:r w:rsidRPr="003314AE">
        <w:rPr>
          <w:rFonts w:ascii="Calibri" w:hAnsi="Calibri"/>
        </w:rPr>
        <w:t>PAH patients, irrespective of disease severity or aetiology;</w:t>
      </w:r>
    </w:p>
    <w:p w:rsidR="007053C1" w:rsidRPr="003314AE" w:rsidRDefault="00A8308B" w:rsidP="00807704">
      <w:pPr>
        <w:pStyle w:val="BodyText"/>
        <w:numPr>
          <w:ilvl w:val="0"/>
          <w:numId w:val="21"/>
        </w:numPr>
        <w:spacing w:before="120"/>
        <w:ind w:left="993" w:hanging="426"/>
        <w:jc w:val="left"/>
        <w:rPr>
          <w:rFonts w:ascii="Calibri" w:hAnsi="Calibri"/>
        </w:rPr>
      </w:pPr>
      <w:r w:rsidRPr="003314AE">
        <w:rPr>
          <w:rFonts w:ascii="Calibri" w:hAnsi="Calibri"/>
        </w:rPr>
        <w:t>PAH patients with FC III or IV; and</w:t>
      </w:r>
    </w:p>
    <w:p w:rsidR="00A8308B" w:rsidRPr="003314AE" w:rsidRDefault="00A8308B" w:rsidP="00807704">
      <w:pPr>
        <w:pStyle w:val="BodyText"/>
        <w:numPr>
          <w:ilvl w:val="0"/>
          <w:numId w:val="21"/>
        </w:numPr>
        <w:spacing w:before="120"/>
        <w:ind w:left="993" w:hanging="426"/>
        <w:jc w:val="left"/>
        <w:rPr>
          <w:rFonts w:ascii="Calibri" w:hAnsi="Calibri"/>
        </w:rPr>
      </w:pPr>
      <w:r w:rsidRPr="003314AE">
        <w:rPr>
          <w:rFonts w:ascii="Calibri" w:hAnsi="Calibri"/>
        </w:rPr>
        <w:t>PAH patients with different disease aetiologies?</w:t>
      </w:r>
    </w:p>
    <w:p w:rsidR="007053C1" w:rsidRPr="003314AE" w:rsidRDefault="00DA3E05" w:rsidP="00121658">
      <w:pPr>
        <w:pStyle w:val="BodyText"/>
        <w:spacing w:before="120"/>
        <w:jc w:val="left"/>
        <w:rPr>
          <w:rFonts w:ascii="Calibri" w:hAnsi="Calibri"/>
        </w:rPr>
      </w:pPr>
      <w:r>
        <w:rPr>
          <w:rFonts w:ascii="Calibri" w:hAnsi="Calibri"/>
        </w:rPr>
        <w:t>Q4.</w:t>
      </w:r>
      <w:r>
        <w:rPr>
          <w:rFonts w:ascii="Calibri" w:hAnsi="Calibri"/>
        </w:rPr>
        <w:tab/>
      </w:r>
      <w:r w:rsidR="00A8308B" w:rsidRPr="003314AE">
        <w:rPr>
          <w:rFonts w:ascii="Calibri" w:hAnsi="Calibri"/>
        </w:rPr>
        <w:t xml:space="preserve">What is the effectiveness and safety of triple combination therapy involving any combination of an ERA, a </w:t>
      </w:r>
      <w:r w:rsidR="00AF191D" w:rsidRPr="003314AE">
        <w:rPr>
          <w:rFonts w:ascii="Calibri" w:hAnsi="Calibri"/>
        </w:rPr>
        <w:t>PDE</w:t>
      </w:r>
      <w:r w:rsidR="00AF191D" w:rsidRPr="003314AE">
        <w:rPr>
          <w:rFonts w:ascii="Calibri" w:hAnsi="Calibri"/>
        </w:rPr>
        <w:noBreakHyphen/>
        <w:t>5</w:t>
      </w:r>
      <w:r w:rsidR="00A8308B" w:rsidRPr="003314AE">
        <w:rPr>
          <w:rFonts w:ascii="Calibri" w:hAnsi="Calibri"/>
        </w:rPr>
        <w:t xml:space="preserve"> inhibitor, a prostanoid, or a sGC stimulator, compared to dual combination th</w:t>
      </w:r>
      <w:r w:rsidR="00751282">
        <w:rPr>
          <w:rFonts w:ascii="Calibri" w:hAnsi="Calibri"/>
        </w:rPr>
        <w:t xml:space="preserve">erapy, </w:t>
      </w:r>
      <w:proofErr w:type="gramStart"/>
      <w:r w:rsidR="00751282">
        <w:rPr>
          <w:rFonts w:ascii="Calibri" w:hAnsi="Calibri"/>
        </w:rPr>
        <w:t>in</w:t>
      </w:r>
      <w:proofErr w:type="gramEnd"/>
    </w:p>
    <w:p w:rsidR="007053C1" w:rsidRPr="003314AE" w:rsidRDefault="00A8308B" w:rsidP="00807704">
      <w:pPr>
        <w:pStyle w:val="BodyText"/>
        <w:numPr>
          <w:ilvl w:val="0"/>
          <w:numId w:val="22"/>
        </w:numPr>
        <w:spacing w:before="120"/>
        <w:ind w:left="993" w:hanging="426"/>
        <w:jc w:val="left"/>
        <w:rPr>
          <w:rFonts w:ascii="Calibri" w:hAnsi="Calibri"/>
        </w:rPr>
      </w:pPr>
      <w:r w:rsidRPr="003314AE">
        <w:rPr>
          <w:rFonts w:ascii="Calibri" w:hAnsi="Calibri"/>
        </w:rPr>
        <w:t>PAH patients, irrespective of disease severity or aetiology;</w:t>
      </w:r>
    </w:p>
    <w:p w:rsidR="007053C1" w:rsidRPr="003314AE" w:rsidRDefault="00A8308B" w:rsidP="00807704">
      <w:pPr>
        <w:pStyle w:val="BodyText"/>
        <w:numPr>
          <w:ilvl w:val="0"/>
          <w:numId w:val="22"/>
        </w:numPr>
        <w:spacing w:before="120"/>
        <w:ind w:left="993" w:hanging="426"/>
        <w:jc w:val="left"/>
        <w:rPr>
          <w:rFonts w:ascii="Calibri" w:hAnsi="Calibri"/>
        </w:rPr>
      </w:pPr>
      <w:r w:rsidRPr="003314AE">
        <w:rPr>
          <w:rFonts w:ascii="Calibri" w:hAnsi="Calibri"/>
        </w:rPr>
        <w:t xml:space="preserve">PAH patients with FC III or IV; and </w:t>
      </w:r>
    </w:p>
    <w:p w:rsidR="005A77E3" w:rsidRPr="003314AE" w:rsidRDefault="00A8308B" w:rsidP="00807704">
      <w:pPr>
        <w:pStyle w:val="BodyText"/>
        <w:numPr>
          <w:ilvl w:val="0"/>
          <w:numId w:val="22"/>
        </w:numPr>
        <w:spacing w:before="120"/>
        <w:ind w:left="993" w:hanging="426"/>
        <w:jc w:val="left"/>
        <w:rPr>
          <w:rFonts w:ascii="Calibri" w:hAnsi="Calibri"/>
        </w:rPr>
      </w:pPr>
      <w:r w:rsidRPr="003314AE">
        <w:rPr>
          <w:rFonts w:ascii="Calibri" w:hAnsi="Calibri"/>
        </w:rPr>
        <w:t xml:space="preserve">PAH patients with different disease aetiologies? </w:t>
      </w:r>
    </w:p>
    <w:p w:rsidR="005A77E3" w:rsidRPr="003314AE" w:rsidRDefault="005A77E3" w:rsidP="00121658">
      <w:pPr>
        <w:pStyle w:val="Heading4"/>
      </w:pPr>
      <w:r w:rsidRPr="003314AE">
        <w:t>Terms of reference 5</w:t>
      </w:r>
    </w:p>
    <w:p w:rsidR="00953452" w:rsidRPr="00DA3E05" w:rsidRDefault="00953452" w:rsidP="00121658">
      <w:pPr>
        <w:pStyle w:val="BodyTextnospacebefore"/>
      </w:pPr>
      <w:r w:rsidRPr="00DA3E05">
        <w:t>ToR 5</w:t>
      </w:r>
      <w:r w:rsidR="00F00E40" w:rsidRPr="00DA3E05">
        <w:t xml:space="preserve"> (possible future report):</w:t>
      </w:r>
      <w:r w:rsidRPr="00DA3E05">
        <w:t xml:space="preserve"> </w:t>
      </w:r>
      <w:r w:rsidR="00B94F5A" w:rsidRPr="00DA3E05">
        <w:t>Following ToR 1-4</w:t>
      </w:r>
      <w:r w:rsidR="00F00E40" w:rsidRPr="00DA3E05">
        <w:t xml:space="preserve">, </w:t>
      </w:r>
      <w:r w:rsidR="00B94F5A" w:rsidRPr="00DA3E05">
        <w:t>consider reviewing the cost-effectiveness of existing PBS listings for PAH medicines, and in treatment of WHO functional class II and combination treatment in class III and class IV patients.</w:t>
      </w:r>
    </w:p>
    <w:p w:rsidR="00175C85" w:rsidRPr="00DA3E05" w:rsidRDefault="00586B4B" w:rsidP="00121658">
      <w:pPr>
        <w:pStyle w:val="Heading3"/>
        <w:numPr>
          <w:ilvl w:val="0"/>
          <w:numId w:val="0"/>
        </w:numPr>
      </w:pPr>
      <w:bookmarkStart w:id="22" w:name="_Toc486514195"/>
      <w:bookmarkStart w:id="23" w:name="_Toc513107580"/>
      <w:r w:rsidRPr="00DA3E05">
        <w:t xml:space="preserve">B.3.4 </w:t>
      </w:r>
      <w:r w:rsidR="00F47F81" w:rsidRPr="00DA3E05">
        <w:t>Public s</w:t>
      </w:r>
      <w:r w:rsidR="00175C85" w:rsidRPr="00DA3E05">
        <w:t>ubmissions</w:t>
      </w:r>
      <w:bookmarkEnd w:id="22"/>
      <w:bookmarkEnd w:id="23"/>
    </w:p>
    <w:p w:rsidR="00175C85" w:rsidRPr="00B6365F" w:rsidRDefault="00175C85" w:rsidP="00121658">
      <w:pPr>
        <w:pStyle w:val="BodyTextnospacebefore"/>
      </w:pPr>
      <w:r w:rsidRPr="00B6365F">
        <w:t xml:space="preserve">Public submissions to the Review were open for seven weeks from </w:t>
      </w:r>
      <w:r w:rsidR="000B5BEC" w:rsidRPr="00B6365F">
        <w:t>13 February</w:t>
      </w:r>
      <w:r w:rsidRPr="00B6365F">
        <w:t xml:space="preserve"> to </w:t>
      </w:r>
      <w:r w:rsidR="000B5BEC" w:rsidRPr="00B6365F">
        <w:t>27 March </w:t>
      </w:r>
      <w:r w:rsidRPr="00B6365F">
        <w:t>201</w:t>
      </w:r>
      <w:r w:rsidR="000B5BEC" w:rsidRPr="00B6365F">
        <w:t>7</w:t>
      </w:r>
      <w:r w:rsidRPr="00B6365F">
        <w:t xml:space="preserve">. This process provided stakeholders with an opportunity to </w:t>
      </w:r>
      <w:r w:rsidRPr="004575B0">
        <w:t xml:space="preserve">identify relevant issues, evidence or data that may inform the Review. </w:t>
      </w:r>
      <w:r w:rsidR="00895360" w:rsidRPr="004575B0">
        <w:t>Seven s</w:t>
      </w:r>
      <w:r w:rsidR="006D232C" w:rsidRPr="004575B0">
        <w:t xml:space="preserve">ubmissions were received </w:t>
      </w:r>
      <w:r w:rsidR="006D232C" w:rsidRPr="003314AE">
        <w:t xml:space="preserve">from </w:t>
      </w:r>
      <w:r w:rsidR="000B5BEC" w:rsidRPr="004575B0">
        <w:t>health professional peak bodies</w:t>
      </w:r>
      <w:r w:rsidR="00895360" w:rsidRPr="004575B0">
        <w:t>,</w:t>
      </w:r>
      <w:r w:rsidR="006D232C" w:rsidRPr="003314AE">
        <w:t xml:space="preserve"> </w:t>
      </w:r>
      <w:r w:rsidR="003D4F24" w:rsidRPr="004575B0">
        <w:t xml:space="preserve">pharmaceutical companies </w:t>
      </w:r>
      <w:r w:rsidR="00895360" w:rsidRPr="004575B0">
        <w:t>and a health professional.</w:t>
      </w:r>
      <w:r w:rsidR="006D232C" w:rsidRPr="004575B0">
        <w:t xml:space="preserve"> </w:t>
      </w:r>
      <w:r w:rsidR="0008138B" w:rsidRPr="004575B0">
        <w:t>P</w:t>
      </w:r>
      <w:r w:rsidR="006D232C" w:rsidRPr="00B6365F">
        <w:t xml:space="preserve">ublic submissions were published on the </w:t>
      </w:r>
      <w:r w:rsidR="00FC63C1" w:rsidRPr="003F5FE5">
        <w:t>PAH</w:t>
      </w:r>
      <w:r w:rsidR="006D232C" w:rsidRPr="003F5FE5">
        <w:t xml:space="preserve"> Review Public Consultation</w:t>
      </w:r>
      <w:r w:rsidR="006D232C" w:rsidRPr="00B6365F">
        <w:t xml:space="preserve"> website</w:t>
      </w:r>
      <w:r w:rsidR="0008138B" w:rsidRPr="0008138B">
        <w:t xml:space="preserve"> </w:t>
      </w:r>
      <w:r w:rsidR="0008138B">
        <w:t>unless requested otherwise.</w:t>
      </w:r>
    </w:p>
    <w:p w:rsidR="003746AE" w:rsidRDefault="00BE5DB6" w:rsidP="00121658">
      <w:pPr>
        <w:pStyle w:val="Heading3"/>
        <w:numPr>
          <w:ilvl w:val="0"/>
          <w:numId w:val="0"/>
        </w:numPr>
        <w:jc w:val="left"/>
      </w:pPr>
      <w:bookmarkStart w:id="24" w:name="_Toc513107581"/>
      <w:r>
        <w:t>B.3.5</w:t>
      </w:r>
      <w:r w:rsidR="009101A0">
        <w:t xml:space="preserve"> </w:t>
      </w:r>
      <w:r w:rsidR="00D70991">
        <w:t>Consumer</w:t>
      </w:r>
      <w:r w:rsidR="00F00E40">
        <w:t xml:space="preserve"> </w:t>
      </w:r>
      <w:r w:rsidR="00A47192">
        <w:t>Forum</w:t>
      </w:r>
      <w:bookmarkEnd w:id="24"/>
    </w:p>
    <w:p w:rsidR="003746AE" w:rsidRDefault="003746AE" w:rsidP="00121658">
      <w:pPr>
        <w:pStyle w:val="BodyTextnospacebefore"/>
      </w:pPr>
      <w:r w:rsidRPr="0008138B">
        <w:t xml:space="preserve">A </w:t>
      </w:r>
      <w:r w:rsidR="000B5BEC" w:rsidRPr="0008138B">
        <w:t xml:space="preserve">Consumer </w:t>
      </w:r>
      <w:r w:rsidR="00A47192">
        <w:t xml:space="preserve">Forum </w:t>
      </w:r>
      <w:r w:rsidRPr="0008138B">
        <w:t xml:space="preserve">for the Post-market Review of </w:t>
      </w:r>
      <w:r w:rsidR="00B94F5A" w:rsidRPr="0008138B">
        <w:t xml:space="preserve">PAH </w:t>
      </w:r>
      <w:r w:rsidR="000B5BEC" w:rsidRPr="0008138B">
        <w:t>Medicines was held in Sydney</w:t>
      </w:r>
      <w:r w:rsidRPr="0008138B">
        <w:t xml:space="preserve"> on </w:t>
      </w:r>
      <w:r w:rsidR="00B94F5A" w:rsidRPr="0008138B">
        <w:t>1</w:t>
      </w:r>
      <w:r w:rsidR="00D70991" w:rsidRPr="0008138B">
        <w:t>4 </w:t>
      </w:r>
      <w:r w:rsidR="00B94F5A" w:rsidRPr="0008138B">
        <w:t>October</w:t>
      </w:r>
      <w:r w:rsidR="00D70991" w:rsidRPr="0008138B">
        <w:t> </w:t>
      </w:r>
      <w:r w:rsidRPr="0008138B">
        <w:t>2017</w:t>
      </w:r>
      <w:r w:rsidR="00895360">
        <w:t>, as part of t</w:t>
      </w:r>
      <w:r w:rsidR="00895360" w:rsidRPr="0008138B">
        <w:t>he</w:t>
      </w:r>
      <w:r w:rsidR="00895360">
        <w:t xml:space="preserve"> </w:t>
      </w:r>
      <w:r w:rsidR="00895360" w:rsidRPr="0008138B">
        <w:t xml:space="preserve">Pulmonary Hypertension Association Australia </w:t>
      </w:r>
      <w:r w:rsidR="00895360">
        <w:t>(</w:t>
      </w:r>
      <w:r w:rsidR="00895360" w:rsidRPr="0008138B">
        <w:t>PHAA</w:t>
      </w:r>
      <w:r w:rsidR="00895360">
        <w:t>)</w:t>
      </w:r>
      <w:r w:rsidR="00895360" w:rsidRPr="0008138B">
        <w:t xml:space="preserve"> Members &amp; Carers Day</w:t>
      </w:r>
      <w:r w:rsidR="00895360">
        <w:t>. A</w:t>
      </w:r>
      <w:r w:rsidRPr="0008138B">
        <w:t xml:space="preserve">ttendees were provided with a background discussion paper </w:t>
      </w:r>
      <w:r w:rsidR="00895360">
        <w:t>p</w:t>
      </w:r>
      <w:r w:rsidR="00895360" w:rsidRPr="0008138B">
        <w:t>rior to the meeting</w:t>
      </w:r>
      <w:r w:rsidR="00895360">
        <w:t>. The discussion paper</w:t>
      </w:r>
      <w:r w:rsidRPr="0008138B">
        <w:t xml:space="preserve"> included information on the Review ToR, and identified key issues and questions for</w:t>
      </w:r>
      <w:r w:rsidR="00895360">
        <w:t xml:space="preserve"> discussion</w:t>
      </w:r>
      <w:r w:rsidRPr="0008138B">
        <w:t xml:space="preserve">. A brief </w:t>
      </w:r>
      <w:r w:rsidR="000B5BEC" w:rsidRPr="0008138B">
        <w:t>overview of the review process was provided</w:t>
      </w:r>
      <w:r w:rsidR="00164341">
        <w:t xml:space="preserve"> during the Forum. </w:t>
      </w:r>
      <w:r w:rsidRPr="0008138B">
        <w:t xml:space="preserve"> Foc</w:t>
      </w:r>
      <w:r w:rsidR="00B94F5A" w:rsidRPr="0008138B">
        <w:t xml:space="preserve">us questions were posed </w:t>
      </w:r>
      <w:r w:rsidRPr="0008138B">
        <w:t xml:space="preserve">to prompt discussion and there was also an opportunity for open discussion not </w:t>
      </w:r>
      <w:r w:rsidR="00164341">
        <w:t xml:space="preserve">directly </w:t>
      </w:r>
      <w:r w:rsidRPr="0008138B">
        <w:t>related to the focus questions</w:t>
      </w:r>
      <w:r w:rsidR="00C6734D" w:rsidRPr="0008138B">
        <w:t xml:space="preserve">. </w:t>
      </w:r>
      <w:r w:rsidRPr="0008138B">
        <w:t xml:space="preserve">The </w:t>
      </w:r>
      <w:r w:rsidR="00B94F5A" w:rsidRPr="0008138B">
        <w:t>Consumer Outcome Statement</w:t>
      </w:r>
      <w:r w:rsidRPr="0008138B">
        <w:t xml:space="preserve"> </w:t>
      </w:r>
      <w:r w:rsidR="00164341">
        <w:t xml:space="preserve">from the Forum </w:t>
      </w:r>
      <w:r w:rsidRPr="0008138B">
        <w:t xml:space="preserve">is presented in full </w:t>
      </w:r>
      <w:r w:rsidR="00164341" w:rsidRPr="004575B0">
        <w:t>at</w:t>
      </w:r>
      <w:r w:rsidRPr="004575B0">
        <w:t xml:space="preserve"> Appendix F and is</w:t>
      </w:r>
      <w:r w:rsidRPr="0008138B">
        <w:t xml:space="preserve"> also available on the </w:t>
      </w:r>
      <w:r w:rsidR="00B94F5A" w:rsidRPr="003F5FE5">
        <w:t>PAH</w:t>
      </w:r>
      <w:r w:rsidRPr="003F5FE5">
        <w:t xml:space="preserve"> Review</w:t>
      </w:r>
      <w:r w:rsidRPr="0008138B">
        <w:t xml:space="preserve"> website. Key findings from the </w:t>
      </w:r>
      <w:r w:rsidR="00B94F5A" w:rsidRPr="0008138B">
        <w:t xml:space="preserve">Consumer </w:t>
      </w:r>
      <w:r w:rsidR="00895360">
        <w:t>Forum</w:t>
      </w:r>
      <w:r w:rsidRPr="0008138B">
        <w:t xml:space="preserve"> are </w:t>
      </w:r>
      <w:r w:rsidR="00B94F5A" w:rsidRPr="0008138B">
        <w:t>presented</w:t>
      </w:r>
      <w:r w:rsidRPr="0008138B">
        <w:t xml:space="preserve"> under ToR</w:t>
      </w:r>
      <w:r w:rsidR="00B94F5A" w:rsidRPr="0008138B">
        <w:t xml:space="preserve"> 3, and w</w:t>
      </w:r>
      <w:r w:rsidR="0008138B">
        <w:t>h</w:t>
      </w:r>
      <w:r w:rsidR="00B94F5A" w:rsidRPr="0008138B">
        <w:t>ere appropriate, summarised</w:t>
      </w:r>
      <w:r w:rsidR="00A94CDB">
        <w:t>,</w:t>
      </w:r>
      <w:r w:rsidR="00B94F5A" w:rsidRPr="0008138B">
        <w:t xml:space="preserve"> under</w:t>
      </w:r>
      <w:r w:rsidR="00D70991" w:rsidRPr="0008138B">
        <w:t xml:space="preserve"> </w:t>
      </w:r>
      <w:r w:rsidR="000B5BEC" w:rsidRPr="0008138B">
        <w:t>other</w:t>
      </w:r>
      <w:r w:rsidR="00D70991" w:rsidRPr="0008138B">
        <w:t xml:space="preserve"> ToR</w:t>
      </w:r>
      <w:r w:rsidRPr="0008138B">
        <w:t xml:space="preserve">. </w:t>
      </w:r>
    </w:p>
    <w:p w:rsidR="005256C7" w:rsidRPr="005256C7" w:rsidRDefault="005256C7" w:rsidP="005256C7">
      <w:pPr>
        <w:pStyle w:val="BodyTextnospacebefore"/>
      </w:pPr>
      <w:r>
        <w:t xml:space="preserve">The Reference Group decided not to hold a stakeholder forum. </w:t>
      </w:r>
    </w:p>
    <w:p w:rsidR="00DC3834" w:rsidRDefault="00895360" w:rsidP="00121658">
      <w:pPr>
        <w:pStyle w:val="Heading3"/>
        <w:numPr>
          <w:ilvl w:val="0"/>
          <w:numId w:val="0"/>
        </w:numPr>
        <w:jc w:val="left"/>
      </w:pPr>
      <w:bookmarkStart w:id="25" w:name="_Toc486514198"/>
      <w:bookmarkStart w:id="26" w:name="_Toc513107582"/>
      <w:bookmarkStart w:id="27" w:name="_Toc480371860"/>
      <w:r>
        <w:t>B.3.6</w:t>
      </w:r>
      <w:r w:rsidR="009101A0">
        <w:t xml:space="preserve"> </w:t>
      </w:r>
      <w:r w:rsidR="00F47F81">
        <w:t>Public consultation on the d</w:t>
      </w:r>
      <w:r w:rsidR="00175C85">
        <w:t>raft Report</w:t>
      </w:r>
      <w:bookmarkStart w:id="28" w:name="_Toc486514199"/>
      <w:bookmarkEnd w:id="25"/>
      <w:bookmarkEnd w:id="26"/>
    </w:p>
    <w:p w:rsidR="00AE1717" w:rsidRPr="003314AE" w:rsidRDefault="00AE1717" w:rsidP="00121658">
      <w:pPr>
        <w:pStyle w:val="BodyTextnospacebefore"/>
      </w:pPr>
      <w:r w:rsidRPr="00C0246B">
        <w:t xml:space="preserve">The draft </w:t>
      </w:r>
      <w:r w:rsidR="00164341" w:rsidRPr="00C0246B">
        <w:t xml:space="preserve">PMR of </w:t>
      </w:r>
      <w:r w:rsidRPr="00C0246B">
        <w:t xml:space="preserve">PAH Report was made available for public </w:t>
      </w:r>
      <w:r w:rsidR="003D4F24" w:rsidRPr="00C0246B">
        <w:t>comment on</w:t>
      </w:r>
      <w:r w:rsidR="00164341" w:rsidRPr="00C0246B">
        <w:t xml:space="preserve"> the PAH Review website </w:t>
      </w:r>
      <w:r w:rsidR="00C0246B">
        <w:t xml:space="preserve">between xxx and </w:t>
      </w:r>
      <w:r w:rsidRPr="00C0246B">
        <w:t>xxx 2018</w:t>
      </w:r>
      <w:r w:rsidR="00921FFD" w:rsidRPr="00C0246B">
        <w:t>. Pharmaceutical sponsor companies were also provided with the opportunity to comment on the draft report prior to consideration by the DUSC and the Economic Sub-Committee of the PBAC</w:t>
      </w:r>
      <w:r w:rsidR="000E6B13" w:rsidRPr="00C0246B">
        <w:t>, and</w:t>
      </w:r>
      <w:r w:rsidR="00553460" w:rsidRPr="00C0246B">
        <w:t xml:space="preserve"> again to comment on the sub-committee</w:t>
      </w:r>
      <w:r w:rsidR="00164341" w:rsidRPr="00C0246B">
        <w:t>s</w:t>
      </w:r>
      <w:r w:rsidR="00553460" w:rsidRPr="00C0246B">
        <w:t xml:space="preserve"> </w:t>
      </w:r>
      <w:r w:rsidR="003D4F24" w:rsidRPr="00C0246B">
        <w:t xml:space="preserve">advice </w:t>
      </w:r>
      <w:r w:rsidR="000E6B13" w:rsidRPr="00C0246B">
        <w:t>prior to PBAC consideration</w:t>
      </w:r>
      <w:r w:rsidR="00553460" w:rsidRPr="00C0246B">
        <w:t xml:space="preserve"> of the report</w:t>
      </w:r>
      <w:r w:rsidR="00164341" w:rsidRPr="00C0246B">
        <w:t xml:space="preserve"> in </w:t>
      </w:r>
      <w:r w:rsidR="00C0246B">
        <w:t>xxx</w:t>
      </w:r>
      <w:r w:rsidR="00164341" w:rsidRPr="00C0246B">
        <w:t xml:space="preserve"> 2018</w:t>
      </w:r>
      <w:r w:rsidR="00553460" w:rsidRPr="00C0246B">
        <w:t>.</w:t>
      </w:r>
    </w:p>
    <w:p w:rsidR="005F46F0" w:rsidRPr="00DA3E05" w:rsidRDefault="00B6365F" w:rsidP="00121658">
      <w:pPr>
        <w:pStyle w:val="Heading2"/>
        <w:numPr>
          <w:ilvl w:val="0"/>
          <w:numId w:val="0"/>
        </w:numPr>
      </w:pPr>
      <w:bookmarkStart w:id="29" w:name="_Toc513107583"/>
      <w:r w:rsidRPr="00DA3E05">
        <w:t xml:space="preserve">B.4 </w:t>
      </w:r>
      <w:r w:rsidR="00D70991" w:rsidRPr="00DA3E05">
        <w:t>P</w:t>
      </w:r>
      <w:r w:rsidR="00F00E40" w:rsidRPr="00DA3E05">
        <w:t xml:space="preserve">ulmonary </w:t>
      </w:r>
      <w:r w:rsidR="00D70991" w:rsidRPr="00DA3E05">
        <w:t>A</w:t>
      </w:r>
      <w:r w:rsidR="00F00E40" w:rsidRPr="00DA3E05">
        <w:t xml:space="preserve">rterial </w:t>
      </w:r>
      <w:r w:rsidR="00D70991" w:rsidRPr="00DA3E05">
        <w:t>H</w:t>
      </w:r>
      <w:r w:rsidR="00F00E40" w:rsidRPr="00DA3E05">
        <w:t>ypertension</w:t>
      </w:r>
      <w:r w:rsidR="00676B78" w:rsidRPr="00DA3E05">
        <w:t xml:space="preserve"> in Australia</w:t>
      </w:r>
      <w:bookmarkEnd w:id="27"/>
      <w:bookmarkEnd w:id="28"/>
      <w:bookmarkEnd w:id="29"/>
    </w:p>
    <w:p w:rsidR="005C4B20" w:rsidRPr="00DA3E05" w:rsidRDefault="005C4B20" w:rsidP="00121658">
      <w:pPr>
        <w:pStyle w:val="Heading3"/>
        <w:numPr>
          <w:ilvl w:val="0"/>
          <w:numId w:val="0"/>
        </w:numPr>
      </w:pPr>
      <w:bookmarkStart w:id="30" w:name="_Toc513107584"/>
      <w:r w:rsidRPr="00DA3E05">
        <w:t>B.4.1 Description of the condition</w:t>
      </w:r>
      <w:bookmarkEnd w:id="30"/>
    </w:p>
    <w:p w:rsidR="005C4B20" w:rsidRPr="00AC2A2B" w:rsidRDefault="005C4B20" w:rsidP="00121658">
      <w:pPr>
        <w:pStyle w:val="BodyTextnospacebefore"/>
      </w:pPr>
      <w:r w:rsidRPr="00AC2A2B">
        <w:t>Pulmonary Arterial Hypertension (PAH) is a rare</w:t>
      </w:r>
      <w:r w:rsidR="0095063B" w:rsidRPr="00AC2A2B">
        <w:t>, progressive</w:t>
      </w:r>
      <w:r w:rsidRPr="00AC2A2B">
        <w:t xml:space="preserve"> and debilitating chronic disease of the pulmonary vasculature, characterised by vascular proliferation and remodelling of the small pulmonary arteries. This results in a progressive increase in pulmonary vascular resistance (PVR) that, if not treated, ultimately leads to right heart failure and premature death</w:t>
      </w:r>
      <w:r w:rsidR="009C556B" w:rsidRPr="00AC2A2B">
        <w:rPr>
          <w:noProof/>
          <w:vertAlign w:val="superscript"/>
        </w:rPr>
        <w:t>1</w:t>
      </w:r>
      <w:r w:rsidRPr="00AC2A2B">
        <w:t>. There is no cure for PAH other than lung transplantation</w:t>
      </w:r>
      <w:r w:rsidR="009C556B" w:rsidRPr="00AC2A2B">
        <w:rPr>
          <w:noProof/>
          <w:vertAlign w:val="superscript"/>
        </w:rPr>
        <w:t>1</w:t>
      </w:r>
      <w:r w:rsidRPr="00AC2A2B">
        <w:t>. PAH medicines may help improve sympto</w:t>
      </w:r>
      <w:r w:rsidR="00F20537">
        <w:t>ms and slow the progress of PH.</w:t>
      </w:r>
    </w:p>
    <w:p w:rsidR="00676B78" w:rsidRPr="00DA3E05" w:rsidRDefault="005C4B20" w:rsidP="00121658">
      <w:pPr>
        <w:pStyle w:val="Heading3"/>
        <w:numPr>
          <w:ilvl w:val="0"/>
          <w:numId w:val="0"/>
        </w:numPr>
      </w:pPr>
      <w:bookmarkStart w:id="31" w:name="_Toc480371861"/>
      <w:bookmarkStart w:id="32" w:name="_Toc486514200"/>
      <w:bookmarkStart w:id="33" w:name="_Toc513107585"/>
      <w:r w:rsidRPr="00DA3E05">
        <w:t xml:space="preserve">B.4.2 </w:t>
      </w:r>
      <w:r w:rsidR="00676B78" w:rsidRPr="00DA3E05">
        <w:t xml:space="preserve">Prevalence of </w:t>
      </w:r>
      <w:bookmarkEnd w:id="31"/>
      <w:bookmarkEnd w:id="32"/>
      <w:r w:rsidR="00D70991" w:rsidRPr="00DA3E05">
        <w:t>PAH</w:t>
      </w:r>
      <w:bookmarkEnd w:id="33"/>
    </w:p>
    <w:p w:rsidR="007C5F1D" w:rsidRPr="00AC2A2B" w:rsidRDefault="007C5F1D" w:rsidP="00121658">
      <w:pPr>
        <w:pStyle w:val="BodyTextnospacebefore"/>
      </w:pPr>
      <w:bookmarkStart w:id="34" w:name="_Toc480371862"/>
      <w:bookmarkStart w:id="35" w:name="_Toc486514201"/>
      <w:r w:rsidRPr="00AC2A2B">
        <w:t>There are no published nationwide data on the prevalence of PAH in Australia. In a community-based observational cohort study in Western Australia (population of 165,450), Strange et al (2012)</w:t>
      </w:r>
      <w:r w:rsidR="009C556B" w:rsidRPr="00AC2A2B">
        <w:rPr>
          <w:noProof/>
          <w:vertAlign w:val="superscript"/>
        </w:rPr>
        <w:t>2</w:t>
      </w:r>
      <w:r w:rsidRPr="00AC2A2B">
        <w:t xml:space="preserve"> estimated an indicative prevalence of 151 cases per million population for PAH. This equates to over 3,700 Australians (based on the Australian population as at 30 June 2017). It was noted that the prevalence rate from </w:t>
      </w:r>
      <w:r w:rsidR="00D24285">
        <w:t>the s</w:t>
      </w:r>
      <w:r w:rsidRPr="00AC2A2B">
        <w:t>tudy</w:t>
      </w:r>
      <w:r w:rsidR="00D24285">
        <w:t xml:space="preserve"> by</w:t>
      </w:r>
      <w:r w:rsidRPr="00AC2A2B">
        <w:t xml:space="preserve"> Strange </w:t>
      </w:r>
      <w:r w:rsidR="00D24285">
        <w:t xml:space="preserve">et al </w:t>
      </w:r>
      <w:r w:rsidR="00FB5000">
        <w:t>(</w:t>
      </w:r>
      <w:r w:rsidRPr="00AC2A2B">
        <w:t>2012</w:t>
      </w:r>
      <w:r w:rsidR="00FB5000">
        <w:t>)</w:t>
      </w:r>
      <w:r w:rsidRPr="00AC2A2B">
        <w:t xml:space="preserve"> was much higher than previous reports in other western countries. Peacock et al</w:t>
      </w:r>
      <w:r w:rsidR="009C556B" w:rsidRPr="00AC2A2B">
        <w:rPr>
          <w:noProof/>
          <w:vertAlign w:val="superscript"/>
        </w:rPr>
        <w:t>3</w:t>
      </w:r>
      <w:r w:rsidRPr="00AC2A2B">
        <w:t xml:space="preserve"> reported a PAH prevalence rate of 15 to 52 cases per million population, using three sources, one from France and two from Scotland. </w:t>
      </w:r>
      <w:proofErr w:type="spellStart"/>
      <w:r w:rsidRPr="00AC2A2B">
        <w:t>Jansa</w:t>
      </w:r>
      <w:proofErr w:type="spellEnd"/>
      <w:r w:rsidRPr="00AC2A2B">
        <w:t xml:space="preserve"> et al</w:t>
      </w:r>
      <w:r w:rsidR="009C556B" w:rsidRPr="00AC2A2B">
        <w:rPr>
          <w:noProof/>
          <w:vertAlign w:val="superscript"/>
        </w:rPr>
        <w:t>4</w:t>
      </w:r>
      <w:r w:rsidRPr="00AC2A2B">
        <w:t xml:space="preserve"> reported PAH prevalence estimates of between 15 and 26 cases per million adults based on data from Czech Republic, Scotland, France,</w:t>
      </w:r>
      <w:r w:rsidR="00DA3E05">
        <w:t xml:space="preserve"> Spain, Switzerland and the US.</w:t>
      </w:r>
    </w:p>
    <w:p w:rsidR="007C5F1D" w:rsidRPr="00AC2A2B" w:rsidRDefault="007C5F1D" w:rsidP="00121658">
      <w:pPr>
        <w:pStyle w:val="BodyTextnospacebefore"/>
      </w:pPr>
      <w:r w:rsidRPr="00AC2A2B">
        <w:t>Previous reports have assessed prevalence using patient referrals to specialist centres and thus probably underestimate the true prevalence of PAH within the community. In addition, the wide range in the reported prevalence of PAH is probably due to differences in the methods/criteria used to make a diagnosis and to differences in th</w:t>
      </w:r>
      <w:r w:rsidR="00DA3E05">
        <w:t>e selected patient populations.</w:t>
      </w:r>
    </w:p>
    <w:p w:rsidR="007C5F1D" w:rsidRPr="00AC2A2B" w:rsidRDefault="007C5F1D" w:rsidP="00121658">
      <w:pPr>
        <w:pStyle w:val="BodyTextnospacebefore"/>
      </w:pPr>
      <w:r w:rsidRPr="00AC2A2B">
        <w:t xml:space="preserve">No Australian data were available on the incidence of PAH. The incidence rate varied from 2.4 to 10.7 </w:t>
      </w:r>
      <w:proofErr w:type="gramStart"/>
      <w:r w:rsidRPr="00AC2A2B">
        <w:t>case</w:t>
      </w:r>
      <w:proofErr w:type="gramEnd"/>
      <w:r w:rsidRPr="00AC2A2B">
        <w:t xml:space="preserve"> per million population in other countries</w:t>
      </w:r>
      <w:r w:rsidR="009C556B" w:rsidRPr="00001BDA">
        <w:rPr>
          <w:noProof/>
          <w:vertAlign w:val="superscript"/>
        </w:rPr>
        <w:t>3</w:t>
      </w:r>
      <w:r w:rsidR="00001BDA" w:rsidRPr="00001BDA">
        <w:rPr>
          <w:noProof/>
          <w:vertAlign w:val="superscript"/>
        </w:rPr>
        <w:t xml:space="preserve">, </w:t>
      </w:r>
      <w:r w:rsidR="009C556B" w:rsidRPr="00001BDA">
        <w:rPr>
          <w:noProof/>
          <w:vertAlign w:val="superscript"/>
        </w:rPr>
        <w:t>4</w:t>
      </w:r>
      <w:r w:rsidRPr="00AC2A2B">
        <w:t>.</w:t>
      </w:r>
    </w:p>
    <w:p w:rsidR="007C5F1D" w:rsidRPr="00AC2A2B" w:rsidRDefault="007C5F1D" w:rsidP="00121658">
      <w:pPr>
        <w:pStyle w:val="BodyTextnospacebefore"/>
      </w:pPr>
      <w:r w:rsidRPr="00AC2A2B">
        <w:t xml:space="preserve">The February 2015 DUSC </w:t>
      </w:r>
      <w:r w:rsidR="00D24285">
        <w:t xml:space="preserve">Review of </w:t>
      </w:r>
      <w:r w:rsidR="00FB5000">
        <w:t>PAH medicines utilisation</w:t>
      </w:r>
      <w:r w:rsidR="00553460" w:rsidRPr="00AC2A2B">
        <w:t xml:space="preserve"> </w:t>
      </w:r>
      <w:r w:rsidRPr="00AC2A2B">
        <w:t>estimated the prevalent and incident patients receiving PAH treatment, using the Department of Human Services (DHS) Authority Approvals data</w:t>
      </w:r>
      <w:r w:rsidR="00FD1CB2" w:rsidRPr="00AC2A2B">
        <w:t>. This included data</w:t>
      </w:r>
      <w:r w:rsidRPr="00AC2A2B">
        <w:t xml:space="preserve"> on the total number of patients treated with a PAH medicine and the number of patients initiating a PAH medicine for the first time, as well as the total Australian population as at 30 June 2013</w:t>
      </w:r>
      <w:r w:rsidR="00DA3E05">
        <w:t>.</w:t>
      </w:r>
      <w:r w:rsidRPr="00AC2A2B">
        <w:t xml:space="preserve"> The estimated prevalence and incident rates of PAH treatment are 87.6 and 18.6 per million population, respectively. Based on these estimates, the Australian prevalent data reported</w:t>
      </w:r>
      <w:r w:rsidR="00D24285">
        <w:t xml:space="preserve"> by</w:t>
      </w:r>
      <w:r w:rsidRPr="00AC2A2B">
        <w:t xml:space="preserve"> Strange </w:t>
      </w:r>
      <w:r w:rsidR="00D24285">
        <w:t>et al (</w:t>
      </w:r>
      <w:r w:rsidRPr="00AC2A2B">
        <w:t>2012</w:t>
      </w:r>
      <w:r w:rsidR="00D24285">
        <w:t>)</w:t>
      </w:r>
      <w:r w:rsidRPr="00AC2A2B">
        <w:t xml:space="preserve"> (151 cases per million population) </w:t>
      </w:r>
      <w:r w:rsidR="00D24285">
        <w:t>and the DUSC Review</w:t>
      </w:r>
      <w:r w:rsidR="00FB5000">
        <w:t>,</w:t>
      </w:r>
      <w:r w:rsidR="00D24285">
        <w:t xml:space="preserve"> it </w:t>
      </w:r>
      <w:r w:rsidRPr="00AC2A2B">
        <w:t xml:space="preserve">appears </w:t>
      </w:r>
      <w:r w:rsidR="00D24285">
        <w:t>t</w:t>
      </w:r>
      <w:r w:rsidRPr="00AC2A2B">
        <w:t>he PAH prevalence and incidence</w:t>
      </w:r>
      <w:r w:rsidR="00D24285">
        <w:t xml:space="preserve"> rates</w:t>
      </w:r>
      <w:r w:rsidRPr="00AC2A2B">
        <w:t xml:space="preserve"> </w:t>
      </w:r>
      <w:r w:rsidR="00D24285">
        <w:t xml:space="preserve">in Australia are higher than the </w:t>
      </w:r>
      <w:r w:rsidRPr="00AC2A2B">
        <w:t>rates reported in other countries</w:t>
      </w:r>
      <w:r w:rsidR="00D24285">
        <w:t>.</w:t>
      </w:r>
      <w:r w:rsidRPr="00AC2A2B">
        <w:t xml:space="preserve"> </w:t>
      </w:r>
    </w:p>
    <w:p w:rsidR="000E7B29" w:rsidRPr="00AC2A2B" w:rsidRDefault="000E7B29" w:rsidP="00121658">
      <w:pPr>
        <w:pStyle w:val="BodyTextnospacebefore"/>
      </w:pPr>
      <w:r w:rsidRPr="00AC2A2B">
        <w:t>B</w:t>
      </w:r>
      <w:r w:rsidR="007C5F1D" w:rsidRPr="00AC2A2B">
        <w:t>ased on the PHSANZ Registry data on incident cases of primary PAH (including idiopathic, heritable and drug-induced PAH) diagnosed between 2012 and 2016</w:t>
      </w:r>
      <w:r w:rsidR="009C556B" w:rsidRPr="00AC2A2B">
        <w:rPr>
          <w:noProof/>
          <w:vertAlign w:val="superscript"/>
        </w:rPr>
        <w:t>5</w:t>
      </w:r>
      <w:r w:rsidRPr="00AC2A2B">
        <w:t>, the 1-year and 3-year estimated survival rates were 96% and 77%, respectively</w:t>
      </w:r>
      <w:r w:rsidR="007C5F1D" w:rsidRPr="00AC2A2B">
        <w:t>. In comparison, the US Registry to Evaluate Early and Long-Term Pulmonary Arterial Hypertension Disease Management (REVEAL) found 1-year and 3-year survival rates of 91% and 74%, respectively, for idiopathic/heritable PAH enrolled between 2006 and 2009</w:t>
      </w:r>
      <w:r w:rsidR="009C556B" w:rsidRPr="00AC2A2B">
        <w:rPr>
          <w:noProof/>
          <w:vertAlign w:val="superscript"/>
        </w:rPr>
        <w:t>6</w:t>
      </w:r>
      <w:r w:rsidR="007C5F1D" w:rsidRPr="00AC2A2B">
        <w:t>. In an older incident cohort of primary PAH patients diagnosed between 2002 and 2003 from the French Registry database, the survival was 86% at Year 1 and 55% at Year 3</w:t>
      </w:r>
      <w:r w:rsidR="009C556B" w:rsidRPr="00AC2A2B">
        <w:rPr>
          <w:noProof/>
          <w:vertAlign w:val="superscript"/>
        </w:rPr>
        <w:t>7</w:t>
      </w:r>
      <w:r w:rsidR="007C5F1D" w:rsidRPr="00AC2A2B">
        <w:t>.</w:t>
      </w:r>
    </w:p>
    <w:p w:rsidR="007C5F1D" w:rsidRPr="00AC2A2B" w:rsidRDefault="007C5F1D" w:rsidP="00121658">
      <w:pPr>
        <w:pStyle w:val="BodyTextnospacebefore"/>
      </w:pPr>
      <w:r w:rsidRPr="00AC2A2B">
        <w:t>Survival differs between primary and secondary PAH aetiologies</w:t>
      </w:r>
      <w:r w:rsidR="00422204" w:rsidRPr="00AC2A2B">
        <w:t>/subtypes (see Classification below)</w:t>
      </w:r>
      <w:r w:rsidRPr="00AC2A2B">
        <w:t xml:space="preserve">. The REVEAL study reported that, compared with idiopathic/heritable PAH, the 3-year survival rate was higher for PAH associated with congenital heart disease (PAH-CHD) and PAH associated with human immunodeficiency virus infection (PAH-HIV) (81% and 75% vs 74%), but lower for PAH associated with connective tissue disease (PAH-CTD) and </w:t>
      </w:r>
      <w:proofErr w:type="spellStart"/>
      <w:r w:rsidRPr="00AC2A2B">
        <w:t>portopulmonary</w:t>
      </w:r>
      <w:proofErr w:type="spellEnd"/>
      <w:r w:rsidRPr="00AC2A2B">
        <w:t xml:space="preserve"> hypertension (57% and 52% vs 74%)</w:t>
      </w:r>
      <w:r w:rsidR="009C556B" w:rsidRPr="00AC2A2B">
        <w:rPr>
          <w:noProof/>
          <w:vertAlign w:val="superscript"/>
        </w:rPr>
        <w:t>6</w:t>
      </w:r>
      <w:r w:rsidR="00DA3E05">
        <w:t>.</w:t>
      </w:r>
    </w:p>
    <w:p w:rsidR="009A7B6B" w:rsidRPr="00AC2A2B" w:rsidRDefault="009A7B6B" w:rsidP="00121658">
      <w:pPr>
        <w:pStyle w:val="BodyTextnospacebefore"/>
      </w:pPr>
      <w:proofErr w:type="gramStart"/>
      <w:r w:rsidRPr="00AC2A2B">
        <w:t xml:space="preserve">In children, </w:t>
      </w:r>
      <w:r w:rsidR="009604F9" w:rsidRPr="00AC2A2B">
        <w:t>PAH</w:t>
      </w:r>
      <w:r w:rsidRPr="00AC2A2B">
        <w:t xml:space="preserve"> usually presents as IPAH, </w:t>
      </w:r>
      <w:r w:rsidR="004F0200" w:rsidRPr="00AC2A2B">
        <w:t>heritable</w:t>
      </w:r>
      <w:r w:rsidRPr="00AC2A2B">
        <w:t xml:space="preserve"> PAH or PAH due to congenital heart disease</w:t>
      </w:r>
      <w:r w:rsidR="009C556B" w:rsidRPr="00AC2A2B">
        <w:rPr>
          <w:noProof/>
          <w:vertAlign w:val="superscript"/>
        </w:rPr>
        <w:t>8</w:t>
      </w:r>
      <w:r w:rsidR="00BB0922">
        <w:t>.</w:t>
      </w:r>
      <w:proofErr w:type="gramEnd"/>
    </w:p>
    <w:p w:rsidR="007D4AD1" w:rsidRPr="00133CE7" w:rsidRDefault="005C4B20" w:rsidP="00121658">
      <w:pPr>
        <w:pStyle w:val="Heading3"/>
        <w:numPr>
          <w:ilvl w:val="0"/>
          <w:numId w:val="0"/>
        </w:numPr>
      </w:pPr>
      <w:bookmarkStart w:id="36" w:name="_Toc513107586"/>
      <w:bookmarkStart w:id="37" w:name="_Toc480371863"/>
      <w:bookmarkStart w:id="38" w:name="_Toc486514202"/>
      <w:bookmarkEnd w:id="34"/>
      <w:bookmarkEnd w:id="35"/>
      <w:r>
        <w:t>B.4.</w:t>
      </w:r>
      <w:r w:rsidR="00BC5581">
        <w:t>3</w:t>
      </w:r>
      <w:r>
        <w:t xml:space="preserve"> </w:t>
      </w:r>
      <w:r w:rsidR="0092086B">
        <w:t>WHO</w:t>
      </w:r>
      <w:r w:rsidR="007D4AD1" w:rsidRPr="00133CE7">
        <w:t xml:space="preserve"> classification</w:t>
      </w:r>
      <w:r w:rsidR="007D4AD1" w:rsidRPr="009B2F8F">
        <w:t xml:space="preserve"> </w:t>
      </w:r>
      <w:r w:rsidR="007D4AD1">
        <w:t xml:space="preserve">and </w:t>
      </w:r>
      <w:r w:rsidR="0092086B">
        <w:t>functional classes</w:t>
      </w:r>
      <w:bookmarkEnd w:id="36"/>
    </w:p>
    <w:p w:rsidR="00B6720F" w:rsidRPr="00AC2A2B" w:rsidRDefault="00EC7581" w:rsidP="00121658">
      <w:pPr>
        <w:pStyle w:val="BodyTextnospacebefore"/>
      </w:pPr>
      <w:r w:rsidRPr="00AC2A2B">
        <w:t xml:space="preserve">The current </w:t>
      </w:r>
      <w:r w:rsidR="00FD1CB2" w:rsidRPr="00AC2A2B">
        <w:t xml:space="preserve">restrictions for </w:t>
      </w:r>
      <w:r w:rsidRPr="00AC2A2B">
        <w:t xml:space="preserve">PBS </w:t>
      </w:r>
      <w:r w:rsidR="00FD1CB2" w:rsidRPr="00AC2A2B">
        <w:t xml:space="preserve">subsidised PAH medicines include reference to </w:t>
      </w:r>
      <w:r w:rsidRPr="00AC2A2B">
        <w:t>specific subtypes of PAH</w:t>
      </w:r>
      <w:r w:rsidR="007D4AD1" w:rsidRPr="00AC2A2B">
        <w:t>, and to disease severity</w:t>
      </w:r>
      <w:r w:rsidR="0095063B" w:rsidRPr="00AC2A2B">
        <w:t>.</w:t>
      </w:r>
    </w:p>
    <w:p w:rsidR="007D4AD1" w:rsidRPr="00252749" w:rsidRDefault="00252749" w:rsidP="00121658">
      <w:pPr>
        <w:pStyle w:val="Heading4"/>
      </w:pPr>
      <w:r w:rsidRPr="00252749">
        <w:t>B.</w:t>
      </w:r>
      <w:r w:rsidR="005C4B20" w:rsidRPr="00252749">
        <w:t>4.3.1</w:t>
      </w:r>
      <w:r w:rsidR="00FC6F35" w:rsidRPr="00252749">
        <w:t xml:space="preserve"> </w:t>
      </w:r>
      <w:r w:rsidR="007D4AD1" w:rsidRPr="00252749">
        <w:t>WHO classification of pulmonary hypertension</w:t>
      </w:r>
    </w:p>
    <w:p w:rsidR="007D4AD1" w:rsidRPr="00AC2A2B" w:rsidRDefault="00EC7581" w:rsidP="00121658">
      <w:pPr>
        <w:jc w:val="left"/>
        <w:rPr>
          <w:rFonts w:asciiTheme="minorHAnsi" w:hAnsiTheme="minorHAnsi"/>
        </w:rPr>
      </w:pPr>
      <w:r w:rsidRPr="00AC2A2B">
        <w:rPr>
          <w:rFonts w:asciiTheme="minorHAnsi" w:hAnsiTheme="minorHAnsi"/>
        </w:rPr>
        <w:t>The WHO classification of Pulmonary Hypertension</w:t>
      </w:r>
      <w:r w:rsidR="007D4AD1" w:rsidRPr="00AC2A2B">
        <w:rPr>
          <w:rFonts w:asciiTheme="minorHAnsi" w:hAnsiTheme="minorHAnsi"/>
        </w:rPr>
        <w:t xml:space="preserve"> (PH)</w:t>
      </w:r>
      <w:r w:rsidRPr="00AC2A2B">
        <w:rPr>
          <w:rFonts w:asciiTheme="minorHAnsi" w:hAnsiTheme="minorHAnsi"/>
        </w:rPr>
        <w:t xml:space="preserve"> is determined at the</w:t>
      </w:r>
      <w:r w:rsidR="007D4AD1" w:rsidRPr="00AC2A2B">
        <w:rPr>
          <w:rFonts w:asciiTheme="minorHAnsi" w:hAnsiTheme="minorHAnsi"/>
        </w:rPr>
        <w:t xml:space="preserve"> meetings of the</w:t>
      </w:r>
      <w:r w:rsidRPr="00AC2A2B">
        <w:rPr>
          <w:rFonts w:asciiTheme="minorHAnsi" w:hAnsiTheme="minorHAnsi"/>
        </w:rPr>
        <w:t xml:space="preserve"> World Sympo</w:t>
      </w:r>
      <w:r w:rsidR="00BB0922">
        <w:rPr>
          <w:rFonts w:asciiTheme="minorHAnsi" w:hAnsiTheme="minorHAnsi"/>
        </w:rPr>
        <w:t>sium on Pulmonary Hypertension.</w:t>
      </w:r>
    </w:p>
    <w:p w:rsidR="0004089D" w:rsidRPr="00AC2A2B" w:rsidRDefault="00EC7581" w:rsidP="00121658">
      <w:pPr>
        <w:jc w:val="left"/>
        <w:rPr>
          <w:rFonts w:asciiTheme="minorHAnsi" w:hAnsiTheme="minorHAnsi"/>
        </w:rPr>
      </w:pPr>
      <w:r w:rsidRPr="00AC2A2B">
        <w:rPr>
          <w:rFonts w:asciiTheme="minorHAnsi" w:hAnsiTheme="minorHAnsi"/>
        </w:rPr>
        <w:t>The current classification of PH and PAH from the 2013 Nice symposium is</w:t>
      </w:r>
      <w:r w:rsidR="00AD61AE" w:rsidRPr="00AC2A2B">
        <w:rPr>
          <w:rFonts w:asciiTheme="minorHAnsi" w:hAnsiTheme="minorHAnsi"/>
        </w:rPr>
        <w:t xml:space="preserve"> given in </w:t>
      </w:r>
      <w:r w:rsidR="00D63371">
        <w:t>Table B.</w:t>
      </w:r>
      <w:r w:rsidR="00D63371">
        <w:rPr>
          <w:noProof/>
        </w:rPr>
        <w:t>1</w:t>
      </w:r>
      <w:r w:rsidR="009C556B" w:rsidRPr="00AC2A2B">
        <w:rPr>
          <w:rFonts w:asciiTheme="minorHAnsi" w:hAnsiTheme="minorHAnsi"/>
          <w:noProof/>
          <w:vertAlign w:val="superscript"/>
        </w:rPr>
        <w:t>9</w:t>
      </w:r>
      <w:r w:rsidR="00C6734D" w:rsidRPr="00AC2A2B">
        <w:rPr>
          <w:rFonts w:asciiTheme="minorHAnsi" w:hAnsiTheme="minorHAnsi"/>
        </w:rPr>
        <w:t xml:space="preserve">. </w:t>
      </w:r>
      <w:r w:rsidR="007D4AD1" w:rsidRPr="00AC2A2B">
        <w:rPr>
          <w:rFonts w:asciiTheme="minorHAnsi" w:hAnsiTheme="minorHAnsi"/>
        </w:rPr>
        <w:t>PAH represents Group 1 within the PH classification system. PAH is further divided into four subtypes on the basis of aetiology</w:t>
      </w:r>
      <w:r w:rsidR="004A000D" w:rsidRPr="00AC2A2B">
        <w:rPr>
          <w:rFonts w:asciiTheme="minorHAnsi" w:hAnsiTheme="minorHAnsi"/>
        </w:rPr>
        <w:t xml:space="preserve">. </w:t>
      </w:r>
      <w:r w:rsidR="007D4AD1" w:rsidRPr="00AC2A2B">
        <w:rPr>
          <w:rFonts w:asciiTheme="minorHAnsi" w:hAnsiTheme="minorHAnsi"/>
        </w:rPr>
        <w:t xml:space="preserve">PH and PAH are not interchangeable terms though sometimes they are used to mean the same thing in the literature. </w:t>
      </w:r>
      <w:r w:rsidR="00630BA9" w:rsidRPr="00AC2A2B">
        <w:rPr>
          <w:rFonts w:asciiTheme="minorHAnsi" w:hAnsiTheme="minorHAnsi"/>
        </w:rPr>
        <w:t>T</w:t>
      </w:r>
      <w:r w:rsidR="00AD61AE" w:rsidRPr="00AC2A2B">
        <w:rPr>
          <w:rFonts w:asciiTheme="minorHAnsi" w:hAnsiTheme="minorHAnsi"/>
        </w:rPr>
        <w:t>he term Primary Pulmonary Hypertension</w:t>
      </w:r>
      <w:r w:rsidR="00630BA9" w:rsidRPr="00AC2A2B">
        <w:rPr>
          <w:rFonts w:asciiTheme="minorHAnsi" w:hAnsiTheme="minorHAnsi"/>
        </w:rPr>
        <w:t xml:space="preserve"> was previously used for </w:t>
      </w:r>
      <w:r w:rsidR="00AD61AE" w:rsidRPr="00AC2A2B">
        <w:rPr>
          <w:rFonts w:asciiTheme="minorHAnsi" w:hAnsiTheme="minorHAnsi"/>
        </w:rPr>
        <w:t>Group 1 conditions</w:t>
      </w:r>
      <w:r w:rsidR="00923B60" w:rsidRPr="00AC2A2B">
        <w:rPr>
          <w:rFonts w:asciiTheme="minorHAnsi" w:hAnsiTheme="minorHAnsi"/>
        </w:rPr>
        <w:t>.</w:t>
      </w:r>
      <w:r w:rsidR="00AD61AE" w:rsidRPr="00AC2A2B">
        <w:rPr>
          <w:rFonts w:asciiTheme="minorHAnsi" w:hAnsiTheme="minorHAnsi"/>
        </w:rPr>
        <w:t xml:space="preserve"> </w:t>
      </w:r>
      <w:r w:rsidR="00C6661C" w:rsidRPr="00AC2A2B">
        <w:rPr>
          <w:rFonts w:asciiTheme="minorHAnsi" w:hAnsiTheme="minorHAnsi"/>
        </w:rPr>
        <w:t xml:space="preserve">Some subtypes previously in Group 1 have been moved to other groups within the classification (Primary Pulmonary Hypertension of the Newborn, PPHN), and have not </w:t>
      </w:r>
      <w:r w:rsidR="00BB0922">
        <w:rPr>
          <w:rFonts w:asciiTheme="minorHAnsi" w:hAnsiTheme="minorHAnsi"/>
        </w:rPr>
        <w:t>been considered in this review.</w:t>
      </w:r>
      <w:r w:rsidR="0004089D" w:rsidRPr="00AC2A2B">
        <w:rPr>
          <w:rFonts w:asciiTheme="minorHAnsi" w:hAnsiTheme="minorHAnsi" w:cstheme="minorHAnsi"/>
          <w:sz w:val="4"/>
        </w:rPr>
        <w:br w:type="page"/>
      </w:r>
    </w:p>
    <w:p w:rsidR="005C4B20" w:rsidRPr="00713160" w:rsidRDefault="005C4B20" w:rsidP="00121658">
      <w:pPr>
        <w:pStyle w:val="05Tabletext"/>
        <w:ind w:left="0"/>
        <w:rPr>
          <w:rFonts w:asciiTheme="minorHAnsi" w:eastAsia="Times New Roman" w:hAnsiTheme="minorHAnsi" w:cs="Arial"/>
          <w:color w:val="505050"/>
          <w:sz w:val="20"/>
          <w:szCs w:val="20"/>
          <w:lang w:eastAsia="en-AU"/>
        </w:rPr>
      </w:pPr>
      <w:bookmarkStart w:id="39" w:name="_Ref505268221"/>
    </w:p>
    <w:p w:rsidR="00CA30EE" w:rsidRDefault="00CA30EE" w:rsidP="00D14982">
      <w:pPr>
        <w:pStyle w:val="ToR1TableHeader"/>
      </w:pPr>
      <w:bookmarkStart w:id="40" w:name="_Ref510019444"/>
      <w:bookmarkStart w:id="41" w:name="_Toc513107618"/>
      <w:r>
        <w:t>Table B.</w:t>
      </w:r>
      <w:r w:rsidR="00D63371">
        <w:rPr>
          <w:noProof/>
        </w:rPr>
        <w:t>1</w:t>
      </w:r>
      <w:bookmarkEnd w:id="40"/>
      <w:r>
        <w:tab/>
      </w:r>
      <w:r w:rsidRPr="00301BDC">
        <w:t>WHO classification of PH and Group 1 PAH disease subtypes</w:t>
      </w:r>
      <w:bookmarkEnd w:id="41"/>
    </w:p>
    <w:tbl>
      <w:tblPr>
        <w:tblStyle w:val="TableGrid"/>
        <w:tblW w:w="9077" w:type="dxa"/>
        <w:tblLook w:val="04A0" w:firstRow="1" w:lastRow="0" w:firstColumn="1" w:lastColumn="0" w:noHBand="0" w:noVBand="1"/>
        <w:tblCaption w:val="WHO classification of PH and Group 1 PAH disease subtypes"/>
      </w:tblPr>
      <w:tblGrid>
        <w:gridCol w:w="9077"/>
      </w:tblGrid>
      <w:tr w:rsidR="005C4B20" w:rsidRPr="00CA3F42" w:rsidTr="0060413E">
        <w:trPr>
          <w:cnfStyle w:val="100000000000" w:firstRow="1" w:lastRow="0" w:firstColumn="0" w:lastColumn="0" w:oddVBand="0" w:evenVBand="0" w:oddHBand="0" w:evenHBand="0" w:firstRowFirstColumn="0" w:firstRowLastColumn="0" w:lastRowFirstColumn="0" w:lastRowLastColumn="0"/>
        </w:trPr>
        <w:tc>
          <w:tcPr>
            <w:tcW w:w="90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C4B20" w:rsidRPr="00DE3ABD" w:rsidRDefault="005C4B20" w:rsidP="00807704">
            <w:pPr>
              <w:pStyle w:val="ListParagraph"/>
              <w:numPr>
                <w:ilvl w:val="0"/>
                <w:numId w:val="23"/>
              </w:numPr>
              <w:spacing w:before="60" w:after="60"/>
              <w:ind w:left="572" w:hanging="425"/>
              <w:jc w:val="left"/>
              <w:rPr>
                <w:rFonts w:ascii="Arial" w:eastAsia="Times New Roman" w:hAnsi="Arial" w:cs="Arial"/>
                <w:b/>
                <w:sz w:val="20"/>
                <w:szCs w:val="20"/>
                <w:lang w:eastAsia="en-AU"/>
              </w:rPr>
            </w:pPr>
            <w:r w:rsidRPr="00DE3ABD">
              <w:rPr>
                <w:rFonts w:ascii="Arial" w:eastAsia="Times New Roman" w:hAnsi="Arial" w:cs="Arial"/>
                <w:b/>
                <w:sz w:val="20"/>
                <w:szCs w:val="20"/>
                <w:lang w:eastAsia="en-AU"/>
              </w:rPr>
              <w:t>Pulmonary arterial hypertension</w:t>
            </w:r>
          </w:p>
          <w:p w:rsidR="00124C32" w:rsidRPr="00DE3ABD" w:rsidRDefault="005C4B20" w:rsidP="0060413E">
            <w:pPr>
              <w:pStyle w:val="ListParagraph"/>
              <w:spacing w:before="60" w:after="60"/>
              <w:ind w:left="572"/>
              <w:jc w:val="left"/>
              <w:rPr>
                <w:rFonts w:ascii="Arial" w:eastAsia="Times New Roman" w:hAnsi="Arial" w:cs="Arial"/>
                <w:sz w:val="20"/>
                <w:szCs w:val="20"/>
                <w:lang w:eastAsia="en-AU"/>
              </w:rPr>
            </w:pPr>
            <w:r w:rsidRPr="00DE3ABD">
              <w:rPr>
                <w:rFonts w:ascii="Arial" w:eastAsia="Times New Roman" w:hAnsi="Arial" w:cs="Arial"/>
                <w:sz w:val="20"/>
                <w:szCs w:val="20"/>
                <w:lang w:eastAsia="en-AU"/>
              </w:rPr>
              <w:t>1.1 Idiopathic PAH</w:t>
            </w:r>
            <w:r w:rsidRPr="00DE3ABD">
              <w:rPr>
                <w:rFonts w:ascii="Arial" w:eastAsia="Times New Roman" w:hAnsi="Arial" w:cs="Arial"/>
                <w:sz w:val="20"/>
                <w:szCs w:val="20"/>
                <w:lang w:eastAsia="en-AU"/>
              </w:rPr>
              <w:br/>
              <w:t>1.2 Heritable PAH</w:t>
            </w:r>
          </w:p>
          <w:p w:rsidR="005C4B20" w:rsidRPr="00DE3ABD" w:rsidRDefault="005C4B20" w:rsidP="0060413E">
            <w:pPr>
              <w:pStyle w:val="ListParagraph"/>
              <w:spacing w:before="60" w:after="60"/>
              <w:ind w:left="572"/>
              <w:jc w:val="left"/>
              <w:rPr>
                <w:rFonts w:ascii="Arial" w:eastAsia="Times New Roman" w:hAnsi="Arial" w:cs="Arial"/>
                <w:sz w:val="20"/>
                <w:szCs w:val="20"/>
                <w:lang w:eastAsia="en-AU"/>
              </w:rPr>
            </w:pPr>
            <w:r w:rsidRPr="00DE3ABD">
              <w:rPr>
                <w:rFonts w:ascii="Arial" w:eastAsia="Times New Roman" w:hAnsi="Arial" w:cs="Arial"/>
                <w:sz w:val="20"/>
                <w:szCs w:val="20"/>
                <w:lang w:eastAsia="en-AU"/>
              </w:rPr>
              <w:t>1.2.1 BMPR2</w:t>
            </w:r>
            <w:r w:rsidRPr="00DE3ABD">
              <w:rPr>
                <w:rFonts w:ascii="Arial" w:eastAsia="Times New Roman" w:hAnsi="Arial" w:cs="Arial"/>
                <w:sz w:val="20"/>
                <w:szCs w:val="20"/>
                <w:lang w:eastAsia="en-AU"/>
              </w:rPr>
              <w:br/>
              <w:t>1.2.2 ALK-1, ENG, SMAD9, CAV1, KCNK3</w:t>
            </w:r>
            <w:r w:rsidRPr="00DE3ABD">
              <w:rPr>
                <w:rFonts w:ascii="Arial" w:eastAsia="Times New Roman" w:hAnsi="Arial" w:cs="Arial"/>
                <w:sz w:val="20"/>
                <w:szCs w:val="20"/>
                <w:lang w:eastAsia="en-AU"/>
              </w:rPr>
              <w:br/>
              <w:t>1.2.3 Unknown</w:t>
            </w:r>
          </w:p>
          <w:p w:rsidR="00124C32" w:rsidRPr="00DE3ABD" w:rsidRDefault="005C4B20" w:rsidP="0060413E">
            <w:pPr>
              <w:pStyle w:val="ListParagraph"/>
              <w:spacing w:before="60" w:after="60"/>
              <w:ind w:left="572"/>
              <w:jc w:val="left"/>
              <w:rPr>
                <w:rFonts w:ascii="Arial" w:eastAsia="Times New Roman" w:hAnsi="Arial" w:cs="Arial"/>
                <w:sz w:val="20"/>
                <w:szCs w:val="20"/>
                <w:lang w:eastAsia="en-AU"/>
              </w:rPr>
            </w:pPr>
            <w:r w:rsidRPr="00DE3ABD">
              <w:rPr>
                <w:rFonts w:ascii="Arial" w:eastAsia="Times New Roman" w:hAnsi="Arial" w:cs="Arial"/>
                <w:sz w:val="20"/>
                <w:szCs w:val="20"/>
                <w:lang w:eastAsia="en-AU"/>
              </w:rPr>
              <w:t>1.3 Drug and toxin induced</w:t>
            </w:r>
            <w:r w:rsidRPr="00DE3ABD">
              <w:rPr>
                <w:rFonts w:ascii="Arial" w:eastAsia="Times New Roman" w:hAnsi="Arial" w:cs="Arial"/>
                <w:sz w:val="20"/>
                <w:szCs w:val="20"/>
                <w:lang w:eastAsia="en-AU"/>
              </w:rPr>
              <w:br/>
              <w:t>1.4 Associated with:</w:t>
            </w:r>
          </w:p>
          <w:p w:rsidR="00124C32" w:rsidRPr="00DE3ABD" w:rsidRDefault="005C4B20" w:rsidP="0060413E">
            <w:pPr>
              <w:pStyle w:val="ListParagraph"/>
              <w:spacing w:before="60" w:after="60"/>
              <w:ind w:left="572"/>
              <w:jc w:val="left"/>
              <w:rPr>
                <w:rFonts w:ascii="Arial" w:eastAsia="Times New Roman" w:hAnsi="Arial" w:cs="Arial"/>
                <w:sz w:val="20"/>
                <w:szCs w:val="20"/>
                <w:lang w:eastAsia="en-AU"/>
              </w:rPr>
            </w:pPr>
            <w:r w:rsidRPr="00DE3ABD">
              <w:rPr>
                <w:rFonts w:ascii="Arial" w:eastAsia="Times New Roman" w:hAnsi="Arial" w:cs="Arial"/>
                <w:sz w:val="20"/>
                <w:szCs w:val="20"/>
                <w:lang w:eastAsia="en-AU"/>
              </w:rPr>
              <w:t>1.4.1 Connective tissue disease</w:t>
            </w:r>
            <w:r w:rsidRPr="00DE3ABD">
              <w:rPr>
                <w:rFonts w:ascii="Arial" w:eastAsia="Times New Roman" w:hAnsi="Arial" w:cs="Arial"/>
                <w:sz w:val="20"/>
                <w:szCs w:val="20"/>
                <w:lang w:eastAsia="en-AU"/>
              </w:rPr>
              <w:br/>
              <w:t>1.4.2 HIV infection</w:t>
            </w:r>
            <w:r w:rsidRPr="00DE3ABD">
              <w:rPr>
                <w:rFonts w:ascii="Arial" w:eastAsia="Times New Roman" w:hAnsi="Arial" w:cs="Arial"/>
                <w:sz w:val="20"/>
                <w:szCs w:val="20"/>
                <w:lang w:eastAsia="en-AU"/>
              </w:rPr>
              <w:br/>
              <w:t>1.4.3 Portal hypertension</w:t>
            </w:r>
            <w:r w:rsidRPr="00DE3ABD">
              <w:rPr>
                <w:rFonts w:ascii="Arial" w:eastAsia="Times New Roman" w:hAnsi="Arial" w:cs="Arial"/>
                <w:sz w:val="20"/>
                <w:szCs w:val="20"/>
                <w:lang w:eastAsia="en-AU"/>
              </w:rPr>
              <w:br/>
              <w:t>1.4.4 Congenital heart diseases</w:t>
            </w:r>
            <w:r w:rsidRPr="00DE3ABD">
              <w:rPr>
                <w:rFonts w:ascii="Arial" w:eastAsia="Times New Roman" w:hAnsi="Arial" w:cs="Arial"/>
                <w:sz w:val="20"/>
                <w:szCs w:val="20"/>
                <w:lang w:eastAsia="en-AU"/>
              </w:rPr>
              <w:br/>
              <w:t>1.4.5 Schistosomiasis</w:t>
            </w:r>
          </w:p>
          <w:p w:rsidR="005C4B20" w:rsidRPr="00DE3ABD" w:rsidRDefault="005C4B20" w:rsidP="0060413E">
            <w:pPr>
              <w:pStyle w:val="ListParagraph"/>
              <w:spacing w:before="60" w:after="60"/>
              <w:ind w:left="147"/>
              <w:jc w:val="left"/>
              <w:rPr>
                <w:rFonts w:ascii="Arial" w:eastAsia="Times New Roman" w:hAnsi="Arial" w:cs="Arial"/>
                <w:sz w:val="20"/>
                <w:szCs w:val="20"/>
                <w:lang w:eastAsia="en-AU"/>
              </w:rPr>
            </w:pPr>
            <w:r w:rsidRPr="00DE3ABD">
              <w:rPr>
                <w:rFonts w:ascii="Arial" w:eastAsia="Times New Roman" w:hAnsi="Arial" w:cs="Arial"/>
                <w:b/>
                <w:sz w:val="20"/>
                <w:szCs w:val="20"/>
                <w:lang w:eastAsia="en-AU"/>
              </w:rPr>
              <w:t>1′</w:t>
            </w:r>
            <w:r w:rsidR="00124C32" w:rsidRPr="00DE3ABD">
              <w:rPr>
                <w:rFonts w:ascii="Arial" w:eastAsia="Times New Roman" w:hAnsi="Arial" w:cs="Arial"/>
                <w:b/>
                <w:sz w:val="20"/>
                <w:szCs w:val="20"/>
                <w:lang w:eastAsia="en-AU"/>
              </w:rPr>
              <w:t xml:space="preserve">. </w:t>
            </w:r>
            <w:r w:rsidRPr="00DE3ABD">
              <w:rPr>
                <w:rFonts w:ascii="Arial" w:eastAsia="Times New Roman" w:hAnsi="Arial" w:cs="Arial"/>
                <w:b/>
                <w:sz w:val="20"/>
                <w:szCs w:val="20"/>
                <w:lang w:eastAsia="en-AU"/>
              </w:rPr>
              <w:t xml:space="preserve"> </w:t>
            </w:r>
            <w:r w:rsidR="00124C32" w:rsidRPr="00DE3ABD">
              <w:rPr>
                <w:rFonts w:ascii="Arial" w:eastAsia="Times New Roman" w:hAnsi="Arial" w:cs="Arial"/>
                <w:b/>
                <w:sz w:val="20"/>
                <w:szCs w:val="20"/>
                <w:lang w:eastAsia="en-AU"/>
              </w:rPr>
              <w:t xml:space="preserve"> </w:t>
            </w:r>
            <w:r w:rsidR="0060413E">
              <w:rPr>
                <w:rFonts w:ascii="Arial" w:eastAsia="Times New Roman" w:hAnsi="Arial" w:cs="Arial"/>
                <w:b/>
                <w:sz w:val="20"/>
                <w:szCs w:val="20"/>
                <w:lang w:eastAsia="en-AU"/>
              </w:rPr>
              <w:t xml:space="preserve"> </w:t>
            </w:r>
            <w:r w:rsidRPr="00DE3ABD">
              <w:rPr>
                <w:rFonts w:ascii="Arial" w:eastAsia="Times New Roman" w:hAnsi="Arial" w:cs="Arial"/>
                <w:b/>
                <w:sz w:val="20"/>
                <w:szCs w:val="20"/>
                <w:lang w:eastAsia="en-AU"/>
              </w:rPr>
              <w:t xml:space="preserve">Pulmonary </w:t>
            </w:r>
            <w:proofErr w:type="spellStart"/>
            <w:r w:rsidRPr="00DE3ABD">
              <w:rPr>
                <w:rFonts w:ascii="Arial" w:eastAsia="Times New Roman" w:hAnsi="Arial" w:cs="Arial"/>
                <w:b/>
                <w:sz w:val="20"/>
                <w:szCs w:val="20"/>
                <w:lang w:eastAsia="en-AU"/>
              </w:rPr>
              <w:t>veno</w:t>
            </w:r>
            <w:proofErr w:type="spellEnd"/>
            <w:r w:rsidRPr="00DE3ABD">
              <w:rPr>
                <w:rFonts w:ascii="Arial" w:eastAsia="Times New Roman" w:hAnsi="Arial" w:cs="Arial"/>
                <w:b/>
                <w:sz w:val="20"/>
                <w:szCs w:val="20"/>
                <w:lang w:eastAsia="en-AU"/>
              </w:rPr>
              <w:t xml:space="preserve">-occlusive disease and/or pulmonary capillary </w:t>
            </w:r>
            <w:proofErr w:type="spellStart"/>
            <w:r w:rsidRPr="00DE3ABD">
              <w:rPr>
                <w:rFonts w:ascii="Arial" w:eastAsia="Times New Roman" w:hAnsi="Arial" w:cs="Arial"/>
                <w:b/>
                <w:sz w:val="20"/>
                <w:szCs w:val="20"/>
                <w:lang w:eastAsia="en-AU"/>
              </w:rPr>
              <w:t>hemangiomatosis</w:t>
            </w:r>
            <w:proofErr w:type="spellEnd"/>
            <w:r w:rsidRPr="00DE3ABD">
              <w:rPr>
                <w:rFonts w:ascii="Arial" w:eastAsia="Times New Roman" w:hAnsi="Arial" w:cs="Arial"/>
                <w:b/>
                <w:sz w:val="20"/>
                <w:szCs w:val="20"/>
                <w:lang w:eastAsia="en-AU"/>
              </w:rPr>
              <w:br/>
              <w:t xml:space="preserve">1′′. </w:t>
            </w:r>
            <w:r w:rsidR="00124C32" w:rsidRPr="00DE3ABD">
              <w:rPr>
                <w:rFonts w:ascii="Arial" w:eastAsia="Times New Roman" w:hAnsi="Arial" w:cs="Arial"/>
                <w:b/>
                <w:sz w:val="20"/>
                <w:szCs w:val="20"/>
                <w:lang w:eastAsia="en-AU"/>
              </w:rPr>
              <w:t xml:space="preserve"> </w:t>
            </w:r>
            <w:r w:rsidR="0060413E">
              <w:rPr>
                <w:rFonts w:ascii="Arial" w:eastAsia="Times New Roman" w:hAnsi="Arial" w:cs="Arial"/>
                <w:b/>
                <w:sz w:val="20"/>
                <w:szCs w:val="20"/>
                <w:lang w:eastAsia="en-AU"/>
              </w:rPr>
              <w:t xml:space="preserve"> </w:t>
            </w:r>
            <w:r w:rsidRPr="00DE3ABD">
              <w:rPr>
                <w:rFonts w:ascii="Arial" w:eastAsia="Times New Roman" w:hAnsi="Arial" w:cs="Arial"/>
                <w:b/>
                <w:sz w:val="20"/>
                <w:szCs w:val="20"/>
                <w:lang w:eastAsia="en-AU"/>
              </w:rPr>
              <w:t>Persistent pulmonary hypertension of the newborn (PPHN)</w:t>
            </w:r>
          </w:p>
        </w:tc>
      </w:tr>
      <w:tr w:rsidR="005C4B20" w:rsidRPr="00CA3F42" w:rsidTr="0060413E">
        <w:tc>
          <w:tcPr>
            <w:tcW w:w="9077" w:type="dxa"/>
            <w:tcBorders>
              <w:top w:val="single" w:sz="4" w:space="0" w:color="auto"/>
            </w:tcBorders>
            <w:hideMark/>
          </w:tcPr>
          <w:p w:rsidR="005C4B20" w:rsidRPr="00DE3ABD" w:rsidRDefault="005C4B20" w:rsidP="00807704">
            <w:pPr>
              <w:pStyle w:val="ListParagraph"/>
              <w:numPr>
                <w:ilvl w:val="0"/>
                <w:numId w:val="23"/>
              </w:numPr>
              <w:spacing w:before="60" w:after="60"/>
              <w:ind w:left="572" w:hanging="425"/>
              <w:jc w:val="left"/>
              <w:rPr>
                <w:rFonts w:ascii="Arial" w:eastAsia="Times New Roman" w:hAnsi="Arial" w:cs="Arial"/>
                <w:b/>
                <w:sz w:val="20"/>
                <w:szCs w:val="20"/>
                <w:lang w:eastAsia="en-AU"/>
              </w:rPr>
            </w:pPr>
            <w:r w:rsidRPr="00DE3ABD">
              <w:rPr>
                <w:rFonts w:ascii="Arial" w:eastAsia="Times New Roman" w:hAnsi="Arial" w:cs="Arial"/>
                <w:b/>
                <w:sz w:val="20"/>
                <w:szCs w:val="20"/>
                <w:lang w:eastAsia="en-AU"/>
              </w:rPr>
              <w:t>Pulmonary hypertension due to left heart disease</w:t>
            </w:r>
          </w:p>
          <w:p w:rsidR="005C4B20" w:rsidRPr="00DE3ABD" w:rsidRDefault="005C4B20" w:rsidP="0060413E">
            <w:pPr>
              <w:pStyle w:val="ListParagraph"/>
              <w:spacing w:before="60" w:after="60"/>
              <w:ind w:left="572"/>
              <w:jc w:val="left"/>
              <w:rPr>
                <w:rFonts w:ascii="Arial" w:eastAsia="Times New Roman" w:hAnsi="Arial" w:cs="Arial"/>
                <w:sz w:val="20"/>
                <w:szCs w:val="20"/>
                <w:lang w:eastAsia="en-AU"/>
              </w:rPr>
            </w:pPr>
            <w:r w:rsidRPr="00DE3ABD">
              <w:rPr>
                <w:rFonts w:ascii="Arial" w:eastAsia="Times New Roman" w:hAnsi="Arial" w:cs="Arial"/>
                <w:sz w:val="20"/>
                <w:szCs w:val="20"/>
                <w:lang w:eastAsia="en-AU"/>
              </w:rPr>
              <w:t>2.1 Left ventricular systolic dysfunction</w:t>
            </w:r>
            <w:r w:rsidRPr="00DE3ABD">
              <w:rPr>
                <w:rFonts w:ascii="Arial" w:eastAsia="Times New Roman" w:hAnsi="Arial" w:cs="Arial"/>
                <w:sz w:val="20"/>
                <w:szCs w:val="20"/>
                <w:lang w:eastAsia="en-AU"/>
              </w:rPr>
              <w:br/>
              <w:t>2.2 Left ventricular diastolic dysfunction</w:t>
            </w:r>
            <w:r w:rsidRPr="00DE3ABD">
              <w:rPr>
                <w:rFonts w:ascii="Arial" w:eastAsia="Times New Roman" w:hAnsi="Arial" w:cs="Arial"/>
                <w:sz w:val="20"/>
                <w:szCs w:val="20"/>
                <w:lang w:eastAsia="en-AU"/>
              </w:rPr>
              <w:br/>
              <w:t>2.3 Valvular disease</w:t>
            </w:r>
            <w:r w:rsidRPr="00DE3ABD">
              <w:rPr>
                <w:rFonts w:ascii="Arial" w:eastAsia="Times New Roman" w:hAnsi="Arial" w:cs="Arial"/>
                <w:sz w:val="20"/>
                <w:szCs w:val="20"/>
                <w:lang w:eastAsia="en-AU"/>
              </w:rPr>
              <w:br/>
            </w:r>
            <w:r w:rsidRPr="0060413E">
              <w:rPr>
                <w:rFonts w:ascii="Arial" w:eastAsia="Times New Roman" w:hAnsi="Arial" w:cs="Arial"/>
                <w:sz w:val="20"/>
                <w:szCs w:val="20"/>
                <w:lang w:eastAsia="en-AU"/>
              </w:rPr>
              <w:t>2.4 Congenital/acquired left heart inflow/outflow tract obstruction and congenital cardiomyopathies</w:t>
            </w:r>
          </w:p>
        </w:tc>
      </w:tr>
      <w:tr w:rsidR="005C4B20" w:rsidRPr="00CA3F42" w:rsidTr="0060413E">
        <w:tc>
          <w:tcPr>
            <w:tcW w:w="9077" w:type="dxa"/>
            <w:hideMark/>
          </w:tcPr>
          <w:p w:rsidR="005C4B20" w:rsidRPr="00DE3ABD" w:rsidRDefault="005C4B20" w:rsidP="00807704">
            <w:pPr>
              <w:pStyle w:val="ListParagraph"/>
              <w:numPr>
                <w:ilvl w:val="0"/>
                <w:numId w:val="23"/>
              </w:numPr>
              <w:spacing w:before="60" w:after="60"/>
              <w:ind w:left="572" w:hanging="425"/>
              <w:jc w:val="left"/>
              <w:rPr>
                <w:rFonts w:ascii="Arial" w:eastAsia="Times New Roman" w:hAnsi="Arial" w:cs="Arial"/>
                <w:b/>
                <w:sz w:val="20"/>
                <w:szCs w:val="20"/>
                <w:lang w:eastAsia="en-AU"/>
              </w:rPr>
            </w:pPr>
            <w:r w:rsidRPr="00DE3ABD">
              <w:rPr>
                <w:rFonts w:ascii="Arial" w:eastAsia="Times New Roman" w:hAnsi="Arial" w:cs="Arial"/>
                <w:b/>
                <w:sz w:val="20"/>
                <w:szCs w:val="20"/>
                <w:lang w:eastAsia="en-AU"/>
              </w:rPr>
              <w:t>Pulmonary hypertension due to lung diseases and/or hypoxia</w:t>
            </w:r>
          </w:p>
          <w:p w:rsidR="005C4B20" w:rsidRPr="00DE3ABD" w:rsidRDefault="005C4B20" w:rsidP="0060413E">
            <w:pPr>
              <w:pStyle w:val="ListParagraph"/>
              <w:spacing w:before="60" w:after="60"/>
              <w:ind w:left="572"/>
              <w:jc w:val="left"/>
              <w:rPr>
                <w:rFonts w:ascii="Arial" w:eastAsia="Times New Roman" w:hAnsi="Arial" w:cs="Arial"/>
                <w:sz w:val="20"/>
                <w:szCs w:val="20"/>
                <w:lang w:eastAsia="en-AU"/>
              </w:rPr>
            </w:pPr>
            <w:r w:rsidRPr="00DE3ABD">
              <w:rPr>
                <w:rFonts w:ascii="Arial" w:eastAsia="Times New Roman" w:hAnsi="Arial" w:cs="Arial"/>
                <w:sz w:val="20"/>
                <w:szCs w:val="20"/>
                <w:lang w:eastAsia="en-AU"/>
              </w:rPr>
              <w:t>3.1 Chronic obstructive pulmonary disease</w:t>
            </w:r>
            <w:r w:rsidRPr="00DE3ABD">
              <w:rPr>
                <w:rFonts w:ascii="Arial" w:eastAsia="Times New Roman" w:hAnsi="Arial" w:cs="Arial"/>
                <w:sz w:val="20"/>
                <w:szCs w:val="20"/>
                <w:lang w:eastAsia="en-AU"/>
              </w:rPr>
              <w:br/>
              <w:t>3.2 Interstitial lung disease</w:t>
            </w:r>
            <w:r w:rsidRPr="00DE3ABD">
              <w:rPr>
                <w:rFonts w:ascii="Arial" w:eastAsia="Times New Roman" w:hAnsi="Arial" w:cs="Arial"/>
                <w:sz w:val="20"/>
                <w:szCs w:val="20"/>
                <w:lang w:eastAsia="en-AU"/>
              </w:rPr>
              <w:br/>
              <w:t>3.3 Other pulmonary diseases with mixed restrictive and obstructive pattern</w:t>
            </w:r>
            <w:r w:rsidRPr="00DE3ABD">
              <w:rPr>
                <w:rFonts w:ascii="Arial" w:eastAsia="Times New Roman" w:hAnsi="Arial" w:cs="Arial"/>
                <w:sz w:val="20"/>
                <w:szCs w:val="20"/>
                <w:lang w:eastAsia="en-AU"/>
              </w:rPr>
              <w:br/>
              <w:t>3.4 Sleep-disordered breathing</w:t>
            </w:r>
            <w:r w:rsidRPr="00DE3ABD">
              <w:rPr>
                <w:rFonts w:ascii="Arial" w:eastAsia="Times New Roman" w:hAnsi="Arial" w:cs="Arial"/>
                <w:sz w:val="20"/>
                <w:szCs w:val="20"/>
                <w:lang w:eastAsia="en-AU"/>
              </w:rPr>
              <w:br/>
              <w:t>3.5 Alveolar hypoventilation disorders</w:t>
            </w:r>
            <w:r w:rsidRPr="00DE3ABD">
              <w:rPr>
                <w:rFonts w:ascii="Arial" w:eastAsia="Times New Roman" w:hAnsi="Arial" w:cs="Arial"/>
                <w:sz w:val="20"/>
                <w:szCs w:val="20"/>
                <w:lang w:eastAsia="en-AU"/>
              </w:rPr>
              <w:br/>
              <w:t>3.6 Chronic exposure to high altitude</w:t>
            </w:r>
            <w:r w:rsidRPr="00DE3ABD">
              <w:rPr>
                <w:rFonts w:ascii="Arial" w:eastAsia="Times New Roman" w:hAnsi="Arial" w:cs="Arial"/>
                <w:sz w:val="20"/>
                <w:szCs w:val="20"/>
                <w:lang w:eastAsia="en-AU"/>
              </w:rPr>
              <w:br/>
              <w:t>3.7 Developmental lung diseases</w:t>
            </w:r>
          </w:p>
        </w:tc>
      </w:tr>
      <w:tr w:rsidR="005C4B20" w:rsidRPr="00CA3F42" w:rsidTr="0060413E">
        <w:tc>
          <w:tcPr>
            <w:tcW w:w="9077" w:type="dxa"/>
            <w:hideMark/>
          </w:tcPr>
          <w:p w:rsidR="005C4B20" w:rsidRPr="00DE3ABD" w:rsidRDefault="005C4B20" w:rsidP="00807704">
            <w:pPr>
              <w:pStyle w:val="ListParagraph"/>
              <w:numPr>
                <w:ilvl w:val="0"/>
                <w:numId w:val="23"/>
              </w:numPr>
              <w:spacing w:before="60" w:after="60"/>
              <w:ind w:left="572" w:hanging="425"/>
              <w:jc w:val="left"/>
              <w:rPr>
                <w:rFonts w:ascii="Arial" w:eastAsia="Times New Roman" w:hAnsi="Arial" w:cs="Arial"/>
                <w:b/>
                <w:sz w:val="20"/>
                <w:szCs w:val="20"/>
                <w:lang w:eastAsia="en-AU"/>
              </w:rPr>
            </w:pPr>
            <w:r w:rsidRPr="00DE3ABD">
              <w:rPr>
                <w:rFonts w:ascii="Arial" w:eastAsia="Times New Roman" w:hAnsi="Arial" w:cs="Arial"/>
                <w:b/>
                <w:sz w:val="20"/>
                <w:szCs w:val="20"/>
                <w:lang w:eastAsia="en-AU"/>
              </w:rPr>
              <w:t>Chronic thromboembolic pulmonary hypertension (CTEPH)</w:t>
            </w:r>
          </w:p>
        </w:tc>
      </w:tr>
      <w:tr w:rsidR="005C4B20" w:rsidRPr="00CA3F42" w:rsidTr="0060413E">
        <w:tc>
          <w:tcPr>
            <w:tcW w:w="9077" w:type="dxa"/>
            <w:hideMark/>
          </w:tcPr>
          <w:p w:rsidR="005C4B20" w:rsidRPr="00DE3ABD" w:rsidRDefault="005C4B20" w:rsidP="00807704">
            <w:pPr>
              <w:pStyle w:val="ListParagraph"/>
              <w:numPr>
                <w:ilvl w:val="0"/>
                <w:numId w:val="23"/>
              </w:numPr>
              <w:spacing w:before="60" w:after="60"/>
              <w:ind w:left="572" w:hanging="425"/>
              <w:jc w:val="left"/>
              <w:rPr>
                <w:rFonts w:ascii="Arial" w:eastAsia="Times New Roman" w:hAnsi="Arial" w:cs="Arial"/>
                <w:b/>
                <w:sz w:val="20"/>
                <w:szCs w:val="20"/>
                <w:lang w:eastAsia="en-AU"/>
              </w:rPr>
            </w:pPr>
            <w:r w:rsidRPr="00DE3ABD">
              <w:rPr>
                <w:rFonts w:ascii="Arial" w:eastAsia="Times New Roman" w:hAnsi="Arial" w:cs="Arial"/>
                <w:b/>
                <w:sz w:val="20"/>
                <w:szCs w:val="20"/>
                <w:lang w:eastAsia="en-AU"/>
              </w:rPr>
              <w:t>Pulmonary hypertension with unclear multifactorial mechanisms</w:t>
            </w:r>
          </w:p>
          <w:p w:rsidR="005C4B20" w:rsidRPr="00DE3ABD" w:rsidRDefault="005C4B20" w:rsidP="0060413E">
            <w:pPr>
              <w:pStyle w:val="ListParagraph"/>
              <w:spacing w:before="60" w:after="60"/>
              <w:ind w:left="572"/>
              <w:jc w:val="left"/>
              <w:rPr>
                <w:rFonts w:ascii="Arial" w:eastAsia="Times New Roman" w:hAnsi="Arial" w:cs="Arial"/>
                <w:sz w:val="20"/>
                <w:szCs w:val="20"/>
                <w:lang w:eastAsia="en-AU"/>
              </w:rPr>
            </w:pPr>
            <w:r w:rsidRPr="00DE3ABD">
              <w:rPr>
                <w:rFonts w:ascii="Arial" w:eastAsia="Times New Roman" w:hAnsi="Arial" w:cs="Arial"/>
                <w:sz w:val="20"/>
                <w:szCs w:val="20"/>
                <w:lang w:eastAsia="en-AU"/>
              </w:rPr>
              <w:t>5.1 Hematologic disorders: </w:t>
            </w:r>
            <w:r w:rsidRPr="00DE3ABD">
              <w:rPr>
                <w:rFonts w:ascii="Arial" w:eastAsia="Times New Roman" w:hAnsi="Arial" w:cs="Arial"/>
                <w:bCs/>
                <w:sz w:val="20"/>
                <w:szCs w:val="20"/>
                <w:lang w:eastAsia="en-AU"/>
              </w:rPr>
              <w:t xml:space="preserve">chronic </w:t>
            </w:r>
            <w:proofErr w:type="spellStart"/>
            <w:r w:rsidRPr="00DE3ABD">
              <w:rPr>
                <w:rFonts w:ascii="Arial" w:eastAsia="Times New Roman" w:hAnsi="Arial" w:cs="Arial"/>
                <w:bCs/>
                <w:sz w:val="20"/>
                <w:szCs w:val="20"/>
                <w:lang w:eastAsia="en-AU"/>
              </w:rPr>
              <w:t>hemolytic</w:t>
            </w:r>
            <w:proofErr w:type="spellEnd"/>
            <w:r w:rsidRPr="00DE3ABD">
              <w:rPr>
                <w:rFonts w:ascii="Arial" w:eastAsia="Times New Roman" w:hAnsi="Arial" w:cs="Arial"/>
                <w:bCs/>
                <w:sz w:val="20"/>
                <w:szCs w:val="20"/>
                <w:lang w:eastAsia="en-AU"/>
              </w:rPr>
              <w:t xml:space="preserve"> </w:t>
            </w:r>
            <w:proofErr w:type="spellStart"/>
            <w:r w:rsidRPr="00DE3ABD">
              <w:rPr>
                <w:rFonts w:ascii="Arial" w:eastAsia="Times New Roman" w:hAnsi="Arial" w:cs="Arial"/>
                <w:bCs/>
                <w:sz w:val="20"/>
                <w:szCs w:val="20"/>
                <w:lang w:eastAsia="en-AU"/>
              </w:rPr>
              <w:t>anemia</w:t>
            </w:r>
            <w:proofErr w:type="spellEnd"/>
            <w:r w:rsidRPr="00DE3ABD">
              <w:rPr>
                <w:rFonts w:ascii="Arial" w:eastAsia="Times New Roman" w:hAnsi="Arial" w:cs="Arial"/>
                <w:sz w:val="20"/>
                <w:szCs w:val="20"/>
                <w:lang w:eastAsia="en-AU"/>
              </w:rPr>
              <w:t>, myeloproliferative disorders, splenectomy</w:t>
            </w:r>
            <w:r w:rsidRPr="00DE3ABD">
              <w:rPr>
                <w:rFonts w:ascii="Arial" w:eastAsia="Times New Roman" w:hAnsi="Arial" w:cs="Arial"/>
                <w:sz w:val="20"/>
                <w:szCs w:val="20"/>
                <w:lang w:eastAsia="en-AU"/>
              </w:rPr>
              <w:br/>
              <w:t xml:space="preserve">5.2 Systemic disorders: sarcoidosis, pulmonary </w:t>
            </w:r>
            <w:proofErr w:type="spellStart"/>
            <w:r w:rsidRPr="00DE3ABD">
              <w:rPr>
                <w:rFonts w:ascii="Arial" w:eastAsia="Times New Roman" w:hAnsi="Arial" w:cs="Arial"/>
                <w:sz w:val="20"/>
                <w:szCs w:val="20"/>
                <w:lang w:eastAsia="en-AU"/>
              </w:rPr>
              <w:t>histiocytosis</w:t>
            </w:r>
            <w:proofErr w:type="spellEnd"/>
            <w:r w:rsidRPr="00DE3ABD">
              <w:rPr>
                <w:rFonts w:ascii="Arial" w:eastAsia="Times New Roman" w:hAnsi="Arial" w:cs="Arial"/>
                <w:sz w:val="20"/>
                <w:szCs w:val="20"/>
                <w:lang w:eastAsia="en-AU"/>
              </w:rPr>
              <w:t xml:space="preserve">, </w:t>
            </w:r>
            <w:proofErr w:type="spellStart"/>
            <w:r w:rsidRPr="00DE3ABD">
              <w:rPr>
                <w:rFonts w:ascii="Arial" w:eastAsia="Times New Roman" w:hAnsi="Arial" w:cs="Arial"/>
                <w:sz w:val="20"/>
                <w:szCs w:val="20"/>
                <w:lang w:eastAsia="en-AU"/>
              </w:rPr>
              <w:t>lymphangioleiomyomatosis</w:t>
            </w:r>
            <w:proofErr w:type="spellEnd"/>
            <w:r w:rsidRPr="00DE3ABD">
              <w:rPr>
                <w:rFonts w:ascii="Arial" w:eastAsia="Times New Roman" w:hAnsi="Arial" w:cs="Arial"/>
                <w:sz w:val="20"/>
                <w:szCs w:val="20"/>
                <w:lang w:eastAsia="en-AU"/>
              </w:rPr>
              <w:br/>
              <w:t xml:space="preserve">5.3 Metabolic disorders: glycogen storage disease, </w:t>
            </w:r>
            <w:proofErr w:type="spellStart"/>
            <w:r w:rsidRPr="00DE3ABD">
              <w:rPr>
                <w:rFonts w:ascii="Arial" w:eastAsia="Times New Roman" w:hAnsi="Arial" w:cs="Arial"/>
                <w:sz w:val="20"/>
                <w:szCs w:val="20"/>
                <w:lang w:eastAsia="en-AU"/>
              </w:rPr>
              <w:t>Gaucher</w:t>
            </w:r>
            <w:proofErr w:type="spellEnd"/>
            <w:r w:rsidRPr="00DE3ABD">
              <w:rPr>
                <w:rFonts w:ascii="Arial" w:eastAsia="Times New Roman" w:hAnsi="Arial" w:cs="Arial"/>
                <w:sz w:val="20"/>
                <w:szCs w:val="20"/>
                <w:lang w:eastAsia="en-AU"/>
              </w:rPr>
              <w:t xml:space="preserve"> disease, thyroid disorders</w:t>
            </w:r>
            <w:r w:rsidRPr="00DE3ABD">
              <w:rPr>
                <w:rFonts w:ascii="Arial" w:eastAsia="Times New Roman" w:hAnsi="Arial" w:cs="Arial"/>
                <w:sz w:val="20"/>
                <w:szCs w:val="20"/>
                <w:lang w:eastAsia="en-AU"/>
              </w:rPr>
              <w:br/>
              <w:t xml:space="preserve">5.4 Others: </w:t>
            </w:r>
            <w:proofErr w:type="spellStart"/>
            <w:r w:rsidRPr="00DE3ABD">
              <w:rPr>
                <w:rFonts w:ascii="Arial" w:eastAsia="Times New Roman" w:hAnsi="Arial" w:cs="Arial"/>
                <w:sz w:val="20"/>
                <w:szCs w:val="20"/>
                <w:lang w:eastAsia="en-AU"/>
              </w:rPr>
              <w:t>tumoral</w:t>
            </w:r>
            <w:proofErr w:type="spellEnd"/>
            <w:r w:rsidRPr="00DE3ABD">
              <w:rPr>
                <w:rFonts w:ascii="Arial" w:eastAsia="Times New Roman" w:hAnsi="Arial" w:cs="Arial"/>
                <w:sz w:val="20"/>
                <w:szCs w:val="20"/>
                <w:lang w:eastAsia="en-AU"/>
              </w:rPr>
              <w:t xml:space="preserve"> obstruction, fibrosing </w:t>
            </w:r>
            <w:proofErr w:type="spellStart"/>
            <w:r w:rsidRPr="00DE3ABD">
              <w:rPr>
                <w:rFonts w:ascii="Arial" w:eastAsia="Times New Roman" w:hAnsi="Arial" w:cs="Arial"/>
                <w:sz w:val="20"/>
                <w:szCs w:val="20"/>
                <w:lang w:eastAsia="en-AU"/>
              </w:rPr>
              <w:t>mediastinitis</w:t>
            </w:r>
            <w:proofErr w:type="spellEnd"/>
            <w:r w:rsidRPr="00DE3ABD">
              <w:rPr>
                <w:rFonts w:ascii="Arial" w:eastAsia="Times New Roman" w:hAnsi="Arial" w:cs="Arial"/>
                <w:sz w:val="20"/>
                <w:szCs w:val="20"/>
                <w:lang w:eastAsia="en-AU"/>
              </w:rPr>
              <w:t>, chronic renal failure, </w:t>
            </w:r>
            <w:r w:rsidRPr="00DE3ABD">
              <w:rPr>
                <w:rFonts w:ascii="Arial" w:eastAsia="Times New Roman" w:hAnsi="Arial" w:cs="Arial"/>
                <w:bCs/>
                <w:sz w:val="20"/>
                <w:szCs w:val="20"/>
                <w:lang w:eastAsia="en-AU"/>
              </w:rPr>
              <w:t>segmental PH</w:t>
            </w:r>
          </w:p>
        </w:tc>
      </w:tr>
    </w:tbl>
    <w:p w:rsidR="005C4B20" w:rsidRPr="002E566F" w:rsidRDefault="005C4B20" w:rsidP="00121658">
      <w:pPr>
        <w:pStyle w:val="Tablenote"/>
        <w:spacing w:after="120"/>
        <w:rPr>
          <w:rFonts w:ascii="Arial" w:hAnsi="Arial" w:cs="Arial"/>
          <w:sz w:val="16"/>
          <w:szCs w:val="16"/>
        </w:rPr>
      </w:pPr>
      <w:r w:rsidRPr="002E566F">
        <w:rPr>
          <w:rFonts w:ascii="Arial" w:hAnsi="Arial" w:cs="Arial"/>
          <w:sz w:val="16"/>
          <w:szCs w:val="16"/>
        </w:rPr>
        <w:t>Source: WHO Classification of PH</w:t>
      </w:r>
      <w:r w:rsidR="009C556B" w:rsidRPr="002E566F">
        <w:rPr>
          <w:rFonts w:ascii="Arial" w:hAnsi="Arial" w:cs="Arial"/>
          <w:noProof/>
          <w:sz w:val="16"/>
          <w:szCs w:val="16"/>
          <w:vertAlign w:val="superscript"/>
        </w:rPr>
        <w:t>9</w:t>
      </w:r>
    </w:p>
    <w:bookmarkEnd w:id="39"/>
    <w:p w:rsidR="007D4AD1" w:rsidRPr="00133CE7" w:rsidRDefault="00BC5581" w:rsidP="00121658">
      <w:pPr>
        <w:pStyle w:val="Heading4"/>
        <w:jc w:val="left"/>
      </w:pPr>
      <w:r>
        <w:t>4.3.2</w:t>
      </w:r>
      <w:r>
        <w:tab/>
      </w:r>
      <w:r w:rsidR="007D4AD1">
        <w:t>WHO functional classes</w:t>
      </w:r>
    </w:p>
    <w:p w:rsidR="00462974" w:rsidRPr="00CA30EE" w:rsidRDefault="007D4AD1" w:rsidP="00121658">
      <w:pPr>
        <w:spacing w:after="240"/>
        <w:jc w:val="left"/>
        <w:rPr>
          <w:rFonts w:asciiTheme="minorHAnsi" w:hAnsiTheme="minorHAnsi"/>
        </w:rPr>
      </w:pPr>
      <w:r w:rsidRPr="00AC2A2B">
        <w:rPr>
          <w:rFonts w:asciiTheme="minorHAnsi" w:hAnsiTheme="minorHAnsi"/>
        </w:rPr>
        <w:t>The clinical severity of PAH is classified according to a system of functional classes originally developed for heart failure by the New York Heart Association (NYHA) and then modified by the WHO for patients with PH at t</w:t>
      </w:r>
      <w:r w:rsidR="00AD61AE" w:rsidRPr="00AC2A2B">
        <w:rPr>
          <w:rFonts w:asciiTheme="minorHAnsi" w:hAnsiTheme="minorHAnsi"/>
        </w:rPr>
        <w:t xml:space="preserve">he 1998 meeting </w:t>
      </w:r>
      <w:r w:rsidRPr="00AC2A2B">
        <w:rPr>
          <w:rFonts w:asciiTheme="minorHAnsi" w:hAnsiTheme="minorHAnsi"/>
        </w:rPr>
        <w:t xml:space="preserve">of the World Symposium. The current </w:t>
      </w:r>
      <w:r w:rsidR="00C6661C" w:rsidRPr="00AC2A2B">
        <w:rPr>
          <w:rFonts w:asciiTheme="minorHAnsi" w:hAnsiTheme="minorHAnsi"/>
        </w:rPr>
        <w:t>criteria</w:t>
      </w:r>
      <w:r w:rsidR="009C556B" w:rsidRPr="00AC2A2B">
        <w:rPr>
          <w:rFonts w:asciiTheme="minorHAnsi" w:hAnsiTheme="minorHAnsi"/>
          <w:noProof/>
          <w:vertAlign w:val="superscript"/>
        </w:rPr>
        <w:t>8</w:t>
      </w:r>
      <w:r w:rsidRPr="00AC2A2B">
        <w:rPr>
          <w:rFonts w:asciiTheme="minorHAnsi" w:hAnsiTheme="minorHAnsi"/>
        </w:rPr>
        <w:t xml:space="preserve"> </w:t>
      </w:r>
      <w:r w:rsidR="00C6661C" w:rsidRPr="00AC2A2B">
        <w:rPr>
          <w:rFonts w:asciiTheme="minorHAnsi" w:hAnsiTheme="minorHAnsi"/>
        </w:rPr>
        <w:t>are</w:t>
      </w:r>
      <w:r w:rsidRPr="00AC2A2B">
        <w:rPr>
          <w:rFonts w:asciiTheme="minorHAnsi" w:hAnsiTheme="minorHAnsi"/>
        </w:rPr>
        <w:t xml:space="preserve"> in</w:t>
      </w:r>
      <w:r w:rsidR="00AD61AE" w:rsidRPr="00AC2A2B">
        <w:rPr>
          <w:rFonts w:asciiTheme="minorHAnsi" w:hAnsiTheme="minorHAnsi"/>
        </w:rPr>
        <w:t xml:space="preserve"> </w:t>
      </w:r>
      <w:r w:rsidR="00D63371" w:rsidRPr="00D63371">
        <w:rPr>
          <w:rFonts w:asciiTheme="minorHAnsi" w:hAnsiTheme="minorHAnsi"/>
        </w:rPr>
        <w:t>Table</w:t>
      </w:r>
      <w:r w:rsidR="00D63371">
        <w:t xml:space="preserve"> B.</w:t>
      </w:r>
      <w:r w:rsidR="00D63371">
        <w:rPr>
          <w:noProof/>
        </w:rPr>
        <w:t>2</w:t>
      </w:r>
      <w:r w:rsidR="004575B0" w:rsidRPr="00AC2A2B">
        <w:rPr>
          <w:rFonts w:asciiTheme="minorHAnsi" w:hAnsiTheme="minorHAnsi"/>
        </w:rPr>
        <w:t>.</w:t>
      </w:r>
    </w:p>
    <w:p w:rsidR="00CA30EE" w:rsidRDefault="00CA30EE" w:rsidP="00D14982">
      <w:pPr>
        <w:pStyle w:val="ToR1TableHeader"/>
      </w:pPr>
      <w:bookmarkStart w:id="42" w:name="_Ref510019524"/>
      <w:bookmarkStart w:id="43" w:name="_Toc513107619"/>
      <w:r>
        <w:t>Table B.</w:t>
      </w:r>
      <w:r w:rsidR="00D63371">
        <w:rPr>
          <w:noProof/>
        </w:rPr>
        <w:t>2</w:t>
      </w:r>
      <w:bookmarkEnd w:id="42"/>
      <w:r>
        <w:tab/>
        <w:t>WHO functional classes for PAH</w:t>
      </w:r>
      <w:bookmarkEnd w:id="43"/>
    </w:p>
    <w:tbl>
      <w:tblPr>
        <w:tblStyle w:val="TableGrid"/>
        <w:tblW w:w="0" w:type="auto"/>
        <w:tblLook w:val="04A0" w:firstRow="1" w:lastRow="0" w:firstColumn="1" w:lastColumn="0" w:noHBand="0" w:noVBand="1"/>
        <w:tblCaption w:val="WHO functional classes for PAH"/>
      </w:tblPr>
      <w:tblGrid>
        <w:gridCol w:w="9648"/>
      </w:tblGrid>
      <w:tr w:rsidR="00462974" w:rsidTr="005C51EE">
        <w:trPr>
          <w:cnfStyle w:val="100000000000" w:firstRow="1" w:lastRow="0" w:firstColumn="0" w:lastColumn="0" w:oddVBand="0" w:evenVBand="0" w:oddHBand="0" w:evenHBand="0" w:firstRowFirstColumn="0" w:firstRowLastColumn="0" w:lastRowFirstColumn="0" w:lastRowLastColumn="0"/>
        </w:trPr>
        <w:tc>
          <w:tcPr>
            <w:tcW w:w="9648" w:type="dxa"/>
            <w:shd w:val="clear" w:color="auto" w:fill="auto"/>
          </w:tcPr>
          <w:p w:rsidR="00462974" w:rsidRPr="00DE3ABD" w:rsidRDefault="00462974" w:rsidP="001F2CF5">
            <w:pPr>
              <w:spacing w:beforeLines="120" w:before="288" w:after="120"/>
              <w:ind w:left="147" w:right="147"/>
              <w:jc w:val="left"/>
              <w:rPr>
                <w:rFonts w:ascii="Arial" w:hAnsi="Arial" w:cs="Arial"/>
                <w:sz w:val="20"/>
                <w:szCs w:val="20"/>
              </w:rPr>
            </w:pPr>
            <w:r w:rsidRPr="00DE3ABD">
              <w:rPr>
                <w:rFonts w:ascii="Arial" w:hAnsi="Arial" w:cs="Arial"/>
                <w:sz w:val="20"/>
                <w:szCs w:val="20"/>
              </w:rPr>
              <w:t>Class I – Patients with pulmonary hypertension but without resulting limitation of physical activity. Ordinary physical activity does not cause undue dyspnoea or fatigue, chest pain or near syncope.</w:t>
            </w:r>
          </w:p>
          <w:p w:rsidR="00462974" w:rsidRPr="00DE3ABD" w:rsidRDefault="00462974" w:rsidP="001F2CF5">
            <w:pPr>
              <w:spacing w:beforeLines="120" w:before="288" w:after="120"/>
              <w:ind w:left="147" w:right="147"/>
              <w:jc w:val="left"/>
              <w:rPr>
                <w:rFonts w:ascii="Arial" w:hAnsi="Arial" w:cs="Arial"/>
                <w:sz w:val="20"/>
                <w:szCs w:val="20"/>
              </w:rPr>
            </w:pPr>
            <w:r w:rsidRPr="00DE3ABD">
              <w:rPr>
                <w:rFonts w:ascii="Arial" w:hAnsi="Arial" w:cs="Arial"/>
                <w:sz w:val="20"/>
                <w:szCs w:val="20"/>
              </w:rPr>
              <w:t>Class II – Patients with pulmonary hypertension resulting in slight limitation of physical activity. They are comfortable at rest. Ordinary physical activity causes undue dyspnoea or fatigue, chest pain or near syncope.</w:t>
            </w:r>
          </w:p>
          <w:p w:rsidR="00462974" w:rsidRPr="00DE3ABD" w:rsidRDefault="00462974" w:rsidP="001F2CF5">
            <w:pPr>
              <w:spacing w:beforeLines="120" w:before="288" w:after="120"/>
              <w:ind w:left="147" w:right="147"/>
              <w:jc w:val="left"/>
              <w:rPr>
                <w:rFonts w:ascii="Arial" w:hAnsi="Arial" w:cs="Arial"/>
                <w:sz w:val="20"/>
                <w:szCs w:val="20"/>
              </w:rPr>
            </w:pPr>
            <w:r w:rsidRPr="00DE3ABD">
              <w:rPr>
                <w:rFonts w:ascii="Arial" w:hAnsi="Arial" w:cs="Arial"/>
                <w:sz w:val="20"/>
                <w:szCs w:val="20"/>
              </w:rPr>
              <w:t>Class III – Patients with pulmonary hypertension resulting in marked limitation of physical activity. They are comfortable at rest. Less than ordinary activity causes undue dyspnoea or fatigue, chest pain or near syncope.</w:t>
            </w:r>
          </w:p>
          <w:p w:rsidR="00462974" w:rsidRDefault="00462974" w:rsidP="001F2CF5">
            <w:pPr>
              <w:spacing w:beforeLines="120" w:before="288" w:after="120"/>
              <w:ind w:left="147" w:right="147"/>
              <w:jc w:val="left"/>
            </w:pPr>
            <w:r w:rsidRPr="00DE3ABD">
              <w:rPr>
                <w:rFonts w:ascii="Arial" w:hAnsi="Arial" w:cs="Arial"/>
                <w:sz w:val="20"/>
                <w:szCs w:val="20"/>
              </w:rPr>
              <w:t>Class IV – Patients with pulmonary hypertension with inability to carry out any physical activity without symptoms. These patients manifest signs of right heart failure. Dyspnoea and/or fatigue may even be present at rest. Discomfort is increased by any physical activity.</w:t>
            </w:r>
          </w:p>
        </w:tc>
      </w:tr>
    </w:tbl>
    <w:p w:rsidR="00462974" w:rsidRPr="002E566F" w:rsidRDefault="00462974" w:rsidP="00121658">
      <w:pPr>
        <w:spacing w:before="0" w:after="120" w:line="240" w:lineRule="auto"/>
        <w:jc w:val="left"/>
        <w:rPr>
          <w:rFonts w:ascii="Arial" w:hAnsi="Arial" w:cs="Arial"/>
          <w:sz w:val="16"/>
          <w:szCs w:val="16"/>
        </w:rPr>
      </w:pPr>
      <w:r w:rsidRPr="002E566F">
        <w:rPr>
          <w:rFonts w:ascii="Arial" w:hAnsi="Arial" w:cs="Arial"/>
          <w:sz w:val="16"/>
          <w:szCs w:val="16"/>
        </w:rPr>
        <w:t xml:space="preserve">Source: </w:t>
      </w:r>
      <w:proofErr w:type="spellStart"/>
      <w:r w:rsidRPr="002E566F">
        <w:rPr>
          <w:rFonts w:ascii="Arial" w:hAnsi="Arial" w:cs="Arial"/>
          <w:sz w:val="16"/>
          <w:szCs w:val="16"/>
        </w:rPr>
        <w:t>Galie</w:t>
      </w:r>
      <w:proofErr w:type="spellEnd"/>
      <w:r w:rsidRPr="002E566F">
        <w:rPr>
          <w:rFonts w:ascii="Arial" w:hAnsi="Arial" w:cs="Arial"/>
          <w:sz w:val="16"/>
          <w:szCs w:val="16"/>
        </w:rPr>
        <w:t xml:space="preserve"> et al 2015</w:t>
      </w:r>
      <w:r w:rsidR="009C556B" w:rsidRPr="002E566F">
        <w:rPr>
          <w:rFonts w:ascii="Arial" w:hAnsi="Arial" w:cs="Arial"/>
          <w:noProof/>
          <w:sz w:val="16"/>
          <w:szCs w:val="16"/>
          <w:vertAlign w:val="superscript"/>
        </w:rPr>
        <w:t>8</w:t>
      </w:r>
    </w:p>
    <w:p w:rsidR="00BC5581" w:rsidRPr="00252749" w:rsidRDefault="00BC5581" w:rsidP="00121658">
      <w:pPr>
        <w:pStyle w:val="Heading3"/>
        <w:numPr>
          <w:ilvl w:val="0"/>
          <w:numId w:val="0"/>
        </w:numPr>
      </w:pPr>
      <w:bookmarkStart w:id="44" w:name="_Toc513107587"/>
      <w:r w:rsidRPr="00252749">
        <w:t>B.4.4</w:t>
      </w:r>
      <w:r w:rsidRPr="00252749">
        <w:tab/>
      </w:r>
      <w:r w:rsidR="009101A0" w:rsidRPr="00252749">
        <w:t xml:space="preserve"> </w:t>
      </w:r>
      <w:r w:rsidRPr="00252749">
        <w:t>Description of the intervention</w:t>
      </w:r>
      <w:bookmarkEnd w:id="44"/>
    </w:p>
    <w:p w:rsidR="0004089D" w:rsidRPr="007F5708" w:rsidRDefault="00252749" w:rsidP="00121658">
      <w:pPr>
        <w:pStyle w:val="Heading4"/>
      </w:pPr>
      <w:r>
        <w:t>B.4.4.1</w:t>
      </w:r>
      <w:r w:rsidR="009101A0" w:rsidRPr="007F5708">
        <w:t xml:space="preserve"> </w:t>
      </w:r>
      <w:r w:rsidR="0004089D" w:rsidRPr="007F5708">
        <w:t>Pharmacological management of PAH</w:t>
      </w:r>
    </w:p>
    <w:p w:rsidR="004B312F" w:rsidRPr="00252749" w:rsidRDefault="006C589F" w:rsidP="00121658">
      <w:pPr>
        <w:pStyle w:val="BodyTextnospacebefore"/>
      </w:pPr>
      <w:r w:rsidRPr="00252749">
        <w:t>In the past, medicines such as anticoagulants</w:t>
      </w:r>
      <w:r w:rsidR="004B312F" w:rsidRPr="00252749">
        <w:t xml:space="preserve"> (e.g. warfarin), vasodilators (e.g. calcium channel blockers)</w:t>
      </w:r>
      <w:r w:rsidR="00AC2A2B" w:rsidRPr="00252749">
        <w:t>, digoxin,</w:t>
      </w:r>
      <w:r w:rsidR="004B312F" w:rsidRPr="00252749">
        <w:t xml:space="preserve"> </w:t>
      </w:r>
      <w:r w:rsidRPr="00252749">
        <w:t xml:space="preserve">diuretics </w:t>
      </w:r>
      <w:r w:rsidR="00AC2A2B" w:rsidRPr="00252749">
        <w:t xml:space="preserve">and supportive care such as </w:t>
      </w:r>
      <w:r w:rsidRPr="00252749">
        <w:t xml:space="preserve">supplemental oxygen </w:t>
      </w:r>
      <w:r w:rsidR="00AC2A2B" w:rsidRPr="00252749">
        <w:t xml:space="preserve">were </w:t>
      </w:r>
      <w:r w:rsidR="00502F2A" w:rsidRPr="00252749">
        <w:t xml:space="preserve">prescribed </w:t>
      </w:r>
      <w:r w:rsidRPr="00252749">
        <w:t>as specific treatments for PAH</w:t>
      </w:r>
      <w:r w:rsidR="004B312F" w:rsidRPr="00252749">
        <w:t>.</w:t>
      </w:r>
      <w:r w:rsidRPr="00252749">
        <w:t xml:space="preserve"> </w:t>
      </w:r>
      <w:r w:rsidR="007F5708" w:rsidRPr="00252749">
        <w:t xml:space="preserve">While </w:t>
      </w:r>
      <w:r w:rsidRPr="00252749">
        <w:t xml:space="preserve">still described as supportive treatment in PAH literature </w:t>
      </w:r>
      <w:r w:rsidR="008E3E65" w:rsidRPr="00252749">
        <w:t xml:space="preserve">to manage PAH and </w:t>
      </w:r>
      <w:r w:rsidR="007F5708" w:rsidRPr="00252749">
        <w:t xml:space="preserve">associated </w:t>
      </w:r>
      <w:r w:rsidR="008E3E65" w:rsidRPr="00252749">
        <w:t xml:space="preserve">symptoms, </w:t>
      </w:r>
      <w:r w:rsidR="00B66E09" w:rsidRPr="00252749">
        <w:t xml:space="preserve">and unlike targeted PAH medicines, </w:t>
      </w:r>
      <w:r w:rsidR="007F5708" w:rsidRPr="00252749">
        <w:t xml:space="preserve">have broader uses and are not TGA approved/PBS-listed specifically </w:t>
      </w:r>
      <w:r w:rsidRPr="00252749">
        <w:t xml:space="preserve">for </w:t>
      </w:r>
      <w:r w:rsidR="007F5708" w:rsidRPr="00252749">
        <w:t>treatment of PAH.</w:t>
      </w:r>
    </w:p>
    <w:p w:rsidR="006C589F" w:rsidRPr="00252749" w:rsidRDefault="006C589F" w:rsidP="00121658">
      <w:pPr>
        <w:pStyle w:val="BodyTextnospacebefore"/>
      </w:pPr>
      <w:r w:rsidRPr="00252749">
        <w:t xml:space="preserve">Calcium channel blockers (CCBs) such as diltiazem, or </w:t>
      </w:r>
      <w:proofErr w:type="spellStart"/>
      <w:r w:rsidRPr="00252749">
        <w:t>dihydropyridine</w:t>
      </w:r>
      <w:proofErr w:type="spellEnd"/>
      <w:r w:rsidRPr="00252749">
        <w:t xml:space="preserve"> derivatives (mainly </w:t>
      </w:r>
      <w:proofErr w:type="spellStart"/>
      <w:r w:rsidRPr="00252749">
        <w:t>nifedipine</w:t>
      </w:r>
      <w:proofErr w:type="spellEnd"/>
      <w:r w:rsidRPr="00252749">
        <w:t xml:space="preserve">), were in common use for PAH before </w:t>
      </w:r>
      <w:r w:rsidR="004B312F" w:rsidRPr="00252749">
        <w:t xml:space="preserve">targeted </w:t>
      </w:r>
      <w:r w:rsidRPr="00252749">
        <w:t>PAH medicines became available (see for example the 2004 PAH European guideline</w:t>
      </w:r>
      <w:r w:rsidR="009C556B" w:rsidRPr="00001BDA">
        <w:rPr>
          <w:noProof/>
          <w:vertAlign w:val="superscript"/>
        </w:rPr>
        <w:t>10</w:t>
      </w:r>
      <w:r w:rsidRPr="00252749">
        <w:t>) and continue to be indicated as vasodilators for a small sub-set of PAH patients.</w:t>
      </w:r>
    </w:p>
    <w:p w:rsidR="004B312F" w:rsidRDefault="004B312F" w:rsidP="00121658">
      <w:pPr>
        <w:pStyle w:val="Heading4"/>
      </w:pPr>
      <w:r>
        <w:t>B.4.4.2</w:t>
      </w:r>
      <w:r w:rsidR="009101A0">
        <w:t xml:space="preserve"> </w:t>
      </w:r>
      <w:r w:rsidR="00502F2A">
        <w:t xml:space="preserve">Targeted </w:t>
      </w:r>
      <w:r>
        <w:t>PAH</w:t>
      </w:r>
      <w:r w:rsidR="00502F2A">
        <w:t xml:space="preserve"> medicines</w:t>
      </w:r>
    </w:p>
    <w:p w:rsidR="006C589F" w:rsidRPr="007F5708" w:rsidRDefault="006C589F" w:rsidP="00121658">
      <w:pPr>
        <w:pStyle w:val="BodyTextnospacebefore"/>
      </w:pPr>
      <w:r w:rsidRPr="007F5708">
        <w:t xml:space="preserve">Targeted PAH medicines </w:t>
      </w:r>
      <w:r w:rsidR="00135335" w:rsidRPr="007F5708">
        <w:rPr>
          <w:rFonts w:cstheme="minorHAnsi"/>
        </w:rPr>
        <w:t xml:space="preserve">(PAH agents, PAH therapies) </w:t>
      </w:r>
      <w:r w:rsidRPr="007F5708">
        <w:t>belong to four therapeutic</w:t>
      </w:r>
      <w:r w:rsidR="00502F2A" w:rsidRPr="007F5708">
        <w:t xml:space="preserve"> </w:t>
      </w:r>
      <w:r w:rsidRPr="007F5708">
        <w:t>classes based on the medicine’s mode of action:</w:t>
      </w:r>
    </w:p>
    <w:p w:rsidR="006C589F" w:rsidRPr="007F5708" w:rsidRDefault="006C589F" w:rsidP="00121658">
      <w:pPr>
        <w:pStyle w:val="Heading5"/>
        <w:numPr>
          <w:ilvl w:val="4"/>
          <w:numId w:val="0"/>
        </w:numPr>
        <w:jc w:val="left"/>
        <w:rPr>
          <w:rFonts w:asciiTheme="minorHAnsi" w:hAnsiTheme="minorHAnsi"/>
        </w:rPr>
      </w:pPr>
      <w:r w:rsidRPr="007F5708">
        <w:rPr>
          <w:rFonts w:asciiTheme="minorHAnsi" w:hAnsiTheme="minorHAnsi"/>
        </w:rPr>
        <w:t>Endothelin Receptor Antagonists</w:t>
      </w:r>
    </w:p>
    <w:p w:rsidR="00124A0B" w:rsidRDefault="006C589F" w:rsidP="00121658">
      <w:pPr>
        <w:pStyle w:val="BodyTextnospacebefore"/>
      </w:pPr>
      <w:r w:rsidRPr="007F5708" w:rsidDel="009101A0">
        <w:t xml:space="preserve">Bosentan, macitentan and ambrisentan are endothelin receptor antagonists (ERAs). An </w:t>
      </w:r>
      <w:r w:rsidRPr="007F5708">
        <w:t>ERA reverses the effect of endothelin, a substance in the walls of blood vessels that causes them to narrow.</w:t>
      </w:r>
      <w:r w:rsidR="009101A0" w:rsidRPr="007F5708">
        <w:t xml:space="preserve"> </w:t>
      </w:r>
      <w:r w:rsidRPr="007F5708">
        <w:t>Bosentan was one of the first PAH-specific medicines on the market in both Australia and overseas,</w:t>
      </w:r>
      <w:r w:rsidR="009101A0" w:rsidRPr="007F5708">
        <w:t xml:space="preserve"> </w:t>
      </w:r>
      <w:r w:rsidRPr="007F5708">
        <w:t xml:space="preserve">and also the first PAH medicine available as a </w:t>
      </w:r>
      <w:r w:rsidRPr="00252749">
        <w:t>tablet. Another ERA, sitaxentan (</w:t>
      </w:r>
      <w:proofErr w:type="spellStart"/>
      <w:r w:rsidRPr="00252749">
        <w:t>Thelin</w:t>
      </w:r>
      <w:proofErr w:type="spellEnd"/>
      <w:r w:rsidR="00252749" w:rsidRPr="00252749">
        <w:t>®</w:t>
      </w:r>
      <w:r w:rsidRPr="00252749">
        <w:t>)</w:t>
      </w:r>
      <w:r w:rsidR="009101A0" w:rsidRPr="00252749">
        <w:t>,</w:t>
      </w:r>
      <w:r w:rsidRPr="00252749">
        <w:t xml:space="preserve"> was withdrawn globally by Pfizer in 2010 due to reported cases of acute liver failure</w:t>
      </w:r>
      <w:r w:rsidR="009C556B" w:rsidRPr="009C556B">
        <w:rPr>
          <w:noProof/>
          <w:vertAlign w:val="superscript"/>
        </w:rPr>
        <w:t>11</w:t>
      </w:r>
      <w:r w:rsidR="00124A0B" w:rsidRPr="00252749">
        <w:t>.</w:t>
      </w:r>
    </w:p>
    <w:p w:rsidR="006C589F" w:rsidRPr="007F5708" w:rsidRDefault="006C589F" w:rsidP="00121658">
      <w:pPr>
        <w:pStyle w:val="Heading5"/>
        <w:numPr>
          <w:ilvl w:val="4"/>
          <w:numId w:val="0"/>
        </w:numPr>
        <w:jc w:val="left"/>
        <w:rPr>
          <w:rFonts w:asciiTheme="minorHAnsi" w:hAnsiTheme="minorHAnsi"/>
        </w:rPr>
      </w:pPr>
      <w:r w:rsidRPr="007F5708">
        <w:rPr>
          <w:rFonts w:asciiTheme="minorHAnsi" w:hAnsiTheme="minorHAnsi"/>
        </w:rPr>
        <w:t>Phosphodiesterase type 5 inhibitors</w:t>
      </w:r>
    </w:p>
    <w:p w:rsidR="006C589F" w:rsidRPr="00252749" w:rsidRDefault="006C589F" w:rsidP="00121658">
      <w:pPr>
        <w:pStyle w:val="BodyTextnospacebefore"/>
      </w:pPr>
      <w:r w:rsidRPr="00252749">
        <w:t>Sildenafil and tadalafil are phosphodiesterase type 5 (PDE</w:t>
      </w:r>
      <w:r w:rsidRPr="00252749">
        <w:noBreakHyphen/>
        <w:t>5) inhibitors</w:t>
      </w:r>
      <w:r w:rsidR="00252749" w:rsidRPr="00252749">
        <w:t xml:space="preserve">. </w:t>
      </w:r>
      <w:r w:rsidRPr="00252749" w:rsidDel="009101A0">
        <w:t>A PDE</w:t>
      </w:r>
      <w:r w:rsidR="004575B0" w:rsidRPr="00252749">
        <w:t>-</w:t>
      </w:r>
      <w:r w:rsidRPr="00252749" w:rsidDel="009101A0">
        <w:t xml:space="preserve">5 inhibitor works by opening the blood vessels in the lungs to allow blood to flow through more easily. </w:t>
      </w:r>
      <w:proofErr w:type="gramStart"/>
      <w:r w:rsidRPr="00252749">
        <w:t>The advent of PDE</w:t>
      </w:r>
      <w:r w:rsidRPr="00252749">
        <w:noBreakHyphen/>
        <w:t>5 inhibitors for PAH treatment introduced a second class of oral agents in addition to ERAs</w:t>
      </w:r>
      <w:r w:rsidR="00252749">
        <w:t>,</w:t>
      </w:r>
      <w:r w:rsidRPr="00252749">
        <w:t xml:space="preserve"> but with comparatively fewer toxicity issues.</w:t>
      </w:r>
      <w:proofErr w:type="gramEnd"/>
      <w:r w:rsidRPr="00252749">
        <w:t xml:space="preserve"> Sildenafil and tadalafil are marketed as brands specific for PAH (</w:t>
      </w:r>
      <w:proofErr w:type="spellStart"/>
      <w:r w:rsidRPr="00252749">
        <w:t>Revatio</w:t>
      </w:r>
      <w:r w:rsidR="00252749" w:rsidRPr="00252749">
        <w:t>®</w:t>
      </w:r>
      <w:r w:rsidRPr="00252749">
        <w:t>and</w:t>
      </w:r>
      <w:proofErr w:type="spellEnd"/>
      <w:r w:rsidRPr="00252749">
        <w:t xml:space="preserve"> </w:t>
      </w:r>
      <w:proofErr w:type="spellStart"/>
      <w:r w:rsidRPr="00252749">
        <w:t>Adcirca</w:t>
      </w:r>
      <w:proofErr w:type="spellEnd"/>
      <w:r w:rsidR="00252749" w:rsidRPr="00252749">
        <w:t>®</w:t>
      </w:r>
      <w:r w:rsidRPr="00252749">
        <w:t xml:space="preserve">, respectively) to distinguish </w:t>
      </w:r>
      <w:r w:rsidR="00AD580C" w:rsidRPr="00252749">
        <w:t xml:space="preserve">them </w:t>
      </w:r>
      <w:r w:rsidRPr="00252749">
        <w:t>from those registered for erectile dysfunction (Viagra</w:t>
      </w:r>
      <w:r w:rsidR="00252749" w:rsidRPr="00252749">
        <w:t>®</w:t>
      </w:r>
      <w:r w:rsidRPr="00252749">
        <w:t xml:space="preserve"> and Cialis</w:t>
      </w:r>
      <w:r w:rsidR="00252749" w:rsidRPr="00252749">
        <w:t>®</w:t>
      </w:r>
      <w:r w:rsidRPr="00252749">
        <w:t xml:space="preserve">). The strengths and pack sizes are different for </w:t>
      </w:r>
      <w:proofErr w:type="spellStart"/>
      <w:r w:rsidRPr="00252749">
        <w:t>Revatio</w:t>
      </w:r>
      <w:proofErr w:type="spellEnd"/>
      <w:r w:rsidR="00252749" w:rsidRPr="00252749">
        <w:t>®</w:t>
      </w:r>
      <w:r w:rsidRPr="00252749">
        <w:t xml:space="preserve"> and </w:t>
      </w:r>
      <w:proofErr w:type="spellStart"/>
      <w:r w:rsidRPr="00252749">
        <w:t>Adcirca</w:t>
      </w:r>
      <w:proofErr w:type="spellEnd"/>
      <w:r w:rsidR="00252749" w:rsidRPr="00252749">
        <w:t>®</w:t>
      </w:r>
      <w:r w:rsidRPr="00252749">
        <w:t xml:space="preserve"> compared to </w:t>
      </w:r>
      <w:proofErr w:type="spellStart"/>
      <w:r w:rsidRPr="00252749">
        <w:t>Viagra</w:t>
      </w:r>
      <w:r w:rsidR="00252749" w:rsidRPr="00252749">
        <w:t>®</w:t>
      </w:r>
      <w:r w:rsidRPr="00252749">
        <w:t>and</w:t>
      </w:r>
      <w:proofErr w:type="spellEnd"/>
      <w:r w:rsidRPr="00252749">
        <w:t xml:space="preserve"> Cialis</w:t>
      </w:r>
      <w:r w:rsidR="00252749" w:rsidRPr="00252749">
        <w:t>®</w:t>
      </w:r>
      <w:r w:rsidRPr="00252749">
        <w:t>. The same separation of brands and indications also applies to the generic versions registered for each molecule. An injectable form of sildenafil is registered in Australia for use in PAH patients but is not PBS-listed.</w:t>
      </w:r>
    </w:p>
    <w:p w:rsidR="006C589F" w:rsidRPr="007F5708" w:rsidRDefault="006C589F" w:rsidP="00121658">
      <w:pPr>
        <w:pStyle w:val="Heading5"/>
        <w:numPr>
          <w:ilvl w:val="4"/>
          <w:numId w:val="0"/>
        </w:numPr>
        <w:jc w:val="left"/>
        <w:rPr>
          <w:rFonts w:asciiTheme="minorHAnsi" w:hAnsiTheme="minorHAnsi"/>
        </w:rPr>
      </w:pPr>
      <w:r w:rsidRPr="007F5708">
        <w:rPr>
          <w:rFonts w:asciiTheme="minorHAnsi" w:hAnsiTheme="minorHAnsi"/>
        </w:rPr>
        <w:t>Prostanoids</w:t>
      </w:r>
    </w:p>
    <w:p w:rsidR="006C589F" w:rsidRPr="00252749" w:rsidRDefault="006C589F" w:rsidP="00121658">
      <w:pPr>
        <w:pStyle w:val="BodyTextnospacebefore"/>
      </w:pPr>
      <w:r w:rsidRPr="00252749">
        <w:t xml:space="preserve">Iloprost and epoprostenol are prostacyclin analogues (or prostanoids). </w:t>
      </w:r>
      <w:r w:rsidRPr="00252749" w:rsidDel="009101A0">
        <w:t xml:space="preserve">A prostacyclin analogue exerts its effects by promoting direct arterial vasodilation and inhibiting platelet aggregation. </w:t>
      </w:r>
      <w:r w:rsidRPr="00252749">
        <w:t>The prostanoids epoprostenol and iloprost are short-acting which necessitates frequent or continuous administration via infusion and nebu</w:t>
      </w:r>
      <w:r w:rsidR="00BB0922">
        <w:t>lisation respectively.</w:t>
      </w:r>
    </w:p>
    <w:p w:rsidR="00AD580C" w:rsidRPr="00252749" w:rsidRDefault="006C589F" w:rsidP="00121658">
      <w:pPr>
        <w:pStyle w:val="BodyTextnospacebefore"/>
      </w:pPr>
      <w:r w:rsidRPr="00252749">
        <w:t>These features of delivery are considered inconvenient by prescribers and patients, which has reportedly limited use of epoprostenol and iloprost in Australia</w:t>
      </w:r>
      <w:r w:rsidR="009C556B" w:rsidRPr="009C556B">
        <w:rPr>
          <w:noProof/>
          <w:vertAlign w:val="superscript"/>
        </w:rPr>
        <w:t>12-14</w:t>
      </w:r>
      <w:r w:rsidRPr="00252749">
        <w:t xml:space="preserve">, and of prostacyclins </w:t>
      </w:r>
      <w:r w:rsidR="009101A0" w:rsidRPr="00252749">
        <w:t xml:space="preserve">available </w:t>
      </w:r>
      <w:r w:rsidRPr="00252749">
        <w:t>overseas</w:t>
      </w:r>
      <w:r w:rsidR="009C556B">
        <w:rPr>
          <w:noProof/>
          <w:vertAlign w:val="superscript"/>
        </w:rPr>
        <w:t>15</w:t>
      </w:r>
      <w:r w:rsidR="00BB4FAE" w:rsidRPr="00252749">
        <w:t>.</w:t>
      </w:r>
      <w:r w:rsidR="009101A0" w:rsidRPr="00252749">
        <w:t xml:space="preserve"> </w:t>
      </w:r>
      <w:r w:rsidR="00BB4FAE" w:rsidRPr="00252749">
        <w:t>T</w:t>
      </w:r>
      <w:r w:rsidRPr="00252749">
        <w:t>reprostinil was recommended for PBS listing by the PBAC in November 2005, but was never listed and was withdrawn from</w:t>
      </w:r>
      <w:r w:rsidR="00BB0922">
        <w:t xml:space="preserve"> the Australian market in 2016.</w:t>
      </w:r>
    </w:p>
    <w:p w:rsidR="006C589F" w:rsidRPr="00252749" w:rsidRDefault="006C589F" w:rsidP="00121658">
      <w:pPr>
        <w:pStyle w:val="BodyTextnospacebefore"/>
      </w:pPr>
      <w:r w:rsidRPr="00751282">
        <w:t>Selexipag</w:t>
      </w:r>
      <w:r w:rsidR="00AD580C" w:rsidRPr="00751282">
        <w:t>, which is currently not listed on the PBS,</w:t>
      </w:r>
      <w:r w:rsidRPr="00751282">
        <w:t xml:space="preserve"> acts on the same pathway as the prostanoids but is a non-prostanoid</w:t>
      </w:r>
      <w:r w:rsidR="00BB0922" w:rsidRPr="00751282">
        <w:t xml:space="preserve"> prostacyclin receptor agonist.</w:t>
      </w:r>
      <w:r w:rsidR="00DE3ABD" w:rsidRPr="00751282">
        <w:t xml:space="preserve"> </w:t>
      </w:r>
      <w:r w:rsidR="004D652A" w:rsidRPr="00751282">
        <w:t xml:space="preserve">The PBAC </w:t>
      </w:r>
      <w:r w:rsidR="00FB3840" w:rsidRPr="00751282">
        <w:t>rejected</w:t>
      </w:r>
      <w:r w:rsidR="004D652A" w:rsidRPr="00751282">
        <w:t xml:space="preserve"> </w:t>
      </w:r>
      <w:r w:rsidR="00BF1C38" w:rsidRPr="00751282">
        <w:t>submissions</w:t>
      </w:r>
      <w:r w:rsidR="004D652A" w:rsidRPr="00751282">
        <w:t xml:space="preserve"> for PBS listing of selexipag in March 2016 and in March 2017.</w:t>
      </w:r>
    </w:p>
    <w:p w:rsidR="008E3E65" w:rsidRPr="00252749" w:rsidRDefault="006C589F" w:rsidP="00121658">
      <w:pPr>
        <w:pStyle w:val="Heading5"/>
        <w:numPr>
          <w:ilvl w:val="4"/>
          <w:numId w:val="0"/>
        </w:numPr>
        <w:jc w:val="left"/>
        <w:rPr>
          <w:rFonts w:asciiTheme="minorHAnsi" w:hAnsiTheme="minorHAnsi"/>
        </w:rPr>
      </w:pPr>
      <w:r w:rsidRPr="00252749">
        <w:rPr>
          <w:rFonts w:asciiTheme="minorHAnsi" w:hAnsiTheme="minorHAnsi"/>
        </w:rPr>
        <w:t>Guanylate cyclase stimulator</w:t>
      </w:r>
    </w:p>
    <w:p w:rsidR="008E3E65" w:rsidRPr="007F5708" w:rsidRDefault="008E3E65" w:rsidP="00121658">
      <w:pPr>
        <w:pStyle w:val="BodyTextnospacebefore"/>
      </w:pPr>
      <w:r w:rsidRPr="007F5708">
        <w:t>Riociguat is</w:t>
      </w:r>
      <w:r w:rsidRPr="007F5708">
        <w:rPr>
          <w:rFonts w:cstheme="minorHAnsi"/>
        </w:rPr>
        <w:t xml:space="preserve"> a s</w:t>
      </w:r>
      <w:r w:rsidRPr="007F5708">
        <w:t xml:space="preserve">oluble guanylate cyclase (sGC) stimulator. A sGC stimulator </w:t>
      </w:r>
      <w:r w:rsidR="00BF1C38">
        <w:t xml:space="preserve">increases the activity of guanylate cyclase, which </w:t>
      </w:r>
      <w:r w:rsidRPr="007F5708">
        <w:t xml:space="preserve">interacts with nitric oxide </w:t>
      </w:r>
      <w:r w:rsidR="00BF1C38">
        <w:t xml:space="preserve">in the lungs and other parts of the body and leads to an increased production </w:t>
      </w:r>
      <w:r w:rsidR="00FB3840">
        <w:t xml:space="preserve">of </w:t>
      </w:r>
      <w:r w:rsidR="00BF1C38">
        <w:t>cyclic guanosine monophosphate. This</w:t>
      </w:r>
      <w:r w:rsidRPr="007F5708">
        <w:t xml:space="preserve"> help</w:t>
      </w:r>
      <w:r w:rsidR="0067706D">
        <w:t>s</w:t>
      </w:r>
      <w:r w:rsidRPr="007F5708">
        <w:t xml:space="preserve"> </w:t>
      </w:r>
      <w:r w:rsidR="00BF1C38">
        <w:t xml:space="preserve">to </w:t>
      </w:r>
      <w:r w:rsidRPr="007F5708">
        <w:t>relax the pulmonary arteries and lower the pressure within the arteries.</w:t>
      </w:r>
      <w:r w:rsidRPr="007F5708">
        <w:rPr>
          <w:rFonts w:cstheme="minorHAnsi"/>
        </w:rPr>
        <w:t xml:space="preserve"> Riociguat is the most recently listed medicine for PAH on the PBS.</w:t>
      </w:r>
    </w:p>
    <w:p w:rsidR="00AD5787" w:rsidRPr="00252749" w:rsidRDefault="001E7149" w:rsidP="00121658">
      <w:pPr>
        <w:pStyle w:val="Heading4"/>
      </w:pPr>
      <w:r w:rsidRPr="00252749">
        <w:t xml:space="preserve">B.4.4.3 </w:t>
      </w:r>
      <w:r w:rsidR="00AD5787" w:rsidRPr="00252749">
        <w:t>PAH medicines registered for use in Australia</w:t>
      </w:r>
    </w:p>
    <w:p w:rsidR="00D5183F" w:rsidRPr="00B66E09" w:rsidRDefault="00E7158A" w:rsidP="00121658">
      <w:pPr>
        <w:pStyle w:val="BodyTextnospacebefore"/>
      </w:pPr>
      <w:r w:rsidRPr="00B66E09">
        <w:t xml:space="preserve">The </w:t>
      </w:r>
      <w:r w:rsidR="0004089D" w:rsidRPr="00B66E09">
        <w:t xml:space="preserve">PAH medicines </w:t>
      </w:r>
      <w:r w:rsidR="00AF5F91" w:rsidRPr="00B66E09">
        <w:t>currently</w:t>
      </w:r>
      <w:r w:rsidR="00462974" w:rsidRPr="00B66E09">
        <w:t xml:space="preserve"> </w:t>
      </w:r>
      <w:r w:rsidR="0004089D" w:rsidRPr="00B66E09">
        <w:t xml:space="preserve">approved </w:t>
      </w:r>
      <w:r w:rsidR="00AF5F91" w:rsidRPr="00B66E09">
        <w:t xml:space="preserve">for use </w:t>
      </w:r>
      <w:r w:rsidR="0004089D" w:rsidRPr="00B66E09">
        <w:t xml:space="preserve">in Australia are listed </w:t>
      </w:r>
      <w:r w:rsidR="0004089D" w:rsidRPr="00252749">
        <w:t>in</w:t>
      </w:r>
      <w:r w:rsidR="004510EE" w:rsidRPr="00252749">
        <w:t xml:space="preserve"> </w:t>
      </w:r>
      <w:r w:rsidR="00D63371">
        <w:t>Table B.</w:t>
      </w:r>
      <w:r w:rsidR="00D63371">
        <w:rPr>
          <w:noProof/>
        </w:rPr>
        <w:t>3</w:t>
      </w:r>
      <w:r w:rsidR="00AD580C" w:rsidRPr="00252749" w:rsidDel="00AD580C">
        <w:t xml:space="preserve"> </w:t>
      </w:r>
      <w:r w:rsidR="00A52827" w:rsidRPr="00252749">
        <w:t>(g</w:t>
      </w:r>
      <w:r w:rsidR="00A52827" w:rsidRPr="00B66E09">
        <w:t xml:space="preserve">rouped by therapeutic class). </w:t>
      </w:r>
      <w:r w:rsidR="00AF5F91" w:rsidRPr="00B66E09">
        <w:t>With the exception of the prostanoids (epoprostenol and iloprost), t</w:t>
      </w:r>
      <w:r w:rsidR="005C51EE" w:rsidRPr="00B66E09">
        <w:t>he</w:t>
      </w:r>
      <w:r w:rsidR="00D226C6" w:rsidRPr="00B66E09">
        <w:t>se</w:t>
      </w:r>
      <w:r w:rsidR="005C51EE" w:rsidRPr="00B66E09">
        <w:t xml:space="preserve"> medicines </w:t>
      </w:r>
      <w:r w:rsidR="0004089D" w:rsidRPr="00B66E09">
        <w:t xml:space="preserve">are oral dosage forms (tablets). </w:t>
      </w:r>
      <w:r w:rsidR="00AD580C" w:rsidRPr="00B66E09">
        <w:t>Any r</w:t>
      </w:r>
      <w:r w:rsidR="000E7B29" w:rsidRPr="00B66E09">
        <w:t xml:space="preserve">eference to </w:t>
      </w:r>
      <w:r w:rsidR="00D5183F" w:rsidRPr="00B66E09">
        <w:t>‘oral PAH medicines’</w:t>
      </w:r>
      <w:r w:rsidR="000E7B29" w:rsidRPr="00B66E09">
        <w:t xml:space="preserve"> in this report does not include</w:t>
      </w:r>
      <w:r w:rsidR="00D5183F" w:rsidRPr="00B66E09">
        <w:t xml:space="preserve"> the oral </w:t>
      </w:r>
      <w:r w:rsidR="00252749">
        <w:t>prostanoids available overseas.</w:t>
      </w:r>
    </w:p>
    <w:p w:rsidR="00A52827" w:rsidRPr="00252749" w:rsidRDefault="006A1196" w:rsidP="00121658">
      <w:pPr>
        <w:pStyle w:val="BodyTextnospacebefore"/>
      </w:pPr>
      <w:r w:rsidRPr="00252749">
        <w:t>Further d</w:t>
      </w:r>
      <w:r w:rsidR="00A52827" w:rsidRPr="00252749">
        <w:t xml:space="preserve">etails of registered brands, sponsors and Australian Register of Therapeutic Goods (ARTG) registration dates for PAH medicines are listed in </w:t>
      </w:r>
      <w:r w:rsidR="00D63371">
        <w:t>Appendix 1.</w:t>
      </w:r>
      <w:r w:rsidR="00A52827" w:rsidRPr="00123B2E">
        <w:t xml:space="preserve"> (</w:t>
      </w:r>
      <w:r w:rsidR="00D63371" w:rsidRPr="00F319D3">
        <w:t>Table B.</w:t>
      </w:r>
      <w:r w:rsidR="00D63371">
        <w:t>7</w:t>
      </w:r>
      <w:r w:rsidR="00A52827" w:rsidRPr="00123B2E">
        <w:t>). The</w:t>
      </w:r>
      <w:r w:rsidR="00A52827" w:rsidRPr="00252749">
        <w:t xml:space="preserve"> </w:t>
      </w:r>
      <w:r w:rsidRPr="00252749">
        <w:t xml:space="preserve">TGA registered indications extracted from the </w:t>
      </w:r>
      <w:r w:rsidR="00AD580C" w:rsidRPr="00252749">
        <w:t>P</w:t>
      </w:r>
      <w:r w:rsidRPr="00252749">
        <w:t xml:space="preserve">roduct </w:t>
      </w:r>
      <w:r w:rsidR="00AD580C" w:rsidRPr="00252749">
        <w:t>I</w:t>
      </w:r>
      <w:r w:rsidRPr="00252749">
        <w:t xml:space="preserve">nformation </w:t>
      </w:r>
      <w:r w:rsidR="00AD580C" w:rsidRPr="00252749">
        <w:t xml:space="preserve">(PI) </w:t>
      </w:r>
      <w:r w:rsidRPr="00252749">
        <w:t xml:space="preserve">for </w:t>
      </w:r>
      <w:r w:rsidR="00A52827" w:rsidRPr="00252749">
        <w:t xml:space="preserve">PAH </w:t>
      </w:r>
      <w:r w:rsidRPr="00252749">
        <w:t xml:space="preserve">medicines </w:t>
      </w:r>
      <w:r w:rsidR="00A52827" w:rsidRPr="00252749">
        <w:t xml:space="preserve">are </w:t>
      </w:r>
      <w:r w:rsidR="00A52827" w:rsidRPr="00123B2E">
        <w:t>presented in</w:t>
      </w:r>
      <w:r w:rsidR="007F0E02">
        <w:t xml:space="preserve"> Table 1.14</w:t>
      </w:r>
      <w:r w:rsidR="00A52827" w:rsidRPr="00123B2E">
        <w:t>.</w:t>
      </w:r>
    </w:p>
    <w:p w:rsidR="00A52827" w:rsidRPr="00B66E09" w:rsidRDefault="002223F1" w:rsidP="00121658">
      <w:pPr>
        <w:pStyle w:val="BodyTextnospacebefore"/>
      </w:pPr>
      <w:r w:rsidRPr="00B66E09">
        <w:t>In addition</w:t>
      </w:r>
      <w:r w:rsidR="00600DE1" w:rsidRPr="00B66E09">
        <w:t xml:space="preserve"> to PBS listed PAH medicines</w:t>
      </w:r>
      <w:r w:rsidRPr="00B66E09">
        <w:t>,</w:t>
      </w:r>
      <w:r w:rsidR="00A52827" w:rsidRPr="00B66E09">
        <w:t xml:space="preserve"> information is included where relevant for treprostinil (previously recommended by the PBAC but never listed) and selexipag (recently consider</w:t>
      </w:r>
      <w:r w:rsidR="0012341F">
        <w:t>ed by PBAC but twice rejected).</w:t>
      </w:r>
    </w:p>
    <w:p w:rsidR="00A52827" w:rsidRPr="00697F84" w:rsidRDefault="00A52827" w:rsidP="00121658">
      <w:pPr>
        <w:pStyle w:val="BodyTextnospacebefore"/>
        <w:sectPr w:rsidR="00A52827" w:rsidRPr="00697F84" w:rsidSect="00C8363D">
          <w:headerReference w:type="even" r:id="rId15"/>
          <w:headerReference w:type="default" r:id="rId16"/>
          <w:footerReference w:type="default" r:id="rId17"/>
          <w:headerReference w:type="first" r:id="rId18"/>
          <w:footnotePr>
            <w:numFmt w:val="chicago"/>
          </w:footnotePr>
          <w:pgSz w:w="11906" w:h="16838"/>
          <w:pgMar w:top="1134" w:right="1134" w:bottom="1134" w:left="1134" w:header="709" w:footer="709" w:gutter="0"/>
          <w:pgNumType w:start="1"/>
          <w:cols w:space="708"/>
          <w:docGrid w:linePitch="360"/>
        </w:sectPr>
      </w:pPr>
    </w:p>
    <w:bookmarkEnd w:id="37"/>
    <w:bookmarkEnd w:id="38"/>
    <w:p w:rsidR="00EC7581" w:rsidRPr="00EC7581" w:rsidRDefault="00EC7581" w:rsidP="00121658">
      <w:pPr>
        <w:pStyle w:val="BodyText"/>
        <w:jc w:val="left"/>
        <w:rPr>
          <w:sz w:val="4"/>
        </w:rPr>
      </w:pPr>
    </w:p>
    <w:p w:rsidR="00CA30EE" w:rsidRDefault="00CA30EE" w:rsidP="00D14982">
      <w:pPr>
        <w:pStyle w:val="ToR1TableHeader"/>
      </w:pPr>
      <w:bookmarkStart w:id="45" w:name="_Ref510019558"/>
      <w:bookmarkStart w:id="46" w:name="_Toc513107620"/>
      <w:r>
        <w:t>Table B.</w:t>
      </w:r>
      <w:r w:rsidR="00D63371">
        <w:rPr>
          <w:noProof/>
        </w:rPr>
        <w:t>3</w:t>
      </w:r>
      <w:bookmarkEnd w:id="45"/>
      <w:r>
        <w:tab/>
      </w:r>
      <w:r w:rsidRPr="00252749">
        <w:t>PAH medicines TGA registered in Australia</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4A0" w:firstRow="1" w:lastRow="0" w:firstColumn="1" w:lastColumn="0" w:noHBand="0" w:noVBand="1"/>
        <w:tblCaption w:val="PAH medicines registered in Australia "/>
      </w:tblPr>
      <w:tblGrid>
        <w:gridCol w:w="1352"/>
        <w:gridCol w:w="1340"/>
        <w:gridCol w:w="1038"/>
        <w:gridCol w:w="2422"/>
        <w:gridCol w:w="4923"/>
        <w:gridCol w:w="1907"/>
        <w:gridCol w:w="1644"/>
      </w:tblGrid>
      <w:tr w:rsidR="003622EF" w:rsidRPr="00252749" w:rsidTr="00CD6C47">
        <w:trPr>
          <w:tblHeader/>
        </w:trPr>
        <w:tc>
          <w:tcPr>
            <w:tcW w:w="462" w:type="pct"/>
            <w:tcBorders>
              <w:bottom w:val="single" w:sz="4" w:space="0" w:color="auto"/>
            </w:tcBorders>
            <w:shd w:val="clear" w:color="auto" w:fill="BFBFBF"/>
            <w:vAlign w:val="center"/>
          </w:tcPr>
          <w:p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Non-proprietary Name</w:t>
            </w:r>
          </w:p>
        </w:tc>
        <w:tc>
          <w:tcPr>
            <w:tcW w:w="458" w:type="pct"/>
            <w:tcBorders>
              <w:bottom w:val="single" w:sz="4" w:space="0" w:color="auto"/>
            </w:tcBorders>
            <w:shd w:val="clear" w:color="auto" w:fill="BFBFBF"/>
            <w:vAlign w:val="center"/>
          </w:tcPr>
          <w:p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Therapeutic class</w:t>
            </w:r>
          </w:p>
        </w:tc>
        <w:tc>
          <w:tcPr>
            <w:tcW w:w="355" w:type="pct"/>
            <w:tcBorders>
              <w:bottom w:val="single" w:sz="4" w:space="0" w:color="auto"/>
            </w:tcBorders>
            <w:shd w:val="clear" w:color="auto" w:fill="BFBFBF"/>
            <w:vAlign w:val="center"/>
          </w:tcPr>
          <w:p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ATC</w:t>
            </w:r>
          </w:p>
        </w:tc>
        <w:tc>
          <w:tcPr>
            <w:tcW w:w="828" w:type="pct"/>
            <w:tcBorders>
              <w:bottom w:val="single" w:sz="4" w:space="0" w:color="auto"/>
            </w:tcBorders>
            <w:shd w:val="clear" w:color="auto" w:fill="BFBFBF"/>
            <w:vAlign w:val="center"/>
          </w:tcPr>
          <w:p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Dosage Forms</w:t>
            </w:r>
          </w:p>
        </w:tc>
        <w:tc>
          <w:tcPr>
            <w:tcW w:w="1683" w:type="pct"/>
            <w:tcBorders>
              <w:bottom w:val="single" w:sz="4" w:space="0" w:color="auto"/>
            </w:tcBorders>
            <w:shd w:val="clear" w:color="auto" w:fill="BFBFBF"/>
            <w:vAlign w:val="center"/>
          </w:tcPr>
          <w:p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PI Recommended Dosage</w:t>
            </w:r>
          </w:p>
        </w:tc>
        <w:tc>
          <w:tcPr>
            <w:tcW w:w="652" w:type="pct"/>
            <w:tcBorders>
              <w:bottom w:val="single" w:sz="4" w:space="0" w:color="auto"/>
            </w:tcBorders>
            <w:shd w:val="clear" w:color="auto" w:fill="BFBFBF"/>
            <w:vAlign w:val="center"/>
          </w:tcPr>
          <w:p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Route of admin.</w:t>
            </w:r>
          </w:p>
        </w:tc>
        <w:tc>
          <w:tcPr>
            <w:tcW w:w="562" w:type="pct"/>
            <w:tcBorders>
              <w:bottom w:val="single" w:sz="4" w:space="0" w:color="auto"/>
            </w:tcBorders>
            <w:shd w:val="clear" w:color="auto" w:fill="BFBFBF"/>
            <w:vAlign w:val="center"/>
          </w:tcPr>
          <w:p w:rsidR="00EC7581" w:rsidRPr="00BF1C38" w:rsidRDefault="00EC7581" w:rsidP="00121658">
            <w:pPr>
              <w:pStyle w:val="02TableHEADINGcentred"/>
              <w:ind w:left="0"/>
              <w:jc w:val="left"/>
              <w:rPr>
                <w:rFonts w:ascii="Arial" w:hAnsi="Arial" w:cs="Arial"/>
                <w:sz w:val="20"/>
                <w:szCs w:val="20"/>
              </w:rPr>
            </w:pPr>
            <w:r w:rsidRPr="00BF1C38">
              <w:rPr>
                <w:rFonts w:ascii="Arial" w:hAnsi="Arial" w:cs="Arial"/>
                <w:sz w:val="20"/>
                <w:szCs w:val="20"/>
              </w:rPr>
              <w:t xml:space="preserve">ARTG </w:t>
            </w:r>
            <w:proofErr w:type="spellStart"/>
            <w:r w:rsidRPr="00BF1C38">
              <w:rPr>
                <w:rFonts w:ascii="Arial" w:hAnsi="Arial" w:cs="Arial"/>
                <w:sz w:val="20"/>
                <w:szCs w:val="20"/>
              </w:rPr>
              <w:t>Date</w:t>
            </w:r>
            <w:r w:rsidRPr="00BF1C38">
              <w:rPr>
                <w:rFonts w:ascii="Arial" w:hAnsi="Arial" w:cs="Arial"/>
                <w:sz w:val="20"/>
                <w:szCs w:val="20"/>
                <w:vertAlign w:val="superscript"/>
              </w:rPr>
              <w:t>a</w:t>
            </w:r>
            <w:proofErr w:type="spellEnd"/>
          </w:p>
        </w:tc>
      </w:tr>
      <w:tr w:rsidR="00CD6C47" w:rsidRPr="00CD6C47" w:rsidTr="00CD6C47">
        <w:tc>
          <w:tcPr>
            <w:tcW w:w="5000" w:type="pct"/>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D6C47" w:rsidRPr="00CD6C47" w:rsidRDefault="00CD6C47" w:rsidP="00121658">
            <w:pPr>
              <w:pStyle w:val="04Tablesubheading"/>
              <w:ind w:left="0"/>
              <w:rPr>
                <w:rFonts w:ascii="Arial" w:hAnsi="Arial" w:cs="Arial"/>
                <w:sz w:val="20"/>
                <w:szCs w:val="20"/>
              </w:rPr>
            </w:pPr>
            <w:r w:rsidRPr="00CD6C47">
              <w:rPr>
                <w:rFonts w:ascii="Arial" w:hAnsi="Arial" w:cs="Arial"/>
                <w:sz w:val="20"/>
                <w:szCs w:val="20"/>
              </w:rPr>
              <w:t>Endothelin receptor antagonists</w:t>
            </w:r>
          </w:p>
        </w:tc>
      </w:tr>
      <w:tr w:rsidR="003622EF" w:rsidRPr="00252749" w:rsidTr="00CD6C47">
        <w:tc>
          <w:tcPr>
            <w:tcW w:w="462" w:type="pct"/>
            <w:tcBorders>
              <w:top w:val="single" w:sz="4" w:space="0" w:color="auto"/>
            </w:tcBorders>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Bosentan</w:t>
            </w:r>
          </w:p>
        </w:tc>
        <w:tc>
          <w:tcPr>
            <w:tcW w:w="458" w:type="pct"/>
            <w:tcBorders>
              <w:top w:val="single" w:sz="4" w:space="0" w:color="auto"/>
            </w:tcBorders>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ERA</w:t>
            </w:r>
          </w:p>
        </w:tc>
        <w:tc>
          <w:tcPr>
            <w:tcW w:w="355" w:type="pct"/>
            <w:tcBorders>
              <w:top w:val="single" w:sz="4" w:space="0" w:color="auto"/>
            </w:tcBorders>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C02KX01</w:t>
            </w:r>
          </w:p>
        </w:tc>
        <w:tc>
          <w:tcPr>
            <w:tcW w:w="828" w:type="pct"/>
            <w:tcBorders>
              <w:top w:val="single" w:sz="4" w:space="0" w:color="auto"/>
            </w:tcBorders>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62.5, 125mg tablet</w:t>
            </w:r>
          </w:p>
        </w:tc>
        <w:tc>
          <w:tcPr>
            <w:tcW w:w="1683" w:type="pct"/>
            <w:tcBorders>
              <w:top w:val="single" w:sz="4" w:space="0" w:color="auto"/>
            </w:tcBorders>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Initial: 62.5 mg twice daily for 4 weeks</w:t>
            </w:r>
            <w:r w:rsidRPr="00BF1C38">
              <w:rPr>
                <w:rFonts w:ascii="Arial" w:hAnsi="Arial" w:cs="Arial"/>
                <w:sz w:val="20"/>
                <w:szCs w:val="20"/>
              </w:rPr>
              <w:br/>
              <w:t>Maintenance: 125 mg twice daily (dose adjustment for paediatric use)</w:t>
            </w:r>
          </w:p>
        </w:tc>
        <w:tc>
          <w:tcPr>
            <w:tcW w:w="652" w:type="pct"/>
            <w:tcBorders>
              <w:top w:val="single" w:sz="4" w:space="0" w:color="auto"/>
            </w:tcBorders>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Oral</w:t>
            </w:r>
          </w:p>
        </w:tc>
        <w:tc>
          <w:tcPr>
            <w:tcW w:w="562" w:type="pct"/>
            <w:tcBorders>
              <w:top w:val="single" w:sz="4" w:space="0" w:color="auto"/>
            </w:tcBorders>
            <w:shd w:val="clear" w:color="auto" w:fill="auto"/>
          </w:tcPr>
          <w:p w:rsidR="00EC7581" w:rsidRPr="00BF1C38" w:rsidRDefault="00EC7581" w:rsidP="00121658">
            <w:pPr>
              <w:pStyle w:val="05Tabletext"/>
              <w:spacing w:before="0"/>
              <w:ind w:left="0"/>
              <w:rPr>
                <w:rFonts w:ascii="Arial" w:hAnsi="Arial" w:cs="Arial"/>
                <w:sz w:val="20"/>
                <w:szCs w:val="20"/>
                <w:highlight w:val="yellow"/>
              </w:rPr>
            </w:pPr>
            <w:r w:rsidRPr="00BF1C38">
              <w:rPr>
                <w:rFonts w:ascii="Arial" w:hAnsi="Arial" w:cs="Arial"/>
                <w:sz w:val="20"/>
                <w:szCs w:val="20"/>
              </w:rPr>
              <w:t>20 November 2002</w:t>
            </w:r>
          </w:p>
        </w:tc>
      </w:tr>
      <w:tr w:rsidR="003622EF" w:rsidRPr="00252749" w:rsidTr="00CD6C47">
        <w:tc>
          <w:tcPr>
            <w:tcW w:w="462" w:type="pct"/>
            <w:shd w:val="clear" w:color="auto" w:fill="auto"/>
            <w:vAlign w:val="center"/>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Sitaxentan</w:t>
            </w:r>
          </w:p>
        </w:tc>
        <w:tc>
          <w:tcPr>
            <w:tcW w:w="458" w:type="pct"/>
            <w:shd w:val="clear" w:color="auto" w:fill="auto"/>
            <w:vAlign w:val="center"/>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ERA</w:t>
            </w:r>
          </w:p>
        </w:tc>
        <w:tc>
          <w:tcPr>
            <w:tcW w:w="355" w:type="pct"/>
            <w:shd w:val="clear" w:color="auto" w:fill="auto"/>
            <w:vAlign w:val="center"/>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C02KX03</w:t>
            </w:r>
          </w:p>
        </w:tc>
        <w:tc>
          <w:tcPr>
            <w:tcW w:w="828" w:type="pct"/>
            <w:shd w:val="clear" w:color="auto" w:fill="auto"/>
            <w:vAlign w:val="center"/>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100mg tablet</w:t>
            </w:r>
          </w:p>
        </w:tc>
        <w:tc>
          <w:tcPr>
            <w:tcW w:w="1683" w:type="pct"/>
            <w:shd w:val="clear" w:color="auto" w:fill="auto"/>
            <w:vAlign w:val="center"/>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 xml:space="preserve">No longer registered </w:t>
            </w:r>
            <w:r w:rsidRPr="00BF1C38">
              <w:rPr>
                <w:rFonts w:ascii="Arial" w:hAnsi="Arial" w:cs="Arial"/>
                <w:i/>
                <w:color w:val="808080" w:themeColor="background1" w:themeShade="80"/>
                <w:sz w:val="20"/>
                <w:szCs w:val="20"/>
              </w:rPr>
              <w:br/>
              <w:t>(100mg per day – from sitaxentan PSD)</w:t>
            </w:r>
          </w:p>
        </w:tc>
        <w:tc>
          <w:tcPr>
            <w:tcW w:w="652" w:type="pct"/>
            <w:shd w:val="clear" w:color="auto" w:fill="auto"/>
            <w:vAlign w:val="center"/>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Oral</w:t>
            </w:r>
          </w:p>
        </w:tc>
        <w:tc>
          <w:tcPr>
            <w:tcW w:w="562" w:type="pct"/>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i/>
                <w:color w:val="808080" w:themeColor="background1" w:themeShade="80"/>
                <w:sz w:val="20"/>
                <w:szCs w:val="20"/>
              </w:rPr>
              <w:t>15 March 2007</w:t>
            </w:r>
            <w:r w:rsidRPr="00BF1C38">
              <w:rPr>
                <w:rFonts w:ascii="Arial" w:hAnsi="Arial" w:cs="Arial"/>
                <w:i/>
                <w:color w:val="808080" w:themeColor="background1" w:themeShade="80"/>
                <w:sz w:val="20"/>
                <w:szCs w:val="20"/>
              </w:rPr>
              <w:br/>
              <w:t>Withdrawn 10 December 2010</w:t>
            </w:r>
          </w:p>
        </w:tc>
      </w:tr>
      <w:tr w:rsidR="003622EF" w:rsidRPr="00252749" w:rsidTr="00CD6C47">
        <w:tc>
          <w:tcPr>
            <w:tcW w:w="462" w:type="pct"/>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Ambrisentan</w:t>
            </w:r>
          </w:p>
        </w:tc>
        <w:tc>
          <w:tcPr>
            <w:tcW w:w="458" w:type="pct"/>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ERA</w:t>
            </w:r>
          </w:p>
        </w:tc>
        <w:tc>
          <w:tcPr>
            <w:tcW w:w="355" w:type="pct"/>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C02KX02</w:t>
            </w:r>
          </w:p>
        </w:tc>
        <w:tc>
          <w:tcPr>
            <w:tcW w:w="828" w:type="pct"/>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5, 10mg tablet</w:t>
            </w:r>
          </w:p>
        </w:tc>
        <w:tc>
          <w:tcPr>
            <w:tcW w:w="1683" w:type="pct"/>
            <w:shd w:val="clear" w:color="auto" w:fill="auto"/>
          </w:tcPr>
          <w:p w:rsidR="00EC7581" w:rsidRPr="00BF1C38" w:rsidRDefault="00EC7581" w:rsidP="00121658">
            <w:pPr>
              <w:pStyle w:val="TableText"/>
              <w:spacing w:before="0" w:after="0"/>
              <w:rPr>
                <w:rFonts w:ascii="Arial" w:hAnsi="Arial"/>
                <w:szCs w:val="20"/>
              </w:rPr>
            </w:pPr>
            <w:r w:rsidRPr="00BF1C38">
              <w:rPr>
                <w:rFonts w:ascii="Arial" w:hAnsi="Arial"/>
                <w:szCs w:val="20"/>
              </w:rPr>
              <w:t>5 mg once daily</w:t>
            </w:r>
          </w:p>
          <w:p w:rsidR="00EC7581" w:rsidRPr="00BF1C38" w:rsidRDefault="00EC7581" w:rsidP="00121658">
            <w:pPr>
              <w:pStyle w:val="TableText"/>
              <w:spacing w:before="0" w:after="0"/>
              <w:rPr>
                <w:rFonts w:ascii="Arial" w:hAnsi="Arial"/>
                <w:szCs w:val="20"/>
              </w:rPr>
            </w:pPr>
            <w:r w:rsidRPr="00BF1C38">
              <w:rPr>
                <w:rFonts w:ascii="Arial" w:hAnsi="Arial"/>
                <w:szCs w:val="20"/>
              </w:rPr>
              <w:t>Additional benefit may be obtained by increasing the dose to 10 mg</w:t>
            </w:r>
          </w:p>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In combination with tadalafil, the starting dose of 5 mg should be titrated to 10 mg once daily</w:t>
            </w:r>
          </w:p>
        </w:tc>
        <w:tc>
          <w:tcPr>
            <w:tcW w:w="652" w:type="pct"/>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Oral</w:t>
            </w:r>
          </w:p>
        </w:tc>
        <w:tc>
          <w:tcPr>
            <w:tcW w:w="562" w:type="pct"/>
            <w:shd w:val="clear" w:color="auto" w:fill="auto"/>
          </w:tcPr>
          <w:p w:rsidR="00EC7581" w:rsidRPr="00BF1C38" w:rsidRDefault="00EC7581" w:rsidP="00121658">
            <w:pPr>
              <w:pStyle w:val="05Tabletext"/>
              <w:spacing w:before="0"/>
              <w:ind w:left="0"/>
              <w:rPr>
                <w:rFonts w:ascii="Arial" w:hAnsi="Arial" w:cs="Arial"/>
                <w:sz w:val="20"/>
                <w:szCs w:val="20"/>
              </w:rPr>
            </w:pPr>
            <w:r w:rsidRPr="00BF1C38">
              <w:rPr>
                <w:rFonts w:ascii="Arial" w:hAnsi="Arial" w:cs="Arial"/>
                <w:sz w:val="20"/>
                <w:szCs w:val="20"/>
              </w:rPr>
              <w:t>24 November 2008</w:t>
            </w:r>
          </w:p>
        </w:tc>
      </w:tr>
      <w:tr w:rsidR="003622EF" w:rsidRPr="00252749" w:rsidTr="00CD6C47">
        <w:tc>
          <w:tcPr>
            <w:tcW w:w="46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Macitentan</w:t>
            </w:r>
          </w:p>
        </w:tc>
        <w:tc>
          <w:tcPr>
            <w:tcW w:w="458"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ERA</w:t>
            </w:r>
          </w:p>
        </w:tc>
        <w:tc>
          <w:tcPr>
            <w:tcW w:w="355"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C02KX04</w:t>
            </w:r>
          </w:p>
        </w:tc>
        <w:tc>
          <w:tcPr>
            <w:tcW w:w="828" w:type="pct"/>
            <w:shd w:val="clear" w:color="auto" w:fill="auto"/>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10mg tablet</w:t>
            </w:r>
          </w:p>
        </w:tc>
        <w:tc>
          <w:tcPr>
            <w:tcW w:w="1683" w:type="pct"/>
            <w:shd w:val="clear" w:color="auto" w:fill="auto"/>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10 mg once daily</w:t>
            </w:r>
          </w:p>
        </w:tc>
        <w:tc>
          <w:tcPr>
            <w:tcW w:w="652" w:type="pct"/>
            <w:shd w:val="clear" w:color="auto" w:fill="auto"/>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Oral</w:t>
            </w:r>
          </w:p>
        </w:tc>
        <w:tc>
          <w:tcPr>
            <w:tcW w:w="562" w:type="pct"/>
            <w:shd w:val="clear" w:color="auto" w:fill="auto"/>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 xml:space="preserve">5 February 2014 </w:t>
            </w:r>
          </w:p>
        </w:tc>
      </w:tr>
      <w:tr w:rsidR="00CD6C47" w:rsidRPr="00CD6C47" w:rsidTr="00CD6C47">
        <w:tc>
          <w:tcPr>
            <w:tcW w:w="5000" w:type="pct"/>
            <w:gridSpan w:val="7"/>
            <w:shd w:val="clear" w:color="auto" w:fill="F2F2F2" w:themeFill="background1" w:themeFillShade="F2"/>
          </w:tcPr>
          <w:p w:rsidR="00CD6C47" w:rsidRPr="00CD6C47" w:rsidRDefault="00CD6C47" w:rsidP="00121658">
            <w:pPr>
              <w:pStyle w:val="04Tablesubheading"/>
              <w:ind w:left="0"/>
              <w:rPr>
                <w:rFonts w:ascii="Arial" w:hAnsi="Arial" w:cs="Arial"/>
                <w:sz w:val="20"/>
                <w:szCs w:val="20"/>
              </w:rPr>
            </w:pPr>
            <w:r w:rsidRPr="00CD6C47">
              <w:rPr>
                <w:rFonts w:ascii="Arial" w:hAnsi="Arial" w:cs="Arial"/>
                <w:sz w:val="20"/>
                <w:szCs w:val="20"/>
              </w:rPr>
              <w:t>Prostanoid</w:t>
            </w:r>
            <w:r>
              <w:rPr>
                <w:rFonts w:ascii="Arial" w:hAnsi="Arial" w:cs="Arial"/>
                <w:sz w:val="20"/>
                <w:szCs w:val="20"/>
              </w:rPr>
              <w:t>s</w:t>
            </w:r>
          </w:p>
        </w:tc>
      </w:tr>
      <w:tr w:rsidR="003622EF" w:rsidRPr="00252749" w:rsidTr="00CD6C47">
        <w:tc>
          <w:tcPr>
            <w:tcW w:w="46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Epoprostenol</w:t>
            </w:r>
          </w:p>
        </w:tc>
        <w:tc>
          <w:tcPr>
            <w:tcW w:w="458"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Prostanoid</w:t>
            </w:r>
          </w:p>
        </w:tc>
        <w:tc>
          <w:tcPr>
            <w:tcW w:w="355"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B01AC09</w:t>
            </w:r>
          </w:p>
        </w:tc>
        <w:tc>
          <w:tcPr>
            <w:tcW w:w="828"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500µg, 1.5 mg; powder for injection vial</w:t>
            </w:r>
          </w:p>
        </w:tc>
        <w:tc>
          <w:tcPr>
            <w:tcW w:w="1683" w:type="pct"/>
            <w:shd w:val="clear" w:color="auto" w:fill="auto"/>
          </w:tcPr>
          <w:p w:rsidR="00EC7581" w:rsidRPr="00BF1C38" w:rsidRDefault="00EC7581" w:rsidP="00121658">
            <w:pPr>
              <w:pStyle w:val="TableText"/>
              <w:rPr>
                <w:rFonts w:ascii="Arial" w:hAnsi="Arial"/>
                <w:szCs w:val="20"/>
              </w:rPr>
            </w:pPr>
            <w:r w:rsidRPr="00BF1C38">
              <w:rPr>
                <w:rFonts w:ascii="Arial" w:hAnsi="Arial"/>
                <w:szCs w:val="20"/>
              </w:rPr>
              <w:t xml:space="preserve">Starting dose 2 ng/kg/min infusion, increase </w:t>
            </w:r>
            <w:proofErr w:type="gramStart"/>
            <w:r w:rsidRPr="00BF1C38">
              <w:rPr>
                <w:rFonts w:ascii="Arial" w:hAnsi="Arial"/>
                <w:szCs w:val="20"/>
              </w:rPr>
              <w:t>by 2 ng/kg/min</w:t>
            </w:r>
            <w:proofErr w:type="gramEnd"/>
            <w:r w:rsidRPr="00BF1C38">
              <w:rPr>
                <w:rFonts w:ascii="Arial" w:hAnsi="Arial"/>
                <w:szCs w:val="20"/>
              </w:rPr>
              <w:t xml:space="preserve"> until MTD reached.</w:t>
            </w:r>
          </w:p>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Long-term infusion at MTD less 4 ng/kg/min, increasing based on tolerability / clinical need</w:t>
            </w:r>
          </w:p>
        </w:tc>
        <w:tc>
          <w:tcPr>
            <w:tcW w:w="65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I.V. continuous</w:t>
            </w:r>
            <w:r w:rsidRPr="00BF1C38">
              <w:rPr>
                <w:rFonts w:ascii="Arial" w:hAnsi="Arial" w:cs="Arial"/>
                <w:i/>
                <w:sz w:val="20"/>
                <w:szCs w:val="20"/>
              </w:rPr>
              <w:t xml:space="preserve"> </w:t>
            </w:r>
            <w:r w:rsidRPr="00BF1C38">
              <w:rPr>
                <w:rFonts w:ascii="Arial" w:hAnsi="Arial" w:cs="Arial"/>
                <w:sz w:val="20"/>
                <w:szCs w:val="20"/>
              </w:rPr>
              <w:t>infusion via central line indwelling catheter</w:t>
            </w:r>
          </w:p>
        </w:tc>
        <w:tc>
          <w:tcPr>
            <w:tcW w:w="56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15 February 2002</w:t>
            </w:r>
          </w:p>
        </w:tc>
      </w:tr>
      <w:tr w:rsidR="003622EF" w:rsidRPr="00252749" w:rsidTr="00CD6C47">
        <w:tc>
          <w:tcPr>
            <w:tcW w:w="46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Iloprost</w:t>
            </w:r>
          </w:p>
        </w:tc>
        <w:tc>
          <w:tcPr>
            <w:tcW w:w="458"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Prostanoid</w:t>
            </w:r>
          </w:p>
        </w:tc>
        <w:tc>
          <w:tcPr>
            <w:tcW w:w="355"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B01AC11</w:t>
            </w:r>
          </w:p>
        </w:tc>
        <w:tc>
          <w:tcPr>
            <w:tcW w:w="828" w:type="pct"/>
            <w:shd w:val="clear" w:color="auto" w:fill="auto"/>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20µg/2 mL inhalation solution</w:t>
            </w:r>
          </w:p>
        </w:tc>
        <w:tc>
          <w:tcPr>
            <w:tcW w:w="1683" w:type="pct"/>
            <w:shd w:val="clear" w:color="auto" w:fill="auto"/>
          </w:tcPr>
          <w:p w:rsidR="00EC7581" w:rsidRPr="00BF1C38" w:rsidRDefault="00EC7581" w:rsidP="00121658">
            <w:pPr>
              <w:pStyle w:val="TableText"/>
              <w:rPr>
                <w:rFonts w:ascii="Arial" w:hAnsi="Arial"/>
                <w:szCs w:val="20"/>
              </w:rPr>
            </w:pPr>
            <w:r w:rsidRPr="00BF1C38">
              <w:rPr>
                <w:rFonts w:ascii="Arial" w:hAnsi="Arial"/>
                <w:szCs w:val="20"/>
              </w:rPr>
              <w:t>Initial 2.5µg inhaled dose, increased to 5.0µg</w:t>
            </w:r>
          </w:p>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 xml:space="preserve">6-9 inhaled doses per day </w:t>
            </w:r>
          </w:p>
        </w:tc>
        <w:tc>
          <w:tcPr>
            <w:tcW w:w="652" w:type="pct"/>
            <w:shd w:val="clear" w:color="auto" w:fill="auto"/>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Inhalation (nebulised)</w:t>
            </w:r>
          </w:p>
        </w:tc>
        <w:tc>
          <w:tcPr>
            <w:tcW w:w="562" w:type="pct"/>
            <w:shd w:val="clear" w:color="auto" w:fill="auto"/>
          </w:tcPr>
          <w:p w:rsidR="00EC7581" w:rsidRPr="00BF1C38" w:rsidRDefault="00EC7581" w:rsidP="00121658">
            <w:pPr>
              <w:pStyle w:val="05Tabletext"/>
              <w:ind w:left="0"/>
              <w:rPr>
                <w:rFonts w:ascii="Arial" w:hAnsi="Arial" w:cs="Arial"/>
                <w:sz w:val="20"/>
                <w:szCs w:val="20"/>
              </w:rPr>
            </w:pPr>
            <w:r w:rsidRPr="00BF1C38">
              <w:rPr>
                <w:rFonts w:ascii="Arial" w:hAnsi="Arial" w:cs="Arial"/>
                <w:sz w:val="20"/>
                <w:szCs w:val="20"/>
              </w:rPr>
              <w:t>21 January 2004</w:t>
            </w:r>
          </w:p>
        </w:tc>
      </w:tr>
      <w:tr w:rsidR="003622EF" w:rsidRPr="00252749" w:rsidTr="00CD6C47">
        <w:tc>
          <w:tcPr>
            <w:tcW w:w="46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Treprostinil</w:t>
            </w:r>
          </w:p>
        </w:tc>
        <w:tc>
          <w:tcPr>
            <w:tcW w:w="458"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Prostanoid</w:t>
            </w:r>
          </w:p>
        </w:tc>
        <w:tc>
          <w:tcPr>
            <w:tcW w:w="355"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B01AC21</w:t>
            </w:r>
          </w:p>
        </w:tc>
        <w:tc>
          <w:tcPr>
            <w:tcW w:w="828"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 xml:space="preserve">1.0, 2.5, 5.0, 10.0 mg/mL </w:t>
            </w:r>
            <w:r w:rsidRPr="00BF1C38">
              <w:rPr>
                <w:rFonts w:ascii="Arial" w:hAnsi="Arial" w:cs="Arial"/>
                <w:i/>
                <w:color w:val="808080" w:themeColor="background1" w:themeShade="80"/>
                <w:sz w:val="20"/>
                <w:szCs w:val="20"/>
              </w:rPr>
              <w:br/>
              <w:t>in 20mL vial</w:t>
            </w:r>
          </w:p>
        </w:tc>
        <w:tc>
          <w:tcPr>
            <w:tcW w:w="1683"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No longer registered</w:t>
            </w:r>
          </w:p>
        </w:tc>
        <w:tc>
          <w:tcPr>
            <w:tcW w:w="65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I.V. or S.C continuous infusion via indwelling catheter</w:t>
            </w:r>
          </w:p>
        </w:tc>
        <w:tc>
          <w:tcPr>
            <w:tcW w:w="56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31 May 2004</w:t>
            </w:r>
          </w:p>
        </w:tc>
      </w:tr>
      <w:tr w:rsidR="00CD6C47" w:rsidRPr="00CD6C47" w:rsidTr="00CD6C47">
        <w:tc>
          <w:tcPr>
            <w:tcW w:w="5000" w:type="pct"/>
            <w:gridSpan w:val="7"/>
            <w:shd w:val="clear" w:color="auto" w:fill="F2F2F2" w:themeFill="background1" w:themeFillShade="F2"/>
          </w:tcPr>
          <w:p w:rsidR="00CD6C47" w:rsidRPr="00CD6C47" w:rsidRDefault="00CD6C47" w:rsidP="00121658">
            <w:pPr>
              <w:pStyle w:val="04Tablesubheading"/>
              <w:ind w:left="0"/>
              <w:rPr>
                <w:rFonts w:ascii="Arial" w:hAnsi="Arial" w:cs="Arial"/>
                <w:sz w:val="20"/>
                <w:szCs w:val="20"/>
              </w:rPr>
            </w:pPr>
            <w:r w:rsidRPr="00CD6C47">
              <w:rPr>
                <w:rFonts w:ascii="Arial" w:hAnsi="Arial" w:cs="Arial"/>
                <w:sz w:val="20"/>
                <w:szCs w:val="20"/>
              </w:rPr>
              <w:t>Phosphodiesterase type 5 inhibitors</w:t>
            </w:r>
          </w:p>
        </w:tc>
      </w:tr>
      <w:tr w:rsidR="003622EF" w:rsidRPr="00252749" w:rsidTr="00CD6C47">
        <w:tc>
          <w:tcPr>
            <w:tcW w:w="462" w:type="pct"/>
            <w:shd w:val="clear" w:color="auto" w:fill="auto"/>
            <w:vAlign w:val="center"/>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Sildenafil</w:t>
            </w:r>
          </w:p>
        </w:tc>
        <w:tc>
          <w:tcPr>
            <w:tcW w:w="458" w:type="pct"/>
            <w:shd w:val="clear" w:color="auto" w:fill="auto"/>
            <w:vAlign w:val="center"/>
          </w:tcPr>
          <w:p w:rsidR="003622EF" w:rsidRPr="00BF1C38" w:rsidRDefault="00AF191D" w:rsidP="00121658">
            <w:pPr>
              <w:pStyle w:val="05Tabletext"/>
              <w:ind w:left="0"/>
              <w:rPr>
                <w:rFonts w:ascii="Arial" w:hAnsi="Arial" w:cs="Arial"/>
                <w:sz w:val="20"/>
                <w:szCs w:val="20"/>
              </w:rPr>
            </w:pPr>
            <w:r w:rsidRPr="00BF1C38">
              <w:rPr>
                <w:rFonts w:ascii="Arial" w:hAnsi="Arial" w:cs="Arial"/>
                <w:sz w:val="20"/>
                <w:szCs w:val="20"/>
              </w:rPr>
              <w:t>PDE</w:t>
            </w:r>
            <w:r w:rsidRPr="00BF1C38">
              <w:rPr>
                <w:rFonts w:ascii="Arial" w:hAnsi="Arial" w:cs="Arial"/>
                <w:sz w:val="20"/>
                <w:szCs w:val="20"/>
              </w:rPr>
              <w:noBreakHyphen/>
              <w:t>5</w:t>
            </w:r>
            <w:r w:rsidR="003622EF" w:rsidRPr="00BF1C38">
              <w:rPr>
                <w:rFonts w:ascii="Arial" w:hAnsi="Arial" w:cs="Arial"/>
                <w:sz w:val="20"/>
                <w:szCs w:val="20"/>
              </w:rPr>
              <w:t xml:space="preserve"> inhibitor</w:t>
            </w:r>
          </w:p>
        </w:tc>
        <w:tc>
          <w:tcPr>
            <w:tcW w:w="355" w:type="pct"/>
            <w:shd w:val="clear" w:color="auto" w:fill="auto"/>
            <w:vAlign w:val="center"/>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G04BE03</w:t>
            </w:r>
          </w:p>
        </w:tc>
        <w:tc>
          <w:tcPr>
            <w:tcW w:w="828" w:type="pct"/>
            <w:shd w:val="clear" w:color="auto" w:fill="auto"/>
          </w:tcPr>
          <w:p w:rsidR="003622EF" w:rsidRPr="00BF1C38" w:rsidRDefault="003622EF" w:rsidP="00121658">
            <w:pPr>
              <w:pStyle w:val="TableText"/>
              <w:rPr>
                <w:rFonts w:ascii="Arial" w:hAnsi="Arial"/>
                <w:szCs w:val="20"/>
              </w:rPr>
            </w:pPr>
            <w:r w:rsidRPr="00BF1C38">
              <w:rPr>
                <w:rFonts w:ascii="Arial" w:hAnsi="Arial"/>
                <w:szCs w:val="20"/>
              </w:rPr>
              <w:t>20mg tablet</w:t>
            </w:r>
          </w:p>
          <w:p w:rsidR="003622EF" w:rsidRPr="00BF1C38" w:rsidRDefault="003622EF" w:rsidP="00121658">
            <w:pPr>
              <w:pStyle w:val="TableText"/>
              <w:rPr>
                <w:rFonts w:ascii="Arial" w:hAnsi="Arial"/>
                <w:szCs w:val="20"/>
              </w:rPr>
            </w:pPr>
            <w:r w:rsidRPr="00BF1C38">
              <w:rPr>
                <w:rFonts w:ascii="Arial" w:hAnsi="Arial"/>
                <w:szCs w:val="20"/>
              </w:rPr>
              <w:t>10mg/12.5mL or 40mg/50 </w:t>
            </w:r>
            <w:proofErr w:type="spellStart"/>
            <w:r w:rsidRPr="00BF1C38">
              <w:rPr>
                <w:rFonts w:ascii="Arial" w:hAnsi="Arial"/>
                <w:szCs w:val="20"/>
              </w:rPr>
              <w:t>mLvial</w:t>
            </w:r>
            <w:proofErr w:type="spellEnd"/>
          </w:p>
        </w:tc>
        <w:tc>
          <w:tcPr>
            <w:tcW w:w="1683" w:type="pct"/>
            <w:shd w:val="clear" w:color="auto" w:fill="auto"/>
            <w:vAlign w:val="center"/>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 xml:space="preserve">20 mg </w:t>
            </w:r>
            <w:proofErr w:type="spellStart"/>
            <w:r w:rsidRPr="00BF1C38">
              <w:rPr>
                <w:rFonts w:ascii="Arial" w:hAnsi="Arial" w:cs="Arial"/>
                <w:i/>
                <w:sz w:val="20"/>
                <w:szCs w:val="20"/>
              </w:rPr>
              <w:t>tid</w:t>
            </w:r>
            <w:proofErr w:type="spellEnd"/>
          </w:p>
        </w:tc>
        <w:tc>
          <w:tcPr>
            <w:tcW w:w="652" w:type="pct"/>
            <w:shd w:val="clear" w:color="auto" w:fill="auto"/>
            <w:vAlign w:val="center"/>
          </w:tcPr>
          <w:p w:rsidR="003622EF" w:rsidRPr="00BF1C38" w:rsidRDefault="003622EF" w:rsidP="00121658">
            <w:pPr>
              <w:pStyle w:val="TableText"/>
              <w:rPr>
                <w:rFonts w:ascii="Arial" w:hAnsi="Arial"/>
                <w:szCs w:val="20"/>
              </w:rPr>
            </w:pPr>
            <w:r w:rsidRPr="00BF1C38">
              <w:rPr>
                <w:rFonts w:ascii="Arial" w:hAnsi="Arial"/>
                <w:szCs w:val="20"/>
              </w:rPr>
              <w:t>Oral</w:t>
            </w:r>
          </w:p>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I.V. injection</w:t>
            </w:r>
          </w:p>
        </w:tc>
        <w:tc>
          <w:tcPr>
            <w:tcW w:w="562" w:type="pct"/>
            <w:shd w:val="clear" w:color="auto" w:fill="auto"/>
            <w:vAlign w:val="center"/>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14 August 2006</w:t>
            </w:r>
          </w:p>
        </w:tc>
      </w:tr>
      <w:tr w:rsidR="003622EF" w:rsidRPr="00252749" w:rsidTr="00CD6C47">
        <w:tc>
          <w:tcPr>
            <w:tcW w:w="462" w:type="pct"/>
            <w:tcBorders>
              <w:bottom w:val="single" w:sz="4" w:space="0" w:color="auto"/>
            </w:tcBorders>
            <w:shd w:val="clear" w:color="auto" w:fill="auto"/>
            <w:vAlign w:val="center"/>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Tadalafil</w:t>
            </w:r>
          </w:p>
        </w:tc>
        <w:tc>
          <w:tcPr>
            <w:tcW w:w="458" w:type="pct"/>
            <w:tcBorders>
              <w:bottom w:val="single" w:sz="4" w:space="0" w:color="auto"/>
            </w:tcBorders>
            <w:shd w:val="clear" w:color="auto" w:fill="auto"/>
            <w:vAlign w:val="center"/>
          </w:tcPr>
          <w:p w:rsidR="003622EF" w:rsidRPr="00BF1C38" w:rsidRDefault="00AF191D" w:rsidP="00121658">
            <w:pPr>
              <w:pStyle w:val="05Tabletext"/>
              <w:ind w:left="0"/>
              <w:rPr>
                <w:rFonts w:ascii="Arial" w:hAnsi="Arial" w:cs="Arial"/>
                <w:sz w:val="20"/>
                <w:szCs w:val="20"/>
              </w:rPr>
            </w:pPr>
            <w:r w:rsidRPr="00BF1C38">
              <w:rPr>
                <w:rFonts w:ascii="Arial" w:hAnsi="Arial" w:cs="Arial"/>
                <w:sz w:val="20"/>
                <w:szCs w:val="20"/>
              </w:rPr>
              <w:t>PDE</w:t>
            </w:r>
            <w:r w:rsidRPr="00BF1C38">
              <w:rPr>
                <w:rFonts w:ascii="Arial" w:hAnsi="Arial" w:cs="Arial"/>
                <w:sz w:val="20"/>
                <w:szCs w:val="20"/>
              </w:rPr>
              <w:noBreakHyphen/>
              <w:t>5</w:t>
            </w:r>
            <w:r w:rsidR="003622EF" w:rsidRPr="00BF1C38">
              <w:rPr>
                <w:rFonts w:ascii="Arial" w:hAnsi="Arial" w:cs="Arial"/>
                <w:sz w:val="20"/>
                <w:szCs w:val="20"/>
              </w:rPr>
              <w:t xml:space="preserve"> inhibitor</w:t>
            </w:r>
          </w:p>
        </w:tc>
        <w:tc>
          <w:tcPr>
            <w:tcW w:w="355" w:type="pct"/>
            <w:tcBorders>
              <w:bottom w:val="single" w:sz="4" w:space="0" w:color="auto"/>
            </w:tcBorders>
            <w:shd w:val="clear" w:color="auto" w:fill="auto"/>
            <w:vAlign w:val="center"/>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G04BE08</w:t>
            </w:r>
          </w:p>
        </w:tc>
        <w:tc>
          <w:tcPr>
            <w:tcW w:w="828" w:type="pct"/>
            <w:tcBorders>
              <w:bottom w:val="single" w:sz="4" w:space="0" w:color="auto"/>
            </w:tcBorders>
            <w:shd w:val="clear" w:color="auto" w:fill="auto"/>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20mg tablet</w:t>
            </w:r>
          </w:p>
        </w:tc>
        <w:tc>
          <w:tcPr>
            <w:tcW w:w="1683" w:type="pct"/>
            <w:tcBorders>
              <w:bottom w:val="single" w:sz="4" w:space="0" w:color="auto"/>
            </w:tcBorders>
            <w:shd w:val="clear" w:color="auto" w:fill="auto"/>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40 mg (2 x 20 mg) taken once daily</w:t>
            </w:r>
          </w:p>
        </w:tc>
        <w:tc>
          <w:tcPr>
            <w:tcW w:w="652" w:type="pct"/>
            <w:tcBorders>
              <w:bottom w:val="single" w:sz="4" w:space="0" w:color="auto"/>
            </w:tcBorders>
            <w:shd w:val="clear" w:color="auto" w:fill="auto"/>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Oral</w:t>
            </w:r>
          </w:p>
        </w:tc>
        <w:tc>
          <w:tcPr>
            <w:tcW w:w="562" w:type="pct"/>
            <w:tcBorders>
              <w:bottom w:val="single" w:sz="4" w:space="0" w:color="auto"/>
            </w:tcBorders>
            <w:shd w:val="clear" w:color="auto" w:fill="auto"/>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10 August 2011</w:t>
            </w:r>
          </w:p>
        </w:tc>
      </w:tr>
      <w:tr w:rsidR="00CD6C47" w:rsidRPr="00252749" w:rsidTr="00CD6C47">
        <w:tc>
          <w:tcPr>
            <w:tcW w:w="5000" w:type="pct"/>
            <w:gridSpan w:val="7"/>
            <w:shd w:val="clear" w:color="auto" w:fill="D9D9D9" w:themeFill="background1" w:themeFillShade="D9"/>
          </w:tcPr>
          <w:p w:rsidR="00CD6C47" w:rsidRPr="00CD6C47" w:rsidRDefault="00CD6C47" w:rsidP="00121658">
            <w:pPr>
              <w:pStyle w:val="04Tablesubheading"/>
              <w:ind w:left="0"/>
              <w:rPr>
                <w:rFonts w:ascii="Arial" w:hAnsi="Arial" w:cs="Arial"/>
                <w:sz w:val="20"/>
                <w:szCs w:val="20"/>
              </w:rPr>
            </w:pPr>
            <w:r w:rsidRPr="00CD6C47">
              <w:rPr>
                <w:rFonts w:ascii="Arial" w:hAnsi="Arial" w:cs="Arial"/>
                <w:sz w:val="20"/>
                <w:szCs w:val="20"/>
              </w:rPr>
              <w:t>Soluble guanylate cyclase stimulator</w:t>
            </w:r>
          </w:p>
        </w:tc>
      </w:tr>
      <w:tr w:rsidR="003622EF" w:rsidRPr="00252749" w:rsidTr="00CD6C47">
        <w:tc>
          <w:tcPr>
            <w:tcW w:w="462" w:type="pct"/>
            <w:tcBorders>
              <w:bottom w:val="single" w:sz="4" w:space="0" w:color="auto"/>
            </w:tcBorders>
            <w:shd w:val="clear" w:color="auto" w:fill="auto"/>
            <w:vAlign w:val="center"/>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 xml:space="preserve">Riociguat </w:t>
            </w:r>
          </w:p>
        </w:tc>
        <w:tc>
          <w:tcPr>
            <w:tcW w:w="458" w:type="pct"/>
            <w:tcBorders>
              <w:bottom w:val="single" w:sz="4" w:space="0" w:color="auto"/>
            </w:tcBorders>
            <w:shd w:val="clear" w:color="auto" w:fill="auto"/>
            <w:vAlign w:val="center"/>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sGC stimulator</w:t>
            </w:r>
          </w:p>
        </w:tc>
        <w:tc>
          <w:tcPr>
            <w:tcW w:w="355" w:type="pct"/>
            <w:tcBorders>
              <w:bottom w:val="single" w:sz="4" w:space="0" w:color="auto"/>
            </w:tcBorders>
            <w:shd w:val="clear" w:color="auto" w:fill="auto"/>
            <w:vAlign w:val="center"/>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C02KX05</w:t>
            </w:r>
          </w:p>
        </w:tc>
        <w:tc>
          <w:tcPr>
            <w:tcW w:w="828" w:type="pct"/>
            <w:tcBorders>
              <w:bottom w:val="single" w:sz="4" w:space="0" w:color="auto"/>
            </w:tcBorders>
            <w:shd w:val="clear" w:color="auto" w:fill="auto"/>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0.5, 1.0, 1.5, 2.0, 2.5mg tablet</w:t>
            </w:r>
          </w:p>
        </w:tc>
        <w:tc>
          <w:tcPr>
            <w:tcW w:w="1683" w:type="pct"/>
            <w:tcBorders>
              <w:bottom w:val="single" w:sz="4" w:space="0" w:color="auto"/>
            </w:tcBorders>
            <w:shd w:val="clear" w:color="auto" w:fill="auto"/>
          </w:tcPr>
          <w:p w:rsidR="003622EF" w:rsidRPr="00BF1C38" w:rsidRDefault="003622EF" w:rsidP="00121658">
            <w:pPr>
              <w:pStyle w:val="TableText"/>
              <w:rPr>
                <w:rFonts w:ascii="Arial" w:hAnsi="Arial"/>
                <w:szCs w:val="20"/>
              </w:rPr>
            </w:pPr>
            <w:r w:rsidRPr="00BF1C38">
              <w:rPr>
                <w:rFonts w:ascii="Arial" w:hAnsi="Arial"/>
                <w:szCs w:val="20"/>
              </w:rPr>
              <w:t xml:space="preserve">Starting dose 1.0 mg </w:t>
            </w:r>
            <w:proofErr w:type="spellStart"/>
            <w:r w:rsidRPr="00BF1C38">
              <w:rPr>
                <w:rFonts w:ascii="Arial" w:hAnsi="Arial"/>
                <w:i/>
                <w:szCs w:val="20"/>
              </w:rPr>
              <w:t>tid</w:t>
            </w:r>
            <w:proofErr w:type="spellEnd"/>
            <w:r w:rsidRPr="00BF1C38">
              <w:rPr>
                <w:rFonts w:ascii="Arial" w:hAnsi="Arial"/>
                <w:szCs w:val="20"/>
              </w:rPr>
              <w:t xml:space="preserve"> for 2 weeks</w:t>
            </w:r>
          </w:p>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 xml:space="preserve">Increase by 0.5 mg increments to a maximum of 2.5 mg </w:t>
            </w:r>
            <w:proofErr w:type="spellStart"/>
            <w:r w:rsidRPr="00BF1C38">
              <w:rPr>
                <w:rFonts w:ascii="Arial" w:hAnsi="Arial" w:cs="Arial"/>
                <w:i/>
                <w:sz w:val="20"/>
                <w:szCs w:val="20"/>
              </w:rPr>
              <w:t>tid</w:t>
            </w:r>
            <w:proofErr w:type="spellEnd"/>
            <w:r w:rsidRPr="00BF1C38">
              <w:rPr>
                <w:rFonts w:ascii="Arial" w:hAnsi="Arial" w:cs="Arial"/>
                <w:sz w:val="20"/>
                <w:szCs w:val="20"/>
              </w:rPr>
              <w:t xml:space="preserve"> maintenance dose</w:t>
            </w:r>
          </w:p>
        </w:tc>
        <w:tc>
          <w:tcPr>
            <w:tcW w:w="652" w:type="pct"/>
            <w:tcBorders>
              <w:bottom w:val="single" w:sz="4" w:space="0" w:color="auto"/>
            </w:tcBorders>
            <w:shd w:val="clear" w:color="auto" w:fill="auto"/>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Oral</w:t>
            </w:r>
          </w:p>
        </w:tc>
        <w:tc>
          <w:tcPr>
            <w:tcW w:w="562" w:type="pct"/>
            <w:tcBorders>
              <w:bottom w:val="single" w:sz="4" w:space="0" w:color="auto"/>
            </w:tcBorders>
            <w:shd w:val="clear" w:color="auto" w:fill="auto"/>
          </w:tcPr>
          <w:p w:rsidR="003622EF" w:rsidRPr="00BF1C38" w:rsidRDefault="003622EF" w:rsidP="00121658">
            <w:pPr>
              <w:pStyle w:val="05Tabletext"/>
              <w:ind w:left="0"/>
              <w:rPr>
                <w:rFonts w:ascii="Arial" w:hAnsi="Arial" w:cs="Arial"/>
                <w:sz w:val="20"/>
                <w:szCs w:val="20"/>
              </w:rPr>
            </w:pPr>
            <w:r w:rsidRPr="00BF1C38">
              <w:rPr>
                <w:rFonts w:ascii="Arial" w:hAnsi="Arial" w:cs="Arial"/>
                <w:sz w:val="20"/>
                <w:szCs w:val="20"/>
              </w:rPr>
              <w:t>14 April 2014</w:t>
            </w:r>
          </w:p>
        </w:tc>
      </w:tr>
      <w:tr w:rsidR="00CD6C47" w:rsidRPr="00252749" w:rsidTr="00CD6C47">
        <w:tc>
          <w:tcPr>
            <w:tcW w:w="5000" w:type="pct"/>
            <w:gridSpan w:val="7"/>
            <w:shd w:val="clear" w:color="auto" w:fill="D9D9D9" w:themeFill="background1" w:themeFillShade="D9"/>
          </w:tcPr>
          <w:p w:rsidR="00CD6C47" w:rsidRPr="00BF1C38" w:rsidRDefault="00CD6C47" w:rsidP="00121658">
            <w:pPr>
              <w:pStyle w:val="04Tablesubheading"/>
              <w:ind w:left="0"/>
              <w:rPr>
                <w:rFonts w:ascii="Arial" w:hAnsi="Arial" w:cs="Arial"/>
                <w:sz w:val="20"/>
                <w:szCs w:val="20"/>
              </w:rPr>
            </w:pPr>
            <w:r w:rsidRPr="00CD6C47">
              <w:rPr>
                <w:rFonts w:ascii="Arial" w:hAnsi="Arial" w:cs="Arial"/>
                <w:i/>
                <w:sz w:val="20"/>
                <w:szCs w:val="20"/>
              </w:rPr>
              <w:t>Non-prostanoid prostacyclin receptor agonist</w:t>
            </w:r>
          </w:p>
        </w:tc>
      </w:tr>
      <w:tr w:rsidR="003622EF" w:rsidRPr="00252749" w:rsidTr="00CD6C47">
        <w:tc>
          <w:tcPr>
            <w:tcW w:w="46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Selexipag</w:t>
            </w:r>
          </w:p>
        </w:tc>
        <w:tc>
          <w:tcPr>
            <w:tcW w:w="458"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Non-prostanoid prostacyclin receptor agonist</w:t>
            </w:r>
          </w:p>
        </w:tc>
        <w:tc>
          <w:tcPr>
            <w:tcW w:w="355"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B01AC27</w:t>
            </w:r>
          </w:p>
        </w:tc>
        <w:tc>
          <w:tcPr>
            <w:tcW w:w="828"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200, 400, 600, 800, 1000, 1200, 1400, 1600µg tablets</w:t>
            </w:r>
          </w:p>
        </w:tc>
        <w:tc>
          <w:tcPr>
            <w:tcW w:w="1683" w:type="pct"/>
            <w:shd w:val="clear" w:color="auto" w:fill="auto"/>
          </w:tcPr>
          <w:p w:rsidR="00EC7581" w:rsidRPr="00BF1C38" w:rsidRDefault="00EC7581" w:rsidP="00121658">
            <w:pPr>
              <w:pStyle w:val="TableText"/>
              <w:rPr>
                <w:rFonts w:ascii="Arial" w:hAnsi="Arial"/>
                <w:i/>
                <w:color w:val="808080" w:themeColor="background1" w:themeShade="80"/>
                <w:szCs w:val="20"/>
              </w:rPr>
            </w:pPr>
            <w:r w:rsidRPr="00BF1C38">
              <w:rPr>
                <w:rFonts w:ascii="Arial" w:hAnsi="Arial"/>
                <w:i/>
                <w:color w:val="808080" w:themeColor="background1" w:themeShade="80"/>
                <w:szCs w:val="20"/>
              </w:rPr>
              <w:t>Starting dose 200µg twice daily</w:t>
            </w:r>
          </w:p>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Titration in increments of 200µg twice daily at weekly intervals to maximum 1600µg twice daily</w:t>
            </w:r>
          </w:p>
        </w:tc>
        <w:tc>
          <w:tcPr>
            <w:tcW w:w="65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Oral</w:t>
            </w:r>
          </w:p>
        </w:tc>
        <w:tc>
          <w:tcPr>
            <w:tcW w:w="562" w:type="pct"/>
            <w:shd w:val="clear" w:color="auto" w:fill="auto"/>
            <w:vAlign w:val="center"/>
          </w:tcPr>
          <w:p w:rsidR="00EC7581" w:rsidRPr="00BF1C38" w:rsidRDefault="00EC7581" w:rsidP="00121658">
            <w:pPr>
              <w:pStyle w:val="05Tabletext"/>
              <w:ind w:left="0"/>
              <w:rPr>
                <w:rFonts w:ascii="Arial" w:hAnsi="Arial" w:cs="Arial"/>
                <w:sz w:val="20"/>
                <w:szCs w:val="20"/>
              </w:rPr>
            </w:pPr>
            <w:r w:rsidRPr="00BF1C38">
              <w:rPr>
                <w:rFonts w:ascii="Arial" w:hAnsi="Arial" w:cs="Arial"/>
                <w:i/>
                <w:color w:val="808080" w:themeColor="background1" w:themeShade="80"/>
                <w:sz w:val="20"/>
                <w:szCs w:val="20"/>
              </w:rPr>
              <w:t>24 March 2016</w:t>
            </w:r>
          </w:p>
        </w:tc>
      </w:tr>
    </w:tbl>
    <w:p w:rsidR="00EC7581" w:rsidRPr="002E566F" w:rsidRDefault="00EC7581" w:rsidP="00121658">
      <w:pPr>
        <w:pStyle w:val="11TableorFigurefootnotenostick"/>
        <w:spacing w:after="0"/>
        <w:rPr>
          <w:rFonts w:ascii="Arial" w:hAnsi="Arial" w:cs="Arial"/>
          <w:szCs w:val="16"/>
        </w:rPr>
      </w:pPr>
      <w:r w:rsidRPr="002E566F">
        <w:rPr>
          <w:rFonts w:ascii="Arial" w:hAnsi="Arial" w:cs="Arial"/>
          <w:szCs w:val="16"/>
        </w:rPr>
        <w:t xml:space="preserve">Abbreviations: ATC = Anatomical Therapeutic Chemical code; ARTG = Australian Register of Therapeutic Goods; IV = intravenous; MTD = Maximum Tolerable Dose; PI = Product Information; PSD = Public Summary Document; SC = subcutaneous; </w:t>
      </w:r>
      <w:proofErr w:type="spellStart"/>
      <w:r w:rsidRPr="002E566F">
        <w:rPr>
          <w:rFonts w:ascii="Arial" w:hAnsi="Arial" w:cs="Arial"/>
          <w:i/>
          <w:szCs w:val="16"/>
        </w:rPr>
        <w:t>tid</w:t>
      </w:r>
      <w:proofErr w:type="spellEnd"/>
      <w:r w:rsidRPr="002E566F">
        <w:rPr>
          <w:rFonts w:ascii="Arial" w:hAnsi="Arial" w:cs="Arial"/>
          <w:szCs w:val="16"/>
        </w:rPr>
        <w:t xml:space="preserve"> = three times daily</w:t>
      </w:r>
    </w:p>
    <w:p w:rsidR="00EC7581" w:rsidRPr="002E566F" w:rsidRDefault="00EC7581" w:rsidP="00121658">
      <w:pPr>
        <w:pStyle w:val="11TableorFigurefootnotenostick"/>
        <w:spacing w:after="0"/>
        <w:rPr>
          <w:rFonts w:ascii="Arial" w:hAnsi="Arial" w:cs="Arial"/>
          <w:szCs w:val="16"/>
        </w:rPr>
      </w:pPr>
      <w:proofErr w:type="gramStart"/>
      <w:r w:rsidRPr="002E566F">
        <w:rPr>
          <w:rFonts w:ascii="Arial" w:hAnsi="Arial" w:cs="Arial"/>
          <w:szCs w:val="16"/>
          <w:vertAlign w:val="superscript"/>
        </w:rPr>
        <w:t>a</w:t>
      </w:r>
      <w:proofErr w:type="gramEnd"/>
      <w:r w:rsidRPr="002E566F">
        <w:rPr>
          <w:rFonts w:ascii="Arial" w:hAnsi="Arial" w:cs="Arial"/>
          <w:szCs w:val="16"/>
        </w:rPr>
        <w:t xml:space="preserve"> Corresponding to date of first registration where there is more than one brand on the market</w:t>
      </w:r>
    </w:p>
    <w:p w:rsidR="00EC7581" w:rsidRPr="002E566F" w:rsidRDefault="00EC7581" w:rsidP="00121658">
      <w:pPr>
        <w:pStyle w:val="11TableorFigurefootnotenostick"/>
        <w:spacing w:after="0"/>
        <w:rPr>
          <w:rFonts w:ascii="Arial" w:hAnsi="Arial" w:cs="Arial"/>
          <w:szCs w:val="16"/>
          <w:vertAlign w:val="superscript"/>
        </w:rPr>
      </w:pPr>
      <w:r w:rsidRPr="002E566F">
        <w:rPr>
          <w:rFonts w:ascii="Arial" w:hAnsi="Arial" w:cs="Arial"/>
          <w:szCs w:val="16"/>
        </w:rPr>
        <w:t>Source: Relevant product information documents and PBAC public summary documents</w:t>
      </w:r>
    </w:p>
    <w:p w:rsidR="00220C07" w:rsidRDefault="00220C07" w:rsidP="00121658">
      <w:pPr>
        <w:pStyle w:val="11TableorFigurefootnotenostick"/>
      </w:pPr>
    </w:p>
    <w:p w:rsidR="000A5911" w:rsidRDefault="000A5911" w:rsidP="00121658">
      <w:pPr>
        <w:pStyle w:val="BodyText"/>
        <w:jc w:val="left"/>
        <w:sectPr w:rsidR="000A5911" w:rsidSect="009400A3">
          <w:headerReference w:type="even" r:id="rId19"/>
          <w:headerReference w:type="default" r:id="rId20"/>
          <w:footerReference w:type="default" r:id="rId21"/>
          <w:headerReference w:type="first" r:id="rId22"/>
          <w:footnotePr>
            <w:numFmt w:val="chicago"/>
          </w:footnotePr>
          <w:pgSz w:w="16838" w:h="11906" w:orient="landscape"/>
          <w:pgMar w:top="851" w:right="1134" w:bottom="851" w:left="1134" w:header="709" w:footer="709" w:gutter="0"/>
          <w:cols w:space="708"/>
          <w:docGrid w:linePitch="360"/>
        </w:sectPr>
      </w:pPr>
    </w:p>
    <w:p w:rsidR="00353269" w:rsidRPr="00252749" w:rsidRDefault="001008C6" w:rsidP="00121658">
      <w:pPr>
        <w:pStyle w:val="Heading4"/>
        <w:rPr>
          <w:rFonts w:eastAsiaTheme="minorEastAsia"/>
        </w:rPr>
      </w:pPr>
      <w:bookmarkStart w:id="47" w:name="_Ref503789524"/>
      <w:bookmarkStart w:id="48" w:name="_Ref503792061"/>
      <w:bookmarkStart w:id="49" w:name="_Ref503792889"/>
      <w:bookmarkStart w:id="50" w:name="_Toc503800631"/>
      <w:bookmarkStart w:id="51" w:name="_Toc503811583"/>
      <w:bookmarkStart w:id="52" w:name="_Ref467972273"/>
      <w:bookmarkStart w:id="53" w:name="_Toc471890872"/>
      <w:bookmarkStart w:id="54" w:name="_Toc480371864"/>
      <w:bookmarkStart w:id="55" w:name="_Toc486514203"/>
      <w:bookmarkStart w:id="56" w:name="_Ref467687842"/>
      <w:bookmarkStart w:id="57" w:name="_Toc468034421"/>
      <w:bookmarkStart w:id="58" w:name="_Toc486016448"/>
      <w:bookmarkStart w:id="59" w:name="_Toc486514237"/>
      <w:r w:rsidRPr="00252749">
        <w:rPr>
          <w:rFonts w:eastAsiaTheme="minorEastAsia"/>
        </w:rPr>
        <w:t>B</w:t>
      </w:r>
      <w:r w:rsidR="00123B2E">
        <w:rPr>
          <w:rFonts w:eastAsiaTheme="minorEastAsia"/>
        </w:rPr>
        <w:t>.</w:t>
      </w:r>
      <w:r w:rsidR="00314F5A" w:rsidRPr="00252749">
        <w:rPr>
          <w:rFonts w:eastAsiaTheme="minorEastAsia"/>
        </w:rPr>
        <w:t>4.4.</w:t>
      </w:r>
      <w:r w:rsidRPr="00252749">
        <w:rPr>
          <w:rFonts w:eastAsiaTheme="minorEastAsia"/>
        </w:rPr>
        <w:t>4</w:t>
      </w:r>
      <w:r w:rsidR="002223F1" w:rsidRPr="00252749">
        <w:rPr>
          <w:rFonts w:eastAsiaTheme="minorEastAsia"/>
        </w:rPr>
        <w:t xml:space="preserve"> </w:t>
      </w:r>
      <w:r w:rsidR="00353269" w:rsidRPr="00252749">
        <w:rPr>
          <w:rFonts w:eastAsiaTheme="minorEastAsia"/>
        </w:rPr>
        <w:t xml:space="preserve">Reports of combination use </w:t>
      </w:r>
      <w:r w:rsidR="00D93921" w:rsidRPr="00252749">
        <w:rPr>
          <w:rFonts w:eastAsiaTheme="minorEastAsia"/>
        </w:rPr>
        <w:t xml:space="preserve">of </w:t>
      </w:r>
      <w:r w:rsidR="00F95235" w:rsidRPr="00252749">
        <w:rPr>
          <w:rFonts w:eastAsiaTheme="minorEastAsia"/>
        </w:rPr>
        <w:t>PAH medicines</w:t>
      </w:r>
      <w:r w:rsidR="00353269" w:rsidRPr="00252749">
        <w:rPr>
          <w:rFonts w:eastAsiaTheme="minorEastAsia"/>
        </w:rPr>
        <w:t xml:space="preserve"> in Australia</w:t>
      </w:r>
      <w:bookmarkEnd w:id="47"/>
      <w:bookmarkEnd w:id="48"/>
      <w:bookmarkEnd w:id="49"/>
      <w:bookmarkEnd w:id="50"/>
      <w:bookmarkEnd w:id="51"/>
    </w:p>
    <w:p w:rsidR="00334C4E" w:rsidRPr="00B66E09" w:rsidRDefault="00353269" w:rsidP="00121658">
      <w:pPr>
        <w:pStyle w:val="BodyTextnospacebefore"/>
        <w:rPr>
          <w:rFonts w:cstheme="minorHAnsi"/>
        </w:rPr>
      </w:pPr>
      <w:r w:rsidRPr="00B66E09">
        <w:rPr>
          <w:rFonts w:cstheme="minorHAnsi"/>
        </w:rPr>
        <w:t xml:space="preserve">The </w:t>
      </w:r>
      <w:r w:rsidRPr="00B66E09">
        <w:t xml:space="preserve">PBAC has previously acknowledged that the combination use of </w:t>
      </w:r>
      <w:r w:rsidR="00F95235" w:rsidRPr="00B66E09">
        <w:t>PAH medicines</w:t>
      </w:r>
      <w:r w:rsidRPr="00B66E09">
        <w:t xml:space="preserve"> occurs in current clinical practice in Australia</w:t>
      </w:r>
      <w:r w:rsidR="00600DE1" w:rsidRPr="00B66E09">
        <w:t xml:space="preserve">. </w:t>
      </w:r>
      <w:r w:rsidR="00126781" w:rsidRPr="00B66E09">
        <w:t>T</w:t>
      </w:r>
      <w:r w:rsidR="006E70CC" w:rsidRPr="00B66E09">
        <w:t>he concurrent use of second and third PAH medicines</w:t>
      </w:r>
      <w:r w:rsidR="00126781" w:rsidRPr="00B66E09">
        <w:t xml:space="preserve"> (i.e. in addition to PBS subsidised monotherapy) </w:t>
      </w:r>
      <w:r w:rsidRPr="00B66E09">
        <w:t xml:space="preserve">is funded </w:t>
      </w:r>
      <w:r w:rsidR="006E70CC" w:rsidRPr="00B66E09">
        <w:t xml:space="preserve">through sources </w:t>
      </w:r>
      <w:r w:rsidRPr="00B66E09">
        <w:t xml:space="preserve">outside the PBS. </w:t>
      </w:r>
      <w:r w:rsidR="006E70CC" w:rsidRPr="00B66E09">
        <w:t>S</w:t>
      </w:r>
      <w:r w:rsidRPr="00B66E09">
        <w:t xml:space="preserve">ubmissions </w:t>
      </w:r>
      <w:r w:rsidR="00075120" w:rsidRPr="00B66E09">
        <w:t xml:space="preserve">from the Council of Australian Therapeutic Advisory Groups (CATAG), </w:t>
      </w:r>
      <w:r w:rsidR="002223F1" w:rsidRPr="00B66E09">
        <w:t xml:space="preserve">the </w:t>
      </w:r>
      <w:r w:rsidR="00075120" w:rsidRPr="00B66E09">
        <w:t xml:space="preserve">Thoracic Society of Australia and New Zealand (TSANZ) and PHSANZ </w:t>
      </w:r>
      <w:r w:rsidRPr="00B66E09">
        <w:t xml:space="preserve">to this post-market </w:t>
      </w:r>
      <w:r w:rsidRPr="00B66E09">
        <w:rPr>
          <w:rFonts w:cstheme="minorHAnsi"/>
        </w:rPr>
        <w:t>review and the published literature</w:t>
      </w:r>
      <w:r w:rsidR="009C556B">
        <w:rPr>
          <w:noProof/>
          <w:vertAlign w:val="superscript"/>
        </w:rPr>
        <w:t>14</w:t>
      </w:r>
      <w:r w:rsidR="00472000" w:rsidRPr="00B66E09">
        <w:rPr>
          <w:noProof/>
          <w:vertAlign w:val="superscript"/>
        </w:rPr>
        <w:t>,</w:t>
      </w:r>
      <w:r w:rsidR="009C556B">
        <w:rPr>
          <w:noProof/>
          <w:vertAlign w:val="superscript"/>
        </w:rPr>
        <w:t>16</w:t>
      </w:r>
      <w:r w:rsidR="00472000" w:rsidRPr="00B66E09">
        <w:rPr>
          <w:noProof/>
          <w:vertAlign w:val="superscript"/>
        </w:rPr>
        <w:t>,</w:t>
      </w:r>
      <w:r w:rsidR="009C556B">
        <w:rPr>
          <w:noProof/>
          <w:vertAlign w:val="superscript"/>
        </w:rPr>
        <w:t>12</w:t>
      </w:r>
      <w:r w:rsidR="00472000" w:rsidRPr="00B66E09">
        <w:rPr>
          <w:noProof/>
          <w:vertAlign w:val="superscript"/>
        </w:rPr>
        <w:t>,</w:t>
      </w:r>
      <w:r w:rsidR="009C556B">
        <w:rPr>
          <w:noProof/>
          <w:vertAlign w:val="superscript"/>
        </w:rPr>
        <w:t>13</w:t>
      </w:r>
      <w:r w:rsidR="00650210" w:rsidRPr="00B66E09">
        <w:rPr>
          <w:noProof/>
          <w:vertAlign w:val="superscript"/>
        </w:rPr>
        <w:t>,</w:t>
      </w:r>
      <w:r w:rsidR="00244669" w:rsidRPr="00B66E09">
        <w:rPr>
          <w:noProof/>
          <w:vertAlign w:val="superscript"/>
        </w:rPr>
        <w:t>17</w:t>
      </w:r>
      <w:r w:rsidR="00AD5787" w:rsidRPr="00B66E09">
        <w:rPr>
          <w:noProof/>
          <w:vertAlign w:val="superscript"/>
        </w:rPr>
        <w:t xml:space="preserve"> </w:t>
      </w:r>
      <w:r w:rsidR="006E70CC" w:rsidRPr="00B66E09">
        <w:rPr>
          <w:rFonts w:cstheme="minorHAnsi"/>
        </w:rPr>
        <w:t xml:space="preserve">confirmed that </w:t>
      </w:r>
      <w:r w:rsidR="00126781" w:rsidRPr="00B66E09">
        <w:t>sources</w:t>
      </w:r>
      <w:r w:rsidR="00472000" w:rsidRPr="00B66E09">
        <w:t xml:space="preserve"> of medicines</w:t>
      </w:r>
      <w:r w:rsidR="00126781" w:rsidRPr="00B66E09">
        <w:t xml:space="preserve"> </w:t>
      </w:r>
      <w:r w:rsidR="00650210" w:rsidRPr="00B66E09">
        <w:t>includ</w:t>
      </w:r>
      <w:r w:rsidR="00126781" w:rsidRPr="00B66E09">
        <w:t>e</w:t>
      </w:r>
      <w:r w:rsidR="00650210" w:rsidRPr="00B66E09">
        <w:t xml:space="preserve"> compassionate access through hospitals or the pharmaceutical industry schemes, </w:t>
      </w:r>
      <w:r w:rsidR="00A26362" w:rsidRPr="00B66E09">
        <w:t>pharmaceutical company sponsored clinical trial</w:t>
      </w:r>
      <w:r w:rsidR="00F958DA" w:rsidRPr="00B66E09">
        <w:t>s</w:t>
      </w:r>
      <w:r w:rsidR="00A26362" w:rsidRPr="00B66E09">
        <w:t xml:space="preserve">, </w:t>
      </w:r>
      <w:r w:rsidR="002223F1" w:rsidRPr="00B66E09">
        <w:t>self-funding</w:t>
      </w:r>
      <w:r w:rsidR="00A26362" w:rsidRPr="00B66E09">
        <w:t xml:space="preserve"> and </w:t>
      </w:r>
      <w:r w:rsidR="00650210" w:rsidRPr="00B66E09">
        <w:t>hospital funding</w:t>
      </w:r>
      <w:bookmarkStart w:id="60" w:name="_Ref502753358"/>
      <w:bookmarkStart w:id="61" w:name="_Toc503047868"/>
      <w:r w:rsidR="0012341F">
        <w:t>.</w:t>
      </w:r>
    </w:p>
    <w:p w:rsidR="00334C4E" w:rsidRPr="00B66E09" w:rsidRDefault="00075120" w:rsidP="00121658">
      <w:pPr>
        <w:pStyle w:val="BodyTextnospacebefore"/>
      </w:pPr>
      <w:bookmarkStart w:id="62" w:name="_Ref503695647"/>
      <w:bookmarkEnd w:id="60"/>
      <w:bookmarkEnd w:id="61"/>
      <w:r w:rsidRPr="00B66E09">
        <w:t>The</w:t>
      </w:r>
      <w:r w:rsidR="00334C4E" w:rsidRPr="00B66E09">
        <w:t xml:space="preserve"> </w:t>
      </w:r>
      <w:r w:rsidR="00334C4E" w:rsidRPr="003F5FE5">
        <w:t xml:space="preserve">CATAG </w:t>
      </w:r>
      <w:r w:rsidRPr="003F5FE5">
        <w:t>submission</w:t>
      </w:r>
      <w:r w:rsidRPr="00B66E09">
        <w:t xml:space="preserve"> </w:t>
      </w:r>
      <w:r w:rsidR="0044699C" w:rsidRPr="00B66E09">
        <w:t xml:space="preserve">to the Review </w:t>
      </w:r>
      <w:r w:rsidR="00334C4E" w:rsidRPr="00B66E09">
        <w:t>describe</w:t>
      </w:r>
      <w:r w:rsidR="00244669" w:rsidRPr="00B66E09">
        <w:t>d</w:t>
      </w:r>
      <w:r w:rsidR="00334C4E" w:rsidRPr="00B66E09">
        <w:t xml:space="preserve"> survey responses sought from hospital Drugs and Therapeutic Committees (DTCs) nationwide about the use and funding of PAH medicines over a two year period (December 2014 – December 2016). Survey responses indicated that hospital formulary listings provide for combination use in a number of cases, typically with either tadalafil or sildenafil in combination with ERAs. </w:t>
      </w:r>
      <w:r w:rsidR="002223F1" w:rsidRPr="00B66E09">
        <w:t xml:space="preserve">Where </w:t>
      </w:r>
      <w:r w:rsidR="00334C4E" w:rsidRPr="00B66E09">
        <w:t>the formulary listing did not permit combination use, individual patient use exemptions were employed to allow acces</w:t>
      </w:r>
      <w:r w:rsidR="0012341F">
        <w:t>s to combination PAH medicines.</w:t>
      </w:r>
    </w:p>
    <w:p w:rsidR="00334C4E" w:rsidRPr="00B66E09" w:rsidRDefault="00334C4E" w:rsidP="00121658">
      <w:pPr>
        <w:pStyle w:val="BodyTextnospacebefore"/>
      </w:pPr>
      <w:r w:rsidRPr="00B66E09">
        <w:t xml:space="preserve">CATAG commented that some </w:t>
      </w:r>
      <w:r w:rsidR="00075120" w:rsidRPr="00B66E09">
        <w:t>managed access and compassionate use</w:t>
      </w:r>
      <w:r w:rsidRPr="00B66E09">
        <w:t xml:space="preserve"> programs are managed through community pharmacies, outside the hospital system entirely </w:t>
      </w:r>
      <w:r w:rsidR="00A26362" w:rsidRPr="00B66E09">
        <w:t xml:space="preserve">and </w:t>
      </w:r>
      <w:r w:rsidRPr="00B66E09">
        <w:t>thus</w:t>
      </w:r>
      <w:r w:rsidR="00A26362" w:rsidRPr="00B66E09">
        <w:t xml:space="preserve"> as a result, </w:t>
      </w:r>
      <w:r w:rsidRPr="00B66E09">
        <w:t>patient numbers managed through the hospitals were unexpectedly low</w:t>
      </w:r>
      <w:r w:rsidR="00A26362" w:rsidRPr="00B66E09">
        <w:t>.</w:t>
      </w:r>
    </w:p>
    <w:p w:rsidR="003622EF" w:rsidRPr="00894B2B" w:rsidRDefault="007E6AC0" w:rsidP="00121658">
      <w:pPr>
        <w:pStyle w:val="Heading3"/>
        <w:numPr>
          <w:ilvl w:val="0"/>
          <w:numId w:val="0"/>
        </w:numPr>
      </w:pPr>
      <w:bookmarkStart w:id="63" w:name="_Ref505611908"/>
      <w:bookmarkStart w:id="64" w:name="_Ref505612059"/>
      <w:bookmarkStart w:id="65" w:name="_Toc513107588"/>
      <w:bookmarkEnd w:id="62"/>
      <w:r w:rsidRPr="00894B2B">
        <w:t>B</w:t>
      </w:r>
      <w:r w:rsidR="005F0E94" w:rsidRPr="00894B2B">
        <w:t>.</w:t>
      </w:r>
      <w:r w:rsidR="006B6C0F" w:rsidRPr="00894B2B">
        <w:t>4.5</w:t>
      </w:r>
      <w:r w:rsidR="002223F1" w:rsidRPr="00894B2B">
        <w:t xml:space="preserve">. </w:t>
      </w:r>
      <w:r w:rsidR="003622EF" w:rsidRPr="00894B2B">
        <w:t>P</w:t>
      </w:r>
      <w:r w:rsidR="00244669" w:rsidRPr="00894B2B">
        <w:t xml:space="preserve">ulmonary </w:t>
      </w:r>
      <w:r w:rsidR="003622EF" w:rsidRPr="00894B2B">
        <w:t>A</w:t>
      </w:r>
      <w:r w:rsidR="00244669" w:rsidRPr="00894B2B">
        <w:t xml:space="preserve">rterial </w:t>
      </w:r>
      <w:r w:rsidR="003622EF" w:rsidRPr="00894B2B">
        <w:t>H</w:t>
      </w:r>
      <w:r w:rsidR="00244669" w:rsidRPr="00894B2B">
        <w:t>ypertension</w:t>
      </w:r>
      <w:r w:rsidR="003622EF" w:rsidRPr="00894B2B">
        <w:t xml:space="preserve"> medicines on the PBS</w:t>
      </w:r>
      <w:bookmarkEnd w:id="52"/>
      <w:bookmarkEnd w:id="53"/>
      <w:bookmarkEnd w:id="54"/>
      <w:bookmarkEnd w:id="55"/>
      <w:bookmarkEnd w:id="63"/>
      <w:bookmarkEnd w:id="64"/>
      <w:bookmarkEnd w:id="65"/>
    </w:p>
    <w:p w:rsidR="003622EF" w:rsidRPr="005F0E94" w:rsidRDefault="005F0E94" w:rsidP="00121658">
      <w:pPr>
        <w:pStyle w:val="Heading4"/>
      </w:pPr>
      <w:bookmarkStart w:id="66" w:name="_B.4.5.1_PBS_listing"/>
      <w:bookmarkStart w:id="67" w:name="_Toc480371865"/>
      <w:bookmarkStart w:id="68" w:name="_Toc486514204"/>
      <w:bookmarkStart w:id="69" w:name="_Ref505611915"/>
      <w:bookmarkStart w:id="70" w:name="_Ref505612027"/>
      <w:bookmarkEnd w:id="66"/>
      <w:r>
        <w:t xml:space="preserve">B.4.5.1 </w:t>
      </w:r>
      <w:r w:rsidR="003622EF" w:rsidRPr="005F0E94">
        <w:t>PBS listing history</w:t>
      </w:r>
      <w:bookmarkEnd w:id="67"/>
      <w:bookmarkEnd w:id="68"/>
      <w:bookmarkEnd w:id="69"/>
      <w:bookmarkEnd w:id="70"/>
    </w:p>
    <w:p w:rsidR="00472000" w:rsidRPr="00B66E09" w:rsidRDefault="00472000" w:rsidP="00121658">
      <w:pPr>
        <w:pStyle w:val="BodyTextnospacebefore"/>
      </w:pPr>
      <w:r w:rsidRPr="00B66E09">
        <w:t>Currently, eight PAH medicines are subsidised through the PBS according to the specific subtypes of PAH, and to disease severity.</w:t>
      </w:r>
    </w:p>
    <w:p w:rsidR="00472000" w:rsidRPr="00B66E09" w:rsidRDefault="00244669" w:rsidP="00121658">
      <w:pPr>
        <w:pStyle w:val="BodyTextnospacebefore"/>
      </w:pPr>
      <w:r w:rsidRPr="00B66E09">
        <w:t xml:space="preserve">The first targeted </w:t>
      </w:r>
      <w:r w:rsidR="00472000" w:rsidRPr="00B66E09">
        <w:t xml:space="preserve">PBS-listed </w:t>
      </w:r>
      <w:r w:rsidRPr="00B66E09">
        <w:t xml:space="preserve">medicine for PAH was </w:t>
      </w:r>
      <w:r w:rsidR="0094680E" w:rsidRPr="00B66E09">
        <w:t>b</w:t>
      </w:r>
      <w:r w:rsidR="00184AC7" w:rsidRPr="00B66E09">
        <w:t>osentan</w:t>
      </w:r>
      <w:r w:rsidRPr="00B66E09">
        <w:t xml:space="preserve"> in March 2004. </w:t>
      </w:r>
      <w:r w:rsidR="004575B0" w:rsidRPr="00B66E09">
        <w:t>Sitaxentan, i</w:t>
      </w:r>
      <w:r w:rsidRPr="00B66E09">
        <w:t>loprost, epoprostenol, sildenafil, ambrisentan</w:t>
      </w:r>
      <w:r w:rsidR="00184AC7" w:rsidRPr="00B66E09">
        <w:t xml:space="preserve"> and </w:t>
      </w:r>
      <w:r w:rsidRPr="00B66E09">
        <w:t xml:space="preserve">tadalafil were listed in the </w:t>
      </w:r>
      <w:r w:rsidR="00184AC7" w:rsidRPr="00B66E09">
        <w:t xml:space="preserve">next </w:t>
      </w:r>
      <w:r w:rsidRPr="00B66E09">
        <w:t>five years</w:t>
      </w:r>
      <w:r w:rsidR="00184AC7" w:rsidRPr="00B66E09">
        <w:t>, with macitentan and riociguat following in 2014 and 2017 respectively.</w:t>
      </w:r>
      <w:r w:rsidR="004575B0" w:rsidRPr="00B66E09">
        <w:t xml:space="preserve"> Sitaxentan was de-listed in 2011 due to safety concerns.</w:t>
      </w:r>
    </w:p>
    <w:p w:rsidR="00472000" w:rsidRPr="00B66E09" w:rsidRDefault="00A26362" w:rsidP="00121658">
      <w:pPr>
        <w:pStyle w:val="BodyTextnospacebefore"/>
      </w:pPr>
      <w:r w:rsidRPr="00B66E09">
        <w:t xml:space="preserve">The date of PBS listing </w:t>
      </w:r>
      <w:r w:rsidR="00F958DA" w:rsidRPr="00B66E09">
        <w:t xml:space="preserve">of </w:t>
      </w:r>
      <w:r w:rsidR="003B74ED" w:rsidRPr="00B66E09">
        <w:t xml:space="preserve">individual </w:t>
      </w:r>
      <w:r w:rsidR="00F958DA" w:rsidRPr="00B66E09">
        <w:t xml:space="preserve">PAH medicines </w:t>
      </w:r>
      <w:r w:rsidRPr="00B66E09">
        <w:t xml:space="preserve">and the indications for </w:t>
      </w:r>
      <w:r w:rsidR="00F958DA" w:rsidRPr="00B66E09">
        <w:t xml:space="preserve">PBS </w:t>
      </w:r>
      <w:r w:rsidRPr="00B66E09">
        <w:t xml:space="preserve">subsidy </w:t>
      </w:r>
      <w:r w:rsidR="003622EF" w:rsidRPr="00B66E09">
        <w:t xml:space="preserve">are </w:t>
      </w:r>
      <w:r w:rsidR="00F958DA" w:rsidRPr="00B66E09">
        <w:t>shown</w:t>
      </w:r>
      <w:r w:rsidR="003622EF" w:rsidRPr="00B66E09">
        <w:t xml:space="preserve"> </w:t>
      </w:r>
      <w:r w:rsidR="003622EF" w:rsidRPr="00CE16FA">
        <w:rPr>
          <w:color w:val="000000" w:themeColor="text1"/>
        </w:rPr>
        <w:t xml:space="preserve">in </w:t>
      </w:r>
      <w:r w:rsidR="00CE16FA" w:rsidRPr="003F5FE5">
        <w:t>Table B.4</w:t>
      </w:r>
      <w:r w:rsidR="003C17FA" w:rsidRPr="003F5FE5">
        <w:t>.</w:t>
      </w:r>
      <w:r w:rsidR="003C17FA" w:rsidRPr="00CE16FA">
        <w:rPr>
          <w:color w:val="000000" w:themeColor="text1"/>
        </w:rPr>
        <w:t xml:space="preserve"> </w:t>
      </w:r>
      <w:r w:rsidR="00472000" w:rsidRPr="00CE16FA">
        <w:rPr>
          <w:color w:val="000000" w:themeColor="text1"/>
        </w:rPr>
        <w:t>A</w:t>
      </w:r>
      <w:r w:rsidR="00472000" w:rsidRPr="00252749">
        <w:t xml:space="preserve"> summary of all PBAC considerations to date for PAH medicines (including recommendations and rejections) and information on the Dispensed Price for Maximum Quantity (DPMQ), authority types and treatment phases for PAH medicines are in </w:t>
      </w:r>
      <w:r w:rsidR="00D63371">
        <w:t xml:space="preserve">Appendix </w:t>
      </w:r>
      <w:r w:rsidR="00D63371">
        <w:rPr>
          <w:noProof/>
        </w:rPr>
        <w:t>1</w:t>
      </w:r>
      <w:proofErr w:type="gramStart"/>
      <w:r w:rsidR="00D63371">
        <w:rPr>
          <w:noProof/>
        </w:rPr>
        <w:t>.</w:t>
      </w:r>
      <w:r w:rsidR="00472000" w:rsidRPr="00252749">
        <w:t>.</w:t>
      </w:r>
      <w:proofErr w:type="gramEnd"/>
    </w:p>
    <w:p w:rsidR="00CA30EE" w:rsidRDefault="00CA30EE" w:rsidP="00D14982">
      <w:pPr>
        <w:pStyle w:val="ToR1TableHeader"/>
      </w:pPr>
      <w:bookmarkStart w:id="71" w:name="_Toc513107621"/>
      <w:r>
        <w:t>Table B.</w:t>
      </w:r>
      <w:r w:rsidR="00D63371">
        <w:rPr>
          <w:noProof/>
        </w:rPr>
        <w:t>4</w:t>
      </w:r>
      <w:r w:rsidR="0015688E">
        <w:tab/>
      </w:r>
      <w:r w:rsidRPr="00252749">
        <w:t>Date of first PBS listing and PBS subsidised indication for PAH medicines</w:t>
      </w:r>
      <w:bookmarkEnd w:id="71"/>
    </w:p>
    <w:tbl>
      <w:tblPr>
        <w:tblStyle w:val="TableGrid2"/>
        <w:tblW w:w="9067" w:type="dxa"/>
        <w:tblLayout w:type="fixed"/>
        <w:tblLook w:val="04A0" w:firstRow="1" w:lastRow="0" w:firstColumn="1" w:lastColumn="0" w:noHBand="0" w:noVBand="1"/>
        <w:tblCaption w:val="PAH medicines and listing dates on the PBS"/>
      </w:tblPr>
      <w:tblGrid>
        <w:gridCol w:w="1565"/>
        <w:gridCol w:w="1417"/>
        <w:gridCol w:w="4253"/>
        <w:gridCol w:w="1832"/>
      </w:tblGrid>
      <w:tr w:rsidR="00184AC7" w:rsidRPr="00CD6C47" w:rsidTr="00CD6C47">
        <w:trPr>
          <w:cnfStyle w:val="100000000000" w:firstRow="1" w:lastRow="0" w:firstColumn="0" w:lastColumn="0" w:oddVBand="0" w:evenVBand="0" w:oddHBand="0" w:evenHBand="0" w:firstRowFirstColumn="0" w:firstRowLastColumn="0" w:lastRowFirstColumn="0" w:lastRowLastColumn="0"/>
        </w:trPr>
        <w:tc>
          <w:tcPr>
            <w:tcW w:w="1565" w:type="dxa"/>
            <w:tcBorders>
              <w:bottom w:val="single" w:sz="4" w:space="0" w:color="auto"/>
            </w:tcBorders>
          </w:tcPr>
          <w:p w:rsidR="003622EF" w:rsidRPr="00CD6C47" w:rsidRDefault="00CD6C47" w:rsidP="00121658">
            <w:pPr>
              <w:pStyle w:val="Tabletext0"/>
              <w:keepNext/>
              <w:spacing w:beforeLines="40" w:before="96" w:afterLines="40" w:after="96" w:line="23" w:lineRule="atLeast"/>
              <w:rPr>
                <w:rFonts w:ascii="Arial" w:hAnsi="Arial" w:cs="Arial"/>
                <w:b/>
                <w:color w:val="auto"/>
              </w:rPr>
            </w:pPr>
            <w:r>
              <w:rPr>
                <w:rFonts w:ascii="Arial" w:hAnsi="Arial" w:cs="Arial"/>
                <w:b/>
                <w:color w:val="auto"/>
              </w:rPr>
              <w:t>M</w:t>
            </w:r>
            <w:r w:rsidR="008C0F4C" w:rsidRPr="00CD6C47">
              <w:rPr>
                <w:rFonts w:ascii="Arial" w:hAnsi="Arial" w:cs="Arial"/>
                <w:b/>
                <w:color w:val="auto"/>
              </w:rPr>
              <w:t>edicine</w:t>
            </w:r>
          </w:p>
        </w:tc>
        <w:tc>
          <w:tcPr>
            <w:tcW w:w="1417" w:type="dxa"/>
            <w:tcBorders>
              <w:bottom w:val="single" w:sz="4" w:space="0" w:color="auto"/>
            </w:tcBorders>
          </w:tcPr>
          <w:p w:rsidR="003622EF" w:rsidRPr="00CD6C47" w:rsidRDefault="00842621" w:rsidP="00121658">
            <w:pPr>
              <w:pStyle w:val="Tabletext0"/>
              <w:keepNext/>
              <w:spacing w:beforeLines="40" w:before="96" w:afterLines="40" w:after="96" w:line="23" w:lineRule="atLeast"/>
              <w:rPr>
                <w:rFonts w:ascii="Arial" w:hAnsi="Arial" w:cs="Arial"/>
                <w:b/>
                <w:color w:val="auto"/>
              </w:rPr>
            </w:pPr>
            <w:r w:rsidRPr="00CD6C47">
              <w:rPr>
                <w:rFonts w:ascii="Arial" w:hAnsi="Arial" w:cs="Arial"/>
                <w:b/>
                <w:color w:val="auto"/>
              </w:rPr>
              <w:t>D</w:t>
            </w:r>
            <w:r w:rsidR="008C0F4C" w:rsidRPr="00CD6C47">
              <w:rPr>
                <w:rFonts w:ascii="Arial" w:hAnsi="Arial" w:cs="Arial"/>
                <w:b/>
                <w:color w:val="auto"/>
              </w:rPr>
              <w:t xml:space="preserve">ate of PBAC </w:t>
            </w:r>
            <w:r w:rsidR="003622EF" w:rsidRPr="00CD6C47">
              <w:rPr>
                <w:rFonts w:ascii="Arial" w:hAnsi="Arial" w:cs="Arial"/>
                <w:b/>
                <w:color w:val="auto"/>
              </w:rPr>
              <w:t>meeting</w:t>
            </w:r>
          </w:p>
        </w:tc>
        <w:tc>
          <w:tcPr>
            <w:tcW w:w="4253" w:type="dxa"/>
            <w:tcBorders>
              <w:bottom w:val="single" w:sz="4" w:space="0" w:color="auto"/>
            </w:tcBorders>
          </w:tcPr>
          <w:p w:rsidR="003622EF" w:rsidRPr="00CD6C47" w:rsidRDefault="00842621" w:rsidP="00121658">
            <w:pPr>
              <w:pStyle w:val="Tabletext0"/>
              <w:keepNext/>
              <w:spacing w:beforeLines="40" w:before="96" w:afterLines="40" w:after="96" w:line="23" w:lineRule="atLeast"/>
              <w:rPr>
                <w:rFonts w:ascii="Arial" w:hAnsi="Arial" w:cs="Arial"/>
                <w:b/>
                <w:color w:val="auto"/>
              </w:rPr>
            </w:pPr>
            <w:r w:rsidRPr="00CD6C47">
              <w:rPr>
                <w:rFonts w:ascii="Arial" w:hAnsi="Arial" w:cs="Arial"/>
                <w:b/>
                <w:color w:val="auto"/>
              </w:rPr>
              <w:t xml:space="preserve">PBS </w:t>
            </w:r>
            <w:r w:rsidR="003622EF" w:rsidRPr="00CD6C47">
              <w:rPr>
                <w:rFonts w:ascii="Arial" w:hAnsi="Arial" w:cs="Arial"/>
                <w:b/>
                <w:color w:val="auto"/>
              </w:rPr>
              <w:t>Indication(s)</w:t>
            </w:r>
          </w:p>
          <w:p w:rsidR="003622EF" w:rsidRPr="00CD6C47" w:rsidRDefault="003622EF" w:rsidP="00121658">
            <w:pPr>
              <w:pStyle w:val="Tabletext0"/>
              <w:keepNext/>
              <w:spacing w:beforeLines="40" w:before="96" w:afterLines="40" w:after="96" w:line="23" w:lineRule="atLeast"/>
              <w:rPr>
                <w:rFonts w:ascii="Arial" w:hAnsi="Arial" w:cs="Arial"/>
                <w:b/>
                <w:color w:val="auto"/>
              </w:rPr>
            </w:pPr>
            <w:r w:rsidRPr="00CD6C47">
              <w:rPr>
                <w:rFonts w:ascii="Arial" w:hAnsi="Arial" w:cs="Arial"/>
                <w:b/>
                <w:color w:val="auto"/>
              </w:rPr>
              <w:t>(WHO FC III/IV unless specified)</w:t>
            </w:r>
          </w:p>
        </w:tc>
        <w:tc>
          <w:tcPr>
            <w:tcW w:w="1832" w:type="dxa"/>
            <w:tcBorders>
              <w:bottom w:val="single" w:sz="4" w:space="0" w:color="auto"/>
            </w:tcBorders>
          </w:tcPr>
          <w:p w:rsidR="003622EF" w:rsidRPr="00CD6C47" w:rsidRDefault="008C0F4C" w:rsidP="00121658">
            <w:pPr>
              <w:pStyle w:val="Tabletext0"/>
              <w:keepNext/>
              <w:spacing w:beforeLines="40" w:before="96" w:afterLines="40" w:after="96" w:line="23" w:lineRule="atLeast"/>
              <w:rPr>
                <w:rFonts w:ascii="Arial" w:hAnsi="Arial" w:cs="Arial"/>
                <w:b/>
                <w:color w:val="auto"/>
              </w:rPr>
            </w:pPr>
            <w:r w:rsidRPr="00CD6C47">
              <w:rPr>
                <w:rFonts w:ascii="Arial" w:hAnsi="Arial" w:cs="Arial"/>
                <w:b/>
                <w:color w:val="auto"/>
              </w:rPr>
              <w:t>Date first PBS-listed</w:t>
            </w:r>
            <w:r w:rsidR="00184AC7" w:rsidRPr="00CD6C47">
              <w:rPr>
                <w:rFonts w:ascii="Arial" w:hAnsi="Arial" w:cs="Arial"/>
                <w:b/>
                <w:color w:val="auto"/>
              </w:rPr>
              <w:t xml:space="preserve"> </w:t>
            </w:r>
          </w:p>
        </w:tc>
      </w:tr>
      <w:tr w:rsidR="003622EF" w:rsidRPr="00CD6C47" w:rsidTr="00CD6C47">
        <w:tc>
          <w:tcPr>
            <w:tcW w:w="9067" w:type="dxa"/>
            <w:gridSpan w:val="4"/>
            <w:shd w:val="clear" w:color="auto" w:fill="D9D9D9" w:themeFill="background1" w:themeFillShade="D9"/>
          </w:tcPr>
          <w:p w:rsidR="003622EF" w:rsidRPr="00CD6C47" w:rsidRDefault="003622EF" w:rsidP="00121658">
            <w:pPr>
              <w:pStyle w:val="Tabletext0"/>
              <w:keepNext/>
              <w:spacing w:beforeLines="40" w:before="96" w:afterLines="40" w:after="96" w:line="23" w:lineRule="atLeast"/>
              <w:rPr>
                <w:rFonts w:ascii="Arial" w:hAnsi="Arial" w:cs="Arial"/>
                <w:b/>
              </w:rPr>
            </w:pPr>
            <w:r w:rsidRPr="00CD6C47">
              <w:rPr>
                <w:rFonts w:ascii="Arial" w:hAnsi="Arial" w:cs="Arial"/>
                <w:b/>
              </w:rPr>
              <w:t>Endothelin receptor antagonists</w:t>
            </w:r>
          </w:p>
        </w:tc>
      </w:tr>
      <w:tr w:rsidR="003622EF" w:rsidRPr="00CD6C47" w:rsidTr="00CD6C47">
        <w:tc>
          <w:tcPr>
            <w:tcW w:w="1565" w:type="dxa"/>
            <w:tcBorders>
              <w:bottom w:val="nil"/>
            </w:tcBorders>
          </w:tcPr>
          <w:p w:rsidR="003622EF" w:rsidRPr="00CD6C47" w:rsidRDefault="0099750F" w:rsidP="00121658">
            <w:pPr>
              <w:pStyle w:val="Tabletext0"/>
              <w:keepNext/>
              <w:spacing w:beforeLines="40" w:before="96" w:afterLines="40" w:after="96" w:line="23" w:lineRule="atLeast"/>
              <w:rPr>
                <w:rFonts w:ascii="Arial" w:hAnsi="Arial" w:cs="Arial"/>
              </w:rPr>
            </w:pPr>
            <w:r w:rsidRPr="00CD6C47">
              <w:rPr>
                <w:rFonts w:ascii="Arial" w:hAnsi="Arial" w:cs="Arial"/>
              </w:rPr>
              <w:t>bosentan</w:t>
            </w:r>
          </w:p>
        </w:tc>
        <w:tc>
          <w:tcPr>
            <w:tcW w:w="1417" w:type="dxa"/>
          </w:tcPr>
          <w:p w:rsidR="003622EF" w:rsidRPr="00CD6C47" w:rsidRDefault="003622EF" w:rsidP="00121658">
            <w:pPr>
              <w:pStyle w:val="Tabletext0"/>
              <w:keepNext/>
              <w:spacing w:beforeLines="40" w:before="96" w:afterLines="40" w:after="96" w:line="23" w:lineRule="atLeast"/>
              <w:rPr>
                <w:rFonts w:ascii="Arial" w:hAnsi="Arial" w:cs="Arial"/>
                <w:u w:val="single"/>
              </w:rPr>
            </w:pPr>
            <w:r w:rsidRPr="00CD6C47">
              <w:rPr>
                <w:rFonts w:ascii="Arial" w:hAnsi="Arial" w:cs="Arial"/>
              </w:rPr>
              <w:t>December 2003</w:t>
            </w:r>
          </w:p>
        </w:tc>
        <w:tc>
          <w:tcPr>
            <w:tcW w:w="4253"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 xml:space="preserve">IPAH and PAH associated with scleroderma </w:t>
            </w:r>
          </w:p>
        </w:tc>
        <w:tc>
          <w:tcPr>
            <w:tcW w:w="1832"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1 March 2004</w:t>
            </w:r>
          </w:p>
        </w:tc>
      </w:tr>
      <w:tr w:rsidR="003622EF" w:rsidRPr="00CD6C47" w:rsidTr="00CD6C47">
        <w:tc>
          <w:tcPr>
            <w:tcW w:w="1565" w:type="dxa"/>
            <w:tcBorders>
              <w:top w:val="nil"/>
            </w:tcBorders>
          </w:tcPr>
          <w:p w:rsidR="003622EF" w:rsidRPr="00CD6C47" w:rsidRDefault="003622EF" w:rsidP="00121658">
            <w:pPr>
              <w:pStyle w:val="Tabletext0"/>
              <w:keepNext/>
              <w:spacing w:beforeLines="40" w:before="96" w:afterLines="40" w:after="96" w:line="23" w:lineRule="atLeast"/>
              <w:rPr>
                <w:rFonts w:ascii="Arial" w:hAnsi="Arial" w:cs="Arial"/>
              </w:rPr>
            </w:pPr>
          </w:p>
        </w:tc>
        <w:tc>
          <w:tcPr>
            <w:tcW w:w="1417" w:type="dxa"/>
          </w:tcPr>
          <w:p w:rsidR="003622EF" w:rsidRPr="00CD6C47" w:rsidRDefault="003622EF" w:rsidP="00121658">
            <w:pPr>
              <w:pStyle w:val="Tabletext0"/>
              <w:keepNext/>
              <w:spacing w:beforeLines="40" w:before="96" w:afterLines="40" w:after="96" w:line="23" w:lineRule="atLeast"/>
              <w:rPr>
                <w:rFonts w:ascii="Arial" w:hAnsi="Arial" w:cs="Arial"/>
                <w:caps/>
                <w:color w:val="000000"/>
                <w:spacing w:val="5"/>
                <w:kern w:val="28"/>
                <w:u w:val="single"/>
                <w:lang w:val="en-US"/>
              </w:rPr>
            </w:pPr>
            <w:r w:rsidRPr="00CD6C47">
              <w:rPr>
                <w:rFonts w:ascii="Arial" w:hAnsi="Arial" w:cs="Arial"/>
              </w:rPr>
              <w:t xml:space="preserve">March 2008 </w:t>
            </w:r>
          </w:p>
        </w:tc>
        <w:tc>
          <w:tcPr>
            <w:tcW w:w="4253"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PAH-CHD</w:t>
            </w:r>
          </w:p>
        </w:tc>
        <w:tc>
          <w:tcPr>
            <w:tcW w:w="1832"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1 August 2008</w:t>
            </w:r>
          </w:p>
        </w:tc>
      </w:tr>
      <w:tr w:rsidR="003622EF" w:rsidRPr="00CD6C47" w:rsidTr="00CD6C47">
        <w:tc>
          <w:tcPr>
            <w:tcW w:w="1565" w:type="dxa"/>
            <w:tcBorders>
              <w:top w:val="nil"/>
            </w:tcBorders>
          </w:tcPr>
          <w:p w:rsidR="003622EF" w:rsidRPr="00CD6C47" w:rsidRDefault="0099750F" w:rsidP="00121658">
            <w:pPr>
              <w:pStyle w:val="Tabletext0"/>
              <w:keepNext/>
              <w:spacing w:beforeLines="40" w:before="96" w:afterLines="40" w:after="96" w:line="23" w:lineRule="atLeast"/>
              <w:rPr>
                <w:rFonts w:ascii="Arial" w:hAnsi="Arial" w:cs="Arial"/>
                <w:i/>
                <w:color w:val="808080" w:themeColor="background1" w:themeShade="80"/>
              </w:rPr>
            </w:pPr>
            <w:r w:rsidRPr="00CD6C47">
              <w:rPr>
                <w:rFonts w:ascii="Arial" w:hAnsi="Arial" w:cs="Arial"/>
                <w:i/>
                <w:color w:val="808080" w:themeColor="background1" w:themeShade="80"/>
              </w:rPr>
              <w:t>sitaxentan</w:t>
            </w:r>
          </w:p>
        </w:tc>
        <w:tc>
          <w:tcPr>
            <w:tcW w:w="1417" w:type="dxa"/>
          </w:tcPr>
          <w:p w:rsidR="003622EF" w:rsidRPr="00CD6C47" w:rsidRDefault="003622EF" w:rsidP="00121658">
            <w:pPr>
              <w:pStyle w:val="Tabletext0"/>
              <w:keepNext/>
              <w:spacing w:beforeLines="40" w:before="96" w:afterLines="40" w:after="96" w:line="23" w:lineRule="atLeast"/>
              <w:rPr>
                <w:rFonts w:ascii="Arial" w:hAnsi="Arial" w:cs="Arial"/>
                <w:i/>
                <w:color w:val="808080" w:themeColor="background1" w:themeShade="80"/>
              </w:rPr>
            </w:pPr>
            <w:r w:rsidRPr="00CD6C47">
              <w:rPr>
                <w:rFonts w:ascii="Arial" w:hAnsi="Arial" w:cs="Arial"/>
                <w:i/>
                <w:color w:val="808080" w:themeColor="background1" w:themeShade="80"/>
              </w:rPr>
              <w:t>July 2007</w:t>
            </w:r>
          </w:p>
        </w:tc>
        <w:tc>
          <w:tcPr>
            <w:tcW w:w="4253" w:type="dxa"/>
          </w:tcPr>
          <w:p w:rsidR="003622EF" w:rsidRPr="00CD6C47" w:rsidRDefault="003622EF" w:rsidP="00121658">
            <w:pPr>
              <w:pStyle w:val="Tabletext0"/>
              <w:keepNext/>
              <w:spacing w:beforeLines="40" w:before="96" w:afterLines="40" w:after="96" w:line="23" w:lineRule="atLeast"/>
              <w:rPr>
                <w:rFonts w:ascii="Arial" w:hAnsi="Arial" w:cs="Arial"/>
                <w:i/>
                <w:color w:val="808080" w:themeColor="background1" w:themeShade="80"/>
              </w:rPr>
            </w:pPr>
            <w:r w:rsidRPr="00CD6C47">
              <w:rPr>
                <w:rFonts w:ascii="Arial" w:hAnsi="Arial" w:cs="Arial"/>
                <w:i/>
                <w:color w:val="808080" w:themeColor="background1" w:themeShade="80"/>
              </w:rPr>
              <w:t>No longer listed</w:t>
            </w:r>
            <w:r w:rsidR="009C5335" w:rsidRPr="00CD6C47">
              <w:rPr>
                <w:rFonts w:ascii="Arial" w:hAnsi="Arial" w:cs="Arial"/>
                <w:i/>
                <w:color w:val="808080" w:themeColor="background1" w:themeShade="80"/>
              </w:rPr>
              <w:t xml:space="preserve"> (de-listed 31 March 2011)</w:t>
            </w:r>
          </w:p>
        </w:tc>
        <w:tc>
          <w:tcPr>
            <w:tcW w:w="1832" w:type="dxa"/>
          </w:tcPr>
          <w:p w:rsidR="003622EF" w:rsidRPr="00CD6C47" w:rsidRDefault="003622EF" w:rsidP="00121658">
            <w:pPr>
              <w:pStyle w:val="Tabletext0"/>
              <w:keepNext/>
              <w:spacing w:beforeLines="40" w:before="96" w:afterLines="40" w:after="96" w:line="23" w:lineRule="atLeast"/>
              <w:rPr>
                <w:rFonts w:ascii="Arial" w:hAnsi="Arial" w:cs="Arial"/>
                <w:i/>
                <w:color w:val="808080" w:themeColor="background1" w:themeShade="80"/>
              </w:rPr>
            </w:pPr>
            <w:r w:rsidRPr="00CD6C47">
              <w:rPr>
                <w:rFonts w:ascii="Arial" w:hAnsi="Arial" w:cs="Arial"/>
                <w:i/>
                <w:color w:val="808080" w:themeColor="background1" w:themeShade="80"/>
              </w:rPr>
              <w:t>1 April 2008</w:t>
            </w:r>
          </w:p>
        </w:tc>
      </w:tr>
      <w:tr w:rsidR="003622EF" w:rsidRPr="00CD6C47" w:rsidTr="00CD6C47">
        <w:tc>
          <w:tcPr>
            <w:tcW w:w="1565" w:type="dxa"/>
          </w:tcPr>
          <w:p w:rsidR="003622EF" w:rsidRPr="00CD6C47" w:rsidRDefault="0099750F" w:rsidP="00121658">
            <w:pPr>
              <w:pStyle w:val="Tabletext0"/>
              <w:keepNext/>
              <w:spacing w:beforeLines="40" w:before="96" w:afterLines="40" w:after="96" w:line="23" w:lineRule="atLeast"/>
              <w:rPr>
                <w:rFonts w:ascii="Arial" w:hAnsi="Arial" w:cs="Arial"/>
              </w:rPr>
            </w:pPr>
            <w:r w:rsidRPr="00CD6C47">
              <w:rPr>
                <w:rFonts w:ascii="Arial" w:hAnsi="Arial" w:cs="Arial"/>
              </w:rPr>
              <w:t>ambrisentan</w:t>
            </w:r>
          </w:p>
        </w:tc>
        <w:tc>
          <w:tcPr>
            <w:tcW w:w="1417" w:type="dxa"/>
          </w:tcPr>
          <w:p w:rsidR="003622EF" w:rsidRPr="00CD6C47" w:rsidRDefault="003622EF" w:rsidP="00121658">
            <w:pPr>
              <w:pStyle w:val="Tabletext0"/>
              <w:keepNext/>
              <w:spacing w:beforeLines="40" w:before="96" w:afterLines="40" w:after="96" w:line="23" w:lineRule="atLeast"/>
              <w:rPr>
                <w:rFonts w:ascii="Arial" w:hAnsi="Arial" w:cs="Arial"/>
                <w:caps/>
                <w:color w:val="000000"/>
                <w:spacing w:val="5"/>
                <w:kern w:val="28"/>
                <w:u w:val="single"/>
                <w:lang w:val="en-US"/>
              </w:rPr>
            </w:pPr>
            <w:r w:rsidRPr="00CD6C47">
              <w:rPr>
                <w:rFonts w:ascii="Arial" w:hAnsi="Arial" w:cs="Arial"/>
              </w:rPr>
              <w:t>July 2009</w:t>
            </w:r>
          </w:p>
        </w:tc>
        <w:tc>
          <w:tcPr>
            <w:tcW w:w="4253"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 xml:space="preserve">IPAH and PAH-CTD </w:t>
            </w:r>
          </w:p>
        </w:tc>
        <w:tc>
          <w:tcPr>
            <w:tcW w:w="1832"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1 December 2009</w:t>
            </w:r>
          </w:p>
        </w:tc>
      </w:tr>
      <w:tr w:rsidR="003622EF" w:rsidRPr="00CD6C47" w:rsidTr="00CD6C47">
        <w:tc>
          <w:tcPr>
            <w:tcW w:w="1565" w:type="dxa"/>
            <w:tcBorders>
              <w:bottom w:val="single" w:sz="4" w:space="0" w:color="auto"/>
            </w:tcBorders>
          </w:tcPr>
          <w:p w:rsidR="003622EF" w:rsidRPr="00CD6C47" w:rsidRDefault="0099750F" w:rsidP="00121658">
            <w:pPr>
              <w:pStyle w:val="Tabletext0"/>
              <w:keepNext/>
              <w:spacing w:beforeLines="40" w:before="96" w:afterLines="40" w:after="96" w:line="23" w:lineRule="atLeast"/>
              <w:rPr>
                <w:rFonts w:ascii="Arial" w:hAnsi="Arial" w:cs="Arial"/>
              </w:rPr>
            </w:pPr>
            <w:r w:rsidRPr="00CD6C47">
              <w:rPr>
                <w:rFonts w:ascii="Arial" w:hAnsi="Arial" w:cs="Arial"/>
              </w:rPr>
              <w:t>macitentan</w:t>
            </w:r>
          </w:p>
        </w:tc>
        <w:tc>
          <w:tcPr>
            <w:tcW w:w="1417" w:type="dxa"/>
            <w:tcBorders>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b/>
                <w:caps/>
                <w:color w:val="000000"/>
                <w:spacing w:val="5"/>
                <w:kern w:val="28"/>
                <w:u w:val="single"/>
                <w:lang w:val="en-US"/>
              </w:rPr>
            </w:pPr>
            <w:r w:rsidRPr="00CD6C47">
              <w:rPr>
                <w:rFonts w:ascii="Arial" w:hAnsi="Arial" w:cs="Arial"/>
              </w:rPr>
              <w:t xml:space="preserve">March 2014 </w:t>
            </w:r>
          </w:p>
        </w:tc>
        <w:tc>
          <w:tcPr>
            <w:tcW w:w="4253" w:type="dxa"/>
            <w:tcBorders>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IPAH, PAH-CTD and PAH-CHD</w:t>
            </w:r>
          </w:p>
        </w:tc>
        <w:tc>
          <w:tcPr>
            <w:tcW w:w="1832" w:type="dxa"/>
            <w:tcBorders>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1 September 2014</w:t>
            </w:r>
          </w:p>
        </w:tc>
      </w:tr>
      <w:tr w:rsidR="003622EF" w:rsidRPr="00CD6C47" w:rsidTr="00CD6C47">
        <w:tc>
          <w:tcPr>
            <w:tcW w:w="9067" w:type="dxa"/>
            <w:gridSpan w:val="4"/>
            <w:shd w:val="clear" w:color="auto" w:fill="D9D9D9" w:themeFill="background1" w:themeFillShade="D9"/>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b/>
              </w:rPr>
              <w:t>Prostanoids</w:t>
            </w:r>
          </w:p>
        </w:tc>
      </w:tr>
      <w:tr w:rsidR="003622EF" w:rsidRPr="00CD6C47" w:rsidTr="00CD6C47">
        <w:tc>
          <w:tcPr>
            <w:tcW w:w="1565" w:type="dxa"/>
            <w:tcBorders>
              <w:bottom w:val="nil"/>
            </w:tcBorders>
          </w:tcPr>
          <w:p w:rsidR="003622EF" w:rsidRPr="00CD6C47" w:rsidRDefault="0099750F" w:rsidP="00121658">
            <w:pPr>
              <w:pStyle w:val="Tabletext0"/>
              <w:keepNext/>
              <w:spacing w:beforeLines="40" w:before="96" w:afterLines="40" w:after="96" w:line="23" w:lineRule="atLeast"/>
              <w:rPr>
                <w:rFonts w:ascii="Arial" w:hAnsi="Arial" w:cs="Arial"/>
              </w:rPr>
            </w:pPr>
            <w:r w:rsidRPr="00CD6C47">
              <w:rPr>
                <w:rFonts w:ascii="Arial" w:hAnsi="Arial" w:cs="Arial"/>
              </w:rPr>
              <w:t xml:space="preserve">iloprost </w:t>
            </w:r>
          </w:p>
        </w:tc>
        <w:tc>
          <w:tcPr>
            <w:tcW w:w="1417"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November 2004</w:t>
            </w:r>
          </w:p>
        </w:tc>
        <w:tc>
          <w:tcPr>
            <w:tcW w:w="4253"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IPAH, PAH-CTD and drug-induced PAH</w:t>
            </w:r>
          </w:p>
        </w:tc>
        <w:tc>
          <w:tcPr>
            <w:tcW w:w="1832"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1 April 2005</w:t>
            </w:r>
          </w:p>
        </w:tc>
      </w:tr>
      <w:tr w:rsidR="003622EF" w:rsidRPr="00CD6C47" w:rsidTr="00CD6C47">
        <w:tc>
          <w:tcPr>
            <w:tcW w:w="1565" w:type="dxa"/>
            <w:tcBorders>
              <w:top w:val="nil"/>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p>
        </w:tc>
        <w:tc>
          <w:tcPr>
            <w:tcW w:w="1417"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March 2008</w:t>
            </w:r>
          </w:p>
        </w:tc>
        <w:tc>
          <w:tcPr>
            <w:tcW w:w="4253"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Removal of ‘adult’ from restrictions to permit use in children (minor submission)</w:t>
            </w:r>
          </w:p>
        </w:tc>
        <w:tc>
          <w:tcPr>
            <w:tcW w:w="1832"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1 July 2008</w:t>
            </w:r>
          </w:p>
        </w:tc>
      </w:tr>
      <w:tr w:rsidR="003622EF" w:rsidRPr="00CD6C47" w:rsidTr="00CD6C47">
        <w:tc>
          <w:tcPr>
            <w:tcW w:w="1565" w:type="dxa"/>
            <w:tcBorders>
              <w:top w:val="single" w:sz="4" w:space="0" w:color="auto"/>
              <w:bottom w:val="nil"/>
            </w:tcBorders>
          </w:tcPr>
          <w:p w:rsidR="003622EF" w:rsidRPr="00CD6C47" w:rsidRDefault="0099750F" w:rsidP="00121658">
            <w:pPr>
              <w:pStyle w:val="Tabletext0"/>
              <w:keepNext/>
              <w:spacing w:beforeLines="40" w:before="96" w:afterLines="40" w:after="96" w:line="23" w:lineRule="atLeast"/>
              <w:ind w:right="-57"/>
              <w:rPr>
                <w:rFonts w:ascii="Arial" w:hAnsi="Arial" w:cs="Arial"/>
              </w:rPr>
            </w:pPr>
            <w:r w:rsidRPr="00CD6C47">
              <w:rPr>
                <w:rFonts w:ascii="Arial" w:hAnsi="Arial" w:cs="Arial"/>
              </w:rPr>
              <w:t>epoprostenol</w:t>
            </w:r>
          </w:p>
        </w:tc>
        <w:tc>
          <w:tcPr>
            <w:tcW w:w="1417"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March 2006</w:t>
            </w:r>
          </w:p>
        </w:tc>
        <w:tc>
          <w:tcPr>
            <w:tcW w:w="4253"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IPAH</w:t>
            </w:r>
          </w:p>
        </w:tc>
        <w:tc>
          <w:tcPr>
            <w:tcW w:w="1832" w:type="dxa"/>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1 August 2006</w:t>
            </w:r>
          </w:p>
        </w:tc>
      </w:tr>
      <w:tr w:rsidR="003622EF" w:rsidRPr="00CD6C47" w:rsidTr="00CD6C47">
        <w:tc>
          <w:tcPr>
            <w:tcW w:w="1565" w:type="dxa"/>
            <w:tcBorders>
              <w:top w:val="nil"/>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p>
        </w:tc>
        <w:tc>
          <w:tcPr>
            <w:tcW w:w="1417" w:type="dxa"/>
            <w:tcBorders>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November 2011</w:t>
            </w:r>
          </w:p>
        </w:tc>
        <w:tc>
          <w:tcPr>
            <w:tcW w:w="4253" w:type="dxa"/>
            <w:tcBorders>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 xml:space="preserve">PAH-CTD (WHO FC III second line; WHO FC IV first line) </w:t>
            </w:r>
          </w:p>
        </w:tc>
        <w:tc>
          <w:tcPr>
            <w:tcW w:w="1832" w:type="dxa"/>
            <w:tcBorders>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1 April 2011</w:t>
            </w:r>
          </w:p>
        </w:tc>
      </w:tr>
      <w:tr w:rsidR="0004089D" w:rsidRPr="006D37E5" w:rsidTr="00CD6C47">
        <w:tc>
          <w:tcPr>
            <w:tcW w:w="9067" w:type="dxa"/>
            <w:gridSpan w:val="4"/>
            <w:shd w:val="clear" w:color="auto" w:fill="D9D9D9" w:themeFill="background1" w:themeFillShade="D9"/>
          </w:tcPr>
          <w:p w:rsidR="0004089D" w:rsidRPr="006D37E5" w:rsidRDefault="0004089D" w:rsidP="00121658">
            <w:pPr>
              <w:pStyle w:val="Tabletext0"/>
              <w:keepNext/>
              <w:spacing w:beforeLines="40" w:before="96" w:afterLines="40" w:after="96" w:line="23" w:lineRule="atLeast"/>
              <w:rPr>
                <w:rFonts w:ascii="Arial" w:hAnsi="Arial" w:cs="Arial"/>
                <w:b/>
              </w:rPr>
            </w:pPr>
            <w:r w:rsidRPr="006D37E5">
              <w:rPr>
                <w:rFonts w:ascii="Arial" w:hAnsi="Arial" w:cs="Arial"/>
                <w:b/>
              </w:rPr>
              <w:t>Phosphodiesterase type 5 inhibitors</w:t>
            </w:r>
          </w:p>
        </w:tc>
      </w:tr>
      <w:tr w:rsidR="0004089D" w:rsidRPr="00CD6C47" w:rsidTr="00CD6C47">
        <w:tc>
          <w:tcPr>
            <w:tcW w:w="1565" w:type="dxa"/>
          </w:tcPr>
          <w:p w:rsidR="0004089D" w:rsidRPr="00CD6C47" w:rsidRDefault="0099750F" w:rsidP="00121658">
            <w:pPr>
              <w:pStyle w:val="Tabletext0"/>
              <w:keepNext/>
              <w:spacing w:beforeLines="40" w:before="96" w:afterLines="40" w:after="96" w:line="23" w:lineRule="atLeast"/>
              <w:rPr>
                <w:rFonts w:ascii="Arial" w:hAnsi="Arial" w:cs="Arial"/>
              </w:rPr>
            </w:pPr>
            <w:r w:rsidRPr="00CD6C47">
              <w:rPr>
                <w:rFonts w:ascii="Arial" w:hAnsi="Arial" w:cs="Arial"/>
              </w:rPr>
              <w:t>sildenafil</w:t>
            </w:r>
          </w:p>
        </w:tc>
        <w:tc>
          <w:tcPr>
            <w:tcW w:w="1417" w:type="dxa"/>
          </w:tcPr>
          <w:p w:rsidR="0004089D" w:rsidRPr="00CD6C47" w:rsidRDefault="0004089D" w:rsidP="00121658">
            <w:pPr>
              <w:pStyle w:val="Tabletext0"/>
              <w:keepNext/>
              <w:spacing w:beforeLines="40" w:before="96" w:afterLines="40" w:after="96" w:line="23" w:lineRule="atLeast"/>
              <w:rPr>
                <w:rFonts w:ascii="Arial" w:hAnsi="Arial" w:cs="Arial"/>
              </w:rPr>
            </w:pPr>
            <w:r w:rsidRPr="00CD6C47">
              <w:rPr>
                <w:rFonts w:ascii="Arial" w:hAnsi="Arial" w:cs="Arial"/>
              </w:rPr>
              <w:t xml:space="preserve">November 2006 </w:t>
            </w:r>
          </w:p>
        </w:tc>
        <w:tc>
          <w:tcPr>
            <w:tcW w:w="4253" w:type="dxa"/>
          </w:tcPr>
          <w:p w:rsidR="0004089D" w:rsidRPr="00CD6C47" w:rsidRDefault="0004089D" w:rsidP="00121658">
            <w:pPr>
              <w:pStyle w:val="Tabletext0"/>
              <w:keepNext/>
              <w:spacing w:beforeLines="40" w:before="96" w:afterLines="40" w:after="96" w:line="23" w:lineRule="atLeast"/>
              <w:rPr>
                <w:rFonts w:ascii="Arial" w:hAnsi="Arial" w:cs="Arial"/>
              </w:rPr>
            </w:pPr>
            <w:r w:rsidRPr="00CD6C47">
              <w:rPr>
                <w:rFonts w:ascii="Arial" w:hAnsi="Arial" w:cs="Arial"/>
              </w:rPr>
              <w:t>IPAH and PAH-CTD (WHO FC III only)</w:t>
            </w:r>
          </w:p>
        </w:tc>
        <w:tc>
          <w:tcPr>
            <w:tcW w:w="1832" w:type="dxa"/>
          </w:tcPr>
          <w:p w:rsidR="0004089D" w:rsidRPr="00CD6C47" w:rsidRDefault="0004089D" w:rsidP="00121658">
            <w:pPr>
              <w:pStyle w:val="Tabletext0"/>
              <w:keepNext/>
              <w:spacing w:beforeLines="40" w:before="96" w:afterLines="40" w:after="96" w:line="23" w:lineRule="atLeast"/>
              <w:rPr>
                <w:rFonts w:ascii="Arial" w:hAnsi="Arial" w:cs="Arial"/>
              </w:rPr>
            </w:pPr>
            <w:r w:rsidRPr="00CD6C47">
              <w:rPr>
                <w:rFonts w:ascii="Arial" w:hAnsi="Arial" w:cs="Arial"/>
              </w:rPr>
              <w:t>1 March 2007</w:t>
            </w:r>
          </w:p>
        </w:tc>
      </w:tr>
      <w:tr w:rsidR="0004089D" w:rsidRPr="00CD6C47" w:rsidTr="00CD6C47">
        <w:tc>
          <w:tcPr>
            <w:tcW w:w="1565" w:type="dxa"/>
            <w:tcBorders>
              <w:bottom w:val="single" w:sz="4" w:space="0" w:color="auto"/>
            </w:tcBorders>
          </w:tcPr>
          <w:p w:rsidR="0004089D" w:rsidRPr="00CD6C47" w:rsidRDefault="0099750F" w:rsidP="00121658">
            <w:pPr>
              <w:pStyle w:val="Tabletext0"/>
              <w:keepNext/>
              <w:spacing w:beforeLines="40" w:before="96" w:afterLines="40" w:after="96" w:line="23" w:lineRule="atLeast"/>
              <w:rPr>
                <w:rFonts w:ascii="Arial" w:hAnsi="Arial" w:cs="Arial"/>
              </w:rPr>
            </w:pPr>
            <w:r w:rsidRPr="00CD6C47">
              <w:rPr>
                <w:rFonts w:ascii="Arial" w:hAnsi="Arial" w:cs="Arial"/>
              </w:rPr>
              <w:t>tadalafil</w:t>
            </w:r>
          </w:p>
        </w:tc>
        <w:tc>
          <w:tcPr>
            <w:tcW w:w="1417" w:type="dxa"/>
            <w:tcBorders>
              <w:bottom w:val="single" w:sz="4" w:space="0" w:color="auto"/>
            </w:tcBorders>
          </w:tcPr>
          <w:p w:rsidR="0004089D" w:rsidRPr="00CD6C47" w:rsidRDefault="0004089D" w:rsidP="00121658">
            <w:pPr>
              <w:pStyle w:val="Tabletext0"/>
              <w:keepNext/>
              <w:spacing w:beforeLines="40" w:before="96" w:afterLines="40" w:after="96" w:line="23" w:lineRule="atLeast"/>
              <w:rPr>
                <w:rFonts w:ascii="Arial" w:hAnsi="Arial" w:cs="Arial"/>
              </w:rPr>
            </w:pPr>
            <w:r w:rsidRPr="00CD6C47">
              <w:rPr>
                <w:rFonts w:ascii="Arial" w:hAnsi="Arial" w:cs="Arial"/>
              </w:rPr>
              <w:t xml:space="preserve">November 2011 </w:t>
            </w:r>
          </w:p>
        </w:tc>
        <w:tc>
          <w:tcPr>
            <w:tcW w:w="4253" w:type="dxa"/>
            <w:tcBorders>
              <w:bottom w:val="single" w:sz="4" w:space="0" w:color="auto"/>
            </w:tcBorders>
          </w:tcPr>
          <w:p w:rsidR="0004089D" w:rsidRPr="00CD6C47" w:rsidRDefault="0004089D" w:rsidP="00121658">
            <w:pPr>
              <w:pStyle w:val="Tabletext0"/>
              <w:keepNext/>
              <w:spacing w:beforeLines="40" w:before="96" w:afterLines="40" w:after="96" w:line="23" w:lineRule="atLeast"/>
              <w:rPr>
                <w:rFonts w:ascii="Arial" w:hAnsi="Arial" w:cs="Arial"/>
              </w:rPr>
            </w:pPr>
            <w:r w:rsidRPr="00CD6C47">
              <w:rPr>
                <w:rFonts w:ascii="Arial" w:hAnsi="Arial" w:cs="Arial"/>
              </w:rPr>
              <w:t>IPAH and PAH-CTD (WHO FC III only)</w:t>
            </w:r>
          </w:p>
        </w:tc>
        <w:tc>
          <w:tcPr>
            <w:tcW w:w="1832" w:type="dxa"/>
            <w:tcBorders>
              <w:bottom w:val="single" w:sz="4" w:space="0" w:color="auto"/>
            </w:tcBorders>
          </w:tcPr>
          <w:p w:rsidR="0004089D" w:rsidRPr="00CD6C47" w:rsidRDefault="0004089D" w:rsidP="00121658">
            <w:pPr>
              <w:pStyle w:val="Tabletext0"/>
              <w:keepNext/>
              <w:spacing w:beforeLines="40" w:before="96" w:afterLines="40" w:after="96" w:line="23" w:lineRule="atLeast"/>
              <w:rPr>
                <w:rFonts w:ascii="Arial" w:hAnsi="Arial" w:cs="Arial"/>
              </w:rPr>
            </w:pPr>
            <w:r w:rsidRPr="00CD6C47">
              <w:rPr>
                <w:rFonts w:ascii="Arial" w:hAnsi="Arial" w:cs="Arial"/>
              </w:rPr>
              <w:t>1 April 2012</w:t>
            </w:r>
          </w:p>
        </w:tc>
      </w:tr>
      <w:tr w:rsidR="003622EF" w:rsidRPr="006D37E5" w:rsidTr="00CD6C47">
        <w:tc>
          <w:tcPr>
            <w:tcW w:w="9067" w:type="dxa"/>
            <w:gridSpan w:val="4"/>
            <w:tcBorders>
              <w:bottom w:val="single" w:sz="4" w:space="0" w:color="auto"/>
            </w:tcBorders>
            <w:shd w:val="clear" w:color="auto" w:fill="D9D9D9" w:themeFill="background1" w:themeFillShade="D9"/>
          </w:tcPr>
          <w:p w:rsidR="003622EF" w:rsidRPr="006D37E5" w:rsidRDefault="00CD6C47" w:rsidP="00121658">
            <w:pPr>
              <w:pStyle w:val="Tabletext0"/>
              <w:keepNext/>
              <w:spacing w:beforeLines="40" w:before="96" w:afterLines="40" w:after="96" w:line="23" w:lineRule="atLeast"/>
              <w:rPr>
                <w:rFonts w:ascii="Arial" w:hAnsi="Arial" w:cs="Arial"/>
                <w:b/>
              </w:rPr>
            </w:pPr>
            <w:r w:rsidRPr="006D37E5">
              <w:rPr>
                <w:rFonts w:ascii="Arial" w:hAnsi="Arial" w:cs="Arial"/>
                <w:b/>
              </w:rPr>
              <w:t>Soluble guanylate cyclase stimulator</w:t>
            </w:r>
          </w:p>
        </w:tc>
      </w:tr>
      <w:tr w:rsidR="003622EF" w:rsidRPr="00CD6C47" w:rsidTr="00CD6C47">
        <w:tc>
          <w:tcPr>
            <w:tcW w:w="1565" w:type="dxa"/>
            <w:tcBorders>
              <w:top w:val="single" w:sz="4" w:space="0" w:color="auto"/>
              <w:bottom w:val="single" w:sz="4" w:space="0" w:color="auto"/>
            </w:tcBorders>
          </w:tcPr>
          <w:p w:rsidR="003622EF" w:rsidRPr="00CD6C47" w:rsidRDefault="0099750F" w:rsidP="00121658">
            <w:pPr>
              <w:pStyle w:val="Tabletext0"/>
              <w:keepNext/>
              <w:spacing w:beforeLines="40" w:before="96" w:afterLines="40" w:after="96" w:line="23" w:lineRule="atLeast"/>
              <w:rPr>
                <w:rFonts w:ascii="Arial" w:hAnsi="Arial" w:cs="Arial"/>
              </w:rPr>
            </w:pPr>
            <w:r w:rsidRPr="00CD6C47">
              <w:rPr>
                <w:rFonts w:ascii="Arial" w:hAnsi="Arial" w:cs="Arial"/>
              </w:rPr>
              <w:t>riociguat</w:t>
            </w:r>
          </w:p>
        </w:tc>
        <w:tc>
          <w:tcPr>
            <w:tcW w:w="1417" w:type="dxa"/>
            <w:tcBorders>
              <w:top w:val="single" w:sz="4" w:space="0" w:color="auto"/>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March 2014</w:t>
            </w:r>
          </w:p>
        </w:tc>
        <w:tc>
          <w:tcPr>
            <w:tcW w:w="4253" w:type="dxa"/>
            <w:tcBorders>
              <w:top w:val="single" w:sz="4" w:space="0" w:color="auto"/>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IPAH, PAH-CTD and PAH-CHD</w:t>
            </w:r>
          </w:p>
        </w:tc>
        <w:tc>
          <w:tcPr>
            <w:tcW w:w="1832" w:type="dxa"/>
            <w:tcBorders>
              <w:top w:val="single" w:sz="4" w:space="0" w:color="auto"/>
              <w:bottom w:val="single" w:sz="4" w:space="0" w:color="auto"/>
            </w:tcBorders>
          </w:tcPr>
          <w:p w:rsidR="003622EF" w:rsidRPr="00CD6C47" w:rsidRDefault="003622EF" w:rsidP="00121658">
            <w:pPr>
              <w:pStyle w:val="Tabletext0"/>
              <w:keepNext/>
              <w:spacing w:beforeLines="40" w:before="96" w:afterLines="40" w:after="96" w:line="23" w:lineRule="atLeast"/>
              <w:rPr>
                <w:rFonts w:ascii="Arial" w:hAnsi="Arial" w:cs="Arial"/>
              </w:rPr>
            </w:pPr>
            <w:r w:rsidRPr="00CD6C47">
              <w:rPr>
                <w:rFonts w:ascii="Arial" w:hAnsi="Arial" w:cs="Arial"/>
              </w:rPr>
              <w:t xml:space="preserve">1 </w:t>
            </w:r>
            <w:r w:rsidR="00FB0A8B" w:rsidRPr="00CD6C47">
              <w:rPr>
                <w:rFonts w:ascii="Arial" w:hAnsi="Arial" w:cs="Arial"/>
              </w:rPr>
              <w:t>February</w:t>
            </w:r>
            <w:r w:rsidRPr="00CD6C47">
              <w:rPr>
                <w:rFonts w:ascii="Arial" w:hAnsi="Arial" w:cs="Arial"/>
              </w:rPr>
              <w:t xml:space="preserve"> 2017</w:t>
            </w:r>
          </w:p>
        </w:tc>
      </w:tr>
    </w:tbl>
    <w:p w:rsidR="0092086B" w:rsidRPr="002E566F" w:rsidRDefault="0092086B" w:rsidP="00121658">
      <w:pPr>
        <w:spacing w:before="0" w:after="240" w:line="240" w:lineRule="auto"/>
        <w:jc w:val="left"/>
        <w:rPr>
          <w:rFonts w:ascii="Arial" w:hAnsi="Arial" w:cs="Arial"/>
          <w:sz w:val="16"/>
          <w:szCs w:val="16"/>
        </w:rPr>
      </w:pPr>
      <w:r w:rsidRPr="002E566F">
        <w:rPr>
          <w:rFonts w:ascii="Arial" w:hAnsi="Arial" w:cs="Arial"/>
          <w:sz w:val="16"/>
          <w:szCs w:val="16"/>
        </w:rPr>
        <w:t>Source: compiled for this review</w:t>
      </w:r>
    </w:p>
    <w:p w:rsidR="003B74ED" w:rsidRDefault="003B74ED" w:rsidP="00121658">
      <w:pPr>
        <w:spacing w:before="0" w:line="240" w:lineRule="auto"/>
        <w:jc w:val="left"/>
        <w:rPr>
          <w:sz w:val="4"/>
        </w:rPr>
      </w:pPr>
      <w:bookmarkStart w:id="72" w:name="_Ref505771772"/>
      <w:bookmarkStart w:id="73" w:name="_Toc502867686"/>
      <w:bookmarkStart w:id="74" w:name="_Toc503800653"/>
      <w:bookmarkStart w:id="75" w:name="_Toc503811605"/>
      <w:bookmarkEnd w:id="56"/>
      <w:bookmarkEnd w:id="57"/>
      <w:bookmarkEnd w:id="58"/>
      <w:bookmarkEnd w:id="59"/>
    </w:p>
    <w:p w:rsidR="003B74ED" w:rsidRDefault="003B74ED" w:rsidP="00121658">
      <w:pPr>
        <w:spacing w:before="0" w:line="240" w:lineRule="auto"/>
        <w:jc w:val="left"/>
        <w:rPr>
          <w:sz w:val="4"/>
        </w:rPr>
      </w:pPr>
    </w:p>
    <w:p w:rsidR="003B74ED" w:rsidRPr="00123B2E" w:rsidRDefault="003B74ED" w:rsidP="00121658">
      <w:pPr>
        <w:pStyle w:val="BodyTextnospacebefore"/>
      </w:pPr>
      <w:r w:rsidRPr="00B66E09">
        <w:t>The basis for the economic analysis as considered by the PBAC in making the recommendation to list the each of the currently PBS subsidised PAH medicines, and the corresponding equi-effective doses</w:t>
      </w:r>
      <w:r w:rsidR="00AD5787" w:rsidRPr="00B66E09">
        <w:t xml:space="preserve">, </w:t>
      </w:r>
      <w:r w:rsidRPr="00B66E09">
        <w:t xml:space="preserve">are </w:t>
      </w:r>
      <w:r w:rsidR="00AD5787" w:rsidRPr="00B66E09">
        <w:t>show</w:t>
      </w:r>
      <w:r w:rsidR="00AD5787" w:rsidRPr="00252749">
        <w:t xml:space="preserve">n </w:t>
      </w:r>
      <w:r w:rsidRPr="00252749">
        <w:t>in</w:t>
      </w:r>
      <w:r w:rsidR="00123B2E">
        <w:t xml:space="preserve"> </w:t>
      </w:r>
      <w:r w:rsidR="00D63371">
        <w:t>Table B.</w:t>
      </w:r>
      <w:r w:rsidR="00D63371">
        <w:rPr>
          <w:noProof/>
        </w:rPr>
        <w:t>5</w:t>
      </w:r>
      <w:r w:rsidR="00D63371">
        <w:t>Table B.</w:t>
      </w:r>
      <w:r w:rsidR="00D63371">
        <w:rPr>
          <w:noProof/>
        </w:rPr>
        <w:t>5</w:t>
      </w:r>
      <w:r w:rsidR="00123B2E">
        <w:t>.</w:t>
      </w:r>
    </w:p>
    <w:p w:rsidR="003B74ED" w:rsidRDefault="003B74ED" w:rsidP="00121658">
      <w:pPr>
        <w:tabs>
          <w:tab w:val="left" w:pos="2410"/>
        </w:tabs>
        <w:spacing w:before="0" w:line="240" w:lineRule="auto"/>
        <w:jc w:val="left"/>
        <w:rPr>
          <w:rFonts w:ascii="Arial" w:hAnsi="Arial"/>
          <w:b/>
          <w:iCs/>
          <w:sz w:val="4"/>
          <w:szCs w:val="18"/>
        </w:rPr>
      </w:pPr>
    </w:p>
    <w:bookmarkEnd w:id="72"/>
    <w:p w:rsidR="00123B2E" w:rsidRDefault="00123B2E" w:rsidP="00121658">
      <w:pPr>
        <w:spacing w:before="0" w:line="240" w:lineRule="auto"/>
        <w:jc w:val="left"/>
        <w:rPr>
          <w:rFonts w:asciiTheme="minorHAnsi" w:hAnsiTheme="minorHAnsi"/>
          <w:b/>
          <w:iCs/>
          <w:szCs w:val="18"/>
        </w:rPr>
      </w:pPr>
      <w:r>
        <w:br w:type="page"/>
      </w:r>
    </w:p>
    <w:p w:rsidR="00CA30EE" w:rsidRDefault="00CA30EE" w:rsidP="00D14982">
      <w:pPr>
        <w:pStyle w:val="ToR1TableHeader"/>
        <w:tabs>
          <w:tab w:val="clear" w:pos="1134"/>
          <w:tab w:val="left" w:pos="0"/>
        </w:tabs>
        <w:ind w:left="0" w:firstLine="0"/>
      </w:pPr>
      <w:bookmarkStart w:id="76" w:name="_Ref510019848"/>
      <w:bookmarkStart w:id="77" w:name="_Toc513107622"/>
      <w:r>
        <w:t>Table B.</w:t>
      </w:r>
      <w:r w:rsidR="00D63371">
        <w:rPr>
          <w:noProof/>
        </w:rPr>
        <w:t>5</w:t>
      </w:r>
      <w:bookmarkEnd w:id="76"/>
      <w:r w:rsidR="0015688E">
        <w:tab/>
      </w:r>
      <w:r w:rsidRPr="00735785">
        <w:t>The Economic analyses and equi-effective doses considered by the PBAC in recommending PBS listing of PAH medicines</w:t>
      </w:r>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Caption w:val="Economic analyses and equi-effective doses for PAH medicines on the PBS"/>
      </w:tblPr>
      <w:tblGrid>
        <w:gridCol w:w="1633"/>
        <w:gridCol w:w="1927"/>
        <w:gridCol w:w="1572"/>
        <w:gridCol w:w="3950"/>
      </w:tblGrid>
      <w:tr w:rsidR="007D75B6" w:rsidRPr="006D37E5" w:rsidTr="006D37E5">
        <w:trPr>
          <w:cantSplit/>
          <w:tblHeader/>
        </w:trPr>
        <w:tc>
          <w:tcPr>
            <w:tcW w:w="0" w:type="auto"/>
            <w:shd w:val="clear" w:color="auto" w:fill="BFBFBF"/>
            <w:vAlign w:val="center"/>
          </w:tcPr>
          <w:p w:rsidR="007D75B6" w:rsidRPr="006D37E5" w:rsidRDefault="007D75B6" w:rsidP="009062F9">
            <w:pPr>
              <w:pStyle w:val="02TableHEADINGcentred"/>
              <w:tabs>
                <w:tab w:val="left" w:pos="2410"/>
              </w:tabs>
              <w:ind w:left="0"/>
              <w:jc w:val="left"/>
              <w:rPr>
                <w:rFonts w:ascii="Arial" w:hAnsi="Arial" w:cs="Arial"/>
                <w:sz w:val="20"/>
                <w:szCs w:val="20"/>
              </w:rPr>
            </w:pPr>
            <w:r w:rsidRPr="006D37E5">
              <w:rPr>
                <w:rFonts w:ascii="Arial" w:hAnsi="Arial" w:cs="Arial"/>
                <w:sz w:val="20"/>
                <w:szCs w:val="20"/>
              </w:rPr>
              <w:t>Date of PBAC consideration</w:t>
            </w:r>
          </w:p>
        </w:tc>
        <w:tc>
          <w:tcPr>
            <w:tcW w:w="1927" w:type="dxa"/>
            <w:shd w:val="clear" w:color="auto" w:fill="BFBFBF"/>
            <w:vAlign w:val="center"/>
          </w:tcPr>
          <w:p w:rsidR="007D75B6" w:rsidRPr="006D37E5" w:rsidRDefault="007D75B6" w:rsidP="00FA1DD0">
            <w:pPr>
              <w:pStyle w:val="02TableHEADINGcentred"/>
              <w:tabs>
                <w:tab w:val="left" w:pos="2410"/>
              </w:tabs>
              <w:ind w:left="98"/>
              <w:jc w:val="left"/>
              <w:rPr>
                <w:rFonts w:ascii="Arial" w:hAnsi="Arial" w:cs="Arial"/>
                <w:sz w:val="20"/>
                <w:szCs w:val="20"/>
              </w:rPr>
            </w:pPr>
            <w:r w:rsidRPr="006D37E5">
              <w:rPr>
                <w:rFonts w:ascii="Arial" w:hAnsi="Arial" w:cs="Arial"/>
                <w:sz w:val="20"/>
                <w:szCs w:val="20"/>
              </w:rPr>
              <w:t>Active ingredient</w:t>
            </w:r>
          </w:p>
          <w:p w:rsidR="007D75B6" w:rsidRPr="006D37E5" w:rsidRDefault="007D75B6" w:rsidP="00FA1DD0">
            <w:pPr>
              <w:pStyle w:val="02TableHEADINGcentred"/>
              <w:tabs>
                <w:tab w:val="left" w:pos="2410"/>
              </w:tabs>
              <w:ind w:left="98"/>
              <w:jc w:val="left"/>
              <w:rPr>
                <w:rFonts w:ascii="Arial" w:hAnsi="Arial" w:cs="Arial"/>
                <w:i/>
                <w:sz w:val="20"/>
                <w:szCs w:val="20"/>
              </w:rPr>
            </w:pPr>
            <w:r w:rsidRPr="006D37E5">
              <w:rPr>
                <w:rFonts w:ascii="Arial" w:hAnsi="Arial" w:cs="Arial"/>
                <w:i/>
                <w:sz w:val="20"/>
                <w:szCs w:val="20"/>
              </w:rPr>
              <w:t>Brand name and strength</w:t>
            </w:r>
          </w:p>
        </w:tc>
        <w:tc>
          <w:tcPr>
            <w:tcW w:w="1572" w:type="dxa"/>
            <w:shd w:val="clear" w:color="auto" w:fill="BFBFBF"/>
            <w:vAlign w:val="center"/>
          </w:tcPr>
          <w:p w:rsidR="007D75B6" w:rsidRPr="006D37E5" w:rsidRDefault="007D75B6" w:rsidP="00FA1DD0">
            <w:pPr>
              <w:pStyle w:val="02TableHEADINGcentred"/>
              <w:tabs>
                <w:tab w:val="left" w:pos="2410"/>
              </w:tabs>
              <w:ind w:left="14"/>
              <w:jc w:val="left"/>
              <w:rPr>
                <w:rFonts w:ascii="Arial" w:hAnsi="Arial" w:cs="Arial"/>
                <w:sz w:val="20"/>
                <w:szCs w:val="20"/>
              </w:rPr>
            </w:pPr>
            <w:r w:rsidRPr="006D37E5">
              <w:rPr>
                <w:rFonts w:ascii="Arial" w:hAnsi="Arial" w:cs="Arial"/>
                <w:sz w:val="20"/>
                <w:szCs w:val="20"/>
              </w:rPr>
              <w:t xml:space="preserve">Basis of economic </w:t>
            </w:r>
            <w:proofErr w:type="spellStart"/>
            <w:r w:rsidRPr="006D37E5">
              <w:rPr>
                <w:rFonts w:ascii="Arial" w:hAnsi="Arial" w:cs="Arial"/>
                <w:sz w:val="20"/>
                <w:szCs w:val="20"/>
              </w:rPr>
              <w:t>analysis</w:t>
            </w:r>
            <w:r w:rsidRPr="006D37E5">
              <w:rPr>
                <w:rFonts w:ascii="Arial" w:hAnsi="Arial" w:cs="Arial"/>
                <w:sz w:val="20"/>
                <w:szCs w:val="20"/>
                <w:vertAlign w:val="superscript"/>
              </w:rPr>
              <w:t>a</w:t>
            </w:r>
            <w:proofErr w:type="spellEnd"/>
          </w:p>
        </w:tc>
        <w:tc>
          <w:tcPr>
            <w:tcW w:w="0" w:type="auto"/>
            <w:shd w:val="clear" w:color="auto" w:fill="BFBFBF"/>
            <w:vAlign w:val="center"/>
          </w:tcPr>
          <w:p w:rsidR="007D75B6" w:rsidRPr="006D37E5" w:rsidRDefault="007D75B6" w:rsidP="00FA1DD0">
            <w:pPr>
              <w:pStyle w:val="02TableHEADINGcentred"/>
              <w:tabs>
                <w:tab w:val="left" w:pos="2410"/>
              </w:tabs>
              <w:ind w:left="144"/>
              <w:jc w:val="left"/>
              <w:rPr>
                <w:rFonts w:ascii="Arial" w:hAnsi="Arial" w:cs="Arial"/>
                <w:sz w:val="20"/>
                <w:szCs w:val="20"/>
              </w:rPr>
            </w:pPr>
            <w:r w:rsidRPr="006D37E5">
              <w:rPr>
                <w:rFonts w:ascii="Arial" w:hAnsi="Arial" w:cs="Arial"/>
                <w:sz w:val="20"/>
                <w:szCs w:val="20"/>
              </w:rPr>
              <w:t>Equi-effective doses</w:t>
            </w:r>
            <w:r w:rsidR="00165B13" w:rsidRPr="006D37E5">
              <w:rPr>
                <w:rFonts w:ascii="Arial" w:hAnsi="Arial" w:cs="Arial"/>
                <w:sz w:val="20"/>
                <w:szCs w:val="20"/>
              </w:rPr>
              <w:t xml:space="preserve"> </w:t>
            </w:r>
            <w:proofErr w:type="spellStart"/>
            <w:r w:rsidR="00165B13" w:rsidRPr="006D37E5">
              <w:rPr>
                <w:rFonts w:ascii="Arial" w:hAnsi="Arial" w:cs="Arial"/>
                <w:sz w:val="20"/>
                <w:szCs w:val="20"/>
              </w:rPr>
              <w:t>recommended</w:t>
            </w:r>
            <w:r w:rsidRPr="006D37E5">
              <w:rPr>
                <w:rFonts w:ascii="Arial" w:hAnsi="Arial" w:cs="Arial"/>
                <w:sz w:val="20"/>
                <w:szCs w:val="20"/>
                <w:vertAlign w:val="superscript"/>
              </w:rPr>
              <w:t>a</w:t>
            </w:r>
            <w:proofErr w:type="spellEnd"/>
          </w:p>
        </w:tc>
      </w:tr>
      <w:tr w:rsidR="007D75B6" w:rsidRPr="006D37E5" w:rsidTr="006D37E5">
        <w:trPr>
          <w:cantSplit/>
        </w:trPr>
        <w:tc>
          <w:tcPr>
            <w:tcW w:w="0" w:type="auto"/>
            <w:tcBorders>
              <w:bottom w:val="single" w:sz="4" w:space="0" w:color="auto"/>
            </w:tcBorders>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December 2003</w:t>
            </w:r>
          </w:p>
        </w:tc>
        <w:tc>
          <w:tcPr>
            <w:tcW w:w="1927" w:type="dxa"/>
            <w:tcBorders>
              <w:bottom w:val="single" w:sz="4" w:space="0" w:color="auto"/>
            </w:tcBorders>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bosentan</w:t>
            </w:r>
          </w:p>
          <w:p w:rsidR="007D75B6" w:rsidRPr="006D37E5" w:rsidRDefault="00060C26" w:rsidP="00FA1DD0">
            <w:pPr>
              <w:pStyle w:val="05Tabletext"/>
              <w:tabs>
                <w:tab w:val="left" w:pos="2410"/>
              </w:tabs>
              <w:ind w:left="98"/>
              <w:rPr>
                <w:rFonts w:ascii="Arial" w:hAnsi="Arial" w:cs="Arial"/>
                <w:b/>
                <w:sz w:val="20"/>
                <w:szCs w:val="20"/>
              </w:rPr>
            </w:pPr>
            <w:r w:rsidRPr="006D37E5">
              <w:rPr>
                <w:rFonts w:ascii="Arial" w:hAnsi="Arial" w:cs="Arial"/>
                <w:sz w:val="20"/>
                <w:szCs w:val="20"/>
              </w:rPr>
              <w:t>Tracleer</w:t>
            </w:r>
            <w:r w:rsidR="00B21981" w:rsidRPr="006D37E5">
              <w:rPr>
                <w:rFonts w:ascii="Arial" w:hAnsi="Arial" w:cs="Arial"/>
                <w:color w:val="222222"/>
                <w:sz w:val="20"/>
                <w:szCs w:val="20"/>
                <w:shd w:val="clear" w:color="auto" w:fill="FFFFFF"/>
              </w:rPr>
              <w:t xml:space="preserve">® </w:t>
            </w:r>
            <w:r w:rsidR="007D75B6" w:rsidRPr="006D37E5">
              <w:rPr>
                <w:rFonts w:ascii="Arial" w:hAnsi="Arial" w:cs="Arial"/>
                <w:sz w:val="20"/>
                <w:szCs w:val="20"/>
              </w:rPr>
              <w:t>62.5mg and 125mg</w:t>
            </w:r>
          </w:p>
        </w:tc>
        <w:tc>
          <w:tcPr>
            <w:tcW w:w="1572" w:type="dxa"/>
            <w:tcBorders>
              <w:bottom w:val="single" w:sz="4" w:space="0" w:color="auto"/>
            </w:tcBorders>
            <w:shd w:val="clear" w:color="auto" w:fill="auto"/>
          </w:tcPr>
          <w:p w:rsidR="007D75B6" w:rsidRPr="003F5FE5" w:rsidRDefault="003F5FE5" w:rsidP="00FA1DD0">
            <w:pPr>
              <w:pStyle w:val="05Tabletext"/>
              <w:tabs>
                <w:tab w:val="left" w:pos="2410"/>
              </w:tabs>
              <w:ind w:left="14"/>
              <w:rPr>
                <w:rFonts w:ascii="Arial" w:hAnsi="Arial" w:cs="Arial"/>
                <w:sz w:val="20"/>
                <w:szCs w:val="20"/>
                <w:highlight w:val="black"/>
              </w:rPr>
            </w:pPr>
            <w:r>
              <w:rPr>
                <w:rFonts w:ascii="Arial" w:hAnsi="Arial" w:cs="Arial"/>
                <w:noProof/>
                <w:color w:val="000000"/>
                <w:sz w:val="20"/>
                <w:szCs w:val="20"/>
                <w:highlight w:val="black"/>
              </w:rPr>
              <w:t>''''''''''' '''''''''''''''''''''' ''''''''''' ''''''''''''''''''''' ''''''''''''</w:t>
            </w:r>
          </w:p>
        </w:tc>
        <w:tc>
          <w:tcPr>
            <w:tcW w:w="0" w:type="auto"/>
            <w:tcBorders>
              <w:bottom w:val="single" w:sz="4" w:space="0" w:color="auto"/>
            </w:tcBorders>
            <w:shd w:val="clear" w:color="auto" w:fill="auto"/>
          </w:tcPr>
          <w:p w:rsidR="007D75B6" w:rsidRPr="003F5FE5" w:rsidRDefault="003F5FE5" w:rsidP="00FA1DD0">
            <w:pPr>
              <w:pStyle w:val="07Tablebullet"/>
              <w:numPr>
                <w:ilvl w:val="0"/>
                <w:numId w:val="0"/>
              </w:numPr>
              <w:tabs>
                <w:tab w:val="left" w:pos="2410"/>
              </w:tabs>
              <w:ind w:left="144"/>
              <w:rPr>
                <w:rFonts w:cs="Arial"/>
                <w:szCs w:val="20"/>
                <w:highlight w:val="black"/>
              </w:rPr>
            </w:pPr>
            <w:r>
              <w:rPr>
                <w:rFonts w:cs="Arial"/>
                <w:noProof/>
                <w:color w:val="000000"/>
                <w:szCs w:val="20"/>
                <w:highlight w:val="black"/>
              </w:rPr>
              <w:t>'''''''''</w:t>
            </w:r>
          </w:p>
        </w:tc>
      </w:tr>
      <w:tr w:rsidR="007D75B6" w:rsidRPr="006D37E5" w:rsidTr="006D37E5">
        <w:trPr>
          <w:cantSplit/>
        </w:trPr>
        <w:tc>
          <w:tcPr>
            <w:tcW w:w="0" w:type="auto"/>
            <w:tcBorders>
              <w:bottom w:val="single" w:sz="4" w:space="0" w:color="auto"/>
            </w:tcBorders>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November 2004</w:t>
            </w:r>
          </w:p>
        </w:tc>
        <w:tc>
          <w:tcPr>
            <w:tcW w:w="1927" w:type="dxa"/>
            <w:tcBorders>
              <w:bottom w:val="single" w:sz="4" w:space="0" w:color="auto"/>
            </w:tcBorders>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 xml:space="preserve">iloprost </w:t>
            </w:r>
          </w:p>
          <w:p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Ventavis</w:t>
            </w:r>
            <w:proofErr w:type="spellEnd"/>
            <w:r w:rsidR="00B21981" w:rsidRPr="006D37E5">
              <w:rPr>
                <w:rFonts w:ascii="Arial" w:hAnsi="Arial" w:cs="Arial"/>
                <w:color w:val="222222"/>
                <w:sz w:val="20"/>
                <w:szCs w:val="20"/>
                <w:shd w:val="clear" w:color="auto" w:fill="FFFFFF"/>
              </w:rPr>
              <w:t>®</w:t>
            </w:r>
            <w:r w:rsidR="007D75B6" w:rsidRPr="006D37E5">
              <w:rPr>
                <w:rFonts w:ascii="Arial" w:hAnsi="Arial" w:cs="Arial"/>
                <w:sz w:val="20"/>
                <w:szCs w:val="20"/>
              </w:rPr>
              <w:t xml:space="preserve"> 10 </w:t>
            </w:r>
            <w:proofErr w:type="spellStart"/>
            <w:r w:rsidR="007D75B6" w:rsidRPr="006D37E5">
              <w:rPr>
                <w:rFonts w:ascii="Arial" w:hAnsi="Arial" w:cs="Arial"/>
                <w:sz w:val="20"/>
                <w:szCs w:val="20"/>
              </w:rPr>
              <w:t>μg</w:t>
            </w:r>
            <w:proofErr w:type="spellEnd"/>
            <w:r w:rsidR="007D75B6" w:rsidRPr="006D37E5">
              <w:rPr>
                <w:rFonts w:ascii="Arial" w:hAnsi="Arial" w:cs="Arial"/>
                <w:sz w:val="20"/>
                <w:szCs w:val="20"/>
              </w:rPr>
              <w:t xml:space="preserve"> in 2mL ampoule</w:t>
            </w:r>
          </w:p>
        </w:tc>
        <w:tc>
          <w:tcPr>
            <w:tcW w:w="1572" w:type="dxa"/>
            <w:tcBorders>
              <w:bottom w:val="dashed" w:sz="4" w:space="0" w:color="auto"/>
            </w:tcBorders>
            <w:shd w:val="clear" w:color="auto" w:fill="auto"/>
          </w:tcPr>
          <w:p w:rsidR="007D75B6" w:rsidRPr="003F5FE5" w:rsidRDefault="003F5FE5" w:rsidP="00FA1DD0">
            <w:pPr>
              <w:pStyle w:val="05Tabletext"/>
              <w:tabs>
                <w:tab w:val="left" w:pos="2410"/>
              </w:tabs>
              <w:ind w:left="14"/>
              <w:rPr>
                <w:rFonts w:ascii="Arial" w:hAnsi="Arial" w:cs="Arial"/>
                <w:sz w:val="20"/>
                <w:szCs w:val="20"/>
                <w:highlight w:val="black"/>
              </w:rPr>
            </w:pPr>
            <w:r>
              <w:rPr>
                <w:rFonts w:ascii="Arial" w:hAnsi="Arial" w:cs="Arial"/>
                <w:noProof/>
                <w:color w:val="000000"/>
                <w:sz w:val="20"/>
                <w:szCs w:val="20"/>
                <w:highlight w:val="black"/>
              </w:rPr>
              <w:t>''''''''''' '''''''''''''''''''''' ''''''''' ''''''''''''''''''''</w:t>
            </w:r>
          </w:p>
        </w:tc>
        <w:tc>
          <w:tcPr>
            <w:tcW w:w="0" w:type="auto"/>
            <w:tcBorders>
              <w:bottom w:val="single" w:sz="4" w:space="0" w:color="auto"/>
            </w:tcBorders>
            <w:shd w:val="clear" w:color="auto" w:fill="auto"/>
          </w:tcPr>
          <w:p w:rsidR="007D75B6" w:rsidRPr="003F5FE5" w:rsidRDefault="003F5FE5" w:rsidP="00FA1DD0">
            <w:pPr>
              <w:pStyle w:val="07Tablebullet"/>
              <w:numPr>
                <w:ilvl w:val="0"/>
                <w:numId w:val="0"/>
              </w:numPr>
              <w:tabs>
                <w:tab w:val="left" w:pos="2410"/>
              </w:tabs>
              <w:ind w:left="144"/>
              <w:rPr>
                <w:rFonts w:cs="Arial"/>
                <w:szCs w:val="20"/>
                <w:highlight w:val="black"/>
              </w:rPr>
            </w:pPr>
            <w:r>
              <w:rPr>
                <w:rFonts w:cs="Arial"/>
                <w:noProof/>
                <w:color w:val="000000"/>
                <w:szCs w:val="20"/>
                <w:highlight w:val="black"/>
              </w:rPr>
              <w:t>'''''''''''''''' ''''''''''''' ''''' '''''''''''''''''''''' '''''''' ''''''''''''' '''''''' ''''''''''' ''''''''''''' ''' '''''''''''''' ''''' '''''''' ''' '''''''''''' ''''''''''''''''''''' '''''''''''''''''''''' ''''''' '''''''''</w:t>
            </w:r>
          </w:p>
          <w:p w:rsidR="007D75B6" w:rsidRPr="003F5FE5" w:rsidRDefault="003F5FE5" w:rsidP="00FA1DD0">
            <w:pPr>
              <w:pStyle w:val="07Tablebullet"/>
              <w:numPr>
                <w:ilvl w:val="0"/>
                <w:numId w:val="0"/>
              </w:numPr>
              <w:tabs>
                <w:tab w:val="left" w:pos="2410"/>
              </w:tabs>
              <w:ind w:left="144"/>
              <w:rPr>
                <w:rFonts w:cs="Arial"/>
                <w:szCs w:val="20"/>
                <w:highlight w:val="black"/>
              </w:rPr>
            </w:pPr>
            <w:r>
              <w:rPr>
                <w:rFonts w:cs="Arial"/>
                <w:noProof/>
                <w:color w:val="000000"/>
                <w:szCs w:val="20"/>
                <w:highlight w:val="black"/>
              </w:rPr>
              <w:t>'''''''''''''''''''''' '''''''''' '''''''' '''''''''''' ''''''''''''</w:t>
            </w:r>
          </w:p>
        </w:tc>
      </w:tr>
      <w:tr w:rsidR="007D75B6" w:rsidRPr="006D37E5" w:rsidTr="006D37E5">
        <w:trPr>
          <w:cantSplit/>
        </w:trPr>
        <w:tc>
          <w:tcPr>
            <w:tcW w:w="0" w:type="auto"/>
            <w:tcBorders>
              <w:bottom w:val="single" w:sz="4" w:space="0" w:color="auto"/>
            </w:tcBorders>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March 2006</w:t>
            </w:r>
          </w:p>
        </w:tc>
        <w:tc>
          <w:tcPr>
            <w:tcW w:w="1927" w:type="dxa"/>
            <w:tcBorders>
              <w:bottom w:val="single" w:sz="4" w:space="0" w:color="auto"/>
            </w:tcBorders>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epoprostenol</w:t>
            </w:r>
          </w:p>
          <w:p w:rsidR="007D75B6" w:rsidRPr="006D37E5" w:rsidRDefault="00060C26" w:rsidP="00FA1DD0">
            <w:pPr>
              <w:pStyle w:val="05Tabletext"/>
              <w:tabs>
                <w:tab w:val="left" w:pos="2410"/>
              </w:tabs>
              <w:ind w:left="98"/>
              <w:rPr>
                <w:rFonts w:ascii="Arial" w:hAnsi="Arial" w:cs="Arial"/>
                <w:sz w:val="20"/>
                <w:szCs w:val="20"/>
              </w:rPr>
            </w:pPr>
            <w:r w:rsidRPr="006D37E5">
              <w:rPr>
                <w:rFonts w:ascii="Arial" w:hAnsi="Arial" w:cs="Arial"/>
                <w:sz w:val="20"/>
                <w:szCs w:val="20"/>
              </w:rPr>
              <w:t>Flolan</w:t>
            </w:r>
            <w:r w:rsidR="00B21981" w:rsidRPr="006D37E5">
              <w:rPr>
                <w:rFonts w:ascii="Arial" w:hAnsi="Arial" w:cs="Arial"/>
                <w:color w:val="222222"/>
                <w:sz w:val="20"/>
                <w:szCs w:val="20"/>
                <w:shd w:val="clear" w:color="auto" w:fill="FFFFFF"/>
              </w:rPr>
              <w:t>®</w:t>
            </w:r>
            <w:r w:rsidR="007D75B6" w:rsidRPr="006D37E5">
              <w:rPr>
                <w:rFonts w:ascii="Arial" w:hAnsi="Arial" w:cs="Arial"/>
                <w:sz w:val="20"/>
                <w:szCs w:val="20"/>
              </w:rPr>
              <w:t xml:space="preserve"> 1.5 mg injection and 500 </w:t>
            </w:r>
            <w:proofErr w:type="spellStart"/>
            <w:r w:rsidR="007D75B6" w:rsidRPr="006D37E5">
              <w:rPr>
                <w:rFonts w:ascii="Arial" w:hAnsi="Arial" w:cs="Arial"/>
                <w:sz w:val="20"/>
                <w:szCs w:val="20"/>
              </w:rPr>
              <w:t>μg</w:t>
            </w:r>
            <w:proofErr w:type="spellEnd"/>
            <w:r w:rsidR="007D75B6" w:rsidRPr="006D37E5">
              <w:rPr>
                <w:rFonts w:ascii="Arial" w:hAnsi="Arial" w:cs="Arial"/>
                <w:sz w:val="20"/>
                <w:szCs w:val="20"/>
              </w:rPr>
              <w:t xml:space="preserve"> injection</w:t>
            </w:r>
          </w:p>
        </w:tc>
        <w:tc>
          <w:tcPr>
            <w:tcW w:w="1572" w:type="dxa"/>
            <w:shd w:val="clear" w:color="auto" w:fill="auto"/>
          </w:tcPr>
          <w:p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w:t>
            </w:r>
          </w:p>
        </w:tc>
        <w:tc>
          <w:tcPr>
            <w:tcW w:w="0" w:type="auto"/>
            <w:tcBorders>
              <w:bottom w:val="single" w:sz="4" w:space="0" w:color="auto"/>
            </w:tcBorders>
            <w:shd w:val="clear" w:color="auto" w:fill="auto"/>
          </w:tcPr>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Epoprostenol, commencing at an average dose of 11.9 ng/kg/min over the first 3 months of treatment and escalating linearly in steps to an aver</w:t>
            </w:r>
            <w:r w:rsidR="009062F9">
              <w:rPr>
                <w:rFonts w:cs="Arial"/>
                <w:szCs w:val="20"/>
              </w:rPr>
              <w:t xml:space="preserve">age dose of 27.2 ng/kg/min at </w:t>
            </w:r>
            <w:r w:rsidR="009062F9" w:rsidRPr="009062F9">
              <w:t>3</w:t>
            </w:r>
            <w:r w:rsidR="009062F9">
              <w:t> </w:t>
            </w:r>
            <w:r w:rsidRPr="009062F9">
              <w:t>years</w:t>
            </w:r>
          </w:p>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Bosentan 125 mg twice daily</w:t>
            </w:r>
          </w:p>
        </w:tc>
      </w:tr>
      <w:tr w:rsidR="007D75B6" w:rsidRPr="006D37E5" w:rsidTr="006D37E5">
        <w:trPr>
          <w:cantSplit/>
        </w:trPr>
        <w:tc>
          <w:tcPr>
            <w:tcW w:w="0" w:type="auto"/>
            <w:tcBorders>
              <w:bottom w:val="single" w:sz="4" w:space="0" w:color="auto"/>
            </w:tcBorders>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November 2006</w:t>
            </w:r>
          </w:p>
        </w:tc>
        <w:tc>
          <w:tcPr>
            <w:tcW w:w="1927" w:type="dxa"/>
            <w:tcBorders>
              <w:bottom w:val="single" w:sz="4" w:space="0" w:color="auto"/>
            </w:tcBorders>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s</w:t>
            </w:r>
            <w:r w:rsidR="003B74ED" w:rsidRPr="006D37E5">
              <w:rPr>
                <w:rFonts w:ascii="Arial" w:hAnsi="Arial" w:cs="Arial"/>
                <w:b/>
                <w:sz w:val="20"/>
                <w:szCs w:val="20"/>
              </w:rPr>
              <w:t>i</w:t>
            </w:r>
            <w:r w:rsidRPr="006D37E5">
              <w:rPr>
                <w:rFonts w:ascii="Arial" w:hAnsi="Arial" w:cs="Arial"/>
                <w:b/>
                <w:sz w:val="20"/>
                <w:szCs w:val="20"/>
              </w:rPr>
              <w:t>ldenafil</w:t>
            </w:r>
          </w:p>
          <w:p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Revatio</w:t>
            </w:r>
            <w:proofErr w:type="spellEnd"/>
            <w:r w:rsidR="00B21981" w:rsidRPr="006D37E5">
              <w:rPr>
                <w:rFonts w:ascii="Arial" w:hAnsi="Arial" w:cs="Arial"/>
                <w:color w:val="222222"/>
                <w:sz w:val="20"/>
                <w:szCs w:val="20"/>
                <w:shd w:val="clear" w:color="auto" w:fill="FFFFFF"/>
              </w:rPr>
              <w:t>®</w:t>
            </w:r>
            <w:r w:rsidR="007D75B6" w:rsidRPr="006D37E5">
              <w:rPr>
                <w:rFonts w:ascii="Arial" w:hAnsi="Arial" w:cs="Arial"/>
                <w:sz w:val="20"/>
                <w:szCs w:val="20"/>
              </w:rPr>
              <w:t xml:space="preserve"> 20 mg</w:t>
            </w:r>
          </w:p>
        </w:tc>
        <w:tc>
          <w:tcPr>
            <w:tcW w:w="1572" w:type="dxa"/>
            <w:shd w:val="clear" w:color="auto" w:fill="auto"/>
          </w:tcPr>
          <w:p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w:t>
            </w:r>
          </w:p>
        </w:tc>
        <w:tc>
          <w:tcPr>
            <w:tcW w:w="0" w:type="auto"/>
            <w:tcBorders>
              <w:bottom w:val="single" w:sz="4" w:space="0" w:color="auto"/>
            </w:tcBorders>
            <w:shd w:val="clear" w:color="auto" w:fill="auto"/>
          </w:tcPr>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Sildenafil 20 mg three times daily</w:t>
            </w:r>
          </w:p>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Bos</w:t>
            </w:r>
            <w:r w:rsidR="009062F9">
              <w:rPr>
                <w:rFonts w:cs="Arial"/>
                <w:szCs w:val="20"/>
              </w:rPr>
              <w:t>entan 62.5 mg twice daily for 4 </w:t>
            </w:r>
            <w:r w:rsidRPr="006D37E5">
              <w:rPr>
                <w:rFonts w:cs="Arial"/>
                <w:szCs w:val="20"/>
              </w:rPr>
              <w:t>weeks then 125 mg twice daily as the maintenance dose</w:t>
            </w:r>
          </w:p>
        </w:tc>
      </w:tr>
      <w:tr w:rsidR="007D75B6" w:rsidRPr="006D37E5" w:rsidTr="006D37E5">
        <w:trPr>
          <w:cantSplit/>
        </w:trPr>
        <w:tc>
          <w:tcPr>
            <w:tcW w:w="0" w:type="auto"/>
            <w:tcBorders>
              <w:bottom w:val="dashed" w:sz="4" w:space="0" w:color="auto"/>
            </w:tcBorders>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March 2008</w:t>
            </w:r>
            <w:r w:rsidRPr="006D37E5">
              <w:rPr>
                <w:rFonts w:ascii="Arial" w:hAnsi="Arial" w:cs="Arial"/>
                <w:sz w:val="20"/>
                <w:szCs w:val="20"/>
                <w:vertAlign w:val="superscript"/>
              </w:rPr>
              <w:t>b</w:t>
            </w:r>
          </w:p>
        </w:tc>
        <w:tc>
          <w:tcPr>
            <w:tcW w:w="1927" w:type="dxa"/>
            <w:tcBorders>
              <w:bottom w:val="dashed" w:sz="4" w:space="0" w:color="auto"/>
            </w:tcBorders>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bosentan</w:t>
            </w:r>
          </w:p>
          <w:p w:rsidR="007D75B6" w:rsidRPr="006D37E5" w:rsidRDefault="00060C26" w:rsidP="00FA1DD0">
            <w:pPr>
              <w:pStyle w:val="05Tabletext"/>
              <w:tabs>
                <w:tab w:val="left" w:pos="2410"/>
              </w:tabs>
              <w:ind w:left="98"/>
              <w:rPr>
                <w:rFonts w:ascii="Arial" w:hAnsi="Arial" w:cs="Arial"/>
                <w:sz w:val="20"/>
                <w:szCs w:val="20"/>
              </w:rPr>
            </w:pPr>
            <w:r w:rsidRPr="006D37E5">
              <w:rPr>
                <w:rFonts w:ascii="Arial" w:hAnsi="Arial" w:cs="Arial"/>
                <w:sz w:val="20"/>
                <w:szCs w:val="20"/>
              </w:rPr>
              <w:t>Tracleer</w:t>
            </w:r>
            <w:r w:rsidR="00B21981" w:rsidRPr="006D37E5">
              <w:rPr>
                <w:rFonts w:ascii="Arial" w:hAnsi="Arial" w:cs="Arial"/>
                <w:color w:val="222222"/>
                <w:sz w:val="20"/>
                <w:szCs w:val="20"/>
                <w:shd w:val="clear" w:color="auto" w:fill="FFFFFF"/>
              </w:rPr>
              <w:t>®</w:t>
            </w:r>
            <w:r w:rsidR="007D75B6" w:rsidRPr="006D37E5">
              <w:rPr>
                <w:rFonts w:ascii="Arial" w:hAnsi="Arial" w:cs="Arial"/>
                <w:sz w:val="20"/>
                <w:szCs w:val="20"/>
              </w:rPr>
              <w:t xml:space="preserve"> 62.5 mg and 125 mg</w:t>
            </w:r>
          </w:p>
        </w:tc>
        <w:tc>
          <w:tcPr>
            <w:tcW w:w="1572" w:type="dxa"/>
            <w:shd w:val="clear" w:color="auto" w:fill="auto"/>
          </w:tcPr>
          <w:p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 xml:space="preserve">Economic analysis not </w:t>
            </w:r>
            <w:proofErr w:type="spellStart"/>
            <w:r w:rsidRPr="006D37E5">
              <w:rPr>
                <w:rFonts w:ascii="Arial" w:hAnsi="Arial" w:cs="Arial"/>
                <w:sz w:val="20"/>
                <w:szCs w:val="20"/>
              </w:rPr>
              <w:t>presented</w:t>
            </w:r>
            <w:r w:rsidRPr="006D37E5">
              <w:rPr>
                <w:rFonts w:ascii="Arial" w:hAnsi="Arial" w:cs="Arial"/>
                <w:sz w:val="20"/>
                <w:szCs w:val="20"/>
                <w:vertAlign w:val="superscript"/>
              </w:rPr>
              <w:t>c</w:t>
            </w:r>
            <w:proofErr w:type="spellEnd"/>
          </w:p>
        </w:tc>
        <w:tc>
          <w:tcPr>
            <w:tcW w:w="0" w:type="auto"/>
            <w:tcBorders>
              <w:bottom w:val="dashed" w:sz="4" w:space="0" w:color="auto"/>
            </w:tcBorders>
            <w:shd w:val="clear" w:color="auto" w:fill="auto"/>
          </w:tcPr>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N/A</w:t>
            </w:r>
          </w:p>
        </w:tc>
      </w:tr>
      <w:tr w:rsidR="007D75B6" w:rsidRPr="006D37E5" w:rsidTr="006D37E5">
        <w:trPr>
          <w:cantSplit/>
        </w:trPr>
        <w:tc>
          <w:tcPr>
            <w:tcW w:w="0" w:type="auto"/>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July 2009</w:t>
            </w:r>
          </w:p>
        </w:tc>
        <w:tc>
          <w:tcPr>
            <w:tcW w:w="1927" w:type="dxa"/>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ambrisentan</w:t>
            </w:r>
          </w:p>
          <w:p w:rsidR="007D75B6" w:rsidRPr="006D37E5" w:rsidRDefault="00777ACB"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Volibris</w:t>
            </w:r>
            <w:proofErr w:type="spellEnd"/>
            <w:r w:rsidR="00B21981" w:rsidRPr="006D37E5">
              <w:rPr>
                <w:rFonts w:ascii="Arial" w:hAnsi="Arial" w:cs="Arial"/>
                <w:color w:val="222222"/>
                <w:sz w:val="20"/>
                <w:szCs w:val="20"/>
                <w:shd w:val="clear" w:color="auto" w:fill="FFFFFF"/>
              </w:rPr>
              <w:t>®</w:t>
            </w:r>
            <w:r w:rsidR="007D75B6" w:rsidRPr="006D37E5">
              <w:rPr>
                <w:rFonts w:ascii="Arial" w:hAnsi="Arial" w:cs="Arial"/>
                <w:sz w:val="20"/>
                <w:szCs w:val="20"/>
              </w:rPr>
              <w:t xml:space="preserve"> 5 mg and 10mg</w:t>
            </w:r>
          </w:p>
        </w:tc>
        <w:tc>
          <w:tcPr>
            <w:tcW w:w="1572" w:type="dxa"/>
            <w:shd w:val="clear" w:color="auto" w:fill="auto"/>
          </w:tcPr>
          <w:p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w:t>
            </w:r>
          </w:p>
        </w:tc>
        <w:tc>
          <w:tcPr>
            <w:tcW w:w="0" w:type="auto"/>
            <w:shd w:val="clear" w:color="auto" w:fill="auto"/>
          </w:tcPr>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 xml:space="preserve">Ambrisentan 5 mg once daily </w:t>
            </w:r>
          </w:p>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Bosentan 125 mg twice daily</w:t>
            </w:r>
          </w:p>
        </w:tc>
      </w:tr>
      <w:tr w:rsidR="007D75B6" w:rsidRPr="006D37E5" w:rsidTr="006D37E5">
        <w:trPr>
          <w:cantSplit/>
        </w:trPr>
        <w:tc>
          <w:tcPr>
            <w:tcW w:w="0" w:type="auto"/>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November 2011</w:t>
            </w:r>
          </w:p>
        </w:tc>
        <w:tc>
          <w:tcPr>
            <w:tcW w:w="1927" w:type="dxa"/>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tadalafil</w:t>
            </w:r>
          </w:p>
          <w:p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Adcirca</w:t>
            </w:r>
            <w:proofErr w:type="spellEnd"/>
            <w:r w:rsidR="00B21981" w:rsidRPr="006D37E5">
              <w:rPr>
                <w:rFonts w:ascii="Arial" w:hAnsi="Arial" w:cs="Arial"/>
                <w:color w:val="222222"/>
                <w:sz w:val="20"/>
                <w:szCs w:val="20"/>
                <w:shd w:val="clear" w:color="auto" w:fill="FFFFFF"/>
              </w:rPr>
              <w:t>®</w:t>
            </w:r>
            <w:r w:rsidR="007D75B6" w:rsidRPr="006D37E5">
              <w:rPr>
                <w:rFonts w:ascii="Arial" w:hAnsi="Arial" w:cs="Arial"/>
                <w:sz w:val="20"/>
                <w:szCs w:val="20"/>
              </w:rPr>
              <w:t xml:space="preserve"> 20 mg</w:t>
            </w:r>
          </w:p>
        </w:tc>
        <w:tc>
          <w:tcPr>
            <w:tcW w:w="1572" w:type="dxa"/>
            <w:shd w:val="clear" w:color="auto" w:fill="auto"/>
          </w:tcPr>
          <w:p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sildenafil</w:t>
            </w:r>
          </w:p>
        </w:tc>
        <w:tc>
          <w:tcPr>
            <w:tcW w:w="0" w:type="auto"/>
            <w:shd w:val="clear" w:color="auto" w:fill="auto"/>
          </w:tcPr>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Tadalafil 40 mg once daily</w:t>
            </w:r>
          </w:p>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Sildenafil 20 mg three times daily</w:t>
            </w:r>
          </w:p>
        </w:tc>
      </w:tr>
      <w:tr w:rsidR="007D75B6" w:rsidRPr="006D37E5" w:rsidTr="006D37E5">
        <w:trPr>
          <w:cantSplit/>
        </w:trPr>
        <w:tc>
          <w:tcPr>
            <w:tcW w:w="0" w:type="auto"/>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November 2011</w:t>
            </w:r>
            <w:r w:rsidR="00165B13" w:rsidRPr="006D37E5">
              <w:rPr>
                <w:rFonts w:ascii="Arial" w:hAnsi="Arial" w:cs="Arial"/>
                <w:sz w:val="20"/>
                <w:szCs w:val="20"/>
                <w:vertAlign w:val="superscript"/>
              </w:rPr>
              <w:t>b</w:t>
            </w:r>
          </w:p>
        </w:tc>
        <w:tc>
          <w:tcPr>
            <w:tcW w:w="1927" w:type="dxa"/>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epoprostenol</w:t>
            </w:r>
          </w:p>
          <w:p w:rsidR="007D75B6" w:rsidRPr="006D37E5" w:rsidRDefault="00060C26" w:rsidP="00FA1DD0">
            <w:pPr>
              <w:pStyle w:val="05Tabletext"/>
              <w:tabs>
                <w:tab w:val="left" w:pos="2410"/>
              </w:tabs>
              <w:ind w:left="98"/>
              <w:rPr>
                <w:rFonts w:ascii="Arial" w:hAnsi="Arial" w:cs="Arial"/>
                <w:b/>
                <w:sz w:val="20"/>
                <w:szCs w:val="20"/>
              </w:rPr>
            </w:pPr>
            <w:r w:rsidRPr="006D37E5">
              <w:rPr>
                <w:rFonts w:ascii="Arial" w:hAnsi="Arial" w:cs="Arial"/>
                <w:sz w:val="20"/>
                <w:szCs w:val="20"/>
              </w:rPr>
              <w:t>Flolan</w:t>
            </w:r>
            <w:r w:rsidR="00B21981" w:rsidRPr="006D37E5">
              <w:rPr>
                <w:rFonts w:ascii="Arial" w:hAnsi="Arial" w:cs="Arial"/>
                <w:color w:val="222222"/>
                <w:sz w:val="20"/>
                <w:szCs w:val="20"/>
                <w:shd w:val="clear" w:color="auto" w:fill="FFFFFF"/>
              </w:rPr>
              <w:t>®</w:t>
            </w:r>
            <w:r w:rsidR="007D75B6" w:rsidRPr="006D37E5">
              <w:rPr>
                <w:rFonts w:ascii="Arial" w:hAnsi="Arial" w:cs="Arial"/>
                <w:sz w:val="20"/>
                <w:szCs w:val="20"/>
              </w:rPr>
              <w:t xml:space="preserve"> 1.5 mg injection and 500 </w:t>
            </w:r>
            <w:proofErr w:type="spellStart"/>
            <w:r w:rsidR="007D75B6" w:rsidRPr="006D37E5">
              <w:rPr>
                <w:rFonts w:ascii="Arial" w:hAnsi="Arial" w:cs="Arial"/>
                <w:sz w:val="20"/>
                <w:szCs w:val="20"/>
              </w:rPr>
              <w:t>μg</w:t>
            </w:r>
            <w:proofErr w:type="spellEnd"/>
            <w:r w:rsidR="007D75B6" w:rsidRPr="006D37E5">
              <w:rPr>
                <w:rFonts w:ascii="Arial" w:hAnsi="Arial" w:cs="Arial"/>
                <w:sz w:val="20"/>
                <w:szCs w:val="20"/>
              </w:rPr>
              <w:t xml:space="preserve"> injection</w:t>
            </w:r>
          </w:p>
        </w:tc>
        <w:tc>
          <w:tcPr>
            <w:tcW w:w="1572" w:type="dxa"/>
            <w:shd w:val="clear" w:color="auto" w:fill="auto"/>
          </w:tcPr>
          <w:p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 and sildenafil</w:t>
            </w:r>
          </w:p>
        </w:tc>
        <w:tc>
          <w:tcPr>
            <w:tcW w:w="0" w:type="auto"/>
            <w:shd w:val="clear" w:color="auto" w:fill="auto"/>
          </w:tcPr>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Epoprostenol, commencing at a dose of 2.2 ng/kg/min, with an average dose of 11.2 ng/kg/min at week 12, increasing linearly in steps to an average dose of 47.4 ng/kg/min at 3 years</w:t>
            </w:r>
          </w:p>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Bos</w:t>
            </w:r>
            <w:r w:rsidR="009062F9">
              <w:rPr>
                <w:rFonts w:cs="Arial"/>
                <w:szCs w:val="20"/>
              </w:rPr>
              <w:t>entan 62.5 mg twice daily for 4 </w:t>
            </w:r>
            <w:r w:rsidRPr="006D37E5">
              <w:rPr>
                <w:rFonts w:cs="Arial"/>
                <w:szCs w:val="20"/>
              </w:rPr>
              <w:t>weeks, then a maintenance dose of 125 mg twice daily</w:t>
            </w:r>
          </w:p>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 xml:space="preserve">Iloprost 2.5-5 µg nebulised 6-9 times per day, giving a mean of 7.5 x 20 µg </w:t>
            </w:r>
            <w:r w:rsidR="00165B13" w:rsidRPr="006D37E5">
              <w:rPr>
                <w:rFonts w:cs="Arial"/>
                <w:szCs w:val="20"/>
              </w:rPr>
              <w:t xml:space="preserve">ampoules </w:t>
            </w:r>
            <w:r w:rsidR="00043CB5" w:rsidRPr="006D37E5">
              <w:rPr>
                <w:rFonts w:cs="Arial"/>
                <w:szCs w:val="20"/>
              </w:rPr>
              <w:t xml:space="preserve">consumed </w:t>
            </w:r>
            <w:r w:rsidRPr="006D37E5">
              <w:rPr>
                <w:rFonts w:cs="Arial"/>
                <w:szCs w:val="20"/>
              </w:rPr>
              <w:t>per day.</w:t>
            </w:r>
          </w:p>
        </w:tc>
      </w:tr>
      <w:tr w:rsidR="007D75B6" w:rsidRPr="006D37E5" w:rsidTr="006D37E5">
        <w:trPr>
          <w:cantSplit/>
        </w:trPr>
        <w:tc>
          <w:tcPr>
            <w:tcW w:w="0" w:type="auto"/>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March 2014</w:t>
            </w:r>
          </w:p>
        </w:tc>
        <w:tc>
          <w:tcPr>
            <w:tcW w:w="1927" w:type="dxa"/>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macitentan</w:t>
            </w:r>
          </w:p>
          <w:p w:rsidR="007D75B6" w:rsidRPr="006D37E5" w:rsidRDefault="00060C26" w:rsidP="00FA1DD0">
            <w:pPr>
              <w:pStyle w:val="05Tabletext"/>
              <w:tabs>
                <w:tab w:val="left" w:pos="2410"/>
              </w:tabs>
              <w:ind w:left="98"/>
              <w:rPr>
                <w:rFonts w:ascii="Arial" w:hAnsi="Arial" w:cs="Arial"/>
                <w:sz w:val="20"/>
                <w:szCs w:val="20"/>
              </w:rPr>
            </w:pPr>
            <w:r w:rsidRPr="006D37E5">
              <w:rPr>
                <w:rFonts w:ascii="Arial" w:hAnsi="Arial" w:cs="Arial"/>
                <w:sz w:val="20"/>
                <w:szCs w:val="20"/>
              </w:rPr>
              <w:t>Opsumit</w:t>
            </w:r>
            <w:r w:rsidR="00B21981" w:rsidRPr="006D37E5">
              <w:rPr>
                <w:rFonts w:ascii="Arial" w:hAnsi="Arial" w:cs="Arial"/>
                <w:color w:val="222222"/>
                <w:sz w:val="20"/>
                <w:szCs w:val="20"/>
                <w:shd w:val="clear" w:color="auto" w:fill="FFFFFF"/>
              </w:rPr>
              <w:t>®</w:t>
            </w:r>
            <w:r w:rsidR="007D75B6" w:rsidRPr="006D37E5">
              <w:rPr>
                <w:rFonts w:ascii="Arial" w:hAnsi="Arial" w:cs="Arial"/>
                <w:sz w:val="20"/>
                <w:szCs w:val="20"/>
              </w:rPr>
              <w:t xml:space="preserve"> 10mg</w:t>
            </w:r>
          </w:p>
        </w:tc>
        <w:tc>
          <w:tcPr>
            <w:tcW w:w="1572" w:type="dxa"/>
            <w:shd w:val="clear" w:color="auto" w:fill="auto"/>
          </w:tcPr>
          <w:p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w:t>
            </w:r>
          </w:p>
        </w:tc>
        <w:tc>
          <w:tcPr>
            <w:tcW w:w="0" w:type="auto"/>
            <w:shd w:val="clear" w:color="auto" w:fill="auto"/>
          </w:tcPr>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 xml:space="preserve">Macitentan 10 mg once daily </w:t>
            </w:r>
          </w:p>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Bos</w:t>
            </w:r>
            <w:r w:rsidR="009062F9">
              <w:rPr>
                <w:rFonts w:cs="Arial"/>
                <w:szCs w:val="20"/>
              </w:rPr>
              <w:t>entan 62.5 mg twice daily for 4 </w:t>
            </w:r>
            <w:r w:rsidRPr="006D37E5">
              <w:rPr>
                <w:rFonts w:cs="Arial"/>
                <w:szCs w:val="20"/>
              </w:rPr>
              <w:t>weeks, then a maintenance dose of 125 mg twice daily</w:t>
            </w:r>
          </w:p>
        </w:tc>
      </w:tr>
      <w:tr w:rsidR="007D75B6" w:rsidRPr="006D37E5" w:rsidTr="006D37E5">
        <w:trPr>
          <w:cantSplit/>
        </w:trPr>
        <w:tc>
          <w:tcPr>
            <w:tcW w:w="0" w:type="auto"/>
            <w:shd w:val="clear" w:color="auto" w:fill="auto"/>
          </w:tcPr>
          <w:p w:rsidR="007D75B6" w:rsidRPr="006D37E5" w:rsidRDefault="007D75B6" w:rsidP="009062F9">
            <w:pPr>
              <w:pStyle w:val="05Tabletext"/>
              <w:tabs>
                <w:tab w:val="left" w:pos="2410"/>
              </w:tabs>
              <w:ind w:left="0"/>
              <w:rPr>
                <w:rFonts w:ascii="Arial" w:hAnsi="Arial" w:cs="Arial"/>
                <w:sz w:val="20"/>
                <w:szCs w:val="20"/>
              </w:rPr>
            </w:pPr>
            <w:r w:rsidRPr="006D37E5">
              <w:rPr>
                <w:rFonts w:ascii="Arial" w:hAnsi="Arial" w:cs="Arial"/>
                <w:sz w:val="20"/>
                <w:szCs w:val="20"/>
              </w:rPr>
              <w:t>March 2014</w:t>
            </w:r>
          </w:p>
        </w:tc>
        <w:tc>
          <w:tcPr>
            <w:tcW w:w="1927" w:type="dxa"/>
            <w:shd w:val="clear" w:color="auto" w:fill="auto"/>
          </w:tcPr>
          <w:p w:rsidR="007D75B6" w:rsidRPr="006D37E5" w:rsidRDefault="0099750F" w:rsidP="00FA1DD0">
            <w:pPr>
              <w:pStyle w:val="05Tabletext"/>
              <w:tabs>
                <w:tab w:val="left" w:pos="2410"/>
              </w:tabs>
              <w:ind w:left="98"/>
              <w:rPr>
                <w:rFonts w:ascii="Arial" w:hAnsi="Arial" w:cs="Arial"/>
                <w:b/>
                <w:sz w:val="20"/>
                <w:szCs w:val="20"/>
              </w:rPr>
            </w:pPr>
            <w:r w:rsidRPr="006D37E5">
              <w:rPr>
                <w:rFonts w:ascii="Arial" w:hAnsi="Arial" w:cs="Arial"/>
                <w:b/>
                <w:sz w:val="20"/>
                <w:szCs w:val="20"/>
              </w:rPr>
              <w:t>riociguat</w:t>
            </w:r>
          </w:p>
          <w:p w:rsidR="007D75B6" w:rsidRPr="006D37E5" w:rsidRDefault="00060C26" w:rsidP="00FA1DD0">
            <w:pPr>
              <w:pStyle w:val="05Tabletext"/>
              <w:tabs>
                <w:tab w:val="left" w:pos="2410"/>
              </w:tabs>
              <w:ind w:left="98"/>
              <w:rPr>
                <w:rFonts w:ascii="Arial" w:hAnsi="Arial" w:cs="Arial"/>
                <w:sz w:val="20"/>
                <w:szCs w:val="20"/>
              </w:rPr>
            </w:pPr>
            <w:proofErr w:type="spellStart"/>
            <w:r w:rsidRPr="006D37E5">
              <w:rPr>
                <w:rFonts w:ascii="Arial" w:hAnsi="Arial" w:cs="Arial"/>
                <w:sz w:val="20"/>
                <w:szCs w:val="20"/>
              </w:rPr>
              <w:t>Adempas</w:t>
            </w:r>
            <w:proofErr w:type="spellEnd"/>
            <w:r w:rsidR="00B21981" w:rsidRPr="006D37E5">
              <w:rPr>
                <w:rFonts w:ascii="Arial" w:hAnsi="Arial" w:cs="Arial"/>
                <w:color w:val="222222"/>
                <w:sz w:val="20"/>
                <w:szCs w:val="20"/>
                <w:shd w:val="clear" w:color="auto" w:fill="FFFFFF"/>
              </w:rPr>
              <w:t>®</w:t>
            </w:r>
            <w:r w:rsidR="007D75B6" w:rsidRPr="006D37E5">
              <w:rPr>
                <w:rFonts w:ascii="Arial" w:hAnsi="Arial" w:cs="Arial"/>
                <w:sz w:val="20"/>
                <w:szCs w:val="20"/>
              </w:rPr>
              <w:t xml:space="preserve"> 500 μg,1 mg, 1.5 mg, 2 mg and 2.5 mg</w:t>
            </w:r>
          </w:p>
        </w:tc>
        <w:tc>
          <w:tcPr>
            <w:tcW w:w="1572" w:type="dxa"/>
            <w:shd w:val="clear" w:color="auto" w:fill="auto"/>
          </w:tcPr>
          <w:p w:rsidR="007D75B6" w:rsidRPr="006D37E5" w:rsidRDefault="007D75B6" w:rsidP="00FA1DD0">
            <w:pPr>
              <w:pStyle w:val="05Tabletext"/>
              <w:tabs>
                <w:tab w:val="left" w:pos="2410"/>
              </w:tabs>
              <w:ind w:left="14"/>
              <w:rPr>
                <w:rFonts w:ascii="Arial" w:hAnsi="Arial" w:cs="Arial"/>
                <w:sz w:val="20"/>
                <w:szCs w:val="20"/>
              </w:rPr>
            </w:pPr>
            <w:r w:rsidRPr="006D37E5">
              <w:rPr>
                <w:rFonts w:ascii="Arial" w:hAnsi="Arial" w:cs="Arial"/>
                <w:sz w:val="20"/>
                <w:szCs w:val="20"/>
              </w:rPr>
              <w:t>CMA compared with bosentan and sildenafil</w:t>
            </w:r>
          </w:p>
        </w:tc>
        <w:tc>
          <w:tcPr>
            <w:tcW w:w="0" w:type="auto"/>
            <w:shd w:val="clear" w:color="auto" w:fill="auto"/>
          </w:tcPr>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Riociguat individually titrated (1 mg three times daily to 2.5 mg three times daily</w:t>
            </w:r>
          </w:p>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Bosentan 62.5 mg twice daily or 125 mg twice daily</w:t>
            </w:r>
          </w:p>
          <w:p w:rsidR="007D75B6" w:rsidRPr="006D37E5" w:rsidRDefault="007D75B6" w:rsidP="00FA1DD0">
            <w:pPr>
              <w:pStyle w:val="07Tablebullet"/>
              <w:numPr>
                <w:ilvl w:val="0"/>
                <w:numId w:val="0"/>
              </w:numPr>
              <w:tabs>
                <w:tab w:val="left" w:pos="2410"/>
              </w:tabs>
              <w:ind w:left="144"/>
              <w:rPr>
                <w:rFonts w:cs="Arial"/>
                <w:szCs w:val="20"/>
              </w:rPr>
            </w:pPr>
            <w:r w:rsidRPr="006D37E5">
              <w:rPr>
                <w:rFonts w:cs="Arial"/>
                <w:szCs w:val="20"/>
              </w:rPr>
              <w:t>Sildenafil 20 mg three times daily</w:t>
            </w:r>
          </w:p>
        </w:tc>
      </w:tr>
    </w:tbl>
    <w:p w:rsidR="007D75B6" w:rsidRPr="002E566F" w:rsidRDefault="007D75B6" w:rsidP="00121658">
      <w:pPr>
        <w:pStyle w:val="10TableorFigurefootnote"/>
        <w:tabs>
          <w:tab w:val="left" w:pos="2410"/>
        </w:tabs>
        <w:rPr>
          <w:rFonts w:ascii="Arial" w:hAnsi="Arial" w:cs="Arial"/>
          <w:sz w:val="18"/>
          <w:szCs w:val="18"/>
        </w:rPr>
      </w:pPr>
      <w:r w:rsidRPr="002E566F">
        <w:rPr>
          <w:rFonts w:ascii="Arial" w:hAnsi="Arial" w:cs="Arial"/>
          <w:sz w:val="18"/>
          <w:szCs w:val="18"/>
        </w:rPr>
        <w:t>CEA = cost-effectiveness-analysis; CMA = cost-minimisation analysis; PAH = pulmonary arterial hypertension; PBS = Pharmaceutical Benefits Scheme</w:t>
      </w:r>
    </w:p>
    <w:p w:rsidR="007D75B6" w:rsidRPr="002E566F" w:rsidRDefault="007D75B6" w:rsidP="00121658">
      <w:pPr>
        <w:pStyle w:val="10TableorFigurefootnote"/>
        <w:rPr>
          <w:rFonts w:ascii="Arial" w:hAnsi="Arial" w:cs="Arial"/>
          <w:sz w:val="18"/>
          <w:szCs w:val="18"/>
        </w:rPr>
      </w:pPr>
      <w:proofErr w:type="gramStart"/>
      <w:r w:rsidRPr="002E566F">
        <w:rPr>
          <w:rFonts w:ascii="Arial" w:hAnsi="Arial" w:cs="Arial"/>
          <w:sz w:val="18"/>
          <w:szCs w:val="18"/>
          <w:vertAlign w:val="superscript"/>
        </w:rPr>
        <w:t>a</w:t>
      </w:r>
      <w:proofErr w:type="gramEnd"/>
      <w:r w:rsidRPr="002E566F">
        <w:rPr>
          <w:rFonts w:ascii="Arial" w:hAnsi="Arial" w:cs="Arial"/>
          <w:sz w:val="18"/>
          <w:szCs w:val="18"/>
          <w:vertAlign w:val="superscript"/>
        </w:rPr>
        <w:t xml:space="preserve"> </w:t>
      </w:r>
      <w:r w:rsidRPr="002E566F">
        <w:rPr>
          <w:rFonts w:ascii="Arial" w:hAnsi="Arial" w:cs="Arial"/>
          <w:sz w:val="18"/>
          <w:szCs w:val="18"/>
        </w:rPr>
        <w:t>Taken from public summary documents, except for those highlighted (sourced from submissions or PBAC minutes)</w:t>
      </w:r>
    </w:p>
    <w:p w:rsidR="007D75B6" w:rsidRPr="002E566F" w:rsidRDefault="007D75B6" w:rsidP="00121658">
      <w:pPr>
        <w:pStyle w:val="10TableorFigurefootnote"/>
        <w:rPr>
          <w:rFonts w:ascii="Arial" w:hAnsi="Arial" w:cs="Arial"/>
          <w:sz w:val="18"/>
          <w:szCs w:val="18"/>
        </w:rPr>
      </w:pPr>
      <w:proofErr w:type="gramStart"/>
      <w:r w:rsidRPr="002E566F">
        <w:rPr>
          <w:rFonts w:ascii="Arial" w:hAnsi="Arial" w:cs="Arial"/>
          <w:sz w:val="18"/>
          <w:szCs w:val="18"/>
          <w:vertAlign w:val="superscript"/>
        </w:rPr>
        <w:t>b</w:t>
      </w:r>
      <w:proofErr w:type="gramEnd"/>
      <w:r w:rsidRPr="002E566F">
        <w:rPr>
          <w:rFonts w:ascii="Arial" w:hAnsi="Arial" w:cs="Arial"/>
          <w:sz w:val="18"/>
          <w:szCs w:val="18"/>
        </w:rPr>
        <w:t xml:space="preserve"> For extension of PBS listing</w:t>
      </w:r>
    </w:p>
    <w:p w:rsidR="007D75B6" w:rsidRPr="002E566F" w:rsidRDefault="007D75B6" w:rsidP="00121658">
      <w:pPr>
        <w:pStyle w:val="10TableorFigurefootnote"/>
        <w:rPr>
          <w:rFonts w:ascii="Arial" w:hAnsi="Arial" w:cs="Arial"/>
          <w:sz w:val="18"/>
          <w:szCs w:val="18"/>
        </w:rPr>
      </w:pPr>
      <w:r w:rsidRPr="002E566F">
        <w:rPr>
          <w:rFonts w:ascii="Arial" w:hAnsi="Arial" w:cs="Arial"/>
          <w:sz w:val="18"/>
          <w:szCs w:val="18"/>
          <w:vertAlign w:val="superscript"/>
        </w:rPr>
        <w:t>c</w:t>
      </w:r>
      <w:r w:rsidRPr="002E566F">
        <w:rPr>
          <w:rFonts w:ascii="Arial" w:hAnsi="Arial" w:cs="Arial"/>
          <w:sz w:val="18"/>
          <w:szCs w:val="18"/>
        </w:rPr>
        <w:t xml:space="preserve"> An economic evaluation for bosentan in PAH associated with congenital heart disease was not presented, as the sponsor argued that the cost-effectiveness of bosentan in this population is likely to be similar to that previously demonstrated for idiopathic PAH.</w:t>
      </w:r>
    </w:p>
    <w:p w:rsidR="001C2742" w:rsidRPr="00B21981" w:rsidRDefault="002E2A6E" w:rsidP="00121658">
      <w:pPr>
        <w:pStyle w:val="Heading4"/>
      </w:pPr>
      <w:r w:rsidRPr="00B21981">
        <w:t>B</w:t>
      </w:r>
      <w:r w:rsidR="00B21981">
        <w:t>.</w:t>
      </w:r>
      <w:r w:rsidRPr="00B21981">
        <w:t>4.</w:t>
      </w:r>
      <w:r w:rsidR="005F0E94">
        <w:t>5.2</w:t>
      </w:r>
      <w:r w:rsidR="001008C6" w:rsidRPr="00B21981">
        <w:t xml:space="preserve"> </w:t>
      </w:r>
      <w:bookmarkStart w:id="78" w:name="_Toc480371866"/>
      <w:bookmarkStart w:id="79" w:name="_Toc486514205"/>
      <w:bookmarkStart w:id="80" w:name="_Ref505611932"/>
      <w:bookmarkStart w:id="81" w:name="_Ref505612111"/>
      <w:bookmarkEnd w:id="73"/>
      <w:bookmarkEnd w:id="74"/>
      <w:bookmarkEnd w:id="75"/>
      <w:r w:rsidR="001C2742" w:rsidRPr="00B21981">
        <w:t>PBS prescribing restrictions</w:t>
      </w:r>
      <w:bookmarkEnd w:id="78"/>
      <w:bookmarkEnd w:id="79"/>
      <w:bookmarkEnd w:id="80"/>
      <w:bookmarkEnd w:id="81"/>
    </w:p>
    <w:p w:rsidR="009F3B03" w:rsidRPr="00B21981" w:rsidRDefault="009F3B03" w:rsidP="00121658">
      <w:pPr>
        <w:pStyle w:val="BodyTextnospacebefore"/>
      </w:pPr>
      <w:r w:rsidRPr="00B21981">
        <w:t>The PBS-listed PAH medicines cover most sub-types of PAH, except for PAH associated with human immunodeficiency virus (HIV) infection, portal hypertension and schistosomiasis.</w:t>
      </w:r>
    </w:p>
    <w:p w:rsidR="00B645C7" w:rsidRPr="00B21981" w:rsidRDefault="00B645C7" w:rsidP="00121658">
      <w:pPr>
        <w:pStyle w:val="BodyTextnospacebefore"/>
      </w:pPr>
      <w:bookmarkStart w:id="82" w:name="_Toc486514207"/>
      <w:bookmarkStart w:id="83" w:name="_Toc480371868"/>
      <w:r w:rsidRPr="00B21981">
        <w:t>The current</w:t>
      </w:r>
      <w:r w:rsidR="00E96CD6" w:rsidRPr="00B21981">
        <w:t xml:space="preserve"> </w:t>
      </w:r>
      <w:r w:rsidRPr="00B21981">
        <w:t xml:space="preserve">PBS </w:t>
      </w:r>
      <w:r w:rsidR="00E96CD6" w:rsidRPr="00B21981">
        <w:t xml:space="preserve">listed PAH medicines and subsidised </w:t>
      </w:r>
      <w:r w:rsidRPr="00B21981">
        <w:t>indications are summarised in</w:t>
      </w:r>
      <w:r w:rsidR="0012341F">
        <w:t xml:space="preserve"> </w:t>
      </w:r>
      <w:r w:rsidR="00D63371">
        <w:t>Table B.</w:t>
      </w:r>
      <w:r w:rsidR="00D63371">
        <w:rPr>
          <w:noProof/>
        </w:rPr>
        <w:t>6</w:t>
      </w:r>
      <w:r w:rsidRPr="00B21981">
        <w:t>, described in terms of PAH type and WHO Functional Class</w:t>
      </w:r>
      <w:r w:rsidR="00C6734D" w:rsidRPr="00B21981">
        <w:t>.</w:t>
      </w:r>
      <w:r w:rsidR="009F3B03" w:rsidRPr="00B21981">
        <w:t xml:space="preserve"> PBS subsidised use of PAH medicines does not include </w:t>
      </w:r>
      <w:r w:rsidR="001F1180" w:rsidRPr="00B21981">
        <w:t xml:space="preserve">treatment of WHO FC II patients </w:t>
      </w:r>
      <w:r w:rsidR="009F3B03" w:rsidRPr="00B21981">
        <w:t xml:space="preserve">or combination or add-on use </w:t>
      </w:r>
      <w:r w:rsidR="001F1180" w:rsidRPr="00B21981">
        <w:t xml:space="preserve">of </w:t>
      </w:r>
      <w:r w:rsidR="00F95235" w:rsidRPr="00B21981">
        <w:t>PAH medicines</w:t>
      </w:r>
      <w:r w:rsidR="00B21981" w:rsidRPr="00B21981">
        <w:t>.</w:t>
      </w:r>
    </w:p>
    <w:p w:rsidR="000F5DA6" w:rsidRPr="000F5DA6" w:rsidRDefault="000F5DA6" w:rsidP="00121658">
      <w:pPr>
        <w:jc w:val="left"/>
        <w:rPr>
          <w:rFonts w:cstheme="minorHAnsi"/>
        </w:rPr>
      </w:pPr>
    </w:p>
    <w:p w:rsidR="000F5DA6" w:rsidRDefault="000F5DA6" w:rsidP="00121658">
      <w:pPr>
        <w:pStyle w:val="Caption"/>
        <w:ind w:left="0"/>
        <w:jc w:val="left"/>
        <w:sectPr w:rsidR="000F5DA6" w:rsidSect="009C5335">
          <w:footnotePr>
            <w:numFmt w:val="chicago"/>
          </w:footnotePr>
          <w:pgSz w:w="11906" w:h="16838"/>
          <w:pgMar w:top="1440" w:right="1440" w:bottom="1440" w:left="1440" w:header="708" w:footer="708" w:gutter="0"/>
          <w:cols w:space="708"/>
          <w:titlePg/>
          <w:docGrid w:linePitch="360"/>
        </w:sectPr>
      </w:pPr>
    </w:p>
    <w:p w:rsidR="000F5DA6" w:rsidRPr="002F3393" w:rsidRDefault="000F5DA6" w:rsidP="00121658">
      <w:pPr>
        <w:jc w:val="left"/>
        <w:rPr>
          <w:sz w:val="8"/>
          <w:szCs w:val="16"/>
        </w:rPr>
      </w:pPr>
      <w:bookmarkStart w:id="84" w:name="_Ref501009838"/>
    </w:p>
    <w:p w:rsidR="00CA30EE" w:rsidRDefault="00CA30EE" w:rsidP="00D14982">
      <w:pPr>
        <w:pStyle w:val="ToR1TableHeader"/>
        <w:tabs>
          <w:tab w:val="clear" w:pos="1134"/>
          <w:tab w:val="left" w:pos="0"/>
        </w:tabs>
        <w:ind w:left="0" w:firstLine="0"/>
      </w:pPr>
      <w:bookmarkStart w:id="85" w:name="_Ref510019896"/>
      <w:bookmarkStart w:id="86" w:name="_Ref510797845"/>
      <w:bookmarkStart w:id="87" w:name="_Toc513107623"/>
      <w:bookmarkEnd w:id="84"/>
      <w:r>
        <w:t>Table B.</w:t>
      </w:r>
      <w:r w:rsidR="00D63371">
        <w:rPr>
          <w:noProof/>
        </w:rPr>
        <w:t>6</w:t>
      </w:r>
      <w:bookmarkEnd w:id="85"/>
      <w:r w:rsidR="0015688E">
        <w:tab/>
      </w:r>
      <w:r w:rsidRPr="003460AE">
        <w:t>Overview of PBS-listed PAH medicines by PAH type and WHO Functional Class</w:t>
      </w:r>
      <w:bookmarkEnd w:id="86"/>
      <w:bookmarkEnd w:id="87"/>
    </w:p>
    <w:tbl>
      <w:tblPr>
        <w:tblStyle w:val="TableGrid7"/>
        <w:tblW w:w="13716" w:type="dxa"/>
        <w:tblLayout w:type="fixed"/>
        <w:tblLook w:val="04A0" w:firstRow="1" w:lastRow="0" w:firstColumn="1" w:lastColumn="0" w:noHBand="0" w:noVBand="1"/>
        <w:tblCaption w:val="Overview of PAH Listings by PAH type and WHO Functional Class "/>
      </w:tblPr>
      <w:tblGrid>
        <w:gridCol w:w="2660"/>
        <w:gridCol w:w="1276"/>
        <w:gridCol w:w="1509"/>
        <w:gridCol w:w="1379"/>
        <w:gridCol w:w="1378"/>
        <w:gridCol w:w="1378"/>
        <w:gridCol w:w="1301"/>
        <w:gridCol w:w="1560"/>
        <w:gridCol w:w="1275"/>
      </w:tblGrid>
      <w:tr w:rsidR="000F5DA6" w:rsidRPr="006D37E5" w:rsidTr="006D37E5">
        <w:trPr>
          <w:tblHeader/>
        </w:trPr>
        <w:tc>
          <w:tcPr>
            <w:tcW w:w="2660" w:type="dxa"/>
            <w:shd w:val="clear" w:color="auto" w:fill="BFBFBF" w:themeFill="background1" w:themeFillShade="BF"/>
          </w:tcPr>
          <w:p w:rsidR="000F5DA6" w:rsidRPr="006D37E5" w:rsidRDefault="000F5DA6" w:rsidP="00121658">
            <w:pPr>
              <w:pStyle w:val="TableText"/>
              <w:rPr>
                <w:rFonts w:ascii="Arial" w:eastAsia="Calibri" w:hAnsi="Arial"/>
                <w:b/>
                <w:szCs w:val="20"/>
              </w:rPr>
            </w:pPr>
            <w:r w:rsidRPr="006D37E5">
              <w:rPr>
                <w:rFonts w:ascii="Arial" w:eastAsia="Calibri" w:hAnsi="Arial"/>
                <w:b/>
                <w:szCs w:val="20"/>
              </w:rPr>
              <w:t>Type of PAH</w:t>
            </w:r>
          </w:p>
        </w:tc>
        <w:tc>
          <w:tcPr>
            <w:tcW w:w="1276" w:type="dxa"/>
            <w:shd w:val="clear" w:color="auto" w:fill="BFBFBF" w:themeFill="background1" w:themeFillShade="BF"/>
          </w:tcPr>
          <w:p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Bosentan </w:t>
            </w:r>
          </w:p>
        </w:tc>
        <w:tc>
          <w:tcPr>
            <w:tcW w:w="1509" w:type="dxa"/>
            <w:shd w:val="clear" w:color="auto" w:fill="BFBFBF" w:themeFill="background1" w:themeFillShade="BF"/>
          </w:tcPr>
          <w:p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Ambrisentan </w:t>
            </w:r>
          </w:p>
        </w:tc>
        <w:tc>
          <w:tcPr>
            <w:tcW w:w="1379" w:type="dxa"/>
            <w:shd w:val="clear" w:color="auto" w:fill="BFBFBF" w:themeFill="background1" w:themeFillShade="BF"/>
          </w:tcPr>
          <w:p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Macitentan </w:t>
            </w:r>
          </w:p>
        </w:tc>
        <w:tc>
          <w:tcPr>
            <w:tcW w:w="1378" w:type="dxa"/>
            <w:shd w:val="clear" w:color="auto" w:fill="BFBFBF" w:themeFill="background1" w:themeFillShade="BF"/>
          </w:tcPr>
          <w:p w:rsidR="000F5DA6" w:rsidRPr="006D37E5" w:rsidRDefault="000F5DA6" w:rsidP="00121658">
            <w:pPr>
              <w:pStyle w:val="TableText"/>
              <w:rPr>
                <w:rFonts w:ascii="Arial" w:eastAsia="Calibri" w:hAnsi="Arial"/>
                <w:b/>
                <w:szCs w:val="20"/>
              </w:rPr>
            </w:pPr>
            <w:r w:rsidRPr="006D37E5">
              <w:rPr>
                <w:rFonts w:ascii="Arial" w:eastAsia="Calibri" w:hAnsi="Arial"/>
                <w:b/>
                <w:szCs w:val="20"/>
              </w:rPr>
              <w:t>Tadalafil</w:t>
            </w:r>
          </w:p>
        </w:tc>
        <w:tc>
          <w:tcPr>
            <w:tcW w:w="1378" w:type="dxa"/>
            <w:shd w:val="clear" w:color="auto" w:fill="BFBFBF" w:themeFill="background1" w:themeFillShade="BF"/>
          </w:tcPr>
          <w:p w:rsidR="000F5DA6" w:rsidRPr="006D37E5" w:rsidRDefault="000F5DA6" w:rsidP="00121658">
            <w:pPr>
              <w:pStyle w:val="TableText"/>
              <w:rPr>
                <w:rFonts w:ascii="Arial" w:eastAsia="Calibri" w:hAnsi="Arial"/>
                <w:b/>
                <w:szCs w:val="20"/>
              </w:rPr>
            </w:pPr>
            <w:r w:rsidRPr="006D37E5">
              <w:rPr>
                <w:rFonts w:ascii="Arial" w:eastAsia="Calibri" w:hAnsi="Arial"/>
                <w:b/>
                <w:szCs w:val="20"/>
              </w:rPr>
              <w:t>Sildenafil</w:t>
            </w:r>
          </w:p>
        </w:tc>
        <w:tc>
          <w:tcPr>
            <w:tcW w:w="1301" w:type="dxa"/>
            <w:shd w:val="clear" w:color="auto" w:fill="BFBFBF" w:themeFill="background1" w:themeFillShade="BF"/>
          </w:tcPr>
          <w:p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Iloprost </w:t>
            </w:r>
          </w:p>
        </w:tc>
        <w:tc>
          <w:tcPr>
            <w:tcW w:w="1560" w:type="dxa"/>
            <w:shd w:val="clear" w:color="auto" w:fill="BFBFBF" w:themeFill="background1" w:themeFillShade="BF"/>
          </w:tcPr>
          <w:p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Epoprostenol </w:t>
            </w:r>
          </w:p>
        </w:tc>
        <w:tc>
          <w:tcPr>
            <w:tcW w:w="1275" w:type="dxa"/>
            <w:shd w:val="clear" w:color="auto" w:fill="BFBFBF" w:themeFill="background1" w:themeFillShade="BF"/>
          </w:tcPr>
          <w:p w:rsidR="000F5DA6" w:rsidRPr="006D37E5" w:rsidRDefault="000F5DA6" w:rsidP="00121658">
            <w:pPr>
              <w:pStyle w:val="TableText"/>
              <w:rPr>
                <w:rFonts w:ascii="Arial" w:eastAsia="Calibri" w:hAnsi="Arial"/>
                <w:b/>
                <w:szCs w:val="20"/>
              </w:rPr>
            </w:pPr>
            <w:r w:rsidRPr="006D37E5">
              <w:rPr>
                <w:rFonts w:ascii="Arial" w:eastAsia="Calibri" w:hAnsi="Arial"/>
                <w:b/>
                <w:szCs w:val="20"/>
              </w:rPr>
              <w:t xml:space="preserve">Riociguat </w:t>
            </w:r>
          </w:p>
        </w:tc>
      </w:tr>
      <w:tr w:rsidR="000F5DA6" w:rsidRPr="006D37E5" w:rsidTr="006D37E5">
        <w:tc>
          <w:tcPr>
            <w:tcW w:w="2660"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IPAH or</w:t>
            </w:r>
          </w:p>
          <w:p w:rsidR="000F5DA6" w:rsidRPr="006D37E5" w:rsidRDefault="000F5DA6" w:rsidP="00121658">
            <w:pPr>
              <w:pStyle w:val="TableText"/>
              <w:rPr>
                <w:rFonts w:ascii="Arial" w:eastAsia="Calibri" w:hAnsi="Arial"/>
                <w:szCs w:val="20"/>
              </w:rPr>
            </w:pPr>
            <w:r w:rsidRPr="006D37E5">
              <w:rPr>
                <w:rFonts w:ascii="Arial" w:eastAsia="Calibri" w:hAnsi="Arial"/>
                <w:szCs w:val="20"/>
              </w:rPr>
              <w:t xml:space="preserve">Anorexigen-induced PAH or </w:t>
            </w:r>
          </w:p>
          <w:p w:rsidR="000F5DA6" w:rsidRPr="006D37E5" w:rsidRDefault="000F5DA6" w:rsidP="00121658">
            <w:pPr>
              <w:pStyle w:val="TableText"/>
              <w:rPr>
                <w:rFonts w:ascii="Arial" w:eastAsia="Calibri" w:hAnsi="Arial"/>
                <w:szCs w:val="20"/>
              </w:rPr>
            </w:pPr>
            <w:r w:rsidRPr="006D37E5">
              <w:rPr>
                <w:rFonts w:ascii="Arial" w:eastAsia="Calibri" w:hAnsi="Arial"/>
                <w:szCs w:val="20"/>
              </w:rPr>
              <w:t>HPAH</w:t>
            </w:r>
          </w:p>
        </w:tc>
        <w:tc>
          <w:tcPr>
            <w:tcW w:w="1276"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509"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379"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378"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w:t>
            </w:r>
          </w:p>
        </w:tc>
        <w:tc>
          <w:tcPr>
            <w:tcW w:w="1378"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w:t>
            </w:r>
          </w:p>
        </w:tc>
        <w:tc>
          <w:tcPr>
            <w:tcW w:w="1301"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IV</w:t>
            </w:r>
          </w:p>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2</w:t>
            </w:r>
            <w:r w:rsidRPr="006D37E5">
              <w:rPr>
                <w:rFonts w:ascii="Arial" w:eastAsia="Calibri" w:hAnsi="Arial"/>
                <w:szCs w:val="20"/>
                <w:vertAlign w:val="superscript"/>
              </w:rPr>
              <w:t>◦</w:t>
            </w:r>
            <w:r w:rsidRPr="006D37E5">
              <w:rPr>
                <w:rFonts w:ascii="Arial" w:eastAsia="Calibri" w:hAnsi="Arial"/>
                <w:szCs w:val="20"/>
              </w:rPr>
              <w:t xml:space="preserve"> line</w:t>
            </w:r>
          </w:p>
        </w:tc>
        <w:tc>
          <w:tcPr>
            <w:tcW w:w="1560"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IV</w:t>
            </w:r>
          </w:p>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2</w:t>
            </w:r>
            <w:r w:rsidRPr="006D37E5">
              <w:rPr>
                <w:rFonts w:ascii="Arial" w:eastAsia="Calibri" w:hAnsi="Arial"/>
                <w:szCs w:val="20"/>
                <w:vertAlign w:val="superscript"/>
              </w:rPr>
              <w:t>◦</w:t>
            </w:r>
            <w:r w:rsidRPr="006D37E5">
              <w:rPr>
                <w:rFonts w:ascii="Arial" w:eastAsia="Calibri" w:hAnsi="Arial"/>
                <w:szCs w:val="20"/>
              </w:rPr>
              <w:t xml:space="preserve"> line</w:t>
            </w:r>
          </w:p>
        </w:tc>
        <w:tc>
          <w:tcPr>
            <w:tcW w:w="1275"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r>
      <w:tr w:rsidR="000F5DA6" w:rsidRPr="006D37E5" w:rsidTr="006D37E5">
        <w:tc>
          <w:tcPr>
            <w:tcW w:w="2660"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Drug-induced PAH</w:t>
            </w:r>
          </w:p>
        </w:tc>
        <w:tc>
          <w:tcPr>
            <w:tcW w:w="1276"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509"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9"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8"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8"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01"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560"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275"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r>
      <w:tr w:rsidR="000F5DA6" w:rsidRPr="006D37E5" w:rsidTr="006D37E5">
        <w:tc>
          <w:tcPr>
            <w:tcW w:w="2660"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PAH-CTD</w:t>
            </w:r>
          </w:p>
        </w:tc>
        <w:tc>
          <w:tcPr>
            <w:tcW w:w="1276"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509"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379"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c>
          <w:tcPr>
            <w:tcW w:w="1378"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w:t>
            </w:r>
          </w:p>
        </w:tc>
        <w:tc>
          <w:tcPr>
            <w:tcW w:w="1378"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w:t>
            </w:r>
          </w:p>
        </w:tc>
        <w:tc>
          <w:tcPr>
            <w:tcW w:w="1301"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IV</w:t>
            </w:r>
          </w:p>
        </w:tc>
        <w:tc>
          <w:tcPr>
            <w:tcW w:w="1560"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IV</w:t>
            </w:r>
          </w:p>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2</w:t>
            </w:r>
            <w:r w:rsidRPr="006D37E5">
              <w:rPr>
                <w:rFonts w:ascii="Arial" w:eastAsia="Calibri" w:hAnsi="Arial"/>
                <w:szCs w:val="20"/>
                <w:vertAlign w:val="superscript"/>
              </w:rPr>
              <w:t>◦</w:t>
            </w:r>
            <w:r w:rsidRPr="006D37E5">
              <w:rPr>
                <w:rFonts w:ascii="Arial" w:eastAsia="Calibri" w:hAnsi="Arial"/>
                <w:szCs w:val="20"/>
              </w:rPr>
              <w:t xml:space="preserve"> line</w:t>
            </w:r>
          </w:p>
        </w:tc>
        <w:tc>
          <w:tcPr>
            <w:tcW w:w="1275"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IV</w:t>
            </w:r>
          </w:p>
        </w:tc>
      </w:tr>
      <w:tr w:rsidR="000F5DA6" w:rsidRPr="006D37E5" w:rsidTr="006D37E5">
        <w:tc>
          <w:tcPr>
            <w:tcW w:w="2660"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 xml:space="preserve">PAH assoc. congenital systemic-to-pulmonary shunt (incl. </w:t>
            </w:r>
            <w:proofErr w:type="spellStart"/>
            <w:r w:rsidRPr="006D37E5">
              <w:rPr>
                <w:rFonts w:ascii="Arial" w:eastAsia="Calibri" w:hAnsi="Arial"/>
                <w:szCs w:val="20"/>
              </w:rPr>
              <w:t>Eisenmenger’s</w:t>
            </w:r>
            <w:proofErr w:type="spellEnd"/>
            <w:r w:rsidRPr="006D37E5">
              <w:rPr>
                <w:rFonts w:ascii="Arial" w:eastAsia="Calibri" w:hAnsi="Arial"/>
                <w:szCs w:val="20"/>
              </w:rPr>
              <w:t xml:space="preserve"> physiology)</w:t>
            </w:r>
          </w:p>
        </w:tc>
        <w:tc>
          <w:tcPr>
            <w:tcW w:w="1276"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or IV</w:t>
            </w:r>
          </w:p>
        </w:tc>
        <w:tc>
          <w:tcPr>
            <w:tcW w:w="1509"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9"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or IV</w:t>
            </w:r>
          </w:p>
        </w:tc>
        <w:tc>
          <w:tcPr>
            <w:tcW w:w="1378"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78"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301"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560"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w:t>
            </w:r>
          </w:p>
        </w:tc>
        <w:tc>
          <w:tcPr>
            <w:tcW w:w="1275" w:type="dxa"/>
          </w:tcPr>
          <w:p w:rsidR="000F5DA6" w:rsidRPr="006D37E5" w:rsidRDefault="000F5DA6" w:rsidP="00121658">
            <w:pPr>
              <w:pStyle w:val="TableText"/>
              <w:rPr>
                <w:rFonts w:ascii="Arial" w:eastAsia="Calibri" w:hAnsi="Arial"/>
                <w:szCs w:val="20"/>
              </w:rPr>
            </w:pPr>
            <w:r w:rsidRPr="006D37E5">
              <w:rPr>
                <w:rFonts w:ascii="Arial" w:eastAsia="Calibri" w:hAnsi="Arial"/>
                <w:szCs w:val="20"/>
              </w:rPr>
              <w:t>Class III or IV</w:t>
            </w:r>
          </w:p>
        </w:tc>
      </w:tr>
    </w:tbl>
    <w:p w:rsidR="000F5DA6" w:rsidRPr="002E566F" w:rsidRDefault="000F5DA6" w:rsidP="00121658">
      <w:pPr>
        <w:pStyle w:val="Tablenote"/>
        <w:rPr>
          <w:rFonts w:ascii="Arial" w:hAnsi="Arial" w:cs="Arial"/>
          <w:sz w:val="18"/>
          <w:szCs w:val="18"/>
        </w:rPr>
      </w:pPr>
      <w:r w:rsidRPr="002E566F">
        <w:rPr>
          <w:rFonts w:ascii="Arial" w:hAnsi="Arial" w:cs="Arial"/>
          <w:sz w:val="18"/>
          <w:szCs w:val="18"/>
        </w:rPr>
        <w:t>HPAH = heritable pulmonary arterial hypertension; IPAH = idiopathic pulmonary arterial hypertension; PAH = pulmonary arterial hypertension; PAH-CTD = pulmonary arterial hypertension associated with connective tissue disease</w:t>
      </w:r>
    </w:p>
    <w:p w:rsidR="000F5DA6" w:rsidRPr="002E566F" w:rsidRDefault="000F5DA6" w:rsidP="00121658">
      <w:pPr>
        <w:pStyle w:val="Tablenote"/>
        <w:rPr>
          <w:rFonts w:asciiTheme="minorHAnsi" w:hAnsiTheme="minorHAnsi"/>
          <w:sz w:val="18"/>
          <w:szCs w:val="18"/>
        </w:rPr>
      </w:pPr>
      <w:r w:rsidRPr="002E566F">
        <w:rPr>
          <w:rFonts w:ascii="Arial" w:hAnsi="Arial" w:cs="Arial"/>
          <w:sz w:val="18"/>
          <w:szCs w:val="18"/>
        </w:rPr>
        <w:t xml:space="preserve">Source: </w:t>
      </w:r>
      <w:r w:rsidRPr="003F5FE5">
        <w:rPr>
          <w:rFonts w:ascii="Arial" w:hAnsi="Arial" w:cs="Arial"/>
          <w:sz w:val="18"/>
          <w:szCs w:val="18"/>
        </w:rPr>
        <w:t>www.pbs.gov.au</w:t>
      </w:r>
    </w:p>
    <w:p w:rsidR="000F5DA6" w:rsidRPr="002E566F" w:rsidRDefault="000F5DA6" w:rsidP="00121658">
      <w:pPr>
        <w:jc w:val="left"/>
        <w:rPr>
          <w:rFonts w:asciiTheme="minorHAnsi" w:hAnsiTheme="minorHAnsi"/>
          <w:sz w:val="18"/>
          <w:szCs w:val="18"/>
        </w:rPr>
        <w:sectPr w:rsidR="000F5DA6" w:rsidRPr="002E566F" w:rsidSect="009C5335">
          <w:headerReference w:type="even" r:id="rId23"/>
          <w:headerReference w:type="default" r:id="rId24"/>
          <w:headerReference w:type="first" r:id="rId25"/>
          <w:footerReference w:type="first" r:id="rId26"/>
          <w:footnotePr>
            <w:numFmt w:val="chicago"/>
          </w:footnotePr>
          <w:pgSz w:w="16838" w:h="11906" w:orient="landscape"/>
          <w:pgMar w:top="1440" w:right="1440" w:bottom="1440" w:left="1440" w:header="708" w:footer="708" w:gutter="0"/>
          <w:cols w:space="708"/>
          <w:titlePg/>
          <w:docGrid w:linePitch="360"/>
        </w:sectPr>
      </w:pPr>
    </w:p>
    <w:p w:rsidR="000F5DA6" w:rsidRDefault="005F0E94" w:rsidP="00121658">
      <w:pPr>
        <w:pStyle w:val="Heading4"/>
      </w:pPr>
      <w:bookmarkStart w:id="88" w:name="_Ref505611938"/>
      <w:bookmarkStart w:id="89" w:name="_Ref505612022"/>
      <w:bookmarkStart w:id="90" w:name="_Ref505612053"/>
      <w:r>
        <w:rPr>
          <w:rFonts w:eastAsiaTheme="minorEastAsia"/>
        </w:rPr>
        <w:t>B</w:t>
      </w:r>
      <w:r w:rsidR="002000D3">
        <w:rPr>
          <w:rFonts w:eastAsiaTheme="minorEastAsia"/>
        </w:rPr>
        <w:t>.</w:t>
      </w:r>
      <w:r>
        <w:rPr>
          <w:rFonts w:eastAsiaTheme="minorEastAsia"/>
        </w:rPr>
        <w:t>4.5.3</w:t>
      </w:r>
      <w:r w:rsidR="00FD5C2A">
        <w:rPr>
          <w:rFonts w:eastAsiaTheme="minorEastAsia"/>
        </w:rPr>
        <w:t xml:space="preserve"> </w:t>
      </w:r>
      <w:r w:rsidR="000F5DA6">
        <w:rPr>
          <w:rFonts w:eastAsiaTheme="minorEastAsia"/>
        </w:rPr>
        <w:t>Recent amendments to PBS Restrictions</w:t>
      </w:r>
      <w:bookmarkEnd w:id="88"/>
      <w:bookmarkEnd w:id="89"/>
      <w:bookmarkEnd w:id="90"/>
      <w:r w:rsidR="00DD4D18">
        <w:rPr>
          <w:rFonts w:eastAsiaTheme="minorEastAsia"/>
        </w:rPr>
        <w:t xml:space="preserve"> for PAH medicines</w:t>
      </w:r>
    </w:p>
    <w:p w:rsidR="000F5DA6" w:rsidRPr="00411C81" w:rsidRDefault="000F5DA6" w:rsidP="00121658">
      <w:pPr>
        <w:pStyle w:val="BodyTextnospacebefore"/>
      </w:pPr>
      <w:r w:rsidRPr="00411C81">
        <w:t>Recent amendments to the restrictions have been made to maintain currency with guideline criteria</w:t>
      </w:r>
      <w:r w:rsidR="00C6734D" w:rsidRPr="00411C81">
        <w:t xml:space="preserve">. </w:t>
      </w:r>
      <w:r w:rsidRPr="00411C81">
        <w:t>The DUSC 2015 report provides a summary of 2014 changes to terminology and restrictions. These were updated from 1 August 2014 following a request from the PHSANZ:</w:t>
      </w:r>
    </w:p>
    <w:p w:rsidR="000F5DA6" w:rsidRPr="006C0A13" w:rsidRDefault="000F5DA6" w:rsidP="00807704">
      <w:pPr>
        <w:pStyle w:val="ListParagraph"/>
        <w:numPr>
          <w:ilvl w:val="0"/>
          <w:numId w:val="12"/>
        </w:numPr>
        <w:ind w:left="0"/>
        <w:jc w:val="left"/>
        <w:rPr>
          <w:rFonts w:asciiTheme="minorHAnsi" w:hAnsiTheme="minorHAnsi"/>
        </w:rPr>
      </w:pPr>
      <w:r w:rsidRPr="006C0A13">
        <w:rPr>
          <w:rFonts w:asciiTheme="minorHAnsi" w:hAnsiTheme="minorHAnsi"/>
        </w:rPr>
        <w:t>The existing single term "Primary Pulmonary Hypertension" was replaced by the terms "Idiopathic Pulmonary Arterial Hyp</w:t>
      </w:r>
      <w:r w:rsidR="00AF365F" w:rsidRPr="006C0A13">
        <w:rPr>
          <w:rFonts w:asciiTheme="minorHAnsi" w:hAnsiTheme="minorHAnsi"/>
        </w:rPr>
        <w:t>ertension (IPAH), anorexigen-</w:t>
      </w:r>
      <w:r w:rsidRPr="006C0A13">
        <w:rPr>
          <w:rFonts w:asciiTheme="minorHAnsi" w:hAnsiTheme="minorHAnsi"/>
        </w:rPr>
        <w:t>induced PAH and hereditable PAH".</w:t>
      </w:r>
    </w:p>
    <w:p w:rsidR="000F5DA6" w:rsidRPr="006C0A13" w:rsidRDefault="000F5DA6" w:rsidP="00807704">
      <w:pPr>
        <w:pStyle w:val="ListParagraph"/>
        <w:numPr>
          <w:ilvl w:val="0"/>
          <w:numId w:val="12"/>
        </w:numPr>
        <w:ind w:left="0"/>
        <w:jc w:val="left"/>
        <w:rPr>
          <w:rFonts w:asciiTheme="minorHAnsi" w:hAnsiTheme="minorHAnsi"/>
        </w:rPr>
      </w:pPr>
      <w:r w:rsidRPr="006C0A13">
        <w:rPr>
          <w:rFonts w:asciiTheme="minorHAnsi" w:hAnsiTheme="minorHAnsi"/>
        </w:rPr>
        <w:t>The term "pulmonary capillary wedge pressure (PCWP)" was replaced by "Pulmonary Artery Wedge Pressure" and the cut-point for this parameter was lowered from &lt;18mmHg to &lt;15mmHg to comply with International Guidelines.</w:t>
      </w:r>
    </w:p>
    <w:p w:rsidR="000F5DA6" w:rsidRPr="006C0A13" w:rsidRDefault="000F5DA6" w:rsidP="00807704">
      <w:pPr>
        <w:pStyle w:val="ListParagraph"/>
        <w:numPr>
          <w:ilvl w:val="0"/>
          <w:numId w:val="12"/>
        </w:numPr>
        <w:spacing w:after="200"/>
        <w:ind w:left="0" w:hanging="357"/>
        <w:jc w:val="left"/>
        <w:rPr>
          <w:rFonts w:asciiTheme="minorHAnsi" w:hAnsiTheme="minorHAnsi"/>
        </w:rPr>
      </w:pPr>
      <w:r w:rsidRPr="006C0A13">
        <w:rPr>
          <w:rFonts w:asciiTheme="minorHAnsi" w:hAnsiTheme="minorHAnsi"/>
        </w:rPr>
        <w:t xml:space="preserve">The reference to </w:t>
      </w:r>
      <w:proofErr w:type="gramStart"/>
      <w:r w:rsidRPr="006C0A13">
        <w:rPr>
          <w:rFonts w:asciiTheme="minorHAnsi" w:hAnsiTheme="minorHAnsi"/>
        </w:rPr>
        <w:t>a</w:t>
      </w:r>
      <w:proofErr w:type="gramEnd"/>
      <w:r w:rsidRPr="006C0A13">
        <w:rPr>
          <w:rFonts w:asciiTheme="minorHAnsi" w:hAnsiTheme="minorHAnsi"/>
        </w:rPr>
        <w:t xml:space="preserve"> </w:t>
      </w:r>
      <w:proofErr w:type="spellStart"/>
      <w:r w:rsidRPr="006C0A13">
        <w:rPr>
          <w:rFonts w:asciiTheme="minorHAnsi" w:hAnsiTheme="minorHAnsi"/>
        </w:rPr>
        <w:t>mPAP</w:t>
      </w:r>
      <w:proofErr w:type="spellEnd"/>
      <w:r w:rsidRPr="006C0A13">
        <w:rPr>
          <w:rFonts w:asciiTheme="minorHAnsi" w:hAnsiTheme="minorHAnsi"/>
        </w:rPr>
        <w:t xml:space="preserve"> &gt;30mmHg on exercise was removed as part of the definition of Pulmonary Hypertension</w:t>
      </w:r>
      <w:r w:rsidR="0007477E" w:rsidRPr="006C0A13">
        <w:rPr>
          <w:rFonts w:asciiTheme="minorHAnsi" w:hAnsiTheme="minorHAnsi"/>
        </w:rPr>
        <w:t>.</w:t>
      </w:r>
    </w:p>
    <w:p w:rsidR="000F5DA6" w:rsidRPr="006C0A13" w:rsidRDefault="000F5DA6" w:rsidP="00121658">
      <w:pPr>
        <w:pStyle w:val="BodyTextnospacebefore"/>
      </w:pPr>
      <w:r w:rsidRPr="006C0A13">
        <w:t>As of 1 September 2014, the restrictions include an explicit criterion “sole PBS-subsidised agent for this condition”</w:t>
      </w:r>
      <w:r w:rsidR="00C6734D" w:rsidRPr="006C0A13">
        <w:t>.</w:t>
      </w:r>
    </w:p>
    <w:p w:rsidR="000F5DA6" w:rsidRPr="006C0A13" w:rsidRDefault="000F5DA6" w:rsidP="00121658">
      <w:pPr>
        <w:pStyle w:val="BodyTextnospacebefore"/>
      </w:pPr>
      <w:r w:rsidRPr="006C0A13">
        <w:t xml:space="preserve">In July 2015, the PBAC considered a minor submission from PHSANZ to amend the assessments required for continuing treatment (PSD, July 2015 PBAC meeting). </w:t>
      </w:r>
      <w:r w:rsidR="004A5E1C" w:rsidRPr="006C0A13">
        <w:t>T</w:t>
      </w:r>
      <w:r w:rsidRPr="006C0A13">
        <w:t>he PAH listings were all amended such that the assessments required to demonstrate patient response</w:t>
      </w:r>
      <w:r w:rsidR="00324F91" w:rsidRPr="006C0A13">
        <w:t xml:space="preserve"> were retained only for the </w:t>
      </w:r>
      <w:r w:rsidRPr="006C0A13">
        <w:t>‘first continuing’ treatment restriction</w:t>
      </w:r>
      <w:r w:rsidR="00C6734D" w:rsidRPr="006C0A13">
        <w:t xml:space="preserve">. </w:t>
      </w:r>
      <w:r w:rsidRPr="006C0A13">
        <w:t xml:space="preserve">A new ‘subsequent continuing’ treatment restriction was added for </w:t>
      </w:r>
      <w:r w:rsidR="004A5E1C" w:rsidRPr="006C0A13">
        <w:t>subsequent applications</w:t>
      </w:r>
      <w:r w:rsidRPr="006C0A13">
        <w:t xml:space="preserve"> that required no provision of test results and which could be obtained as a telephone authority</w:t>
      </w:r>
      <w:r w:rsidR="00411C81">
        <w:t>.</w:t>
      </w:r>
    </w:p>
    <w:p w:rsidR="00A57C2B" w:rsidRPr="00411C81" w:rsidRDefault="00A57C2B" w:rsidP="00121658">
      <w:pPr>
        <w:pStyle w:val="BodyTextnospacebefore"/>
        <w:spacing w:after="0"/>
        <w:rPr>
          <w:u w:val="single"/>
        </w:rPr>
      </w:pPr>
      <w:r w:rsidRPr="00411C81">
        <w:rPr>
          <w:u w:val="single"/>
        </w:rPr>
        <w:t>Current restrictions</w:t>
      </w:r>
    </w:p>
    <w:p w:rsidR="00691494" w:rsidRPr="006C0A13" w:rsidRDefault="00691494" w:rsidP="00121658">
      <w:pPr>
        <w:pStyle w:val="BodyTextnospacebefore"/>
      </w:pPr>
      <w:r w:rsidRPr="006C0A13">
        <w:t xml:space="preserve">All PAH medicines are authority required listings. </w:t>
      </w:r>
      <w:r w:rsidR="006C0A13">
        <w:t xml:space="preserve">Authority required listings require the prescriber to obtain approval from the Department of Human Services prior to prescribing a PBS subsidised medicine. </w:t>
      </w:r>
      <w:r w:rsidRPr="006C0A13">
        <w:t xml:space="preserve">To be eligible for PBS subsidised treatment with </w:t>
      </w:r>
      <w:r w:rsidR="00DD4D18" w:rsidRPr="006C0A13">
        <w:t xml:space="preserve">a </w:t>
      </w:r>
      <w:r w:rsidRPr="006C0A13">
        <w:t xml:space="preserve">PAH medicine, a patient must be assessed by a physician at a designated hospital, </w:t>
      </w:r>
      <w:r w:rsidR="0024221E" w:rsidRPr="006C0A13">
        <w:t xml:space="preserve">the medicine </w:t>
      </w:r>
      <w:r w:rsidRPr="006C0A13">
        <w:t xml:space="preserve">must be the sole PBS-subsidised PAH </w:t>
      </w:r>
      <w:r w:rsidR="00DD4D18" w:rsidRPr="006C0A13">
        <w:t xml:space="preserve">medicine and the patient must meet </w:t>
      </w:r>
      <w:r w:rsidRPr="006C0A13">
        <w:t>strict clinical criteria</w:t>
      </w:r>
      <w:r w:rsidR="00044518" w:rsidRPr="006C0A13">
        <w:t>.</w:t>
      </w:r>
    </w:p>
    <w:p w:rsidR="00A57C2B" w:rsidRPr="006C0A13" w:rsidRDefault="0012341F" w:rsidP="00121658">
      <w:pPr>
        <w:pStyle w:val="BodyTextnospacebefore"/>
      </w:pPr>
      <w:r>
        <w:t xml:space="preserve">Refer </w:t>
      </w:r>
      <w:r w:rsidR="0063711F">
        <w:t xml:space="preserve">to </w:t>
      </w:r>
      <w:r w:rsidR="00D63371">
        <w:t>Appendix 1.C</w:t>
      </w:r>
      <w:r w:rsidR="00D63371">
        <w:tab/>
        <w:t>Published treatment and diagnostic algorithms</w:t>
      </w:r>
      <w:r w:rsidR="00DD4D18" w:rsidRPr="00B21981">
        <w:t xml:space="preserve"> for the PBS restrictions for </w:t>
      </w:r>
      <w:r w:rsidR="008C0F4C" w:rsidRPr="00B21981">
        <w:t xml:space="preserve">PAH </w:t>
      </w:r>
      <w:r w:rsidR="00DD4D18" w:rsidRPr="00B21981">
        <w:t>medicines in full.</w:t>
      </w:r>
    </w:p>
    <w:p w:rsidR="00B92CC9" w:rsidRPr="006452D3" w:rsidRDefault="00B92CC9" w:rsidP="006452D3">
      <w:pPr>
        <w:pStyle w:val="Heading1"/>
        <w:numPr>
          <w:ilvl w:val="0"/>
          <w:numId w:val="0"/>
        </w:numPr>
      </w:pPr>
      <w:bookmarkStart w:id="91" w:name="_Toc509578886"/>
      <w:bookmarkStart w:id="92" w:name="_Toc509578948"/>
      <w:bookmarkStart w:id="93" w:name="_Toc509584403"/>
      <w:bookmarkStart w:id="94" w:name="_Toc509578887"/>
      <w:bookmarkStart w:id="95" w:name="_Toc509578949"/>
      <w:bookmarkStart w:id="96" w:name="_Toc509584404"/>
      <w:bookmarkStart w:id="97" w:name="_Toc458079741"/>
      <w:bookmarkStart w:id="98" w:name="_Toc480371869"/>
      <w:bookmarkStart w:id="99" w:name="_Toc486514213"/>
      <w:bookmarkStart w:id="100" w:name="_Toc513107589"/>
      <w:bookmarkEnd w:id="82"/>
      <w:bookmarkEnd w:id="83"/>
      <w:bookmarkEnd w:id="91"/>
      <w:bookmarkEnd w:id="92"/>
      <w:bookmarkEnd w:id="93"/>
      <w:bookmarkEnd w:id="94"/>
      <w:bookmarkEnd w:id="95"/>
      <w:bookmarkEnd w:id="96"/>
      <w:r w:rsidRPr="006452D3">
        <w:t>ToR 1</w:t>
      </w:r>
      <w:r w:rsidR="006452D3">
        <w:t xml:space="preserve">: </w:t>
      </w:r>
      <w:r w:rsidRPr="006452D3">
        <w:t>Concordance between prescribing restrictions and clinical guidelines</w:t>
      </w:r>
      <w:bookmarkEnd w:id="97"/>
      <w:bookmarkEnd w:id="98"/>
      <w:bookmarkEnd w:id="99"/>
      <w:bookmarkEnd w:id="100"/>
    </w:p>
    <w:p w:rsidR="00B92CC9" w:rsidRPr="0063711F" w:rsidRDefault="00D70991" w:rsidP="00121658">
      <w:pPr>
        <w:pStyle w:val="BodyText"/>
        <w:pBdr>
          <w:top w:val="single" w:sz="4" w:space="1" w:color="auto"/>
          <w:left w:val="single" w:sz="4" w:space="4" w:color="auto"/>
          <w:bottom w:val="single" w:sz="4" w:space="1" w:color="auto"/>
          <w:right w:val="single" w:sz="4" w:space="4" w:color="auto"/>
        </w:pBdr>
        <w:jc w:val="left"/>
        <w:rPr>
          <w:rFonts w:asciiTheme="minorHAnsi" w:hAnsiTheme="minorHAnsi"/>
        </w:rPr>
      </w:pPr>
      <w:r w:rsidRPr="0063711F">
        <w:rPr>
          <w:rFonts w:asciiTheme="minorHAnsi" w:hAnsiTheme="minorHAnsi"/>
        </w:rPr>
        <w:t>Review recent clinical guidelines for the management of PAH and compare this to the PBS restrictions and Therapeutic Goods Administration (TGA) indications for the use of PAH medicines.</w:t>
      </w:r>
    </w:p>
    <w:p w:rsidR="00FA749E" w:rsidRPr="0063711F" w:rsidRDefault="00FA749E" w:rsidP="00121658">
      <w:pPr>
        <w:pStyle w:val="Heading2"/>
        <w:jc w:val="left"/>
      </w:pPr>
      <w:bookmarkStart w:id="101" w:name="_Toc513107590"/>
      <w:bookmarkStart w:id="102" w:name="_Toc486514215"/>
      <w:r w:rsidRPr="0063711F">
        <w:t>Key findings for ToR 1</w:t>
      </w:r>
      <w:bookmarkEnd w:id="101"/>
    </w:p>
    <w:p w:rsidR="006C7733" w:rsidRPr="0063711F" w:rsidRDefault="006C7733" w:rsidP="00121658">
      <w:pPr>
        <w:pStyle w:val="Heading3"/>
        <w:jc w:val="left"/>
      </w:pPr>
      <w:bookmarkStart w:id="103" w:name="_Toc513107591"/>
      <w:r w:rsidRPr="0063711F">
        <w:t>Key findings</w:t>
      </w:r>
      <w:r w:rsidR="00B25CA4" w:rsidRPr="0063711F">
        <w:t xml:space="preserve"> </w:t>
      </w:r>
      <w:r w:rsidR="002E566F">
        <w:t xml:space="preserve">for </w:t>
      </w:r>
      <w:r w:rsidR="00B25CA4" w:rsidRPr="0063711F">
        <w:t>research question 1</w:t>
      </w:r>
      <w:bookmarkEnd w:id="103"/>
    </w:p>
    <w:p w:rsidR="00B25CA4" w:rsidRPr="0063711F" w:rsidRDefault="0063711F" w:rsidP="00121658">
      <w:pPr>
        <w:pStyle w:val="BodyText"/>
        <w:jc w:val="left"/>
        <w:rPr>
          <w:rFonts w:asciiTheme="minorHAnsi" w:hAnsiTheme="minorHAnsi"/>
          <w:i/>
        </w:rPr>
      </w:pPr>
      <w:r w:rsidRPr="0063711F">
        <w:rPr>
          <w:rFonts w:asciiTheme="minorHAnsi" w:hAnsiTheme="minorHAnsi"/>
          <w:i/>
        </w:rPr>
        <w:t xml:space="preserve">Research Question 1: </w:t>
      </w:r>
      <w:r w:rsidR="00B25CA4" w:rsidRPr="0063711F">
        <w:rPr>
          <w:rFonts w:asciiTheme="minorHAnsi" w:hAnsiTheme="minorHAnsi"/>
          <w:i/>
        </w:rPr>
        <w:t xml:space="preserve">What are the clinical treatment algorithms recommended in recent Australian, European and North American guidelines for the treatment of WHO FC II, III and IV PAH? </w:t>
      </w:r>
    </w:p>
    <w:p w:rsidR="00334CD0" w:rsidRPr="0063711F" w:rsidRDefault="006C7733" w:rsidP="00121658">
      <w:pPr>
        <w:jc w:val="left"/>
        <w:rPr>
          <w:rFonts w:asciiTheme="minorHAnsi" w:hAnsiTheme="minorHAnsi"/>
          <w:i/>
        </w:rPr>
      </w:pPr>
      <w:r w:rsidRPr="0063711F">
        <w:rPr>
          <w:rFonts w:asciiTheme="minorHAnsi" w:hAnsiTheme="minorHAnsi"/>
        </w:rPr>
        <w:t xml:space="preserve">PAH is a rare disease and there are few clinical guidelines aside from a limited number of key documents published by United States (US) and European medical specialist organisations. </w:t>
      </w:r>
      <w:r w:rsidR="00334CD0" w:rsidRPr="0063711F">
        <w:rPr>
          <w:rFonts w:asciiTheme="minorHAnsi" w:hAnsiTheme="minorHAnsi"/>
        </w:rPr>
        <w:t xml:space="preserve">The key guidelines of relevance to Australian practice are the: </w:t>
      </w:r>
    </w:p>
    <w:p w:rsidR="00334CD0" w:rsidRPr="0063711F" w:rsidRDefault="00334CD0" w:rsidP="00807704">
      <w:pPr>
        <w:pStyle w:val="ListParagraph"/>
        <w:numPr>
          <w:ilvl w:val="0"/>
          <w:numId w:val="24"/>
        </w:numPr>
        <w:spacing w:after="200"/>
        <w:ind w:left="426" w:hanging="426"/>
        <w:jc w:val="left"/>
        <w:rPr>
          <w:rFonts w:asciiTheme="minorHAnsi" w:hAnsiTheme="minorHAnsi"/>
        </w:rPr>
      </w:pPr>
      <w:r w:rsidRPr="0063711F">
        <w:rPr>
          <w:rFonts w:asciiTheme="minorHAnsi" w:hAnsiTheme="minorHAnsi"/>
          <w:i/>
        </w:rPr>
        <w:t xml:space="preserve">2015 </w:t>
      </w:r>
      <w:r w:rsidR="00E65510" w:rsidRPr="0063711F">
        <w:rPr>
          <w:rFonts w:asciiTheme="minorHAnsi" w:hAnsiTheme="minorHAnsi"/>
          <w:i/>
        </w:rPr>
        <w:t xml:space="preserve">European Society of Cardiology/European Respiratory Society </w:t>
      </w:r>
      <w:r w:rsidR="0063711F" w:rsidRPr="0063711F">
        <w:rPr>
          <w:rFonts w:asciiTheme="minorHAnsi" w:hAnsiTheme="minorHAnsi"/>
          <w:i/>
        </w:rPr>
        <w:t>(</w:t>
      </w:r>
      <w:r w:rsidRPr="0063711F">
        <w:rPr>
          <w:rFonts w:asciiTheme="minorHAnsi" w:hAnsiTheme="minorHAnsi"/>
          <w:i/>
        </w:rPr>
        <w:t>ESC/ERS</w:t>
      </w:r>
      <w:r w:rsidR="0063711F" w:rsidRPr="0063711F">
        <w:rPr>
          <w:rFonts w:asciiTheme="minorHAnsi" w:hAnsiTheme="minorHAnsi"/>
          <w:i/>
        </w:rPr>
        <w:t>)</w:t>
      </w:r>
      <w:r w:rsidRPr="0063711F">
        <w:rPr>
          <w:rFonts w:asciiTheme="minorHAnsi" w:hAnsiTheme="minorHAnsi"/>
          <w:i/>
        </w:rPr>
        <w:t xml:space="preserve"> guidelines for the diagnosis and treatment of pulmonary hypertension,</w:t>
      </w:r>
    </w:p>
    <w:p w:rsidR="00334CD0" w:rsidRPr="0063711F" w:rsidRDefault="00334CD0" w:rsidP="00807704">
      <w:pPr>
        <w:pStyle w:val="ListParagraph"/>
        <w:numPr>
          <w:ilvl w:val="0"/>
          <w:numId w:val="24"/>
        </w:numPr>
        <w:spacing w:after="200"/>
        <w:ind w:left="426" w:hanging="426"/>
        <w:jc w:val="left"/>
        <w:rPr>
          <w:rFonts w:asciiTheme="minorHAnsi" w:hAnsiTheme="minorHAnsi"/>
        </w:rPr>
      </w:pPr>
      <w:r w:rsidRPr="0063711F">
        <w:rPr>
          <w:rFonts w:asciiTheme="minorHAnsi" w:hAnsiTheme="minorHAnsi"/>
        </w:rPr>
        <w:t xml:space="preserve">the </w:t>
      </w:r>
      <w:r w:rsidRPr="0063711F">
        <w:rPr>
          <w:rFonts w:asciiTheme="minorHAnsi" w:hAnsiTheme="minorHAnsi"/>
          <w:i/>
        </w:rPr>
        <w:t xml:space="preserve">Pharmacologic therapy for pulmonary arterial hypertension in adults: CHEST guideline and expert panel report </w:t>
      </w:r>
      <w:r w:rsidRPr="0063711F">
        <w:rPr>
          <w:rFonts w:asciiTheme="minorHAnsi" w:hAnsiTheme="minorHAnsi"/>
        </w:rPr>
        <w:t>(</w:t>
      </w:r>
      <w:r w:rsidR="006F16C6" w:rsidRPr="0063711F">
        <w:rPr>
          <w:rFonts w:asciiTheme="minorHAnsi" w:hAnsiTheme="minorHAnsi"/>
        </w:rPr>
        <w:t>American College of Chest Physicians,</w:t>
      </w:r>
      <w:r w:rsidR="006F16C6" w:rsidRPr="0063711F" w:rsidDel="006F16C6">
        <w:rPr>
          <w:rFonts w:asciiTheme="minorHAnsi" w:hAnsiTheme="minorHAnsi"/>
        </w:rPr>
        <w:t xml:space="preserve"> </w:t>
      </w:r>
      <w:r w:rsidR="006F16C6" w:rsidRPr="0063711F">
        <w:rPr>
          <w:rFonts w:asciiTheme="minorHAnsi" w:hAnsiTheme="minorHAnsi"/>
        </w:rPr>
        <w:t>2014</w:t>
      </w:r>
      <w:r w:rsidRPr="0063711F">
        <w:rPr>
          <w:rFonts w:asciiTheme="minorHAnsi" w:hAnsiTheme="minorHAnsi"/>
        </w:rPr>
        <w:t>)</w:t>
      </w:r>
      <w:r w:rsidRPr="0063711F">
        <w:rPr>
          <w:rFonts w:asciiTheme="minorHAnsi" w:hAnsiTheme="minorHAnsi"/>
          <w:i/>
        </w:rPr>
        <w:t xml:space="preserve">, </w:t>
      </w:r>
      <w:r w:rsidRPr="0063711F">
        <w:rPr>
          <w:rFonts w:asciiTheme="minorHAnsi" w:hAnsiTheme="minorHAnsi"/>
        </w:rPr>
        <w:t xml:space="preserve">and </w:t>
      </w:r>
    </w:p>
    <w:p w:rsidR="00334CD0" w:rsidRPr="0063711F" w:rsidRDefault="00334CD0" w:rsidP="00807704">
      <w:pPr>
        <w:pStyle w:val="ListParagraph"/>
        <w:numPr>
          <w:ilvl w:val="0"/>
          <w:numId w:val="24"/>
        </w:numPr>
        <w:spacing w:after="200"/>
        <w:ind w:left="426" w:hanging="426"/>
        <w:jc w:val="left"/>
        <w:rPr>
          <w:rFonts w:asciiTheme="minorHAnsi" w:hAnsiTheme="minorHAnsi"/>
          <w:b/>
        </w:rPr>
      </w:pPr>
      <w:r w:rsidRPr="0063711F">
        <w:rPr>
          <w:rFonts w:asciiTheme="minorHAnsi" w:hAnsiTheme="minorHAnsi" w:cstheme="minorHAnsi"/>
          <w:i/>
        </w:rPr>
        <w:t>Drugs for Pulmonary Arterial Hypertension: Comparative Efficacy, Safety, and Cost-Effectiveness — Recommendations Report</w:t>
      </w:r>
      <w:r w:rsidR="006F16C6" w:rsidRPr="0063711F">
        <w:rPr>
          <w:rFonts w:asciiTheme="minorHAnsi" w:hAnsiTheme="minorHAnsi" w:cstheme="minorHAnsi"/>
          <w:i/>
        </w:rPr>
        <w:t xml:space="preserve"> </w:t>
      </w:r>
      <w:r w:rsidR="006F16C6" w:rsidRPr="0063711F">
        <w:rPr>
          <w:rFonts w:asciiTheme="minorHAnsi" w:hAnsiTheme="minorHAnsi" w:cstheme="minorHAnsi"/>
        </w:rPr>
        <w:t>(Canadian Agency for Drugs and Technologies in Health 2015)</w:t>
      </w:r>
      <w:r w:rsidRPr="0063711F">
        <w:rPr>
          <w:rFonts w:asciiTheme="minorHAnsi" w:hAnsiTheme="minorHAnsi" w:cstheme="minorHAnsi"/>
          <w:i/>
        </w:rPr>
        <w:t>.</w:t>
      </w:r>
    </w:p>
    <w:p w:rsidR="00712CC9" w:rsidRPr="0063711F" w:rsidRDefault="00712CC9" w:rsidP="00121658">
      <w:pPr>
        <w:pStyle w:val="Heading3"/>
        <w:jc w:val="left"/>
      </w:pPr>
      <w:bookmarkStart w:id="104" w:name="_Toc513107592"/>
      <w:bookmarkStart w:id="105" w:name="_Toc458079743"/>
      <w:bookmarkStart w:id="106" w:name="_Toc473291068"/>
      <w:bookmarkStart w:id="107" w:name="_Toc480371871"/>
      <w:bookmarkStart w:id="108" w:name="_Toc486514219"/>
      <w:bookmarkEnd w:id="102"/>
      <w:r w:rsidRPr="0063711F">
        <w:t xml:space="preserve">Key findings </w:t>
      </w:r>
      <w:r w:rsidR="002E566F">
        <w:t xml:space="preserve">for </w:t>
      </w:r>
      <w:r w:rsidRPr="0063711F">
        <w:t>research question 2</w:t>
      </w:r>
      <w:bookmarkEnd w:id="104"/>
    </w:p>
    <w:p w:rsidR="00712CC9" w:rsidRPr="0063711F" w:rsidRDefault="0063711F" w:rsidP="00121658">
      <w:pPr>
        <w:pStyle w:val="BodyText"/>
        <w:jc w:val="left"/>
        <w:rPr>
          <w:rFonts w:asciiTheme="minorHAnsi" w:hAnsiTheme="minorHAnsi"/>
          <w:i/>
        </w:rPr>
      </w:pPr>
      <w:r w:rsidRPr="0063711F">
        <w:rPr>
          <w:rFonts w:asciiTheme="minorHAnsi" w:hAnsiTheme="minorHAnsi"/>
          <w:i/>
        </w:rPr>
        <w:t xml:space="preserve">Research Question 2: </w:t>
      </w:r>
      <w:r w:rsidR="00712CC9" w:rsidRPr="0063711F">
        <w:rPr>
          <w:rFonts w:asciiTheme="minorHAnsi" w:hAnsiTheme="minorHAnsi"/>
          <w:i/>
        </w:rPr>
        <w:t xml:space="preserve">Are the current PBS restrictions for PAH medicines, the TGA-approved indications and the recommendations from clinical guidelines consistent? </w:t>
      </w:r>
    </w:p>
    <w:p w:rsidR="009D6EE3" w:rsidRPr="0063711F" w:rsidRDefault="009D6EE3" w:rsidP="00121658">
      <w:pPr>
        <w:jc w:val="left"/>
        <w:rPr>
          <w:rFonts w:asciiTheme="minorHAnsi" w:hAnsiTheme="minorHAnsi"/>
        </w:rPr>
      </w:pPr>
      <w:r w:rsidRPr="0063711F">
        <w:rPr>
          <w:rFonts w:asciiTheme="minorHAnsi" w:hAnsiTheme="minorHAnsi"/>
        </w:rPr>
        <w:t>The key differences between guideline recommendations and PBS restrictions are:</w:t>
      </w:r>
    </w:p>
    <w:p w:rsidR="009D6EE3" w:rsidRPr="0063711F" w:rsidRDefault="009D6EE3" w:rsidP="00921D13">
      <w:pPr>
        <w:pStyle w:val="08Bulletsseriesofsentences"/>
      </w:pPr>
      <w:r w:rsidRPr="0063711F">
        <w:t xml:space="preserve">The PBS restrictions limit the use of PAH medicines to patients in WHO FC III-IV.  Guidelines recommend treatment of patients in WHO FC II-IV. TGA indications for PAH medicines cover WHO FC II-IV.  </w:t>
      </w:r>
    </w:p>
    <w:p w:rsidR="009D6EE3" w:rsidRPr="0063711F" w:rsidRDefault="009D6EE3" w:rsidP="00921D13">
      <w:pPr>
        <w:pStyle w:val="08Bulletsseriesofsentences"/>
      </w:pPr>
      <w:r w:rsidRPr="0063711F">
        <w:t xml:space="preserve">Guidelines recommend initial treatment with initial combination therapy for patients in WHO III-IV with high risk factors.  In contrast to the CHEST guideline, the ERS/ERC guidelines also recommend initial oral combination therapy as an option for patients in WHO FC II. The PBS restrictions limit the use of PAH medicines to one PAH medicine at any a time (the PAH agent is the sole subsidised agent for this condition) in FC III-IV. </w:t>
      </w:r>
    </w:p>
    <w:p w:rsidR="009D6EE3" w:rsidRPr="00917AD5" w:rsidRDefault="009D6EE3" w:rsidP="00921D13">
      <w:pPr>
        <w:pStyle w:val="08Bulletsseriesofsentences"/>
      </w:pPr>
      <w:r>
        <w:t xml:space="preserve">Guidelines also recommend </w:t>
      </w:r>
      <w:r w:rsidRPr="009F466A">
        <w:t>sequential co</w:t>
      </w:r>
      <w:r>
        <w:t xml:space="preserve">mbination therapy for </w:t>
      </w:r>
      <w:r w:rsidRPr="00917AD5">
        <w:t>patients with an inadequate clinical response</w:t>
      </w:r>
      <w:r>
        <w:t xml:space="preserve"> to treatment</w:t>
      </w:r>
      <w:r w:rsidRPr="00917AD5">
        <w:t>.  Patients continue on their existing agent and add another agent as sequential combination, up to three medicines.  TGA listings include combination use for ambrisentan with tadalafil, macitentan with PDE-5 inhibitor or iloprost, and riociguat with ERA or iloprost.</w:t>
      </w:r>
    </w:p>
    <w:p w:rsidR="009D6EE3" w:rsidRDefault="009D6EE3" w:rsidP="00921D13">
      <w:pPr>
        <w:pStyle w:val="08Bulletsseriesofsentences"/>
      </w:pPr>
      <w:r>
        <w:t xml:space="preserve">Response to treatment is defined in guidelines as clinical improvement and/or progress towards therapeutic goals.  PBS restrictions define response to treatment as stability or improvement of disease. </w:t>
      </w:r>
    </w:p>
    <w:p w:rsidR="009D6EE3" w:rsidRPr="001578B6" w:rsidRDefault="009D6EE3" w:rsidP="00921D13">
      <w:pPr>
        <w:pStyle w:val="08Bulletsseriesofsentences"/>
      </w:pPr>
      <w:r w:rsidRPr="001578B6">
        <w:t>Clinical criteria in PBS restrictions and TGA indications s</w:t>
      </w:r>
      <w:r>
        <w:t>pecify both PAH subtype and WHO </w:t>
      </w:r>
      <w:r w:rsidRPr="001578B6">
        <w:t>FC for each PAH medicine, while guideline recommendations are based on medicine class, not individual medicines and make no suggestions as to the line of therapy. In contrast to guidelines recommendation, for example, prostanoids are neither TGA registered nor PBS-listed for PAH associated with congenital heart disease (</w:t>
      </w:r>
      <w:proofErr w:type="gramStart"/>
      <w:r w:rsidRPr="001578B6">
        <w:t>PAH-CHD),</w:t>
      </w:r>
      <w:proofErr w:type="gramEnd"/>
      <w:r w:rsidRPr="001578B6">
        <w:t xml:space="preserve"> and PDE-5 inhibitors not for WHO FC IV.</w:t>
      </w:r>
    </w:p>
    <w:p w:rsidR="009D6EE3" w:rsidRDefault="009D6EE3" w:rsidP="00921D13">
      <w:pPr>
        <w:pStyle w:val="08Bulletsseriesofsentences"/>
      </w:pPr>
      <w:r>
        <w:t>There are no PBS-listed</w:t>
      </w:r>
      <w:r w:rsidRPr="009F466A">
        <w:t xml:space="preserve"> medicines for </w:t>
      </w:r>
      <w:r>
        <w:t xml:space="preserve">certain </w:t>
      </w:r>
      <w:r w:rsidRPr="009F466A">
        <w:t>PAH subtype</w:t>
      </w:r>
      <w:r>
        <w:t>s</w:t>
      </w:r>
      <w:r w:rsidRPr="009F466A">
        <w:t xml:space="preserve">: PAH associated with human immunodeficiency virus (PAH-HIV), </w:t>
      </w:r>
      <w:r>
        <w:t xml:space="preserve">associated </w:t>
      </w:r>
      <w:r w:rsidRPr="009F466A">
        <w:t xml:space="preserve">with portal hypertension or </w:t>
      </w:r>
      <w:r>
        <w:t xml:space="preserve">associated </w:t>
      </w:r>
      <w:r w:rsidRPr="009F466A">
        <w:t>with schistosomiasis</w:t>
      </w:r>
      <w:r>
        <w:t>.</w:t>
      </w:r>
    </w:p>
    <w:p w:rsidR="009D6EE3" w:rsidRDefault="009D6EE3" w:rsidP="00921D13">
      <w:pPr>
        <w:pStyle w:val="08Bulletsseriesofsentences"/>
      </w:pPr>
      <w:r w:rsidRPr="009F466A">
        <w:t>The current terminology of PAH</w:t>
      </w:r>
      <w:r>
        <w:t xml:space="preserve"> types</w:t>
      </w:r>
      <w:r w:rsidRPr="009F466A">
        <w:t xml:space="preserve"> in the TGA indications and PBS restrictions are inconsistent with the latest WHO classification scheme for pulmonary hypertension and PAH.</w:t>
      </w:r>
    </w:p>
    <w:p w:rsidR="009D6EE3" w:rsidRPr="00917AD5" w:rsidRDefault="009D6EE3" w:rsidP="00921D13">
      <w:pPr>
        <w:pStyle w:val="08Bulletsseriesofsentences"/>
      </w:pPr>
      <w:r w:rsidRPr="00917AD5">
        <w:t xml:space="preserve">PBS restrictions mostly fall within TGA-approved indications of PAH medicines, except PBS-listings for drug and toxin induced PAH (PAH-DT), and ambrisentan and iloprost for heritable PAH (HPAH). </w:t>
      </w:r>
    </w:p>
    <w:p w:rsidR="009D6EE3" w:rsidRPr="005671A1" w:rsidRDefault="009D6EE3" w:rsidP="00921D13">
      <w:pPr>
        <w:pStyle w:val="08Bulletsseriesofsentences"/>
      </w:pPr>
      <w:r w:rsidRPr="00917AD5">
        <w:t xml:space="preserve">Guidelines recommend vasodilator treatment for patients with IPAH, HPAH and PAH-DT </w:t>
      </w:r>
      <w:r>
        <w:t xml:space="preserve">(but not for PAH-CTD) </w:t>
      </w:r>
      <w:r w:rsidRPr="00917AD5">
        <w:t xml:space="preserve">and who </w:t>
      </w:r>
      <w:r>
        <w:t xml:space="preserve">also </w:t>
      </w:r>
      <w:r w:rsidRPr="00917AD5">
        <w:t xml:space="preserve">have a positive </w:t>
      </w:r>
      <w:r>
        <w:t xml:space="preserve">response to an </w:t>
      </w:r>
      <w:r w:rsidRPr="00917AD5">
        <w:t xml:space="preserve">acute vasoreactivity </w:t>
      </w:r>
      <w:r>
        <w:t>test</w:t>
      </w:r>
      <w:r w:rsidRPr="00917AD5">
        <w:t xml:space="preserve"> during RHC</w:t>
      </w:r>
      <w:r>
        <w:t>.</w:t>
      </w:r>
      <w:r w:rsidRPr="00917AD5">
        <w:t xml:space="preserve"> </w:t>
      </w:r>
      <w:r>
        <w:t>T</w:t>
      </w:r>
      <w:r w:rsidRPr="00917AD5">
        <w:t xml:space="preserve">he PBS restrictions </w:t>
      </w:r>
      <w:r>
        <w:t xml:space="preserve">however, </w:t>
      </w:r>
      <w:r w:rsidRPr="00917AD5">
        <w:t xml:space="preserve">require vasodilator treatment in WHO FC III patients with IPAH, HPAH, PAH-DT and PAH-CTD with a mean right atrial pressure </w:t>
      </w:r>
      <w:r>
        <w:t>(</w:t>
      </w:r>
      <w:proofErr w:type="spellStart"/>
      <w:r>
        <w:t>mRAP</w:t>
      </w:r>
      <w:proofErr w:type="spellEnd"/>
      <w:r>
        <w:t xml:space="preserve">) </w:t>
      </w:r>
      <w:r w:rsidRPr="00917AD5">
        <w:t xml:space="preserve">of 8mmHg of less as </w:t>
      </w:r>
      <w:r w:rsidRPr="005671A1">
        <w:t xml:space="preserve">measured by RHC. </w:t>
      </w:r>
    </w:p>
    <w:p w:rsidR="009D6EE3" w:rsidRPr="005671A1" w:rsidRDefault="009D6EE3" w:rsidP="00921D13">
      <w:pPr>
        <w:pStyle w:val="08Bulletsseriesofsentences"/>
      </w:pPr>
      <w:r>
        <w:t>Guidelines define a</w:t>
      </w:r>
      <w:r w:rsidRPr="005671A1">
        <w:t xml:space="preserve"> positive response to an acute vasoreactivity test during RHC </w:t>
      </w:r>
      <w:r>
        <w:t>as a</w:t>
      </w:r>
      <w:r w:rsidRPr="005671A1">
        <w:t xml:space="preserve"> decrease in </w:t>
      </w:r>
      <w:proofErr w:type="spellStart"/>
      <w:r w:rsidRPr="005671A1">
        <w:t>mPAP</w:t>
      </w:r>
      <w:proofErr w:type="spellEnd"/>
      <w:r w:rsidRPr="005671A1">
        <w:t xml:space="preserve"> &gt;10 mm Hg, to a mean pulmonary arterial pressure (</w:t>
      </w:r>
      <w:proofErr w:type="spellStart"/>
      <w:r w:rsidRPr="005671A1">
        <w:t>mPAP</w:t>
      </w:r>
      <w:proofErr w:type="spellEnd"/>
      <w:r w:rsidRPr="005671A1">
        <w:t>) &lt;40 mm Hg, with no worsening of cardiac output.</w:t>
      </w:r>
      <w:r>
        <w:t xml:space="preserve"> The PBS restrictions define the criteria for vasodilator treatment as being in FC III with </w:t>
      </w:r>
      <w:r w:rsidRPr="00917AD5">
        <w:t xml:space="preserve">mean right atrial pressure </w:t>
      </w:r>
      <w:r>
        <w:t>(</w:t>
      </w:r>
      <w:proofErr w:type="spellStart"/>
      <w:r>
        <w:t>mRAP</w:t>
      </w:r>
      <w:proofErr w:type="spellEnd"/>
      <w:r>
        <w:t xml:space="preserve">) </w:t>
      </w:r>
      <w:r w:rsidRPr="00917AD5">
        <w:t xml:space="preserve">of 8mmHg of less as </w:t>
      </w:r>
      <w:r w:rsidRPr="005671A1">
        <w:t xml:space="preserve">measured by RHC. </w:t>
      </w:r>
      <w:r>
        <w:t>There are safety concerns surrounding vasodilator treatment without a positive response to an acute vasodilator test.</w:t>
      </w:r>
    </w:p>
    <w:p w:rsidR="009D6EE3" w:rsidRPr="005671A1" w:rsidRDefault="009D6EE3" w:rsidP="00921D13">
      <w:pPr>
        <w:pStyle w:val="08Bulletsseriesofsentences"/>
      </w:pPr>
      <w:r>
        <w:t xml:space="preserve">Vasodilator treatment should lead to dramatic clinical improvements with the first months of treatment. </w:t>
      </w:r>
      <w:r w:rsidRPr="005671A1">
        <w:t xml:space="preserve">Close follow-up with complete reassessment </w:t>
      </w:r>
      <w:r>
        <w:t xml:space="preserve">is recommended </w:t>
      </w:r>
      <w:r w:rsidRPr="005671A1">
        <w:t xml:space="preserve">after </w:t>
      </w:r>
      <w:r>
        <w:t>three to four</w:t>
      </w:r>
      <w:r w:rsidRPr="005671A1">
        <w:t xml:space="preserve"> months of therapy (including RHC)</w:t>
      </w:r>
      <w:r w:rsidR="005A470D">
        <w:t xml:space="preserve">. </w:t>
      </w:r>
      <w:r>
        <w:t xml:space="preserve">The PBS restrictions require a detail from a trial of minimum six weeks duration. </w:t>
      </w:r>
    </w:p>
    <w:p w:rsidR="009D6EE3" w:rsidRDefault="009D6EE3" w:rsidP="00921D13">
      <w:pPr>
        <w:pStyle w:val="08Bulletsseriesofsentences"/>
      </w:pPr>
      <w:r>
        <w:t>Guideline recommend additional therapy with PAH medicines, i</w:t>
      </w:r>
      <w:r w:rsidRPr="005671A1">
        <w:t>f the patient does not show an adequate response</w:t>
      </w:r>
      <w:r>
        <w:t xml:space="preserve"> to vasodilator therapy</w:t>
      </w:r>
      <w:r w:rsidRPr="005671A1">
        <w:t xml:space="preserve">, defined as </w:t>
      </w:r>
      <w:r w:rsidRPr="00373B5B">
        <w:t>being in WHO-FC I-II and with</w:t>
      </w:r>
      <w:r w:rsidRPr="005671A1">
        <w:t xml:space="preserve"> a marked haemody</w:t>
      </w:r>
      <w:r>
        <w:t>namic improvement (near normalis</w:t>
      </w:r>
      <w:r w:rsidRPr="005671A1">
        <w:t>ation</w:t>
      </w:r>
      <w:r>
        <w:t>)</w:t>
      </w:r>
      <w:r w:rsidRPr="005671A1">
        <w:t>.</w:t>
      </w:r>
    </w:p>
    <w:p w:rsidR="009D6EE3" w:rsidRPr="009062F9" w:rsidRDefault="009062F9" w:rsidP="00921D13">
      <w:pPr>
        <w:pStyle w:val="08Bulletsseriesofsentences"/>
      </w:pPr>
      <w:r w:rsidRPr="009062F9">
        <w:t>Guideline</w:t>
      </w:r>
      <w:r w:rsidR="00756B06" w:rsidRPr="009062F9">
        <w:t xml:space="preserve"> recommendations </w:t>
      </w:r>
      <w:r w:rsidR="006452D3" w:rsidRPr="009062F9">
        <w:t>for</w:t>
      </w:r>
      <w:r w:rsidR="00756B06" w:rsidRPr="009062F9">
        <w:t xml:space="preserve"> hypertension referral centres </w:t>
      </w:r>
      <w:r>
        <w:t>specify</w:t>
      </w:r>
      <w:r w:rsidR="00756B06" w:rsidRPr="009062F9">
        <w:t xml:space="preserve"> annual patient numbers as centres with a high volume of patients ten</w:t>
      </w:r>
      <w:r w:rsidR="000240D6">
        <w:t>d to obtain the best outcomes.</w:t>
      </w:r>
    </w:p>
    <w:p w:rsidR="00CE28F2" w:rsidRPr="002D7AC6" w:rsidRDefault="00CE28F2" w:rsidP="00121658">
      <w:pPr>
        <w:pStyle w:val="Heading3"/>
        <w:jc w:val="left"/>
      </w:pPr>
      <w:bookmarkStart w:id="109" w:name="_Toc513107593"/>
      <w:r>
        <w:t xml:space="preserve">Key findings </w:t>
      </w:r>
      <w:r w:rsidR="002E566F">
        <w:t xml:space="preserve">for </w:t>
      </w:r>
      <w:r>
        <w:t>research question 3</w:t>
      </w:r>
      <w:bookmarkEnd w:id="109"/>
    </w:p>
    <w:p w:rsidR="00CE28F2" w:rsidRPr="009062F9" w:rsidRDefault="0063711F" w:rsidP="00121658">
      <w:pPr>
        <w:pStyle w:val="BodyText"/>
        <w:jc w:val="left"/>
        <w:rPr>
          <w:rFonts w:asciiTheme="minorHAnsi" w:hAnsiTheme="minorHAnsi"/>
          <w:i/>
        </w:rPr>
      </w:pPr>
      <w:r w:rsidRPr="009062F9">
        <w:rPr>
          <w:rFonts w:asciiTheme="minorHAnsi" w:hAnsiTheme="minorHAnsi"/>
          <w:i/>
        </w:rPr>
        <w:t xml:space="preserve">Research Question 3: </w:t>
      </w:r>
      <w:r w:rsidR="00CE28F2" w:rsidRPr="009062F9">
        <w:rPr>
          <w:rFonts w:asciiTheme="minorHAnsi" w:hAnsiTheme="minorHAnsi"/>
          <w:i/>
        </w:rPr>
        <w:t>Are the current diagnostic and prognostic criteria in PBS restrictions for patients with PAH consistent with Australian and international guidelines?</w:t>
      </w:r>
    </w:p>
    <w:p w:rsidR="00CE28F2" w:rsidRDefault="00CE28F2" w:rsidP="00921D13">
      <w:pPr>
        <w:pStyle w:val="08Bulletsseriesofsentences"/>
      </w:pPr>
      <w:r>
        <w:t xml:space="preserve">Current PBS restrictions specify three diagnostic </w:t>
      </w:r>
      <w:r w:rsidRPr="002D7AC6">
        <w:t>assessments</w:t>
      </w:r>
      <w:r>
        <w:t xml:space="preserve"> at baseline and first continuation </w:t>
      </w:r>
      <w:r w:rsidRPr="002D7AC6">
        <w:t xml:space="preserve">for </w:t>
      </w:r>
      <w:r>
        <w:t>PAH</w:t>
      </w:r>
      <w:r w:rsidRPr="002D7AC6">
        <w:t xml:space="preserve"> treatment</w:t>
      </w:r>
      <w:r>
        <w:t xml:space="preserve"> subsidy: </w:t>
      </w:r>
      <w:r w:rsidRPr="002D7AC6">
        <w:t>RHC, 6MWD and echocardiography.</w:t>
      </w:r>
      <w:r>
        <w:t xml:space="preserve"> </w:t>
      </w:r>
    </w:p>
    <w:p w:rsidR="00CE28F2" w:rsidRDefault="00CE28F2" w:rsidP="003D0C4C">
      <w:pPr>
        <w:pStyle w:val="08Bulletsseriesofsentences"/>
        <w:numPr>
          <w:ilvl w:val="0"/>
          <w:numId w:val="0"/>
        </w:numPr>
        <w:ind w:left="714"/>
      </w:pPr>
      <w:r>
        <w:t>B</w:t>
      </w:r>
      <w:r w:rsidRPr="00B25CA4">
        <w:t xml:space="preserve">ased on guideline recommendations, the assessments that </w:t>
      </w:r>
      <w:r>
        <w:t>form the basis of</w:t>
      </w:r>
      <w:r w:rsidRPr="00B25CA4">
        <w:t xml:space="preserve"> treatment choices would includ</w:t>
      </w:r>
      <w:r>
        <w:t>e an assessment of the patient’s risk of PAH deterioration based on a suite of parameters taken at baseline, and which provide the basis for monitoring and follow-up. However t</w:t>
      </w:r>
      <w:r w:rsidRPr="00CE28F2">
        <w:t xml:space="preserve">here </w:t>
      </w:r>
      <w:r>
        <w:t>is</w:t>
      </w:r>
      <w:r w:rsidRPr="00CE28F2">
        <w:t xml:space="preserve"> no definitive set of parameters for patient risk</w:t>
      </w:r>
      <w:r w:rsidR="00DD1381">
        <w:t xml:space="preserve"> assessment</w:t>
      </w:r>
      <w:r w:rsidR="00A74BFB">
        <w:t xml:space="preserve"> (</w:t>
      </w:r>
      <w:r w:rsidR="003D0C4C">
        <w:t>Table 1.1</w:t>
      </w:r>
      <w:r w:rsidR="00A74BFB">
        <w:t>)</w:t>
      </w:r>
      <w:r w:rsidR="00DD1381">
        <w:t>.</w:t>
      </w:r>
    </w:p>
    <w:p w:rsidR="00092364" w:rsidRPr="00092364" w:rsidRDefault="00F41286" w:rsidP="00921D13">
      <w:pPr>
        <w:pStyle w:val="08Bulletsseriesofsentences"/>
      </w:pPr>
      <w:r>
        <w:t xml:space="preserve">PAH </w:t>
      </w:r>
      <w:r w:rsidR="00CE28F2">
        <w:t xml:space="preserve">treatment decisions without RHC are not recommended unless RHC is contraindicated. Where RHC is unavailable or contraindicated, </w:t>
      </w:r>
      <w:r w:rsidR="00067B4C">
        <w:t>t</w:t>
      </w:r>
      <w:r w:rsidR="00067B4C" w:rsidRPr="00922EA4">
        <w:t xml:space="preserve">he current </w:t>
      </w:r>
      <w:r w:rsidR="00E863CF">
        <w:t xml:space="preserve">PBS restriction defines PAH as </w:t>
      </w:r>
      <w:r w:rsidR="00092364" w:rsidRPr="00E863CF">
        <w:t>right ventricular systolic pressure (RVSP), assessed by echocardiography (ECHO), greater than 40 mmHg, with normal left ventricular function.</w:t>
      </w:r>
      <w:r w:rsidR="00E863CF" w:rsidRPr="00E863CF">
        <w:t xml:space="preserve"> </w:t>
      </w:r>
      <w:r w:rsidR="00E863CF">
        <w:t>The</w:t>
      </w:r>
      <w:r w:rsidR="00E863CF" w:rsidRPr="00E863CF">
        <w:t xml:space="preserve"> guidelines</w:t>
      </w:r>
      <w:r w:rsidR="00E863CF">
        <w:t xml:space="preserve"> recommend measurement of peak Tricuspid Regurgitation Velocity (TRV) as the key </w:t>
      </w:r>
      <w:proofErr w:type="spellStart"/>
      <w:r w:rsidR="00E863CF">
        <w:t>cardiographic</w:t>
      </w:r>
      <w:proofErr w:type="spellEnd"/>
      <w:r w:rsidR="00E863CF">
        <w:t xml:space="preserve"> variable predictive of PAH. </w:t>
      </w:r>
      <w:r w:rsidR="00E863CF" w:rsidRPr="00E863CF">
        <w:t>PAH is likely if TRV is ≥2.9ms−1 and additional echocardiographic variables suggestive of PH are present, or if TRV is ≥3.4 m·s−1 with no other signs</w:t>
      </w:r>
      <w:r w:rsidR="00E863CF">
        <w:t xml:space="preserve">. Other variables include measures for the ventricles, the pulmonary artery and the inferior vena cava and right atrium. In the absence of TRV, clinical feature suggestive of PAH are given in </w:t>
      </w:r>
      <w:r w:rsidR="00D63371">
        <w:t>Table 1.</w:t>
      </w:r>
      <w:r w:rsidR="00D63371">
        <w:rPr>
          <w:noProof/>
        </w:rPr>
        <w:t>9</w:t>
      </w:r>
      <w:r w:rsidR="00E863CF">
        <w:t xml:space="preserve">. </w:t>
      </w:r>
    </w:p>
    <w:p w:rsidR="0004089D" w:rsidRDefault="009810C6" w:rsidP="007275E6">
      <w:pPr>
        <w:pStyle w:val="BodyTextnospacebefore"/>
      </w:pPr>
      <w:r>
        <w:t xml:space="preserve">The alignment between PBS restrictions, TGA indications and guideline recommendations is summarised in </w:t>
      </w:r>
      <w:r w:rsidR="007275E6">
        <w:t>Table 1.1</w:t>
      </w:r>
      <w:r>
        <w:t>.</w:t>
      </w:r>
    </w:p>
    <w:p w:rsidR="001646A7" w:rsidRDefault="001646A7" w:rsidP="001646A7">
      <w:pPr>
        <w:pStyle w:val="BodyText"/>
      </w:pPr>
    </w:p>
    <w:p w:rsidR="001646A7" w:rsidRPr="001646A7" w:rsidRDefault="001646A7" w:rsidP="001646A7">
      <w:pPr>
        <w:pStyle w:val="BodyText"/>
        <w:sectPr w:rsidR="001646A7" w:rsidRPr="001646A7" w:rsidSect="0004089D">
          <w:headerReference w:type="even" r:id="rId27"/>
          <w:headerReference w:type="default" r:id="rId28"/>
          <w:footerReference w:type="default" r:id="rId29"/>
          <w:headerReference w:type="first" r:id="rId30"/>
          <w:footnotePr>
            <w:numFmt w:val="chicago"/>
          </w:footnotePr>
          <w:pgSz w:w="11906" w:h="16838"/>
          <w:pgMar w:top="1440" w:right="1440" w:bottom="1440" w:left="1440" w:header="708" w:footer="708" w:gutter="0"/>
          <w:cols w:space="708"/>
          <w:titlePg/>
          <w:docGrid w:linePitch="360"/>
        </w:sectPr>
      </w:pPr>
    </w:p>
    <w:p w:rsidR="0004089D" w:rsidRPr="002F3393" w:rsidRDefault="0004089D" w:rsidP="00121658">
      <w:pPr>
        <w:jc w:val="left"/>
        <w:rPr>
          <w:sz w:val="8"/>
          <w:szCs w:val="16"/>
        </w:rPr>
      </w:pPr>
    </w:p>
    <w:p w:rsidR="006C7733" w:rsidRPr="002F3393" w:rsidRDefault="006C7733" w:rsidP="00121658">
      <w:pPr>
        <w:spacing w:before="0" w:line="240" w:lineRule="auto"/>
        <w:jc w:val="left"/>
        <w:rPr>
          <w:sz w:val="8"/>
          <w:szCs w:val="16"/>
        </w:rPr>
      </w:pPr>
    </w:p>
    <w:p w:rsidR="000B7685" w:rsidRDefault="00A365C4" w:rsidP="00A365C4">
      <w:pPr>
        <w:pStyle w:val="Caption"/>
      </w:pPr>
      <w:bookmarkStart w:id="110" w:name="_Ref510798083"/>
      <w:bookmarkStart w:id="111" w:name="_Toc513107627"/>
      <w:bookmarkStart w:id="112" w:name="_Ref508895856"/>
      <w:r>
        <w:t>Table 1.</w:t>
      </w:r>
      <w:r w:rsidR="00D63371">
        <w:rPr>
          <w:noProof/>
        </w:rPr>
        <w:t>1</w:t>
      </w:r>
      <w:bookmarkEnd w:id="110"/>
      <w:r w:rsidRPr="000B7685">
        <w:t xml:space="preserve"> </w:t>
      </w:r>
      <w:r>
        <w:tab/>
        <w:t>Summary of PBS-TGA-PAH Guidelines alignment</w:t>
      </w:r>
      <w:bookmarkEnd w:id="111"/>
    </w:p>
    <w:tbl>
      <w:tblPr>
        <w:tblStyle w:val="TableGrid"/>
        <w:tblW w:w="0" w:type="auto"/>
        <w:tblLook w:val="04A0" w:firstRow="1" w:lastRow="0" w:firstColumn="1" w:lastColumn="0" w:noHBand="0" w:noVBand="1"/>
        <w:tblCaption w:val="Summary of PBS-TGA-PAH Guidelines alignment"/>
      </w:tblPr>
      <w:tblGrid>
        <w:gridCol w:w="1706"/>
        <w:gridCol w:w="3544"/>
        <w:gridCol w:w="3544"/>
        <w:gridCol w:w="5174"/>
      </w:tblGrid>
      <w:tr w:rsidR="006C7733" w:rsidRPr="009810C6" w:rsidTr="006C7733">
        <w:trPr>
          <w:cnfStyle w:val="100000000000" w:firstRow="1" w:lastRow="0" w:firstColumn="0" w:lastColumn="0" w:oddVBand="0" w:evenVBand="0" w:oddHBand="0" w:evenHBand="0" w:firstRowFirstColumn="0" w:firstRowLastColumn="0" w:lastRowFirstColumn="0" w:lastRowLastColumn="0"/>
        </w:trPr>
        <w:tc>
          <w:tcPr>
            <w:tcW w:w="1706" w:type="dxa"/>
          </w:tcPr>
          <w:bookmarkEnd w:id="112"/>
          <w:p w:rsidR="006C7733" w:rsidRPr="002E566F" w:rsidRDefault="006C7733" w:rsidP="004F012F">
            <w:pPr>
              <w:spacing w:before="0" w:line="240" w:lineRule="auto"/>
              <w:ind w:left="147" w:right="57" w:hanging="5"/>
              <w:contextualSpacing/>
              <w:jc w:val="left"/>
              <w:rPr>
                <w:rFonts w:ascii="Arial" w:hAnsi="Arial" w:cs="Arial"/>
                <w:b/>
                <w:sz w:val="20"/>
                <w:szCs w:val="20"/>
              </w:rPr>
            </w:pPr>
            <w:r w:rsidRPr="002E566F">
              <w:rPr>
                <w:rFonts w:ascii="Arial" w:hAnsi="Arial" w:cs="Arial"/>
                <w:b/>
                <w:sz w:val="20"/>
                <w:szCs w:val="20"/>
              </w:rPr>
              <w:t>Criterion</w:t>
            </w:r>
          </w:p>
        </w:tc>
        <w:tc>
          <w:tcPr>
            <w:tcW w:w="3544" w:type="dxa"/>
          </w:tcPr>
          <w:p w:rsidR="006C7733" w:rsidRPr="002E566F" w:rsidRDefault="006C7733" w:rsidP="004F012F">
            <w:pPr>
              <w:spacing w:before="0" w:line="240" w:lineRule="auto"/>
              <w:ind w:left="142" w:right="57"/>
              <w:contextualSpacing/>
              <w:jc w:val="left"/>
              <w:rPr>
                <w:rFonts w:ascii="Arial" w:hAnsi="Arial" w:cs="Arial"/>
                <w:b/>
                <w:sz w:val="20"/>
                <w:szCs w:val="20"/>
              </w:rPr>
            </w:pPr>
            <w:r w:rsidRPr="002E566F">
              <w:rPr>
                <w:rFonts w:ascii="Arial" w:hAnsi="Arial" w:cs="Arial"/>
                <w:b/>
                <w:sz w:val="20"/>
                <w:szCs w:val="20"/>
              </w:rPr>
              <w:t>PBS Listings</w:t>
            </w:r>
          </w:p>
        </w:tc>
        <w:tc>
          <w:tcPr>
            <w:tcW w:w="3544" w:type="dxa"/>
          </w:tcPr>
          <w:p w:rsidR="006C7733" w:rsidRPr="002E566F" w:rsidRDefault="006C7733" w:rsidP="004F012F">
            <w:pPr>
              <w:spacing w:before="0" w:line="240" w:lineRule="auto"/>
              <w:ind w:left="142" w:right="57"/>
              <w:contextualSpacing/>
              <w:jc w:val="left"/>
              <w:rPr>
                <w:rFonts w:ascii="Arial" w:hAnsi="Arial" w:cs="Arial"/>
                <w:b/>
                <w:sz w:val="20"/>
                <w:szCs w:val="20"/>
              </w:rPr>
            </w:pPr>
            <w:r w:rsidRPr="002E566F">
              <w:rPr>
                <w:rFonts w:ascii="Arial" w:hAnsi="Arial" w:cs="Arial"/>
                <w:b/>
                <w:sz w:val="20"/>
                <w:szCs w:val="20"/>
              </w:rPr>
              <w:t>TGA Status</w:t>
            </w:r>
          </w:p>
        </w:tc>
        <w:tc>
          <w:tcPr>
            <w:tcW w:w="5174" w:type="dxa"/>
          </w:tcPr>
          <w:p w:rsidR="006C7733" w:rsidRPr="002E566F" w:rsidRDefault="006C7733" w:rsidP="004F012F">
            <w:pPr>
              <w:spacing w:before="0" w:line="240" w:lineRule="auto"/>
              <w:ind w:left="142" w:right="57"/>
              <w:contextualSpacing/>
              <w:jc w:val="left"/>
              <w:rPr>
                <w:rFonts w:ascii="Arial" w:hAnsi="Arial" w:cs="Arial"/>
                <w:b/>
                <w:sz w:val="20"/>
                <w:szCs w:val="20"/>
              </w:rPr>
            </w:pPr>
            <w:r w:rsidRPr="002E566F">
              <w:rPr>
                <w:rFonts w:ascii="Arial" w:hAnsi="Arial" w:cs="Arial"/>
                <w:b/>
                <w:sz w:val="20"/>
                <w:szCs w:val="20"/>
              </w:rPr>
              <w:t>PAH Guidelines</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WHO functional class</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Subsidy: WHO FC III-IV</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 subsidy: WHO FC I-II</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Status is unspecified following improvement to WHO FC I-</w:t>
            </w:r>
            <w:r w:rsidR="004F012F">
              <w:rPr>
                <w:rFonts w:ascii="Arial" w:hAnsi="Arial" w:cs="Arial"/>
                <w:sz w:val="20"/>
                <w:szCs w:val="20"/>
              </w:rPr>
              <w:t>II (from more advanced disease)</w:t>
            </w:r>
            <w:r w:rsidRPr="002E566F">
              <w:rPr>
                <w:rFonts w:ascii="Arial" w:hAnsi="Arial" w:cs="Arial"/>
                <w:sz w:val="20"/>
                <w:szCs w:val="20"/>
              </w:rPr>
              <w:t xml:space="preserve">  </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Prostanoids: WHO FC Class III-IV only</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PDE</w:t>
            </w:r>
            <w:r w:rsidRPr="002E566F">
              <w:rPr>
                <w:rFonts w:ascii="Arial" w:hAnsi="Arial" w:cs="Arial"/>
                <w:sz w:val="20"/>
                <w:szCs w:val="20"/>
              </w:rPr>
              <w:noBreakHyphen/>
              <w:t>5i: WHO FC Class II-III only</w:t>
            </w:r>
          </w:p>
          <w:p w:rsidR="006C7733" w:rsidRPr="002E566F" w:rsidRDefault="004F012F" w:rsidP="004F012F">
            <w:pPr>
              <w:spacing w:before="0" w:line="240" w:lineRule="auto"/>
              <w:ind w:left="142" w:right="57"/>
              <w:contextualSpacing/>
              <w:jc w:val="left"/>
              <w:rPr>
                <w:rFonts w:ascii="Arial" w:hAnsi="Arial" w:cs="Arial"/>
                <w:sz w:val="20"/>
                <w:szCs w:val="20"/>
              </w:rPr>
            </w:pPr>
            <w:r>
              <w:rPr>
                <w:rFonts w:ascii="Arial" w:hAnsi="Arial" w:cs="Arial"/>
                <w:sz w:val="20"/>
                <w:szCs w:val="20"/>
              </w:rPr>
              <w:t>ERAs, riociguat: WHO FC II-IV</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Monitoring for WHO FC I (except if status reached following improvement of more advanced disease)</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Oral agents for WHO FC II</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Oral agents (including PDE</w:t>
            </w:r>
            <w:r w:rsidRPr="002E566F">
              <w:rPr>
                <w:rFonts w:ascii="Arial" w:hAnsi="Arial" w:cs="Arial"/>
                <w:sz w:val="20"/>
                <w:szCs w:val="20"/>
              </w:rPr>
              <w:noBreakHyphen/>
              <w:t>5i) or prostanoids for WHO FC III-IV</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Oral PAH medicines place in therapy</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PDE</w:t>
            </w:r>
            <w:r w:rsidRPr="002E566F">
              <w:rPr>
                <w:rFonts w:ascii="Arial" w:hAnsi="Arial" w:cs="Arial"/>
                <w:sz w:val="20"/>
                <w:szCs w:val="20"/>
              </w:rPr>
              <w:noBreakHyphen/>
              <w:t xml:space="preserve">5 inhibitors </w:t>
            </w:r>
            <w:r w:rsidR="002A6762" w:rsidRPr="002E566F">
              <w:rPr>
                <w:rFonts w:ascii="Arial" w:hAnsi="Arial" w:cs="Arial"/>
                <w:sz w:val="20"/>
                <w:szCs w:val="20"/>
              </w:rPr>
              <w:t>-</w:t>
            </w:r>
            <w:r w:rsidRPr="002E566F">
              <w:rPr>
                <w:rFonts w:ascii="Arial" w:hAnsi="Arial" w:cs="Arial"/>
                <w:sz w:val="20"/>
                <w:szCs w:val="20"/>
              </w:rPr>
              <w:t xml:space="preserve"> WHO FC III</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ERAs</w:t>
            </w:r>
            <w:r w:rsidR="002A6762" w:rsidRPr="002E566F">
              <w:rPr>
                <w:rFonts w:ascii="Arial" w:hAnsi="Arial" w:cs="Arial"/>
                <w:sz w:val="20"/>
                <w:szCs w:val="20"/>
              </w:rPr>
              <w:t xml:space="preserve"> -</w:t>
            </w:r>
            <w:r w:rsidRPr="002E566F">
              <w:rPr>
                <w:rFonts w:ascii="Arial" w:hAnsi="Arial" w:cs="Arial"/>
                <w:sz w:val="20"/>
                <w:szCs w:val="20"/>
              </w:rPr>
              <w:t xml:space="preserve"> WHO FC III-IV</w:t>
            </w:r>
          </w:p>
          <w:p w:rsidR="002A6762" w:rsidRPr="002E566F" w:rsidRDefault="002A6762"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sGC stimulator - WHO FC III-IV</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As for WHO FC. See</w:t>
            </w:r>
            <w:r w:rsidR="00D368DF">
              <w:rPr>
                <w:rFonts w:ascii="Arial" w:hAnsi="Arial" w:cs="Arial"/>
                <w:sz w:val="20"/>
                <w:szCs w:val="20"/>
              </w:rPr>
              <w:t xml:space="preserve"> </w:t>
            </w:r>
            <w:r w:rsidR="00D63371" w:rsidRPr="00D63371">
              <w:rPr>
                <w:rFonts w:ascii="Arial" w:hAnsi="Arial" w:cs="Arial"/>
                <w:sz w:val="20"/>
                <w:szCs w:val="20"/>
              </w:rPr>
              <w:t>Table 1.16</w:t>
            </w:r>
            <w:r w:rsidRPr="001E2909">
              <w:rPr>
                <w:rFonts w:ascii="Arial" w:hAnsi="Arial" w:cs="Arial"/>
                <w:sz w:val="20"/>
                <w:szCs w:val="20"/>
              </w:rPr>
              <w:t>.</w:t>
            </w:r>
          </w:p>
          <w:p w:rsidR="009D6EE3" w:rsidRPr="002E566F" w:rsidRDefault="009D6EE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PDE-5i - WHO FC Class II-III</w:t>
            </w:r>
          </w:p>
          <w:p w:rsidR="009D6EE3" w:rsidRPr="002E566F" w:rsidRDefault="009D6EE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ERA - WHO FC II-IV</w:t>
            </w:r>
          </w:p>
          <w:p w:rsidR="006C7733" w:rsidRPr="002E566F" w:rsidRDefault="009D6EE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sGC stimulator - WHO FC II-IV</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proofErr w:type="spellStart"/>
            <w:r w:rsidRPr="002E566F">
              <w:rPr>
                <w:rFonts w:ascii="Arial" w:hAnsi="Arial" w:cs="Arial"/>
                <w:sz w:val="20"/>
                <w:szCs w:val="20"/>
              </w:rPr>
              <w:t>SoC</w:t>
            </w:r>
            <w:proofErr w:type="spellEnd"/>
            <w:r w:rsidRPr="002E566F">
              <w:rPr>
                <w:rFonts w:ascii="Arial" w:hAnsi="Arial" w:cs="Arial"/>
                <w:sz w:val="20"/>
                <w:szCs w:val="20"/>
              </w:rPr>
              <w:t xml:space="preserve"> for WHO FC II-III</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In combination with other oral agents or prostanoids for WHO FC IV</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 recommendations based on line of therapy (1</w:t>
            </w:r>
            <w:r w:rsidRPr="002E566F">
              <w:rPr>
                <w:rFonts w:ascii="Arial" w:hAnsi="Arial" w:cs="Arial"/>
                <w:sz w:val="20"/>
                <w:szCs w:val="20"/>
                <w:vertAlign w:val="superscript"/>
              </w:rPr>
              <w:t>st</w:t>
            </w:r>
            <w:r w:rsidRPr="002E566F">
              <w:rPr>
                <w:rFonts w:ascii="Arial" w:hAnsi="Arial" w:cs="Arial"/>
                <w:sz w:val="20"/>
                <w:szCs w:val="20"/>
              </w:rPr>
              <w:t xml:space="preserve"> line </w:t>
            </w:r>
            <w:proofErr w:type="spellStart"/>
            <w:r w:rsidRPr="002E566F">
              <w:rPr>
                <w:rFonts w:ascii="Arial" w:hAnsi="Arial" w:cs="Arial"/>
                <w:sz w:val="20"/>
                <w:szCs w:val="20"/>
              </w:rPr>
              <w:t>etc</w:t>
            </w:r>
            <w:proofErr w:type="spellEnd"/>
            <w:r w:rsidRPr="002E566F">
              <w:rPr>
                <w:rFonts w:ascii="Arial" w:hAnsi="Arial" w:cs="Arial"/>
                <w:sz w:val="20"/>
                <w:szCs w:val="20"/>
              </w:rPr>
              <w:t>)</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Prostanoids place in therapy</w:t>
            </w:r>
          </w:p>
        </w:tc>
        <w:tc>
          <w:tcPr>
            <w:tcW w:w="3544" w:type="dxa"/>
          </w:tcPr>
          <w:p w:rsidR="002A6762" w:rsidRPr="002E566F" w:rsidRDefault="002A6762"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epoprostenol - 2nd line WHO FC III,</w:t>
            </w:r>
          </w:p>
          <w:p w:rsidR="002A6762" w:rsidRPr="002E566F" w:rsidRDefault="002A6762"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1st line in FC IV</w:t>
            </w:r>
          </w:p>
          <w:p w:rsidR="002A6762" w:rsidRPr="002E566F" w:rsidRDefault="002A6762"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iloprost for PAH-DT FC III-IV and</w:t>
            </w:r>
          </w:p>
          <w:p w:rsidR="002A6762" w:rsidRPr="002E566F" w:rsidRDefault="002A6762"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FC IV.</w:t>
            </w:r>
          </w:p>
          <w:p w:rsidR="006C7733" w:rsidRPr="002E566F" w:rsidRDefault="002A6762" w:rsidP="004F012F">
            <w:pPr>
              <w:spacing w:before="0" w:line="240" w:lineRule="auto"/>
              <w:ind w:left="142" w:right="57"/>
              <w:contextualSpacing/>
              <w:jc w:val="left"/>
              <w:rPr>
                <w:rFonts w:ascii="Arial" w:hAnsi="Arial" w:cs="Arial"/>
                <w:i/>
                <w:sz w:val="20"/>
                <w:szCs w:val="20"/>
              </w:rPr>
            </w:pPr>
            <w:r w:rsidRPr="002E566F">
              <w:rPr>
                <w:rFonts w:ascii="Arial" w:hAnsi="Arial" w:cs="Arial"/>
                <w:sz w:val="20"/>
                <w:szCs w:val="20"/>
              </w:rPr>
              <w:t>No prostanoids listed for PAH-CHD</w:t>
            </w:r>
            <w:r w:rsidRPr="002E566F" w:rsidDel="002A6762">
              <w:rPr>
                <w:rFonts w:ascii="Arial" w:hAnsi="Arial" w:cs="Arial"/>
                <w:sz w:val="20"/>
                <w:szCs w:val="20"/>
              </w:rPr>
              <w:t xml:space="preserve"> </w:t>
            </w:r>
          </w:p>
        </w:tc>
        <w:tc>
          <w:tcPr>
            <w:tcW w:w="3544" w:type="dxa"/>
          </w:tcPr>
          <w:p w:rsidR="00CE16FA" w:rsidRDefault="006C7733" w:rsidP="00CE16FA">
            <w:pPr>
              <w:spacing w:before="0" w:line="240" w:lineRule="auto"/>
              <w:ind w:left="142" w:right="57"/>
              <w:contextualSpacing/>
              <w:jc w:val="left"/>
              <w:rPr>
                <w:rFonts w:ascii="Arial" w:hAnsi="Arial" w:cs="Arial"/>
                <w:sz w:val="20"/>
                <w:szCs w:val="20"/>
              </w:rPr>
            </w:pPr>
            <w:r w:rsidRPr="002E566F">
              <w:rPr>
                <w:rFonts w:ascii="Arial" w:hAnsi="Arial" w:cs="Arial"/>
                <w:sz w:val="20"/>
                <w:szCs w:val="20"/>
              </w:rPr>
              <w:t>See</w:t>
            </w:r>
            <w:r w:rsidR="00CE16FA">
              <w:rPr>
                <w:rFonts w:ascii="Arial" w:hAnsi="Arial" w:cs="Arial"/>
                <w:sz w:val="20"/>
                <w:szCs w:val="20"/>
              </w:rPr>
              <w:t xml:space="preserve"> Table 1.16</w:t>
            </w:r>
            <w:r w:rsidR="00165E64">
              <w:rPr>
                <w:rFonts w:ascii="Arial" w:hAnsi="Arial" w:cs="Arial"/>
                <w:sz w:val="20"/>
                <w:szCs w:val="20"/>
              </w:rPr>
              <w:t>.</w:t>
            </w:r>
          </w:p>
          <w:p w:rsidR="006C7733" w:rsidRPr="002E566F" w:rsidRDefault="00CE16FA" w:rsidP="00CE16FA">
            <w:pPr>
              <w:spacing w:before="0" w:line="240" w:lineRule="auto"/>
              <w:ind w:left="142" w:right="57"/>
              <w:contextualSpacing/>
              <w:jc w:val="left"/>
              <w:rPr>
                <w:rFonts w:ascii="Arial" w:hAnsi="Arial" w:cs="Arial"/>
                <w:sz w:val="20"/>
                <w:szCs w:val="20"/>
              </w:rPr>
            </w:pPr>
            <w:r>
              <w:rPr>
                <w:rFonts w:ascii="Arial" w:hAnsi="Arial" w:cs="Arial"/>
                <w:sz w:val="20"/>
                <w:szCs w:val="20"/>
              </w:rPr>
              <w:t xml:space="preserve">No </w:t>
            </w:r>
            <w:r w:rsidR="006C7733" w:rsidRPr="002E566F">
              <w:rPr>
                <w:rFonts w:ascii="Arial" w:hAnsi="Arial" w:cs="Arial"/>
                <w:sz w:val="20"/>
                <w:szCs w:val="20"/>
              </w:rPr>
              <w:t>p</w:t>
            </w:r>
            <w:r w:rsidR="004F012F">
              <w:rPr>
                <w:rFonts w:ascii="Arial" w:hAnsi="Arial" w:cs="Arial"/>
                <w:sz w:val="20"/>
                <w:szCs w:val="20"/>
              </w:rPr>
              <w:t>rostanoids approved for PAH-CHD</w:t>
            </w:r>
            <w:r w:rsidR="006C7733" w:rsidRPr="002E566F">
              <w:rPr>
                <w:rFonts w:ascii="Arial" w:hAnsi="Arial" w:cs="Arial"/>
                <w:sz w:val="20"/>
                <w:szCs w:val="20"/>
              </w:rPr>
              <w:t xml:space="preserve"> </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Recommended for WHO FC III (especially high risk) and WHO FC IV</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 recommendations based on line of therapy</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Recommendations for PAH-CHD are consensus based but are otherwise consistent with WHO Group 1 conditions</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PAH subtypes</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Subsidy: IPAH, HPAH, PAH-CTD, PAH-DT</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Subsidy – oral agents only: PAH-CHD</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 subsidy: PAH-HIV, PAH-PH</w:t>
            </w:r>
          </w:p>
        </w:tc>
        <w:tc>
          <w:tcPr>
            <w:tcW w:w="3544" w:type="dxa"/>
          </w:tcPr>
          <w:p w:rsidR="006C7733" w:rsidRPr="002E566F" w:rsidRDefault="00CE16FA"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See</w:t>
            </w:r>
            <w:r>
              <w:rPr>
                <w:rFonts w:ascii="Arial" w:hAnsi="Arial" w:cs="Arial"/>
                <w:sz w:val="20"/>
                <w:szCs w:val="20"/>
              </w:rPr>
              <w:t xml:space="preserve"> Table 1.16</w:t>
            </w:r>
            <w:r w:rsidR="00D368DF">
              <w:rPr>
                <w:rFonts w:ascii="Arial" w:hAnsi="Arial" w:cs="Arial"/>
                <w:sz w:val="20"/>
                <w:szCs w:val="20"/>
              </w:rPr>
              <w:t>.</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Sildenafil, tadalafil and </w:t>
            </w:r>
            <w:proofErr w:type="spellStart"/>
            <w:r w:rsidRPr="002E566F">
              <w:rPr>
                <w:rFonts w:ascii="Arial" w:hAnsi="Arial" w:cs="Arial"/>
                <w:sz w:val="20"/>
                <w:szCs w:val="20"/>
              </w:rPr>
              <w:t>ambrisentan+tadalafil</w:t>
            </w:r>
            <w:proofErr w:type="spellEnd"/>
            <w:r w:rsidRPr="002E566F">
              <w:rPr>
                <w:rFonts w:ascii="Arial" w:hAnsi="Arial" w:cs="Arial"/>
                <w:sz w:val="20"/>
                <w:szCs w:val="20"/>
              </w:rPr>
              <w:t xml:space="preserve"> </w:t>
            </w:r>
            <w:r w:rsidR="003332C4" w:rsidRPr="002E566F">
              <w:rPr>
                <w:rFonts w:ascii="Arial" w:hAnsi="Arial" w:cs="Arial"/>
                <w:sz w:val="20"/>
                <w:szCs w:val="20"/>
              </w:rPr>
              <w:t xml:space="preserve">combination </w:t>
            </w:r>
            <w:r w:rsidRPr="002E566F">
              <w:rPr>
                <w:rFonts w:ascii="Arial" w:hAnsi="Arial" w:cs="Arial"/>
                <w:sz w:val="20"/>
                <w:szCs w:val="20"/>
              </w:rPr>
              <w:t>indications for Group 1 PAH</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Only iloprost specifically approved for PAH-DT</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 prostan</w:t>
            </w:r>
            <w:r w:rsidR="004F012F">
              <w:rPr>
                <w:rFonts w:ascii="Arial" w:hAnsi="Arial" w:cs="Arial"/>
                <w:sz w:val="20"/>
                <w:szCs w:val="20"/>
              </w:rPr>
              <w:t>oids approved for PAH-CHD</w:t>
            </w:r>
            <w:r w:rsidRPr="002E566F">
              <w:rPr>
                <w:rFonts w:ascii="Arial" w:hAnsi="Arial" w:cs="Arial"/>
                <w:sz w:val="20"/>
                <w:szCs w:val="20"/>
              </w:rPr>
              <w:t xml:space="preserve"> </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Treatment recommendations apply to all WHO Group 1 conditions</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Monotherapy</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All restrictions including after disease progression</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D368DF">
              <w:rPr>
                <w:rFonts w:ascii="Arial" w:hAnsi="Arial" w:cs="Arial"/>
                <w:sz w:val="20"/>
                <w:szCs w:val="20"/>
              </w:rPr>
              <w:t xml:space="preserve">See </w:t>
            </w:r>
            <w:r w:rsidR="00D63371" w:rsidRPr="00D63371">
              <w:rPr>
                <w:rFonts w:ascii="Arial" w:hAnsi="Arial" w:cs="Arial"/>
                <w:sz w:val="20"/>
                <w:szCs w:val="20"/>
              </w:rPr>
              <w:t>Table 1.16</w:t>
            </w:r>
            <w:r w:rsidR="00D368DF">
              <w:rPr>
                <w:rFonts w:ascii="Arial" w:hAnsi="Arial" w:cs="Arial"/>
                <w:sz w:val="20"/>
                <w:szCs w:val="20"/>
              </w:rPr>
              <w:t>.</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Ambrisentan mono: IPAH, HPAH only</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Initial monotherapy recommended for treatment naïve patients without high risk factors (WHO FC II-III)</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Initial combination therapy</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Not permitted (treatment must be the sole PBS-subsidised PAH agent)</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PAH medicines approved for add-on or combination use:</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Ambrisen</w:t>
            </w:r>
            <w:r w:rsidR="004F012F">
              <w:rPr>
                <w:rFonts w:ascii="Arial" w:hAnsi="Arial" w:cs="Arial"/>
                <w:sz w:val="20"/>
                <w:szCs w:val="20"/>
              </w:rPr>
              <w:t>tan + tadalafil</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Macitenta</w:t>
            </w:r>
            <w:r w:rsidR="004F012F">
              <w:rPr>
                <w:rFonts w:ascii="Arial" w:hAnsi="Arial" w:cs="Arial"/>
                <w:sz w:val="20"/>
                <w:szCs w:val="20"/>
              </w:rPr>
              <w:t>n +PDE</w:t>
            </w:r>
            <w:r w:rsidR="004F012F">
              <w:rPr>
                <w:rFonts w:ascii="Arial" w:hAnsi="Arial" w:cs="Arial"/>
                <w:sz w:val="20"/>
                <w:szCs w:val="20"/>
              </w:rPr>
              <w:noBreakHyphen/>
              <w:t>5 inhibitors or iloprost</w:t>
            </w:r>
            <w:r w:rsidRPr="002E566F">
              <w:rPr>
                <w:rFonts w:ascii="Arial" w:hAnsi="Arial" w:cs="Arial"/>
                <w:sz w:val="20"/>
                <w:szCs w:val="20"/>
              </w:rPr>
              <w:t xml:space="preserve"> </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Riociguat +ERAs or iloprost</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Recommended for WHO FC III and WHO FC IV with high risk factors (ESC/ERS guideline also recommends initial oral combination as an option for WHO FC II)</w:t>
            </w:r>
          </w:p>
        </w:tc>
      </w:tr>
      <w:tr w:rsidR="006C7733" w:rsidRPr="009810C6" w:rsidTr="006C7733">
        <w:trPr>
          <w:trHeight w:val="22"/>
        </w:trPr>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Sequential combination therapy</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Not permitted (as for initial combination, also patients who fail to respond must cease therapy with that agent)</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As for initial combination therapy.</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proofErr w:type="spellStart"/>
            <w:r w:rsidRPr="002E566F">
              <w:rPr>
                <w:rFonts w:ascii="Arial" w:hAnsi="Arial" w:cs="Arial"/>
                <w:sz w:val="20"/>
                <w:szCs w:val="20"/>
              </w:rPr>
              <w:t>SoC</w:t>
            </w:r>
            <w:proofErr w:type="spellEnd"/>
            <w:r w:rsidRPr="002E566F">
              <w:rPr>
                <w:rFonts w:ascii="Arial" w:hAnsi="Arial" w:cs="Arial"/>
                <w:sz w:val="20"/>
                <w:szCs w:val="20"/>
              </w:rPr>
              <w:t xml:space="preserve"> for patients WHO FC II-IV with inadequate response, up to a maximum of 3 PAH medici</w:t>
            </w:r>
            <w:r w:rsidR="004F012F">
              <w:rPr>
                <w:rFonts w:ascii="Arial" w:hAnsi="Arial" w:cs="Arial"/>
                <w:sz w:val="20"/>
                <w:szCs w:val="20"/>
              </w:rPr>
              <w:t>nes</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RHC</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One of 3 key assessments </w:t>
            </w:r>
            <w:r w:rsidR="009D6EE3" w:rsidRPr="002E566F">
              <w:rPr>
                <w:rFonts w:ascii="Arial" w:hAnsi="Arial" w:cs="Arial"/>
                <w:sz w:val="20"/>
                <w:szCs w:val="20"/>
              </w:rPr>
              <w:t xml:space="preserve">to provide a baseline measurement </w:t>
            </w:r>
            <w:r w:rsidRPr="002E566F">
              <w:rPr>
                <w:rFonts w:ascii="Arial" w:hAnsi="Arial" w:cs="Arial"/>
                <w:sz w:val="20"/>
                <w:szCs w:val="20"/>
              </w:rPr>
              <w:t>– not always required (with justification)</w:t>
            </w:r>
          </w:p>
        </w:tc>
        <w:tc>
          <w:tcPr>
            <w:tcW w:w="3544" w:type="dxa"/>
          </w:tcPr>
          <w:p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RHC is gold standard for diagnosis of PAH – essential unless explicitly contraindicated. RHC rel</w:t>
            </w:r>
            <w:r w:rsidR="004F012F">
              <w:rPr>
                <w:rFonts w:ascii="Arial" w:hAnsi="Arial" w:cs="Arial"/>
                <w:sz w:val="20"/>
                <w:szCs w:val="20"/>
              </w:rPr>
              <w:t>ies on ECHO as preliminary test</w:t>
            </w:r>
            <w:r w:rsidRPr="002E566F">
              <w:rPr>
                <w:rFonts w:ascii="Arial" w:hAnsi="Arial" w:cs="Arial"/>
                <w:sz w:val="20"/>
                <w:szCs w:val="20"/>
              </w:rPr>
              <w:t xml:space="preserve">  </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ECHO</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One of 3 key assessments </w:t>
            </w:r>
            <w:r w:rsidR="009D6EE3" w:rsidRPr="002E566F">
              <w:rPr>
                <w:rFonts w:ascii="Arial" w:hAnsi="Arial" w:cs="Arial"/>
                <w:sz w:val="20"/>
                <w:szCs w:val="20"/>
              </w:rPr>
              <w:t xml:space="preserve">to provide a baseline measurement </w:t>
            </w:r>
            <w:r w:rsidRPr="002E566F">
              <w:rPr>
                <w:rFonts w:ascii="Arial" w:hAnsi="Arial" w:cs="Arial"/>
                <w:sz w:val="20"/>
                <w:szCs w:val="20"/>
              </w:rPr>
              <w:t>– not always required (with justification)</w:t>
            </w:r>
          </w:p>
        </w:tc>
        <w:tc>
          <w:tcPr>
            <w:tcW w:w="3544" w:type="dxa"/>
          </w:tcPr>
          <w:p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ECHO </w:t>
            </w:r>
            <w:r w:rsidR="00E65510">
              <w:rPr>
                <w:rFonts w:ascii="Arial" w:hAnsi="Arial" w:cs="Arial"/>
                <w:sz w:val="20"/>
                <w:szCs w:val="20"/>
              </w:rPr>
              <w:t xml:space="preserve">alone </w:t>
            </w:r>
            <w:r w:rsidRPr="002E566F">
              <w:rPr>
                <w:rFonts w:ascii="Arial" w:hAnsi="Arial" w:cs="Arial"/>
                <w:sz w:val="20"/>
                <w:szCs w:val="20"/>
              </w:rPr>
              <w:t>not recommended for diagnosis of PAH.</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Recommended as essential part of work-up </w:t>
            </w:r>
            <w:r w:rsidR="004F012F">
              <w:rPr>
                <w:rFonts w:ascii="Arial" w:hAnsi="Arial" w:cs="Arial"/>
                <w:sz w:val="20"/>
                <w:szCs w:val="20"/>
              </w:rPr>
              <w:t>and decision to proceed to RHC</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If no RHC</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RVSP &lt;40 mmHg by ECHO, with normal LVF</w:t>
            </w:r>
          </w:p>
        </w:tc>
        <w:tc>
          <w:tcPr>
            <w:tcW w:w="3544" w:type="dxa"/>
          </w:tcPr>
          <w:p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Likelihood of PAH to be based on features suggestive of PAH by ECHO, described in </w:t>
            </w:r>
            <w:r w:rsidR="00D63371" w:rsidRPr="00D63371">
              <w:rPr>
                <w:rFonts w:ascii="Arial" w:hAnsi="Arial" w:cs="Arial"/>
                <w:sz w:val="20"/>
                <w:szCs w:val="20"/>
              </w:rPr>
              <w:t>Table 1.9</w:t>
            </w:r>
            <w:r w:rsidR="00D63371" w:rsidRPr="00F75B8B">
              <w:t xml:space="preserve"> </w:t>
            </w:r>
            <w:r w:rsidR="00D63371">
              <w:tab/>
              <w:t>Guideline diagnostic recommendations for PAH</w:t>
            </w:r>
            <w:r w:rsidRPr="002E566F">
              <w:rPr>
                <w:rFonts w:ascii="Arial" w:hAnsi="Arial" w:cs="Arial"/>
                <w:sz w:val="20"/>
                <w:szCs w:val="20"/>
              </w:rPr>
              <w:t xml:space="preserve"> </w:t>
            </w:r>
            <w:r w:rsidR="004F012F">
              <w:rPr>
                <w:rFonts w:ascii="Arial" w:hAnsi="Arial" w:cs="Arial"/>
                <w:sz w:val="20"/>
                <w:szCs w:val="20"/>
              </w:rPr>
              <w:t>(does not include RVSP or PASP)</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6MWD</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One of 3 key assessments </w:t>
            </w:r>
            <w:r w:rsidR="009D6EE3" w:rsidRPr="002E566F">
              <w:rPr>
                <w:rFonts w:ascii="Arial" w:hAnsi="Arial" w:cs="Arial"/>
                <w:sz w:val="20"/>
                <w:szCs w:val="20"/>
              </w:rPr>
              <w:t xml:space="preserve">to provide a baseline measurement </w:t>
            </w:r>
            <w:r w:rsidRPr="002E566F">
              <w:rPr>
                <w:rFonts w:ascii="Arial" w:hAnsi="Arial" w:cs="Arial"/>
                <w:sz w:val="20"/>
                <w:szCs w:val="20"/>
              </w:rPr>
              <w:t>– not always required (with justification)</w:t>
            </w:r>
          </w:p>
        </w:tc>
        <w:tc>
          <w:tcPr>
            <w:tcW w:w="3544" w:type="dxa"/>
          </w:tcPr>
          <w:p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Not diagnostic of PAH. </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One of a panel of baseline assessments to assess disease status and patient</w:t>
            </w:r>
            <w:r w:rsidR="004F012F">
              <w:rPr>
                <w:rFonts w:ascii="Arial" w:hAnsi="Arial" w:cs="Arial"/>
                <w:sz w:val="20"/>
                <w:szCs w:val="20"/>
              </w:rPr>
              <w:t xml:space="preserve"> risk of PAH clinical worsening</w:t>
            </w:r>
            <w:r w:rsidRPr="002E566F">
              <w:rPr>
                <w:rFonts w:ascii="Arial" w:hAnsi="Arial" w:cs="Arial"/>
                <w:sz w:val="20"/>
                <w:szCs w:val="20"/>
              </w:rPr>
              <w:t xml:space="preserve">  </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Patient risk category</w:t>
            </w:r>
          </w:p>
        </w:tc>
        <w:tc>
          <w:tcPr>
            <w:tcW w:w="3544" w:type="dxa"/>
          </w:tcPr>
          <w:p w:rsidR="006C7733" w:rsidRPr="002E566F" w:rsidRDefault="004F012F" w:rsidP="004F012F">
            <w:pPr>
              <w:spacing w:before="0" w:line="240" w:lineRule="auto"/>
              <w:ind w:left="142" w:right="57"/>
              <w:contextualSpacing/>
              <w:jc w:val="left"/>
              <w:rPr>
                <w:rFonts w:ascii="Arial" w:hAnsi="Arial" w:cs="Arial"/>
                <w:sz w:val="20"/>
                <w:szCs w:val="20"/>
              </w:rPr>
            </w:pPr>
            <w:r>
              <w:rPr>
                <w:rFonts w:ascii="Arial" w:hAnsi="Arial" w:cs="Arial"/>
                <w:sz w:val="20"/>
                <w:szCs w:val="20"/>
              </w:rPr>
              <w:t>Not mentioned</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Not a feature of approved indications.</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A key assessment for determination of clinical management, treatment decisions and monitoring.  </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There is no definitive set of parameters for patient risk.</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Response to treatment</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Response defined as stability or improvement of disease.</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Patients who fail to demonstrate a response mus</w:t>
            </w:r>
            <w:r w:rsidR="004F012F">
              <w:rPr>
                <w:rFonts w:ascii="Arial" w:hAnsi="Arial" w:cs="Arial"/>
                <w:sz w:val="20"/>
                <w:szCs w:val="20"/>
              </w:rPr>
              <w:t>t cease therapy with that agent</w:t>
            </w:r>
          </w:p>
        </w:tc>
        <w:tc>
          <w:tcPr>
            <w:tcW w:w="3544" w:type="dxa"/>
          </w:tcPr>
          <w:p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Response defined as clinical improvement and/or progress towards therapeutic goals. Unless disease is severe, maintaining clinical status may </w:t>
            </w:r>
            <w:r w:rsidR="004F012F">
              <w:rPr>
                <w:rFonts w:ascii="Arial" w:hAnsi="Arial" w:cs="Arial"/>
                <w:sz w:val="20"/>
                <w:szCs w:val="20"/>
              </w:rPr>
              <w:t>still be an inadequate response</w:t>
            </w:r>
            <w:r w:rsidRPr="002E566F">
              <w:rPr>
                <w:rFonts w:ascii="Arial" w:hAnsi="Arial" w:cs="Arial"/>
                <w:sz w:val="20"/>
                <w:szCs w:val="20"/>
              </w:rPr>
              <w:t xml:space="preserve"> </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Patients with inadequate clinical response recommended to continue on current therapy and add a furth</w:t>
            </w:r>
            <w:r w:rsidR="004F012F">
              <w:rPr>
                <w:rFonts w:ascii="Arial" w:hAnsi="Arial" w:cs="Arial"/>
                <w:sz w:val="20"/>
                <w:szCs w:val="20"/>
              </w:rPr>
              <w:t>er agent from a different class</w:t>
            </w:r>
          </w:p>
        </w:tc>
      </w:tr>
      <w:tr w:rsidR="006C7733" w:rsidRPr="009810C6" w:rsidTr="006C7733">
        <w:tc>
          <w:tcPr>
            <w:tcW w:w="1706" w:type="dxa"/>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Timing of follow-up</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Each authority approval should provide 6 months’ treatment; follow-up required at 5 months to make next application.  </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Follow-up at 3-6 months after change in therapy; or on clinical worsening</w:t>
            </w:r>
          </w:p>
        </w:tc>
      </w:tr>
      <w:tr w:rsidR="006C7733" w:rsidRPr="009810C6" w:rsidTr="006C7733">
        <w:tc>
          <w:tcPr>
            <w:tcW w:w="1706" w:type="dxa"/>
            <w:tcBorders>
              <w:bottom w:val="single" w:sz="4" w:space="0" w:color="auto"/>
            </w:tcBorders>
          </w:tcPr>
          <w:p w:rsidR="006C7733" w:rsidRPr="002E566F" w:rsidRDefault="006C7733" w:rsidP="004F012F">
            <w:pPr>
              <w:spacing w:before="0" w:line="240" w:lineRule="auto"/>
              <w:ind w:left="147" w:right="57" w:hanging="5"/>
              <w:contextualSpacing/>
              <w:jc w:val="left"/>
              <w:rPr>
                <w:rFonts w:ascii="Arial" w:hAnsi="Arial" w:cs="Arial"/>
                <w:sz w:val="20"/>
                <w:szCs w:val="20"/>
              </w:rPr>
            </w:pPr>
            <w:r w:rsidRPr="002E566F">
              <w:rPr>
                <w:rFonts w:ascii="Arial" w:hAnsi="Arial" w:cs="Arial"/>
                <w:sz w:val="20"/>
                <w:szCs w:val="20"/>
              </w:rPr>
              <w:t>Patient age group</w:t>
            </w:r>
          </w:p>
        </w:tc>
        <w:tc>
          <w:tcPr>
            <w:tcW w:w="3544" w:type="dxa"/>
            <w:tcBorders>
              <w:bottom w:val="single" w:sz="4" w:space="0" w:color="auto"/>
            </w:tcBorders>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Restrictions silent on age group</w:t>
            </w:r>
          </w:p>
        </w:tc>
        <w:tc>
          <w:tcPr>
            <w:tcW w:w="3544" w:type="dxa"/>
            <w:tcBorders>
              <w:bottom w:val="single" w:sz="4" w:space="0" w:color="auto"/>
            </w:tcBorders>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Only bosentan approved for use in children.</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Age appropriate forms of bosentan </w:t>
            </w:r>
            <w:r w:rsidR="00074A9A" w:rsidRPr="002E566F">
              <w:rPr>
                <w:rFonts w:ascii="Arial" w:hAnsi="Arial" w:cs="Arial"/>
                <w:sz w:val="20"/>
                <w:szCs w:val="20"/>
              </w:rPr>
              <w:t>+</w:t>
            </w:r>
            <w:r w:rsidRPr="002E566F">
              <w:rPr>
                <w:rFonts w:ascii="Arial" w:hAnsi="Arial" w:cs="Arial"/>
                <w:sz w:val="20"/>
                <w:szCs w:val="20"/>
              </w:rPr>
              <w:t xml:space="preserve"> sildenafil availa</w:t>
            </w:r>
            <w:r w:rsidR="004F012F">
              <w:rPr>
                <w:rFonts w:ascii="Arial" w:hAnsi="Arial" w:cs="Arial"/>
                <w:sz w:val="20"/>
                <w:szCs w:val="20"/>
              </w:rPr>
              <w:t>ble in EU/USA but not Australia</w:t>
            </w:r>
          </w:p>
        </w:tc>
        <w:tc>
          <w:tcPr>
            <w:tcW w:w="5174" w:type="dxa"/>
            <w:tcBorders>
              <w:bottom w:val="single" w:sz="4" w:space="0" w:color="auto"/>
            </w:tcBorders>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Treatment and diagnostic recommendations broadly the same in children as for adults.</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6MWD not prognostic for PAH in children.</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Dose adjustment requ</w:t>
            </w:r>
            <w:r w:rsidR="004F012F">
              <w:rPr>
                <w:rFonts w:ascii="Arial" w:hAnsi="Arial" w:cs="Arial"/>
                <w:sz w:val="20"/>
                <w:szCs w:val="20"/>
              </w:rPr>
              <w:t>ired for sildenafil in children</w:t>
            </w:r>
          </w:p>
        </w:tc>
      </w:tr>
      <w:tr w:rsidR="006C7733" w:rsidRPr="009810C6" w:rsidTr="006C7733">
        <w:tc>
          <w:tcPr>
            <w:tcW w:w="1706" w:type="dxa"/>
            <w:tcBorders>
              <w:bottom w:val="nil"/>
            </w:tcBorders>
          </w:tcPr>
          <w:p w:rsidR="006C7733" w:rsidRPr="002E566F" w:rsidRDefault="006C7733" w:rsidP="007340AF">
            <w:pPr>
              <w:spacing w:before="0" w:line="240" w:lineRule="auto"/>
              <w:ind w:left="147" w:right="57"/>
              <w:contextualSpacing/>
              <w:jc w:val="left"/>
              <w:rPr>
                <w:rFonts w:ascii="Arial" w:hAnsi="Arial" w:cs="Arial"/>
                <w:sz w:val="20"/>
                <w:szCs w:val="20"/>
              </w:rPr>
            </w:pPr>
            <w:r w:rsidRPr="002E566F">
              <w:rPr>
                <w:rFonts w:ascii="Arial" w:hAnsi="Arial" w:cs="Arial"/>
                <w:sz w:val="20"/>
                <w:szCs w:val="20"/>
              </w:rPr>
              <w:t xml:space="preserve">Trial of vasodilators – patients </w:t>
            </w:r>
          </w:p>
        </w:tc>
        <w:tc>
          <w:tcPr>
            <w:tcW w:w="3544" w:type="dxa"/>
            <w:tcBorders>
              <w:bottom w:val="nil"/>
            </w:tcBorders>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Required for WHO FC III – IPAH, HPAH, PAH and PAH-CTD</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Not required for PAH-CHD</w:t>
            </w:r>
          </w:p>
        </w:tc>
        <w:tc>
          <w:tcPr>
            <w:tcW w:w="3544" w:type="dxa"/>
            <w:tcBorders>
              <w:bottom w:val="nil"/>
            </w:tcBorders>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High dose CCBs therapy is off-label use in PAH.</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Dosing and safety not included in PI for CCBs (diltiazem, </w:t>
            </w:r>
            <w:proofErr w:type="spellStart"/>
            <w:r w:rsidRPr="002E566F">
              <w:rPr>
                <w:rFonts w:ascii="Arial" w:hAnsi="Arial" w:cs="Arial"/>
                <w:sz w:val="20"/>
                <w:szCs w:val="20"/>
              </w:rPr>
              <w:t>nifedipine</w:t>
            </w:r>
            <w:proofErr w:type="spellEnd"/>
            <w:r w:rsidRPr="002E566F">
              <w:rPr>
                <w:rFonts w:ascii="Arial" w:hAnsi="Arial" w:cs="Arial"/>
                <w:sz w:val="20"/>
                <w:szCs w:val="20"/>
              </w:rPr>
              <w:t>, amlodipine)</w:t>
            </w:r>
          </w:p>
        </w:tc>
        <w:tc>
          <w:tcPr>
            <w:tcW w:w="5174" w:type="dxa"/>
            <w:tcBorders>
              <w:bottom w:val="nil"/>
            </w:tcBorders>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Recommended for IPAH</w:t>
            </w:r>
            <w:r w:rsidR="004F012F">
              <w:rPr>
                <w:rFonts w:ascii="Arial" w:hAnsi="Arial" w:cs="Arial"/>
                <w:sz w:val="20"/>
                <w:szCs w:val="20"/>
              </w:rPr>
              <w:t>, HPAH and PAH-DT patients only</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Patients not showing acute vasoreactivity response unsuited to CCBs due to safety concerns and lack of benefit</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Not recommended: PAH-CTD or PAH-CHD</w:t>
            </w:r>
          </w:p>
        </w:tc>
      </w:tr>
      <w:tr w:rsidR="006C7733" w:rsidRPr="009810C6" w:rsidTr="006C7733">
        <w:tc>
          <w:tcPr>
            <w:tcW w:w="1706" w:type="dxa"/>
          </w:tcPr>
          <w:p w:rsidR="006C7733" w:rsidRPr="002E566F" w:rsidRDefault="006C7733" w:rsidP="007340AF">
            <w:pPr>
              <w:spacing w:before="0" w:line="240" w:lineRule="auto"/>
              <w:ind w:left="147" w:right="57"/>
              <w:contextualSpacing/>
              <w:jc w:val="left"/>
              <w:rPr>
                <w:rFonts w:ascii="Arial" w:hAnsi="Arial" w:cs="Arial"/>
                <w:sz w:val="20"/>
                <w:szCs w:val="20"/>
              </w:rPr>
            </w:pPr>
            <w:r w:rsidRPr="002E566F">
              <w:rPr>
                <w:rFonts w:ascii="Arial" w:hAnsi="Arial" w:cs="Arial"/>
                <w:sz w:val="20"/>
                <w:szCs w:val="20"/>
              </w:rPr>
              <w:t>Trial of vasodilators – test criterion</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proofErr w:type="spellStart"/>
            <w:r w:rsidRPr="002E566F">
              <w:rPr>
                <w:rFonts w:ascii="Arial" w:hAnsi="Arial" w:cs="Arial"/>
                <w:sz w:val="20"/>
                <w:szCs w:val="20"/>
              </w:rPr>
              <w:t>mRAP</w:t>
            </w:r>
            <w:proofErr w:type="spellEnd"/>
            <w:r w:rsidRPr="002E566F">
              <w:rPr>
                <w:rFonts w:ascii="Arial" w:hAnsi="Arial" w:cs="Arial"/>
                <w:sz w:val="20"/>
                <w:szCs w:val="20"/>
              </w:rPr>
              <w:t xml:space="preserve"> 8mm Hg or below, by RHC</w:t>
            </w:r>
          </w:p>
        </w:tc>
        <w:tc>
          <w:tcPr>
            <w:tcW w:w="3544" w:type="dxa"/>
          </w:tcPr>
          <w:p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 xml:space="preserve">Positive response to acute vasoreactivity test during RHC defined as decrease in </w:t>
            </w:r>
            <w:proofErr w:type="spellStart"/>
            <w:r w:rsidRPr="002E566F">
              <w:rPr>
                <w:rFonts w:ascii="Arial" w:hAnsi="Arial" w:cs="Arial"/>
                <w:sz w:val="20"/>
                <w:szCs w:val="20"/>
              </w:rPr>
              <w:t>mPAP</w:t>
            </w:r>
            <w:proofErr w:type="spellEnd"/>
            <w:r w:rsidRPr="002E566F">
              <w:rPr>
                <w:rFonts w:ascii="Arial" w:hAnsi="Arial" w:cs="Arial"/>
                <w:sz w:val="20"/>
                <w:szCs w:val="20"/>
              </w:rPr>
              <w:t xml:space="preserve"> &gt;10 mm Hg, to an </w:t>
            </w:r>
            <w:proofErr w:type="spellStart"/>
            <w:r w:rsidRPr="002E566F">
              <w:rPr>
                <w:rFonts w:ascii="Arial" w:hAnsi="Arial" w:cs="Arial"/>
                <w:sz w:val="20"/>
                <w:szCs w:val="20"/>
              </w:rPr>
              <w:t>mPAP</w:t>
            </w:r>
            <w:proofErr w:type="spellEnd"/>
            <w:r w:rsidRPr="002E566F">
              <w:rPr>
                <w:rFonts w:ascii="Arial" w:hAnsi="Arial" w:cs="Arial"/>
                <w:sz w:val="20"/>
                <w:szCs w:val="20"/>
              </w:rPr>
              <w:t xml:space="preserve"> &lt;40 mm Hg, with no worsening of cardiac output</w:t>
            </w:r>
          </w:p>
        </w:tc>
      </w:tr>
      <w:tr w:rsidR="006C7733" w:rsidRPr="009810C6" w:rsidTr="006C7733">
        <w:tc>
          <w:tcPr>
            <w:tcW w:w="1706" w:type="dxa"/>
          </w:tcPr>
          <w:p w:rsidR="006C7733" w:rsidRPr="002E566F" w:rsidRDefault="006C7733" w:rsidP="007340AF">
            <w:pPr>
              <w:spacing w:before="0" w:line="240" w:lineRule="auto"/>
              <w:ind w:left="147" w:right="57"/>
              <w:contextualSpacing/>
              <w:jc w:val="left"/>
              <w:rPr>
                <w:rFonts w:ascii="Arial" w:hAnsi="Arial" w:cs="Arial"/>
                <w:sz w:val="20"/>
                <w:szCs w:val="20"/>
              </w:rPr>
            </w:pPr>
            <w:r w:rsidRPr="002E566F">
              <w:rPr>
                <w:rFonts w:ascii="Arial" w:hAnsi="Arial" w:cs="Arial"/>
                <w:sz w:val="20"/>
                <w:szCs w:val="20"/>
              </w:rPr>
              <w:t>Trial of vasodilators – response</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Minimum trial of 6 weeks required.</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Same definition as for response to PAH agents</w:t>
            </w:r>
          </w:p>
        </w:tc>
        <w:tc>
          <w:tcPr>
            <w:tcW w:w="3544" w:type="dxa"/>
          </w:tcPr>
          <w:p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rsidR="006C7733" w:rsidRPr="002E566F" w:rsidRDefault="004F012F" w:rsidP="004F012F">
            <w:pPr>
              <w:spacing w:before="0" w:line="240" w:lineRule="auto"/>
              <w:ind w:left="142" w:right="57"/>
              <w:contextualSpacing/>
              <w:jc w:val="left"/>
              <w:rPr>
                <w:rFonts w:ascii="Arial" w:hAnsi="Arial" w:cs="Arial"/>
                <w:sz w:val="20"/>
                <w:szCs w:val="20"/>
              </w:rPr>
            </w:pPr>
            <w:r>
              <w:rPr>
                <w:rFonts w:ascii="Arial" w:hAnsi="Arial" w:cs="Arial"/>
                <w:sz w:val="20"/>
                <w:szCs w:val="20"/>
              </w:rPr>
              <w:t>Follow-up at ~3 months</w:t>
            </w:r>
          </w:p>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Response should show a dramatic improvement or near normalisation to ~WHO FC I</w:t>
            </w:r>
          </w:p>
        </w:tc>
      </w:tr>
      <w:tr w:rsidR="006C7733" w:rsidRPr="009810C6" w:rsidTr="007340AF">
        <w:trPr>
          <w:trHeight w:val="593"/>
        </w:trPr>
        <w:tc>
          <w:tcPr>
            <w:tcW w:w="1706" w:type="dxa"/>
          </w:tcPr>
          <w:p w:rsidR="006C7733" w:rsidRPr="002E566F" w:rsidRDefault="006C7733" w:rsidP="007340AF">
            <w:pPr>
              <w:spacing w:before="0" w:after="60" w:line="240" w:lineRule="auto"/>
              <w:ind w:left="142" w:right="57"/>
              <w:contextualSpacing/>
              <w:jc w:val="left"/>
              <w:rPr>
                <w:rFonts w:ascii="Arial" w:hAnsi="Arial" w:cs="Arial"/>
                <w:sz w:val="20"/>
                <w:szCs w:val="20"/>
              </w:rPr>
            </w:pPr>
            <w:r w:rsidRPr="002E566F">
              <w:rPr>
                <w:rFonts w:ascii="Arial" w:hAnsi="Arial" w:cs="Arial"/>
                <w:sz w:val="20"/>
                <w:szCs w:val="20"/>
              </w:rPr>
              <w:t>Designated hospitals</w:t>
            </w:r>
          </w:p>
        </w:tc>
        <w:tc>
          <w:tcPr>
            <w:tcW w:w="3544" w:type="dxa"/>
          </w:tcPr>
          <w:p w:rsidR="006C7733" w:rsidRPr="002E566F" w:rsidRDefault="006C7733" w:rsidP="004F012F">
            <w:pPr>
              <w:spacing w:before="0" w:line="240" w:lineRule="auto"/>
              <w:ind w:left="142" w:right="57"/>
              <w:contextualSpacing/>
              <w:jc w:val="left"/>
              <w:rPr>
                <w:rFonts w:ascii="Arial" w:hAnsi="Arial" w:cs="Arial"/>
                <w:sz w:val="20"/>
                <w:szCs w:val="20"/>
              </w:rPr>
            </w:pPr>
            <w:r w:rsidRPr="002E566F">
              <w:rPr>
                <w:rFonts w:ascii="Arial" w:hAnsi="Arial" w:cs="Arial"/>
                <w:sz w:val="20"/>
                <w:szCs w:val="20"/>
              </w:rPr>
              <w:t>&gt;60 centres listed by DHS</w:t>
            </w:r>
          </w:p>
        </w:tc>
        <w:tc>
          <w:tcPr>
            <w:tcW w:w="3544" w:type="dxa"/>
          </w:tcPr>
          <w:p w:rsidR="006C7733" w:rsidRPr="002E566F" w:rsidRDefault="006C7733" w:rsidP="004F012F">
            <w:pPr>
              <w:spacing w:before="0" w:line="240" w:lineRule="auto"/>
              <w:ind w:left="142" w:right="57"/>
              <w:contextualSpacing/>
              <w:jc w:val="center"/>
              <w:rPr>
                <w:rFonts w:ascii="Arial" w:hAnsi="Arial" w:cs="Arial"/>
                <w:sz w:val="20"/>
                <w:szCs w:val="20"/>
              </w:rPr>
            </w:pPr>
            <w:r w:rsidRPr="002E566F">
              <w:rPr>
                <w:rFonts w:ascii="Arial" w:hAnsi="Arial" w:cs="Arial"/>
                <w:sz w:val="20"/>
                <w:szCs w:val="20"/>
              </w:rPr>
              <w:t>—</w:t>
            </w:r>
          </w:p>
        </w:tc>
        <w:tc>
          <w:tcPr>
            <w:tcW w:w="5174" w:type="dxa"/>
          </w:tcPr>
          <w:p w:rsidR="006C7733" w:rsidRPr="002E566F" w:rsidRDefault="006C7733" w:rsidP="007340AF">
            <w:pPr>
              <w:spacing w:before="0" w:after="60" w:line="240" w:lineRule="auto"/>
              <w:ind w:left="142" w:right="57"/>
              <w:contextualSpacing/>
              <w:jc w:val="left"/>
              <w:rPr>
                <w:rFonts w:ascii="Arial" w:hAnsi="Arial" w:cs="Arial"/>
                <w:sz w:val="20"/>
                <w:szCs w:val="20"/>
              </w:rPr>
            </w:pPr>
            <w:r w:rsidRPr="002E566F">
              <w:rPr>
                <w:rFonts w:ascii="Arial" w:hAnsi="Arial" w:cs="Arial"/>
                <w:sz w:val="20"/>
                <w:szCs w:val="20"/>
              </w:rPr>
              <w:t>PAH treatment centres should see at least 300 referred patients per year; 50 RHC procedures per year</w:t>
            </w:r>
          </w:p>
        </w:tc>
      </w:tr>
    </w:tbl>
    <w:p w:rsidR="0004089D" w:rsidRPr="002E566F" w:rsidRDefault="006C7733" w:rsidP="00121658">
      <w:pPr>
        <w:spacing w:before="0" w:line="240" w:lineRule="auto"/>
        <w:jc w:val="left"/>
        <w:rPr>
          <w:rFonts w:ascii="Arial" w:hAnsi="Arial" w:cs="Arial"/>
          <w:sz w:val="16"/>
        </w:rPr>
      </w:pPr>
      <w:r w:rsidRPr="002E566F">
        <w:rPr>
          <w:rFonts w:ascii="Arial" w:hAnsi="Arial" w:cs="Arial"/>
          <w:sz w:val="16"/>
        </w:rPr>
        <w:t>PBS=Pharmaceutical Benefits Scheme; TGA=Therapeutic Goods Administration; PAH=pulmonary arterial hypertension; WHO=World Health Organization; FC=functional class; PDE</w:t>
      </w:r>
      <w:r w:rsidRPr="002E566F">
        <w:rPr>
          <w:rFonts w:ascii="Arial" w:hAnsi="Arial" w:cs="Arial"/>
          <w:sz w:val="16"/>
        </w:rPr>
        <w:noBreakHyphen/>
        <w:t xml:space="preserve">5i=phosphodiesterase type 5 inhibitor; ERA=endothelin receptor antagonist; ESC=European Society of Cardiology; ERS=European Respiratory Society; </w:t>
      </w:r>
      <w:proofErr w:type="spellStart"/>
      <w:r w:rsidRPr="002E566F">
        <w:rPr>
          <w:rFonts w:ascii="Arial" w:hAnsi="Arial" w:cs="Arial"/>
          <w:sz w:val="16"/>
        </w:rPr>
        <w:t>SoC</w:t>
      </w:r>
      <w:proofErr w:type="spellEnd"/>
      <w:r w:rsidRPr="002E566F">
        <w:rPr>
          <w:rFonts w:ascii="Arial" w:hAnsi="Arial" w:cs="Arial"/>
          <w:sz w:val="16"/>
        </w:rPr>
        <w:t>=standard of care; PAH-</w:t>
      </w:r>
      <w:r w:rsidR="00074A9A" w:rsidRPr="002E566F">
        <w:rPr>
          <w:rFonts w:ascii="Arial" w:hAnsi="Arial" w:cs="Arial"/>
          <w:sz w:val="16"/>
        </w:rPr>
        <w:t>‘XXX’=PAH due to (CHD=</w:t>
      </w:r>
      <w:r w:rsidRPr="002E566F">
        <w:rPr>
          <w:rFonts w:ascii="Arial" w:hAnsi="Arial" w:cs="Arial"/>
          <w:sz w:val="16"/>
        </w:rPr>
        <w:t>congenital heart disease; DT=drug or toxin induced</w:t>
      </w:r>
      <w:r w:rsidR="00074A9A" w:rsidRPr="002E566F">
        <w:rPr>
          <w:rFonts w:ascii="Arial" w:hAnsi="Arial" w:cs="Arial"/>
          <w:sz w:val="16"/>
        </w:rPr>
        <w:t>; CTD=connective tissue disease; HIV=Human Immunodeficiency Virus; or, PH=portal hypertension)</w:t>
      </w:r>
      <w:r w:rsidRPr="002E566F">
        <w:rPr>
          <w:rFonts w:ascii="Arial" w:hAnsi="Arial" w:cs="Arial"/>
          <w:sz w:val="16"/>
        </w:rPr>
        <w:t>; IPAH=idiopathic PAH</w:t>
      </w:r>
      <w:r w:rsidR="00074A9A" w:rsidRPr="002E566F">
        <w:rPr>
          <w:rFonts w:ascii="Arial" w:hAnsi="Arial" w:cs="Arial"/>
          <w:sz w:val="16"/>
        </w:rPr>
        <w:t>; HPAH=heritable PAH</w:t>
      </w:r>
      <w:r w:rsidRPr="002E566F">
        <w:rPr>
          <w:rFonts w:ascii="Arial" w:hAnsi="Arial" w:cs="Arial"/>
          <w:sz w:val="16"/>
        </w:rPr>
        <w:t xml:space="preserve">; RHC=right heart catheterisation; ECHO=echocardiography; RVSP=right ventricular systolic pressure; LVF=left ventricular function; PASP=pulmonary artery systolic pressure; 6MWD=6 minute walk distance; CCB=calcium channel blocker; PI=product information; </w:t>
      </w:r>
      <w:proofErr w:type="spellStart"/>
      <w:r w:rsidRPr="002E566F">
        <w:rPr>
          <w:rFonts w:ascii="Arial" w:hAnsi="Arial" w:cs="Arial"/>
          <w:sz w:val="16"/>
        </w:rPr>
        <w:t>mRAP</w:t>
      </w:r>
      <w:proofErr w:type="spellEnd"/>
      <w:r w:rsidRPr="002E566F">
        <w:rPr>
          <w:rFonts w:ascii="Arial" w:hAnsi="Arial" w:cs="Arial"/>
          <w:sz w:val="16"/>
        </w:rPr>
        <w:t>=mean right atrial pressure; DHS=Department of Human Services.</w:t>
      </w:r>
    </w:p>
    <w:p w:rsidR="006C7733" w:rsidRPr="006C7733" w:rsidRDefault="006C7733" w:rsidP="00121658">
      <w:pPr>
        <w:spacing w:before="0" w:line="240" w:lineRule="auto"/>
        <w:jc w:val="left"/>
        <w:rPr>
          <w:rFonts w:ascii="Arial Narrow" w:hAnsi="Arial Narrow"/>
          <w:sz w:val="16"/>
        </w:rPr>
      </w:pPr>
    </w:p>
    <w:p w:rsidR="0004089D" w:rsidRDefault="0004089D" w:rsidP="00121658">
      <w:pPr>
        <w:jc w:val="left"/>
        <w:sectPr w:rsidR="0004089D" w:rsidSect="0004089D">
          <w:footnotePr>
            <w:numFmt w:val="chicago"/>
          </w:footnotePr>
          <w:pgSz w:w="16838" w:h="11906" w:orient="landscape"/>
          <w:pgMar w:top="1440" w:right="1440" w:bottom="1440" w:left="1440" w:header="708" w:footer="708" w:gutter="0"/>
          <w:cols w:space="708"/>
          <w:titlePg/>
          <w:docGrid w:linePitch="360"/>
        </w:sectPr>
      </w:pPr>
    </w:p>
    <w:p w:rsidR="00A74BFB" w:rsidRDefault="00A74BFB" w:rsidP="00A74BFB">
      <w:pPr>
        <w:pStyle w:val="Heading3"/>
        <w:numPr>
          <w:ilvl w:val="2"/>
          <w:numId w:val="0"/>
        </w:numPr>
        <w:jc w:val="left"/>
      </w:pPr>
      <w:bookmarkStart w:id="113" w:name="_Toc513107594"/>
      <w:r>
        <w:t>Stakeholder Views</w:t>
      </w:r>
      <w:bookmarkEnd w:id="113"/>
    </w:p>
    <w:p w:rsidR="00A74BFB" w:rsidRPr="00500D63" w:rsidRDefault="00A74BFB" w:rsidP="00921D13">
      <w:pPr>
        <w:pStyle w:val="08Bulletsseriesofsentences"/>
      </w:pPr>
      <w:r>
        <w:t>Stakeholders consider</w:t>
      </w:r>
      <w:r w:rsidRPr="00500D63">
        <w:t xml:space="preserve"> the ESC/ERS guidelines </w:t>
      </w:r>
      <w:r>
        <w:t>to be</w:t>
      </w:r>
      <w:r w:rsidRPr="00500D63">
        <w:t xml:space="preserve"> the most relevant </w:t>
      </w:r>
      <w:r>
        <w:t>to Australian practice and note</w:t>
      </w:r>
      <w:r w:rsidRPr="00500D63">
        <w:t xml:space="preserve"> they incorporate the latest ev</w:t>
      </w:r>
      <w:r>
        <w:t>idence for combination therapy.</w:t>
      </w:r>
    </w:p>
    <w:p w:rsidR="00A74BFB" w:rsidRPr="00500D63" w:rsidRDefault="00A74BFB" w:rsidP="00921D13">
      <w:pPr>
        <w:pStyle w:val="08Bulletsseriesofsentences"/>
      </w:pPr>
      <w:r>
        <w:t>Stakeholders are c</w:t>
      </w:r>
      <w:r w:rsidRPr="00500D63">
        <w:t>oncerned that Australians do not have the same access to the range or combination of PAH drugs at an affordable cost, compared to international patients.</w:t>
      </w:r>
    </w:p>
    <w:p w:rsidR="00A74BFB" w:rsidRPr="00E939EF" w:rsidRDefault="00A74BFB" w:rsidP="00921D13">
      <w:pPr>
        <w:pStyle w:val="08Bulletsseriesofsentences"/>
      </w:pPr>
      <w:r>
        <w:t>Stakeholders consider</w:t>
      </w:r>
      <w:r w:rsidRPr="00E939EF">
        <w:t xml:space="preserve"> that PAH medicines should not be reimbursed based on the cause of PAH or the functional class (FC), and suggests PAH medicines should be available to all PAH patients regardless of what type, FC or severity of PAH disease.</w:t>
      </w:r>
    </w:p>
    <w:p w:rsidR="00A74BFB" w:rsidRDefault="00A74BFB" w:rsidP="00921D13">
      <w:pPr>
        <w:pStyle w:val="08Bulletsseriesofsentences"/>
      </w:pPr>
      <w:r>
        <w:t>S</w:t>
      </w:r>
      <w:r w:rsidRPr="00E939EF">
        <w:t>takeholder</w:t>
      </w:r>
      <w:r>
        <w:t>s</w:t>
      </w:r>
      <w:r w:rsidRPr="00E939EF">
        <w:t xml:space="preserve"> suggest the PAH treatment approach should be one of ‘disease control’ so that patients can achieve a reasonable quality of life for a period before disease progression and </w:t>
      </w:r>
      <w:r>
        <w:t>that</w:t>
      </w:r>
      <w:r w:rsidRPr="00E939EF">
        <w:t xml:space="preserve"> all patients in WHO FC I should have access to medication, irrespective of the triggering event.</w:t>
      </w:r>
    </w:p>
    <w:p w:rsidR="00A74BFB" w:rsidRDefault="00A74BFB" w:rsidP="00921D13">
      <w:pPr>
        <w:pStyle w:val="08Bulletsseriesofsentences"/>
      </w:pPr>
      <w:r>
        <w:t>Stakeholders are concerned about</w:t>
      </w:r>
      <w:r w:rsidRPr="00B60A26">
        <w:t xml:space="preserve"> inequities in patient access to PAH medicines and treatment, and note</w:t>
      </w:r>
      <w:r>
        <w:t xml:space="preserve"> </w:t>
      </w:r>
      <w:r w:rsidRPr="00B60A26">
        <w:t>complexities for patients and clinicians in the management of PAH.</w:t>
      </w:r>
    </w:p>
    <w:p w:rsidR="00A74BFB" w:rsidRPr="00E939EF" w:rsidRDefault="00A74BFB" w:rsidP="00921D13">
      <w:pPr>
        <w:pStyle w:val="08Bulletsseriesofsentences"/>
      </w:pPr>
      <w:r>
        <w:t xml:space="preserve">Stakeholders suggested </w:t>
      </w:r>
      <w:r w:rsidRPr="00E939EF">
        <w:t>a review of PAH in designated Pulmonary Hypertension (PH) centres in Australia</w:t>
      </w:r>
      <w:r>
        <w:t xml:space="preserve"> and</w:t>
      </w:r>
      <w:r w:rsidRPr="00E939EF">
        <w:t xml:space="preserve"> notes variations in clinical expertise are leading to a variation in treatment and outcomes, and that the Pulmonary Hypertension Society of Australia and New Zealand</w:t>
      </w:r>
      <w:r>
        <w:t xml:space="preserve"> (PHSANZ)</w:t>
      </w:r>
      <w:r w:rsidRPr="00E939EF">
        <w:t xml:space="preserve"> reported significant differences in mortal</w:t>
      </w:r>
      <w:r>
        <w:t>ity between treatment centres.</w:t>
      </w:r>
      <w:r w:rsidRPr="001D23D6">
        <w:t xml:space="preserve"> </w:t>
      </w:r>
      <w:r>
        <w:t xml:space="preserve">Stakeholders suggested </w:t>
      </w:r>
      <w:r w:rsidRPr="00E939EF">
        <w:t>collaboration between centres to improve equity of utilisation of PAH medicines</w:t>
      </w:r>
      <w:r>
        <w:t>.</w:t>
      </w:r>
    </w:p>
    <w:p w:rsidR="00A74BFB" w:rsidRDefault="00A74BFB" w:rsidP="00A74BFB">
      <w:pPr>
        <w:pStyle w:val="Heading3"/>
        <w:numPr>
          <w:ilvl w:val="2"/>
          <w:numId w:val="0"/>
        </w:numPr>
        <w:jc w:val="left"/>
      </w:pPr>
      <w:bookmarkStart w:id="114" w:name="_Toc513107595"/>
      <w:r>
        <w:t>Consumer Views</w:t>
      </w:r>
      <w:bookmarkEnd w:id="114"/>
    </w:p>
    <w:p w:rsidR="00A74BFB" w:rsidRDefault="00A74BFB" w:rsidP="00921D13">
      <w:pPr>
        <w:pStyle w:val="08Bulletsseriesofsentences"/>
      </w:pPr>
      <w:r>
        <w:t xml:space="preserve">Consumers </w:t>
      </w:r>
      <w:r w:rsidRPr="00921D13">
        <w:t>understood</w:t>
      </w:r>
      <w:r>
        <w:t xml:space="preserve"> that they can currently access only one PAH medicine at any one time through the PBS. Consumers were also aware of the requirement to provide test results to support their ongoing treatment with PBS medicines.</w:t>
      </w:r>
    </w:p>
    <w:p w:rsidR="00A74BFB" w:rsidRDefault="00A74BFB" w:rsidP="00921D13">
      <w:pPr>
        <w:pStyle w:val="08Bulletsseriesofsentences"/>
      </w:pPr>
      <w:r>
        <w:t xml:space="preserve">Consumers understood that patients in FC II are not eligible for PAH medicines under the PBS based on advice from medical practitioners.  There was some confusion over continuing eligibility requirements, with some patients believing that the PBS PAH medicines would no longer be available to them if/when the medicines led to an improvement in their health which saw them reclassified from FC III to FC II. </w:t>
      </w:r>
    </w:p>
    <w:p w:rsidR="00A74BFB" w:rsidRDefault="00A74BFB" w:rsidP="00921D13">
      <w:pPr>
        <w:pStyle w:val="08Bulletsseriesofsentences"/>
      </w:pPr>
      <w:r>
        <w:t>Consumers noted that there are no specific medicines listed on the PBS for children and expressed a need for specific drugs and treatment regimens to be available for children.</w:t>
      </w:r>
    </w:p>
    <w:p w:rsidR="00A74BFB" w:rsidRDefault="00A74BFB" w:rsidP="00921D13">
      <w:pPr>
        <w:pStyle w:val="08Bulletsseriesofsentences"/>
      </w:pPr>
      <w:r>
        <w:t>Consumers expressed frustration on the limited number of medicines available on the PBS (currently 8 medicines) in comparison to other countries such as Japan where they understood there to be up to 14 medicines available for PAH.</w:t>
      </w:r>
    </w:p>
    <w:p w:rsidR="00A74BFB" w:rsidRDefault="00A74BFB" w:rsidP="00921D13">
      <w:pPr>
        <w:pStyle w:val="08Bulletsseriesofsentences"/>
      </w:pPr>
      <w:r>
        <w:t>Consumers considered it a priority to get access to:</w:t>
      </w:r>
    </w:p>
    <w:p w:rsidR="00A74BFB" w:rsidRDefault="00A74BFB" w:rsidP="00A572B3">
      <w:pPr>
        <w:pStyle w:val="08Bulletsseriesofsentences"/>
        <w:numPr>
          <w:ilvl w:val="1"/>
          <w:numId w:val="5"/>
        </w:numPr>
      </w:pPr>
      <w:r>
        <w:t>multiple PBS-listed medicines at one time;</w:t>
      </w:r>
    </w:p>
    <w:p w:rsidR="00A74BFB" w:rsidRDefault="00A74BFB" w:rsidP="00A572B3">
      <w:pPr>
        <w:pStyle w:val="08Bulletsseriesofsentences"/>
        <w:numPr>
          <w:ilvl w:val="1"/>
          <w:numId w:val="5"/>
        </w:numPr>
      </w:pPr>
      <w:r>
        <w:t>medicines for FC II to coincide with early diagnosis; and</w:t>
      </w:r>
    </w:p>
    <w:p w:rsidR="00A74BFB" w:rsidRDefault="00A74BFB" w:rsidP="00A572B3">
      <w:pPr>
        <w:pStyle w:val="08Bulletsseriesofsentences"/>
        <w:numPr>
          <w:ilvl w:val="1"/>
          <w:numId w:val="5"/>
        </w:numPr>
      </w:pPr>
      <w:proofErr w:type="gramStart"/>
      <w:r>
        <w:t>a</w:t>
      </w:r>
      <w:proofErr w:type="gramEnd"/>
      <w:r>
        <w:t xml:space="preserve"> broad range of PAH medicines.</w:t>
      </w:r>
    </w:p>
    <w:p w:rsidR="00A74BFB" w:rsidRPr="004937E8" w:rsidRDefault="00A74BFB" w:rsidP="004937E8">
      <w:pPr>
        <w:pStyle w:val="08Bulletsseriesofsentences"/>
      </w:pPr>
      <w:r w:rsidRPr="004937E8">
        <w:t xml:space="preserve">Some consumers suggested that earlier treatment and combination therapy led to better health outcomes and questioned why treatment is not available for FC II patients whose health is only going to deteriorate. They also suggested that earlier treatment could be more cost-effective. </w:t>
      </w:r>
    </w:p>
    <w:p w:rsidR="00A74BFB" w:rsidRPr="004937E8" w:rsidRDefault="00A74BFB" w:rsidP="004937E8">
      <w:pPr>
        <w:pStyle w:val="08Bulletsseriesofsentences"/>
      </w:pPr>
      <w:r w:rsidRPr="004937E8">
        <w:t xml:space="preserve">Consumers noted that there are no specific medicines listed on the PBS for children and expressed a need for specific drugs and treatment regimens to be available for children. </w:t>
      </w:r>
    </w:p>
    <w:p w:rsidR="00A74BFB" w:rsidRDefault="00A74BFB" w:rsidP="00921D13">
      <w:pPr>
        <w:pStyle w:val="08Bulletsseriesofsentences"/>
      </w:pPr>
      <w:r w:rsidRPr="001646A7">
        <w:t>Many consumers were unaware of the international guidelines for the treatment of PAH, but some understood that the guidelines provided information on the classification of PAH and treatments.</w:t>
      </w:r>
    </w:p>
    <w:p w:rsidR="00D32790" w:rsidRPr="00B92CC9" w:rsidRDefault="00D32790" w:rsidP="00121658">
      <w:pPr>
        <w:pStyle w:val="Heading2"/>
        <w:jc w:val="left"/>
      </w:pPr>
      <w:bookmarkStart w:id="115" w:name="_Toc513107596"/>
      <w:r w:rsidRPr="00B92CC9">
        <w:t>Methodology</w:t>
      </w:r>
      <w:bookmarkEnd w:id="105"/>
      <w:bookmarkEnd w:id="106"/>
      <w:bookmarkEnd w:id="107"/>
      <w:bookmarkEnd w:id="108"/>
      <w:bookmarkEnd w:id="115"/>
    </w:p>
    <w:p w:rsidR="00D32790" w:rsidRPr="00B92CC9" w:rsidRDefault="00EC60C5" w:rsidP="00121658">
      <w:pPr>
        <w:pStyle w:val="Heading3"/>
        <w:jc w:val="left"/>
      </w:pPr>
      <w:bookmarkStart w:id="116" w:name="_Toc473291069"/>
      <w:bookmarkStart w:id="117" w:name="_Toc480371872"/>
      <w:bookmarkStart w:id="118" w:name="_Toc486514220"/>
      <w:bookmarkStart w:id="119" w:name="_Ref505888403"/>
      <w:bookmarkStart w:id="120" w:name="_Toc513107597"/>
      <w:r>
        <w:t>G</w:t>
      </w:r>
      <w:r w:rsidR="00D32790" w:rsidRPr="00B92CC9">
        <w:t>uidelines</w:t>
      </w:r>
      <w:bookmarkEnd w:id="116"/>
      <w:bookmarkEnd w:id="117"/>
      <w:bookmarkEnd w:id="118"/>
      <w:bookmarkEnd w:id="119"/>
      <w:r>
        <w:t xml:space="preserve"> search</w:t>
      </w:r>
      <w:bookmarkEnd w:id="120"/>
    </w:p>
    <w:p w:rsidR="00871EF4" w:rsidRDefault="00871EF4" w:rsidP="00121658">
      <w:pPr>
        <w:pStyle w:val="BodyTextnospacebefore"/>
      </w:pPr>
      <w:bookmarkStart w:id="121" w:name="_Toc473291070"/>
      <w:bookmarkStart w:id="122" w:name="_Toc480371873"/>
      <w:bookmarkStart w:id="123" w:name="_Toc486514221"/>
      <w:r>
        <w:t>Searches were conducted according to the agreed protocol for this review</w:t>
      </w:r>
      <w:r w:rsidR="00CF3FEC">
        <w:t xml:space="preserve">. </w:t>
      </w:r>
    </w:p>
    <w:p w:rsidR="0004089D" w:rsidRPr="0004089D" w:rsidRDefault="0004089D" w:rsidP="00121658">
      <w:pPr>
        <w:pStyle w:val="BodyTextnospacebefore"/>
        <w:rPr>
          <w:rFonts w:cstheme="minorHAnsi"/>
        </w:rPr>
      </w:pPr>
      <w:r w:rsidRPr="0004089D">
        <w:t>Guidelines were considered distinct from descriptive reviews of PAH clinical practice. Selected review articles with directly relevant findings are cited throughout this report where appropriate</w:t>
      </w:r>
      <w:r w:rsidR="00C6734D">
        <w:rPr>
          <w:rFonts w:cstheme="minorHAnsi"/>
        </w:rPr>
        <w:t xml:space="preserve">. </w:t>
      </w:r>
      <w:r w:rsidR="00946A0A">
        <w:rPr>
          <w:rFonts w:cstheme="minorHAnsi"/>
        </w:rPr>
        <w:t>R</w:t>
      </w:r>
      <w:r w:rsidRPr="0004089D">
        <w:rPr>
          <w:rFonts w:cstheme="minorHAnsi"/>
        </w:rPr>
        <w:t xml:space="preserve">ecent reviews describing Australian clinical practice including commentary on accessing PBS-subsidised PAH medicines have been described as part of the </w:t>
      </w:r>
      <w:r w:rsidR="00946A0A">
        <w:rPr>
          <w:rFonts w:cstheme="minorHAnsi"/>
        </w:rPr>
        <w:t>Background</w:t>
      </w:r>
      <w:r w:rsidR="00C6734D">
        <w:rPr>
          <w:rFonts w:cstheme="minorHAnsi"/>
        </w:rPr>
        <w:t xml:space="preserve">. </w:t>
      </w:r>
    </w:p>
    <w:p w:rsidR="0004089D" w:rsidRPr="0004089D" w:rsidRDefault="0004089D" w:rsidP="00121658">
      <w:pPr>
        <w:pStyle w:val="BodyTextnospacebefore"/>
        <w:rPr>
          <w:rFonts w:cstheme="minorHAnsi"/>
        </w:rPr>
      </w:pPr>
      <w:r w:rsidRPr="0004089D">
        <w:rPr>
          <w:rFonts w:cstheme="minorHAnsi"/>
        </w:rPr>
        <w:t xml:space="preserve">As outlined in the protocol, criteria for including clinical practice guidelines in this </w:t>
      </w:r>
      <w:r w:rsidRPr="00D151E0">
        <w:rPr>
          <w:rFonts w:cstheme="minorHAnsi"/>
        </w:rPr>
        <w:t>review are based on PIPOH criteria</w:t>
      </w:r>
      <w:r w:rsidR="009C556B" w:rsidRPr="009C556B">
        <w:rPr>
          <w:rFonts w:cstheme="minorHAnsi"/>
          <w:noProof/>
          <w:vertAlign w:val="superscript"/>
        </w:rPr>
        <w:t>17</w:t>
      </w:r>
      <w:r w:rsidRPr="00D151E0">
        <w:rPr>
          <w:rFonts w:cstheme="minorHAnsi"/>
        </w:rPr>
        <w:t>. The PIPOH</w:t>
      </w:r>
      <w:r w:rsidRPr="0004089D">
        <w:rPr>
          <w:rFonts w:cstheme="minorHAnsi"/>
        </w:rPr>
        <w:t xml:space="preserve"> criteria for the review of clinical guidelines on the treatment of PAH are summarised in</w:t>
      </w:r>
      <w:r w:rsidR="004937E8">
        <w:rPr>
          <w:rFonts w:cstheme="minorHAnsi"/>
        </w:rPr>
        <w:t xml:space="preserve"> Table 1.2</w:t>
      </w:r>
      <w:r w:rsidRPr="0004089D">
        <w:rPr>
          <w:rFonts w:cstheme="minorHAnsi"/>
        </w:rPr>
        <w:t>.</w:t>
      </w:r>
    </w:p>
    <w:p w:rsidR="0004089D" w:rsidRPr="005643DC" w:rsidRDefault="00A365C4" w:rsidP="00A365C4">
      <w:pPr>
        <w:pStyle w:val="Caption"/>
      </w:pPr>
      <w:bookmarkStart w:id="124" w:name="_Ref81727204"/>
      <w:bookmarkStart w:id="125" w:name="_Toc513107628"/>
      <w:r>
        <w:t>Table 1.</w:t>
      </w:r>
      <w:r w:rsidR="00D63371">
        <w:rPr>
          <w:noProof/>
        </w:rPr>
        <w:t>2</w:t>
      </w:r>
      <w:r w:rsidRPr="00A365C4">
        <w:t xml:space="preserve"> </w:t>
      </w:r>
      <w:r>
        <w:tab/>
        <w:t>PIPOH g</w:t>
      </w:r>
      <w:r w:rsidRPr="005643DC">
        <w:t>uideline selection criteria</w:t>
      </w:r>
      <w:bookmarkEnd w:id="124"/>
      <w:bookmarkEnd w:id="12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PIPOH guideline selection criteria"/>
      </w:tblPr>
      <w:tblGrid>
        <w:gridCol w:w="2195"/>
        <w:gridCol w:w="6872"/>
      </w:tblGrid>
      <w:tr w:rsidR="0004089D" w:rsidRPr="002D43ED" w:rsidTr="00977BFD">
        <w:trPr>
          <w:tblHeader/>
        </w:trPr>
        <w:tc>
          <w:tcPr>
            <w:tcW w:w="1839" w:type="dxa"/>
            <w:shd w:val="clear" w:color="auto" w:fill="BFBFBF" w:themeFill="background1" w:themeFillShade="BF"/>
          </w:tcPr>
          <w:p w:rsidR="0004089D" w:rsidRPr="002D43ED" w:rsidRDefault="0004089D" w:rsidP="00121658">
            <w:pPr>
              <w:pStyle w:val="TableText"/>
              <w:rPr>
                <w:rFonts w:ascii="Arial" w:eastAsia="Calibri" w:hAnsi="Arial"/>
                <w:b/>
                <w:lang w:eastAsia="en-US"/>
              </w:rPr>
            </w:pPr>
            <w:r w:rsidRPr="002D43ED">
              <w:rPr>
                <w:rFonts w:ascii="Arial" w:eastAsia="Calibri" w:hAnsi="Arial"/>
                <w:b/>
                <w:lang w:eastAsia="en-US"/>
              </w:rPr>
              <w:t>Parameter</w:t>
            </w:r>
          </w:p>
        </w:tc>
        <w:tc>
          <w:tcPr>
            <w:tcW w:w="7228" w:type="dxa"/>
            <w:shd w:val="clear" w:color="auto" w:fill="BFBFBF" w:themeFill="background1" w:themeFillShade="BF"/>
          </w:tcPr>
          <w:p w:rsidR="0004089D" w:rsidRPr="002D43ED" w:rsidRDefault="0004089D" w:rsidP="00121658">
            <w:pPr>
              <w:pStyle w:val="TableText"/>
              <w:rPr>
                <w:rFonts w:ascii="Arial" w:eastAsia="Calibri" w:hAnsi="Arial"/>
                <w:b/>
                <w:lang w:eastAsia="en-US"/>
              </w:rPr>
            </w:pPr>
            <w:r w:rsidRPr="002D43ED">
              <w:rPr>
                <w:rFonts w:ascii="Arial" w:eastAsia="Calibri" w:hAnsi="Arial"/>
                <w:b/>
                <w:sz w:val="18"/>
                <w:lang w:eastAsia="en-US"/>
              </w:rPr>
              <w:t>Inclusion criteria</w:t>
            </w:r>
          </w:p>
        </w:tc>
      </w:tr>
      <w:tr w:rsidR="0004089D" w:rsidRPr="002D43ED" w:rsidTr="0004089D">
        <w:tc>
          <w:tcPr>
            <w:tcW w:w="1839"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Population</w:t>
            </w:r>
          </w:p>
        </w:tc>
        <w:tc>
          <w:tcPr>
            <w:tcW w:w="7228"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Patients with WHO FC II, III or IV PAH</w:t>
            </w:r>
          </w:p>
        </w:tc>
      </w:tr>
      <w:tr w:rsidR="0004089D" w:rsidRPr="002D43ED" w:rsidTr="0004089D">
        <w:tc>
          <w:tcPr>
            <w:tcW w:w="1839"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Interventions</w:t>
            </w:r>
          </w:p>
        </w:tc>
        <w:tc>
          <w:tcPr>
            <w:tcW w:w="7228"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Pharmaceutical treatments listed on the PBS for PAH</w:t>
            </w:r>
          </w:p>
        </w:tc>
      </w:tr>
      <w:tr w:rsidR="0004089D" w:rsidRPr="002D43ED" w:rsidTr="0004089D">
        <w:tc>
          <w:tcPr>
            <w:tcW w:w="1839"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Professionals/Patients</w:t>
            </w:r>
          </w:p>
        </w:tc>
        <w:tc>
          <w:tcPr>
            <w:tcW w:w="7228" w:type="dxa"/>
          </w:tcPr>
          <w:p w:rsidR="0004089D" w:rsidRPr="002D43ED" w:rsidRDefault="0004089D" w:rsidP="00121658">
            <w:pPr>
              <w:pStyle w:val="TableText"/>
              <w:rPr>
                <w:rFonts w:ascii="Arial" w:eastAsia="Calibri" w:hAnsi="Arial"/>
                <w:szCs w:val="18"/>
                <w:lang w:eastAsia="en-US"/>
              </w:rPr>
            </w:pPr>
            <w:r w:rsidRPr="002D43ED">
              <w:rPr>
                <w:rFonts w:ascii="Arial" w:eastAsia="Calibri" w:hAnsi="Arial"/>
                <w:szCs w:val="18"/>
                <w:lang w:eastAsia="en-US"/>
              </w:rPr>
              <w:t>GPs, pulmonologists, cardiologists, rheumatologists, physicians or other</w:t>
            </w:r>
            <w:r w:rsidRPr="002D43ED">
              <w:rPr>
                <w:rFonts w:ascii="Arial" w:eastAsia="Calibri" w:hAnsi="Arial"/>
                <w:szCs w:val="18"/>
              </w:rPr>
              <w:t xml:space="preserve"> referred </w:t>
            </w:r>
            <w:r w:rsidRPr="002D43ED">
              <w:rPr>
                <w:rFonts w:ascii="Arial" w:eastAsia="Calibri" w:hAnsi="Arial"/>
                <w:szCs w:val="18"/>
                <w:lang w:eastAsia="en-US"/>
              </w:rPr>
              <w:t>specialists</w:t>
            </w:r>
          </w:p>
        </w:tc>
      </w:tr>
      <w:tr w:rsidR="0004089D" w:rsidRPr="002D43ED" w:rsidTr="0004089D">
        <w:tc>
          <w:tcPr>
            <w:tcW w:w="1839"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Outcomes</w:t>
            </w:r>
          </w:p>
        </w:tc>
        <w:tc>
          <w:tcPr>
            <w:tcW w:w="7228"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Recommendations and clinical indications (diagnostic/prognostic criteria) for PAH treatment, clinical treatment algorithms (if provided)</w:t>
            </w:r>
          </w:p>
        </w:tc>
      </w:tr>
      <w:tr w:rsidR="0004089D" w:rsidRPr="002D43ED" w:rsidTr="0004089D">
        <w:tc>
          <w:tcPr>
            <w:tcW w:w="1839"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Health care setting</w:t>
            </w:r>
          </w:p>
        </w:tc>
        <w:tc>
          <w:tcPr>
            <w:tcW w:w="7228"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Primary (</w:t>
            </w:r>
            <w:r w:rsidRPr="002D43ED">
              <w:rPr>
                <w:rFonts w:ascii="Arial" w:eastAsia="Calibri" w:hAnsi="Arial"/>
                <w:i/>
                <w:lang w:eastAsia="en-US"/>
              </w:rPr>
              <w:t xml:space="preserve">e.g. </w:t>
            </w:r>
            <w:r w:rsidRPr="002D43ED">
              <w:rPr>
                <w:rFonts w:ascii="Arial" w:eastAsia="Calibri" w:hAnsi="Arial"/>
                <w:lang w:eastAsia="en-US"/>
              </w:rPr>
              <w:t>GP), secondary (</w:t>
            </w:r>
            <w:r w:rsidRPr="002D43ED">
              <w:rPr>
                <w:rFonts w:ascii="Arial" w:eastAsia="Calibri" w:hAnsi="Arial"/>
                <w:i/>
                <w:lang w:eastAsia="en-US"/>
              </w:rPr>
              <w:t xml:space="preserve">e.g. </w:t>
            </w:r>
            <w:r w:rsidRPr="002D43ED">
              <w:rPr>
                <w:rFonts w:ascii="Arial" w:eastAsia="Calibri" w:hAnsi="Arial"/>
                <w:lang w:eastAsia="en-US"/>
              </w:rPr>
              <w:t>outpatient) and tertiary (</w:t>
            </w:r>
            <w:r w:rsidRPr="002D43ED">
              <w:rPr>
                <w:rFonts w:ascii="Arial" w:eastAsia="Calibri" w:hAnsi="Arial"/>
                <w:i/>
                <w:lang w:eastAsia="en-US"/>
              </w:rPr>
              <w:t xml:space="preserve">e.g. </w:t>
            </w:r>
            <w:r w:rsidRPr="002D43ED">
              <w:rPr>
                <w:rFonts w:ascii="Arial" w:eastAsia="Calibri" w:hAnsi="Arial"/>
                <w:lang w:eastAsia="en-US"/>
              </w:rPr>
              <w:t>hospital) health care settings</w:t>
            </w:r>
          </w:p>
        </w:tc>
      </w:tr>
      <w:tr w:rsidR="0004089D" w:rsidRPr="002D43ED" w:rsidTr="0004089D">
        <w:tc>
          <w:tcPr>
            <w:tcW w:w="1839"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Publication type</w:t>
            </w:r>
            <w:r w:rsidRPr="002D43ED" w:rsidDel="00834DA4">
              <w:rPr>
                <w:rFonts w:ascii="Arial" w:eastAsia="Calibri" w:hAnsi="Arial"/>
                <w:lang w:eastAsia="en-US"/>
              </w:rPr>
              <w:t xml:space="preserve"> </w:t>
            </w:r>
          </w:p>
        </w:tc>
        <w:tc>
          <w:tcPr>
            <w:tcW w:w="7228"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 xml:space="preserve">Evidence-based or evidence-linked clinical practice guidelines </w:t>
            </w:r>
          </w:p>
        </w:tc>
      </w:tr>
      <w:tr w:rsidR="0004089D" w:rsidRPr="002D43ED" w:rsidTr="0004089D">
        <w:tc>
          <w:tcPr>
            <w:tcW w:w="1839"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Language</w:t>
            </w:r>
          </w:p>
        </w:tc>
        <w:tc>
          <w:tcPr>
            <w:tcW w:w="7228" w:type="dxa"/>
          </w:tcPr>
          <w:p w:rsidR="0004089D" w:rsidRPr="002D43ED" w:rsidRDefault="0004089D" w:rsidP="00121658">
            <w:pPr>
              <w:pStyle w:val="TableText"/>
              <w:rPr>
                <w:rFonts w:ascii="Arial" w:eastAsia="Calibri" w:hAnsi="Arial"/>
                <w:lang w:eastAsia="en-US"/>
              </w:rPr>
            </w:pPr>
            <w:r w:rsidRPr="002D43ED">
              <w:rPr>
                <w:rFonts w:ascii="Arial" w:eastAsia="Calibri" w:hAnsi="Arial"/>
                <w:lang w:eastAsia="en-US"/>
              </w:rPr>
              <w:t>English, or has been translated into English</w:t>
            </w:r>
          </w:p>
        </w:tc>
      </w:tr>
    </w:tbl>
    <w:p w:rsidR="0004089D" w:rsidRPr="002D43ED" w:rsidRDefault="0004089D" w:rsidP="00121658">
      <w:pPr>
        <w:pStyle w:val="Tablenote"/>
        <w:rPr>
          <w:rFonts w:ascii="Arial" w:eastAsia="Calibri" w:hAnsi="Arial" w:cs="Arial"/>
          <w:sz w:val="18"/>
          <w:szCs w:val="18"/>
          <w:lang w:eastAsia="en-US"/>
        </w:rPr>
      </w:pPr>
      <w:r w:rsidRPr="002D43ED">
        <w:rPr>
          <w:rFonts w:ascii="Arial" w:eastAsia="Calibri" w:hAnsi="Arial" w:cs="Arial"/>
          <w:sz w:val="18"/>
          <w:szCs w:val="18"/>
          <w:lang w:eastAsia="en-US"/>
        </w:rPr>
        <w:t>FC = Functional class; GP = general practitioner; PAH = pulmonary arterial hypertension; WHO = World Health Organization</w:t>
      </w:r>
    </w:p>
    <w:p w:rsidR="0004089D" w:rsidRPr="0004089D" w:rsidRDefault="0004089D" w:rsidP="00121658">
      <w:pPr>
        <w:pStyle w:val="BodyTextnospacebefore"/>
      </w:pPr>
      <w:r w:rsidRPr="0004089D">
        <w:t>Accordingly, guidelines not included in this review were those that addressed pulmonary hypertension in patients with the following conditions, or other circumstances:</w:t>
      </w:r>
    </w:p>
    <w:p w:rsidR="0004089D" w:rsidRPr="0004089D" w:rsidRDefault="0004089D" w:rsidP="00921D13">
      <w:pPr>
        <w:pStyle w:val="08Bulletsseriesofsentences"/>
      </w:pPr>
      <w:r w:rsidRPr="0004089D">
        <w:t>Non ‘Group 1’ PH e.g. PPHN; CTEPH; PH due to interstitial lung dis</w:t>
      </w:r>
      <w:r w:rsidR="005A13E2">
        <w:t>ease; due to left heart disease</w:t>
      </w:r>
    </w:p>
    <w:p w:rsidR="0004089D" w:rsidRPr="0004089D" w:rsidRDefault="0004089D" w:rsidP="00921D13">
      <w:pPr>
        <w:pStyle w:val="08Bulletsseriesofsentences"/>
      </w:pPr>
      <w:r w:rsidRPr="0004089D">
        <w:t>Various topics in anaesthesia; pregnancy; pre-eclampsia</w:t>
      </w:r>
    </w:p>
    <w:p w:rsidR="0004089D" w:rsidRPr="0004089D" w:rsidRDefault="0004089D" w:rsidP="00921D13">
      <w:pPr>
        <w:pStyle w:val="08Bulletsseriesofsentences"/>
      </w:pPr>
      <w:r w:rsidRPr="0004089D">
        <w:t xml:space="preserve">Acute care/intensive </w:t>
      </w:r>
      <w:r w:rsidR="005A13E2">
        <w:t>care topics for preterm infants</w:t>
      </w:r>
    </w:p>
    <w:p w:rsidR="0004089D" w:rsidRPr="0004089D" w:rsidRDefault="0004089D" w:rsidP="00921D13">
      <w:pPr>
        <w:pStyle w:val="08Bulletsseriesofsentences"/>
      </w:pPr>
      <w:r w:rsidRPr="0004089D">
        <w:t>Treatment of high altitu</w:t>
      </w:r>
      <w:r w:rsidR="005A13E2">
        <w:t>de sickness; pulmonary embolism</w:t>
      </w:r>
    </w:p>
    <w:p w:rsidR="0004089D" w:rsidRPr="0004089D" w:rsidRDefault="005A13E2" w:rsidP="00921D13">
      <w:pPr>
        <w:pStyle w:val="08Bulletsseriesofsentences"/>
      </w:pPr>
      <w:r>
        <w:t>Systemic hypertension</w:t>
      </w:r>
    </w:p>
    <w:p w:rsidR="0004089D" w:rsidRPr="0004089D" w:rsidRDefault="0004089D" w:rsidP="00921D13">
      <w:pPr>
        <w:pStyle w:val="08Bulletsseriesofsentences"/>
      </w:pPr>
      <w:r w:rsidRPr="0004089D">
        <w:t>Sickle cell disease</w:t>
      </w:r>
      <w:r w:rsidR="005A13E2">
        <w:t>; thalassaemia; cystic fibrosis</w:t>
      </w:r>
    </w:p>
    <w:p w:rsidR="0004089D" w:rsidRDefault="0004089D" w:rsidP="00921D13">
      <w:pPr>
        <w:pStyle w:val="08Bulletsseriesofsentences"/>
      </w:pPr>
      <w:r w:rsidRPr="0004089D">
        <w:t xml:space="preserve">Guidelines for non-OECD countries </w:t>
      </w:r>
      <w:r w:rsidR="00946A0A">
        <w:t>/</w:t>
      </w:r>
      <w:r w:rsidRPr="0004089D">
        <w:t xml:space="preserve"> healthcar</w:t>
      </w:r>
      <w:r w:rsidR="005A13E2">
        <w:t>e systems such as China, Turkey</w:t>
      </w:r>
    </w:p>
    <w:p w:rsidR="004460C6" w:rsidRPr="0004089D" w:rsidRDefault="004460C6" w:rsidP="00921D13">
      <w:pPr>
        <w:pStyle w:val="08Bulletsseriesofsentences"/>
      </w:pPr>
      <w:r>
        <w:t>Guidelines published prior to 2010</w:t>
      </w:r>
      <w:r w:rsidR="005A13E2">
        <w:t>.</w:t>
      </w:r>
    </w:p>
    <w:p w:rsidR="0004089D" w:rsidRPr="004937E8" w:rsidRDefault="0004089D" w:rsidP="004937E8">
      <w:pPr>
        <w:spacing w:before="0" w:line="240" w:lineRule="auto"/>
        <w:jc w:val="left"/>
        <w:rPr>
          <w:rFonts w:asciiTheme="minorHAnsi" w:hAnsiTheme="minorHAnsi"/>
        </w:rPr>
      </w:pPr>
      <w:r w:rsidRPr="004937E8">
        <w:rPr>
          <w:rFonts w:asciiTheme="minorHAnsi" w:hAnsiTheme="minorHAnsi"/>
        </w:rPr>
        <w:t>As there were few identifiable guidelines, searches were conducted with alternative, less stringent terms (‘pulmonary hypertension’ or ‘arterial hypertension’ or ‘hypertension’; ‘guidance’ or ‘recommendations’)</w:t>
      </w:r>
      <w:r w:rsidR="00C6734D" w:rsidRPr="004937E8">
        <w:rPr>
          <w:rFonts w:asciiTheme="minorHAnsi" w:hAnsiTheme="minorHAnsi"/>
        </w:rPr>
        <w:t xml:space="preserve">. </w:t>
      </w:r>
      <w:r w:rsidRPr="004937E8">
        <w:rPr>
          <w:rFonts w:asciiTheme="minorHAnsi" w:hAnsiTheme="minorHAnsi"/>
        </w:rPr>
        <w:t>The majority of results, regardless of search platform, were for the documents already identified (</w:t>
      </w:r>
      <w:r w:rsidR="004937E8" w:rsidRPr="004937E8">
        <w:rPr>
          <w:rFonts w:asciiTheme="minorHAnsi" w:hAnsiTheme="minorHAnsi"/>
        </w:rPr>
        <w:t>Table 1.4</w:t>
      </w:r>
      <w:r w:rsidRPr="004937E8">
        <w:rPr>
          <w:rFonts w:asciiTheme="minorHAnsi" w:hAnsiTheme="minorHAnsi" w:cstheme="minorHAnsi"/>
        </w:rPr>
        <w:t>) or were for other types of PH</w:t>
      </w:r>
      <w:r w:rsidR="00C6734D" w:rsidRPr="004937E8">
        <w:rPr>
          <w:rFonts w:asciiTheme="minorHAnsi" w:hAnsiTheme="minorHAnsi" w:cstheme="minorHAnsi"/>
        </w:rPr>
        <w:t xml:space="preserve">. </w:t>
      </w:r>
    </w:p>
    <w:p w:rsidR="0004089D" w:rsidRPr="0004089D" w:rsidRDefault="0004089D" w:rsidP="00121658">
      <w:pPr>
        <w:pStyle w:val="BodyTextnospacebefore"/>
        <w:rPr>
          <w:rFonts w:cstheme="minorHAnsi"/>
        </w:rPr>
      </w:pPr>
      <w:r w:rsidRPr="0004089D">
        <w:t xml:space="preserve">Searches were aided by the availability of older (pre-2010) guidelines – focused searches were done to identify updates to those documents using </w:t>
      </w:r>
      <w:r w:rsidR="00C40AC4" w:rsidRPr="0004089D">
        <w:t>PubMed</w:t>
      </w:r>
      <w:r w:rsidRPr="0004089D">
        <w:t xml:space="preserve">, Google and organisation websites. Searches also looked for other PAH recommendations published by </w:t>
      </w:r>
      <w:r w:rsidRPr="0004089D">
        <w:rPr>
          <w:rFonts w:cstheme="minorHAnsi"/>
        </w:rPr>
        <w:t>the specialist organisations in</w:t>
      </w:r>
      <w:r w:rsidR="002B29A8">
        <w:rPr>
          <w:rFonts w:cstheme="minorHAnsi"/>
        </w:rPr>
        <w:t xml:space="preserve"> </w:t>
      </w:r>
      <w:r w:rsidR="00165E64">
        <w:rPr>
          <w:rFonts w:cstheme="minorHAnsi"/>
        </w:rPr>
        <w:t>Table 1.3</w:t>
      </w:r>
      <w:r w:rsidR="00C6734D">
        <w:rPr>
          <w:rFonts w:cstheme="minorHAnsi"/>
        </w:rPr>
        <w:t xml:space="preserve">. </w:t>
      </w:r>
    </w:p>
    <w:p w:rsidR="00C4247C" w:rsidRDefault="00C4247C">
      <w:pPr>
        <w:spacing w:before="0" w:line="240" w:lineRule="auto"/>
        <w:jc w:val="left"/>
        <w:rPr>
          <w:rFonts w:asciiTheme="minorHAnsi" w:hAnsiTheme="minorHAnsi"/>
          <w:b/>
          <w:iCs/>
          <w:szCs w:val="18"/>
        </w:rPr>
      </w:pPr>
      <w:bookmarkStart w:id="126" w:name="_Ref510797978"/>
      <w:bookmarkStart w:id="127" w:name="_Ref508895998"/>
      <w:bookmarkStart w:id="128" w:name="_Toc503047869"/>
      <w:bookmarkStart w:id="129" w:name="_Ref508895993"/>
      <w:r>
        <w:br w:type="page"/>
      </w:r>
    </w:p>
    <w:p w:rsidR="00A365C4" w:rsidRDefault="00250EDE" w:rsidP="00A365C4">
      <w:pPr>
        <w:pStyle w:val="Caption"/>
      </w:pPr>
      <w:bookmarkStart w:id="130" w:name="_Toc513107629"/>
      <w:r>
        <w:t>Table 1.</w:t>
      </w:r>
      <w:r w:rsidR="00D63371">
        <w:rPr>
          <w:noProof/>
        </w:rPr>
        <w:t>3</w:t>
      </w:r>
      <w:bookmarkEnd w:id="126"/>
      <w:r w:rsidR="00A365C4" w:rsidRPr="00A365C4">
        <w:t xml:space="preserve"> </w:t>
      </w:r>
      <w:r w:rsidR="00A365C4">
        <w:tab/>
        <w:t>Specialist groups targeted in search strategy</w:t>
      </w:r>
      <w:bookmarkEnd w:id="130"/>
    </w:p>
    <w:tbl>
      <w:tblPr>
        <w:tblStyle w:val="TableGrid"/>
        <w:tblW w:w="5000" w:type="pct"/>
        <w:tblLook w:val="04A0" w:firstRow="1" w:lastRow="0" w:firstColumn="1" w:lastColumn="0" w:noHBand="0" w:noVBand="1"/>
        <w:tblCaption w:val="Specialist groups targeted in search strategy"/>
      </w:tblPr>
      <w:tblGrid>
        <w:gridCol w:w="2046"/>
        <w:gridCol w:w="6990"/>
      </w:tblGrid>
      <w:tr w:rsidR="0004089D" w:rsidRPr="0004089D" w:rsidTr="00236FB8">
        <w:trPr>
          <w:cnfStyle w:val="100000000000" w:firstRow="1" w:lastRow="0" w:firstColumn="0" w:lastColumn="0" w:oddVBand="0" w:evenVBand="0" w:oddHBand="0" w:evenHBand="0" w:firstRowFirstColumn="0" w:firstRowLastColumn="0" w:lastRowFirstColumn="0" w:lastRowLastColumn="0"/>
        </w:trPr>
        <w:tc>
          <w:tcPr>
            <w:tcW w:w="1132" w:type="pct"/>
          </w:tcPr>
          <w:bookmarkEnd w:id="127"/>
          <w:bookmarkEnd w:id="128"/>
          <w:bookmarkEnd w:id="129"/>
          <w:p w:rsidR="0004089D" w:rsidRPr="00F41286" w:rsidRDefault="00D342F1" w:rsidP="00121658">
            <w:pPr>
              <w:pStyle w:val="TableText"/>
              <w:rPr>
                <w:rFonts w:ascii="Arial" w:hAnsi="Arial"/>
                <w:b/>
              </w:rPr>
            </w:pPr>
            <w:r w:rsidRPr="00F41286">
              <w:rPr>
                <w:rFonts w:ascii="Arial" w:hAnsi="Arial"/>
                <w:b/>
              </w:rPr>
              <w:t>Country</w:t>
            </w:r>
          </w:p>
        </w:tc>
        <w:tc>
          <w:tcPr>
            <w:tcW w:w="3868" w:type="pct"/>
          </w:tcPr>
          <w:p w:rsidR="0004089D" w:rsidRPr="00F41286" w:rsidRDefault="00D342F1" w:rsidP="00121658">
            <w:pPr>
              <w:pStyle w:val="TableText"/>
              <w:rPr>
                <w:rFonts w:ascii="Arial" w:hAnsi="Arial"/>
                <w:b/>
              </w:rPr>
            </w:pPr>
            <w:r w:rsidRPr="00F41286">
              <w:rPr>
                <w:rFonts w:ascii="Arial" w:hAnsi="Arial"/>
                <w:b/>
              </w:rPr>
              <w:t>Specialist groups</w:t>
            </w:r>
          </w:p>
        </w:tc>
      </w:tr>
      <w:tr w:rsidR="00D342F1" w:rsidRPr="0004089D" w:rsidTr="00236FB8">
        <w:tc>
          <w:tcPr>
            <w:tcW w:w="1132" w:type="pct"/>
          </w:tcPr>
          <w:p w:rsidR="00D342F1" w:rsidRPr="00F41286" w:rsidRDefault="00D342F1" w:rsidP="00121658">
            <w:pPr>
              <w:pStyle w:val="TableText"/>
              <w:rPr>
                <w:rFonts w:ascii="Arial" w:hAnsi="Arial"/>
              </w:rPr>
            </w:pPr>
            <w:r w:rsidRPr="00F41286">
              <w:rPr>
                <w:rFonts w:ascii="Arial" w:hAnsi="Arial"/>
              </w:rPr>
              <w:t>Australia; New Zealand</w:t>
            </w:r>
          </w:p>
        </w:tc>
        <w:tc>
          <w:tcPr>
            <w:tcW w:w="3868" w:type="pct"/>
          </w:tcPr>
          <w:p w:rsidR="00D342F1" w:rsidRPr="00F41286" w:rsidRDefault="00D342F1" w:rsidP="00121658">
            <w:pPr>
              <w:pStyle w:val="TableText"/>
              <w:rPr>
                <w:rFonts w:ascii="Arial" w:hAnsi="Arial"/>
              </w:rPr>
            </w:pPr>
            <w:r w:rsidRPr="00F41286">
              <w:rPr>
                <w:rFonts w:ascii="Arial" w:hAnsi="Arial"/>
              </w:rPr>
              <w:t xml:space="preserve">Pulmonary Hypertension Society of Australia and New Zealand (PHSANZ) </w:t>
            </w:r>
          </w:p>
          <w:p w:rsidR="00D342F1" w:rsidRPr="00F41286" w:rsidRDefault="00D342F1" w:rsidP="00121658">
            <w:pPr>
              <w:pStyle w:val="TableText"/>
              <w:rPr>
                <w:rFonts w:ascii="Arial" w:hAnsi="Arial"/>
              </w:rPr>
            </w:pPr>
            <w:r w:rsidRPr="00F41286">
              <w:rPr>
                <w:rFonts w:ascii="Arial" w:hAnsi="Arial"/>
              </w:rPr>
              <w:t>The Cardiac Society of Australia and New Zealand</w:t>
            </w:r>
          </w:p>
          <w:p w:rsidR="00D342F1" w:rsidRPr="00F41286" w:rsidRDefault="00D342F1" w:rsidP="00121658">
            <w:pPr>
              <w:pStyle w:val="TableText"/>
              <w:rPr>
                <w:rFonts w:ascii="Arial" w:hAnsi="Arial"/>
              </w:rPr>
            </w:pPr>
            <w:r w:rsidRPr="00F41286">
              <w:rPr>
                <w:rFonts w:ascii="Arial" w:hAnsi="Arial"/>
              </w:rPr>
              <w:t xml:space="preserve">Lung Foundation Australia </w:t>
            </w:r>
          </w:p>
          <w:p w:rsidR="00D342F1" w:rsidRPr="00F41286" w:rsidRDefault="00D342F1" w:rsidP="00121658">
            <w:pPr>
              <w:pStyle w:val="TableText"/>
              <w:rPr>
                <w:rFonts w:ascii="Arial" w:hAnsi="Arial"/>
              </w:rPr>
            </w:pPr>
            <w:r w:rsidRPr="00F41286">
              <w:rPr>
                <w:rFonts w:ascii="Arial" w:hAnsi="Arial"/>
              </w:rPr>
              <w:t>The Thoracic Society of Australia and New Zealand</w:t>
            </w:r>
          </w:p>
        </w:tc>
      </w:tr>
      <w:tr w:rsidR="0004089D" w:rsidRPr="0004089D" w:rsidTr="0004089D">
        <w:tc>
          <w:tcPr>
            <w:tcW w:w="1132" w:type="pct"/>
          </w:tcPr>
          <w:p w:rsidR="0004089D" w:rsidRPr="00F41286" w:rsidRDefault="0004089D" w:rsidP="00121658">
            <w:pPr>
              <w:pStyle w:val="TableText"/>
              <w:rPr>
                <w:rFonts w:ascii="Arial" w:hAnsi="Arial"/>
              </w:rPr>
            </w:pPr>
            <w:r w:rsidRPr="00F41286">
              <w:rPr>
                <w:rFonts w:ascii="Arial" w:hAnsi="Arial"/>
              </w:rPr>
              <w:t>UK</w:t>
            </w:r>
          </w:p>
        </w:tc>
        <w:tc>
          <w:tcPr>
            <w:tcW w:w="3868" w:type="pct"/>
          </w:tcPr>
          <w:p w:rsidR="0004089D" w:rsidRPr="00F41286" w:rsidRDefault="0004089D" w:rsidP="00121658">
            <w:pPr>
              <w:pStyle w:val="TableText"/>
              <w:rPr>
                <w:rFonts w:ascii="Arial" w:hAnsi="Arial"/>
              </w:rPr>
            </w:pPr>
            <w:r w:rsidRPr="00F41286">
              <w:rPr>
                <w:rFonts w:ascii="Arial" w:hAnsi="Arial"/>
              </w:rPr>
              <w:t>British Thoracic Society</w:t>
            </w:r>
          </w:p>
          <w:p w:rsidR="0004089D" w:rsidRPr="00F41286" w:rsidRDefault="0004089D" w:rsidP="00121658">
            <w:pPr>
              <w:pStyle w:val="TableText"/>
              <w:rPr>
                <w:rFonts w:ascii="Arial" w:hAnsi="Arial"/>
              </w:rPr>
            </w:pPr>
            <w:r w:rsidRPr="00F41286">
              <w:rPr>
                <w:rFonts w:ascii="Arial" w:hAnsi="Arial"/>
              </w:rPr>
              <w:t>British Cardiovascular Society</w:t>
            </w:r>
          </w:p>
        </w:tc>
      </w:tr>
      <w:tr w:rsidR="0004089D" w:rsidRPr="0004089D" w:rsidTr="0004089D">
        <w:tc>
          <w:tcPr>
            <w:tcW w:w="1132" w:type="pct"/>
          </w:tcPr>
          <w:p w:rsidR="0004089D" w:rsidRPr="00F41286" w:rsidRDefault="0004089D" w:rsidP="00121658">
            <w:pPr>
              <w:pStyle w:val="TableText"/>
              <w:rPr>
                <w:rFonts w:ascii="Arial" w:hAnsi="Arial"/>
              </w:rPr>
            </w:pPr>
            <w:r w:rsidRPr="00F41286">
              <w:rPr>
                <w:rFonts w:ascii="Arial" w:hAnsi="Arial"/>
              </w:rPr>
              <w:t>Europe</w:t>
            </w:r>
          </w:p>
        </w:tc>
        <w:tc>
          <w:tcPr>
            <w:tcW w:w="3868" w:type="pct"/>
          </w:tcPr>
          <w:p w:rsidR="0004089D" w:rsidRPr="00F41286" w:rsidRDefault="0004089D" w:rsidP="00121658">
            <w:pPr>
              <w:pStyle w:val="TableText"/>
              <w:rPr>
                <w:rFonts w:ascii="Arial" w:hAnsi="Arial"/>
              </w:rPr>
            </w:pPr>
            <w:r w:rsidRPr="00F41286">
              <w:rPr>
                <w:rFonts w:ascii="Arial" w:hAnsi="Arial"/>
              </w:rPr>
              <w:t>European Society of Cardiology</w:t>
            </w:r>
          </w:p>
          <w:p w:rsidR="0004089D" w:rsidRPr="00F41286" w:rsidRDefault="0004089D" w:rsidP="00121658">
            <w:pPr>
              <w:pStyle w:val="TableText"/>
              <w:rPr>
                <w:rFonts w:ascii="Arial" w:hAnsi="Arial"/>
              </w:rPr>
            </w:pPr>
            <w:r w:rsidRPr="00F41286">
              <w:rPr>
                <w:rFonts w:ascii="Arial" w:hAnsi="Arial"/>
              </w:rPr>
              <w:t>European Respiratory Society</w:t>
            </w:r>
          </w:p>
        </w:tc>
      </w:tr>
      <w:tr w:rsidR="0004089D" w:rsidRPr="0004089D" w:rsidTr="0004089D">
        <w:tc>
          <w:tcPr>
            <w:tcW w:w="1132" w:type="pct"/>
          </w:tcPr>
          <w:p w:rsidR="0004089D" w:rsidRPr="00F41286" w:rsidRDefault="0004089D" w:rsidP="00121658">
            <w:pPr>
              <w:pStyle w:val="TableText"/>
              <w:rPr>
                <w:rFonts w:ascii="Arial" w:hAnsi="Arial"/>
              </w:rPr>
            </w:pPr>
            <w:r w:rsidRPr="00F41286">
              <w:rPr>
                <w:rFonts w:ascii="Arial" w:hAnsi="Arial"/>
              </w:rPr>
              <w:t>USA</w:t>
            </w:r>
          </w:p>
        </w:tc>
        <w:tc>
          <w:tcPr>
            <w:tcW w:w="3868" w:type="pct"/>
          </w:tcPr>
          <w:p w:rsidR="0004089D" w:rsidRPr="00F41286" w:rsidRDefault="0004089D" w:rsidP="00121658">
            <w:pPr>
              <w:pStyle w:val="TableText"/>
              <w:rPr>
                <w:rFonts w:ascii="Arial" w:hAnsi="Arial"/>
              </w:rPr>
            </w:pPr>
            <w:r w:rsidRPr="00F41286">
              <w:rPr>
                <w:rFonts w:ascii="Arial" w:hAnsi="Arial"/>
              </w:rPr>
              <w:t>American Thoracic Society</w:t>
            </w:r>
          </w:p>
          <w:p w:rsidR="0004089D" w:rsidRPr="00F41286" w:rsidRDefault="0004089D" w:rsidP="00121658">
            <w:pPr>
              <w:pStyle w:val="TableText"/>
              <w:rPr>
                <w:rFonts w:ascii="Arial" w:hAnsi="Arial"/>
              </w:rPr>
            </w:pPr>
            <w:r w:rsidRPr="00F41286">
              <w:rPr>
                <w:rFonts w:ascii="Arial" w:hAnsi="Arial"/>
              </w:rPr>
              <w:t>American College of Cardiology</w:t>
            </w:r>
          </w:p>
          <w:p w:rsidR="0004089D" w:rsidRPr="00F41286" w:rsidRDefault="0004089D" w:rsidP="00121658">
            <w:pPr>
              <w:pStyle w:val="TableText"/>
              <w:rPr>
                <w:rFonts w:ascii="Arial" w:hAnsi="Arial"/>
              </w:rPr>
            </w:pPr>
            <w:r w:rsidRPr="00F41286">
              <w:rPr>
                <w:rFonts w:ascii="Arial" w:hAnsi="Arial"/>
              </w:rPr>
              <w:t>American Heart Association</w:t>
            </w:r>
          </w:p>
          <w:p w:rsidR="0004089D" w:rsidRPr="00F41286" w:rsidRDefault="0004089D" w:rsidP="00121658">
            <w:pPr>
              <w:pStyle w:val="TableText"/>
              <w:rPr>
                <w:rFonts w:ascii="Arial" w:hAnsi="Arial"/>
              </w:rPr>
            </w:pPr>
            <w:r w:rsidRPr="00F41286">
              <w:rPr>
                <w:rFonts w:ascii="Arial" w:hAnsi="Arial"/>
              </w:rPr>
              <w:t>American College of Chest Physicians</w:t>
            </w:r>
          </w:p>
        </w:tc>
      </w:tr>
    </w:tbl>
    <w:p w:rsidR="0004089D" w:rsidRPr="0004089D" w:rsidRDefault="0004089D" w:rsidP="004937E8">
      <w:pPr>
        <w:spacing w:before="0" w:line="240" w:lineRule="auto"/>
        <w:jc w:val="left"/>
      </w:pPr>
      <w:r w:rsidRPr="004937E8">
        <w:rPr>
          <w:rFonts w:asciiTheme="minorHAnsi" w:hAnsiTheme="minorHAnsi"/>
        </w:rPr>
        <w:t xml:space="preserve">The </w:t>
      </w:r>
      <w:r w:rsidR="00F41286" w:rsidRPr="004937E8">
        <w:rPr>
          <w:rFonts w:asciiTheme="minorHAnsi" w:hAnsiTheme="minorHAnsi"/>
        </w:rPr>
        <w:t>quality of the identified guidelines was</w:t>
      </w:r>
      <w:r w:rsidRPr="004937E8">
        <w:rPr>
          <w:rFonts w:asciiTheme="minorHAnsi" w:hAnsiTheme="minorHAnsi"/>
        </w:rPr>
        <w:t xml:space="preserve"> rated according to the Appraisal of Guidelines for Research and Evaluation (AGREE) II instrument</w:t>
      </w:r>
      <w:r w:rsidR="009C556B" w:rsidRPr="004937E8">
        <w:rPr>
          <w:rFonts w:asciiTheme="minorHAnsi" w:hAnsiTheme="minorHAnsi"/>
          <w:noProof/>
          <w:vertAlign w:val="superscript"/>
        </w:rPr>
        <w:t>18</w:t>
      </w:r>
      <w:r w:rsidR="00F41286" w:rsidRPr="004937E8">
        <w:rPr>
          <w:rFonts w:asciiTheme="minorHAnsi" w:hAnsiTheme="minorHAnsi"/>
        </w:rPr>
        <w:t>.</w:t>
      </w:r>
      <w:r w:rsidRPr="004937E8">
        <w:rPr>
          <w:rFonts w:asciiTheme="minorHAnsi" w:hAnsiTheme="minorHAnsi"/>
        </w:rPr>
        <w:t xml:space="preserve"> The results of the critical appraisal were i</w:t>
      </w:r>
      <w:r w:rsidR="00D368DF" w:rsidRPr="004937E8">
        <w:rPr>
          <w:rFonts w:asciiTheme="minorHAnsi" w:hAnsiTheme="minorHAnsi"/>
        </w:rPr>
        <w:t>ncluded in the summary table</w:t>
      </w:r>
      <w:r w:rsidRPr="004937E8">
        <w:rPr>
          <w:rFonts w:asciiTheme="minorHAnsi" w:hAnsiTheme="minorHAnsi"/>
        </w:rPr>
        <w:t xml:space="preserve"> (</w:t>
      </w:r>
      <w:r w:rsidR="004937E8">
        <w:rPr>
          <w:rFonts w:asciiTheme="minorHAnsi" w:hAnsiTheme="minorHAnsi"/>
        </w:rPr>
        <w:t>Table 1.4</w:t>
      </w:r>
      <w:r w:rsidR="00165E64">
        <w:t>).</w:t>
      </w:r>
    </w:p>
    <w:p w:rsidR="0004089D" w:rsidRPr="0004089D" w:rsidRDefault="0004089D" w:rsidP="00121658">
      <w:pPr>
        <w:pStyle w:val="BodyTextnospacebefore"/>
      </w:pPr>
      <w:r w:rsidRPr="0004089D">
        <w:t>Of the guidelines identified, the CHEST guideline (US), the ESC / ERS guideline (European) and the CADTH guideline (Canada) were the three guidelines with higher quality. Thus recommendations from these documents were given more credence than the other lower-scoring guidelines</w:t>
      </w:r>
      <w:r w:rsidR="00C6734D">
        <w:t xml:space="preserve">. </w:t>
      </w:r>
      <w:r w:rsidRPr="0004089D">
        <w:t>The lower scores were primarily due to low scores in domains of “Rigour of Development” and “Applicabili</w:t>
      </w:r>
      <w:r w:rsidR="00165E64">
        <w:t>ty” of the AGREE II instrument.</w:t>
      </w:r>
    </w:p>
    <w:p w:rsidR="00D32790" w:rsidRPr="00B92CC9" w:rsidRDefault="00EC60C5" w:rsidP="00121658">
      <w:pPr>
        <w:pStyle w:val="Heading3"/>
        <w:jc w:val="left"/>
      </w:pPr>
      <w:bookmarkStart w:id="131" w:name="_Toc513107598"/>
      <w:r>
        <w:t>C</w:t>
      </w:r>
      <w:r w:rsidR="00D32790" w:rsidRPr="00B92CC9">
        <w:t xml:space="preserve">urrent clinical </w:t>
      </w:r>
      <w:bookmarkEnd w:id="121"/>
      <w:bookmarkEnd w:id="122"/>
      <w:bookmarkEnd w:id="123"/>
      <w:r w:rsidR="0004089D">
        <w:t>guidelines</w:t>
      </w:r>
      <w:r>
        <w:t xml:space="preserve"> identified</w:t>
      </w:r>
      <w:bookmarkEnd w:id="131"/>
    </w:p>
    <w:p w:rsidR="007D03DF" w:rsidRPr="004937E8" w:rsidRDefault="0004089D" w:rsidP="004937E8">
      <w:pPr>
        <w:spacing w:before="0" w:line="240" w:lineRule="auto"/>
        <w:jc w:val="left"/>
        <w:rPr>
          <w:rFonts w:asciiTheme="minorHAnsi" w:hAnsiTheme="minorHAnsi"/>
        </w:rPr>
      </w:pPr>
      <w:bookmarkStart w:id="132" w:name="_Toc473291071"/>
      <w:bookmarkStart w:id="133" w:name="_Toc480371874"/>
      <w:bookmarkStart w:id="134" w:name="_Toc486514222"/>
      <w:r w:rsidRPr="004937E8">
        <w:rPr>
          <w:rFonts w:asciiTheme="minorHAnsi" w:hAnsiTheme="minorHAnsi"/>
        </w:rPr>
        <w:t xml:space="preserve">Overall, only </w:t>
      </w:r>
      <w:r w:rsidR="001034A1" w:rsidRPr="004937E8">
        <w:rPr>
          <w:rFonts w:asciiTheme="minorHAnsi" w:hAnsiTheme="minorHAnsi"/>
        </w:rPr>
        <w:t>nine</w:t>
      </w:r>
      <w:r w:rsidRPr="004937E8">
        <w:rPr>
          <w:rFonts w:asciiTheme="minorHAnsi" w:hAnsiTheme="minorHAnsi"/>
        </w:rPr>
        <w:t xml:space="preserve"> guidelines were considered relevant, covering diagnosis and treatment of PAH, the international classification scheme and recommendations for paediatric patients </w:t>
      </w:r>
      <w:r w:rsidR="00901B9B" w:rsidRPr="004937E8">
        <w:rPr>
          <w:rFonts w:asciiTheme="minorHAnsi" w:hAnsiTheme="minorHAnsi"/>
        </w:rPr>
        <w:t>(</w:t>
      </w:r>
      <w:r w:rsidR="004937E8" w:rsidRPr="004937E8">
        <w:rPr>
          <w:rFonts w:asciiTheme="minorHAnsi" w:hAnsiTheme="minorHAnsi"/>
        </w:rPr>
        <w:t>Table 1.4</w:t>
      </w:r>
      <w:r w:rsidR="00901B9B" w:rsidRPr="004937E8">
        <w:rPr>
          <w:rFonts w:asciiTheme="minorHAnsi" w:hAnsiTheme="minorHAnsi"/>
        </w:rPr>
        <w:t xml:space="preserve">). </w:t>
      </w:r>
      <w:r w:rsidRPr="004937E8">
        <w:rPr>
          <w:rFonts w:asciiTheme="minorHAnsi" w:hAnsiTheme="minorHAnsi"/>
        </w:rPr>
        <w:t>There are no guidelines</w:t>
      </w:r>
      <w:r w:rsidR="001266C7" w:rsidRPr="004937E8">
        <w:rPr>
          <w:rFonts w:asciiTheme="minorHAnsi" w:hAnsiTheme="minorHAnsi"/>
        </w:rPr>
        <w:t xml:space="preserve"> specifically for Australia or </w:t>
      </w:r>
      <w:r w:rsidRPr="004937E8">
        <w:rPr>
          <w:rFonts w:asciiTheme="minorHAnsi" w:hAnsiTheme="minorHAnsi"/>
        </w:rPr>
        <w:t>New Zealand</w:t>
      </w:r>
      <w:r w:rsidR="00C6734D" w:rsidRPr="004937E8">
        <w:rPr>
          <w:rFonts w:asciiTheme="minorHAnsi" w:hAnsiTheme="minorHAnsi"/>
        </w:rPr>
        <w:t xml:space="preserve">. </w:t>
      </w:r>
      <w:r w:rsidR="007D03DF" w:rsidRPr="004937E8">
        <w:rPr>
          <w:rFonts w:asciiTheme="minorHAnsi" w:hAnsiTheme="minorHAnsi"/>
        </w:rPr>
        <w:t>As such, this report assumes that European and US guideline recommendations are applicable to Australia, except for certain aspects (recommendations regarding drugs not on the market in Australia such as treprostinil)</w:t>
      </w:r>
      <w:r w:rsidR="0004690C" w:rsidRPr="004937E8">
        <w:rPr>
          <w:rFonts w:asciiTheme="minorHAnsi" w:hAnsiTheme="minorHAnsi"/>
        </w:rPr>
        <w:t>.</w:t>
      </w:r>
    </w:p>
    <w:p w:rsidR="0004089D" w:rsidRPr="004937E8" w:rsidRDefault="0004089D" w:rsidP="00121658">
      <w:pPr>
        <w:pStyle w:val="BodyTextnospacebefore"/>
      </w:pPr>
      <w:r w:rsidRPr="004937E8">
        <w:t xml:space="preserve">Published reviews on PAH from various national/regional specialists organisations indicate that the 2015 European Society </w:t>
      </w:r>
      <w:r w:rsidR="001266C7" w:rsidRPr="004937E8">
        <w:t>of</w:t>
      </w:r>
      <w:r w:rsidRPr="004937E8">
        <w:t xml:space="preserve"> Cardiology /European Respiratory Society joint </w:t>
      </w:r>
      <w:proofErr w:type="gramStart"/>
      <w:r w:rsidRPr="004937E8">
        <w:t>guideline</w:t>
      </w:r>
      <w:r w:rsidR="009C556B" w:rsidRPr="004937E8">
        <w:rPr>
          <w:noProof/>
          <w:vertAlign w:val="superscript"/>
        </w:rPr>
        <w:t>8</w:t>
      </w:r>
      <w:r w:rsidRPr="004937E8">
        <w:rPr>
          <w:rFonts w:cstheme="minorHAnsi"/>
        </w:rPr>
        <w:t>(</w:t>
      </w:r>
      <w:proofErr w:type="gramEnd"/>
      <w:r w:rsidRPr="004937E8">
        <w:rPr>
          <w:rFonts w:cstheme="minorHAnsi"/>
        </w:rPr>
        <w:t>the ESC/ERS guideline)</w:t>
      </w:r>
      <w:r w:rsidRPr="004937E8">
        <w:t xml:space="preserve"> is considered definitive not just for Europe but in other regions</w:t>
      </w:r>
      <w:r w:rsidR="00C6734D" w:rsidRPr="004937E8">
        <w:t xml:space="preserve">. </w:t>
      </w:r>
      <w:r w:rsidRPr="004937E8">
        <w:t>This guideline serves, alongside the equivalent US guideline from the American College of Chest Physicians (</w:t>
      </w:r>
      <w:r w:rsidRPr="004937E8">
        <w:rPr>
          <w:rFonts w:cstheme="minorHAnsi"/>
        </w:rPr>
        <w:t>i.e. the CHEST guideline</w:t>
      </w:r>
      <w:r w:rsidR="009C556B" w:rsidRPr="004937E8">
        <w:rPr>
          <w:rFonts w:cstheme="minorHAnsi"/>
          <w:noProof/>
          <w:vertAlign w:val="superscript"/>
        </w:rPr>
        <w:t>19</w:t>
      </w:r>
      <w:r w:rsidRPr="004937E8">
        <w:t>), as guidance for other countries – including Australia</w:t>
      </w:r>
      <w:r w:rsidR="0004690C" w:rsidRPr="004937E8">
        <w:t>.</w:t>
      </w:r>
    </w:p>
    <w:p w:rsidR="0004089D" w:rsidRPr="0004089D" w:rsidRDefault="0004089D" w:rsidP="00121658">
      <w:pPr>
        <w:pStyle w:val="BodyTextnospacebefore"/>
      </w:pPr>
      <w:r w:rsidRPr="004937E8">
        <w:t>Two further guidelines were identified from the US; one, a guideline on PAH treatment by the American College of Cardiology and the American Heart Association</w:t>
      </w:r>
      <w:r w:rsidR="009C556B" w:rsidRPr="004937E8">
        <w:rPr>
          <w:noProof/>
          <w:vertAlign w:val="superscript"/>
        </w:rPr>
        <w:t>20</w:t>
      </w:r>
      <w:r w:rsidRPr="004937E8">
        <w:t xml:space="preserve"> – but which dates from 2009 and has not been updated – and a guideline on diagnostic imaging criteria for PAH from the American College of Radiology</w:t>
      </w:r>
      <w:r w:rsidR="009C556B" w:rsidRPr="004937E8">
        <w:rPr>
          <w:noProof/>
          <w:vertAlign w:val="superscript"/>
        </w:rPr>
        <w:t>21</w:t>
      </w:r>
      <w:r w:rsidR="00C6734D" w:rsidRPr="004937E8">
        <w:t xml:space="preserve">. </w:t>
      </w:r>
      <w:r w:rsidRPr="004937E8">
        <w:t>In the US, a joint 2015 guideline by the American Heart Association and the American Thoracic Society covers all type</w:t>
      </w:r>
      <w:r w:rsidR="00E5237C" w:rsidRPr="004937E8">
        <w:t>s</w:t>
      </w:r>
      <w:r w:rsidRPr="004937E8">
        <w:t xml:space="preserve"> of PH in</w:t>
      </w:r>
      <w:r w:rsidRPr="0004089D">
        <w:t xml:space="preserve"> children (for this review, only those recommendations for PAH were considered)</w:t>
      </w:r>
      <w:r w:rsidR="009C556B" w:rsidRPr="009C556B">
        <w:rPr>
          <w:noProof/>
          <w:vertAlign w:val="superscript"/>
        </w:rPr>
        <w:t>22</w:t>
      </w:r>
      <w:r w:rsidR="00C6734D">
        <w:t xml:space="preserve">. </w:t>
      </w:r>
      <w:r w:rsidRPr="0004089D">
        <w:t>The current PH classification guideline</w:t>
      </w:r>
      <w:r w:rsidR="00403819">
        <w:t xml:space="preserve"> from the World Symposium on PAH</w:t>
      </w:r>
      <w:r w:rsidRPr="0004089D">
        <w:t xml:space="preserve"> is fundamental to definition of </w:t>
      </w:r>
      <w:r w:rsidR="00E5237C">
        <w:t xml:space="preserve">the </w:t>
      </w:r>
      <w:r w:rsidR="00656A1C">
        <w:t xml:space="preserve">eligible </w:t>
      </w:r>
      <w:r w:rsidRPr="0004089D">
        <w:t xml:space="preserve">patient </w:t>
      </w:r>
      <w:r w:rsidR="00E5237C">
        <w:t>populations</w:t>
      </w:r>
      <w:r w:rsidRPr="0004089D">
        <w:t xml:space="preserve"> even though it makes no treatment recommendations</w:t>
      </w:r>
      <w:r w:rsidR="009C556B" w:rsidRPr="00DC475B">
        <w:rPr>
          <w:noProof/>
          <w:vertAlign w:val="superscript"/>
        </w:rPr>
        <w:t>9</w:t>
      </w:r>
      <w:r w:rsidR="00C6734D">
        <w:t xml:space="preserve">. </w:t>
      </w:r>
      <w:r w:rsidR="00403819">
        <w:t>Also from the World Symposium, two consensus based guidelines were relevant (one for treatment of PAH in children</w:t>
      </w:r>
      <w:r w:rsidR="009C556B" w:rsidRPr="009C556B">
        <w:rPr>
          <w:noProof/>
          <w:vertAlign w:val="superscript"/>
        </w:rPr>
        <w:t>23</w:t>
      </w:r>
      <w:r w:rsidR="00403819">
        <w:t xml:space="preserve"> and a second regarding PAH diagnostics</w:t>
      </w:r>
      <w:r w:rsidR="009C556B" w:rsidRPr="009C556B">
        <w:rPr>
          <w:noProof/>
          <w:vertAlign w:val="superscript"/>
        </w:rPr>
        <w:t>24</w:t>
      </w:r>
      <w:r w:rsidR="00403819">
        <w:t xml:space="preserve">). The CHEST guideline defers all recommendations regarding treatment of children with PAH to the Ivy </w:t>
      </w:r>
      <w:proofErr w:type="gramStart"/>
      <w:r w:rsidR="00403819">
        <w:t>et</w:t>
      </w:r>
      <w:proofErr w:type="gramEnd"/>
      <w:r w:rsidR="00403819">
        <w:t xml:space="preserve"> al</w:t>
      </w:r>
      <w:r w:rsidR="009C556B" w:rsidRPr="009C556B">
        <w:rPr>
          <w:noProof/>
          <w:vertAlign w:val="superscript"/>
        </w:rPr>
        <w:t>23</w:t>
      </w:r>
      <w:r w:rsidR="00403819">
        <w:t xml:space="preserve"> document</w:t>
      </w:r>
      <w:r w:rsidR="0004690C">
        <w:t>.</w:t>
      </w:r>
    </w:p>
    <w:p w:rsidR="0004089D" w:rsidRDefault="0004089D" w:rsidP="00121658">
      <w:pPr>
        <w:pStyle w:val="BodyTextnospacebefore"/>
      </w:pPr>
      <w:r w:rsidRPr="0004089D">
        <w:t xml:space="preserve">Guidelines published before 2010 were not included, with the exception of </w:t>
      </w:r>
      <w:proofErr w:type="spellStart"/>
      <w:r w:rsidRPr="0004089D">
        <w:t>MacLaughlin</w:t>
      </w:r>
      <w:proofErr w:type="spellEnd"/>
      <w:r w:rsidRPr="0004089D">
        <w:t xml:space="preserve"> </w:t>
      </w:r>
      <w:r w:rsidRPr="0004089D">
        <w:rPr>
          <w:i/>
        </w:rPr>
        <w:t xml:space="preserve">et al </w:t>
      </w:r>
      <w:r w:rsidRPr="0004089D">
        <w:t>2009</w:t>
      </w:r>
      <w:r w:rsidR="009C556B" w:rsidRPr="009C556B">
        <w:rPr>
          <w:noProof/>
          <w:vertAlign w:val="superscript"/>
        </w:rPr>
        <w:t>20</w:t>
      </w:r>
      <w:r w:rsidRPr="0004089D">
        <w:t xml:space="preserve"> primarily because </w:t>
      </w:r>
      <w:r w:rsidR="004460C6">
        <w:t>this was the most recent version</w:t>
      </w:r>
      <w:r w:rsidRPr="0004089D">
        <w:t xml:space="preserve"> and US authors continue</w:t>
      </w:r>
      <w:r w:rsidR="004460C6">
        <w:t xml:space="preserve"> to cite it. It did not</w:t>
      </w:r>
      <w:r w:rsidRPr="0004089D">
        <w:t xml:space="preserve"> inform many of the treatment pathways developed for this review</w:t>
      </w:r>
      <w:r w:rsidR="00C6734D">
        <w:t xml:space="preserve">. </w:t>
      </w:r>
      <w:r w:rsidRPr="0004089D">
        <w:t>Guidelines identified in the search dating from before 2010 are available as updated versions, or did not cover newer PAH medicines macitentan and riociguat</w:t>
      </w:r>
      <w:r w:rsidR="0004690C">
        <w:t>.</w:t>
      </w:r>
    </w:p>
    <w:p w:rsidR="0004089D" w:rsidRPr="0004089D" w:rsidRDefault="0004089D" w:rsidP="00121658">
      <w:pPr>
        <w:pStyle w:val="BodyTextnospacebefore"/>
      </w:pPr>
      <w:r w:rsidRPr="0004089D">
        <w:t>A review by the CADTH (Canadian Agency for Drugs and Technologies in Health) from March 2015 wa</w:t>
      </w:r>
      <w:r>
        <w:t>s considered partially relevant</w:t>
      </w:r>
      <w:r w:rsidR="009C556B" w:rsidRPr="009C556B">
        <w:rPr>
          <w:noProof/>
          <w:vertAlign w:val="superscript"/>
        </w:rPr>
        <w:t>25</w:t>
      </w:r>
      <w:r w:rsidRPr="0004089D">
        <w:t>. Although it is driven by the costs and constraints of the Canadian healthcare system (as well as different prostanoids being available in Canada), it contains some informative, evidence-based recommendations on therapy choices, particularly combination/add-on treatments</w:t>
      </w:r>
      <w:r w:rsidR="00C6734D">
        <w:t xml:space="preserve">. </w:t>
      </w:r>
      <w:r w:rsidRPr="0004089D">
        <w:t xml:space="preserve">A similar review by the National Institute of Health and Care Excellence (NICE) in the United Kingdom was in development but was halted at the protocol stage as the National Health Service (NHS) had already issued commissioning guidance for </w:t>
      </w:r>
      <w:r w:rsidR="00F95235">
        <w:t>PAH medicines</w:t>
      </w:r>
      <w:r w:rsidR="009C556B" w:rsidRPr="009C556B">
        <w:rPr>
          <w:noProof/>
          <w:vertAlign w:val="superscript"/>
        </w:rPr>
        <w:t>26</w:t>
      </w:r>
      <w:r w:rsidR="00F41286">
        <w:t>.</w:t>
      </w:r>
      <w:r w:rsidR="00C6734D">
        <w:t xml:space="preserve"> </w:t>
      </w:r>
      <w:r w:rsidRPr="0004089D">
        <w:t>NHS commissioning guidance for PAH</w:t>
      </w:r>
      <w:r w:rsidR="009C556B" w:rsidRPr="009C556B">
        <w:rPr>
          <w:noProof/>
          <w:vertAlign w:val="superscript"/>
        </w:rPr>
        <w:t>27</w:t>
      </w:r>
      <w:r w:rsidR="00F41286" w:rsidRPr="0004089D">
        <w:t xml:space="preserve"> </w:t>
      </w:r>
      <w:r w:rsidRPr="0004089D">
        <w:t>in turn was not relevant as it is driven by cost arrangements existing between manufacturers and the NHS and the availability of low cost sildenafil</w:t>
      </w:r>
      <w:r w:rsidR="0004690C">
        <w:t>.</w:t>
      </w:r>
    </w:p>
    <w:p w:rsidR="0004089D" w:rsidRPr="0004089D" w:rsidRDefault="0004089D" w:rsidP="00121658">
      <w:pPr>
        <w:pStyle w:val="BodyTextnospacebefore"/>
      </w:pPr>
      <w:r w:rsidRPr="0004089D">
        <w:t>The PBS restrictions include some specific haemodynamic variables</w:t>
      </w:r>
      <w:r w:rsidR="00C6734D">
        <w:t xml:space="preserve">. </w:t>
      </w:r>
      <w:r w:rsidRPr="0004089D">
        <w:t>To develop an informed view of guideline requirements for these aspects, it was necessary to draw on both PAH and interventional guidelines, as well as recent review articles</w:t>
      </w:r>
      <w:r w:rsidR="00C6734D">
        <w:t xml:space="preserve">. </w:t>
      </w:r>
      <w:r w:rsidRPr="0004089D">
        <w:t>However, an exhaustive search was not conducted to identify all potentially relevant interventional guidelines (namely echocardiography and cardiac catheterisation)</w:t>
      </w:r>
      <w:r w:rsidR="0004690C">
        <w:t>.</w:t>
      </w:r>
    </w:p>
    <w:p w:rsidR="00CE28F2" w:rsidRDefault="0004089D" w:rsidP="00D14982">
      <w:pPr>
        <w:pStyle w:val="BodyTextnospacebefore"/>
      </w:pPr>
      <w:r w:rsidRPr="0004089D">
        <w:t xml:space="preserve">A 2010 guideline on echocardiography of the right heart by the American Society of Echocardiography (endorsed by its counterpart European Association of Echocardiography) was used to </w:t>
      </w:r>
      <w:r>
        <w:t>address some of these questions</w:t>
      </w:r>
      <w:r w:rsidR="009C556B" w:rsidRPr="009C556B">
        <w:rPr>
          <w:noProof/>
          <w:vertAlign w:val="superscript"/>
        </w:rPr>
        <w:t>28</w:t>
      </w:r>
      <w:r w:rsidR="00C6734D">
        <w:t xml:space="preserve">. </w:t>
      </w:r>
      <w:r w:rsidRPr="0004089D">
        <w:t>This is cited in the ESC/ERS guideline for this purpose</w:t>
      </w:r>
      <w:r w:rsidR="00C6734D">
        <w:t xml:space="preserve">. </w:t>
      </w:r>
      <w:r w:rsidRPr="0004089D">
        <w:t xml:space="preserve">A report from the Working Group on Diagnosis and Assessment </w:t>
      </w:r>
      <w:r>
        <w:t>of</w:t>
      </w:r>
      <w:r w:rsidRPr="0004089D">
        <w:t xml:space="preserve"> the 2013 Nice World Symposium contained further </w:t>
      </w:r>
      <w:r>
        <w:t>information</w:t>
      </w:r>
      <w:r w:rsidR="009C556B" w:rsidRPr="009C556B">
        <w:rPr>
          <w:noProof/>
          <w:vertAlign w:val="superscript"/>
        </w:rPr>
        <w:t>24</w:t>
      </w:r>
      <w:r w:rsidR="0004690C">
        <w:t>.</w:t>
      </w:r>
    </w:p>
    <w:p w:rsidR="00C4247C" w:rsidRDefault="00C4247C">
      <w:pPr>
        <w:spacing w:before="0" w:line="240" w:lineRule="auto"/>
        <w:jc w:val="left"/>
        <w:rPr>
          <w:rFonts w:asciiTheme="minorHAnsi" w:hAnsiTheme="minorHAnsi"/>
          <w:b/>
          <w:iCs/>
          <w:szCs w:val="18"/>
        </w:rPr>
      </w:pPr>
      <w:bookmarkStart w:id="135" w:name="_Ref510794346"/>
      <w:bookmarkStart w:id="136" w:name="_Ref510797958"/>
      <w:r>
        <w:br w:type="page"/>
      </w:r>
    </w:p>
    <w:p w:rsidR="00CE28F2" w:rsidRPr="00CB0EC1" w:rsidRDefault="00250EDE" w:rsidP="00250EDE">
      <w:pPr>
        <w:pStyle w:val="Caption"/>
      </w:pPr>
      <w:bookmarkStart w:id="137" w:name="_Toc513107630"/>
      <w:r>
        <w:t>Table 1.</w:t>
      </w:r>
      <w:r w:rsidR="00D63371">
        <w:rPr>
          <w:noProof/>
        </w:rPr>
        <w:t>4</w:t>
      </w:r>
      <w:bookmarkEnd w:id="135"/>
      <w:r w:rsidRPr="00250EDE">
        <w:t xml:space="preserve"> </w:t>
      </w:r>
      <w:r>
        <w:tab/>
      </w:r>
      <w:r w:rsidRPr="00CB0EC1">
        <w:t>Guidelines relevant to this review</w:t>
      </w:r>
      <w:bookmarkEnd w:id="136"/>
      <w:bookmarkEnd w:id="137"/>
    </w:p>
    <w:tbl>
      <w:tblPr>
        <w:tblStyle w:val="TableGrid"/>
        <w:tblW w:w="5111" w:type="pct"/>
        <w:tblLook w:val="04A0" w:firstRow="1" w:lastRow="0" w:firstColumn="1" w:lastColumn="0" w:noHBand="0" w:noVBand="1"/>
        <w:tblCaption w:val="Guidelines relevant to this review"/>
      </w:tblPr>
      <w:tblGrid>
        <w:gridCol w:w="563"/>
        <w:gridCol w:w="1336"/>
        <w:gridCol w:w="2045"/>
        <w:gridCol w:w="4072"/>
        <w:gridCol w:w="1221"/>
      </w:tblGrid>
      <w:tr w:rsidR="00121658" w:rsidRPr="00CE28F2" w:rsidTr="00001BDA">
        <w:trPr>
          <w:cnfStyle w:val="100000000000" w:firstRow="1" w:lastRow="0" w:firstColumn="0" w:lastColumn="0" w:oddVBand="0" w:evenVBand="0" w:oddHBand="0" w:evenHBand="0" w:firstRowFirstColumn="0" w:firstRowLastColumn="0" w:lastRowFirstColumn="0" w:lastRowLastColumn="0"/>
        </w:trPr>
        <w:tc>
          <w:tcPr>
            <w:tcW w:w="305" w:type="pct"/>
            <w:shd w:val="clear" w:color="auto" w:fill="BFBFBF" w:themeFill="background1" w:themeFillShade="BF"/>
          </w:tcPr>
          <w:p w:rsidR="00CE28F2" w:rsidRPr="00F41286" w:rsidRDefault="00CE28F2" w:rsidP="00001BDA">
            <w:pPr>
              <w:ind w:right="-144"/>
              <w:jc w:val="left"/>
              <w:rPr>
                <w:rFonts w:ascii="Arial" w:hAnsi="Arial" w:cs="Arial"/>
                <w:b/>
                <w:sz w:val="20"/>
                <w:szCs w:val="20"/>
              </w:rPr>
            </w:pPr>
            <w:r w:rsidRPr="00F41286">
              <w:rPr>
                <w:rFonts w:ascii="Arial" w:hAnsi="Arial" w:cs="Arial"/>
                <w:b/>
                <w:sz w:val="20"/>
                <w:szCs w:val="20"/>
              </w:rPr>
              <w:t>Date</w:t>
            </w:r>
          </w:p>
        </w:tc>
        <w:tc>
          <w:tcPr>
            <w:tcW w:w="723" w:type="pct"/>
            <w:shd w:val="clear" w:color="auto" w:fill="BFBFBF" w:themeFill="background1" w:themeFillShade="BF"/>
          </w:tcPr>
          <w:p w:rsidR="00CE28F2" w:rsidRPr="00F41286" w:rsidRDefault="00CE28F2" w:rsidP="000D69DF">
            <w:pPr>
              <w:ind w:left="143"/>
              <w:jc w:val="left"/>
              <w:rPr>
                <w:rFonts w:ascii="Arial" w:hAnsi="Arial" w:cs="Arial"/>
                <w:b/>
                <w:sz w:val="20"/>
                <w:szCs w:val="20"/>
              </w:rPr>
            </w:pPr>
            <w:r w:rsidRPr="00F41286">
              <w:rPr>
                <w:rFonts w:ascii="Arial" w:hAnsi="Arial" w:cs="Arial"/>
                <w:b/>
                <w:sz w:val="20"/>
                <w:szCs w:val="20"/>
              </w:rPr>
              <w:t>Type</w:t>
            </w:r>
          </w:p>
        </w:tc>
        <w:tc>
          <w:tcPr>
            <w:tcW w:w="1107" w:type="pct"/>
            <w:shd w:val="clear" w:color="auto" w:fill="BFBFBF" w:themeFill="background1" w:themeFillShade="BF"/>
          </w:tcPr>
          <w:p w:rsidR="00CE28F2" w:rsidRPr="00F41286" w:rsidRDefault="00CE28F2" w:rsidP="000D69DF">
            <w:pPr>
              <w:ind w:left="143"/>
              <w:jc w:val="left"/>
              <w:rPr>
                <w:rFonts w:ascii="Arial" w:hAnsi="Arial" w:cs="Arial"/>
                <w:b/>
                <w:sz w:val="20"/>
                <w:szCs w:val="20"/>
              </w:rPr>
            </w:pPr>
            <w:r w:rsidRPr="00F41286">
              <w:rPr>
                <w:rFonts w:ascii="Arial" w:hAnsi="Arial" w:cs="Arial"/>
                <w:b/>
                <w:sz w:val="20"/>
                <w:szCs w:val="20"/>
              </w:rPr>
              <w:t>Organisation(s)</w:t>
            </w:r>
          </w:p>
        </w:tc>
        <w:tc>
          <w:tcPr>
            <w:tcW w:w="2204" w:type="pct"/>
            <w:shd w:val="clear" w:color="auto" w:fill="BFBFBF" w:themeFill="background1" w:themeFillShade="BF"/>
          </w:tcPr>
          <w:p w:rsidR="00CE28F2" w:rsidRPr="00F41286" w:rsidRDefault="00CE28F2" w:rsidP="000D69DF">
            <w:pPr>
              <w:ind w:left="141"/>
              <w:jc w:val="left"/>
              <w:rPr>
                <w:rFonts w:ascii="Arial" w:hAnsi="Arial" w:cs="Arial"/>
                <w:b/>
                <w:sz w:val="20"/>
                <w:szCs w:val="20"/>
              </w:rPr>
            </w:pPr>
            <w:r w:rsidRPr="00F41286">
              <w:rPr>
                <w:rFonts w:ascii="Arial" w:hAnsi="Arial" w:cs="Arial"/>
                <w:b/>
                <w:sz w:val="20"/>
                <w:szCs w:val="20"/>
              </w:rPr>
              <w:t>Title</w:t>
            </w:r>
          </w:p>
        </w:tc>
        <w:tc>
          <w:tcPr>
            <w:tcW w:w="662" w:type="pct"/>
            <w:shd w:val="clear" w:color="auto" w:fill="BFBFBF" w:themeFill="background1" w:themeFillShade="BF"/>
          </w:tcPr>
          <w:p w:rsidR="00CE28F2" w:rsidRPr="00CE28F2" w:rsidRDefault="00CE28F2" w:rsidP="000D69DF">
            <w:pPr>
              <w:ind w:left="142"/>
              <w:jc w:val="left"/>
              <w:rPr>
                <w:rFonts w:ascii="Cambria" w:hAnsi="Cambria"/>
                <w:b/>
              </w:rPr>
            </w:pPr>
            <w:r w:rsidRPr="00CE28F2">
              <w:rPr>
                <w:rFonts w:ascii="Cambria" w:hAnsi="Cambria"/>
                <w:b/>
              </w:rPr>
              <w:t>Quality appraisal</w:t>
            </w:r>
          </w:p>
        </w:tc>
      </w:tr>
      <w:tr w:rsidR="00121658" w:rsidRPr="00CE28F2" w:rsidTr="00001BDA">
        <w:tc>
          <w:tcPr>
            <w:tcW w:w="305" w:type="pct"/>
            <w:tcBorders>
              <w:bottom w:val="single" w:sz="4" w:space="0" w:color="auto"/>
            </w:tcBorders>
          </w:tcPr>
          <w:p w:rsidR="00CE28F2" w:rsidRPr="00F41286" w:rsidRDefault="00CE28F2" w:rsidP="00001BDA">
            <w:pPr>
              <w:jc w:val="left"/>
              <w:rPr>
                <w:rFonts w:ascii="Arial" w:hAnsi="Arial" w:cs="Arial"/>
                <w:sz w:val="20"/>
                <w:szCs w:val="20"/>
              </w:rPr>
            </w:pPr>
            <w:r w:rsidRPr="00F41286">
              <w:rPr>
                <w:rFonts w:ascii="Arial" w:hAnsi="Arial" w:cs="Arial"/>
                <w:sz w:val="20"/>
                <w:szCs w:val="20"/>
              </w:rPr>
              <w:t>2016</w:t>
            </w:r>
          </w:p>
        </w:tc>
        <w:tc>
          <w:tcPr>
            <w:tcW w:w="723" w:type="pct"/>
            <w:tcBorders>
              <w:bottom w:val="single" w:sz="4" w:space="0" w:color="auto"/>
            </w:tcBorders>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Clinical guidance</w:t>
            </w:r>
          </w:p>
        </w:tc>
        <w:tc>
          <w:tcPr>
            <w:tcW w:w="1107" w:type="pct"/>
            <w:tcBorders>
              <w:bottom w:val="single" w:sz="4" w:space="0" w:color="auto"/>
            </w:tcBorders>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American College of Radiology</w:t>
            </w:r>
          </w:p>
        </w:tc>
        <w:tc>
          <w:tcPr>
            <w:tcW w:w="2204" w:type="pct"/>
            <w:tcBorders>
              <w:bottom w:val="single" w:sz="4" w:space="0" w:color="auto"/>
            </w:tcBorders>
          </w:tcPr>
          <w:p w:rsidR="00CE28F2" w:rsidRPr="00F41286" w:rsidRDefault="00CE28F2" w:rsidP="009C556B">
            <w:pPr>
              <w:ind w:left="141"/>
              <w:jc w:val="left"/>
              <w:rPr>
                <w:rFonts w:ascii="Arial" w:hAnsi="Arial" w:cs="Arial"/>
                <w:sz w:val="20"/>
                <w:szCs w:val="20"/>
              </w:rPr>
            </w:pPr>
            <w:r w:rsidRPr="00F41286">
              <w:rPr>
                <w:rFonts w:ascii="Arial" w:hAnsi="Arial" w:cs="Arial"/>
                <w:sz w:val="20"/>
                <w:szCs w:val="20"/>
              </w:rPr>
              <w:t>ACR Appropriateness Criteria suspected pulmonary hypertension</w:t>
            </w:r>
            <w:r w:rsidR="009C556B" w:rsidRPr="009C556B">
              <w:rPr>
                <w:rFonts w:ascii="Arial" w:hAnsi="Arial" w:cs="Arial"/>
                <w:i/>
                <w:noProof/>
                <w:sz w:val="20"/>
                <w:szCs w:val="20"/>
                <w:vertAlign w:val="superscript"/>
              </w:rPr>
              <w:t>21</w:t>
            </w:r>
          </w:p>
        </w:tc>
        <w:tc>
          <w:tcPr>
            <w:tcW w:w="662" w:type="pct"/>
            <w:tcBorders>
              <w:bottom w:val="single" w:sz="4" w:space="0" w:color="auto"/>
            </w:tcBorders>
          </w:tcPr>
          <w:p w:rsidR="00CE28F2" w:rsidRPr="00CE28F2" w:rsidRDefault="00CE28F2" w:rsidP="000D69DF">
            <w:pPr>
              <w:ind w:left="142"/>
              <w:jc w:val="left"/>
              <w:rPr>
                <w:rFonts w:ascii="Cambria" w:hAnsi="Cambria"/>
              </w:rPr>
            </w:pPr>
            <w:r w:rsidRPr="00CE28F2">
              <w:rPr>
                <w:rFonts w:ascii="Cambria" w:hAnsi="Cambria"/>
              </w:rPr>
              <w:t>Low-to-moderate</w:t>
            </w:r>
          </w:p>
        </w:tc>
      </w:tr>
      <w:tr w:rsidR="00121658" w:rsidRPr="00CE28F2" w:rsidTr="00001BDA">
        <w:tc>
          <w:tcPr>
            <w:tcW w:w="305" w:type="pct"/>
            <w:tcBorders>
              <w:top w:val="single" w:sz="4" w:space="0" w:color="auto"/>
            </w:tcBorders>
          </w:tcPr>
          <w:p w:rsidR="00CE28F2" w:rsidRPr="00F41286" w:rsidRDefault="00CE28F2" w:rsidP="00001BDA">
            <w:pPr>
              <w:jc w:val="left"/>
              <w:rPr>
                <w:rFonts w:ascii="Arial" w:hAnsi="Arial" w:cs="Arial"/>
                <w:sz w:val="20"/>
                <w:szCs w:val="20"/>
              </w:rPr>
            </w:pPr>
            <w:r w:rsidRPr="00F41286">
              <w:rPr>
                <w:rFonts w:ascii="Arial" w:hAnsi="Arial" w:cs="Arial"/>
                <w:sz w:val="20"/>
                <w:szCs w:val="20"/>
              </w:rPr>
              <w:t>2015</w:t>
            </w:r>
          </w:p>
        </w:tc>
        <w:tc>
          <w:tcPr>
            <w:tcW w:w="723" w:type="pct"/>
            <w:tcBorders>
              <w:top w:val="single" w:sz="4" w:space="0" w:color="auto"/>
            </w:tcBorders>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Clinical guidance</w:t>
            </w:r>
          </w:p>
        </w:tc>
        <w:tc>
          <w:tcPr>
            <w:tcW w:w="1107" w:type="pct"/>
            <w:tcBorders>
              <w:top w:val="single" w:sz="4" w:space="0" w:color="auto"/>
            </w:tcBorders>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American Heart Association</w:t>
            </w:r>
          </w:p>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American Thoracic Society</w:t>
            </w:r>
          </w:p>
        </w:tc>
        <w:tc>
          <w:tcPr>
            <w:tcW w:w="2204" w:type="pct"/>
            <w:tcBorders>
              <w:top w:val="single" w:sz="4" w:space="0" w:color="auto"/>
            </w:tcBorders>
          </w:tcPr>
          <w:p w:rsidR="00CE28F2" w:rsidRPr="00F41286" w:rsidRDefault="00CE28F2" w:rsidP="000D69DF">
            <w:pPr>
              <w:ind w:left="141"/>
              <w:jc w:val="left"/>
              <w:rPr>
                <w:rFonts w:ascii="Arial" w:hAnsi="Arial" w:cs="Arial"/>
                <w:sz w:val="20"/>
                <w:szCs w:val="20"/>
              </w:rPr>
            </w:pPr>
            <w:r w:rsidRPr="00F41286">
              <w:rPr>
                <w:rFonts w:ascii="Arial" w:hAnsi="Arial" w:cs="Arial"/>
                <w:sz w:val="20"/>
                <w:szCs w:val="20"/>
              </w:rPr>
              <w:t xml:space="preserve">AHA/ATS Guideline: </w:t>
            </w:r>
            <w:proofErr w:type="spellStart"/>
            <w:r w:rsidRPr="00F41286">
              <w:rPr>
                <w:rFonts w:ascii="Arial" w:hAnsi="Arial" w:cs="Arial"/>
                <w:sz w:val="20"/>
                <w:szCs w:val="20"/>
              </w:rPr>
              <w:t>Pediatric</w:t>
            </w:r>
            <w:proofErr w:type="spellEnd"/>
            <w:r w:rsidRPr="00F41286">
              <w:rPr>
                <w:rFonts w:ascii="Arial" w:hAnsi="Arial" w:cs="Arial"/>
                <w:sz w:val="20"/>
                <w:szCs w:val="20"/>
              </w:rPr>
              <w:t xml:space="preserve"> Pulmonary Hypertension</w:t>
            </w:r>
            <w:r w:rsidR="009C556B" w:rsidRPr="009C556B">
              <w:rPr>
                <w:rFonts w:ascii="Arial" w:hAnsi="Arial" w:cs="Arial"/>
                <w:i/>
                <w:noProof/>
                <w:sz w:val="20"/>
                <w:szCs w:val="20"/>
                <w:vertAlign w:val="superscript"/>
              </w:rPr>
              <w:t>22</w:t>
            </w:r>
          </w:p>
          <w:p w:rsidR="00CE28F2" w:rsidRPr="00F41286" w:rsidRDefault="00CE28F2" w:rsidP="000D69DF">
            <w:pPr>
              <w:ind w:left="141"/>
              <w:jc w:val="left"/>
              <w:rPr>
                <w:rFonts w:ascii="Arial" w:hAnsi="Arial" w:cs="Arial"/>
                <w:sz w:val="20"/>
                <w:szCs w:val="20"/>
              </w:rPr>
            </w:pPr>
            <w:r w:rsidRPr="00F41286">
              <w:rPr>
                <w:rFonts w:ascii="Arial" w:hAnsi="Arial" w:cs="Arial"/>
                <w:b/>
                <w:sz w:val="20"/>
                <w:szCs w:val="20"/>
              </w:rPr>
              <w:t>NOTE: hybrid of both evidence-based and consensus based recommendations</w:t>
            </w:r>
          </w:p>
        </w:tc>
        <w:tc>
          <w:tcPr>
            <w:tcW w:w="662" w:type="pct"/>
            <w:tcBorders>
              <w:top w:val="single" w:sz="4" w:space="0" w:color="auto"/>
            </w:tcBorders>
          </w:tcPr>
          <w:p w:rsidR="00CE28F2" w:rsidRPr="00CE28F2" w:rsidRDefault="00CE28F2" w:rsidP="000D69DF">
            <w:pPr>
              <w:ind w:left="142"/>
              <w:jc w:val="left"/>
              <w:rPr>
                <w:rFonts w:ascii="Cambria" w:hAnsi="Cambria"/>
              </w:rPr>
            </w:pPr>
            <w:r w:rsidRPr="00CE28F2">
              <w:rPr>
                <w:rFonts w:ascii="Cambria" w:hAnsi="Cambria"/>
              </w:rPr>
              <w:t>moderate</w:t>
            </w:r>
          </w:p>
        </w:tc>
      </w:tr>
      <w:tr w:rsidR="00121658" w:rsidRPr="00CE28F2" w:rsidTr="00001BDA">
        <w:tc>
          <w:tcPr>
            <w:tcW w:w="305" w:type="pct"/>
          </w:tcPr>
          <w:p w:rsidR="00CE28F2" w:rsidRPr="00F41286" w:rsidRDefault="00CE28F2" w:rsidP="00001BDA">
            <w:pPr>
              <w:jc w:val="left"/>
              <w:rPr>
                <w:rFonts w:ascii="Arial" w:hAnsi="Arial" w:cs="Arial"/>
                <w:sz w:val="20"/>
                <w:szCs w:val="20"/>
              </w:rPr>
            </w:pPr>
            <w:r w:rsidRPr="00F41286">
              <w:rPr>
                <w:rFonts w:ascii="Arial" w:hAnsi="Arial" w:cs="Arial"/>
                <w:sz w:val="20"/>
                <w:szCs w:val="20"/>
              </w:rPr>
              <w:t>2015</w:t>
            </w:r>
          </w:p>
        </w:tc>
        <w:tc>
          <w:tcPr>
            <w:tcW w:w="723"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Clinical guidance</w:t>
            </w:r>
          </w:p>
        </w:tc>
        <w:tc>
          <w:tcPr>
            <w:tcW w:w="1107"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European Society of Cardiology (ESC)</w:t>
            </w:r>
            <w:r w:rsidRPr="00F41286">
              <w:rPr>
                <w:rFonts w:ascii="Arial" w:hAnsi="Arial" w:cs="Arial"/>
                <w:sz w:val="20"/>
                <w:szCs w:val="20"/>
              </w:rPr>
              <w:br/>
              <w:t>European Respiratory Society (ERS)</w:t>
            </w:r>
          </w:p>
        </w:tc>
        <w:tc>
          <w:tcPr>
            <w:tcW w:w="2204" w:type="pct"/>
          </w:tcPr>
          <w:p w:rsidR="00CE28F2" w:rsidRPr="00F41286" w:rsidRDefault="00CE28F2" w:rsidP="009C556B">
            <w:pPr>
              <w:ind w:left="141"/>
              <w:jc w:val="left"/>
              <w:rPr>
                <w:rFonts w:ascii="Arial" w:hAnsi="Arial" w:cs="Arial"/>
                <w:i/>
                <w:sz w:val="20"/>
                <w:szCs w:val="20"/>
              </w:rPr>
            </w:pPr>
            <w:r w:rsidRPr="00F41286">
              <w:rPr>
                <w:rFonts w:ascii="Arial" w:hAnsi="Arial" w:cs="Arial"/>
                <w:sz w:val="20"/>
                <w:szCs w:val="20"/>
              </w:rPr>
              <w:t>2015 ESC/ERS Guidelines for the diagnosis and treatment of pulmonary hypertension</w:t>
            </w:r>
            <w:r w:rsidR="009C556B" w:rsidRPr="00001BDA">
              <w:rPr>
                <w:rFonts w:ascii="Arial" w:hAnsi="Arial" w:cs="Arial"/>
                <w:i/>
                <w:sz w:val="20"/>
                <w:szCs w:val="20"/>
                <w:vertAlign w:val="superscript"/>
              </w:rPr>
              <w:t>8</w:t>
            </w:r>
          </w:p>
        </w:tc>
        <w:tc>
          <w:tcPr>
            <w:tcW w:w="662" w:type="pct"/>
          </w:tcPr>
          <w:p w:rsidR="00CE28F2" w:rsidRPr="00CE28F2" w:rsidRDefault="00CE28F2" w:rsidP="000D69DF">
            <w:pPr>
              <w:ind w:left="142"/>
              <w:jc w:val="left"/>
              <w:rPr>
                <w:rFonts w:ascii="Cambria" w:hAnsi="Cambria"/>
              </w:rPr>
            </w:pPr>
            <w:r w:rsidRPr="00CE28F2">
              <w:rPr>
                <w:rFonts w:ascii="Cambria" w:hAnsi="Cambria"/>
              </w:rPr>
              <w:t>Moderate-to-high</w:t>
            </w:r>
          </w:p>
        </w:tc>
      </w:tr>
      <w:tr w:rsidR="00121658" w:rsidRPr="00CE28F2" w:rsidTr="00001BDA">
        <w:tc>
          <w:tcPr>
            <w:tcW w:w="305" w:type="pct"/>
          </w:tcPr>
          <w:p w:rsidR="00CE28F2" w:rsidRPr="00F41286" w:rsidRDefault="00CE28F2" w:rsidP="00001BDA">
            <w:pPr>
              <w:jc w:val="left"/>
              <w:rPr>
                <w:rFonts w:ascii="Arial" w:hAnsi="Arial" w:cs="Arial"/>
                <w:sz w:val="20"/>
                <w:szCs w:val="20"/>
              </w:rPr>
            </w:pPr>
            <w:r w:rsidRPr="00F41286">
              <w:rPr>
                <w:rFonts w:ascii="Arial" w:hAnsi="Arial" w:cs="Arial"/>
                <w:sz w:val="20"/>
                <w:szCs w:val="20"/>
              </w:rPr>
              <w:t>2015</w:t>
            </w:r>
          </w:p>
        </w:tc>
        <w:tc>
          <w:tcPr>
            <w:tcW w:w="723"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Health technology assessment</w:t>
            </w:r>
          </w:p>
        </w:tc>
        <w:tc>
          <w:tcPr>
            <w:tcW w:w="1107"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Canadian Agency for Drugs and Technologies in Health</w:t>
            </w:r>
          </w:p>
        </w:tc>
        <w:tc>
          <w:tcPr>
            <w:tcW w:w="2204" w:type="pct"/>
          </w:tcPr>
          <w:p w:rsidR="00CE28F2" w:rsidRPr="00F41286" w:rsidRDefault="00CE28F2" w:rsidP="009C556B">
            <w:pPr>
              <w:ind w:left="141"/>
              <w:jc w:val="left"/>
              <w:rPr>
                <w:rFonts w:ascii="Arial" w:hAnsi="Arial" w:cs="Arial"/>
                <w:i/>
                <w:sz w:val="20"/>
                <w:szCs w:val="20"/>
              </w:rPr>
            </w:pPr>
            <w:r w:rsidRPr="00F41286">
              <w:rPr>
                <w:rFonts w:ascii="Arial" w:hAnsi="Arial" w:cs="Arial"/>
                <w:sz w:val="20"/>
                <w:szCs w:val="20"/>
              </w:rPr>
              <w:t>Drugs for Pulmonary Arterial Hypertension: Comparative Efficacy, Safety, and Cost-Effectiveness — Recommendations Report</w:t>
            </w:r>
            <w:r w:rsidR="009C556B" w:rsidRPr="009C556B">
              <w:rPr>
                <w:rFonts w:ascii="Arial" w:hAnsi="Arial" w:cs="Arial"/>
                <w:i/>
                <w:noProof/>
                <w:sz w:val="20"/>
                <w:szCs w:val="20"/>
                <w:vertAlign w:val="superscript"/>
              </w:rPr>
              <w:t>25</w:t>
            </w:r>
          </w:p>
        </w:tc>
        <w:tc>
          <w:tcPr>
            <w:tcW w:w="662" w:type="pct"/>
          </w:tcPr>
          <w:p w:rsidR="00CE28F2" w:rsidRPr="00CE28F2" w:rsidRDefault="00CE28F2" w:rsidP="000D69DF">
            <w:pPr>
              <w:ind w:left="142"/>
              <w:jc w:val="left"/>
              <w:rPr>
                <w:rFonts w:ascii="Cambria" w:hAnsi="Cambria"/>
              </w:rPr>
            </w:pPr>
            <w:r w:rsidRPr="00CE28F2">
              <w:rPr>
                <w:rFonts w:ascii="Cambria" w:hAnsi="Cambria"/>
              </w:rPr>
              <w:t>Moderate-to-high</w:t>
            </w:r>
          </w:p>
        </w:tc>
      </w:tr>
      <w:tr w:rsidR="00121658" w:rsidRPr="00CE28F2" w:rsidTr="00001BDA">
        <w:tc>
          <w:tcPr>
            <w:tcW w:w="305" w:type="pct"/>
          </w:tcPr>
          <w:p w:rsidR="00CE28F2" w:rsidRPr="00F41286" w:rsidRDefault="00CE28F2" w:rsidP="00001BDA">
            <w:pPr>
              <w:jc w:val="left"/>
              <w:rPr>
                <w:rFonts w:ascii="Arial" w:hAnsi="Arial" w:cs="Arial"/>
                <w:sz w:val="20"/>
                <w:szCs w:val="20"/>
              </w:rPr>
            </w:pPr>
            <w:r w:rsidRPr="00F41286">
              <w:rPr>
                <w:rFonts w:ascii="Arial" w:hAnsi="Arial" w:cs="Arial"/>
                <w:sz w:val="20"/>
                <w:szCs w:val="20"/>
              </w:rPr>
              <w:t>2014</w:t>
            </w:r>
          </w:p>
        </w:tc>
        <w:tc>
          <w:tcPr>
            <w:tcW w:w="723"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Clinical guidance</w:t>
            </w:r>
          </w:p>
        </w:tc>
        <w:tc>
          <w:tcPr>
            <w:tcW w:w="1107"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American College of Chest Physicians</w:t>
            </w:r>
          </w:p>
        </w:tc>
        <w:tc>
          <w:tcPr>
            <w:tcW w:w="2204" w:type="pct"/>
          </w:tcPr>
          <w:p w:rsidR="00CE28F2" w:rsidRPr="00F41286" w:rsidRDefault="00CE28F2" w:rsidP="000D69DF">
            <w:pPr>
              <w:ind w:left="141"/>
              <w:jc w:val="left"/>
              <w:rPr>
                <w:rFonts w:ascii="Arial" w:hAnsi="Arial" w:cs="Arial"/>
                <w:i/>
                <w:sz w:val="20"/>
                <w:szCs w:val="20"/>
              </w:rPr>
            </w:pPr>
            <w:r w:rsidRPr="00F41286">
              <w:rPr>
                <w:rFonts w:ascii="Arial" w:hAnsi="Arial" w:cs="Arial"/>
                <w:sz w:val="20"/>
                <w:szCs w:val="20"/>
              </w:rPr>
              <w:t>Pharmacologic therapy for pulmonary arterial hypertension in adults: CHEST guideline and expert panel report</w:t>
            </w:r>
            <w:r w:rsidR="009C556B" w:rsidRPr="009C556B">
              <w:rPr>
                <w:rFonts w:ascii="Arial" w:hAnsi="Arial" w:cs="Arial"/>
                <w:i/>
                <w:noProof/>
                <w:sz w:val="20"/>
                <w:szCs w:val="20"/>
                <w:vertAlign w:val="superscript"/>
              </w:rPr>
              <w:t>19</w:t>
            </w:r>
          </w:p>
          <w:p w:rsidR="00CE28F2" w:rsidRPr="00F41286" w:rsidRDefault="00CE28F2" w:rsidP="000D69DF">
            <w:pPr>
              <w:ind w:left="141"/>
              <w:jc w:val="left"/>
              <w:rPr>
                <w:rFonts w:ascii="Arial" w:hAnsi="Arial" w:cs="Arial"/>
                <w:b/>
                <w:sz w:val="20"/>
                <w:szCs w:val="20"/>
              </w:rPr>
            </w:pPr>
            <w:r w:rsidRPr="00F41286">
              <w:rPr>
                <w:rFonts w:ascii="Arial" w:hAnsi="Arial" w:cs="Arial"/>
                <w:b/>
                <w:sz w:val="20"/>
                <w:szCs w:val="20"/>
              </w:rPr>
              <w:t>NOTE: hybrid of both evidence-based and consensus based recommendations</w:t>
            </w:r>
          </w:p>
        </w:tc>
        <w:tc>
          <w:tcPr>
            <w:tcW w:w="662" w:type="pct"/>
          </w:tcPr>
          <w:p w:rsidR="00CE28F2" w:rsidRPr="00CE28F2" w:rsidRDefault="00CE28F2" w:rsidP="000D69DF">
            <w:pPr>
              <w:ind w:left="142"/>
              <w:jc w:val="left"/>
              <w:rPr>
                <w:rFonts w:ascii="Cambria" w:hAnsi="Cambria"/>
              </w:rPr>
            </w:pPr>
            <w:r w:rsidRPr="00CE28F2">
              <w:rPr>
                <w:rFonts w:ascii="Cambria" w:hAnsi="Cambria"/>
              </w:rPr>
              <w:t>Moderate-to-high</w:t>
            </w:r>
          </w:p>
        </w:tc>
      </w:tr>
      <w:tr w:rsidR="00121658" w:rsidRPr="00CE28F2" w:rsidTr="00001BDA">
        <w:tc>
          <w:tcPr>
            <w:tcW w:w="305" w:type="pct"/>
          </w:tcPr>
          <w:p w:rsidR="00CE28F2" w:rsidRPr="00F41286" w:rsidRDefault="00CE28F2" w:rsidP="00001BDA">
            <w:pPr>
              <w:jc w:val="left"/>
              <w:rPr>
                <w:rFonts w:ascii="Arial" w:hAnsi="Arial" w:cs="Arial"/>
                <w:sz w:val="20"/>
                <w:szCs w:val="20"/>
              </w:rPr>
            </w:pPr>
            <w:r w:rsidRPr="00F41286">
              <w:rPr>
                <w:rFonts w:ascii="Arial" w:hAnsi="Arial" w:cs="Arial"/>
                <w:sz w:val="20"/>
                <w:szCs w:val="20"/>
              </w:rPr>
              <w:t>2013</w:t>
            </w:r>
          </w:p>
        </w:tc>
        <w:tc>
          <w:tcPr>
            <w:tcW w:w="723"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 xml:space="preserve">Classification guideline </w:t>
            </w:r>
          </w:p>
        </w:tc>
        <w:tc>
          <w:tcPr>
            <w:tcW w:w="1107"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WHO 5th World Symposium on Pulmonary Hypertension in Nice, France (2013)</w:t>
            </w:r>
          </w:p>
        </w:tc>
        <w:tc>
          <w:tcPr>
            <w:tcW w:w="2204" w:type="pct"/>
          </w:tcPr>
          <w:p w:rsidR="00CE28F2" w:rsidRPr="00F41286" w:rsidRDefault="00CE28F2" w:rsidP="000D69DF">
            <w:pPr>
              <w:ind w:left="141"/>
              <w:jc w:val="left"/>
              <w:rPr>
                <w:rFonts w:ascii="Arial" w:hAnsi="Arial" w:cs="Arial"/>
                <w:i/>
                <w:sz w:val="20"/>
                <w:szCs w:val="20"/>
              </w:rPr>
            </w:pPr>
            <w:r w:rsidRPr="00F41286">
              <w:rPr>
                <w:rFonts w:ascii="Arial" w:hAnsi="Arial" w:cs="Arial"/>
                <w:sz w:val="20"/>
                <w:szCs w:val="20"/>
              </w:rPr>
              <w:t>Updated Clinical Classification of Pulmonary Hypertension</w:t>
            </w:r>
            <w:r w:rsidR="009C556B" w:rsidRPr="00001BDA">
              <w:rPr>
                <w:rFonts w:ascii="Arial" w:hAnsi="Arial" w:cs="Arial"/>
                <w:i/>
                <w:sz w:val="20"/>
                <w:szCs w:val="20"/>
                <w:vertAlign w:val="superscript"/>
              </w:rPr>
              <w:t>9</w:t>
            </w:r>
          </w:p>
          <w:p w:rsidR="00CE28F2" w:rsidRPr="00F41286" w:rsidRDefault="00CE28F2" w:rsidP="000D69DF">
            <w:pPr>
              <w:ind w:left="141"/>
              <w:jc w:val="left"/>
              <w:rPr>
                <w:rFonts w:ascii="Arial" w:hAnsi="Arial" w:cs="Arial"/>
                <w:sz w:val="20"/>
                <w:szCs w:val="20"/>
              </w:rPr>
            </w:pPr>
            <w:r w:rsidRPr="00F41286">
              <w:rPr>
                <w:rFonts w:ascii="Arial" w:hAnsi="Arial" w:cs="Arial"/>
                <w:b/>
                <w:sz w:val="20"/>
                <w:szCs w:val="20"/>
              </w:rPr>
              <w:t xml:space="preserve">NOTE: includes no treatment recommendations – no quality assessment performed. </w:t>
            </w:r>
          </w:p>
        </w:tc>
        <w:tc>
          <w:tcPr>
            <w:tcW w:w="662" w:type="pct"/>
          </w:tcPr>
          <w:p w:rsidR="00CE28F2" w:rsidRPr="00CE28F2" w:rsidRDefault="00CE28F2" w:rsidP="000D69DF">
            <w:pPr>
              <w:ind w:left="142"/>
              <w:jc w:val="left"/>
              <w:rPr>
                <w:rFonts w:ascii="Cambria" w:hAnsi="Cambria"/>
              </w:rPr>
            </w:pPr>
            <w:r w:rsidRPr="00CE28F2">
              <w:rPr>
                <w:rFonts w:ascii="Cambria" w:hAnsi="Cambria"/>
              </w:rPr>
              <w:t>N/A</w:t>
            </w:r>
          </w:p>
        </w:tc>
      </w:tr>
      <w:tr w:rsidR="00121658" w:rsidRPr="00CE28F2" w:rsidTr="00001BDA">
        <w:tc>
          <w:tcPr>
            <w:tcW w:w="305" w:type="pct"/>
          </w:tcPr>
          <w:p w:rsidR="00CE28F2" w:rsidRPr="00F41286" w:rsidRDefault="00CE28F2" w:rsidP="00001BDA">
            <w:pPr>
              <w:ind w:right="-144"/>
              <w:jc w:val="left"/>
              <w:rPr>
                <w:rFonts w:ascii="Arial" w:hAnsi="Arial" w:cs="Arial"/>
                <w:sz w:val="20"/>
                <w:szCs w:val="20"/>
              </w:rPr>
            </w:pPr>
            <w:r w:rsidRPr="00F41286">
              <w:rPr>
                <w:rFonts w:ascii="Arial" w:hAnsi="Arial" w:cs="Arial"/>
                <w:sz w:val="20"/>
                <w:szCs w:val="20"/>
              </w:rPr>
              <w:t>2013</w:t>
            </w:r>
          </w:p>
        </w:tc>
        <w:tc>
          <w:tcPr>
            <w:tcW w:w="723"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Consensus statement</w:t>
            </w:r>
          </w:p>
        </w:tc>
        <w:tc>
          <w:tcPr>
            <w:tcW w:w="1107" w:type="pct"/>
          </w:tcPr>
          <w:p w:rsidR="00CE28F2" w:rsidRPr="00F41286" w:rsidRDefault="00CE28F2" w:rsidP="000D69DF">
            <w:pPr>
              <w:ind w:left="143"/>
              <w:jc w:val="left"/>
              <w:rPr>
                <w:rFonts w:ascii="Arial" w:hAnsi="Arial" w:cs="Arial"/>
                <w:sz w:val="20"/>
                <w:szCs w:val="20"/>
              </w:rPr>
            </w:pPr>
            <w:proofErr w:type="spellStart"/>
            <w:r w:rsidRPr="00F41286">
              <w:rPr>
                <w:rFonts w:ascii="Arial" w:hAnsi="Arial" w:cs="Arial"/>
                <w:sz w:val="20"/>
                <w:szCs w:val="20"/>
              </w:rPr>
              <w:t>Pediatric</w:t>
            </w:r>
            <w:proofErr w:type="spellEnd"/>
            <w:r w:rsidRPr="00F41286">
              <w:rPr>
                <w:rFonts w:ascii="Arial" w:hAnsi="Arial" w:cs="Arial"/>
                <w:sz w:val="20"/>
                <w:szCs w:val="20"/>
              </w:rPr>
              <w:t xml:space="preserve"> Task Force of the WHO 5th World Symposium on Pulmonary Hypertension in Nice, France (2013)</w:t>
            </w:r>
          </w:p>
        </w:tc>
        <w:tc>
          <w:tcPr>
            <w:tcW w:w="2204" w:type="pct"/>
          </w:tcPr>
          <w:p w:rsidR="00CE28F2" w:rsidRPr="00F41286" w:rsidRDefault="00CE28F2" w:rsidP="000D69DF">
            <w:pPr>
              <w:ind w:left="141"/>
              <w:jc w:val="left"/>
              <w:rPr>
                <w:rFonts w:ascii="Arial" w:hAnsi="Arial" w:cs="Arial"/>
                <w:sz w:val="20"/>
                <w:szCs w:val="20"/>
              </w:rPr>
            </w:pPr>
            <w:proofErr w:type="spellStart"/>
            <w:r w:rsidRPr="00F41286">
              <w:rPr>
                <w:rFonts w:ascii="Arial" w:hAnsi="Arial" w:cs="Arial"/>
                <w:sz w:val="20"/>
                <w:szCs w:val="20"/>
              </w:rPr>
              <w:t>Pediatric</w:t>
            </w:r>
            <w:proofErr w:type="spellEnd"/>
            <w:r w:rsidRPr="00F41286">
              <w:rPr>
                <w:rFonts w:ascii="Arial" w:hAnsi="Arial" w:cs="Arial"/>
                <w:sz w:val="20"/>
                <w:szCs w:val="20"/>
              </w:rPr>
              <w:t xml:space="preserve"> Pulmonary Hypertension. </w:t>
            </w:r>
          </w:p>
          <w:p w:rsidR="00CE28F2" w:rsidRPr="00F41286" w:rsidRDefault="00CE28F2" w:rsidP="009C556B">
            <w:pPr>
              <w:ind w:left="141"/>
              <w:jc w:val="left"/>
              <w:rPr>
                <w:rFonts w:ascii="Arial" w:hAnsi="Arial" w:cs="Arial"/>
                <w:i/>
                <w:sz w:val="20"/>
                <w:szCs w:val="20"/>
              </w:rPr>
            </w:pPr>
            <w:r w:rsidRPr="00F41286">
              <w:rPr>
                <w:rFonts w:ascii="Arial" w:hAnsi="Arial" w:cs="Arial"/>
                <w:sz w:val="20"/>
                <w:szCs w:val="20"/>
              </w:rPr>
              <w:t xml:space="preserve">(Discussions and recommendations from the </w:t>
            </w:r>
            <w:proofErr w:type="spellStart"/>
            <w:r w:rsidRPr="00F41286">
              <w:rPr>
                <w:rFonts w:ascii="Arial" w:hAnsi="Arial" w:cs="Arial"/>
                <w:sz w:val="20"/>
                <w:szCs w:val="20"/>
              </w:rPr>
              <w:t>Pediatric</w:t>
            </w:r>
            <w:proofErr w:type="spellEnd"/>
            <w:r w:rsidRPr="00F41286">
              <w:rPr>
                <w:rFonts w:ascii="Arial" w:hAnsi="Arial" w:cs="Arial"/>
                <w:sz w:val="20"/>
                <w:szCs w:val="20"/>
              </w:rPr>
              <w:t xml:space="preserve"> Task Force of the 5th World Symposium on Pulmonary Hypertension (WSPH) in Nice, France (2013))</w:t>
            </w:r>
            <w:r w:rsidR="009C556B" w:rsidRPr="009C556B">
              <w:rPr>
                <w:rFonts w:ascii="Arial" w:hAnsi="Arial" w:cs="Arial"/>
                <w:i/>
                <w:noProof/>
                <w:sz w:val="20"/>
                <w:szCs w:val="20"/>
                <w:vertAlign w:val="superscript"/>
              </w:rPr>
              <w:t>23</w:t>
            </w:r>
          </w:p>
        </w:tc>
        <w:tc>
          <w:tcPr>
            <w:tcW w:w="662" w:type="pct"/>
          </w:tcPr>
          <w:p w:rsidR="00CE28F2" w:rsidRPr="00CE28F2" w:rsidRDefault="00CE28F2" w:rsidP="000D69DF">
            <w:pPr>
              <w:ind w:left="142"/>
              <w:jc w:val="left"/>
              <w:rPr>
                <w:rFonts w:ascii="Cambria" w:hAnsi="Cambria"/>
              </w:rPr>
            </w:pPr>
            <w:r w:rsidRPr="00CE28F2">
              <w:rPr>
                <w:rFonts w:ascii="Cambria" w:hAnsi="Cambria"/>
              </w:rPr>
              <w:t xml:space="preserve">Low-to-moderate </w:t>
            </w:r>
          </w:p>
        </w:tc>
      </w:tr>
      <w:tr w:rsidR="00121658" w:rsidRPr="00CE28F2" w:rsidTr="00001BDA">
        <w:tc>
          <w:tcPr>
            <w:tcW w:w="305" w:type="pct"/>
          </w:tcPr>
          <w:p w:rsidR="00CE28F2" w:rsidRPr="00F41286" w:rsidRDefault="00CE28F2" w:rsidP="00001BDA">
            <w:pPr>
              <w:jc w:val="left"/>
              <w:rPr>
                <w:rFonts w:ascii="Arial" w:hAnsi="Arial" w:cs="Arial"/>
                <w:sz w:val="20"/>
                <w:szCs w:val="20"/>
              </w:rPr>
            </w:pPr>
            <w:r w:rsidRPr="00F41286">
              <w:rPr>
                <w:rFonts w:ascii="Arial" w:hAnsi="Arial" w:cs="Arial"/>
                <w:sz w:val="20"/>
                <w:szCs w:val="20"/>
              </w:rPr>
              <w:t>2013</w:t>
            </w:r>
          </w:p>
        </w:tc>
        <w:tc>
          <w:tcPr>
            <w:tcW w:w="723"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Meeting report</w:t>
            </w:r>
          </w:p>
        </w:tc>
        <w:tc>
          <w:tcPr>
            <w:tcW w:w="1107"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WHO 5th World Symposium on Pulmonary Hypertension in Nice, France (2013), working group on diagnosis and assessment</w:t>
            </w:r>
          </w:p>
        </w:tc>
        <w:tc>
          <w:tcPr>
            <w:tcW w:w="2204" w:type="pct"/>
          </w:tcPr>
          <w:p w:rsidR="00CE28F2" w:rsidRPr="00F41286" w:rsidRDefault="00CE28F2" w:rsidP="000D69DF">
            <w:pPr>
              <w:ind w:left="141"/>
              <w:jc w:val="left"/>
              <w:rPr>
                <w:rFonts w:ascii="Arial" w:hAnsi="Arial" w:cs="Arial"/>
                <w:sz w:val="20"/>
                <w:szCs w:val="20"/>
              </w:rPr>
            </w:pPr>
            <w:r w:rsidRPr="00F41286">
              <w:rPr>
                <w:rFonts w:ascii="Arial" w:hAnsi="Arial" w:cs="Arial"/>
                <w:sz w:val="20"/>
                <w:szCs w:val="20"/>
              </w:rPr>
              <w:t>Definitions and Diagnosis of Pulmonary Hypertension</w:t>
            </w:r>
          </w:p>
          <w:p w:rsidR="00CE28F2" w:rsidRPr="00F41286" w:rsidRDefault="00CE28F2" w:rsidP="000D69DF">
            <w:pPr>
              <w:ind w:left="141"/>
              <w:jc w:val="left"/>
              <w:rPr>
                <w:rFonts w:ascii="Arial" w:hAnsi="Arial" w:cs="Arial"/>
                <w:sz w:val="20"/>
                <w:szCs w:val="20"/>
              </w:rPr>
            </w:pPr>
            <w:r w:rsidRPr="00F41286">
              <w:rPr>
                <w:rFonts w:ascii="Arial" w:hAnsi="Arial" w:cs="Arial"/>
                <w:sz w:val="20"/>
                <w:szCs w:val="20"/>
              </w:rPr>
              <w:t>(Discussions and recommendations from the working group on diagnosis and assessment at the 5th World Symposium on Pulmonary Hypertension (WSPH) in Nice, France (2013))</w:t>
            </w:r>
            <w:r w:rsidR="009C556B" w:rsidRPr="009C556B">
              <w:rPr>
                <w:rFonts w:ascii="Arial" w:hAnsi="Arial" w:cs="Arial"/>
                <w:i/>
                <w:noProof/>
                <w:sz w:val="20"/>
                <w:szCs w:val="20"/>
                <w:vertAlign w:val="superscript"/>
              </w:rPr>
              <w:t>24</w:t>
            </w:r>
          </w:p>
          <w:p w:rsidR="00CE28F2" w:rsidRPr="00F41286" w:rsidRDefault="00CE28F2" w:rsidP="000D69DF">
            <w:pPr>
              <w:ind w:left="141"/>
              <w:jc w:val="left"/>
              <w:rPr>
                <w:rFonts w:ascii="Arial" w:hAnsi="Arial" w:cs="Arial"/>
                <w:i/>
                <w:sz w:val="20"/>
                <w:szCs w:val="20"/>
              </w:rPr>
            </w:pPr>
            <w:r w:rsidRPr="00F41286">
              <w:rPr>
                <w:rFonts w:ascii="Arial" w:hAnsi="Arial" w:cs="Arial"/>
                <w:b/>
                <w:sz w:val="20"/>
                <w:szCs w:val="20"/>
              </w:rPr>
              <w:t xml:space="preserve">NOTE: includes no treatment recommendations – no quality assessment performed. </w:t>
            </w:r>
          </w:p>
        </w:tc>
        <w:tc>
          <w:tcPr>
            <w:tcW w:w="662" w:type="pct"/>
          </w:tcPr>
          <w:p w:rsidR="00CE28F2" w:rsidRPr="00CE28F2" w:rsidRDefault="00CE28F2" w:rsidP="000D69DF">
            <w:pPr>
              <w:ind w:left="142"/>
              <w:jc w:val="left"/>
              <w:rPr>
                <w:rFonts w:ascii="Cambria" w:hAnsi="Cambria"/>
              </w:rPr>
            </w:pPr>
            <w:r w:rsidRPr="00CE28F2">
              <w:rPr>
                <w:rFonts w:ascii="Cambria" w:hAnsi="Cambria"/>
              </w:rPr>
              <w:t>N/A</w:t>
            </w:r>
          </w:p>
        </w:tc>
      </w:tr>
      <w:tr w:rsidR="00121658" w:rsidRPr="00CE28F2" w:rsidTr="00001BDA">
        <w:tc>
          <w:tcPr>
            <w:tcW w:w="305" w:type="pct"/>
          </w:tcPr>
          <w:p w:rsidR="00CE28F2" w:rsidRPr="00F41286" w:rsidRDefault="00CE28F2" w:rsidP="00001BDA">
            <w:pPr>
              <w:jc w:val="left"/>
              <w:rPr>
                <w:rFonts w:ascii="Arial" w:hAnsi="Arial" w:cs="Arial"/>
                <w:sz w:val="20"/>
                <w:szCs w:val="20"/>
              </w:rPr>
            </w:pPr>
            <w:r w:rsidRPr="00F41286">
              <w:rPr>
                <w:rFonts w:ascii="Arial" w:hAnsi="Arial" w:cs="Arial"/>
                <w:sz w:val="20"/>
                <w:szCs w:val="20"/>
              </w:rPr>
              <w:t>2009</w:t>
            </w:r>
          </w:p>
        </w:tc>
        <w:tc>
          <w:tcPr>
            <w:tcW w:w="723"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Consensus statement</w:t>
            </w:r>
          </w:p>
        </w:tc>
        <w:tc>
          <w:tcPr>
            <w:tcW w:w="1107" w:type="pct"/>
          </w:tcPr>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American College of Cardiology (ACC)</w:t>
            </w:r>
          </w:p>
          <w:p w:rsidR="00CE28F2" w:rsidRPr="00F41286" w:rsidRDefault="00CE28F2" w:rsidP="000D69DF">
            <w:pPr>
              <w:ind w:left="143"/>
              <w:jc w:val="left"/>
              <w:rPr>
                <w:rFonts w:ascii="Arial" w:hAnsi="Arial" w:cs="Arial"/>
                <w:sz w:val="20"/>
                <w:szCs w:val="20"/>
              </w:rPr>
            </w:pPr>
            <w:r w:rsidRPr="00F41286">
              <w:rPr>
                <w:rFonts w:ascii="Arial" w:hAnsi="Arial" w:cs="Arial"/>
                <w:sz w:val="20"/>
                <w:szCs w:val="20"/>
              </w:rPr>
              <w:t>American Heart Association</w:t>
            </w:r>
          </w:p>
        </w:tc>
        <w:tc>
          <w:tcPr>
            <w:tcW w:w="2204" w:type="pct"/>
          </w:tcPr>
          <w:p w:rsidR="00CE28F2" w:rsidRPr="00F41286" w:rsidRDefault="00CE28F2" w:rsidP="009C556B">
            <w:pPr>
              <w:ind w:left="141"/>
              <w:jc w:val="left"/>
              <w:rPr>
                <w:rFonts w:ascii="Arial" w:hAnsi="Arial" w:cs="Arial"/>
                <w:sz w:val="20"/>
                <w:szCs w:val="20"/>
              </w:rPr>
            </w:pPr>
            <w:r w:rsidRPr="00F41286">
              <w:rPr>
                <w:rFonts w:ascii="Arial" w:hAnsi="Arial" w:cs="Arial"/>
                <w:sz w:val="20"/>
                <w:szCs w:val="20"/>
              </w:rPr>
              <w:t>ACCF/AHA 2009 Expert Consensus Document on Pulmonary Hypertension</w:t>
            </w:r>
            <w:r w:rsidR="009C556B" w:rsidRPr="009C556B">
              <w:rPr>
                <w:rFonts w:ascii="Arial" w:hAnsi="Arial" w:cs="Arial"/>
                <w:i/>
                <w:noProof/>
                <w:sz w:val="20"/>
                <w:szCs w:val="20"/>
                <w:vertAlign w:val="superscript"/>
              </w:rPr>
              <w:t>20</w:t>
            </w:r>
          </w:p>
        </w:tc>
        <w:tc>
          <w:tcPr>
            <w:tcW w:w="662" w:type="pct"/>
          </w:tcPr>
          <w:p w:rsidR="00CE28F2" w:rsidRPr="00CE28F2" w:rsidRDefault="00CE28F2" w:rsidP="000D69DF">
            <w:pPr>
              <w:ind w:left="142"/>
              <w:jc w:val="left"/>
              <w:rPr>
                <w:rFonts w:ascii="Cambria" w:hAnsi="Cambria"/>
              </w:rPr>
            </w:pPr>
            <w:r w:rsidRPr="00CE28F2">
              <w:rPr>
                <w:rFonts w:ascii="Cambria" w:hAnsi="Cambria"/>
              </w:rPr>
              <w:t>moderate</w:t>
            </w:r>
          </w:p>
        </w:tc>
      </w:tr>
    </w:tbl>
    <w:p w:rsidR="00D32790" w:rsidRPr="00B92CC9" w:rsidRDefault="00EC60C5" w:rsidP="00121658">
      <w:pPr>
        <w:pStyle w:val="Heading2"/>
        <w:jc w:val="left"/>
      </w:pPr>
      <w:bookmarkStart w:id="138" w:name="_Toc458079744"/>
      <w:bookmarkStart w:id="139" w:name="_Ref467974856"/>
      <w:bookmarkStart w:id="140" w:name="_Toc473291072"/>
      <w:bookmarkStart w:id="141" w:name="_Toc480371875"/>
      <w:bookmarkStart w:id="142" w:name="_Toc486514223"/>
      <w:bookmarkStart w:id="143" w:name="_Toc513107599"/>
      <w:bookmarkEnd w:id="132"/>
      <w:bookmarkEnd w:id="133"/>
      <w:bookmarkEnd w:id="134"/>
      <w:r>
        <w:t xml:space="preserve">Overview </w:t>
      </w:r>
      <w:r w:rsidR="00D32790" w:rsidRPr="00B92CC9">
        <w:t>of current clinical guidance</w:t>
      </w:r>
      <w:bookmarkEnd w:id="138"/>
      <w:bookmarkEnd w:id="139"/>
      <w:bookmarkEnd w:id="140"/>
      <w:bookmarkEnd w:id="141"/>
      <w:bookmarkEnd w:id="142"/>
      <w:bookmarkEnd w:id="143"/>
    </w:p>
    <w:p w:rsidR="00D32790" w:rsidRDefault="00FA749E" w:rsidP="00121658">
      <w:pPr>
        <w:pStyle w:val="Heading3"/>
        <w:jc w:val="left"/>
      </w:pPr>
      <w:bookmarkStart w:id="144" w:name="_Toc513107600"/>
      <w:r>
        <w:t>Guidelines overview</w:t>
      </w:r>
      <w:bookmarkEnd w:id="144"/>
    </w:p>
    <w:p w:rsidR="00361FA0" w:rsidRDefault="00361FA0" w:rsidP="00F10B38">
      <w:pPr>
        <w:pStyle w:val="BodyTextnospacebefore"/>
      </w:pPr>
      <w:r>
        <w:t>PAH g</w:t>
      </w:r>
      <w:r w:rsidR="001F1180">
        <w:t>uideline recommendations are aimed at specialist physicians with substantial experience in</w:t>
      </w:r>
      <w:r>
        <w:t xml:space="preserve"> treating PH and PAH patients. T</w:t>
      </w:r>
      <w:r w:rsidR="001F1180">
        <w:t xml:space="preserve">here are </w:t>
      </w:r>
      <w:r>
        <w:t>principles recommended</w:t>
      </w:r>
      <w:r w:rsidR="001F1180">
        <w:t xml:space="preserve"> but specific details</w:t>
      </w:r>
      <w:r>
        <w:t xml:space="preserve"> are</w:t>
      </w:r>
      <w:r w:rsidR="001F1180">
        <w:t xml:space="preserve"> left to the judgement of the treating physician, and/or to be based on the clinical featu</w:t>
      </w:r>
      <w:r w:rsidR="0004690C">
        <w:t>res of the individual patient.</w:t>
      </w:r>
    </w:p>
    <w:p w:rsidR="00361FA0" w:rsidRDefault="00361FA0" w:rsidP="00F10B38">
      <w:pPr>
        <w:pStyle w:val="BodyTextnospacebefore"/>
      </w:pPr>
      <w:r>
        <w:t xml:space="preserve">Recommendations are broadly similar across the PAH subtypes, including those for children. </w:t>
      </w:r>
    </w:p>
    <w:p w:rsidR="00361FA0" w:rsidRPr="001F1180" w:rsidRDefault="00361FA0" w:rsidP="00F10B38">
      <w:pPr>
        <w:pStyle w:val="BodyTextnospacebefore"/>
      </w:pPr>
      <w:r w:rsidRPr="001F1180">
        <w:t>There were few recommendations on dosage.</w:t>
      </w:r>
    </w:p>
    <w:p w:rsidR="00361FA0" w:rsidRDefault="00361FA0" w:rsidP="00F10B38">
      <w:pPr>
        <w:pStyle w:val="BodyTextnospacebefore"/>
      </w:pPr>
      <w:r w:rsidRPr="001F1180">
        <w:t xml:space="preserve">There were </w:t>
      </w:r>
      <w:r>
        <w:t>essentially no</w:t>
      </w:r>
      <w:r w:rsidRPr="001F1180">
        <w:t xml:space="preserve"> recommendations on switching between </w:t>
      </w:r>
      <w:r w:rsidR="00F95235">
        <w:t>PAH medicines</w:t>
      </w:r>
      <w:r w:rsidR="00656A1C">
        <w:t>.</w:t>
      </w:r>
    </w:p>
    <w:p w:rsidR="00656A1C" w:rsidRDefault="00656A1C" w:rsidP="00F10B38">
      <w:pPr>
        <w:pStyle w:val="BodyTextnospacebefore"/>
        <w:rPr>
          <w:rFonts w:cstheme="minorHAnsi"/>
        </w:rPr>
      </w:pPr>
      <w:r w:rsidRPr="00656A1C">
        <w:rPr>
          <w:rFonts w:cstheme="minorHAnsi"/>
        </w:rPr>
        <w:t>Recommendations were based on class, not individual agents</w:t>
      </w:r>
      <w:r w:rsidR="000A7F7B">
        <w:rPr>
          <w:rFonts w:cstheme="minorHAnsi"/>
        </w:rPr>
        <w:t xml:space="preserve"> and made no suggestions as</w:t>
      </w:r>
      <w:r w:rsidRPr="00656A1C">
        <w:rPr>
          <w:rFonts w:cstheme="minorHAnsi"/>
        </w:rPr>
        <w:t xml:space="preserve"> to line of therapy.</w:t>
      </w:r>
    </w:p>
    <w:p w:rsidR="00361FA0" w:rsidRPr="00F53D1B" w:rsidRDefault="00361FA0" w:rsidP="00F10B38">
      <w:pPr>
        <w:pStyle w:val="BodyTextnospacebefore"/>
      </w:pPr>
      <w:r w:rsidRPr="00F53D1B">
        <w:t>Many o</w:t>
      </w:r>
      <w:r>
        <w:t xml:space="preserve">f the recommended diagnostic assessments </w:t>
      </w:r>
      <w:r w:rsidRPr="00F53D1B">
        <w:t>i</w:t>
      </w:r>
      <w:r>
        <w:t xml:space="preserve">nform differential diagnoses which have not formed part of this </w:t>
      </w:r>
      <w:r w:rsidRPr="00F53D1B">
        <w:t>review</w:t>
      </w:r>
      <w:r>
        <w:t>. T</w:t>
      </w:r>
      <w:r w:rsidRPr="00F53D1B">
        <w:t xml:space="preserve">his report focuses on tests that will have been performed for all </w:t>
      </w:r>
      <w:r>
        <w:t xml:space="preserve">patients </w:t>
      </w:r>
      <w:r w:rsidRPr="00F53D1B">
        <w:t>with a PAH diagnosis and that are necessary to manage response to treatment</w:t>
      </w:r>
      <w:r w:rsidR="0004690C">
        <w:t>.</w:t>
      </w:r>
    </w:p>
    <w:p w:rsidR="00361FA0" w:rsidRPr="00F53D1B" w:rsidRDefault="00361FA0" w:rsidP="00F10B38">
      <w:pPr>
        <w:pStyle w:val="BodyTextnospacebefore"/>
      </w:pPr>
      <w:r w:rsidRPr="00F53D1B">
        <w:t>RHC and Doppler echocardiography are two essential tests for PAH, but there is an irreducible array of other assessments that must also be considered essential to inform this diagnosis but that may vary between patients. Each prior test will inform the next assessment and the choice parameters investigated in that next test – this will depend in turn on features of the patient’s disease</w:t>
      </w:r>
      <w:r w:rsidR="0004690C">
        <w:t>.</w:t>
      </w:r>
    </w:p>
    <w:p w:rsidR="00361FA0" w:rsidRDefault="00361FA0" w:rsidP="00F10B38">
      <w:pPr>
        <w:pStyle w:val="BodyTextnospacebefore"/>
      </w:pPr>
      <w:r>
        <w:t>Some recommendations did not have specific criteria or definitions attached to them:</w:t>
      </w:r>
    </w:p>
    <w:p w:rsidR="00361FA0" w:rsidRDefault="00361FA0" w:rsidP="00921D13">
      <w:pPr>
        <w:pStyle w:val="08Bulletsseriesofsentences"/>
      </w:pPr>
      <w:r>
        <w:t xml:space="preserve">Recommendations are presented for choice and frequency of monitoring tests to follow response to treatment but there is no formal definition of what constitutes a </w:t>
      </w:r>
      <w:r w:rsidR="00946A0A">
        <w:t xml:space="preserve">response or a </w:t>
      </w:r>
      <w:r>
        <w:t>change in these parameters as multiple fac</w:t>
      </w:r>
      <w:r w:rsidR="0004690C">
        <w:t>tors are likely to be relevant.</w:t>
      </w:r>
    </w:p>
    <w:p w:rsidR="00361FA0" w:rsidRDefault="00361FA0" w:rsidP="00921D13">
      <w:pPr>
        <w:pStyle w:val="08Bulletsseriesofsentences"/>
      </w:pPr>
      <w:r>
        <w:t>There is no formal de</w:t>
      </w:r>
      <w:r w:rsidR="0004690C">
        <w:t>finition of clinical worsening.</w:t>
      </w:r>
    </w:p>
    <w:p w:rsidR="00361FA0" w:rsidRDefault="00361FA0" w:rsidP="00921D13">
      <w:pPr>
        <w:pStyle w:val="08Bulletsseriesofsentences"/>
      </w:pPr>
      <w:r>
        <w:t xml:space="preserve">Parameters for assessment of patient prognosis/risk factors </w:t>
      </w:r>
      <w:r w:rsidR="0004690C">
        <w:t>are indicative, not definitive.</w:t>
      </w:r>
    </w:p>
    <w:p w:rsidR="001D561A" w:rsidRPr="00B92CC9" w:rsidRDefault="003B625D" w:rsidP="00121658">
      <w:pPr>
        <w:pStyle w:val="Heading3"/>
        <w:jc w:val="left"/>
      </w:pPr>
      <w:bookmarkStart w:id="145" w:name="_Ref506165438"/>
      <w:bookmarkStart w:id="146" w:name="_Toc513107601"/>
      <w:bookmarkStart w:id="147" w:name="_Toc503800638"/>
      <w:bookmarkStart w:id="148" w:name="_Toc503811590"/>
      <w:bookmarkStart w:id="149" w:name="_Toc503800637"/>
      <w:bookmarkStart w:id="150" w:name="_Toc503811589"/>
      <w:bookmarkStart w:id="151" w:name="_Toc473291075"/>
      <w:bookmarkStart w:id="152" w:name="_Toc480371878"/>
      <w:bookmarkStart w:id="153" w:name="_Toc486514226"/>
      <w:r>
        <w:t>PAH t</w:t>
      </w:r>
      <w:r w:rsidR="001D561A" w:rsidRPr="00B92CC9">
        <w:t>reatment algorithm</w:t>
      </w:r>
      <w:bookmarkEnd w:id="145"/>
      <w:bookmarkEnd w:id="146"/>
    </w:p>
    <w:p w:rsidR="00F1363D" w:rsidRPr="00F10B38" w:rsidRDefault="001D561A" w:rsidP="00F10B38">
      <w:pPr>
        <w:pStyle w:val="BodyTextnospacebefore"/>
        <w:rPr>
          <w:i/>
        </w:rPr>
      </w:pPr>
      <w:r w:rsidRPr="00CF3FEC">
        <w:t xml:space="preserve">The guideline recommendations are summarised as pharmacotherapy </w:t>
      </w:r>
      <w:r w:rsidR="00044526">
        <w:t>pathways</w:t>
      </w:r>
      <w:r w:rsidRPr="00CF3FEC">
        <w:t xml:space="preserve"> for </w:t>
      </w:r>
      <w:r w:rsidR="00F1363D">
        <w:t>patient</w:t>
      </w:r>
      <w:r w:rsidR="00F64A90">
        <w:t>s receiving monotherapy</w:t>
      </w:r>
      <w:r w:rsidRPr="00CF3FEC">
        <w:t xml:space="preserve"> in </w:t>
      </w:r>
      <w:r w:rsidR="00D63371">
        <w:t>Table 1.5</w:t>
      </w:r>
      <w:r w:rsidR="00D63371" w:rsidRPr="00250EDE">
        <w:t xml:space="preserve"> </w:t>
      </w:r>
      <w:r w:rsidR="00D63371">
        <w:tab/>
        <w:t>PAH pharmacotherapy – patient groups receiving monotherapy</w:t>
      </w:r>
      <w:r w:rsidR="002B29A8">
        <w:t xml:space="preserve"> </w:t>
      </w:r>
      <w:r w:rsidRPr="00CF3FEC">
        <w:t xml:space="preserve">and </w:t>
      </w:r>
      <w:r w:rsidR="00F64A90">
        <w:t>those receiving combination or add-on treatment</w:t>
      </w:r>
      <w:r w:rsidRPr="00CF3FEC">
        <w:t xml:space="preserve"> in </w:t>
      </w:r>
      <w:r w:rsidR="00D63371">
        <w:t>Table 1.6</w:t>
      </w:r>
      <w:r w:rsidR="00D63371" w:rsidRPr="00250EDE">
        <w:t xml:space="preserve"> </w:t>
      </w:r>
      <w:r w:rsidR="00D63371">
        <w:tab/>
        <w:t>PAH pharmacotherapy – patient groups receiving combination therapy</w:t>
      </w:r>
      <w:r w:rsidR="00403819">
        <w:t xml:space="preserve"> </w:t>
      </w:r>
      <w:r w:rsidR="00F1363D" w:rsidRPr="00F10B38">
        <w:rPr>
          <w:i/>
        </w:rPr>
        <w:t xml:space="preserve">Note: </w:t>
      </w:r>
      <w:r w:rsidR="00403819" w:rsidRPr="00F10B38">
        <w:rPr>
          <w:i/>
        </w:rPr>
        <w:t xml:space="preserve">The split between these two </w:t>
      </w:r>
      <w:r w:rsidR="00F1363D" w:rsidRPr="00F10B38">
        <w:rPr>
          <w:i/>
        </w:rPr>
        <w:t>types of treatment</w:t>
      </w:r>
      <w:r w:rsidR="00403819" w:rsidRPr="00F10B38">
        <w:rPr>
          <w:i/>
        </w:rPr>
        <w:t xml:space="preserve"> has been made </w:t>
      </w:r>
      <w:r w:rsidR="00F1363D" w:rsidRPr="00F10B38">
        <w:rPr>
          <w:i/>
        </w:rPr>
        <w:t xml:space="preserve">for reasons of space, </w:t>
      </w:r>
      <w:r w:rsidR="00403819" w:rsidRPr="00F10B38">
        <w:rPr>
          <w:i/>
        </w:rPr>
        <w:t>to illustrate the options for treatment</w:t>
      </w:r>
      <w:r w:rsidR="00F1363D" w:rsidRPr="00F10B38">
        <w:rPr>
          <w:i/>
        </w:rPr>
        <w:t>, but should not be taken as a suggestion that there are two obviously different groups of patients.</w:t>
      </w:r>
    </w:p>
    <w:p w:rsidR="00826896" w:rsidRPr="00F10B38" w:rsidRDefault="00826896" w:rsidP="00F10B38">
      <w:pPr>
        <w:pStyle w:val="BodyTextnospacebefore"/>
        <w:rPr>
          <w:i/>
        </w:rPr>
      </w:pPr>
      <w:r w:rsidRPr="00F10B38">
        <w:rPr>
          <w:i/>
        </w:rPr>
        <w:t xml:space="preserve">Steps are omitted that would appear in a true treatment algorithm such as diagnostics and monitoring; pulmonary rehabilitation; anticoagulants and supplemental oxygen, and others. This focuses on the current recommendations for PAH </w:t>
      </w:r>
      <w:r w:rsidR="00517C17" w:rsidRPr="00F10B38">
        <w:rPr>
          <w:i/>
        </w:rPr>
        <w:t>medicine</w:t>
      </w:r>
      <w:r w:rsidR="0004690C">
        <w:rPr>
          <w:i/>
        </w:rPr>
        <w:t xml:space="preserve"> choices.</w:t>
      </w:r>
    </w:p>
    <w:p w:rsidR="006A4A5D" w:rsidRPr="009C074C" w:rsidRDefault="00A32AF0" w:rsidP="009C074C">
      <w:pPr>
        <w:jc w:val="left"/>
        <w:rPr>
          <w:rFonts w:asciiTheme="minorHAnsi" w:hAnsiTheme="minorHAnsi"/>
        </w:rPr>
      </w:pPr>
      <w:r w:rsidRPr="009C074C">
        <w:rPr>
          <w:rFonts w:asciiTheme="minorHAnsi" w:hAnsiTheme="minorHAnsi"/>
        </w:rPr>
        <w:t>The individual</w:t>
      </w:r>
      <w:r w:rsidR="001D561A" w:rsidRPr="009C074C">
        <w:rPr>
          <w:rFonts w:asciiTheme="minorHAnsi" w:hAnsiTheme="minorHAnsi"/>
        </w:rPr>
        <w:t xml:space="preserve"> pathway</w:t>
      </w:r>
      <w:r w:rsidR="00F04B81" w:rsidRPr="009C074C">
        <w:rPr>
          <w:rFonts w:asciiTheme="minorHAnsi" w:hAnsiTheme="minorHAnsi"/>
        </w:rPr>
        <w:t>s</w:t>
      </w:r>
      <w:r w:rsidR="001D561A" w:rsidRPr="009C074C">
        <w:rPr>
          <w:rFonts w:asciiTheme="minorHAnsi" w:hAnsiTheme="minorHAnsi"/>
        </w:rPr>
        <w:t xml:space="preserve"> are based primarily on the CHEST guideline</w:t>
      </w:r>
      <w:r w:rsidR="009C556B" w:rsidRPr="009C556B">
        <w:rPr>
          <w:rFonts w:asciiTheme="minorHAnsi" w:hAnsiTheme="minorHAnsi"/>
          <w:noProof/>
          <w:vertAlign w:val="superscript"/>
        </w:rPr>
        <w:t>19</w:t>
      </w:r>
      <w:r w:rsidR="001D561A" w:rsidRPr="009C074C">
        <w:rPr>
          <w:rFonts w:asciiTheme="minorHAnsi" w:hAnsiTheme="minorHAnsi"/>
        </w:rPr>
        <w:t xml:space="preserve"> which provided the best coverage or options for patients in the different risk categories</w:t>
      </w:r>
      <w:r w:rsidR="00496849" w:rsidRPr="009C074C">
        <w:rPr>
          <w:rFonts w:asciiTheme="minorHAnsi" w:hAnsiTheme="minorHAnsi"/>
        </w:rPr>
        <w:t xml:space="preserve">. </w:t>
      </w:r>
      <w:r w:rsidR="00F1363D" w:rsidRPr="009C074C">
        <w:rPr>
          <w:rFonts w:asciiTheme="minorHAnsi" w:hAnsiTheme="minorHAnsi"/>
        </w:rPr>
        <w:t>The overall patient flow follows</w:t>
      </w:r>
      <w:r w:rsidR="001D561A" w:rsidRPr="009C074C">
        <w:rPr>
          <w:rFonts w:asciiTheme="minorHAnsi" w:hAnsiTheme="minorHAnsi"/>
        </w:rPr>
        <w:t xml:space="preserve"> the </w:t>
      </w:r>
      <w:r w:rsidR="00F1363D" w:rsidRPr="009C074C">
        <w:rPr>
          <w:rFonts w:asciiTheme="minorHAnsi" w:hAnsiTheme="minorHAnsi"/>
        </w:rPr>
        <w:t xml:space="preserve">algorithm presented in </w:t>
      </w:r>
      <w:r w:rsidR="001D561A" w:rsidRPr="009C074C">
        <w:rPr>
          <w:rFonts w:asciiTheme="minorHAnsi" w:hAnsiTheme="minorHAnsi"/>
        </w:rPr>
        <w:t>ESC/ERS guidel</w:t>
      </w:r>
      <w:r w:rsidR="00D80D09" w:rsidRPr="009C074C">
        <w:rPr>
          <w:rFonts w:asciiTheme="minorHAnsi" w:hAnsiTheme="minorHAnsi"/>
        </w:rPr>
        <w:t>ine</w:t>
      </w:r>
      <w:r w:rsidR="009C556B" w:rsidRPr="009C074C">
        <w:rPr>
          <w:rFonts w:asciiTheme="minorHAnsi" w:hAnsiTheme="minorHAnsi"/>
          <w:noProof/>
          <w:vertAlign w:val="superscript"/>
        </w:rPr>
        <w:t>8</w:t>
      </w:r>
      <w:r w:rsidR="001D561A" w:rsidRPr="009C074C">
        <w:rPr>
          <w:rFonts w:asciiTheme="minorHAnsi" w:hAnsiTheme="minorHAnsi"/>
        </w:rPr>
        <w:t>.</w:t>
      </w:r>
    </w:p>
    <w:p w:rsidR="00D80D09" w:rsidRPr="009C074C" w:rsidRDefault="000A7F7B" w:rsidP="009C074C">
      <w:pPr>
        <w:jc w:val="left"/>
        <w:rPr>
          <w:rFonts w:asciiTheme="minorHAnsi" w:hAnsiTheme="minorHAnsi"/>
        </w:rPr>
      </w:pPr>
      <w:r w:rsidRPr="009C074C">
        <w:rPr>
          <w:rFonts w:asciiTheme="minorHAnsi" w:hAnsiTheme="minorHAnsi"/>
        </w:rPr>
        <w:t xml:space="preserve">These treatment pathways follow the logic of the published algorithms (below) in that patients are triaged according to PAH subtype, risk features and WHO FC status. </w:t>
      </w:r>
      <w:r w:rsidR="00044526" w:rsidRPr="009C074C">
        <w:rPr>
          <w:rFonts w:asciiTheme="minorHAnsi" w:hAnsiTheme="minorHAnsi"/>
        </w:rPr>
        <w:t>The specific recommendations from the CHEST guideline</w:t>
      </w:r>
      <w:r w:rsidR="009C556B" w:rsidRPr="009C556B">
        <w:rPr>
          <w:rFonts w:asciiTheme="minorHAnsi" w:hAnsiTheme="minorHAnsi"/>
          <w:noProof/>
          <w:vertAlign w:val="superscript"/>
        </w:rPr>
        <w:t>19</w:t>
      </w:r>
      <w:r w:rsidR="00044526" w:rsidRPr="009C074C">
        <w:rPr>
          <w:rFonts w:asciiTheme="minorHAnsi" w:hAnsiTheme="minorHAnsi"/>
        </w:rPr>
        <w:t xml:space="preserve"> and the ESC/ERS guideline</w:t>
      </w:r>
      <w:r w:rsidR="009C556B" w:rsidRPr="009C074C">
        <w:rPr>
          <w:rFonts w:asciiTheme="minorHAnsi" w:hAnsiTheme="minorHAnsi"/>
          <w:noProof/>
          <w:vertAlign w:val="superscript"/>
        </w:rPr>
        <w:t>8</w:t>
      </w:r>
      <w:r w:rsidR="00044526" w:rsidRPr="009C074C">
        <w:rPr>
          <w:rFonts w:asciiTheme="minorHAnsi" w:hAnsiTheme="minorHAnsi"/>
        </w:rPr>
        <w:t xml:space="preserve"> are summarised in </w:t>
      </w:r>
      <w:r w:rsidR="00D63371" w:rsidRPr="00D63371">
        <w:rPr>
          <w:rFonts w:asciiTheme="minorHAnsi" w:hAnsiTheme="minorHAnsi"/>
        </w:rPr>
        <w:t>Table 1.7</w:t>
      </w:r>
      <w:r w:rsidR="00D63371" w:rsidRPr="00250EDE">
        <w:t xml:space="preserve"> </w:t>
      </w:r>
      <w:r w:rsidR="00D63371">
        <w:tab/>
        <w:t>Guideline recommendations supporting the therapy pathways</w:t>
      </w:r>
      <w:r w:rsidR="00044526" w:rsidRPr="009C074C">
        <w:rPr>
          <w:rFonts w:asciiTheme="minorHAnsi" w:hAnsiTheme="minorHAnsi"/>
        </w:rPr>
        <w:t xml:space="preserve"> and </w:t>
      </w:r>
      <w:r w:rsidR="00D63371" w:rsidRPr="00D63371">
        <w:rPr>
          <w:rFonts w:asciiTheme="minorHAnsi" w:hAnsiTheme="minorHAnsi"/>
        </w:rPr>
        <w:t>Table 1.8</w:t>
      </w:r>
      <w:r w:rsidR="00D63371" w:rsidRPr="00250EDE">
        <w:t xml:space="preserve"> </w:t>
      </w:r>
      <w:r w:rsidR="00D63371">
        <w:tab/>
        <w:t>Guideline recommendations regarding high dose CCBs</w:t>
      </w:r>
      <w:r w:rsidR="003C17FA" w:rsidRPr="009C074C">
        <w:rPr>
          <w:rFonts w:asciiTheme="minorHAnsi" w:hAnsiTheme="minorHAnsi"/>
        </w:rPr>
        <w:t xml:space="preserve">. </w:t>
      </w:r>
      <w:r w:rsidR="006F15E9" w:rsidRPr="009C074C">
        <w:rPr>
          <w:rFonts w:asciiTheme="minorHAnsi" w:hAnsiTheme="minorHAnsi"/>
        </w:rPr>
        <w:t>A key difference between these two documents is that the ESC/ERS recommendations suggest either initial monotherapy or initial oral combination therapy in patients with WHO FC II-III. The CHEST Guideline instead suggests</w:t>
      </w:r>
      <w:r w:rsidR="00F13710" w:rsidRPr="009C074C">
        <w:rPr>
          <w:rFonts w:asciiTheme="minorHAnsi" w:hAnsiTheme="minorHAnsi"/>
        </w:rPr>
        <w:t xml:space="preserve"> reserving initial combination treatment for those patie</w:t>
      </w:r>
      <w:r w:rsidR="001266C7" w:rsidRPr="009C074C">
        <w:rPr>
          <w:rFonts w:asciiTheme="minorHAnsi" w:hAnsiTheme="minorHAnsi"/>
        </w:rPr>
        <w:t xml:space="preserve">nts with higher risk features. </w:t>
      </w:r>
      <w:r w:rsidR="00F13710" w:rsidRPr="009C074C">
        <w:rPr>
          <w:rFonts w:asciiTheme="minorHAnsi" w:hAnsiTheme="minorHAnsi"/>
        </w:rPr>
        <w:t>The latter, more conservative approach is reflected here, noting that patients with inadequate response to monotherapy on follow-up are recommended to receive an additional agent according to both guidelines.</w:t>
      </w:r>
    </w:p>
    <w:p w:rsidR="001D561A" w:rsidRPr="009C074C" w:rsidRDefault="001D561A" w:rsidP="009C074C">
      <w:pPr>
        <w:jc w:val="left"/>
        <w:rPr>
          <w:rFonts w:asciiTheme="minorHAnsi" w:eastAsiaTheme="minorEastAsia" w:hAnsiTheme="minorHAnsi" w:cstheme="majorBidi"/>
          <w:b/>
          <w:bCs/>
          <w:i/>
          <w:sz w:val="28"/>
        </w:rPr>
        <w:sectPr w:rsidR="001D561A" w:rsidRPr="009C074C" w:rsidSect="00CF3FEC">
          <w:footnotePr>
            <w:numFmt w:val="chicago"/>
          </w:footnotePr>
          <w:pgSz w:w="11906" w:h="16838"/>
          <w:pgMar w:top="1440" w:right="1440" w:bottom="1440" w:left="1440" w:header="708" w:footer="708" w:gutter="0"/>
          <w:cols w:space="708"/>
          <w:titlePg/>
          <w:docGrid w:linePitch="360"/>
        </w:sectPr>
      </w:pPr>
    </w:p>
    <w:p w:rsidR="001D561A" w:rsidRDefault="00250EDE" w:rsidP="00250EDE">
      <w:pPr>
        <w:pStyle w:val="Caption"/>
        <w:jc w:val="left"/>
      </w:pPr>
      <w:bookmarkStart w:id="154" w:name="_Ref510798058"/>
      <w:bookmarkStart w:id="155" w:name="_Ref508896209"/>
      <w:bookmarkStart w:id="156" w:name="_Toc513107631"/>
      <w:r>
        <w:t>Table 1.</w:t>
      </w:r>
      <w:r w:rsidR="00D63371">
        <w:rPr>
          <w:noProof/>
        </w:rPr>
        <w:t>5</w:t>
      </w:r>
      <w:bookmarkEnd w:id="154"/>
      <w:r w:rsidRPr="00250EDE">
        <w:t xml:space="preserve"> </w:t>
      </w:r>
      <w:r>
        <w:tab/>
        <w:t>PAH pharmacotherapy – patient groups receiving monotherapy</w:t>
      </w:r>
      <w:bookmarkEnd w:id="155"/>
      <w:bookmarkEnd w:id="156"/>
    </w:p>
    <w:tbl>
      <w:tblPr>
        <w:tblStyle w:val="TableGrid"/>
        <w:tblW w:w="50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AH pharmacotherapy – patient groups receiving monotherapy"/>
      </w:tblPr>
      <w:tblGrid>
        <w:gridCol w:w="1503"/>
        <w:gridCol w:w="279"/>
        <w:gridCol w:w="1536"/>
        <w:gridCol w:w="278"/>
        <w:gridCol w:w="1536"/>
        <w:gridCol w:w="256"/>
        <w:gridCol w:w="1423"/>
        <w:gridCol w:w="278"/>
        <w:gridCol w:w="1536"/>
        <w:gridCol w:w="278"/>
        <w:gridCol w:w="1536"/>
        <w:gridCol w:w="278"/>
        <w:gridCol w:w="1536"/>
        <w:gridCol w:w="278"/>
        <w:gridCol w:w="1533"/>
      </w:tblGrid>
      <w:tr w:rsidR="001D561A" w:rsidRPr="00CF3FEC" w:rsidTr="00103864">
        <w:trPr>
          <w:cnfStyle w:val="100000000000" w:firstRow="1" w:lastRow="0" w:firstColumn="0" w:lastColumn="0" w:oddVBand="0" w:evenVBand="0" w:oddHBand="0" w:evenHBand="0" w:firstRowFirstColumn="0" w:firstRowLastColumn="0" w:lastRowFirstColumn="0" w:lastRowLastColumn="0"/>
        </w:trPr>
        <w:tc>
          <w:tcPr>
            <w:tcW w:w="534" w:type="pct"/>
            <w:shd w:val="clear" w:color="auto" w:fill="FFFFFF" w:themeFill="background1"/>
            <w:vAlign w:val="center"/>
          </w:tcPr>
          <w:p w:rsidR="001D561A" w:rsidRPr="00CF3FEC" w:rsidRDefault="001D561A" w:rsidP="00121658">
            <w:pPr>
              <w:spacing w:before="0" w:line="240" w:lineRule="auto"/>
              <w:jc w:val="left"/>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vAlign w:val="center"/>
          </w:tcPr>
          <w:p w:rsidR="001D561A" w:rsidRPr="00CF3FEC" w:rsidRDefault="001D561A" w:rsidP="00121658">
            <w:pPr>
              <w:spacing w:before="0" w:line="240" w:lineRule="auto"/>
              <w:jc w:val="left"/>
              <w:rPr>
                <w:sz w:val="20"/>
                <w:szCs w:val="20"/>
              </w:rPr>
            </w:pPr>
          </w:p>
        </w:tc>
        <w:tc>
          <w:tcPr>
            <w:tcW w:w="546" w:type="pct"/>
            <w:shd w:val="clear" w:color="auto" w:fill="FFFFFF" w:themeFill="background1"/>
            <w:vAlign w:val="center"/>
          </w:tcPr>
          <w:p w:rsidR="001D561A" w:rsidRPr="00CF3FEC" w:rsidRDefault="001D561A" w:rsidP="00121658">
            <w:pPr>
              <w:spacing w:before="0" w:line="240" w:lineRule="auto"/>
              <w:jc w:val="left"/>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vAlign w:val="center"/>
          </w:tcPr>
          <w:p w:rsidR="001D561A" w:rsidRPr="00CF3FEC" w:rsidRDefault="001D561A" w:rsidP="00121658">
            <w:pPr>
              <w:spacing w:before="0" w:line="240" w:lineRule="auto"/>
              <w:jc w:val="left"/>
              <w:rPr>
                <w:sz w:val="20"/>
                <w:szCs w:val="20"/>
              </w:rPr>
            </w:pPr>
          </w:p>
        </w:tc>
        <w:tc>
          <w:tcPr>
            <w:tcW w:w="546" w:type="pct"/>
            <w:shd w:val="clear" w:color="auto" w:fill="FFFFFF" w:themeFill="background1"/>
            <w:vAlign w:val="center"/>
          </w:tcPr>
          <w:p w:rsidR="001D561A" w:rsidRPr="00CF3FEC" w:rsidRDefault="001D561A" w:rsidP="00121658">
            <w:pPr>
              <w:spacing w:before="0" w:line="240" w:lineRule="auto"/>
              <w:jc w:val="left"/>
              <w:rPr>
                <w:b/>
                <w:color w:val="4F81BD" w:themeColor="accent1"/>
                <w:sz w:val="20"/>
                <w:szCs w:val="20"/>
              </w:rPr>
            </w:pPr>
            <w:r w:rsidRPr="00CF3FEC">
              <w:rPr>
                <w:b/>
                <w:color w:val="4F81BD" w:themeColor="accent1"/>
                <w:sz w:val="20"/>
                <w:szCs w:val="20"/>
              </w:rPr>
              <w:t>Treatment naive</w:t>
            </w:r>
          </w:p>
        </w:tc>
        <w:tc>
          <w:tcPr>
            <w:tcW w:w="91" w:type="pct"/>
            <w:shd w:val="clear" w:color="auto" w:fill="FFFFFF" w:themeFill="background1"/>
            <w:vAlign w:val="center"/>
          </w:tcPr>
          <w:p w:rsidR="001D561A" w:rsidRPr="00CF3FEC" w:rsidRDefault="001D561A" w:rsidP="00121658">
            <w:pPr>
              <w:spacing w:before="0" w:line="240" w:lineRule="auto"/>
              <w:jc w:val="left"/>
              <w:rPr>
                <w:sz w:val="20"/>
                <w:szCs w:val="20"/>
              </w:rPr>
            </w:pPr>
          </w:p>
        </w:tc>
        <w:tc>
          <w:tcPr>
            <w:tcW w:w="506" w:type="pct"/>
            <w:shd w:val="clear" w:color="auto" w:fill="FFFFFF" w:themeFill="background1"/>
            <w:vAlign w:val="center"/>
          </w:tcPr>
          <w:p w:rsidR="001D561A" w:rsidRPr="00CF3FEC" w:rsidRDefault="001D561A" w:rsidP="00121658">
            <w:pPr>
              <w:spacing w:before="0" w:line="240" w:lineRule="auto"/>
              <w:jc w:val="left"/>
              <w:rPr>
                <w:sz w:val="20"/>
                <w:szCs w:val="20"/>
              </w:rPr>
            </w:pPr>
          </w:p>
        </w:tc>
        <w:tc>
          <w:tcPr>
            <w:tcW w:w="99" w:type="pct"/>
            <w:shd w:val="clear" w:color="auto" w:fill="FFFFFF" w:themeFill="background1"/>
            <w:vAlign w:val="center"/>
          </w:tcPr>
          <w:p w:rsidR="001D561A" w:rsidRPr="00CF3FEC" w:rsidRDefault="001D561A" w:rsidP="00121658">
            <w:pPr>
              <w:spacing w:before="0" w:line="240" w:lineRule="auto"/>
              <w:jc w:val="left"/>
              <w:rPr>
                <w:sz w:val="20"/>
                <w:szCs w:val="20"/>
              </w:rPr>
            </w:pPr>
          </w:p>
        </w:tc>
        <w:tc>
          <w:tcPr>
            <w:tcW w:w="546" w:type="pct"/>
            <w:shd w:val="clear" w:color="auto" w:fill="FFFFFF" w:themeFill="background1"/>
            <w:vAlign w:val="center"/>
          </w:tcPr>
          <w:p w:rsidR="001D561A" w:rsidRPr="00CF3FEC" w:rsidRDefault="001D561A" w:rsidP="00121658">
            <w:pPr>
              <w:spacing w:before="0" w:line="240" w:lineRule="auto"/>
              <w:jc w:val="left"/>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vAlign w:val="center"/>
          </w:tcPr>
          <w:p w:rsidR="001D561A" w:rsidRPr="00CF3FEC" w:rsidRDefault="001D561A" w:rsidP="00121658">
            <w:pPr>
              <w:spacing w:before="0" w:line="240" w:lineRule="auto"/>
              <w:jc w:val="left"/>
              <w:rPr>
                <w:sz w:val="20"/>
                <w:szCs w:val="20"/>
              </w:rPr>
            </w:pPr>
          </w:p>
        </w:tc>
        <w:tc>
          <w:tcPr>
            <w:tcW w:w="546" w:type="pct"/>
            <w:shd w:val="clear" w:color="auto" w:fill="FFFFFF" w:themeFill="background1"/>
            <w:vAlign w:val="center"/>
          </w:tcPr>
          <w:p w:rsidR="001D561A" w:rsidRPr="00CF3FEC" w:rsidRDefault="001D561A" w:rsidP="00121658">
            <w:pPr>
              <w:spacing w:before="0" w:line="240" w:lineRule="auto"/>
              <w:jc w:val="left"/>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tcPr>
          <w:p w:rsidR="001D561A" w:rsidRPr="00CF3FEC" w:rsidRDefault="001D561A" w:rsidP="00121658">
            <w:pPr>
              <w:spacing w:before="0" w:line="240" w:lineRule="auto"/>
              <w:jc w:val="left"/>
              <w:rPr>
                <w:sz w:val="20"/>
                <w:szCs w:val="20"/>
              </w:rPr>
            </w:pPr>
          </w:p>
        </w:tc>
        <w:tc>
          <w:tcPr>
            <w:tcW w:w="546" w:type="pct"/>
            <w:shd w:val="clear" w:color="auto" w:fill="FFFFFF" w:themeFill="background1"/>
            <w:vAlign w:val="center"/>
          </w:tcPr>
          <w:p w:rsidR="001D561A" w:rsidRPr="00CF3FEC" w:rsidRDefault="001D561A" w:rsidP="00121658">
            <w:pPr>
              <w:spacing w:before="0" w:line="240" w:lineRule="auto"/>
              <w:jc w:val="left"/>
              <w:rPr>
                <w:b/>
                <w:color w:val="4F81BD" w:themeColor="accent1"/>
                <w:sz w:val="20"/>
                <w:szCs w:val="20"/>
              </w:rPr>
            </w:pPr>
            <w:r w:rsidRPr="00CF3FEC">
              <w:rPr>
                <w:b/>
                <w:color w:val="4F81BD" w:themeColor="accent1"/>
                <w:sz w:val="20"/>
                <w:szCs w:val="20"/>
              </w:rPr>
              <w:t>Treatment naive</w:t>
            </w:r>
          </w:p>
        </w:tc>
        <w:tc>
          <w:tcPr>
            <w:tcW w:w="99" w:type="pct"/>
            <w:shd w:val="clear" w:color="auto" w:fill="FFFFFF" w:themeFill="background1"/>
          </w:tcPr>
          <w:p w:rsidR="001D561A" w:rsidRPr="00CF3FEC" w:rsidRDefault="001D561A" w:rsidP="00121658">
            <w:pPr>
              <w:spacing w:before="0" w:line="240" w:lineRule="auto"/>
              <w:jc w:val="left"/>
              <w:rPr>
                <w:sz w:val="20"/>
                <w:szCs w:val="20"/>
              </w:rPr>
            </w:pPr>
          </w:p>
        </w:tc>
        <w:tc>
          <w:tcPr>
            <w:tcW w:w="545" w:type="pct"/>
            <w:shd w:val="clear" w:color="auto" w:fill="FFFFFF" w:themeFill="background1"/>
            <w:vAlign w:val="center"/>
          </w:tcPr>
          <w:p w:rsidR="001D561A" w:rsidRPr="00CF3FEC" w:rsidRDefault="001D561A" w:rsidP="00121658">
            <w:pPr>
              <w:spacing w:before="0" w:line="240" w:lineRule="auto"/>
              <w:jc w:val="left"/>
              <w:rPr>
                <w:b/>
                <w:color w:val="4F81BD" w:themeColor="accent1"/>
                <w:sz w:val="20"/>
                <w:szCs w:val="20"/>
              </w:rPr>
            </w:pPr>
            <w:r w:rsidRPr="00CF3FEC">
              <w:rPr>
                <w:b/>
                <w:color w:val="4F81BD" w:themeColor="accent1"/>
                <w:sz w:val="20"/>
                <w:szCs w:val="20"/>
              </w:rPr>
              <w:t>Treatment naive</w:t>
            </w:r>
          </w:p>
        </w:tc>
      </w:tr>
      <w:tr w:rsidR="001D561A" w:rsidRPr="00CF3FEC" w:rsidTr="002575FC">
        <w:tc>
          <w:tcPr>
            <w:tcW w:w="534" w:type="pct"/>
            <w:tcBorders>
              <w:top w:val="single" w:sz="24" w:space="0" w:color="92D050"/>
              <w:left w:val="single" w:sz="24" w:space="0" w:color="92D050"/>
              <w:bottom w:val="single" w:sz="24" w:space="0" w:color="92D050"/>
              <w:right w:val="single" w:sz="24" w:space="0" w:color="92D050"/>
            </w:tcBorders>
            <w:vAlign w:val="center"/>
          </w:tcPr>
          <w:p w:rsidR="001D561A" w:rsidRPr="00CF3FEC" w:rsidRDefault="001D561A" w:rsidP="00121658">
            <w:pPr>
              <w:spacing w:before="0" w:line="240" w:lineRule="auto"/>
              <w:jc w:val="left"/>
              <w:rPr>
                <w:sz w:val="20"/>
                <w:szCs w:val="20"/>
              </w:rPr>
            </w:pPr>
            <w:r w:rsidRPr="00CF3FEC">
              <w:rPr>
                <w:sz w:val="20"/>
                <w:szCs w:val="20"/>
              </w:rPr>
              <w:t>WHO FC I</w:t>
            </w:r>
          </w:p>
        </w:tc>
        <w:tc>
          <w:tcPr>
            <w:tcW w:w="99" w:type="pct"/>
            <w:tcBorders>
              <w:left w:val="single" w:sz="24" w:space="0" w:color="92D050"/>
              <w:right w:val="single" w:sz="24" w:space="0" w:color="FFFF00"/>
            </w:tcBorders>
            <w:vAlign w:val="center"/>
          </w:tcPr>
          <w:p w:rsidR="001D561A" w:rsidRPr="00CF3FEC" w:rsidRDefault="001D561A" w:rsidP="00121658">
            <w:pPr>
              <w:spacing w:before="0" w:line="240" w:lineRule="auto"/>
              <w:jc w:val="left"/>
              <w:rPr>
                <w:sz w:val="20"/>
                <w:szCs w:val="20"/>
              </w:rPr>
            </w:pPr>
          </w:p>
        </w:tc>
        <w:tc>
          <w:tcPr>
            <w:tcW w:w="546" w:type="pct"/>
            <w:tcBorders>
              <w:top w:val="single" w:sz="24" w:space="0" w:color="FFFF00"/>
              <w:left w:val="single" w:sz="24" w:space="0" w:color="FFFF00"/>
              <w:bottom w:val="single" w:sz="24" w:space="0" w:color="FFFF00"/>
              <w:right w:val="single" w:sz="24" w:space="0" w:color="FFFF00"/>
            </w:tcBorders>
            <w:vAlign w:val="center"/>
          </w:tcPr>
          <w:p w:rsidR="001D561A" w:rsidRPr="00CF3FEC" w:rsidRDefault="001D561A" w:rsidP="00121658">
            <w:pPr>
              <w:spacing w:before="0" w:line="240" w:lineRule="auto"/>
              <w:jc w:val="left"/>
              <w:rPr>
                <w:sz w:val="20"/>
                <w:szCs w:val="20"/>
              </w:rPr>
            </w:pPr>
            <w:r w:rsidRPr="00CF3FEC">
              <w:rPr>
                <w:sz w:val="20"/>
                <w:szCs w:val="20"/>
              </w:rPr>
              <w:t>WHO FC II</w:t>
            </w:r>
          </w:p>
        </w:tc>
        <w:tc>
          <w:tcPr>
            <w:tcW w:w="99" w:type="pct"/>
            <w:tcBorders>
              <w:left w:val="single" w:sz="24" w:space="0" w:color="FFFF00"/>
              <w:right w:val="single" w:sz="24" w:space="0" w:color="FFC000"/>
            </w:tcBorders>
            <w:vAlign w:val="center"/>
          </w:tcPr>
          <w:p w:rsidR="001D561A" w:rsidRPr="00CF3FEC" w:rsidRDefault="001D561A" w:rsidP="00121658">
            <w:pPr>
              <w:spacing w:before="0" w:line="240" w:lineRule="auto"/>
              <w:jc w:val="left"/>
              <w:rPr>
                <w:sz w:val="20"/>
                <w:szCs w:val="20"/>
              </w:rPr>
            </w:pPr>
          </w:p>
        </w:tc>
        <w:tc>
          <w:tcPr>
            <w:tcW w:w="546" w:type="pct"/>
            <w:tcBorders>
              <w:top w:val="single" w:sz="24" w:space="0" w:color="FFC000"/>
              <w:left w:val="single" w:sz="24" w:space="0" w:color="FFC000"/>
              <w:bottom w:val="single" w:sz="24" w:space="0" w:color="FFC000"/>
              <w:right w:val="single" w:sz="24" w:space="0" w:color="FFC000"/>
            </w:tcBorders>
            <w:vAlign w:val="center"/>
          </w:tcPr>
          <w:p w:rsidR="001D561A" w:rsidRPr="00CF3FEC" w:rsidRDefault="001D561A" w:rsidP="00121658">
            <w:pPr>
              <w:spacing w:before="0" w:line="240" w:lineRule="auto"/>
              <w:jc w:val="left"/>
              <w:rPr>
                <w:sz w:val="20"/>
                <w:szCs w:val="20"/>
              </w:rPr>
            </w:pPr>
            <w:r w:rsidRPr="00CF3FEC">
              <w:rPr>
                <w:sz w:val="20"/>
                <w:szCs w:val="20"/>
              </w:rPr>
              <w:t>WHO FC III; low risk</w:t>
            </w:r>
          </w:p>
        </w:tc>
        <w:tc>
          <w:tcPr>
            <w:tcW w:w="91" w:type="pct"/>
            <w:tcBorders>
              <w:left w:val="single" w:sz="24" w:space="0" w:color="FFC000"/>
            </w:tcBorders>
            <w:vAlign w:val="center"/>
          </w:tcPr>
          <w:p w:rsidR="001D561A" w:rsidRPr="00CF3FEC" w:rsidRDefault="001D561A" w:rsidP="00121658">
            <w:pPr>
              <w:spacing w:before="0" w:line="240" w:lineRule="auto"/>
              <w:jc w:val="left"/>
              <w:rPr>
                <w:sz w:val="20"/>
                <w:szCs w:val="20"/>
              </w:rPr>
            </w:pPr>
          </w:p>
        </w:tc>
        <w:tc>
          <w:tcPr>
            <w:tcW w:w="506" w:type="pct"/>
            <w:vAlign w:val="center"/>
          </w:tcPr>
          <w:p w:rsidR="001D561A" w:rsidRPr="00CF3FEC" w:rsidRDefault="001D561A" w:rsidP="00121658">
            <w:pPr>
              <w:spacing w:before="0" w:line="240" w:lineRule="auto"/>
              <w:jc w:val="left"/>
              <w:rPr>
                <w:sz w:val="20"/>
                <w:szCs w:val="20"/>
              </w:rPr>
            </w:pPr>
          </w:p>
        </w:tc>
        <w:tc>
          <w:tcPr>
            <w:tcW w:w="99" w:type="pct"/>
            <w:tcBorders>
              <w:left w:val="nil"/>
              <w:right w:val="single" w:sz="24" w:space="0" w:color="FFFF00"/>
            </w:tcBorders>
            <w:vAlign w:val="center"/>
          </w:tcPr>
          <w:p w:rsidR="001D561A" w:rsidRPr="00CF3FEC" w:rsidRDefault="001D561A" w:rsidP="00121658">
            <w:pPr>
              <w:spacing w:before="0" w:line="240" w:lineRule="auto"/>
              <w:jc w:val="left"/>
              <w:rPr>
                <w:sz w:val="20"/>
                <w:szCs w:val="20"/>
              </w:rPr>
            </w:pPr>
          </w:p>
        </w:tc>
        <w:tc>
          <w:tcPr>
            <w:tcW w:w="546" w:type="pct"/>
            <w:tcBorders>
              <w:top w:val="single" w:sz="24" w:space="0" w:color="FFFF00"/>
              <w:left w:val="single" w:sz="24" w:space="0" w:color="FFFF00"/>
              <w:bottom w:val="single" w:sz="24" w:space="0" w:color="FFFF00"/>
              <w:right w:val="single" w:sz="24" w:space="0" w:color="FFFF00"/>
            </w:tcBorders>
            <w:vAlign w:val="center"/>
          </w:tcPr>
          <w:p w:rsidR="001D561A" w:rsidRPr="00CF3FEC" w:rsidRDefault="001D561A" w:rsidP="00121658">
            <w:pPr>
              <w:spacing w:before="0" w:line="240" w:lineRule="auto"/>
              <w:jc w:val="left"/>
              <w:rPr>
                <w:sz w:val="20"/>
                <w:szCs w:val="20"/>
              </w:rPr>
            </w:pPr>
            <w:r w:rsidRPr="00CF3FEC">
              <w:rPr>
                <w:sz w:val="20"/>
                <w:szCs w:val="20"/>
              </w:rPr>
              <w:t>WHO FC II</w:t>
            </w:r>
          </w:p>
        </w:tc>
        <w:tc>
          <w:tcPr>
            <w:tcW w:w="99" w:type="pct"/>
            <w:tcBorders>
              <w:left w:val="single" w:sz="24" w:space="0" w:color="FFFF00"/>
              <w:right w:val="single" w:sz="24" w:space="0" w:color="FFC000"/>
            </w:tcBorders>
            <w:vAlign w:val="center"/>
          </w:tcPr>
          <w:p w:rsidR="001D561A" w:rsidRPr="00CF3FEC" w:rsidRDefault="001D561A" w:rsidP="00121658">
            <w:pPr>
              <w:spacing w:before="0" w:line="240" w:lineRule="auto"/>
              <w:jc w:val="left"/>
              <w:rPr>
                <w:sz w:val="20"/>
                <w:szCs w:val="20"/>
              </w:rPr>
            </w:pPr>
          </w:p>
        </w:tc>
        <w:tc>
          <w:tcPr>
            <w:tcW w:w="546" w:type="pct"/>
            <w:tcBorders>
              <w:top w:val="single" w:sz="24" w:space="0" w:color="FFC000"/>
              <w:left w:val="single" w:sz="24" w:space="0" w:color="FFC000"/>
              <w:bottom w:val="single" w:sz="24" w:space="0" w:color="FFC000"/>
              <w:right w:val="single" w:sz="24" w:space="0" w:color="FFC000"/>
            </w:tcBorders>
            <w:vAlign w:val="center"/>
          </w:tcPr>
          <w:p w:rsidR="001D561A" w:rsidRPr="00CF3FEC" w:rsidRDefault="001D561A" w:rsidP="00121658">
            <w:pPr>
              <w:spacing w:before="0" w:line="240" w:lineRule="auto"/>
              <w:jc w:val="left"/>
              <w:rPr>
                <w:sz w:val="20"/>
                <w:szCs w:val="20"/>
              </w:rPr>
            </w:pPr>
            <w:r w:rsidRPr="00CF3FEC">
              <w:rPr>
                <w:sz w:val="20"/>
                <w:szCs w:val="20"/>
              </w:rPr>
              <w:t>WHO FC III; low - intermediate risk</w:t>
            </w:r>
          </w:p>
        </w:tc>
        <w:tc>
          <w:tcPr>
            <w:tcW w:w="99" w:type="pct"/>
            <w:tcBorders>
              <w:left w:val="single" w:sz="24" w:space="0" w:color="FFC000"/>
              <w:right w:val="single" w:sz="24" w:space="0" w:color="FFC000"/>
            </w:tcBorders>
          </w:tcPr>
          <w:p w:rsidR="001D561A" w:rsidRPr="00CF3FEC" w:rsidRDefault="001D561A" w:rsidP="00121658">
            <w:pPr>
              <w:spacing w:before="0" w:line="240" w:lineRule="auto"/>
              <w:jc w:val="left"/>
              <w:rPr>
                <w:sz w:val="20"/>
                <w:szCs w:val="20"/>
              </w:rPr>
            </w:pPr>
          </w:p>
        </w:tc>
        <w:tc>
          <w:tcPr>
            <w:tcW w:w="546" w:type="pct"/>
            <w:tcBorders>
              <w:top w:val="single" w:sz="24" w:space="0" w:color="FFC000"/>
              <w:left w:val="single" w:sz="24" w:space="0" w:color="FFC000"/>
              <w:bottom w:val="single" w:sz="24" w:space="0" w:color="FFC000"/>
              <w:right w:val="single" w:sz="24" w:space="0" w:color="FFC000"/>
            </w:tcBorders>
            <w:vAlign w:val="center"/>
          </w:tcPr>
          <w:p w:rsidR="001D561A" w:rsidRPr="00CF3FEC" w:rsidRDefault="001D561A" w:rsidP="00121658">
            <w:pPr>
              <w:spacing w:before="0" w:line="240" w:lineRule="auto"/>
              <w:jc w:val="left"/>
              <w:rPr>
                <w:sz w:val="20"/>
                <w:szCs w:val="20"/>
              </w:rPr>
            </w:pPr>
            <w:r w:rsidRPr="00CF3FEC">
              <w:rPr>
                <w:sz w:val="20"/>
                <w:szCs w:val="20"/>
              </w:rPr>
              <w:t>WHO FC III; intermediate - high risk</w:t>
            </w:r>
          </w:p>
        </w:tc>
        <w:tc>
          <w:tcPr>
            <w:tcW w:w="99" w:type="pct"/>
            <w:tcBorders>
              <w:left w:val="single" w:sz="24" w:space="0" w:color="FFC000"/>
              <w:right w:val="single" w:sz="24" w:space="0" w:color="C00000"/>
            </w:tcBorders>
          </w:tcPr>
          <w:p w:rsidR="001D561A" w:rsidRPr="00CF3FEC" w:rsidRDefault="001D561A" w:rsidP="00121658">
            <w:pPr>
              <w:spacing w:before="0" w:line="240" w:lineRule="auto"/>
              <w:jc w:val="left"/>
              <w:rPr>
                <w:sz w:val="20"/>
                <w:szCs w:val="20"/>
              </w:rPr>
            </w:pPr>
          </w:p>
        </w:tc>
        <w:tc>
          <w:tcPr>
            <w:tcW w:w="545" w:type="pct"/>
            <w:tcBorders>
              <w:top w:val="single" w:sz="24" w:space="0" w:color="C00000"/>
              <w:left w:val="single" w:sz="24" w:space="0" w:color="C00000"/>
              <w:bottom w:val="single" w:sz="24" w:space="0" w:color="C00000"/>
              <w:right w:val="single" w:sz="24" w:space="0" w:color="C00000"/>
            </w:tcBorders>
            <w:vAlign w:val="center"/>
          </w:tcPr>
          <w:p w:rsidR="001D561A" w:rsidRPr="00CF3FEC" w:rsidRDefault="001D561A" w:rsidP="00121658">
            <w:pPr>
              <w:spacing w:before="0" w:line="240" w:lineRule="auto"/>
              <w:jc w:val="left"/>
              <w:rPr>
                <w:sz w:val="20"/>
                <w:szCs w:val="20"/>
              </w:rPr>
            </w:pPr>
            <w:r w:rsidRPr="00CF3FEC">
              <w:rPr>
                <w:sz w:val="20"/>
                <w:szCs w:val="20"/>
              </w:rPr>
              <w:t>WHO FC IV</w:t>
            </w:r>
          </w:p>
        </w:tc>
      </w:tr>
      <w:tr w:rsidR="001D561A" w:rsidRPr="00CF3FEC" w:rsidTr="002575FC">
        <w:tc>
          <w:tcPr>
            <w:tcW w:w="534" w:type="pct"/>
            <w:tcBorders>
              <w:top w:val="single" w:sz="24" w:space="0" w:color="92D050"/>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24" w:space="0" w:color="FFFF00"/>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24" w:space="0" w:color="FFC000"/>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1" w:type="pct"/>
            <w:vAlign w:val="center"/>
          </w:tcPr>
          <w:p w:rsidR="001D561A" w:rsidRPr="00CF3FEC" w:rsidRDefault="001D561A" w:rsidP="00121658">
            <w:pPr>
              <w:spacing w:before="0" w:line="240" w:lineRule="auto"/>
              <w:jc w:val="left"/>
              <w:rPr>
                <w:sz w:val="20"/>
                <w:szCs w:val="20"/>
              </w:rPr>
            </w:pPr>
          </w:p>
        </w:tc>
        <w:tc>
          <w:tcPr>
            <w:tcW w:w="506" w:type="pct"/>
            <w:tcBorders>
              <w:bottom w:val="single" w:sz="4" w:space="0" w:color="auto"/>
            </w:tcBorders>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24" w:space="0" w:color="FFFF00"/>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24" w:space="0" w:color="FFC000"/>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b/>
                <w:sz w:val="20"/>
                <w:szCs w:val="20"/>
              </w:rPr>
            </w:pPr>
          </w:p>
        </w:tc>
        <w:tc>
          <w:tcPr>
            <w:tcW w:w="546" w:type="pct"/>
            <w:tcBorders>
              <w:top w:val="single" w:sz="24" w:space="0" w:color="FFC000"/>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b/>
                <w:sz w:val="20"/>
                <w:szCs w:val="20"/>
              </w:rPr>
            </w:pPr>
          </w:p>
        </w:tc>
        <w:tc>
          <w:tcPr>
            <w:tcW w:w="545" w:type="pct"/>
            <w:tcBorders>
              <w:top w:val="single" w:sz="24" w:space="0" w:color="C00000"/>
              <w:bottom w:val="single" w:sz="4" w:space="0" w:color="auto"/>
            </w:tcBorders>
          </w:tcPr>
          <w:p w:rsidR="001D561A" w:rsidRPr="00CF3FEC" w:rsidRDefault="001D561A" w:rsidP="00121658">
            <w:pPr>
              <w:spacing w:before="0" w:line="240" w:lineRule="auto"/>
              <w:jc w:val="left"/>
              <w:rPr>
                <w:b/>
                <w:sz w:val="20"/>
                <w:szCs w:val="20"/>
              </w:rPr>
            </w:pPr>
            <w:r w:rsidRPr="00CF3FEC">
              <w:rPr>
                <w:b/>
                <w:sz w:val="20"/>
                <w:szCs w:val="20"/>
              </w:rPr>
              <w:sym w:font="Wingdings" w:char="F0E2"/>
            </w:r>
          </w:p>
        </w:tc>
      </w:tr>
      <w:tr w:rsidR="001D561A" w:rsidRPr="00CF3FEC" w:rsidTr="002575FC">
        <w:tc>
          <w:tcPr>
            <w:tcW w:w="534"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Monitoring for signs of progression</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IPAH; Heritable PAH; drug-induced PAH</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IPAH; Heritable PAH; drug-induced PAH</w:t>
            </w:r>
          </w:p>
        </w:tc>
        <w:tc>
          <w:tcPr>
            <w:tcW w:w="91" w:type="pct"/>
            <w:tcBorders>
              <w:left w:val="single" w:sz="4" w:space="0" w:color="auto"/>
              <w:right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0"/>
            </w:r>
          </w:p>
        </w:tc>
        <w:tc>
          <w:tcPr>
            <w:tcW w:w="50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Contraindication to vasoreactivity testing</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Other PAH Group 1 subtypes</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Other PAH Group 1 subtypes</w:t>
            </w:r>
          </w:p>
        </w:tc>
        <w:tc>
          <w:tcPr>
            <w:tcW w:w="99" w:type="pct"/>
            <w:tcBorders>
              <w:left w:val="single" w:sz="4" w:space="0" w:color="auto"/>
            </w:tcBorders>
          </w:tcPr>
          <w:p w:rsidR="001D561A" w:rsidRPr="00CF3FEC" w:rsidRDefault="001D561A" w:rsidP="00121658">
            <w:pPr>
              <w:spacing w:before="0" w:line="240" w:lineRule="auto"/>
              <w:jc w:val="left"/>
              <w:rPr>
                <w:sz w:val="20"/>
                <w:szCs w:val="20"/>
              </w:rPr>
            </w:pPr>
          </w:p>
        </w:tc>
        <w:tc>
          <w:tcPr>
            <w:tcW w:w="546" w:type="pct"/>
            <w:vAlign w:val="center"/>
          </w:tcPr>
          <w:p w:rsidR="001D561A" w:rsidRPr="00CF3FEC" w:rsidRDefault="001D561A" w:rsidP="00121658">
            <w:pPr>
              <w:spacing w:before="0" w:line="240" w:lineRule="auto"/>
              <w:jc w:val="left"/>
              <w:rPr>
                <w:sz w:val="20"/>
                <w:szCs w:val="20"/>
              </w:rPr>
            </w:pPr>
          </w:p>
        </w:tc>
        <w:tc>
          <w:tcPr>
            <w:tcW w:w="99" w:type="pct"/>
            <w:tcBorders>
              <w:right w:val="single" w:sz="4" w:space="0" w:color="auto"/>
            </w:tcBorders>
          </w:tcPr>
          <w:p w:rsidR="001D561A" w:rsidRPr="00CF3FEC" w:rsidRDefault="001D561A" w:rsidP="00121658">
            <w:pPr>
              <w:spacing w:before="0" w:line="240" w:lineRule="auto"/>
              <w:jc w:val="left"/>
              <w:rPr>
                <w:sz w:val="20"/>
                <w:szCs w:val="20"/>
              </w:rPr>
            </w:pPr>
          </w:p>
        </w:tc>
        <w:tc>
          <w:tcPr>
            <w:tcW w:w="545"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 xml:space="preserve">Patient accepts </w:t>
            </w:r>
            <w:proofErr w:type="spellStart"/>
            <w:r w:rsidRPr="00CF3FEC">
              <w:rPr>
                <w:sz w:val="20"/>
                <w:szCs w:val="20"/>
              </w:rPr>
              <w:t>tx</w:t>
            </w:r>
            <w:proofErr w:type="spellEnd"/>
            <w:r w:rsidRPr="00CF3FEC">
              <w:rPr>
                <w:sz w:val="20"/>
                <w:szCs w:val="20"/>
              </w:rPr>
              <w:t xml:space="preserve"> with epoprostenol </w:t>
            </w:r>
          </w:p>
        </w:tc>
      </w:tr>
      <w:tr w:rsidR="001D561A" w:rsidRPr="00CF3FEC" w:rsidTr="002575FC">
        <w:tc>
          <w:tcPr>
            <w:tcW w:w="534" w:type="pct"/>
            <w:tcBorders>
              <w:top w:val="single" w:sz="4" w:space="0" w:color="auto"/>
            </w:tcBorders>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1" w:type="pct"/>
            <w:vAlign w:val="center"/>
          </w:tcPr>
          <w:p w:rsidR="001D561A" w:rsidRPr="00CF3FEC" w:rsidRDefault="001D561A" w:rsidP="00121658">
            <w:pPr>
              <w:spacing w:before="0" w:line="240" w:lineRule="auto"/>
              <w:jc w:val="left"/>
              <w:rPr>
                <w:sz w:val="20"/>
                <w:szCs w:val="20"/>
              </w:rPr>
            </w:pPr>
          </w:p>
        </w:tc>
        <w:tc>
          <w:tcPr>
            <w:tcW w:w="50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t>OR</w:t>
            </w: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b/>
                <w:sz w:val="20"/>
                <w:szCs w:val="20"/>
              </w:rPr>
            </w:pPr>
          </w:p>
        </w:tc>
        <w:tc>
          <w:tcPr>
            <w:tcW w:w="546" w:type="pct"/>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b/>
                <w:sz w:val="20"/>
                <w:szCs w:val="20"/>
              </w:rPr>
            </w:pPr>
          </w:p>
        </w:tc>
        <w:tc>
          <w:tcPr>
            <w:tcW w:w="545" w:type="pct"/>
            <w:tcBorders>
              <w:top w:val="single" w:sz="4" w:space="0" w:color="auto"/>
            </w:tcBorders>
          </w:tcPr>
          <w:p w:rsidR="001D561A" w:rsidRPr="00CF3FEC" w:rsidRDefault="001D561A" w:rsidP="00121658">
            <w:pPr>
              <w:spacing w:before="0" w:line="240" w:lineRule="auto"/>
              <w:jc w:val="left"/>
              <w:rPr>
                <w:b/>
                <w:sz w:val="20"/>
                <w:szCs w:val="20"/>
              </w:rPr>
            </w:pPr>
            <w:r w:rsidRPr="00CF3FEC">
              <w:rPr>
                <w:b/>
                <w:sz w:val="20"/>
                <w:szCs w:val="20"/>
              </w:rPr>
              <w:sym w:font="Wingdings" w:char="F0E2"/>
            </w:r>
          </w:p>
        </w:tc>
      </w:tr>
      <w:tr w:rsidR="001D561A" w:rsidRPr="00CF3FEC" w:rsidTr="002575FC">
        <w:tc>
          <w:tcPr>
            <w:tcW w:w="534" w:type="pct"/>
            <w:vAlign w:val="center"/>
          </w:tcPr>
          <w:p w:rsidR="001D561A" w:rsidRPr="00CF3FEC" w:rsidRDefault="001D561A" w:rsidP="00121658">
            <w:pPr>
              <w:spacing w:before="0" w:line="240" w:lineRule="auto"/>
              <w:jc w:val="left"/>
              <w:rPr>
                <w:sz w:val="20"/>
                <w:szCs w:val="20"/>
              </w:rPr>
            </w:pPr>
          </w:p>
        </w:tc>
        <w:tc>
          <w:tcPr>
            <w:tcW w:w="99" w:type="pct"/>
            <w:tcBorders>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No contraindication to vasoreactivity testing</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No contraindication to vasoreactivity testing</w:t>
            </w:r>
          </w:p>
        </w:tc>
        <w:tc>
          <w:tcPr>
            <w:tcW w:w="91" w:type="pct"/>
            <w:tcBorders>
              <w:left w:val="single" w:sz="4" w:space="0" w:color="auto"/>
              <w:right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0"/>
            </w:r>
          </w:p>
        </w:tc>
        <w:tc>
          <w:tcPr>
            <w:tcW w:w="50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Negative vasoreactivity test</w:t>
            </w:r>
          </w:p>
        </w:tc>
        <w:tc>
          <w:tcPr>
            <w:tcW w:w="99" w:type="pct"/>
            <w:tcBorders>
              <w:lef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vAlign w:val="center"/>
          </w:tcPr>
          <w:p w:rsidR="001D561A" w:rsidRPr="00CF3FEC" w:rsidRDefault="001D561A" w:rsidP="00121658">
            <w:pPr>
              <w:spacing w:before="0" w:line="240" w:lineRule="auto"/>
              <w:jc w:val="left"/>
              <w:rPr>
                <w:b/>
                <w:sz w:val="20"/>
                <w:szCs w:val="20"/>
              </w:rPr>
            </w:pPr>
          </w:p>
        </w:tc>
        <w:tc>
          <w:tcPr>
            <w:tcW w:w="99" w:type="pct"/>
            <w:tcBorders>
              <w:left w:val="nil"/>
            </w:tcBorders>
            <w:vAlign w:val="center"/>
          </w:tcPr>
          <w:p w:rsidR="001D561A" w:rsidRPr="00CF3FEC" w:rsidRDefault="001D561A" w:rsidP="00121658">
            <w:pPr>
              <w:spacing w:before="0" w:line="240" w:lineRule="auto"/>
              <w:jc w:val="left"/>
              <w:rPr>
                <w:b/>
                <w:sz w:val="20"/>
                <w:szCs w:val="20"/>
              </w:rPr>
            </w:pPr>
          </w:p>
        </w:tc>
        <w:tc>
          <w:tcPr>
            <w:tcW w:w="546" w:type="pct"/>
            <w:vAlign w:val="center"/>
          </w:tcPr>
          <w:p w:rsidR="001D561A" w:rsidRPr="00CF3FEC" w:rsidRDefault="001D561A" w:rsidP="00121658">
            <w:pPr>
              <w:spacing w:before="0" w:line="240" w:lineRule="auto"/>
              <w:jc w:val="left"/>
              <w:rPr>
                <w:b/>
                <w:sz w:val="20"/>
                <w:szCs w:val="20"/>
              </w:rPr>
            </w:pPr>
          </w:p>
        </w:tc>
        <w:tc>
          <w:tcPr>
            <w:tcW w:w="99" w:type="pct"/>
            <w:tcBorders>
              <w:left w:val="nil"/>
            </w:tcBorders>
          </w:tcPr>
          <w:p w:rsidR="001D561A" w:rsidRPr="00CF3FEC" w:rsidRDefault="001D561A" w:rsidP="00121658">
            <w:pPr>
              <w:spacing w:before="0" w:line="240" w:lineRule="auto"/>
              <w:jc w:val="left"/>
              <w:rPr>
                <w:b/>
                <w:sz w:val="20"/>
                <w:szCs w:val="20"/>
              </w:rPr>
            </w:pPr>
          </w:p>
        </w:tc>
        <w:tc>
          <w:tcPr>
            <w:tcW w:w="546" w:type="pct"/>
            <w:vAlign w:val="center"/>
          </w:tcPr>
          <w:p w:rsidR="001D561A" w:rsidRPr="00CF3FEC" w:rsidRDefault="001D561A" w:rsidP="00121658">
            <w:pPr>
              <w:spacing w:before="0" w:line="240" w:lineRule="auto"/>
              <w:jc w:val="left"/>
              <w:rPr>
                <w:b/>
                <w:sz w:val="20"/>
                <w:szCs w:val="20"/>
              </w:rPr>
            </w:pPr>
          </w:p>
        </w:tc>
        <w:tc>
          <w:tcPr>
            <w:tcW w:w="99" w:type="pct"/>
          </w:tcPr>
          <w:p w:rsidR="001D561A" w:rsidRPr="00CF3FEC" w:rsidRDefault="001D561A" w:rsidP="00121658">
            <w:pPr>
              <w:spacing w:before="0" w:line="240" w:lineRule="auto"/>
              <w:jc w:val="left"/>
              <w:rPr>
                <w:b/>
                <w:sz w:val="20"/>
                <w:szCs w:val="20"/>
              </w:rPr>
            </w:pPr>
          </w:p>
        </w:tc>
        <w:tc>
          <w:tcPr>
            <w:tcW w:w="545" w:type="pct"/>
            <w:vAlign w:val="center"/>
          </w:tcPr>
          <w:p w:rsidR="001D561A" w:rsidRPr="00CF3FEC" w:rsidRDefault="001D561A" w:rsidP="00121658">
            <w:pPr>
              <w:spacing w:before="0" w:line="240" w:lineRule="auto"/>
              <w:jc w:val="left"/>
              <w:rPr>
                <w:b/>
                <w:sz w:val="20"/>
                <w:szCs w:val="20"/>
              </w:rPr>
            </w:pPr>
          </w:p>
        </w:tc>
      </w:tr>
      <w:tr w:rsidR="001D561A" w:rsidRPr="00CF3FEC" w:rsidTr="002575FC">
        <w:tc>
          <w:tcPr>
            <w:tcW w:w="534" w:type="pct"/>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1" w:type="pct"/>
            <w:vAlign w:val="center"/>
          </w:tcPr>
          <w:p w:rsidR="001D561A" w:rsidRPr="00CF3FEC" w:rsidRDefault="001D561A" w:rsidP="00121658">
            <w:pPr>
              <w:spacing w:before="0" w:line="240" w:lineRule="auto"/>
              <w:jc w:val="left"/>
              <w:rPr>
                <w:b/>
                <w:sz w:val="20"/>
                <w:szCs w:val="20"/>
              </w:rPr>
            </w:pPr>
          </w:p>
        </w:tc>
        <w:tc>
          <w:tcPr>
            <w:tcW w:w="50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b/>
                <w:sz w:val="20"/>
                <w:szCs w:val="20"/>
              </w:rPr>
            </w:pPr>
          </w:p>
        </w:tc>
        <w:tc>
          <w:tcPr>
            <w:tcW w:w="546" w:type="pct"/>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b/>
                <w:sz w:val="20"/>
                <w:szCs w:val="20"/>
              </w:rPr>
            </w:pPr>
          </w:p>
        </w:tc>
        <w:tc>
          <w:tcPr>
            <w:tcW w:w="545" w:type="pct"/>
          </w:tcPr>
          <w:p w:rsidR="001D561A" w:rsidRPr="00CF3FEC" w:rsidRDefault="001D561A" w:rsidP="00121658">
            <w:pPr>
              <w:spacing w:before="0" w:line="240" w:lineRule="auto"/>
              <w:jc w:val="left"/>
              <w:rPr>
                <w:b/>
                <w:sz w:val="20"/>
                <w:szCs w:val="20"/>
              </w:rPr>
            </w:pPr>
            <w:r w:rsidRPr="00CF3FEC">
              <w:rPr>
                <w:b/>
                <w:sz w:val="20"/>
                <w:szCs w:val="20"/>
              </w:rPr>
              <w:sym w:font="Wingdings" w:char="F0E2"/>
            </w:r>
          </w:p>
        </w:tc>
      </w:tr>
      <w:tr w:rsidR="001D561A" w:rsidRPr="00CF3FEC" w:rsidTr="002575FC">
        <w:tc>
          <w:tcPr>
            <w:tcW w:w="534" w:type="pct"/>
            <w:vAlign w:val="center"/>
          </w:tcPr>
          <w:p w:rsidR="001D561A" w:rsidRPr="00CF3FEC" w:rsidRDefault="001D561A" w:rsidP="00121658">
            <w:pPr>
              <w:spacing w:before="0" w:line="240" w:lineRule="auto"/>
              <w:jc w:val="left"/>
              <w:rPr>
                <w:sz w:val="20"/>
                <w:szCs w:val="20"/>
              </w:rPr>
            </w:pPr>
          </w:p>
        </w:tc>
        <w:tc>
          <w:tcPr>
            <w:tcW w:w="99" w:type="pct"/>
            <w:tcBorders>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Positive vasoreactivity test</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Positive vasoreactivity test</w:t>
            </w:r>
          </w:p>
        </w:tc>
        <w:tc>
          <w:tcPr>
            <w:tcW w:w="91"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0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Not eligible for CCBs</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Not eligible for CCBs</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Not eligible for CCBs</w:t>
            </w:r>
          </w:p>
        </w:tc>
        <w:tc>
          <w:tcPr>
            <w:tcW w:w="99" w:type="pct"/>
            <w:tcBorders>
              <w:left w:val="single" w:sz="4" w:space="0" w:color="auto"/>
            </w:tcBorders>
          </w:tcPr>
          <w:p w:rsidR="001D561A" w:rsidRPr="00CF3FEC" w:rsidRDefault="001D561A" w:rsidP="00121658">
            <w:pPr>
              <w:spacing w:before="0" w:line="240" w:lineRule="auto"/>
              <w:jc w:val="left"/>
              <w:rPr>
                <w:sz w:val="20"/>
                <w:szCs w:val="20"/>
              </w:rPr>
            </w:pPr>
          </w:p>
        </w:tc>
        <w:tc>
          <w:tcPr>
            <w:tcW w:w="546" w:type="pct"/>
            <w:vAlign w:val="center"/>
          </w:tcPr>
          <w:p w:rsidR="001D561A" w:rsidRPr="00CF3FEC" w:rsidRDefault="001D561A" w:rsidP="00121658">
            <w:pPr>
              <w:spacing w:before="0" w:line="240" w:lineRule="auto"/>
              <w:jc w:val="left"/>
              <w:rPr>
                <w:sz w:val="20"/>
                <w:szCs w:val="20"/>
              </w:rPr>
            </w:pPr>
          </w:p>
        </w:tc>
        <w:tc>
          <w:tcPr>
            <w:tcW w:w="99" w:type="pct"/>
          </w:tcPr>
          <w:p w:rsidR="001D561A" w:rsidRPr="00CF3FEC" w:rsidRDefault="001D561A" w:rsidP="00121658">
            <w:pPr>
              <w:spacing w:before="0" w:line="240" w:lineRule="auto"/>
              <w:jc w:val="left"/>
              <w:rPr>
                <w:sz w:val="20"/>
                <w:szCs w:val="20"/>
              </w:rPr>
            </w:pPr>
          </w:p>
        </w:tc>
        <w:tc>
          <w:tcPr>
            <w:tcW w:w="545" w:type="pct"/>
            <w:vAlign w:val="center"/>
          </w:tcPr>
          <w:p w:rsidR="001D561A" w:rsidRPr="00CF3FEC" w:rsidRDefault="001D561A" w:rsidP="00121658">
            <w:pPr>
              <w:spacing w:before="0" w:line="240" w:lineRule="auto"/>
              <w:jc w:val="left"/>
              <w:rPr>
                <w:sz w:val="20"/>
                <w:szCs w:val="20"/>
              </w:rPr>
            </w:pPr>
          </w:p>
        </w:tc>
      </w:tr>
      <w:tr w:rsidR="001D561A" w:rsidRPr="00CF3FEC" w:rsidTr="002575FC">
        <w:tc>
          <w:tcPr>
            <w:tcW w:w="534" w:type="pct"/>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1" w:type="pct"/>
            <w:vAlign w:val="center"/>
          </w:tcPr>
          <w:p w:rsidR="001D561A" w:rsidRPr="00CF3FEC" w:rsidRDefault="001D561A" w:rsidP="00121658">
            <w:pPr>
              <w:spacing w:before="0" w:line="240" w:lineRule="auto"/>
              <w:jc w:val="left"/>
              <w:rPr>
                <w:b/>
                <w:sz w:val="20"/>
                <w:szCs w:val="20"/>
              </w:rPr>
            </w:pPr>
          </w:p>
        </w:tc>
        <w:tc>
          <w:tcPr>
            <w:tcW w:w="50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sz w:val="20"/>
                <w:szCs w:val="20"/>
              </w:rPr>
            </w:pPr>
          </w:p>
        </w:tc>
        <w:tc>
          <w:tcPr>
            <w:tcW w:w="546" w:type="pct"/>
            <w:tcBorders>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b/>
                <w:sz w:val="20"/>
                <w:szCs w:val="20"/>
              </w:rPr>
            </w:pPr>
          </w:p>
        </w:tc>
        <w:tc>
          <w:tcPr>
            <w:tcW w:w="545" w:type="pct"/>
            <w:tcBorders>
              <w:bottom w:val="single" w:sz="4" w:space="0" w:color="auto"/>
            </w:tcBorders>
          </w:tcPr>
          <w:p w:rsidR="001D561A" w:rsidRPr="00CF3FEC" w:rsidRDefault="001D561A" w:rsidP="00121658">
            <w:pPr>
              <w:spacing w:before="0" w:line="240" w:lineRule="auto"/>
              <w:jc w:val="left"/>
              <w:rPr>
                <w:b/>
                <w:sz w:val="20"/>
                <w:szCs w:val="20"/>
              </w:rPr>
            </w:pPr>
            <w:r w:rsidRPr="00CF3FEC">
              <w:rPr>
                <w:b/>
                <w:sz w:val="20"/>
                <w:szCs w:val="20"/>
              </w:rPr>
              <w:sym w:font="Wingdings" w:char="F0E2"/>
            </w:r>
          </w:p>
        </w:tc>
      </w:tr>
      <w:tr w:rsidR="00A705D5" w:rsidRPr="00CF3FEC" w:rsidTr="002575FC">
        <w:tc>
          <w:tcPr>
            <w:tcW w:w="534" w:type="pct"/>
            <w:vAlign w:val="center"/>
          </w:tcPr>
          <w:p w:rsidR="001D561A" w:rsidRPr="00CF3FEC" w:rsidRDefault="001D561A" w:rsidP="00121658">
            <w:pPr>
              <w:spacing w:before="0" w:line="240" w:lineRule="auto"/>
              <w:jc w:val="left"/>
              <w:rPr>
                <w:sz w:val="20"/>
                <w:szCs w:val="20"/>
              </w:rPr>
            </w:pPr>
          </w:p>
        </w:tc>
        <w:tc>
          <w:tcPr>
            <w:tcW w:w="99" w:type="pct"/>
            <w:tcBorders>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D561A" w:rsidRPr="00CF3FEC" w:rsidRDefault="001D561A" w:rsidP="00121658">
            <w:pPr>
              <w:spacing w:before="0" w:line="240" w:lineRule="auto"/>
              <w:jc w:val="left"/>
              <w:rPr>
                <w:sz w:val="20"/>
                <w:szCs w:val="20"/>
              </w:rPr>
            </w:pPr>
            <w:r w:rsidRPr="00CF3FEC">
              <w:rPr>
                <w:sz w:val="20"/>
                <w:szCs w:val="20"/>
              </w:rPr>
              <w:t>High dose CCBs</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1D561A" w:rsidRPr="00CF3FEC" w:rsidRDefault="001D561A" w:rsidP="00121658">
            <w:pPr>
              <w:spacing w:before="0" w:line="240" w:lineRule="auto"/>
              <w:jc w:val="left"/>
              <w:rPr>
                <w:sz w:val="20"/>
                <w:szCs w:val="20"/>
              </w:rPr>
            </w:pPr>
            <w:r w:rsidRPr="00CF3FEC">
              <w:rPr>
                <w:sz w:val="20"/>
                <w:szCs w:val="20"/>
              </w:rPr>
              <w:t>High dose CCBs</w:t>
            </w:r>
          </w:p>
        </w:tc>
        <w:tc>
          <w:tcPr>
            <w:tcW w:w="91"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0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D561A" w:rsidRPr="00CF3FEC" w:rsidRDefault="001D561A" w:rsidP="00121658">
            <w:pPr>
              <w:spacing w:before="0" w:line="240" w:lineRule="auto"/>
              <w:jc w:val="left"/>
              <w:rPr>
                <w:sz w:val="20"/>
                <w:szCs w:val="20"/>
              </w:rPr>
            </w:pPr>
            <w:r w:rsidRPr="00CF3FEC">
              <w:rPr>
                <w:sz w:val="20"/>
                <w:szCs w:val="20"/>
              </w:rPr>
              <w:t>Monotherapy:</w:t>
            </w:r>
            <w:r w:rsidRPr="00CF3FEC">
              <w:rPr>
                <w:sz w:val="20"/>
                <w:szCs w:val="20"/>
              </w:rPr>
              <w:br/>
              <w:t xml:space="preserve">oral PAH </w:t>
            </w:r>
            <w:r w:rsidR="00517C17">
              <w:rPr>
                <w:sz w:val="20"/>
                <w:szCs w:val="20"/>
              </w:rPr>
              <w:t>medicine</w:t>
            </w:r>
            <w:r>
              <w:rPr>
                <w:sz w:val="20"/>
                <w:szCs w:val="20"/>
              </w:rPr>
              <w:t>*</w:t>
            </w:r>
          </w:p>
        </w:tc>
        <w:tc>
          <w:tcPr>
            <w:tcW w:w="99" w:type="pct"/>
            <w:tcBorders>
              <w:left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D561A" w:rsidRPr="00CF3FEC" w:rsidRDefault="001D561A" w:rsidP="00121658">
            <w:pPr>
              <w:spacing w:before="0" w:line="240" w:lineRule="auto"/>
              <w:jc w:val="left"/>
              <w:rPr>
                <w:sz w:val="20"/>
                <w:szCs w:val="20"/>
              </w:rPr>
            </w:pPr>
            <w:r w:rsidRPr="00CF3FEC">
              <w:rPr>
                <w:sz w:val="20"/>
                <w:szCs w:val="20"/>
              </w:rPr>
              <w:t xml:space="preserve">Monotherapy: oral PAH </w:t>
            </w:r>
            <w:r w:rsidR="00517C17">
              <w:rPr>
                <w:sz w:val="20"/>
                <w:szCs w:val="20"/>
              </w:rPr>
              <w:t>medicine</w:t>
            </w:r>
            <w:r>
              <w:rPr>
                <w:sz w:val="20"/>
                <w:szCs w:val="20"/>
              </w:rPr>
              <w:t>*</w:t>
            </w:r>
          </w:p>
        </w:tc>
        <w:tc>
          <w:tcPr>
            <w:tcW w:w="99" w:type="pct"/>
            <w:tcBorders>
              <w:right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1D561A" w:rsidRPr="00CF3FEC" w:rsidRDefault="001D561A" w:rsidP="00121658">
            <w:pPr>
              <w:spacing w:before="0" w:line="240" w:lineRule="auto"/>
              <w:jc w:val="left"/>
              <w:rPr>
                <w:sz w:val="20"/>
                <w:szCs w:val="20"/>
              </w:rPr>
            </w:pPr>
            <w:r w:rsidRPr="00CF3FEC">
              <w:rPr>
                <w:sz w:val="20"/>
                <w:szCs w:val="20"/>
              </w:rPr>
              <w:t xml:space="preserve">Monotherapy: oral PAH </w:t>
            </w:r>
            <w:r w:rsidR="00517C17">
              <w:rPr>
                <w:sz w:val="20"/>
                <w:szCs w:val="20"/>
              </w:rPr>
              <w:t>medicine</w:t>
            </w:r>
            <w:r>
              <w:rPr>
                <w:sz w:val="20"/>
                <w:szCs w:val="20"/>
              </w:rPr>
              <w:t>*</w:t>
            </w:r>
          </w:p>
        </w:tc>
        <w:tc>
          <w:tcPr>
            <w:tcW w:w="99" w:type="pct"/>
            <w:tcBorders>
              <w:left w:val="single" w:sz="4" w:space="0" w:color="auto"/>
              <w:right w:val="single" w:sz="4" w:space="0" w:color="auto"/>
            </w:tcBorders>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D561A" w:rsidRPr="00CF3FEC" w:rsidRDefault="001D561A" w:rsidP="00121658">
            <w:pPr>
              <w:spacing w:before="0" w:line="240" w:lineRule="auto"/>
              <w:jc w:val="left"/>
              <w:rPr>
                <w:sz w:val="20"/>
                <w:szCs w:val="20"/>
              </w:rPr>
            </w:pPr>
            <w:r w:rsidRPr="00CF3FEC">
              <w:rPr>
                <w:sz w:val="20"/>
                <w:szCs w:val="20"/>
              </w:rPr>
              <w:t>Monotherapy: prostanoid</w:t>
            </w:r>
          </w:p>
        </w:tc>
        <w:tc>
          <w:tcPr>
            <w:tcW w:w="99" w:type="pct"/>
            <w:tcBorders>
              <w:left w:val="single" w:sz="4" w:space="0" w:color="auto"/>
              <w:right w:val="single" w:sz="4" w:space="0" w:color="auto"/>
            </w:tcBorders>
          </w:tcPr>
          <w:p w:rsidR="001D561A" w:rsidRPr="00CF3FEC" w:rsidRDefault="001D561A" w:rsidP="00121658">
            <w:pPr>
              <w:spacing w:before="0" w:line="240" w:lineRule="auto"/>
              <w:jc w:val="left"/>
              <w:rPr>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D561A" w:rsidRPr="00CF3FEC" w:rsidRDefault="001D561A" w:rsidP="00121658">
            <w:pPr>
              <w:spacing w:before="0" w:line="240" w:lineRule="auto"/>
              <w:jc w:val="left"/>
              <w:rPr>
                <w:sz w:val="20"/>
                <w:szCs w:val="20"/>
              </w:rPr>
            </w:pPr>
            <w:r w:rsidRPr="00CF3FEC">
              <w:rPr>
                <w:sz w:val="20"/>
                <w:szCs w:val="20"/>
              </w:rPr>
              <w:t>Monotherapy: epoprostenol</w:t>
            </w:r>
          </w:p>
        </w:tc>
      </w:tr>
      <w:tr w:rsidR="001D561A" w:rsidRPr="00CF3FEC" w:rsidTr="002575FC">
        <w:tc>
          <w:tcPr>
            <w:tcW w:w="534" w:type="pct"/>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bottom w:val="single" w:sz="24" w:space="0" w:color="FFFF00"/>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b/>
                <w:sz w:val="20"/>
                <w:szCs w:val="20"/>
              </w:rPr>
            </w:pPr>
          </w:p>
        </w:tc>
        <w:tc>
          <w:tcPr>
            <w:tcW w:w="546" w:type="pct"/>
            <w:tcBorders>
              <w:top w:val="single" w:sz="4" w:space="0" w:color="auto"/>
              <w:bottom w:val="single" w:sz="24" w:space="0" w:color="FFC000"/>
            </w:tcBorders>
            <w:vAlign w:val="center"/>
          </w:tcPr>
          <w:p w:rsidR="001D561A" w:rsidRPr="00CF3FEC" w:rsidRDefault="001D561A" w:rsidP="00121658">
            <w:pPr>
              <w:spacing w:before="0" w:line="240" w:lineRule="auto"/>
              <w:jc w:val="left"/>
              <w:rPr>
                <w:b/>
                <w:sz w:val="20"/>
                <w:szCs w:val="20"/>
              </w:rPr>
            </w:pPr>
            <w:r w:rsidRPr="00CF3FEC">
              <w:rPr>
                <w:b/>
                <w:sz w:val="20"/>
                <w:szCs w:val="20"/>
              </w:rPr>
              <w:sym w:font="Wingdings" w:char="F0E2"/>
            </w:r>
          </w:p>
        </w:tc>
        <w:tc>
          <w:tcPr>
            <w:tcW w:w="91" w:type="pct"/>
            <w:vAlign w:val="center"/>
          </w:tcPr>
          <w:p w:rsidR="001D561A" w:rsidRPr="00CF3FEC" w:rsidRDefault="001D561A" w:rsidP="00121658">
            <w:pPr>
              <w:spacing w:before="0" w:line="240" w:lineRule="auto"/>
              <w:jc w:val="left"/>
              <w:rPr>
                <w:b/>
                <w:sz w:val="20"/>
                <w:szCs w:val="20"/>
              </w:rPr>
            </w:pPr>
          </w:p>
        </w:tc>
        <w:tc>
          <w:tcPr>
            <w:tcW w:w="506" w:type="pct"/>
            <w:tcBorders>
              <w:top w:val="single" w:sz="4" w:space="0" w:color="auto"/>
            </w:tcBorders>
            <w:vAlign w:val="center"/>
          </w:tcPr>
          <w:p w:rsidR="001D561A" w:rsidRPr="00CF3FEC" w:rsidRDefault="001D561A" w:rsidP="00121658">
            <w:pPr>
              <w:spacing w:before="0" w:line="240" w:lineRule="auto"/>
              <w:jc w:val="left"/>
              <w:rPr>
                <w:b/>
                <w:sz w:val="20"/>
                <w:szCs w:val="20"/>
              </w:rPr>
            </w:pPr>
            <w:r w:rsidRPr="00CF3FEC">
              <w:rPr>
                <w:b/>
                <w:color w:val="FF0000"/>
                <w:sz w:val="20"/>
                <w:szCs w:val="20"/>
              </w:rPr>
              <w:sym w:font="Wingdings" w:char="F0E1"/>
            </w: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tcBorders>
            <w:vAlign w:val="center"/>
          </w:tcPr>
          <w:p w:rsidR="001D561A" w:rsidRPr="00CF3FEC" w:rsidRDefault="001D561A" w:rsidP="00121658">
            <w:pPr>
              <w:spacing w:before="0" w:line="240" w:lineRule="auto"/>
              <w:jc w:val="left"/>
              <w:rPr>
                <w:sz w:val="20"/>
                <w:szCs w:val="20"/>
              </w:rPr>
            </w:pPr>
            <w:r w:rsidRPr="00CF3FEC">
              <w:rPr>
                <w:b/>
                <w:sz w:val="20"/>
                <w:szCs w:val="20"/>
              </w:rPr>
              <w:sym w:font="Wingdings" w:char="F0E2"/>
            </w: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4" w:space="0" w:color="auto"/>
            </w:tcBorders>
            <w:vAlign w:val="center"/>
          </w:tcPr>
          <w:p w:rsidR="001D561A" w:rsidRPr="00CF3FEC" w:rsidRDefault="001D561A" w:rsidP="00121658">
            <w:pPr>
              <w:spacing w:before="0" w:line="240" w:lineRule="auto"/>
              <w:jc w:val="left"/>
              <w:rPr>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b/>
                <w:sz w:val="20"/>
                <w:szCs w:val="20"/>
              </w:rPr>
            </w:pPr>
            <w:r w:rsidRPr="00CF3FEC">
              <w:rPr>
                <w:b/>
                <w:sz w:val="20"/>
                <w:szCs w:val="20"/>
              </w:rPr>
              <w:t>OR</w:t>
            </w:r>
          </w:p>
        </w:tc>
        <w:tc>
          <w:tcPr>
            <w:tcW w:w="99" w:type="pct"/>
          </w:tcPr>
          <w:p w:rsidR="001D561A" w:rsidRPr="00CF3FEC" w:rsidRDefault="001D561A" w:rsidP="00121658">
            <w:pPr>
              <w:spacing w:before="0" w:line="240" w:lineRule="auto"/>
              <w:jc w:val="left"/>
              <w:rPr>
                <w:sz w:val="20"/>
                <w:szCs w:val="20"/>
              </w:rPr>
            </w:pPr>
          </w:p>
        </w:tc>
        <w:tc>
          <w:tcPr>
            <w:tcW w:w="545" w:type="pct"/>
            <w:tcBorders>
              <w:top w:val="single" w:sz="4" w:space="0" w:color="auto"/>
            </w:tcBorders>
            <w:vAlign w:val="center"/>
          </w:tcPr>
          <w:p w:rsidR="001D561A" w:rsidRPr="00CF3FEC" w:rsidRDefault="001D561A" w:rsidP="00121658">
            <w:pPr>
              <w:spacing w:before="0" w:line="240" w:lineRule="auto"/>
              <w:jc w:val="left"/>
              <w:rPr>
                <w:sz w:val="20"/>
                <w:szCs w:val="20"/>
              </w:rPr>
            </w:pPr>
            <w:r w:rsidRPr="00CF3FEC">
              <w:rPr>
                <w:b/>
                <w:sz w:val="20"/>
                <w:szCs w:val="20"/>
              </w:rPr>
              <w:sym w:font="Wingdings" w:char="F0E2"/>
            </w:r>
          </w:p>
        </w:tc>
      </w:tr>
      <w:tr w:rsidR="001D561A" w:rsidRPr="00CF3FEC" w:rsidTr="002575FC">
        <w:tc>
          <w:tcPr>
            <w:tcW w:w="534" w:type="pct"/>
            <w:vAlign w:val="center"/>
          </w:tcPr>
          <w:p w:rsidR="001D561A" w:rsidRPr="00CF3FEC" w:rsidRDefault="001D561A" w:rsidP="00121658">
            <w:pPr>
              <w:spacing w:before="0" w:line="240" w:lineRule="auto"/>
              <w:jc w:val="left"/>
              <w:rPr>
                <w:sz w:val="20"/>
                <w:szCs w:val="20"/>
              </w:rPr>
            </w:pPr>
          </w:p>
        </w:tc>
        <w:tc>
          <w:tcPr>
            <w:tcW w:w="99" w:type="pct"/>
            <w:tcBorders>
              <w:right w:val="single" w:sz="24" w:space="0" w:color="FFFF00"/>
            </w:tcBorders>
            <w:vAlign w:val="center"/>
          </w:tcPr>
          <w:p w:rsidR="001D561A" w:rsidRPr="00CF3FEC" w:rsidRDefault="001D561A" w:rsidP="00121658">
            <w:pPr>
              <w:spacing w:before="0" w:line="240" w:lineRule="auto"/>
              <w:jc w:val="left"/>
              <w:rPr>
                <w:sz w:val="20"/>
                <w:szCs w:val="20"/>
              </w:rPr>
            </w:pPr>
          </w:p>
        </w:tc>
        <w:tc>
          <w:tcPr>
            <w:tcW w:w="546" w:type="pct"/>
            <w:tcBorders>
              <w:top w:val="single" w:sz="24" w:space="0" w:color="FFFF00"/>
              <w:left w:val="single" w:sz="24" w:space="0" w:color="FFFF00"/>
              <w:bottom w:val="single" w:sz="24" w:space="0" w:color="FFFF00"/>
              <w:right w:val="single" w:sz="24" w:space="0" w:color="FFFF00"/>
            </w:tcBorders>
            <w:vAlign w:val="center"/>
          </w:tcPr>
          <w:p w:rsidR="001D561A" w:rsidRPr="00CF3FEC" w:rsidRDefault="001D561A" w:rsidP="00121658">
            <w:pPr>
              <w:spacing w:before="0" w:line="240" w:lineRule="auto"/>
              <w:jc w:val="left"/>
              <w:rPr>
                <w:sz w:val="20"/>
                <w:szCs w:val="20"/>
              </w:rPr>
            </w:pPr>
            <w:r w:rsidRPr="00CF3FEC">
              <w:rPr>
                <w:sz w:val="20"/>
                <w:szCs w:val="20"/>
              </w:rPr>
              <w:t>Therapy goals unmet or clinical worsening on CCB therapy</w:t>
            </w:r>
          </w:p>
        </w:tc>
        <w:tc>
          <w:tcPr>
            <w:tcW w:w="99" w:type="pct"/>
            <w:tcBorders>
              <w:left w:val="single" w:sz="24" w:space="0" w:color="FFFF00"/>
              <w:right w:val="single" w:sz="24" w:space="0" w:color="FFC000"/>
            </w:tcBorders>
            <w:vAlign w:val="center"/>
          </w:tcPr>
          <w:p w:rsidR="001D561A" w:rsidRPr="00CF3FEC" w:rsidRDefault="001D561A" w:rsidP="00121658">
            <w:pPr>
              <w:spacing w:before="0" w:line="240" w:lineRule="auto"/>
              <w:jc w:val="left"/>
              <w:rPr>
                <w:sz w:val="20"/>
                <w:szCs w:val="20"/>
              </w:rPr>
            </w:pPr>
            <w:r w:rsidRPr="00CF3FEC">
              <w:rPr>
                <w:b/>
                <w:color w:val="FF0000"/>
                <w:sz w:val="20"/>
                <w:szCs w:val="20"/>
              </w:rPr>
              <w:sym w:font="Wingdings" w:char="F0E0"/>
            </w:r>
          </w:p>
        </w:tc>
        <w:tc>
          <w:tcPr>
            <w:tcW w:w="546" w:type="pct"/>
            <w:tcBorders>
              <w:top w:val="single" w:sz="24" w:space="0" w:color="FFC000"/>
              <w:left w:val="single" w:sz="24" w:space="0" w:color="FFC000"/>
              <w:bottom w:val="single" w:sz="24" w:space="0" w:color="FFC000"/>
              <w:right w:val="single" w:sz="24" w:space="0" w:color="FFC000"/>
            </w:tcBorders>
            <w:vAlign w:val="center"/>
          </w:tcPr>
          <w:p w:rsidR="001D561A" w:rsidRPr="00CF3FEC" w:rsidRDefault="001D561A" w:rsidP="00121658">
            <w:pPr>
              <w:spacing w:before="0" w:line="240" w:lineRule="auto"/>
              <w:jc w:val="left"/>
              <w:rPr>
                <w:sz w:val="20"/>
                <w:szCs w:val="20"/>
              </w:rPr>
            </w:pPr>
            <w:r w:rsidRPr="00CF3FEC">
              <w:rPr>
                <w:sz w:val="20"/>
                <w:szCs w:val="20"/>
              </w:rPr>
              <w:t>Therapy goals unmet or clinical worsening on CCB therapy</w:t>
            </w:r>
          </w:p>
        </w:tc>
        <w:tc>
          <w:tcPr>
            <w:tcW w:w="91" w:type="pct"/>
            <w:tcBorders>
              <w:left w:val="single" w:sz="24" w:space="0" w:color="FFC000"/>
            </w:tcBorders>
            <w:vAlign w:val="center"/>
          </w:tcPr>
          <w:p w:rsidR="001D561A" w:rsidRPr="00CF3FEC" w:rsidRDefault="001D561A" w:rsidP="00121658">
            <w:pPr>
              <w:spacing w:before="0" w:line="240" w:lineRule="auto"/>
              <w:jc w:val="left"/>
              <w:rPr>
                <w:b/>
                <w:sz w:val="20"/>
                <w:szCs w:val="20"/>
              </w:rPr>
            </w:pPr>
            <w:r w:rsidRPr="00CF3FEC">
              <w:rPr>
                <w:b/>
                <w:color w:val="FF0000"/>
                <w:sz w:val="20"/>
                <w:szCs w:val="20"/>
              </w:rPr>
              <w:sym w:font="Wingdings" w:char="F0E0"/>
            </w:r>
          </w:p>
        </w:tc>
        <w:tc>
          <w:tcPr>
            <w:tcW w:w="506" w:type="pct"/>
            <w:vAlign w:val="center"/>
          </w:tcPr>
          <w:p w:rsidR="001D561A" w:rsidRPr="00CF3FEC" w:rsidRDefault="001D561A" w:rsidP="00121658">
            <w:pPr>
              <w:spacing w:before="0" w:line="240" w:lineRule="auto"/>
              <w:jc w:val="left"/>
              <w:rPr>
                <w:b/>
                <w:sz w:val="20"/>
                <w:szCs w:val="20"/>
              </w:rPr>
            </w:pPr>
            <w:r w:rsidRPr="00CF3FEC">
              <w:rPr>
                <w:b/>
                <w:color w:val="FF0000"/>
                <w:sz w:val="20"/>
                <w:szCs w:val="20"/>
              </w:rPr>
              <w:sym w:font="Wingdings" w:char="F0E4"/>
            </w:r>
          </w:p>
        </w:tc>
        <w:tc>
          <w:tcPr>
            <w:tcW w:w="99" w:type="pct"/>
            <w:vAlign w:val="center"/>
          </w:tcPr>
          <w:p w:rsidR="001D561A" w:rsidRPr="00CF3FEC" w:rsidRDefault="001D561A" w:rsidP="00121658">
            <w:pPr>
              <w:spacing w:before="0" w:line="240" w:lineRule="auto"/>
              <w:jc w:val="left"/>
              <w:rPr>
                <w:sz w:val="20"/>
                <w:szCs w:val="20"/>
              </w:rPr>
            </w:pPr>
          </w:p>
        </w:tc>
        <w:tc>
          <w:tcPr>
            <w:tcW w:w="546" w:type="pct"/>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vAlign w:val="center"/>
          </w:tcPr>
          <w:p w:rsidR="001D561A" w:rsidRPr="00CF3FEC" w:rsidRDefault="001D561A" w:rsidP="00121658">
            <w:pPr>
              <w:spacing w:before="0" w:line="240" w:lineRule="auto"/>
              <w:jc w:val="left"/>
              <w:rPr>
                <w:sz w:val="20"/>
                <w:szCs w:val="20"/>
              </w:rPr>
            </w:pPr>
          </w:p>
        </w:tc>
        <w:tc>
          <w:tcPr>
            <w:tcW w:w="99" w:type="pct"/>
            <w:tcBorders>
              <w:right w:val="single" w:sz="4" w:space="0" w:color="auto"/>
            </w:tcBorders>
          </w:tcPr>
          <w:p w:rsidR="001D561A" w:rsidRPr="00CF3FEC" w:rsidRDefault="001D561A" w:rsidP="00121658">
            <w:pPr>
              <w:spacing w:before="0" w:line="240" w:lineRule="auto"/>
              <w:jc w:val="left"/>
              <w:rPr>
                <w:sz w:val="20"/>
                <w:szCs w:val="20"/>
              </w:rPr>
            </w:pPr>
          </w:p>
        </w:tc>
        <w:tc>
          <w:tcPr>
            <w:tcW w:w="546" w:type="pct"/>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 xml:space="preserve">See </w:t>
            </w:r>
            <w:r w:rsidR="00D63371" w:rsidRPr="00D63371">
              <w:rPr>
                <w:sz w:val="20"/>
                <w:szCs w:val="20"/>
              </w:rPr>
              <w:t>Table 1.6</w:t>
            </w:r>
            <w:r w:rsidR="00D63371" w:rsidRPr="00250EDE">
              <w:t xml:space="preserve"> </w:t>
            </w:r>
            <w:r w:rsidR="00D63371">
              <w:tab/>
              <w:t>PAH pharmacotherapy – patient groups receiving combination therapy</w:t>
            </w:r>
          </w:p>
        </w:tc>
        <w:tc>
          <w:tcPr>
            <w:tcW w:w="99" w:type="pct"/>
            <w:tcBorders>
              <w:left w:val="single" w:sz="4" w:space="0" w:color="auto"/>
            </w:tcBorders>
          </w:tcPr>
          <w:p w:rsidR="001D561A" w:rsidRPr="00CF3FEC" w:rsidRDefault="001D561A" w:rsidP="00121658">
            <w:pPr>
              <w:spacing w:before="0" w:line="240" w:lineRule="auto"/>
              <w:jc w:val="left"/>
              <w:rPr>
                <w:sz w:val="20"/>
                <w:szCs w:val="20"/>
              </w:rPr>
            </w:pPr>
          </w:p>
        </w:tc>
        <w:tc>
          <w:tcPr>
            <w:tcW w:w="545" w:type="pct"/>
            <w:vAlign w:val="center"/>
          </w:tcPr>
          <w:p w:rsidR="001D561A" w:rsidRPr="00CF3FEC" w:rsidRDefault="001D561A" w:rsidP="00121658">
            <w:pPr>
              <w:spacing w:before="0" w:line="240" w:lineRule="auto"/>
              <w:jc w:val="left"/>
              <w:rPr>
                <w:sz w:val="20"/>
                <w:szCs w:val="20"/>
              </w:rPr>
            </w:pPr>
          </w:p>
        </w:tc>
      </w:tr>
      <w:tr w:rsidR="001D561A" w:rsidRPr="00CF3FEC" w:rsidTr="002575FC">
        <w:tc>
          <w:tcPr>
            <w:tcW w:w="534" w:type="pct"/>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24" w:space="0" w:color="FFFF00"/>
            </w:tcBorders>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tcBorders>
              <w:top w:val="single" w:sz="24" w:space="0" w:color="FFC000"/>
            </w:tcBorders>
            <w:vAlign w:val="center"/>
          </w:tcPr>
          <w:p w:rsidR="001D561A" w:rsidRPr="00CF3FEC" w:rsidRDefault="001D561A" w:rsidP="00121658">
            <w:pPr>
              <w:spacing w:before="0" w:line="240" w:lineRule="auto"/>
              <w:jc w:val="left"/>
              <w:rPr>
                <w:sz w:val="20"/>
                <w:szCs w:val="20"/>
              </w:rPr>
            </w:pPr>
          </w:p>
        </w:tc>
        <w:tc>
          <w:tcPr>
            <w:tcW w:w="91" w:type="pct"/>
            <w:vAlign w:val="center"/>
          </w:tcPr>
          <w:p w:rsidR="001D561A" w:rsidRPr="00CF3FEC" w:rsidRDefault="001D561A" w:rsidP="00121658">
            <w:pPr>
              <w:spacing w:before="0" w:line="240" w:lineRule="auto"/>
              <w:jc w:val="left"/>
              <w:rPr>
                <w:sz w:val="20"/>
                <w:szCs w:val="20"/>
              </w:rPr>
            </w:pPr>
          </w:p>
        </w:tc>
        <w:tc>
          <w:tcPr>
            <w:tcW w:w="506" w:type="pct"/>
            <w:tcBorders>
              <w:bottom w:val="single" w:sz="4" w:space="0" w:color="auto"/>
            </w:tcBorders>
            <w:vAlign w:val="center"/>
          </w:tcPr>
          <w:p w:rsidR="001D561A" w:rsidRPr="00CF3FEC" w:rsidRDefault="001D561A" w:rsidP="00121658">
            <w:pPr>
              <w:spacing w:before="0" w:line="240" w:lineRule="auto"/>
              <w:jc w:val="left"/>
              <w:rPr>
                <w:sz w:val="20"/>
                <w:szCs w:val="20"/>
              </w:rPr>
            </w:pPr>
            <w:r w:rsidRPr="00CF3FEC">
              <w:rPr>
                <w:b/>
                <w:sz w:val="20"/>
                <w:szCs w:val="20"/>
              </w:rPr>
              <w:sym w:font="Wingdings" w:char="F0E2"/>
            </w:r>
          </w:p>
        </w:tc>
        <w:tc>
          <w:tcPr>
            <w:tcW w:w="99" w:type="pct"/>
            <w:tcBorders>
              <w:bottom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bottom w:val="single" w:sz="4" w:space="0" w:color="auto"/>
            </w:tcBorders>
            <w:vAlign w:val="center"/>
          </w:tcPr>
          <w:p w:rsidR="001D561A" w:rsidRPr="00CF3FEC" w:rsidRDefault="001D561A" w:rsidP="00121658">
            <w:pPr>
              <w:spacing w:before="0" w:line="240" w:lineRule="auto"/>
              <w:jc w:val="left"/>
              <w:rPr>
                <w:sz w:val="20"/>
                <w:szCs w:val="20"/>
              </w:rPr>
            </w:pPr>
            <w:r w:rsidRPr="00CF3FEC">
              <w:rPr>
                <w:b/>
                <w:sz w:val="20"/>
                <w:szCs w:val="20"/>
              </w:rPr>
              <w:sym w:font="Wingdings" w:char="F0E2"/>
            </w:r>
          </w:p>
        </w:tc>
        <w:tc>
          <w:tcPr>
            <w:tcW w:w="99" w:type="pct"/>
            <w:tcBorders>
              <w:bottom w:val="single" w:sz="4" w:space="0" w:color="auto"/>
            </w:tcBorders>
            <w:vAlign w:val="center"/>
          </w:tcPr>
          <w:p w:rsidR="001D561A" w:rsidRPr="00CF3FEC" w:rsidRDefault="001D561A" w:rsidP="00121658">
            <w:pPr>
              <w:spacing w:before="0" w:line="240" w:lineRule="auto"/>
              <w:jc w:val="left"/>
              <w:rPr>
                <w:sz w:val="20"/>
                <w:szCs w:val="20"/>
              </w:rPr>
            </w:pPr>
          </w:p>
        </w:tc>
        <w:tc>
          <w:tcPr>
            <w:tcW w:w="546" w:type="pct"/>
            <w:tcBorders>
              <w:bottom w:val="single" w:sz="4" w:space="0" w:color="auto"/>
            </w:tcBorders>
            <w:vAlign w:val="center"/>
          </w:tcPr>
          <w:p w:rsidR="001D561A" w:rsidRPr="00CF3FEC" w:rsidRDefault="001D561A" w:rsidP="00121658">
            <w:pPr>
              <w:spacing w:before="0" w:line="240" w:lineRule="auto"/>
              <w:jc w:val="left"/>
              <w:rPr>
                <w:sz w:val="20"/>
                <w:szCs w:val="20"/>
              </w:rPr>
            </w:pPr>
            <w:r w:rsidRPr="00CF3FEC">
              <w:rPr>
                <w:b/>
                <w:sz w:val="20"/>
                <w:szCs w:val="20"/>
              </w:rPr>
              <w:sym w:font="Wingdings" w:char="F0E2"/>
            </w:r>
          </w:p>
        </w:tc>
        <w:tc>
          <w:tcPr>
            <w:tcW w:w="99" w:type="pct"/>
          </w:tcPr>
          <w:p w:rsidR="001D561A" w:rsidRPr="00CF3FEC" w:rsidRDefault="001D561A" w:rsidP="00121658">
            <w:pPr>
              <w:spacing w:before="0" w:line="240" w:lineRule="auto"/>
              <w:jc w:val="left"/>
              <w:rPr>
                <w:sz w:val="20"/>
                <w:szCs w:val="20"/>
              </w:rPr>
            </w:pPr>
          </w:p>
        </w:tc>
        <w:tc>
          <w:tcPr>
            <w:tcW w:w="546" w:type="pct"/>
            <w:tcBorders>
              <w:top w:val="single" w:sz="4" w:space="0" w:color="auto"/>
              <w:bottom w:val="single" w:sz="4" w:space="0" w:color="auto"/>
            </w:tcBorders>
            <w:vAlign w:val="center"/>
          </w:tcPr>
          <w:p w:rsidR="001D561A" w:rsidRPr="00CF3FEC" w:rsidRDefault="001D561A" w:rsidP="00121658">
            <w:pPr>
              <w:spacing w:before="0" w:line="240" w:lineRule="auto"/>
              <w:jc w:val="left"/>
              <w:rPr>
                <w:sz w:val="20"/>
                <w:szCs w:val="20"/>
              </w:rPr>
            </w:pPr>
            <w:r w:rsidRPr="00CF3FEC">
              <w:rPr>
                <w:b/>
                <w:sz w:val="20"/>
                <w:szCs w:val="20"/>
              </w:rPr>
              <w:sym w:font="Wingdings" w:char="F0E2"/>
            </w:r>
          </w:p>
        </w:tc>
        <w:tc>
          <w:tcPr>
            <w:tcW w:w="99" w:type="pct"/>
            <w:tcBorders>
              <w:bottom w:val="single" w:sz="4" w:space="0" w:color="auto"/>
            </w:tcBorders>
          </w:tcPr>
          <w:p w:rsidR="001D561A" w:rsidRPr="00CF3FEC" w:rsidRDefault="001D561A" w:rsidP="00121658">
            <w:pPr>
              <w:spacing w:before="0" w:line="240" w:lineRule="auto"/>
              <w:jc w:val="left"/>
              <w:rPr>
                <w:sz w:val="20"/>
                <w:szCs w:val="20"/>
              </w:rPr>
            </w:pPr>
          </w:p>
        </w:tc>
        <w:tc>
          <w:tcPr>
            <w:tcW w:w="545" w:type="pct"/>
            <w:tcBorders>
              <w:bottom w:val="single" w:sz="4" w:space="0" w:color="auto"/>
            </w:tcBorders>
          </w:tcPr>
          <w:p w:rsidR="001D561A" w:rsidRPr="00CF3FEC" w:rsidRDefault="001D561A" w:rsidP="00121658">
            <w:pPr>
              <w:spacing w:before="0" w:line="240" w:lineRule="auto"/>
              <w:jc w:val="left"/>
              <w:rPr>
                <w:sz w:val="20"/>
                <w:szCs w:val="20"/>
              </w:rPr>
            </w:pPr>
            <w:r w:rsidRPr="00CF3FEC">
              <w:rPr>
                <w:b/>
                <w:sz w:val="20"/>
                <w:szCs w:val="20"/>
              </w:rPr>
              <w:sym w:font="Wingdings" w:char="F0E2"/>
            </w:r>
          </w:p>
        </w:tc>
      </w:tr>
      <w:tr w:rsidR="001D561A" w:rsidRPr="00CF3FEC" w:rsidTr="002575FC">
        <w:tc>
          <w:tcPr>
            <w:tcW w:w="534" w:type="pct"/>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vAlign w:val="center"/>
          </w:tcPr>
          <w:p w:rsidR="001D561A" w:rsidRPr="00CF3FEC" w:rsidRDefault="001D561A" w:rsidP="00121658">
            <w:pPr>
              <w:spacing w:before="0" w:line="240" w:lineRule="auto"/>
              <w:jc w:val="left"/>
              <w:rPr>
                <w:sz w:val="20"/>
                <w:szCs w:val="20"/>
              </w:rPr>
            </w:pPr>
          </w:p>
        </w:tc>
        <w:tc>
          <w:tcPr>
            <w:tcW w:w="99" w:type="pct"/>
            <w:vAlign w:val="center"/>
          </w:tcPr>
          <w:p w:rsidR="001D561A" w:rsidRPr="00CF3FEC" w:rsidRDefault="001D561A" w:rsidP="00121658">
            <w:pPr>
              <w:spacing w:before="0" w:line="240" w:lineRule="auto"/>
              <w:jc w:val="left"/>
              <w:rPr>
                <w:sz w:val="20"/>
                <w:szCs w:val="20"/>
              </w:rPr>
            </w:pPr>
          </w:p>
        </w:tc>
        <w:tc>
          <w:tcPr>
            <w:tcW w:w="546" w:type="pct"/>
            <w:vAlign w:val="center"/>
          </w:tcPr>
          <w:p w:rsidR="001D561A" w:rsidRPr="00CF3FEC" w:rsidRDefault="001D561A" w:rsidP="00121658">
            <w:pPr>
              <w:spacing w:before="0" w:line="240" w:lineRule="auto"/>
              <w:jc w:val="left"/>
              <w:rPr>
                <w:sz w:val="20"/>
                <w:szCs w:val="20"/>
              </w:rPr>
            </w:pPr>
          </w:p>
        </w:tc>
        <w:tc>
          <w:tcPr>
            <w:tcW w:w="91" w:type="pct"/>
            <w:tcBorders>
              <w:right w:val="single" w:sz="4" w:space="0" w:color="auto"/>
            </w:tcBorders>
            <w:vAlign w:val="center"/>
          </w:tcPr>
          <w:p w:rsidR="001D561A" w:rsidRPr="00CF3FEC" w:rsidRDefault="001D561A" w:rsidP="00121658">
            <w:pPr>
              <w:spacing w:before="0" w:line="240" w:lineRule="auto"/>
              <w:jc w:val="left"/>
              <w:rPr>
                <w:sz w:val="20"/>
                <w:szCs w:val="20"/>
              </w:rPr>
            </w:pPr>
          </w:p>
        </w:tc>
        <w:tc>
          <w:tcPr>
            <w:tcW w:w="1796" w:type="pct"/>
            <w:gridSpan w:val="5"/>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 xml:space="preserve">Therapy goals unmet or clinical worsening on </w:t>
            </w:r>
            <w:r>
              <w:rPr>
                <w:sz w:val="20"/>
                <w:szCs w:val="20"/>
              </w:rPr>
              <w:t>oral monotherapy</w:t>
            </w:r>
            <w:r>
              <w:rPr>
                <w:sz w:val="20"/>
                <w:szCs w:val="20"/>
              </w:rPr>
              <w:br/>
              <w:t xml:space="preserve"> – </w:t>
            </w:r>
            <w:r w:rsidRPr="00CF3FEC">
              <w:rPr>
                <w:sz w:val="20"/>
                <w:szCs w:val="20"/>
              </w:rPr>
              <w:t xml:space="preserve">See </w:t>
            </w:r>
            <w:r w:rsidR="00D63371" w:rsidRPr="00D63371">
              <w:rPr>
                <w:sz w:val="20"/>
                <w:szCs w:val="20"/>
              </w:rPr>
              <w:t>Table 1.6</w:t>
            </w:r>
            <w:r w:rsidR="00D63371" w:rsidRPr="00250EDE">
              <w:t xml:space="preserve"> </w:t>
            </w:r>
            <w:r w:rsidR="00D63371">
              <w:tab/>
              <w:t>PAH pharmacotherapy – patient groups receiving combination therapy</w:t>
            </w:r>
          </w:p>
        </w:tc>
        <w:tc>
          <w:tcPr>
            <w:tcW w:w="99" w:type="pct"/>
            <w:tcBorders>
              <w:left w:val="single" w:sz="4" w:space="0" w:color="auto"/>
              <w:right w:val="single" w:sz="4" w:space="0" w:color="auto"/>
            </w:tcBorders>
          </w:tcPr>
          <w:p w:rsidR="001D561A" w:rsidRPr="00CF3FEC" w:rsidRDefault="001D561A" w:rsidP="00121658">
            <w:pPr>
              <w:spacing w:before="0" w:line="240" w:lineRule="auto"/>
              <w:jc w:val="left"/>
              <w:rPr>
                <w:sz w:val="20"/>
                <w:szCs w:val="20"/>
              </w:rPr>
            </w:pPr>
          </w:p>
        </w:tc>
        <w:tc>
          <w:tcPr>
            <w:tcW w:w="1190" w:type="pct"/>
            <w:gridSpan w:val="3"/>
            <w:tcBorders>
              <w:top w:val="single" w:sz="4" w:space="0" w:color="auto"/>
              <w:left w:val="single" w:sz="4" w:space="0" w:color="auto"/>
              <w:bottom w:val="single" w:sz="4" w:space="0" w:color="auto"/>
              <w:right w:val="single" w:sz="4" w:space="0" w:color="auto"/>
            </w:tcBorders>
            <w:vAlign w:val="center"/>
          </w:tcPr>
          <w:p w:rsidR="001D561A" w:rsidRPr="00CF3FEC" w:rsidRDefault="001D561A" w:rsidP="00121658">
            <w:pPr>
              <w:spacing w:before="0" w:line="240" w:lineRule="auto"/>
              <w:jc w:val="left"/>
              <w:rPr>
                <w:sz w:val="20"/>
                <w:szCs w:val="20"/>
              </w:rPr>
            </w:pPr>
            <w:r w:rsidRPr="00CF3FEC">
              <w:rPr>
                <w:sz w:val="20"/>
                <w:szCs w:val="20"/>
              </w:rPr>
              <w:t xml:space="preserve">Therapy goals unmet or clinical worsening on </w:t>
            </w:r>
            <w:r>
              <w:rPr>
                <w:sz w:val="20"/>
                <w:szCs w:val="20"/>
              </w:rPr>
              <w:t xml:space="preserve">prostanoid monotherapy – </w:t>
            </w:r>
            <w:r w:rsidRPr="00CF3FEC">
              <w:rPr>
                <w:sz w:val="20"/>
                <w:szCs w:val="20"/>
              </w:rPr>
              <w:t xml:space="preserve">See </w:t>
            </w:r>
            <w:r w:rsidR="00D63371" w:rsidRPr="00D63371">
              <w:rPr>
                <w:sz w:val="20"/>
                <w:szCs w:val="20"/>
              </w:rPr>
              <w:t>Table 1.6</w:t>
            </w:r>
            <w:r w:rsidR="00D63371" w:rsidRPr="00250EDE">
              <w:t xml:space="preserve"> </w:t>
            </w:r>
            <w:r w:rsidR="00D63371">
              <w:tab/>
              <w:t>PAH pharmacotherapy – patient groups receiving combination therapy</w:t>
            </w:r>
          </w:p>
        </w:tc>
      </w:tr>
    </w:tbl>
    <w:p w:rsidR="001D561A" w:rsidRDefault="001D561A" w:rsidP="00121658">
      <w:pPr>
        <w:pStyle w:val="Tablenote"/>
        <w:spacing w:before="60"/>
        <w:rPr>
          <w:rFonts w:ascii="Arial Narrow" w:hAnsi="Arial Narrow"/>
        </w:rPr>
      </w:pPr>
      <w:r>
        <w:rPr>
          <w:rFonts w:ascii="Arial Narrow" w:hAnsi="Arial Narrow"/>
        </w:rPr>
        <w:t>*If on ambrisentan 5mg with unmet therapy goals only, first increase to 10mg</w:t>
      </w:r>
    </w:p>
    <w:p w:rsidR="001D561A" w:rsidRPr="00CF3FEC" w:rsidRDefault="001D561A" w:rsidP="00121658">
      <w:pPr>
        <w:pStyle w:val="Tablenote"/>
        <w:rPr>
          <w:rFonts w:ascii="Arial Narrow" w:hAnsi="Arial Narrow"/>
        </w:rPr>
      </w:pPr>
      <w:r w:rsidRPr="00CF3FEC">
        <w:rPr>
          <w:rFonts w:ascii="Arial Narrow" w:hAnsi="Arial Narrow"/>
        </w:rPr>
        <w:t xml:space="preserve">Note: Medicines not available in Australia are not included here, thus oral </w:t>
      </w:r>
      <w:r w:rsidR="00517C17">
        <w:rPr>
          <w:rFonts w:ascii="Arial Narrow" w:hAnsi="Arial Narrow"/>
        </w:rPr>
        <w:t>medicine</w:t>
      </w:r>
      <w:r w:rsidRPr="00CF3FEC">
        <w:rPr>
          <w:rFonts w:ascii="Arial Narrow" w:hAnsi="Arial Narrow"/>
        </w:rPr>
        <w:t xml:space="preserve"> only includes ERAs, </w:t>
      </w:r>
      <w:r w:rsidR="00AF191D">
        <w:rPr>
          <w:rFonts w:ascii="Arial Narrow" w:hAnsi="Arial Narrow"/>
        </w:rPr>
        <w:t>PDE</w:t>
      </w:r>
      <w:r w:rsidR="00AF191D">
        <w:rPr>
          <w:rFonts w:ascii="Arial Narrow" w:hAnsi="Arial Narrow"/>
        </w:rPr>
        <w:noBreakHyphen/>
        <w:t>5</w:t>
      </w:r>
      <w:r w:rsidRPr="00CF3FEC">
        <w:rPr>
          <w:rFonts w:ascii="Arial Narrow" w:hAnsi="Arial Narrow"/>
        </w:rPr>
        <w:t xml:space="preserve"> inhibitors and riociguat; prostanoid only includes epoprostenol and iloprost</w:t>
      </w:r>
      <w:r>
        <w:rPr>
          <w:rFonts w:ascii="Arial Narrow" w:hAnsi="Arial Narrow"/>
        </w:rPr>
        <w:t xml:space="preserve">. </w:t>
      </w:r>
    </w:p>
    <w:p w:rsidR="001D561A" w:rsidRPr="00311927" w:rsidRDefault="001D561A" w:rsidP="00121658">
      <w:pPr>
        <w:pStyle w:val="Tablenote"/>
        <w:spacing w:after="0"/>
        <w:rPr>
          <w:rFonts w:ascii="Arial Narrow" w:hAnsi="Arial Narrow"/>
        </w:rPr>
      </w:pPr>
      <w:r w:rsidRPr="00CF3FEC">
        <w:rPr>
          <w:rFonts w:ascii="Arial Narrow" w:hAnsi="Arial Narrow"/>
        </w:rPr>
        <w:t xml:space="preserve">Source: Guideline </w:t>
      </w:r>
      <w:r w:rsidR="00901B9B">
        <w:rPr>
          <w:rFonts w:ascii="Arial Narrow" w:hAnsi="Arial Narrow"/>
        </w:rPr>
        <w:t>recommendations from sources in Table 1.1.</w:t>
      </w:r>
      <w:r>
        <w:rPr>
          <w:rFonts w:ascii="Arial Narrow" w:hAnsi="Arial Narrow"/>
        </w:rPr>
        <w:t xml:space="preserve"> </w:t>
      </w:r>
      <w:r>
        <w:rPr>
          <w:sz w:val="8"/>
          <w:szCs w:val="16"/>
        </w:rPr>
        <w:br w:type="page"/>
      </w:r>
    </w:p>
    <w:p w:rsidR="001D561A" w:rsidRDefault="00250EDE" w:rsidP="00250EDE">
      <w:pPr>
        <w:pStyle w:val="Caption"/>
        <w:jc w:val="left"/>
      </w:pPr>
      <w:bookmarkStart w:id="157" w:name="_Ref510794857"/>
      <w:bookmarkStart w:id="158" w:name="_Ref508896232"/>
      <w:bookmarkStart w:id="159" w:name="_Toc513107632"/>
      <w:r>
        <w:t>Table 1.</w:t>
      </w:r>
      <w:r w:rsidR="00D63371">
        <w:rPr>
          <w:noProof/>
        </w:rPr>
        <w:t>6</w:t>
      </w:r>
      <w:bookmarkEnd w:id="157"/>
      <w:r w:rsidRPr="00250EDE">
        <w:t xml:space="preserve"> </w:t>
      </w:r>
      <w:r>
        <w:tab/>
        <w:t>PAH pharmacotherapy – patient groups receiving combination therapy</w:t>
      </w:r>
      <w:bookmarkEnd w:id="158"/>
      <w:bookmarkEnd w:id="159"/>
    </w:p>
    <w:tbl>
      <w:tblPr>
        <w:tblStyle w:val="TableGrid"/>
        <w:tblpPr w:leftFromText="180" w:rightFromText="180" w:vertAnchor="text" w:tblpY="1"/>
        <w:tblOverlap w:val="never"/>
        <w:tblW w:w="49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AH pharmacotherapy – patient groups receiving combination therapy "/>
      </w:tblPr>
      <w:tblGrid>
        <w:gridCol w:w="1751"/>
        <w:gridCol w:w="283"/>
        <w:gridCol w:w="1701"/>
        <w:gridCol w:w="310"/>
        <w:gridCol w:w="1817"/>
        <w:gridCol w:w="307"/>
        <w:gridCol w:w="1704"/>
        <w:gridCol w:w="283"/>
        <w:gridCol w:w="1534"/>
        <w:gridCol w:w="283"/>
        <w:gridCol w:w="1740"/>
        <w:gridCol w:w="285"/>
        <w:gridCol w:w="1696"/>
        <w:gridCol w:w="27"/>
      </w:tblGrid>
      <w:tr w:rsidR="00A705D5" w:rsidRPr="00CF3FEC" w:rsidTr="00103864">
        <w:trPr>
          <w:cnfStyle w:val="100000000000" w:firstRow="1" w:lastRow="0" w:firstColumn="0" w:lastColumn="0" w:oddVBand="0" w:evenVBand="0" w:oddHBand="0" w:evenHBand="0" w:firstRowFirstColumn="0" w:firstRowLastColumn="0" w:lastRowFirstColumn="0" w:lastRowLastColumn="0"/>
        </w:trPr>
        <w:tc>
          <w:tcPr>
            <w:tcW w:w="638" w:type="pct"/>
            <w:tcBorders>
              <w:bottom w:val="single" w:sz="24" w:space="0" w:color="FFC000"/>
            </w:tcBorders>
            <w:shd w:val="clear" w:color="auto" w:fill="FFFFFF" w:themeFill="background1"/>
            <w:vAlign w:val="center"/>
          </w:tcPr>
          <w:p w:rsidR="002075E2" w:rsidRPr="00CF3FEC" w:rsidRDefault="002075E2" w:rsidP="00121658">
            <w:pPr>
              <w:spacing w:before="0" w:line="240" w:lineRule="auto"/>
              <w:jc w:val="left"/>
              <w:rPr>
                <w:sz w:val="20"/>
                <w:szCs w:val="20"/>
              </w:rPr>
            </w:pPr>
            <w:r w:rsidRPr="00CF3FEC">
              <w:rPr>
                <w:b/>
                <w:color w:val="4F81BD" w:themeColor="accent1"/>
                <w:sz w:val="20"/>
                <w:szCs w:val="20"/>
              </w:rPr>
              <w:t>Treatment naive</w:t>
            </w:r>
          </w:p>
        </w:tc>
        <w:tc>
          <w:tcPr>
            <w:tcW w:w="103" w:type="pct"/>
            <w:shd w:val="clear" w:color="auto" w:fill="FFFFFF" w:themeFill="background1"/>
          </w:tcPr>
          <w:p w:rsidR="002075E2" w:rsidRPr="00CF3FEC" w:rsidRDefault="002075E2" w:rsidP="00121658">
            <w:pPr>
              <w:spacing w:before="0" w:line="240" w:lineRule="auto"/>
              <w:jc w:val="left"/>
              <w:rPr>
                <w:sz w:val="20"/>
                <w:szCs w:val="20"/>
              </w:rPr>
            </w:pPr>
          </w:p>
        </w:tc>
        <w:tc>
          <w:tcPr>
            <w:tcW w:w="620" w:type="pct"/>
            <w:tcBorders>
              <w:bottom w:val="single" w:sz="24" w:space="0" w:color="FFC000"/>
            </w:tcBorders>
            <w:shd w:val="clear" w:color="auto" w:fill="FFFFFF" w:themeFill="background1"/>
            <w:vAlign w:val="center"/>
          </w:tcPr>
          <w:p w:rsidR="002075E2" w:rsidRPr="00B67B27" w:rsidRDefault="002075E2" w:rsidP="00121658">
            <w:pPr>
              <w:spacing w:before="0" w:line="240" w:lineRule="auto"/>
              <w:jc w:val="left"/>
              <w:rPr>
                <w:b/>
                <w:color w:val="E36C0A" w:themeColor="accent6" w:themeShade="BF"/>
                <w:sz w:val="20"/>
                <w:szCs w:val="20"/>
              </w:rPr>
            </w:pPr>
            <w:r w:rsidRPr="00B67B27">
              <w:rPr>
                <w:b/>
                <w:color w:val="E36C0A" w:themeColor="accent6" w:themeShade="BF"/>
                <w:sz w:val="20"/>
                <w:szCs w:val="20"/>
              </w:rPr>
              <w:t>Previously treated</w:t>
            </w:r>
          </w:p>
        </w:tc>
        <w:tc>
          <w:tcPr>
            <w:tcW w:w="113" w:type="pct"/>
            <w:tcBorders>
              <w:bottom w:val="single" w:sz="24" w:space="0" w:color="FFC000"/>
            </w:tcBorders>
            <w:shd w:val="clear" w:color="auto" w:fill="FFFFFF" w:themeFill="background1"/>
          </w:tcPr>
          <w:p w:rsidR="002075E2" w:rsidRPr="00CF3FEC" w:rsidRDefault="002075E2" w:rsidP="00121658">
            <w:pPr>
              <w:spacing w:before="0" w:line="240" w:lineRule="auto"/>
              <w:jc w:val="left"/>
              <w:rPr>
                <w:sz w:val="20"/>
                <w:szCs w:val="20"/>
              </w:rPr>
            </w:pPr>
          </w:p>
        </w:tc>
        <w:tc>
          <w:tcPr>
            <w:tcW w:w="662" w:type="pct"/>
            <w:tcBorders>
              <w:bottom w:val="single" w:sz="24" w:space="0" w:color="FFC000"/>
            </w:tcBorders>
            <w:shd w:val="clear" w:color="auto" w:fill="FFFFFF" w:themeFill="background1"/>
            <w:vAlign w:val="center"/>
          </w:tcPr>
          <w:p w:rsidR="002075E2" w:rsidRPr="00CF3FEC" w:rsidRDefault="002075E2" w:rsidP="00121658">
            <w:pPr>
              <w:spacing w:before="0" w:line="240" w:lineRule="auto"/>
              <w:jc w:val="left"/>
              <w:rPr>
                <w:sz w:val="20"/>
                <w:szCs w:val="20"/>
              </w:rPr>
            </w:pPr>
            <w:r w:rsidRPr="00B67B27">
              <w:rPr>
                <w:b/>
                <w:color w:val="E36C0A" w:themeColor="accent6" w:themeShade="BF"/>
                <w:sz w:val="20"/>
                <w:szCs w:val="20"/>
              </w:rPr>
              <w:t>Previously treated</w:t>
            </w:r>
          </w:p>
        </w:tc>
        <w:tc>
          <w:tcPr>
            <w:tcW w:w="112" w:type="pct"/>
            <w:shd w:val="clear" w:color="auto" w:fill="FFFFFF" w:themeFill="background1"/>
            <w:vAlign w:val="center"/>
          </w:tcPr>
          <w:p w:rsidR="002075E2" w:rsidRPr="00CF3FEC" w:rsidRDefault="002075E2" w:rsidP="00121658">
            <w:pPr>
              <w:spacing w:before="0" w:line="240" w:lineRule="auto"/>
              <w:jc w:val="left"/>
              <w:rPr>
                <w:sz w:val="20"/>
                <w:szCs w:val="20"/>
              </w:rPr>
            </w:pPr>
          </w:p>
        </w:tc>
        <w:tc>
          <w:tcPr>
            <w:tcW w:w="621" w:type="pct"/>
            <w:tcBorders>
              <w:bottom w:val="single" w:sz="24" w:space="0" w:color="FFC000"/>
            </w:tcBorders>
            <w:shd w:val="clear" w:color="auto" w:fill="FFFFFF" w:themeFill="background1"/>
            <w:vAlign w:val="center"/>
          </w:tcPr>
          <w:p w:rsidR="002075E2" w:rsidRPr="00CF3FEC" w:rsidRDefault="002075E2" w:rsidP="00121658">
            <w:pPr>
              <w:spacing w:before="0" w:line="240" w:lineRule="auto"/>
              <w:jc w:val="left"/>
              <w:rPr>
                <w:b/>
                <w:color w:val="4F81BD" w:themeColor="accent1"/>
                <w:sz w:val="20"/>
                <w:szCs w:val="20"/>
              </w:rPr>
            </w:pPr>
            <w:r w:rsidRPr="00B67B27">
              <w:rPr>
                <w:b/>
                <w:color w:val="E36C0A" w:themeColor="accent6" w:themeShade="BF"/>
                <w:sz w:val="20"/>
                <w:szCs w:val="20"/>
              </w:rPr>
              <w:t>Previously treated</w:t>
            </w:r>
          </w:p>
        </w:tc>
        <w:tc>
          <w:tcPr>
            <w:tcW w:w="103" w:type="pct"/>
            <w:shd w:val="clear" w:color="auto" w:fill="FFFFFF" w:themeFill="background1"/>
          </w:tcPr>
          <w:p w:rsidR="002075E2" w:rsidRPr="00CF3FEC" w:rsidRDefault="002075E2" w:rsidP="00121658">
            <w:pPr>
              <w:spacing w:before="0" w:line="240" w:lineRule="auto"/>
              <w:jc w:val="left"/>
              <w:rPr>
                <w:b/>
                <w:color w:val="4F81BD" w:themeColor="accent1"/>
                <w:sz w:val="20"/>
                <w:szCs w:val="20"/>
              </w:rPr>
            </w:pPr>
          </w:p>
        </w:tc>
        <w:tc>
          <w:tcPr>
            <w:tcW w:w="559" w:type="pct"/>
            <w:tcBorders>
              <w:bottom w:val="single" w:sz="24" w:space="0" w:color="C00000"/>
            </w:tcBorders>
            <w:shd w:val="clear" w:color="auto" w:fill="FFFFFF" w:themeFill="background1"/>
            <w:vAlign w:val="center"/>
          </w:tcPr>
          <w:p w:rsidR="002075E2" w:rsidRPr="00CF3FEC" w:rsidRDefault="002075E2" w:rsidP="00121658">
            <w:pPr>
              <w:spacing w:before="0" w:line="240" w:lineRule="auto"/>
              <w:jc w:val="left"/>
              <w:rPr>
                <w:b/>
                <w:color w:val="4F81BD" w:themeColor="accent1"/>
                <w:sz w:val="20"/>
                <w:szCs w:val="20"/>
              </w:rPr>
            </w:pPr>
            <w:r w:rsidRPr="00CF3FEC">
              <w:rPr>
                <w:b/>
                <w:color w:val="4F81BD" w:themeColor="accent1"/>
                <w:sz w:val="20"/>
                <w:szCs w:val="20"/>
              </w:rPr>
              <w:t>Treatment naive</w:t>
            </w:r>
          </w:p>
        </w:tc>
        <w:tc>
          <w:tcPr>
            <w:tcW w:w="103" w:type="pct"/>
            <w:shd w:val="clear" w:color="auto" w:fill="FFFFFF" w:themeFill="background1"/>
            <w:vAlign w:val="center"/>
          </w:tcPr>
          <w:p w:rsidR="002075E2" w:rsidRPr="00CF3FEC" w:rsidRDefault="002075E2" w:rsidP="00121658">
            <w:pPr>
              <w:spacing w:before="0" w:line="240" w:lineRule="auto"/>
              <w:jc w:val="left"/>
              <w:rPr>
                <w:sz w:val="20"/>
                <w:szCs w:val="20"/>
              </w:rPr>
            </w:pPr>
          </w:p>
        </w:tc>
        <w:tc>
          <w:tcPr>
            <w:tcW w:w="634" w:type="pct"/>
            <w:tcBorders>
              <w:bottom w:val="single" w:sz="24" w:space="0" w:color="C00000"/>
            </w:tcBorders>
            <w:shd w:val="clear" w:color="auto" w:fill="FFFFFF" w:themeFill="background1"/>
            <w:vAlign w:val="center"/>
          </w:tcPr>
          <w:p w:rsidR="002075E2" w:rsidRPr="00CF3FEC" w:rsidRDefault="002075E2" w:rsidP="00121658">
            <w:pPr>
              <w:spacing w:before="0" w:line="240" w:lineRule="auto"/>
              <w:jc w:val="left"/>
              <w:rPr>
                <w:sz w:val="20"/>
                <w:szCs w:val="20"/>
              </w:rPr>
            </w:pPr>
            <w:r w:rsidRPr="00B67B27">
              <w:rPr>
                <w:b/>
                <w:color w:val="E36C0A" w:themeColor="accent6" w:themeShade="BF"/>
                <w:sz w:val="20"/>
                <w:szCs w:val="20"/>
              </w:rPr>
              <w:t>Previously treated</w:t>
            </w:r>
          </w:p>
        </w:tc>
        <w:tc>
          <w:tcPr>
            <w:tcW w:w="104" w:type="pct"/>
            <w:shd w:val="clear" w:color="auto" w:fill="FFFFFF" w:themeFill="background1"/>
            <w:vAlign w:val="center"/>
          </w:tcPr>
          <w:p w:rsidR="002075E2" w:rsidRPr="00CF3FEC" w:rsidRDefault="002075E2" w:rsidP="00121658">
            <w:pPr>
              <w:spacing w:before="0" w:line="240" w:lineRule="auto"/>
              <w:jc w:val="left"/>
              <w:rPr>
                <w:sz w:val="20"/>
                <w:szCs w:val="20"/>
              </w:rPr>
            </w:pPr>
          </w:p>
        </w:tc>
        <w:tc>
          <w:tcPr>
            <w:tcW w:w="630" w:type="pct"/>
            <w:gridSpan w:val="2"/>
            <w:tcBorders>
              <w:bottom w:val="single" w:sz="24" w:space="0" w:color="C00000"/>
            </w:tcBorders>
            <w:shd w:val="clear" w:color="auto" w:fill="FFFFFF" w:themeFill="background1"/>
            <w:vAlign w:val="center"/>
          </w:tcPr>
          <w:p w:rsidR="002075E2" w:rsidRPr="00CF3FEC" w:rsidRDefault="002075E2" w:rsidP="00121658">
            <w:pPr>
              <w:spacing w:before="0" w:line="240" w:lineRule="auto"/>
              <w:jc w:val="left"/>
              <w:rPr>
                <w:b/>
                <w:color w:val="4F81BD" w:themeColor="accent1"/>
                <w:sz w:val="20"/>
                <w:szCs w:val="20"/>
              </w:rPr>
            </w:pPr>
            <w:r w:rsidRPr="00CF3FEC">
              <w:rPr>
                <w:b/>
                <w:color w:val="4F81BD" w:themeColor="accent1"/>
                <w:sz w:val="20"/>
                <w:szCs w:val="20"/>
              </w:rPr>
              <w:t>Treatment naive</w:t>
            </w:r>
          </w:p>
        </w:tc>
      </w:tr>
      <w:tr w:rsidR="002075E2" w:rsidRPr="00CF3FEC" w:rsidTr="00103864">
        <w:tc>
          <w:tcPr>
            <w:tcW w:w="638" w:type="pct"/>
            <w:tcBorders>
              <w:top w:val="single" w:sz="24" w:space="0" w:color="FFC000"/>
              <w:left w:val="single" w:sz="24" w:space="0" w:color="FFC000"/>
              <w:bottom w:val="single" w:sz="24" w:space="0" w:color="FFC000"/>
              <w:right w:val="single" w:sz="24" w:space="0" w:color="FFC000"/>
            </w:tcBorders>
            <w:vAlign w:val="center"/>
          </w:tcPr>
          <w:p w:rsidR="002075E2" w:rsidRPr="00CF3FEC" w:rsidRDefault="002075E2" w:rsidP="00121658">
            <w:pPr>
              <w:spacing w:before="0" w:line="240" w:lineRule="auto"/>
              <w:jc w:val="left"/>
              <w:rPr>
                <w:sz w:val="20"/>
                <w:szCs w:val="20"/>
              </w:rPr>
            </w:pPr>
            <w:r w:rsidRPr="00CF3FEC">
              <w:rPr>
                <w:sz w:val="20"/>
                <w:szCs w:val="20"/>
              </w:rPr>
              <w:t>WHO FC III; intermediate - high risk</w:t>
            </w:r>
          </w:p>
        </w:tc>
        <w:tc>
          <w:tcPr>
            <w:tcW w:w="103" w:type="pct"/>
            <w:tcBorders>
              <w:left w:val="single" w:sz="24" w:space="0" w:color="FFC000"/>
              <w:right w:val="single" w:sz="24" w:space="0" w:color="FFC000"/>
            </w:tcBorders>
          </w:tcPr>
          <w:p w:rsidR="002075E2" w:rsidRPr="00CF3FEC" w:rsidRDefault="002075E2" w:rsidP="00121658">
            <w:pPr>
              <w:spacing w:before="0" w:line="240" w:lineRule="auto"/>
              <w:jc w:val="left"/>
              <w:rPr>
                <w:sz w:val="20"/>
                <w:szCs w:val="20"/>
              </w:rPr>
            </w:pPr>
          </w:p>
        </w:tc>
        <w:tc>
          <w:tcPr>
            <w:tcW w:w="620" w:type="pct"/>
            <w:tcBorders>
              <w:top w:val="single" w:sz="24" w:space="0" w:color="FFC000"/>
              <w:left w:val="single" w:sz="24" w:space="0" w:color="FFC000"/>
              <w:bottom w:val="single" w:sz="24" w:space="0" w:color="FFC000"/>
            </w:tcBorders>
            <w:vAlign w:val="center"/>
          </w:tcPr>
          <w:p w:rsidR="002075E2" w:rsidRPr="00CF3FEC" w:rsidRDefault="002075E2" w:rsidP="00121658">
            <w:pPr>
              <w:spacing w:before="0" w:line="240" w:lineRule="auto"/>
              <w:jc w:val="left"/>
              <w:rPr>
                <w:sz w:val="20"/>
                <w:szCs w:val="20"/>
              </w:rPr>
            </w:pPr>
            <w:r w:rsidRPr="00CF3FEC">
              <w:rPr>
                <w:sz w:val="20"/>
                <w:szCs w:val="20"/>
              </w:rPr>
              <w:t>WHO FC III</w:t>
            </w:r>
          </w:p>
        </w:tc>
        <w:tc>
          <w:tcPr>
            <w:tcW w:w="113" w:type="pct"/>
            <w:tcBorders>
              <w:top w:val="single" w:sz="24" w:space="0" w:color="FFC000"/>
              <w:bottom w:val="single" w:sz="24" w:space="0" w:color="FFC000"/>
              <w:right w:val="nil"/>
            </w:tcBorders>
          </w:tcPr>
          <w:p w:rsidR="002075E2" w:rsidRPr="00CF3FEC" w:rsidRDefault="002075E2" w:rsidP="00121658">
            <w:pPr>
              <w:spacing w:before="0" w:line="240" w:lineRule="auto"/>
              <w:jc w:val="left"/>
              <w:rPr>
                <w:sz w:val="20"/>
                <w:szCs w:val="20"/>
              </w:rPr>
            </w:pPr>
          </w:p>
        </w:tc>
        <w:tc>
          <w:tcPr>
            <w:tcW w:w="662" w:type="pct"/>
            <w:tcBorders>
              <w:top w:val="single" w:sz="24" w:space="0" w:color="FFC000"/>
              <w:left w:val="nil"/>
              <w:bottom w:val="single" w:sz="24" w:space="0" w:color="FFC000"/>
              <w:right w:val="single" w:sz="24" w:space="0" w:color="FFC000"/>
            </w:tcBorders>
            <w:vAlign w:val="center"/>
          </w:tcPr>
          <w:p w:rsidR="002075E2" w:rsidRPr="00CF3FEC" w:rsidRDefault="002075E2" w:rsidP="00121658">
            <w:pPr>
              <w:spacing w:before="0" w:line="240" w:lineRule="auto"/>
              <w:jc w:val="left"/>
              <w:rPr>
                <w:sz w:val="20"/>
                <w:szCs w:val="20"/>
              </w:rPr>
            </w:pPr>
            <w:r w:rsidRPr="00CF3FEC">
              <w:rPr>
                <w:sz w:val="20"/>
                <w:szCs w:val="20"/>
              </w:rPr>
              <w:t>WHO FC III</w:t>
            </w:r>
          </w:p>
        </w:tc>
        <w:tc>
          <w:tcPr>
            <w:tcW w:w="112" w:type="pct"/>
            <w:tcBorders>
              <w:left w:val="single" w:sz="24" w:space="0" w:color="FFC000"/>
              <w:right w:val="single" w:sz="24" w:space="0" w:color="FFC000"/>
            </w:tcBorders>
            <w:vAlign w:val="center"/>
          </w:tcPr>
          <w:p w:rsidR="002075E2" w:rsidRPr="00CF3FEC" w:rsidRDefault="002075E2" w:rsidP="00121658">
            <w:pPr>
              <w:spacing w:before="0" w:line="240" w:lineRule="auto"/>
              <w:jc w:val="left"/>
              <w:rPr>
                <w:sz w:val="20"/>
                <w:szCs w:val="20"/>
              </w:rPr>
            </w:pPr>
          </w:p>
        </w:tc>
        <w:tc>
          <w:tcPr>
            <w:tcW w:w="621" w:type="pct"/>
            <w:tcBorders>
              <w:top w:val="single" w:sz="24" w:space="0" w:color="FFC000"/>
              <w:left w:val="single" w:sz="24" w:space="0" w:color="FFC000"/>
              <w:bottom w:val="single" w:sz="24" w:space="0" w:color="C00000"/>
              <w:right w:val="single" w:sz="24" w:space="0" w:color="C00000"/>
            </w:tcBorders>
            <w:vAlign w:val="center"/>
          </w:tcPr>
          <w:p w:rsidR="002075E2" w:rsidRPr="00CF3FEC" w:rsidRDefault="002075E2" w:rsidP="00121658">
            <w:pPr>
              <w:spacing w:before="0" w:line="240" w:lineRule="auto"/>
              <w:jc w:val="left"/>
              <w:rPr>
                <w:sz w:val="20"/>
                <w:szCs w:val="20"/>
              </w:rPr>
            </w:pPr>
            <w:r>
              <w:rPr>
                <w:sz w:val="20"/>
                <w:szCs w:val="20"/>
              </w:rPr>
              <w:t>WHO FC III/IV</w:t>
            </w:r>
          </w:p>
        </w:tc>
        <w:tc>
          <w:tcPr>
            <w:tcW w:w="103" w:type="pct"/>
            <w:tcBorders>
              <w:left w:val="single" w:sz="24" w:space="0" w:color="C00000"/>
              <w:right w:val="single" w:sz="24" w:space="0" w:color="C00000"/>
            </w:tcBorders>
          </w:tcPr>
          <w:p w:rsidR="002075E2" w:rsidRPr="00CF3FEC" w:rsidRDefault="002075E2" w:rsidP="00121658">
            <w:pPr>
              <w:spacing w:before="0" w:line="240" w:lineRule="auto"/>
              <w:jc w:val="left"/>
              <w:rPr>
                <w:sz w:val="20"/>
                <w:szCs w:val="20"/>
              </w:rPr>
            </w:pPr>
          </w:p>
        </w:tc>
        <w:tc>
          <w:tcPr>
            <w:tcW w:w="559" w:type="pct"/>
            <w:tcBorders>
              <w:top w:val="single" w:sz="24" w:space="0" w:color="C00000"/>
              <w:left w:val="single" w:sz="24" w:space="0" w:color="C00000"/>
              <w:bottom w:val="single" w:sz="24" w:space="0" w:color="C00000"/>
              <w:right w:val="single" w:sz="24" w:space="0" w:color="C00000"/>
            </w:tcBorders>
            <w:vAlign w:val="center"/>
          </w:tcPr>
          <w:p w:rsidR="002075E2" w:rsidRPr="00CF3FEC" w:rsidRDefault="002075E2" w:rsidP="00121658">
            <w:pPr>
              <w:spacing w:before="0" w:line="240" w:lineRule="auto"/>
              <w:jc w:val="left"/>
              <w:rPr>
                <w:sz w:val="20"/>
                <w:szCs w:val="20"/>
              </w:rPr>
            </w:pPr>
            <w:r w:rsidRPr="00CF3FEC">
              <w:rPr>
                <w:sz w:val="20"/>
                <w:szCs w:val="20"/>
              </w:rPr>
              <w:t>WHO FC IV</w:t>
            </w:r>
          </w:p>
        </w:tc>
        <w:tc>
          <w:tcPr>
            <w:tcW w:w="103" w:type="pct"/>
            <w:tcBorders>
              <w:left w:val="single" w:sz="24" w:space="0" w:color="C00000"/>
              <w:right w:val="single" w:sz="24" w:space="0" w:color="C00000"/>
            </w:tcBorders>
            <w:vAlign w:val="center"/>
          </w:tcPr>
          <w:p w:rsidR="002075E2" w:rsidRPr="00CF3FEC" w:rsidRDefault="002075E2" w:rsidP="00121658">
            <w:pPr>
              <w:spacing w:before="0" w:line="240" w:lineRule="auto"/>
              <w:jc w:val="left"/>
              <w:rPr>
                <w:sz w:val="20"/>
                <w:szCs w:val="20"/>
              </w:rPr>
            </w:pPr>
          </w:p>
        </w:tc>
        <w:tc>
          <w:tcPr>
            <w:tcW w:w="634" w:type="pct"/>
            <w:tcBorders>
              <w:top w:val="single" w:sz="24" w:space="0" w:color="C00000"/>
              <w:left w:val="single" w:sz="24" w:space="0" w:color="C00000"/>
              <w:bottom w:val="single" w:sz="24" w:space="0" w:color="C00000"/>
              <w:right w:val="single" w:sz="24" w:space="0" w:color="C00000"/>
            </w:tcBorders>
            <w:vAlign w:val="center"/>
          </w:tcPr>
          <w:p w:rsidR="002075E2" w:rsidRPr="00CF3FEC" w:rsidRDefault="002075E2" w:rsidP="00121658">
            <w:pPr>
              <w:spacing w:before="0" w:line="240" w:lineRule="auto"/>
              <w:jc w:val="left"/>
              <w:rPr>
                <w:sz w:val="20"/>
                <w:szCs w:val="20"/>
              </w:rPr>
            </w:pPr>
            <w:r w:rsidRPr="00CF3FEC">
              <w:rPr>
                <w:sz w:val="20"/>
                <w:szCs w:val="20"/>
              </w:rPr>
              <w:t>WHO FC IV</w:t>
            </w:r>
          </w:p>
        </w:tc>
        <w:tc>
          <w:tcPr>
            <w:tcW w:w="104" w:type="pct"/>
            <w:tcBorders>
              <w:left w:val="single" w:sz="24" w:space="0" w:color="C00000"/>
              <w:right w:val="single" w:sz="24" w:space="0" w:color="C00000"/>
            </w:tcBorders>
            <w:vAlign w:val="center"/>
          </w:tcPr>
          <w:p w:rsidR="002075E2" w:rsidRPr="00CF3FEC" w:rsidRDefault="002075E2" w:rsidP="00121658">
            <w:pPr>
              <w:spacing w:before="0" w:line="240" w:lineRule="auto"/>
              <w:jc w:val="left"/>
              <w:rPr>
                <w:sz w:val="20"/>
                <w:szCs w:val="20"/>
              </w:rPr>
            </w:pPr>
          </w:p>
        </w:tc>
        <w:tc>
          <w:tcPr>
            <w:tcW w:w="630" w:type="pct"/>
            <w:gridSpan w:val="2"/>
            <w:tcBorders>
              <w:top w:val="single" w:sz="24" w:space="0" w:color="C00000"/>
              <w:left w:val="single" w:sz="24" w:space="0" w:color="C00000"/>
              <w:bottom w:val="single" w:sz="24" w:space="0" w:color="C00000"/>
              <w:right w:val="single" w:sz="24" w:space="0" w:color="C00000"/>
            </w:tcBorders>
            <w:vAlign w:val="center"/>
          </w:tcPr>
          <w:p w:rsidR="002075E2" w:rsidRPr="00CF3FEC" w:rsidRDefault="002075E2" w:rsidP="00121658">
            <w:pPr>
              <w:spacing w:before="0" w:line="240" w:lineRule="auto"/>
              <w:jc w:val="left"/>
              <w:rPr>
                <w:sz w:val="20"/>
                <w:szCs w:val="20"/>
              </w:rPr>
            </w:pPr>
            <w:r w:rsidRPr="00CF3FEC">
              <w:rPr>
                <w:sz w:val="20"/>
                <w:szCs w:val="20"/>
              </w:rPr>
              <w:t>WHO FC IV; high risk</w:t>
            </w:r>
          </w:p>
        </w:tc>
      </w:tr>
      <w:tr w:rsidR="002075E2" w:rsidRPr="00CF3FEC" w:rsidTr="002075E2">
        <w:tc>
          <w:tcPr>
            <w:tcW w:w="638" w:type="pct"/>
            <w:tcBorders>
              <w:top w:val="single" w:sz="24" w:space="0" w:color="FFC000"/>
            </w:tcBorders>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3" w:type="pct"/>
          </w:tcPr>
          <w:p w:rsidR="002075E2" w:rsidRPr="00CF3FEC" w:rsidRDefault="002075E2" w:rsidP="00121658">
            <w:pPr>
              <w:spacing w:before="0" w:line="240" w:lineRule="auto"/>
              <w:jc w:val="left"/>
              <w:rPr>
                <w:b/>
                <w:sz w:val="20"/>
                <w:szCs w:val="20"/>
              </w:rPr>
            </w:pPr>
          </w:p>
        </w:tc>
        <w:tc>
          <w:tcPr>
            <w:tcW w:w="620" w:type="pct"/>
            <w:tcBorders>
              <w:top w:val="single" w:sz="24" w:space="0" w:color="FFC000"/>
              <w:bottom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13" w:type="pct"/>
            <w:tcBorders>
              <w:top w:val="single" w:sz="24" w:space="0" w:color="FFC000"/>
            </w:tcBorders>
          </w:tcPr>
          <w:p w:rsidR="002075E2" w:rsidRPr="00CF3FEC" w:rsidRDefault="002075E2" w:rsidP="00121658">
            <w:pPr>
              <w:spacing w:before="0" w:line="240" w:lineRule="auto"/>
              <w:jc w:val="left"/>
              <w:rPr>
                <w:b/>
                <w:sz w:val="20"/>
                <w:szCs w:val="20"/>
              </w:rPr>
            </w:pPr>
          </w:p>
        </w:tc>
        <w:tc>
          <w:tcPr>
            <w:tcW w:w="662" w:type="pct"/>
            <w:tcBorders>
              <w:top w:val="single" w:sz="24" w:space="0" w:color="FFC000"/>
              <w:bottom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12" w:type="pct"/>
            <w:vAlign w:val="center"/>
          </w:tcPr>
          <w:p w:rsidR="002075E2" w:rsidRPr="00CF3FEC" w:rsidRDefault="002075E2" w:rsidP="00121658">
            <w:pPr>
              <w:spacing w:before="0" w:line="240" w:lineRule="auto"/>
              <w:jc w:val="left"/>
              <w:rPr>
                <w:b/>
                <w:sz w:val="20"/>
                <w:szCs w:val="20"/>
              </w:rPr>
            </w:pPr>
          </w:p>
        </w:tc>
        <w:tc>
          <w:tcPr>
            <w:tcW w:w="621" w:type="pct"/>
            <w:tcBorders>
              <w:top w:val="single" w:sz="24" w:space="0" w:color="C00000"/>
              <w:bottom w:val="single" w:sz="4" w:space="0" w:color="auto"/>
            </w:tcBorders>
          </w:tcPr>
          <w:p w:rsidR="002075E2" w:rsidRPr="00CF3FEC" w:rsidRDefault="002075E2" w:rsidP="00121658">
            <w:pPr>
              <w:spacing w:before="0" w:line="240" w:lineRule="auto"/>
              <w:jc w:val="left"/>
              <w:rPr>
                <w:b/>
                <w:sz w:val="20"/>
                <w:szCs w:val="20"/>
              </w:rPr>
            </w:pPr>
          </w:p>
        </w:tc>
        <w:tc>
          <w:tcPr>
            <w:tcW w:w="103" w:type="pct"/>
          </w:tcPr>
          <w:p w:rsidR="002075E2" w:rsidRPr="00CF3FEC" w:rsidRDefault="002075E2" w:rsidP="00121658">
            <w:pPr>
              <w:spacing w:before="0" w:line="240" w:lineRule="auto"/>
              <w:jc w:val="left"/>
              <w:rPr>
                <w:b/>
                <w:sz w:val="20"/>
                <w:szCs w:val="20"/>
              </w:rPr>
            </w:pPr>
          </w:p>
        </w:tc>
        <w:tc>
          <w:tcPr>
            <w:tcW w:w="559" w:type="pct"/>
            <w:tcBorders>
              <w:top w:val="single" w:sz="24" w:space="0" w:color="C00000"/>
              <w:bottom w:val="single" w:sz="4" w:space="0" w:color="auto"/>
            </w:tcBorders>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3" w:type="pct"/>
            <w:vAlign w:val="center"/>
          </w:tcPr>
          <w:p w:rsidR="002075E2" w:rsidRPr="00CF3FEC" w:rsidRDefault="002075E2" w:rsidP="00121658">
            <w:pPr>
              <w:spacing w:before="0" w:line="240" w:lineRule="auto"/>
              <w:jc w:val="left"/>
              <w:rPr>
                <w:b/>
                <w:sz w:val="20"/>
                <w:szCs w:val="20"/>
              </w:rPr>
            </w:pPr>
          </w:p>
        </w:tc>
        <w:tc>
          <w:tcPr>
            <w:tcW w:w="634" w:type="pct"/>
            <w:tcBorders>
              <w:top w:val="single" w:sz="24" w:space="0" w:color="C00000"/>
              <w:bottom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4" w:type="pct"/>
            <w:vAlign w:val="center"/>
          </w:tcPr>
          <w:p w:rsidR="002075E2" w:rsidRPr="00CF3FEC" w:rsidRDefault="002075E2" w:rsidP="00121658">
            <w:pPr>
              <w:spacing w:before="0" w:line="240" w:lineRule="auto"/>
              <w:jc w:val="left"/>
              <w:rPr>
                <w:b/>
                <w:sz w:val="20"/>
                <w:szCs w:val="20"/>
              </w:rPr>
            </w:pPr>
          </w:p>
        </w:tc>
        <w:tc>
          <w:tcPr>
            <w:tcW w:w="630" w:type="pct"/>
            <w:gridSpan w:val="2"/>
            <w:tcBorders>
              <w:top w:val="single" w:sz="24" w:space="0" w:color="C00000"/>
              <w:bottom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r>
      <w:tr w:rsidR="002075E2" w:rsidRPr="00CF3FEC" w:rsidTr="002075E2">
        <w:tc>
          <w:tcPr>
            <w:tcW w:w="638" w:type="pct"/>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03" w:type="pct"/>
            <w:tcBorders>
              <w:right w:val="single" w:sz="4" w:space="0" w:color="auto"/>
            </w:tcBorders>
          </w:tcPr>
          <w:p w:rsidR="002075E2" w:rsidRPr="00CF3FEC" w:rsidRDefault="002075E2" w:rsidP="00121658">
            <w:pPr>
              <w:spacing w:before="0" w:line="240" w:lineRule="auto"/>
              <w:jc w:val="left"/>
              <w:rPr>
                <w:sz w:val="20"/>
                <w:szCs w:val="20"/>
              </w:rPr>
            </w:pPr>
          </w:p>
        </w:tc>
        <w:tc>
          <w:tcPr>
            <w:tcW w:w="620" w:type="pct"/>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sidRPr="00CF3FEC">
              <w:rPr>
                <w:sz w:val="20"/>
                <w:szCs w:val="20"/>
              </w:rPr>
              <w:t xml:space="preserve">Patients stable on oral monotherapy but with unmet therapy goals </w:t>
            </w:r>
          </w:p>
        </w:tc>
        <w:tc>
          <w:tcPr>
            <w:tcW w:w="113" w:type="pct"/>
            <w:tcBorders>
              <w:left w:val="single" w:sz="4" w:space="0" w:color="auto"/>
              <w:right w:val="single" w:sz="4" w:space="0" w:color="auto"/>
            </w:tcBorders>
          </w:tcPr>
          <w:p w:rsidR="002075E2" w:rsidRPr="00CF3FEC" w:rsidRDefault="002075E2" w:rsidP="00121658">
            <w:pPr>
              <w:spacing w:before="0" w:line="240" w:lineRule="auto"/>
              <w:jc w:val="left"/>
              <w:rPr>
                <w:sz w:val="20"/>
                <w:szCs w:val="20"/>
              </w:rPr>
            </w:pPr>
          </w:p>
        </w:tc>
        <w:tc>
          <w:tcPr>
            <w:tcW w:w="662" w:type="pct"/>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sidRPr="00CF3FEC">
              <w:rPr>
                <w:sz w:val="20"/>
                <w:szCs w:val="20"/>
              </w:rPr>
              <w:t xml:space="preserve">Patients with </w:t>
            </w:r>
            <w:r>
              <w:rPr>
                <w:sz w:val="20"/>
                <w:szCs w:val="20"/>
              </w:rPr>
              <w:t xml:space="preserve">worsening / </w:t>
            </w:r>
            <w:r w:rsidRPr="00CF3FEC">
              <w:rPr>
                <w:sz w:val="20"/>
                <w:szCs w:val="20"/>
              </w:rPr>
              <w:t>progression on oral monotherapy</w:t>
            </w:r>
          </w:p>
        </w:tc>
        <w:tc>
          <w:tcPr>
            <w:tcW w:w="112" w:type="pct"/>
            <w:tcBorders>
              <w:left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Pr>
                <w:sz w:val="20"/>
                <w:szCs w:val="20"/>
              </w:rPr>
              <w:t>Patients with progression on prostanoid monotherapy</w:t>
            </w:r>
          </w:p>
        </w:tc>
        <w:tc>
          <w:tcPr>
            <w:tcW w:w="103" w:type="pct"/>
            <w:tcBorders>
              <w:left w:val="single" w:sz="4" w:space="0" w:color="auto"/>
              <w:right w:val="single" w:sz="4" w:space="0" w:color="auto"/>
            </w:tcBorders>
          </w:tcPr>
          <w:p w:rsidR="002075E2" w:rsidRPr="00CF3FEC" w:rsidRDefault="002075E2" w:rsidP="00121658">
            <w:pPr>
              <w:spacing w:before="0" w:line="240" w:lineRule="auto"/>
              <w:jc w:val="left"/>
              <w:rPr>
                <w:sz w:val="20"/>
                <w:szCs w:val="20"/>
              </w:rPr>
            </w:pPr>
          </w:p>
        </w:tc>
        <w:tc>
          <w:tcPr>
            <w:tcW w:w="559" w:type="pct"/>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sidRPr="00CF3FEC">
              <w:rPr>
                <w:sz w:val="20"/>
                <w:szCs w:val="20"/>
              </w:rPr>
              <w:t xml:space="preserve">Patient unwilling to take epoprostenol </w:t>
            </w:r>
          </w:p>
        </w:tc>
        <w:tc>
          <w:tcPr>
            <w:tcW w:w="103" w:type="pct"/>
            <w:tcBorders>
              <w:left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p>
        </w:tc>
        <w:tc>
          <w:tcPr>
            <w:tcW w:w="634" w:type="pct"/>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sidRPr="00CF3FEC">
              <w:rPr>
                <w:sz w:val="20"/>
                <w:szCs w:val="20"/>
              </w:rPr>
              <w:t>Patients with progression on dual therapy</w:t>
            </w:r>
          </w:p>
        </w:tc>
        <w:tc>
          <w:tcPr>
            <w:tcW w:w="104" w:type="pct"/>
            <w:tcBorders>
              <w:left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p>
        </w:tc>
        <w:tc>
          <w:tcPr>
            <w:tcW w:w="630" w:type="pct"/>
            <w:gridSpan w:val="2"/>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sidRPr="00CF3FEC">
              <w:rPr>
                <w:sz w:val="20"/>
                <w:szCs w:val="20"/>
              </w:rPr>
              <w:t>Features of right heart failure</w:t>
            </w:r>
          </w:p>
        </w:tc>
      </w:tr>
      <w:tr w:rsidR="002075E2" w:rsidRPr="00CF3FEC" w:rsidTr="002075E2">
        <w:tc>
          <w:tcPr>
            <w:tcW w:w="638" w:type="pct"/>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3" w:type="pct"/>
          </w:tcPr>
          <w:p w:rsidR="002075E2" w:rsidRPr="00CF3FEC" w:rsidRDefault="002075E2" w:rsidP="00121658">
            <w:pPr>
              <w:spacing w:before="0" w:line="240" w:lineRule="auto"/>
              <w:jc w:val="left"/>
              <w:rPr>
                <w:b/>
                <w:sz w:val="20"/>
                <w:szCs w:val="20"/>
              </w:rPr>
            </w:pPr>
          </w:p>
        </w:tc>
        <w:tc>
          <w:tcPr>
            <w:tcW w:w="620" w:type="pct"/>
            <w:tcBorders>
              <w:top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13" w:type="pct"/>
          </w:tcPr>
          <w:p w:rsidR="002075E2" w:rsidRPr="00CF3FEC" w:rsidRDefault="002075E2" w:rsidP="00121658">
            <w:pPr>
              <w:spacing w:before="0" w:line="240" w:lineRule="auto"/>
              <w:jc w:val="left"/>
              <w:rPr>
                <w:b/>
                <w:sz w:val="20"/>
                <w:szCs w:val="20"/>
              </w:rPr>
            </w:pPr>
          </w:p>
        </w:tc>
        <w:tc>
          <w:tcPr>
            <w:tcW w:w="662" w:type="pct"/>
            <w:tcBorders>
              <w:top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12" w:type="pct"/>
            <w:vAlign w:val="center"/>
          </w:tcPr>
          <w:p w:rsidR="002075E2" w:rsidRPr="00CF3FEC" w:rsidRDefault="002075E2" w:rsidP="00121658">
            <w:pPr>
              <w:spacing w:before="0" w:line="240" w:lineRule="auto"/>
              <w:jc w:val="left"/>
              <w:rPr>
                <w:b/>
                <w:sz w:val="20"/>
                <w:szCs w:val="20"/>
              </w:rPr>
            </w:pPr>
          </w:p>
        </w:tc>
        <w:tc>
          <w:tcPr>
            <w:tcW w:w="621" w:type="pct"/>
            <w:tcBorders>
              <w:top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3" w:type="pct"/>
          </w:tcPr>
          <w:p w:rsidR="002075E2" w:rsidRPr="00CF3FEC" w:rsidRDefault="002075E2" w:rsidP="00121658">
            <w:pPr>
              <w:spacing w:before="0" w:line="240" w:lineRule="auto"/>
              <w:jc w:val="left"/>
              <w:rPr>
                <w:b/>
                <w:sz w:val="20"/>
                <w:szCs w:val="20"/>
              </w:rPr>
            </w:pPr>
          </w:p>
        </w:tc>
        <w:tc>
          <w:tcPr>
            <w:tcW w:w="559" w:type="pct"/>
            <w:tcBorders>
              <w:top w:val="single" w:sz="4" w:space="0" w:color="auto"/>
              <w:bottom w:val="single" w:sz="4" w:space="0" w:color="auto"/>
            </w:tcBorders>
          </w:tcPr>
          <w:p w:rsidR="002075E2" w:rsidRPr="00CF3FEC" w:rsidRDefault="002075E2" w:rsidP="00121658">
            <w:pPr>
              <w:spacing w:before="0" w:line="240" w:lineRule="auto"/>
              <w:jc w:val="left"/>
              <w:rPr>
                <w:b/>
                <w:sz w:val="20"/>
                <w:szCs w:val="20"/>
              </w:rPr>
            </w:pPr>
            <w:r w:rsidRPr="00CF3FEC">
              <w:rPr>
                <w:b/>
                <w:sz w:val="20"/>
                <w:szCs w:val="20"/>
              </w:rPr>
              <w:t>OR</w:t>
            </w:r>
          </w:p>
        </w:tc>
        <w:tc>
          <w:tcPr>
            <w:tcW w:w="103" w:type="pct"/>
            <w:vAlign w:val="center"/>
          </w:tcPr>
          <w:p w:rsidR="002075E2" w:rsidRPr="00CF3FEC" w:rsidRDefault="002075E2" w:rsidP="00121658">
            <w:pPr>
              <w:spacing w:before="0" w:line="240" w:lineRule="auto"/>
              <w:jc w:val="left"/>
              <w:rPr>
                <w:b/>
                <w:sz w:val="20"/>
                <w:szCs w:val="20"/>
              </w:rPr>
            </w:pPr>
          </w:p>
        </w:tc>
        <w:tc>
          <w:tcPr>
            <w:tcW w:w="634" w:type="pct"/>
            <w:tcBorders>
              <w:top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4" w:type="pct"/>
            <w:vAlign w:val="center"/>
          </w:tcPr>
          <w:p w:rsidR="002075E2" w:rsidRPr="00CF3FEC" w:rsidRDefault="002075E2" w:rsidP="00121658">
            <w:pPr>
              <w:spacing w:before="0" w:line="240" w:lineRule="auto"/>
              <w:jc w:val="left"/>
              <w:rPr>
                <w:b/>
                <w:sz w:val="20"/>
                <w:szCs w:val="20"/>
              </w:rPr>
            </w:pPr>
          </w:p>
        </w:tc>
        <w:tc>
          <w:tcPr>
            <w:tcW w:w="630" w:type="pct"/>
            <w:gridSpan w:val="2"/>
            <w:tcBorders>
              <w:top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r>
      <w:tr w:rsidR="002075E2" w:rsidRPr="00CF3FEC" w:rsidTr="002075E2">
        <w:tc>
          <w:tcPr>
            <w:tcW w:w="638" w:type="pct"/>
            <w:vAlign w:val="center"/>
          </w:tcPr>
          <w:p w:rsidR="002075E2" w:rsidRPr="00CF3FEC" w:rsidRDefault="002075E2" w:rsidP="00121658">
            <w:pPr>
              <w:spacing w:before="0" w:line="240" w:lineRule="auto"/>
              <w:jc w:val="left"/>
              <w:rPr>
                <w:sz w:val="20"/>
                <w:szCs w:val="20"/>
              </w:rPr>
            </w:pPr>
          </w:p>
        </w:tc>
        <w:tc>
          <w:tcPr>
            <w:tcW w:w="103" w:type="pct"/>
          </w:tcPr>
          <w:p w:rsidR="002075E2" w:rsidRPr="00CF3FEC" w:rsidRDefault="002075E2" w:rsidP="00121658">
            <w:pPr>
              <w:spacing w:before="0" w:line="240" w:lineRule="auto"/>
              <w:jc w:val="left"/>
              <w:rPr>
                <w:sz w:val="20"/>
                <w:szCs w:val="20"/>
              </w:rPr>
            </w:pPr>
          </w:p>
        </w:tc>
        <w:tc>
          <w:tcPr>
            <w:tcW w:w="620" w:type="pct"/>
            <w:vAlign w:val="center"/>
          </w:tcPr>
          <w:p w:rsidR="002075E2" w:rsidRPr="00CF3FEC" w:rsidRDefault="002075E2" w:rsidP="00121658">
            <w:pPr>
              <w:spacing w:before="0" w:line="240" w:lineRule="auto"/>
              <w:jc w:val="left"/>
              <w:rPr>
                <w:sz w:val="20"/>
                <w:szCs w:val="20"/>
              </w:rPr>
            </w:pPr>
          </w:p>
        </w:tc>
        <w:tc>
          <w:tcPr>
            <w:tcW w:w="113" w:type="pct"/>
          </w:tcPr>
          <w:p w:rsidR="002075E2" w:rsidRPr="00CF3FEC" w:rsidRDefault="002075E2" w:rsidP="00121658">
            <w:pPr>
              <w:spacing w:before="0" w:line="240" w:lineRule="auto"/>
              <w:jc w:val="left"/>
              <w:rPr>
                <w:sz w:val="20"/>
                <w:szCs w:val="20"/>
              </w:rPr>
            </w:pPr>
          </w:p>
        </w:tc>
        <w:tc>
          <w:tcPr>
            <w:tcW w:w="662" w:type="pct"/>
            <w:vAlign w:val="center"/>
          </w:tcPr>
          <w:p w:rsidR="002075E2" w:rsidRPr="00CF3FEC" w:rsidRDefault="002075E2" w:rsidP="00121658">
            <w:pPr>
              <w:spacing w:before="0" w:line="240" w:lineRule="auto"/>
              <w:jc w:val="left"/>
              <w:rPr>
                <w:sz w:val="20"/>
                <w:szCs w:val="20"/>
              </w:rPr>
            </w:pPr>
          </w:p>
        </w:tc>
        <w:tc>
          <w:tcPr>
            <w:tcW w:w="112" w:type="pct"/>
            <w:tcBorders>
              <w:left w:val="nil"/>
            </w:tcBorders>
            <w:vAlign w:val="center"/>
          </w:tcPr>
          <w:p w:rsidR="002075E2" w:rsidRPr="00CF3FEC" w:rsidRDefault="002075E2" w:rsidP="00121658">
            <w:pPr>
              <w:spacing w:before="0" w:line="240" w:lineRule="auto"/>
              <w:jc w:val="left"/>
              <w:rPr>
                <w:sz w:val="20"/>
                <w:szCs w:val="20"/>
              </w:rPr>
            </w:pPr>
          </w:p>
        </w:tc>
        <w:tc>
          <w:tcPr>
            <w:tcW w:w="621" w:type="pct"/>
            <w:vAlign w:val="center"/>
          </w:tcPr>
          <w:p w:rsidR="002075E2" w:rsidRPr="00CF3FEC" w:rsidRDefault="002075E2" w:rsidP="00121658">
            <w:pPr>
              <w:spacing w:before="0" w:line="240" w:lineRule="auto"/>
              <w:jc w:val="left"/>
              <w:rPr>
                <w:sz w:val="20"/>
                <w:szCs w:val="20"/>
              </w:rPr>
            </w:pPr>
          </w:p>
        </w:tc>
        <w:tc>
          <w:tcPr>
            <w:tcW w:w="103" w:type="pct"/>
            <w:tcBorders>
              <w:left w:val="nil"/>
              <w:right w:val="single" w:sz="4" w:space="0" w:color="auto"/>
            </w:tcBorders>
          </w:tcPr>
          <w:p w:rsidR="002075E2" w:rsidRPr="00CF3FEC" w:rsidRDefault="002075E2" w:rsidP="00121658">
            <w:pPr>
              <w:spacing w:before="0" w:line="240" w:lineRule="auto"/>
              <w:jc w:val="left"/>
              <w:rPr>
                <w:sz w:val="20"/>
                <w:szCs w:val="20"/>
              </w:rPr>
            </w:pPr>
          </w:p>
        </w:tc>
        <w:tc>
          <w:tcPr>
            <w:tcW w:w="559" w:type="pct"/>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sidRPr="00CF3FEC">
              <w:rPr>
                <w:sz w:val="20"/>
                <w:szCs w:val="20"/>
              </w:rPr>
              <w:t>Patient unsuitable for epoprostenol</w:t>
            </w:r>
          </w:p>
        </w:tc>
        <w:tc>
          <w:tcPr>
            <w:tcW w:w="103" w:type="pct"/>
            <w:tcBorders>
              <w:left w:val="single" w:sz="4" w:space="0" w:color="auto"/>
            </w:tcBorders>
            <w:vAlign w:val="center"/>
          </w:tcPr>
          <w:p w:rsidR="002075E2" w:rsidRPr="00CF3FEC" w:rsidRDefault="002075E2" w:rsidP="00121658">
            <w:pPr>
              <w:spacing w:before="0" w:line="240" w:lineRule="auto"/>
              <w:jc w:val="left"/>
              <w:rPr>
                <w:sz w:val="20"/>
                <w:szCs w:val="20"/>
              </w:rPr>
            </w:pPr>
          </w:p>
        </w:tc>
        <w:tc>
          <w:tcPr>
            <w:tcW w:w="634" w:type="pct"/>
            <w:vAlign w:val="center"/>
          </w:tcPr>
          <w:p w:rsidR="002075E2" w:rsidRPr="00CF3FEC" w:rsidRDefault="002075E2" w:rsidP="00121658">
            <w:pPr>
              <w:spacing w:before="0" w:line="240" w:lineRule="auto"/>
              <w:jc w:val="left"/>
              <w:rPr>
                <w:sz w:val="20"/>
                <w:szCs w:val="20"/>
              </w:rPr>
            </w:pPr>
          </w:p>
        </w:tc>
        <w:tc>
          <w:tcPr>
            <w:tcW w:w="104" w:type="pct"/>
            <w:tcBorders>
              <w:left w:val="nil"/>
            </w:tcBorders>
            <w:vAlign w:val="center"/>
          </w:tcPr>
          <w:p w:rsidR="002075E2" w:rsidRPr="00CF3FEC" w:rsidRDefault="002075E2" w:rsidP="00121658">
            <w:pPr>
              <w:spacing w:before="0" w:line="240" w:lineRule="auto"/>
              <w:jc w:val="left"/>
              <w:rPr>
                <w:sz w:val="20"/>
                <w:szCs w:val="20"/>
              </w:rPr>
            </w:pPr>
          </w:p>
        </w:tc>
        <w:tc>
          <w:tcPr>
            <w:tcW w:w="630" w:type="pct"/>
            <w:gridSpan w:val="2"/>
            <w:vAlign w:val="center"/>
          </w:tcPr>
          <w:p w:rsidR="002075E2" w:rsidRPr="00CF3FEC" w:rsidRDefault="002075E2" w:rsidP="00121658">
            <w:pPr>
              <w:spacing w:before="0" w:line="240" w:lineRule="auto"/>
              <w:jc w:val="left"/>
              <w:rPr>
                <w:sz w:val="20"/>
                <w:szCs w:val="20"/>
              </w:rPr>
            </w:pPr>
          </w:p>
        </w:tc>
      </w:tr>
      <w:tr w:rsidR="002075E2" w:rsidRPr="00CF3FEC" w:rsidTr="002075E2">
        <w:tc>
          <w:tcPr>
            <w:tcW w:w="638" w:type="pct"/>
            <w:tcBorders>
              <w:bottom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03" w:type="pct"/>
          </w:tcPr>
          <w:p w:rsidR="002075E2" w:rsidRPr="00CF3FEC" w:rsidRDefault="002075E2" w:rsidP="00121658">
            <w:pPr>
              <w:spacing w:before="0" w:line="240" w:lineRule="auto"/>
              <w:jc w:val="left"/>
              <w:rPr>
                <w:sz w:val="20"/>
                <w:szCs w:val="20"/>
              </w:rPr>
            </w:pPr>
          </w:p>
        </w:tc>
        <w:tc>
          <w:tcPr>
            <w:tcW w:w="620" w:type="pct"/>
            <w:tcBorders>
              <w:bottom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13" w:type="pct"/>
            <w:vAlign w:val="center"/>
          </w:tcPr>
          <w:p w:rsidR="002075E2" w:rsidRPr="00CF3FEC" w:rsidRDefault="002075E2" w:rsidP="00121658">
            <w:pPr>
              <w:spacing w:before="0" w:line="240" w:lineRule="auto"/>
              <w:jc w:val="left"/>
              <w:rPr>
                <w:sz w:val="20"/>
                <w:szCs w:val="20"/>
              </w:rPr>
            </w:pPr>
          </w:p>
        </w:tc>
        <w:tc>
          <w:tcPr>
            <w:tcW w:w="662" w:type="pct"/>
            <w:tcBorders>
              <w:bottom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r w:rsidRPr="00CF3FEC">
              <w:rPr>
                <w:b/>
                <w:sz w:val="20"/>
                <w:szCs w:val="20"/>
              </w:rPr>
              <w:t xml:space="preserve">  </w:t>
            </w:r>
          </w:p>
        </w:tc>
        <w:tc>
          <w:tcPr>
            <w:tcW w:w="112" w:type="pct"/>
            <w:vAlign w:val="center"/>
          </w:tcPr>
          <w:p w:rsidR="002075E2" w:rsidRPr="00CF3FEC" w:rsidRDefault="002075E2" w:rsidP="00121658">
            <w:pPr>
              <w:spacing w:before="0" w:line="240" w:lineRule="auto"/>
              <w:jc w:val="left"/>
              <w:rPr>
                <w:sz w:val="20"/>
                <w:szCs w:val="20"/>
              </w:rPr>
            </w:pPr>
          </w:p>
        </w:tc>
        <w:tc>
          <w:tcPr>
            <w:tcW w:w="621" w:type="pct"/>
            <w:tcBorders>
              <w:bottom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r w:rsidRPr="00CF3FEC">
              <w:rPr>
                <w:b/>
                <w:sz w:val="20"/>
                <w:szCs w:val="20"/>
              </w:rPr>
              <w:t xml:space="preserve">  </w:t>
            </w:r>
          </w:p>
        </w:tc>
        <w:tc>
          <w:tcPr>
            <w:tcW w:w="103" w:type="pct"/>
          </w:tcPr>
          <w:p w:rsidR="002075E2" w:rsidRPr="00CF3FEC" w:rsidRDefault="002075E2" w:rsidP="00121658">
            <w:pPr>
              <w:spacing w:before="0" w:line="240" w:lineRule="auto"/>
              <w:jc w:val="left"/>
              <w:rPr>
                <w:b/>
                <w:sz w:val="20"/>
                <w:szCs w:val="20"/>
              </w:rPr>
            </w:pPr>
          </w:p>
        </w:tc>
        <w:tc>
          <w:tcPr>
            <w:tcW w:w="559" w:type="pct"/>
            <w:tcBorders>
              <w:top w:val="single" w:sz="4" w:space="0" w:color="auto"/>
              <w:bottom w:val="single" w:sz="4" w:space="0" w:color="auto"/>
            </w:tcBorders>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3" w:type="pct"/>
            <w:vAlign w:val="center"/>
          </w:tcPr>
          <w:p w:rsidR="002075E2" w:rsidRPr="00CF3FEC" w:rsidRDefault="002075E2" w:rsidP="00121658">
            <w:pPr>
              <w:spacing w:before="0" w:line="240" w:lineRule="auto"/>
              <w:jc w:val="left"/>
              <w:rPr>
                <w:b/>
                <w:sz w:val="20"/>
                <w:szCs w:val="20"/>
              </w:rPr>
            </w:pPr>
          </w:p>
        </w:tc>
        <w:tc>
          <w:tcPr>
            <w:tcW w:w="634" w:type="pct"/>
            <w:tcBorders>
              <w:bottom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4" w:type="pct"/>
            <w:vAlign w:val="center"/>
          </w:tcPr>
          <w:p w:rsidR="002075E2" w:rsidRPr="00CF3FEC" w:rsidRDefault="002075E2" w:rsidP="00121658">
            <w:pPr>
              <w:spacing w:before="0" w:line="240" w:lineRule="auto"/>
              <w:jc w:val="left"/>
              <w:rPr>
                <w:b/>
                <w:sz w:val="20"/>
                <w:szCs w:val="20"/>
              </w:rPr>
            </w:pPr>
          </w:p>
        </w:tc>
        <w:tc>
          <w:tcPr>
            <w:tcW w:w="630" w:type="pct"/>
            <w:gridSpan w:val="2"/>
            <w:tcBorders>
              <w:bottom w:val="single" w:sz="4" w:space="0" w:color="auto"/>
            </w:tcBorders>
            <w:vAlign w:val="center"/>
          </w:tcPr>
          <w:p w:rsidR="002075E2" w:rsidRPr="00CF3FEC" w:rsidRDefault="002075E2" w:rsidP="00121658">
            <w:pPr>
              <w:spacing w:before="0" w:line="240" w:lineRule="auto"/>
              <w:jc w:val="left"/>
              <w:rPr>
                <w:b/>
                <w:sz w:val="20"/>
                <w:szCs w:val="20"/>
              </w:rPr>
            </w:pPr>
            <w:r w:rsidRPr="00CF3FEC">
              <w:rPr>
                <w:b/>
                <w:sz w:val="20"/>
                <w:szCs w:val="20"/>
              </w:rPr>
              <w:sym w:font="Wingdings" w:char="F0E2"/>
            </w:r>
            <w:r w:rsidRPr="00CF3FEC">
              <w:rPr>
                <w:b/>
                <w:sz w:val="20"/>
                <w:szCs w:val="20"/>
              </w:rPr>
              <w:t xml:space="preserve">  </w:t>
            </w:r>
          </w:p>
        </w:tc>
      </w:tr>
      <w:tr w:rsidR="00A705D5" w:rsidRPr="00CF3FEC" w:rsidTr="002075E2">
        <w:tc>
          <w:tcPr>
            <w:tcW w:w="638" w:type="pc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2075E2" w:rsidRPr="00CF3FEC" w:rsidRDefault="002075E2" w:rsidP="00121658">
            <w:pPr>
              <w:spacing w:before="0" w:line="240" w:lineRule="auto"/>
              <w:jc w:val="left"/>
              <w:rPr>
                <w:sz w:val="20"/>
                <w:szCs w:val="20"/>
              </w:rPr>
            </w:pPr>
            <w:r w:rsidRPr="00CF3FEC">
              <w:rPr>
                <w:sz w:val="20"/>
                <w:szCs w:val="20"/>
              </w:rPr>
              <w:t xml:space="preserve">Initial dual agent: ERA + either </w:t>
            </w:r>
            <w:r>
              <w:rPr>
                <w:sz w:val="20"/>
                <w:szCs w:val="20"/>
              </w:rPr>
              <w:t>PDE</w:t>
            </w:r>
            <w:r>
              <w:rPr>
                <w:sz w:val="20"/>
                <w:szCs w:val="20"/>
              </w:rPr>
              <w:noBreakHyphen/>
              <w:t>5</w:t>
            </w:r>
            <w:r w:rsidRPr="00CF3FEC">
              <w:rPr>
                <w:sz w:val="20"/>
                <w:szCs w:val="20"/>
              </w:rPr>
              <w:t xml:space="preserve"> or prostanoid</w:t>
            </w:r>
          </w:p>
        </w:tc>
        <w:tc>
          <w:tcPr>
            <w:tcW w:w="103" w:type="pct"/>
            <w:tcBorders>
              <w:left w:val="single" w:sz="4" w:space="0" w:color="auto"/>
              <w:right w:val="single" w:sz="4" w:space="0" w:color="auto"/>
            </w:tcBorders>
          </w:tcPr>
          <w:p w:rsidR="002075E2" w:rsidRPr="00CF3FEC" w:rsidRDefault="002075E2" w:rsidP="00121658">
            <w:pPr>
              <w:spacing w:before="0" w:line="240" w:lineRule="auto"/>
              <w:jc w:val="left"/>
              <w:rPr>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075E2" w:rsidRPr="00CF3FEC" w:rsidRDefault="002075E2" w:rsidP="00121658">
            <w:pPr>
              <w:spacing w:before="0" w:line="240" w:lineRule="auto"/>
              <w:jc w:val="left"/>
              <w:rPr>
                <w:sz w:val="20"/>
                <w:szCs w:val="20"/>
              </w:rPr>
            </w:pPr>
            <w:r w:rsidRPr="00CF3FEC">
              <w:rPr>
                <w:sz w:val="20"/>
                <w:szCs w:val="20"/>
              </w:rPr>
              <w:t>Add prostanoid (iloprost) to oral agent</w:t>
            </w:r>
          </w:p>
        </w:tc>
        <w:tc>
          <w:tcPr>
            <w:tcW w:w="113" w:type="pct"/>
            <w:tcBorders>
              <w:left w:val="single" w:sz="4" w:space="0" w:color="auto"/>
              <w:right w:val="single" w:sz="4" w:space="0" w:color="auto"/>
            </w:tcBorders>
          </w:tcPr>
          <w:p w:rsidR="002075E2" w:rsidRPr="00CF3FEC" w:rsidRDefault="002075E2" w:rsidP="00121658">
            <w:pPr>
              <w:spacing w:before="0" w:line="240" w:lineRule="auto"/>
              <w:jc w:val="left"/>
              <w:rPr>
                <w:sz w:val="20"/>
                <w:szCs w:val="20"/>
              </w:rPr>
            </w:pPr>
          </w:p>
        </w:tc>
        <w:tc>
          <w:tcPr>
            <w:tcW w:w="662"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075E2" w:rsidRPr="00CF3FEC" w:rsidRDefault="002075E2" w:rsidP="00121658">
            <w:pPr>
              <w:spacing w:before="0" w:line="240" w:lineRule="auto"/>
              <w:jc w:val="left"/>
              <w:rPr>
                <w:sz w:val="20"/>
                <w:szCs w:val="20"/>
              </w:rPr>
            </w:pPr>
            <w:r w:rsidRPr="00CF3FEC">
              <w:rPr>
                <w:sz w:val="20"/>
                <w:szCs w:val="20"/>
              </w:rPr>
              <w:t>Add prostanoid</w:t>
            </w:r>
            <w:r>
              <w:rPr>
                <w:sz w:val="20"/>
                <w:szCs w:val="20"/>
              </w:rPr>
              <w:t xml:space="preserve"> (epoprostenol) to oral agent</w:t>
            </w:r>
          </w:p>
        </w:tc>
        <w:tc>
          <w:tcPr>
            <w:tcW w:w="112" w:type="pct"/>
            <w:tcBorders>
              <w:left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p>
        </w:tc>
        <w:tc>
          <w:tcPr>
            <w:tcW w:w="621"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075E2" w:rsidRPr="00CF3FEC" w:rsidRDefault="002075E2" w:rsidP="00121658">
            <w:pPr>
              <w:spacing w:before="0" w:line="240" w:lineRule="auto"/>
              <w:jc w:val="left"/>
              <w:rPr>
                <w:sz w:val="20"/>
                <w:szCs w:val="20"/>
              </w:rPr>
            </w:pPr>
            <w:r>
              <w:rPr>
                <w:sz w:val="20"/>
                <w:szCs w:val="20"/>
              </w:rPr>
              <w:t>Add</w:t>
            </w:r>
            <w:r w:rsidRPr="00CF3FEC">
              <w:rPr>
                <w:sz w:val="20"/>
                <w:szCs w:val="20"/>
              </w:rPr>
              <w:t xml:space="preserve"> ERA</w:t>
            </w:r>
            <w:r>
              <w:rPr>
                <w:sz w:val="20"/>
                <w:szCs w:val="20"/>
              </w:rPr>
              <w:t xml:space="preserve"> </w:t>
            </w:r>
            <w:r>
              <w:rPr>
                <w:sz w:val="20"/>
                <w:szCs w:val="20"/>
              </w:rPr>
              <w:br/>
              <w:t>(or PDE</w:t>
            </w:r>
            <w:r>
              <w:rPr>
                <w:sz w:val="20"/>
                <w:szCs w:val="20"/>
              </w:rPr>
              <w:noBreakHyphen/>
              <w:t xml:space="preserve">5i; or </w:t>
            </w:r>
            <w:proofErr w:type="spellStart"/>
            <w:r>
              <w:rPr>
                <w:sz w:val="20"/>
                <w:szCs w:val="20"/>
              </w:rPr>
              <w:t>sGCs</w:t>
            </w:r>
            <w:proofErr w:type="spellEnd"/>
            <w:r>
              <w:rPr>
                <w:sz w:val="20"/>
                <w:szCs w:val="20"/>
              </w:rPr>
              <w:t>)</w:t>
            </w:r>
          </w:p>
        </w:tc>
        <w:tc>
          <w:tcPr>
            <w:tcW w:w="103" w:type="pct"/>
            <w:tcBorders>
              <w:left w:val="single" w:sz="4" w:space="0" w:color="auto"/>
              <w:right w:val="single" w:sz="4" w:space="0" w:color="auto"/>
            </w:tcBorders>
          </w:tcPr>
          <w:p w:rsidR="002075E2" w:rsidRPr="00CF3FEC" w:rsidRDefault="002075E2" w:rsidP="00121658">
            <w:pPr>
              <w:spacing w:before="0" w:line="240" w:lineRule="auto"/>
              <w:jc w:val="left"/>
              <w:rPr>
                <w:sz w:val="20"/>
                <w:szCs w:val="20"/>
              </w:rPr>
            </w:pPr>
          </w:p>
        </w:tc>
        <w:tc>
          <w:tcPr>
            <w:tcW w:w="559"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2075E2" w:rsidRPr="00CF3FEC" w:rsidRDefault="002075E2" w:rsidP="00121658">
            <w:pPr>
              <w:spacing w:before="0" w:line="240" w:lineRule="auto"/>
              <w:jc w:val="left"/>
              <w:rPr>
                <w:sz w:val="20"/>
                <w:szCs w:val="20"/>
              </w:rPr>
            </w:pPr>
            <w:r w:rsidRPr="00CF3FEC">
              <w:rPr>
                <w:sz w:val="20"/>
                <w:szCs w:val="20"/>
              </w:rPr>
              <w:t>Iloprost + ERA</w:t>
            </w:r>
          </w:p>
        </w:tc>
        <w:tc>
          <w:tcPr>
            <w:tcW w:w="103" w:type="pct"/>
            <w:tcBorders>
              <w:left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p>
        </w:tc>
        <w:tc>
          <w:tcPr>
            <w:tcW w:w="634" w:type="pct"/>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075E2" w:rsidRPr="00CF3FEC" w:rsidRDefault="002075E2" w:rsidP="00121658">
            <w:pPr>
              <w:spacing w:before="0" w:line="240" w:lineRule="auto"/>
              <w:jc w:val="left"/>
              <w:rPr>
                <w:sz w:val="20"/>
                <w:szCs w:val="20"/>
              </w:rPr>
            </w:pPr>
            <w:r w:rsidRPr="00CF3FEC">
              <w:rPr>
                <w:sz w:val="20"/>
                <w:szCs w:val="20"/>
              </w:rPr>
              <w:t>Add a third class of agent</w:t>
            </w:r>
          </w:p>
        </w:tc>
        <w:tc>
          <w:tcPr>
            <w:tcW w:w="104" w:type="pct"/>
            <w:tcBorders>
              <w:left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p>
        </w:tc>
        <w:tc>
          <w:tcPr>
            <w:tcW w:w="630" w:type="pct"/>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075E2" w:rsidRPr="00CF3FEC" w:rsidRDefault="002075E2" w:rsidP="00121658">
            <w:pPr>
              <w:spacing w:before="0" w:line="240" w:lineRule="auto"/>
              <w:jc w:val="left"/>
              <w:rPr>
                <w:sz w:val="20"/>
                <w:szCs w:val="20"/>
              </w:rPr>
            </w:pPr>
            <w:r w:rsidRPr="00CF3FEC">
              <w:rPr>
                <w:sz w:val="20"/>
                <w:szCs w:val="20"/>
              </w:rPr>
              <w:t>Aggressive triple agent therapy including epoprostenol</w:t>
            </w:r>
          </w:p>
        </w:tc>
      </w:tr>
      <w:tr w:rsidR="002075E2" w:rsidRPr="00CF3FEC" w:rsidTr="002075E2">
        <w:tc>
          <w:tcPr>
            <w:tcW w:w="638" w:type="pct"/>
            <w:tcBorders>
              <w:top w:val="single" w:sz="4" w:space="0" w:color="auto"/>
              <w:bottom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03" w:type="pct"/>
          </w:tcPr>
          <w:p w:rsidR="002075E2" w:rsidRPr="00CF3FEC" w:rsidRDefault="002075E2" w:rsidP="00121658">
            <w:pPr>
              <w:spacing w:before="0" w:line="240" w:lineRule="auto"/>
              <w:jc w:val="left"/>
              <w:rPr>
                <w:sz w:val="20"/>
                <w:szCs w:val="20"/>
              </w:rPr>
            </w:pPr>
          </w:p>
        </w:tc>
        <w:tc>
          <w:tcPr>
            <w:tcW w:w="620" w:type="pct"/>
            <w:tcBorders>
              <w:top w:val="single" w:sz="4" w:space="0" w:color="auto"/>
              <w:bottom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13" w:type="pct"/>
            <w:tcBorders>
              <w:bottom w:val="single" w:sz="4" w:space="0" w:color="auto"/>
            </w:tcBorders>
            <w:vAlign w:val="center"/>
          </w:tcPr>
          <w:p w:rsidR="002075E2" w:rsidRPr="00CF3FEC" w:rsidRDefault="002075E2" w:rsidP="00121658">
            <w:pPr>
              <w:spacing w:before="0" w:line="240" w:lineRule="auto"/>
              <w:jc w:val="left"/>
              <w:rPr>
                <w:sz w:val="20"/>
                <w:szCs w:val="20"/>
              </w:rPr>
            </w:pPr>
          </w:p>
        </w:tc>
        <w:tc>
          <w:tcPr>
            <w:tcW w:w="662" w:type="pct"/>
            <w:tcBorders>
              <w:top w:val="single" w:sz="4" w:space="0" w:color="auto"/>
              <w:bottom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r w:rsidRPr="00CF3FEC">
              <w:rPr>
                <w:b/>
                <w:sz w:val="20"/>
                <w:szCs w:val="20"/>
              </w:rPr>
              <w:t xml:space="preserve">  </w:t>
            </w:r>
          </w:p>
        </w:tc>
        <w:tc>
          <w:tcPr>
            <w:tcW w:w="112" w:type="pct"/>
            <w:vAlign w:val="center"/>
          </w:tcPr>
          <w:p w:rsidR="002075E2" w:rsidRPr="00CF3FEC" w:rsidRDefault="002075E2" w:rsidP="00121658">
            <w:pPr>
              <w:spacing w:before="0" w:line="240" w:lineRule="auto"/>
              <w:jc w:val="left"/>
              <w:rPr>
                <w:sz w:val="20"/>
                <w:szCs w:val="20"/>
              </w:rPr>
            </w:pPr>
          </w:p>
        </w:tc>
        <w:tc>
          <w:tcPr>
            <w:tcW w:w="621" w:type="pct"/>
            <w:tcBorders>
              <w:top w:val="single" w:sz="4" w:space="0" w:color="auto"/>
              <w:bottom w:val="single" w:sz="4" w:space="0" w:color="auto"/>
            </w:tcBorders>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3" w:type="pct"/>
          </w:tcPr>
          <w:p w:rsidR="002075E2" w:rsidRPr="00CF3FEC" w:rsidRDefault="002075E2" w:rsidP="00121658">
            <w:pPr>
              <w:spacing w:before="0" w:line="240" w:lineRule="auto"/>
              <w:jc w:val="left"/>
              <w:rPr>
                <w:b/>
                <w:sz w:val="20"/>
                <w:szCs w:val="20"/>
              </w:rPr>
            </w:pPr>
          </w:p>
        </w:tc>
        <w:tc>
          <w:tcPr>
            <w:tcW w:w="559" w:type="pct"/>
            <w:tcBorders>
              <w:top w:val="single" w:sz="4" w:space="0" w:color="auto"/>
              <w:bottom w:val="single" w:sz="4" w:space="0" w:color="auto"/>
            </w:tcBorders>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03" w:type="pct"/>
            <w:vAlign w:val="center"/>
          </w:tcPr>
          <w:p w:rsidR="002075E2" w:rsidRPr="00CF3FEC" w:rsidRDefault="002075E2" w:rsidP="00121658">
            <w:pPr>
              <w:spacing w:before="0" w:line="240" w:lineRule="auto"/>
              <w:jc w:val="left"/>
              <w:rPr>
                <w:sz w:val="20"/>
                <w:szCs w:val="20"/>
              </w:rPr>
            </w:pPr>
          </w:p>
        </w:tc>
        <w:tc>
          <w:tcPr>
            <w:tcW w:w="634" w:type="pct"/>
            <w:tcBorders>
              <w:top w:val="single" w:sz="4" w:space="0" w:color="auto"/>
              <w:bottom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04" w:type="pct"/>
            <w:tcBorders>
              <w:bottom w:val="single" w:sz="4" w:space="0" w:color="auto"/>
            </w:tcBorders>
            <w:vAlign w:val="center"/>
          </w:tcPr>
          <w:p w:rsidR="002075E2" w:rsidRPr="00CF3FEC" w:rsidRDefault="002075E2" w:rsidP="00121658">
            <w:pPr>
              <w:spacing w:before="0" w:line="240" w:lineRule="auto"/>
              <w:jc w:val="left"/>
              <w:rPr>
                <w:sz w:val="20"/>
                <w:szCs w:val="20"/>
              </w:rPr>
            </w:pPr>
          </w:p>
        </w:tc>
        <w:tc>
          <w:tcPr>
            <w:tcW w:w="630" w:type="pct"/>
            <w:gridSpan w:val="2"/>
            <w:tcBorders>
              <w:top w:val="single" w:sz="4" w:space="0" w:color="auto"/>
              <w:bottom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r w:rsidRPr="00CF3FEC">
              <w:rPr>
                <w:b/>
                <w:sz w:val="20"/>
                <w:szCs w:val="20"/>
              </w:rPr>
              <w:t xml:space="preserve">  </w:t>
            </w:r>
          </w:p>
        </w:tc>
      </w:tr>
      <w:tr w:rsidR="002075E2" w:rsidRPr="00CF3FEC" w:rsidTr="002075E2">
        <w:tc>
          <w:tcPr>
            <w:tcW w:w="638" w:type="pct"/>
            <w:tcBorders>
              <w:top w:val="single" w:sz="4" w:space="0" w:color="auto"/>
              <w:left w:val="single" w:sz="4" w:space="0" w:color="auto"/>
              <w:bottom w:val="single" w:sz="4" w:space="0" w:color="auto"/>
              <w:right w:val="single" w:sz="4" w:space="0" w:color="auto"/>
            </w:tcBorders>
          </w:tcPr>
          <w:p w:rsidR="002075E2" w:rsidRPr="00CF3FEC" w:rsidRDefault="002075E2" w:rsidP="00121658">
            <w:pPr>
              <w:spacing w:before="0" w:line="240" w:lineRule="auto"/>
              <w:jc w:val="left"/>
              <w:rPr>
                <w:sz w:val="20"/>
                <w:szCs w:val="20"/>
              </w:rPr>
            </w:pPr>
            <w:r w:rsidRPr="00CF3FEC">
              <w:rPr>
                <w:sz w:val="20"/>
                <w:szCs w:val="20"/>
              </w:rPr>
              <w:t>Therapy goals unmet or clinical worsening</w:t>
            </w:r>
            <w:r>
              <w:rPr>
                <w:sz w:val="20"/>
                <w:szCs w:val="20"/>
              </w:rPr>
              <w:t xml:space="preserve"> on initial dual oral therapy</w:t>
            </w:r>
          </w:p>
        </w:tc>
        <w:tc>
          <w:tcPr>
            <w:tcW w:w="103" w:type="pct"/>
            <w:tcBorders>
              <w:left w:val="single" w:sz="4" w:space="0" w:color="auto"/>
              <w:right w:val="single" w:sz="4" w:space="0" w:color="auto"/>
            </w:tcBorders>
          </w:tcPr>
          <w:p w:rsidR="002075E2" w:rsidRPr="00CF3FEC" w:rsidRDefault="002075E2" w:rsidP="00121658">
            <w:pPr>
              <w:spacing w:before="0" w:line="240" w:lineRule="auto"/>
              <w:jc w:val="left"/>
              <w:rPr>
                <w:sz w:val="20"/>
                <w:szCs w:val="20"/>
              </w:rPr>
            </w:pPr>
          </w:p>
        </w:tc>
        <w:tc>
          <w:tcPr>
            <w:tcW w:w="1395" w:type="pct"/>
            <w:gridSpan w:val="3"/>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sidRPr="00CF3FEC">
              <w:rPr>
                <w:sz w:val="20"/>
                <w:szCs w:val="20"/>
              </w:rPr>
              <w:t>Therapy goals unmet or clinical worsening</w:t>
            </w:r>
            <w:r>
              <w:rPr>
                <w:sz w:val="20"/>
                <w:szCs w:val="20"/>
              </w:rPr>
              <w:t xml:space="preserve"> on dual oral agent +prostanoid therapy</w:t>
            </w:r>
          </w:p>
        </w:tc>
        <w:tc>
          <w:tcPr>
            <w:tcW w:w="112" w:type="pct"/>
            <w:tcBorders>
              <w:left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p>
        </w:tc>
        <w:tc>
          <w:tcPr>
            <w:tcW w:w="1283" w:type="pct"/>
            <w:gridSpan w:val="3"/>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sidRPr="00CF3FEC">
              <w:rPr>
                <w:sz w:val="20"/>
                <w:szCs w:val="20"/>
              </w:rPr>
              <w:t>Therapy goals unmet or clinical worsening</w:t>
            </w:r>
            <w:r>
              <w:rPr>
                <w:sz w:val="20"/>
                <w:szCs w:val="20"/>
              </w:rPr>
              <w:t xml:space="preserve"> on dual prostanoid therapy + ERA/oral agent </w:t>
            </w:r>
          </w:p>
        </w:tc>
        <w:tc>
          <w:tcPr>
            <w:tcW w:w="103" w:type="pct"/>
            <w:tcBorders>
              <w:left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p>
        </w:tc>
        <w:tc>
          <w:tcPr>
            <w:tcW w:w="1367" w:type="pct"/>
            <w:gridSpan w:val="4"/>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sz w:val="20"/>
                <w:szCs w:val="20"/>
              </w:rPr>
            </w:pPr>
            <w:r w:rsidRPr="00CF3FEC">
              <w:rPr>
                <w:sz w:val="20"/>
                <w:szCs w:val="20"/>
              </w:rPr>
              <w:t>Therapy goals unmet or clinical worsening</w:t>
            </w:r>
            <w:r>
              <w:rPr>
                <w:sz w:val="20"/>
                <w:szCs w:val="20"/>
              </w:rPr>
              <w:t xml:space="preserve"> on triple agent therapy</w:t>
            </w:r>
          </w:p>
        </w:tc>
      </w:tr>
      <w:tr w:rsidR="002075E2" w:rsidRPr="00CF3FEC" w:rsidTr="002075E2">
        <w:trPr>
          <w:gridAfter w:val="1"/>
          <w:wAfter w:w="11" w:type="pct"/>
        </w:trPr>
        <w:tc>
          <w:tcPr>
            <w:tcW w:w="638" w:type="pct"/>
            <w:tcBorders>
              <w:top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03" w:type="pct"/>
          </w:tcPr>
          <w:p w:rsidR="002075E2" w:rsidRPr="00CF3FEC" w:rsidRDefault="002075E2" w:rsidP="00121658">
            <w:pPr>
              <w:spacing w:before="0" w:line="240" w:lineRule="auto"/>
              <w:jc w:val="left"/>
              <w:rPr>
                <w:sz w:val="20"/>
                <w:szCs w:val="20"/>
              </w:rPr>
            </w:pPr>
          </w:p>
        </w:tc>
        <w:tc>
          <w:tcPr>
            <w:tcW w:w="620" w:type="pct"/>
            <w:tcBorders>
              <w:top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13" w:type="pct"/>
            <w:tcBorders>
              <w:top w:val="single" w:sz="4" w:space="0" w:color="auto"/>
            </w:tcBorders>
            <w:vAlign w:val="center"/>
          </w:tcPr>
          <w:p w:rsidR="002075E2" w:rsidRPr="00CF3FEC" w:rsidRDefault="002075E2" w:rsidP="00121658">
            <w:pPr>
              <w:spacing w:before="0" w:line="240" w:lineRule="auto"/>
              <w:jc w:val="left"/>
              <w:rPr>
                <w:sz w:val="20"/>
                <w:szCs w:val="20"/>
              </w:rPr>
            </w:pPr>
          </w:p>
        </w:tc>
        <w:tc>
          <w:tcPr>
            <w:tcW w:w="662" w:type="pct"/>
            <w:tcBorders>
              <w:top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r w:rsidRPr="00CF3FEC">
              <w:rPr>
                <w:b/>
                <w:sz w:val="20"/>
                <w:szCs w:val="20"/>
              </w:rPr>
              <w:t xml:space="preserve">  </w:t>
            </w:r>
          </w:p>
        </w:tc>
        <w:tc>
          <w:tcPr>
            <w:tcW w:w="112" w:type="pct"/>
            <w:vAlign w:val="center"/>
          </w:tcPr>
          <w:p w:rsidR="002075E2" w:rsidRPr="00CF3FEC" w:rsidRDefault="002075E2" w:rsidP="00121658">
            <w:pPr>
              <w:spacing w:before="0" w:line="240" w:lineRule="auto"/>
              <w:jc w:val="left"/>
              <w:rPr>
                <w:sz w:val="20"/>
                <w:szCs w:val="20"/>
              </w:rPr>
            </w:pPr>
          </w:p>
        </w:tc>
        <w:tc>
          <w:tcPr>
            <w:tcW w:w="621" w:type="pct"/>
            <w:tcBorders>
              <w:top w:val="single" w:sz="4" w:space="0" w:color="auto"/>
            </w:tcBorders>
          </w:tcPr>
          <w:p w:rsidR="002075E2" w:rsidRPr="00CF3FEC" w:rsidRDefault="002075E2" w:rsidP="00121658">
            <w:pPr>
              <w:spacing w:before="0" w:line="240" w:lineRule="auto"/>
              <w:jc w:val="left"/>
              <w:rPr>
                <w:b/>
                <w:sz w:val="20"/>
                <w:szCs w:val="20"/>
              </w:rPr>
            </w:pPr>
            <w:r w:rsidRPr="00CF3FEC">
              <w:rPr>
                <w:b/>
                <w:sz w:val="20"/>
                <w:szCs w:val="20"/>
              </w:rPr>
              <w:sym w:font="Wingdings" w:char="F0E2"/>
            </w:r>
          </w:p>
        </w:tc>
        <w:tc>
          <w:tcPr>
            <w:tcW w:w="103" w:type="pct"/>
            <w:tcBorders>
              <w:top w:val="single" w:sz="4" w:space="0" w:color="auto"/>
            </w:tcBorders>
          </w:tcPr>
          <w:p w:rsidR="002075E2" w:rsidRPr="00CF3FEC" w:rsidRDefault="002075E2" w:rsidP="00121658">
            <w:pPr>
              <w:spacing w:before="0" w:line="240" w:lineRule="auto"/>
              <w:jc w:val="left"/>
              <w:rPr>
                <w:b/>
                <w:sz w:val="20"/>
                <w:szCs w:val="20"/>
              </w:rPr>
            </w:pPr>
          </w:p>
        </w:tc>
        <w:tc>
          <w:tcPr>
            <w:tcW w:w="559" w:type="pct"/>
            <w:tcBorders>
              <w:top w:val="single" w:sz="4" w:space="0" w:color="auto"/>
            </w:tcBorders>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03" w:type="pct"/>
            <w:vAlign w:val="center"/>
          </w:tcPr>
          <w:p w:rsidR="002075E2" w:rsidRPr="00CF3FEC" w:rsidRDefault="002075E2" w:rsidP="00121658">
            <w:pPr>
              <w:spacing w:before="0" w:line="240" w:lineRule="auto"/>
              <w:jc w:val="left"/>
              <w:rPr>
                <w:sz w:val="20"/>
                <w:szCs w:val="20"/>
              </w:rPr>
            </w:pPr>
          </w:p>
        </w:tc>
        <w:tc>
          <w:tcPr>
            <w:tcW w:w="634" w:type="pct"/>
            <w:tcBorders>
              <w:top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p>
        </w:tc>
        <w:tc>
          <w:tcPr>
            <w:tcW w:w="104" w:type="pct"/>
            <w:tcBorders>
              <w:top w:val="single" w:sz="4" w:space="0" w:color="auto"/>
            </w:tcBorders>
            <w:vAlign w:val="center"/>
          </w:tcPr>
          <w:p w:rsidR="002075E2" w:rsidRPr="00CF3FEC" w:rsidRDefault="002075E2" w:rsidP="00121658">
            <w:pPr>
              <w:spacing w:before="0" w:line="240" w:lineRule="auto"/>
              <w:jc w:val="left"/>
              <w:rPr>
                <w:sz w:val="20"/>
                <w:szCs w:val="20"/>
              </w:rPr>
            </w:pPr>
          </w:p>
        </w:tc>
        <w:tc>
          <w:tcPr>
            <w:tcW w:w="618" w:type="pct"/>
            <w:tcBorders>
              <w:top w:val="single" w:sz="4" w:space="0" w:color="auto"/>
            </w:tcBorders>
            <w:vAlign w:val="center"/>
          </w:tcPr>
          <w:p w:rsidR="002075E2" w:rsidRPr="00CF3FEC" w:rsidRDefault="002075E2" w:rsidP="00121658">
            <w:pPr>
              <w:spacing w:before="0" w:line="240" w:lineRule="auto"/>
              <w:jc w:val="left"/>
              <w:rPr>
                <w:sz w:val="20"/>
                <w:szCs w:val="20"/>
              </w:rPr>
            </w:pPr>
            <w:r w:rsidRPr="00CF3FEC">
              <w:rPr>
                <w:b/>
                <w:sz w:val="20"/>
                <w:szCs w:val="20"/>
              </w:rPr>
              <w:sym w:font="Wingdings" w:char="F0E2"/>
            </w:r>
            <w:r w:rsidRPr="00CF3FEC">
              <w:rPr>
                <w:b/>
                <w:sz w:val="20"/>
                <w:szCs w:val="20"/>
              </w:rPr>
              <w:t xml:space="preserve">  </w:t>
            </w:r>
          </w:p>
        </w:tc>
      </w:tr>
      <w:tr w:rsidR="002075E2" w:rsidRPr="00CF3FEC" w:rsidTr="002075E2">
        <w:tc>
          <w:tcPr>
            <w:tcW w:w="638" w:type="pct"/>
            <w:vAlign w:val="center"/>
          </w:tcPr>
          <w:p w:rsidR="002075E2" w:rsidRPr="00CF3FEC" w:rsidRDefault="002075E2" w:rsidP="00121658">
            <w:pPr>
              <w:spacing w:before="0" w:line="240" w:lineRule="auto"/>
              <w:jc w:val="left"/>
              <w:rPr>
                <w:b/>
                <w:sz w:val="20"/>
                <w:szCs w:val="20"/>
              </w:rPr>
            </w:pPr>
            <w:r>
              <w:rPr>
                <w:b/>
                <w:sz w:val="20"/>
                <w:szCs w:val="20"/>
              </w:rPr>
              <w:t>Go to</w:t>
            </w:r>
          </w:p>
        </w:tc>
        <w:tc>
          <w:tcPr>
            <w:tcW w:w="103" w:type="pct"/>
          </w:tcPr>
          <w:p w:rsidR="002075E2" w:rsidRPr="00CF3FEC" w:rsidRDefault="002075E2" w:rsidP="00121658">
            <w:pPr>
              <w:spacing w:before="0" w:line="240" w:lineRule="auto"/>
              <w:jc w:val="left"/>
              <w:rPr>
                <w:sz w:val="20"/>
                <w:szCs w:val="20"/>
              </w:rPr>
            </w:pPr>
          </w:p>
        </w:tc>
        <w:tc>
          <w:tcPr>
            <w:tcW w:w="620" w:type="pct"/>
          </w:tcPr>
          <w:p w:rsidR="002075E2" w:rsidRPr="00CF3FEC" w:rsidRDefault="002075E2" w:rsidP="00121658">
            <w:pPr>
              <w:spacing w:before="0" w:line="240" w:lineRule="auto"/>
              <w:jc w:val="left"/>
              <w:rPr>
                <w:b/>
                <w:sz w:val="20"/>
                <w:szCs w:val="20"/>
              </w:rPr>
            </w:pPr>
            <w:r>
              <w:rPr>
                <w:b/>
                <w:sz w:val="20"/>
                <w:szCs w:val="20"/>
              </w:rPr>
              <w:t>As for</w:t>
            </w:r>
          </w:p>
        </w:tc>
        <w:tc>
          <w:tcPr>
            <w:tcW w:w="113" w:type="pct"/>
            <w:vAlign w:val="center"/>
          </w:tcPr>
          <w:p w:rsidR="002075E2" w:rsidRPr="00CF3FEC" w:rsidRDefault="002075E2" w:rsidP="00121658">
            <w:pPr>
              <w:spacing w:before="0" w:line="240" w:lineRule="auto"/>
              <w:jc w:val="left"/>
              <w:rPr>
                <w:sz w:val="20"/>
                <w:szCs w:val="20"/>
              </w:rPr>
            </w:pPr>
          </w:p>
        </w:tc>
        <w:tc>
          <w:tcPr>
            <w:tcW w:w="662" w:type="pct"/>
            <w:vAlign w:val="center"/>
          </w:tcPr>
          <w:p w:rsidR="002075E2" w:rsidRPr="00CF3FEC" w:rsidRDefault="002075E2" w:rsidP="00121658">
            <w:pPr>
              <w:spacing w:before="0" w:line="240" w:lineRule="auto"/>
              <w:jc w:val="left"/>
              <w:rPr>
                <w:b/>
                <w:sz w:val="20"/>
                <w:szCs w:val="20"/>
              </w:rPr>
            </w:pPr>
            <w:r>
              <w:rPr>
                <w:b/>
                <w:sz w:val="20"/>
                <w:szCs w:val="20"/>
              </w:rPr>
              <w:t>As for</w:t>
            </w:r>
          </w:p>
        </w:tc>
        <w:tc>
          <w:tcPr>
            <w:tcW w:w="112" w:type="pct"/>
            <w:vAlign w:val="center"/>
          </w:tcPr>
          <w:p w:rsidR="002075E2" w:rsidRPr="00CF3FEC" w:rsidRDefault="002075E2" w:rsidP="00121658">
            <w:pPr>
              <w:spacing w:before="0" w:line="240" w:lineRule="auto"/>
              <w:jc w:val="left"/>
              <w:rPr>
                <w:sz w:val="20"/>
                <w:szCs w:val="20"/>
              </w:rPr>
            </w:pPr>
          </w:p>
        </w:tc>
        <w:tc>
          <w:tcPr>
            <w:tcW w:w="621" w:type="pct"/>
          </w:tcPr>
          <w:p w:rsidR="002075E2" w:rsidRDefault="002075E2" w:rsidP="00121658">
            <w:pPr>
              <w:spacing w:before="0" w:line="240" w:lineRule="auto"/>
              <w:jc w:val="left"/>
              <w:rPr>
                <w:b/>
                <w:sz w:val="20"/>
                <w:szCs w:val="20"/>
              </w:rPr>
            </w:pPr>
            <w:r>
              <w:rPr>
                <w:b/>
                <w:sz w:val="20"/>
                <w:szCs w:val="20"/>
              </w:rPr>
              <w:t>Go to</w:t>
            </w:r>
          </w:p>
        </w:tc>
        <w:tc>
          <w:tcPr>
            <w:tcW w:w="103" w:type="pct"/>
          </w:tcPr>
          <w:p w:rsidR="002075E2" w:rsidRDefault="002075E2" w:rsidP="00121658">
            <w:pPr>
              <w:spacing w:before="0" w:line="240" w:lineRule="auto"/>
              <w:jc w:val="left"/>
              <w:rPr>
                <w:b/>
                <w:sz w:val="20"/>
                <w:szCs w:val="20"/>
              </w:rPr>
            </w:pPr>
          </w:p>
        </w:tc>
        <w:tc>
          <w:tcPr>
            <w:tcW w:w="559" w:type="pct"/>
          </w:tcPr>
          <w:p w:rsidR="002075E2" w:rsidRPr="00CF3FEC" w:rsidRDefault="002075E2" w:rsidP="00121658">
            <w:pPr>
              <w:spacing w:before="0" w:line="240" w:lineRule="auto"/>
              <w:jc w:val="left"/>
              <w:rPr>
                <w:b/>
                <w:sz w:val="20"/>
                <w:szCs w:val="20"/>
              </w:rPr>
            </w:pPr>
            <w:r>
              <w:rPr>
                <w:b/>
                <w:sz w:val="20"/>
                <w:szCs w:val="20"/>
              </w:rPr>
              <w:t>Go to</w:t>
            </w:r>
          </w:p>
        </w:tc>
        <w:tc>
          <w:tcPr>
            <w:tcW w:w="103" w:type="pct"/>
            <w:vAlign w:val="center"/>
          </w:tcPr>
          <w:p w:rsidR="002075E2" w:rsidRPr="00CF3FEC" w:rsidRDefault="002075E2" w:rsidP="00121658">
            <w:pPr>
              <w:spacing w:before="0" w:line="240" w:lineRule="auto"/>
              <w:jc w:val="left"/>
              <w:rPr>
                <w:sz w:val="20"/>
                <w:szCs w:val="20"/>
              </w:rPr>
            </w:pPr>
          </w:p>
        </w:tc>
        <w:tc>
          <w:tcPr>
            <w:tcW w:w="634" w:type="pct"/>
            <w:tcBorders>
              <w:bottom w:val="single" w:sz="4" w:space="0" w:color="auto"/>
            </w:tcBorders>
            <w:vAlign w:val="center"/>
          </w:tcPr>
          <w:p w:rsidR="002075E2" w:rsidRPr="00CF3FEC" w:rsidRDefault="002075E2" w:rsidP="00121658">
            <w:pPr>
              <w:spacing w:before="0" w:line="240" w:lineRule="auto"/>
              <w:jc w:val="left"/>
              <w:rPr>
                <w:b/>
                <w:sz w:val="20"/>
                <w:szCs w:val="20"/>
              </w:rPr>
            </w:pPr>
          </w:p>
        </w:tc>
        <w:tc>
          <w:tcPr>
            <w:tcW w:w="104" w:type="pct"/>
            <w:tcBorders>
              <w:bottom w:val="single" w:sz="4" w:space="0" w:color="auto"/>
            </w:tcBorders>
            <w:vAlign w:val="center"/>
          </w:tcPr>
          <w:p w:rsidR="002075E2" w:rsidRPr="00CF3FEC" w:rsidRDefault="002075E2" w:rsidP="00121658">
            <w:pPr>
              <w:spacing w:before="0" w:line="240" w:lineRule="auto"/>
              <w:jc w:val="left"/>
              <w:rPr>
                <w:sz w:val="20"/>
                <w:szCs w:val="20"/>
              </w:rPr>
            </w:pPr>
          </w:p>
        </w:tc>
        <w:tc>
          <w:tcPr>
            <w:tcW w:w="630" w:type="pct"/>
            <w:gridSpan w:val="2"/>
            <w:tcBorders>
              <w:bottom w:val="single" w:sz="4" w:space="0" w:color="auto"/>
            </w:tcBorders>
            <w:vAlign w:val="center"/>
          </w:tcPr>
          <w:p w:rsidR="002075E2" w:rsidRPr="00CF3FEC" w:rsidRDefault="002075E2" w:rsidP="00121658">
            <w:pPr>
              <w:spacing w:before="0" w:line="240" w:lineRule="auto"/>
              <w:jc w:val="left"/>
              <w:rPr>
                <w:b/>
                <w:sz w:val="20"/>
                <w:szCs w:val="20"/>
              </w:rPr>
            </w:pPr>
          </w:p>
        </w:tc>
      </w:tr>
      <w:tr w:rsidR="002075E2" w:rsidRPr="00CF3FEC" w:rsidTr="002075E2">
        <w:tc>
          <w:tcPr>
            <w:tcW w:w="638" w:type="pct"/>
            <w:tcBorders>
              <w:bottom w:val="single" w:sz="24" w:space="0" w:color="FFC000"/>
            </w:tcBorders>
            <w:vAlign w:val="center"/>
          </w:tcPr>
          <w:p w:rsidR="002075E2" w:rsidRDefault="002075E2" w:rsidP="00121658">
            <w:pPr>
              <w:spacing w:before="0" w:line="240" w:lineRule="auto"/>
              <w:jc w:val="left"/>
              <w:rPr>
                <w:b/>
                <w:sz w:val="20"/>
                <w:szCs w:val="20"/>
              </w:rPr>
            </w:pPr>
            <w:r w:rsidRPr="00B67B27">
              <w:rPr>
                <w:b/>
                <w:color w:val="E36C0A" w:themeColor="accent6" w:themeShade="BF"/>
                <w:sz w:val="20"/>
                <w:szCs w:val="20"/>
              </w:rPr>
              <w:t>Previously treated</w:t>
            </w:r>
          </w:p>
        </w:tc>
        <w:tc>
          <w:tcPr>
            <w:tcW w:w="103" w:type="pct"/>
          </w:tcPr>
          <w:p w:rsidR="002075E2" w:rsidRPr="00CF3FEC" w:rsidRDefault="002075E2" w:rsidP="00121658">
            <w:pPr>
              <w:spacing w:before="0" w:line="240" w:lineRule="auto"/>
              <w:jc w:val="left"/>
              <w:rPr>
                <w:sz w:val="20"/>
                <w:szCs w:val="20"/>
              </w:rPr>
            </w:pPr>
          </w:p>
        </w:tc>
        <w:tc>
          <w:tcPr>
            <w:tcW w:w="620" w:type="pct"/>
            <w:tcBorders>
              <w:bottom w:val="single" w:sz="24" w:space="0" w:color="C00000"/>
            </w:tcBorders>
            <w:vAlign w:val="center"/>
          </w:tcPr>
          <w:p w:rsidR="002075E2" w:rsidRPr="00CF3FEC" w:rsidRDefault="002075E2" w:rsidP="00121658">
            <w:pPr>
              <w:spacing w:before="0" w:line="240" w:lineRule="auto"/>
              <w:jc w:val="left"/>
              <w:rPr>
                <w:b/>
                <w:sz w:val="20"/>
                <w:szCs w:val="20"/>
              </w:rPr>
            </w:pPr>
            <w:r w:rsidRPr="00B67B27">
              <w:rPr>
                <w:b/>
                <w:color w:val="E36C0A" w:themeColor="accent6" w:themeShade="BF"/>
                <w:sz w:val="20"/>
                <w:szCs w:val="20"/>
              </w:rPr>
              <w:t>Previously treated</w:t>
            </w:r>
          </w:p>
        </w:tc>
        <w:tc>
          <w:tcPr>
            <w:tcW w:w="113" w:type="pct"/>
            <w:vAlign w:val="center"/>
          </w:tcPr>
          <w:p w:rsidR="002075E2" w:rsidRPr="00CF3FEC" w:rsidRDefault="002075E2" w:rsidP="00121658">
            <w:pPr>
              <w:spacing w:before="0" w:line="240" w:lineRule="auto"/>
              <w:jc w:val="left"/>
              <w:rPr>
                <w:sz w:val="20"/>
                <w:szCs w:val="20"/>
              </w:rPr>
            </w:pPr>
          </w:p>
        </w:tc>
        <w:tc>
          <w:tcPr>
            <w:tcW w:w="662" w:type="pct"/>
            <w:tcBorders>
              <w:bottom w:val="single" w:sz="24" w:space="0" w:color="C00000"/>
            </w:tcBorders>
            <w:vAlign w:val="center"/>
          </w:tcPr>
          <w:p w:rsidR="002075E2" w:rsidRPr="00CF3FEC" w:rsidRDefault="002075E2" w:rsidP="00121658">
            <w:pPr>
              <w:spacing w:before="0" w:line="240" w:lineRule="auto"/>
              <w:jc w:val="left"/>
              <w:rPr>
                <w:b/>
                <w:sz w:val="20"/>
                <w:szCs w:val="20"/>
              </w:rPr>
            </w:pPr>
            <w:r w:rsidRPr="00B67B27">
              <w:rPr>
                <w:b/>
                <w:color w:val="E36C0A" w:themeColor="accent6" w:themeShade="BF"/>
                <w:sz w:val="20"/>
                <w:szCs w:val="20"/>
              </w:rPr>
              <w:t>Previously treated</w:t>
            </w:r>
          </w:p>
        </w:tc>
        <w:tc>
          <w:tcPr>
            <w:tcW w:w="112" w:type="pct"/>
            <w:vAlign w:val="center"/>
          </w:tcPr>
          <w:p w:rsidR="002075E2" w:rsidRPr="00CF3FEC" w:rsidRDefault="002075E2" w:rsidP="00121658">
            <w:pPr>
              <w:spacing w:before="0" w:line="240" w:lineRule="auto"/>
              <w:jc w:val="left"/>
              <w:rPr>
                <w:sz w:val="20"/>
                <w:szCs w:val="20"/>
              </w:rPr>
            </w:pPr>
          </w:p>
        </w:tc>
        <w:tc>
          <w:tcPr>
            <w:tcW w:w="621" w:type="pct"/>
            <w:tcBorders>
              <w:bottom w:val="single" w:sz="24" w:space="0" w:color="C00000"/>
            </w:tcBorders>
            <w:vAlign w:val="center"/>
          </w:tcPr>
          <w:p w:rsidR="002075E2" w:rsidRDefault="002075E2" w:rsidP="00121658">
            <w:pPr>
              <w:spacing w:before="0" w:line="240" w:lineRule="auto"/>
              <w:jc w:val="left"/>
              <w:rPr>
                <w:b/>
                <w:sz w:val="20"/>
                <w:szCs w:val="20"/>
              </w:rPr>
            </w:pPr>
            <w:r w:rsidRPr="00B67B27">
              <w:rPr>
                <w:b/>
                <w:color w:val="E36C0A" w:themeColor="accent6" w:themeShade="BF"/>
                <w:sz w:val="20"/>
                <w:szCs w:val="20"/>
              </w:rPr>
              <w:t>Previously treated</w:t>
            </w:r>
          </w:p>
        </w:tc>
        <w:tc>
          <w:tcPr>
            <w:tcW w:w="103" w:type="pct"/>
          </w:tcPr>
          <w:p w:rsidR="002075E2" w:rsidRDefault="002075E2" w:rsidP="00121658">
            <w:pPr>
              <w:spacing w:before="0" w:line="240" w:lineRule="auto"/>
              <w:jc w:val="left"/>
              <w:rPr>
                <w:b/>
                <w:sz w:val="20"/>
                <w:szCs w:val="20"/>
              </w:rPr>
            </w:pPr>
          </w:p>
        </w:tc>
        <w:tc>
          <w:tcPr>
            <w:tcW w:w="559" w:type="pct"/>
            <w:tcBorders>
              <w:bottom w:val="single" w:sz="24" w:space="0" w:color="C00000"/>
            </w:tcBorders>
            <w:vAlign w:val="center"/>
          </w:tcPr>
          <w:p w:rsidR="002075E2" w:rsidRDefault="002075E2" w:rsidP="00121658">
            <w:pPr>
              <w:spacing w:before="0" w:line="240" w:lineRule="auto"/>
              <w:jc w:val="left"/>
              <w:rPr>
                <w:b/>
                <w:sz w:val="20"/>
                <w:szCs w:val="20"/>
              </w:rPr>
            </w:pPr>
            <w:r w:rsidRPr="00B67B27">
              <w:rPr>
                <w:b/>
                <w:color w:val="E36C0A" w:themeColor="accent6" w:themeShade="BF"/>
                <w:sz w:val="20"/>
                <w:szCs w:val="20"/>
              </w:rPr>
              <w:t>Previously treated</w:t>
            </w:r>
          </w:p>
        </w:tc>
        <w:tc>
          <w:tcPr>
            <w:tcW w:w="103" w:type="pct"/>
            <w:tcBorders>
              <w:right w:val="single" w:sz="4" w:space="0" w:color="auto"/>
            </w:tcBorders>
            <w:vAlign w:val="center"/>
          </w:tcPr>
          <w:p w:rsidR="002075E2" w:rsidRPr="00CF3FEC" w:rsidRDefault="002075E2" w:rsidP="00121658">
            <w:pPr>
              <w:spacing w:before="0" w:line="240" w:lineRule="auto"/>
              <w:jc w:val="left"/>
              <w:rPr>
                <w:sz w:val="20"/>
                <w:szCs w:val="20"/>
              </w:rPr>
            </w:pPr>
          </w:p>
        </w:tc>
        <w:tc>
          <w:tcPr>
            <w:tcW w:w="1367" w:type="pct"/>
            <w:gridSpan w:val="4"/>
            <w:vMerge w:val="restart"/>
            <w:tcBorders>
              <w:top w:val="single" w:sz="4" w:space="0" w:color="auto"/>
              <w:left w:val="single" w:sz="4" w:space="0" w:color="auto"/>
              <w:bottom w:val="single" w:sz="4" w:space="0" w:color="auto"/>
              <w:right w:val="single" w:sz="4" w:space="0" w:color="auto"/>
            </w:tcBorders>
            <w:vAlign w:val="center"/>
          </w:tcPr>
          <w:p w:rsidR="002075E2" w:rsidRPr="00CF3FEC" w:rsidRDefault="002075E2" w:rsidP="00121658">
            <w:pPr>
              <w:spacing w:before="0" w:line="240" w:lineRule="auto"/>
              <w:jc w:val="left"/>
              <w:rPr>
                <w:b/>
                <w:sz w:val="20"/>
                <w:szCs w:val="20"/>
              </w:rPr>
            </w:pPr>
            <w:r>
              <w:rPr>
                <w:b/>
                <w:sz w:val="20"/>
                <w:szCs w:val="20"/>
              </w:rPr>
              <w:t xml:space="preserve">Consider clinical trial eligibility; atrial </w:t>
            </w:r>
            <w:proofErr w:type="spellStart"/>
            <w:r>
              <w:rPr>
                <w:b/>
                <w:sz w:val="20"/>
                <w:szCs w:val="20"/>
              </w:rPr>
              <w:t>septostomy</w:t>
            </w:r>
            <w:proofErr w:type="spellEnd"/>
            <w:r>
              <w:rPr>
                <w:b/>
                <w:sz w:val="20"/>
                <w:szCs w:val="20"/>
              </w:rPr>
              <w:t>; lung transplant</w:t>
            </w:r>
          </w:p>
        </w:tc>
      </w:tr>
      <w:tr w:rsidR="002075E2" w:rsidRPr="00CF3FEC" w:rsidTr="002075E2">
        <w:tc>
          <w:tcPr>
            <w:tcW w:w="638" w:type="pct"/>
            <w:tcBorders>
              <w:top w:val="single" w:sz="24" w:space="0" w:color="FFC000"/>
              <w:left w:val="single" w:sz="24" w:space="0" w:color="FFC000"/>
              <w:bottom w:val="single" w:sz="24" w:space="0" w:color="FFC000"/>
              <w:right w:val="single" w:sz="24" w:space="0" w:color="FFC000"/>
            </w:tcBorders>
            <w:vAlign w:val="center"/>
          </w:tcPr>
          <w:p w:rsidR="002075E2" w:rsidRDefault="002075E2" w:rsidP="00121658">
            <w:pPr>
              <w:spacing w:before="0" w:line="240" w:lineRule="auto"/>
              <w:jc w:val="left"/>
              <w:rPr>
                <w:b/>
                <w:sz w:val="20"/>
                <w:szCs w:val="20"/>
              </w:rPr>
            </w:pPr>
            <w:r w:rsidRPr="00CF3FEC">
              <w:rPr>
                <w:sz w:val="20"/>
                <w:szCs w:val="20"/>
              </w:rPr>
              <w:t>WHO FC III</w:t>
            </w:r>
          </w:p>
        </w:tc>
        <w:tc>
          <w:tcPr>
            <w:tcW w:w="103" w:type="pct"/>
            <w:tcBorders>
              <w:left w:val="single" w:sz="24" w:space="0" w:color="FFC000"/>
              <w:right w:val="single" w:sz="24" w:space="0" w:color="C00000"/>
            </w:tcBorders>
          </w:tcPr>
          <w:p w:rsidR="002075E2" w:rsidRPr="00CF3FEC" w:rsidRDefault="002075E2" w:rsidP="00121658">
            <w:pPr>
              <w:spacing w:before="0" w:line="240" w:lineRule="auto"/>
              <w:jc w:val="left"/>
              <w:rPr>
                <w:sz w:val="20"/>
                <w:szCs w:val="20"/>
              </w:rPr>
            </w:pPr>
          </w:p>
        </w:tc>
        <w:tc>
          <w:tcPr>
            <w:tcW w:w="620" w:type="pct"/>
            <w:tcBorders>
              <w:top w:val="single" w:sz="24" w:space="0" w:color="C00000"/>
              <w:left w:val="single" w:sz="24" w:space="0" w:color="C00000"/>
              <w:bottom w:val="single" w:sz="24" w:space="0" w:color="C00000"/>
              <w:right w:val="single" w:sz="24" w:space="0" w:color="C00000"/>
            </w:tcBorders>
            <w:vAlign w:val="center"/>
          </w:tcPr>
          <w:p w:rsidR="002075E2" w:rsidRPr="00CF3FEC" w:rsidRDefault="002075E2" w:rsidP="00121658">
            <w:pPr>
              <w:spacing w:before="0" w:line="240" w:lineRule="auto"/>
              <w:jc w:val="left"/>
              <w:rPr>
                <w:b/>
                <w:sz w:val="20"/>
                <w:szCs w:val="20"/>
              </w:rPr>
            </w:pPr>
            <w:r w:rsidRPr="00CF3FEC">
              <w:rPr>
                <w:sz w:val="20"/>
                <w:szCs w:val="20"/>
              </w:rPr>
              <w:t>WHO FC IV</w:t>
            </w:r>
          </w:p>
        </w:tc>
        <w:tc>
          <w:tcPr>
            <w:tcW w:w="113" w:type="pct"/>
            <w:tcBorders>
              <w:left w:val="single" w:sz="24" w:space="0" w:color="C00000"/>
              <w:right w:val="single" w:sz="24" w:space="0" w:color="C00000"/>
            </w:tcBorders>
            <w:vAlign w:val="center"/>
          </w:tcPr>
          <w:p w:rsidR="002075E2" w:rsidRPr="00CF3FEC" w:rsidRDefault="002075E2" w:rsidP="00121658">
            <w:pPr>
              <w:spacing w:before="0" w:line="240" w:lineRule="auto"/>
              <w:jc w:val="left"/>
              <w:rPr>
                <w:sz w:val="20"/>
                <w:szCs w:val="20"/>
              </w:rPr>
            </w:pPr>
          </w:p>
        </w:tc>
        <w:tc>
          <w:tcPr>
            <w:tcW w:w="662" w:type="pct"/>
            <w:tcBorders>
              <w:top w:val="single" w:sz="24" w:space="0" w:color="C00000"/>
              <w:left w:val="single" w:sz="24" w:space="0" w:color="C00000"/>
              <w:bottom w:val="single" w:sz="24" w:space="0" w:color="C00000"/>
              <w:right w:val="single" w:sz="24" w:space="0" w:color="C00000"/>
            </w:tcBorders>
            <w:vAlign w:val="center"/>
          </w:tcPr>
          <w:p w:rsidR="002075E2" w:rsidRPr="00CF3FEC" w:rsidRDefault="002075E2" w:rsidP="00121658">
            <w:pPr>
              <w:spacing w:before="0" w:line="240" w:lineRule="auto"/>
              <w:jc w:val="left"/>
              <w:rPr>
                <w:b/>
                <w:sz w:val="20"/>
                <w:szCs w:val="20"/>
              </w:rPr>
            </w:pPr>
            <w:r w:rsidRPr="00CF3FEC">
              <w:rPr>
                <w:sz w:val="20"/>
                <w:szCs w:val="20"/>
              </w:rPr>
              <w:t>WHO FC IV</w:t>
            </w:r>
          </w:p>
        </w:tc>
        <w:tc>
          <w:tcPr>
            <w:tcW w:w="112" w:type="pct"/>
            <w:tcBorders>
              <w:left w:val="single" w:sz="24" w:space="0" w:color="C00000"/>
              <w:right w:val="single" w:sz="24" w:space="0" w:color="C00000"/>
            </w:tcBorders>
            <w:vAlign w:val="center"/>
          </w:tcPr>
          <w:p w:rsidR="002075E2" w:rsidRPr="00CF3FEC" w:rsidRDefault="002075E2" w:rsidP="00121658">
            <w:pPr>
              <w:spacing w:before="0" w:line="240" w:lineRule="auto"/>
              <w:jc w:val="left"/>
              <w:rPr>
                <w:sz w:val="20"/>
                <w:szCs w:val="20"/>
              </w:rPr>
            </w:pPr>
          </w:p>
        </w:tc>
        <w:tc>
          <w:tcPr>
            <w:tcW w:w="621" w:type="pct"/>
            <w:tcBorders>
              <w:top w:val="single" w:sz="24" w:space="0" w:color="C00000"/>
              <w:left w:val="single" w:sz="24" w:space="0" w:color="C00000"/>
              <w:bottom w:val="single" w:sz="24" w:space="0" w:color="C00000"/>
              <w:right w:val="single" w:sz="24" w:space="0" w:color="C00000"/>
            </w:tcBorders>
            <w:vAlign w:val="center"/>
          </w:tcPr>
          <w:p w:rsidR="002075E2" w:rsidRDefault="002075E2" w:rsidP="00121658">
            <w:pPr>
              <w:spacing w:before="0" w:line="240" w:lineRule="auto"/>
              <w:jc w:val="left"/>
              <w:rPr>
                <w:b/>
                <w:sz w:val="20"/>
                <w:szCs w:val="20"/>
              </w:rPr>
            </w:pPr>
            <w:r w:rsidRPr="00CF3FEC">
              <w:rPr>
                <w:sz w:val="20"/>
                <w:szCs w:val="20"/>
              </w:rPr>
              <w:t>WHO FC IV</w:t>
            </w:r>
          </w:p>
        </w:tc>
        <w:tc>
          <w:tcPr>
            <w:tcW w:w="103" w:type="pct"/>
            <w:tcBorders>
              <w:left w:val="single" w:sz="24" w:space="0" w:color="C00000"/>
              <w:right w:val="single" w:sz="24" w:space="0" w:color="C00000"/>
            </w:tcBorders>
          </w:tcPr>
          <w:p w:rsidR="002075E2" w:rsidRDefault="002075E2" w:rsidP="00121658">
            <w:pPr>
              <w:spacing w:before="0" w:line="240" w:lineRule="auto"/>
              <w:jc w:val="left"/>
              <w:rPr>
                <w:b/>
                <w:sz w:val="20"/>
                <w:szCs w:val="20"/>
              </w:rPr>
            </w:pPr>
          </w:p>
        </w:tc>
        <w:tc>
          <w:tcPr>
            <w:tcW w:w="559" w:type="pct"/>
            <w:tcBorders>
              <w:top w:val="single" w:sz="24" w:space="0" w:color="C00000"/>
              <w:left w:val="single" w:sz="24" w:space="0" w:color="C00000"/>
              <w:bottom w:val="single" w:sz="24" w:space="0" w:color="C00000"/>
              <w:right w:val="single" w:sz="24" w:space="0" w:color="C00000"/>
            </w:tcBorders>
            <w:vAlign w:val="center"/>
          </w:tcPr>
          <w:p w:rsidR="002075E2" w:rsidRDefault="002075E2" w:rsidP="00121658">
            <w:pPr>
              <w:spacing w:before="0" w:line="240" w:lineRule="auto"/>
              <w:jc w:val="left"/>
              <w:rPr>
                <w:b/>
                <w:sz w:val="20"/>
                <w:szCs w:val="20"/>
              </w:rPr>
            </w:pPr>
            <w:r w:rsidRPr="00CF3FEC">
              <w:rPr>
                <w:sz w:val="20"/>
                <w:szCs w:val="20"/>
              </w:rPr>
              <w:t>WHO FC IV</w:t>
            </w:r>
          </w:p>
        </w:tc>
        <w:tc>
          <w:tcPr>
            <w:tcW w:w="103" w:type="pct"/>
            <w:tcBorders>
              <w:left w:val="single" w:sz="24" w:space="0" w:color="C00000"/>
              <w:right w:val="single" w:sz="4" w:space="0" w:color="auto"/>
            </w:tcBorders>
            <w:vAlign w:val="center"/>
          </w:tcPr>
          <w:p w:rsidR="002075E2" w:rsidRPr="00CF3FEC" w:rsidRDefault="002075E2" w:rsidP="00121658">
            <w:pPr>
              <w:spacing w:before="0" w:line="240" w:lineRule="auto"/>
              <w:jc w:val="left"/>
              <w:rPr>
                <w:sz w:val="20"/>
                <w:szCs w:val="20"/>
              </w:rPr>
            </w:pPr>
          </w:p>
        </w:tc>
        <w:tc>
          <w:tcPr>
            <w:tcW w:w="1367" w:type="pct"/>
            <w:gridSpan w:val="4"/>
            <w:vMerge/>
            <w:tcBorders>
              <w:left w:val="single" w:sz="4" w:space="0" w:color="auto"/>
              <w:bottom w:val="single" w:sz="4" w:space="0" w:color="auto"/>
              <w:right w:val="single" w:sz="4" w:space="0" w:color="auto"/>
            </w:tcBorders>
          </w:tcPr>
          <w:p w:rsidR="002075E2" w:rsidRPr="00CF3FEC" w:rsidRDefault="002075E2" w:rsidP="00121658">
            <w:pPr>
              <w:spacing w:before="0" w:line="240" w:lineRule="auto"/>
              <w:jc w:val="left"/>
              <w:rPr>
                <w:b/>
                <w:sz w:val="20"/>
                <w:szCs w:val="20"/>
              </w:rPr>
            </w:pPr>
          </w:p>
        </w:tc>
      </w:tr>
    </w:tbl>
    <w:p w:rsidR="001D561A" w:rsidRDefault="001D561A" w:rsidP="00121658">
      <w:pPr>
        <w:pStyle w:val="Tablenote"/>
        <w:spacing w:before="120"/>
        <w:rPr>
          <w:rFonts w:ascii="Arial Narrow" w:hAnsi="Arial Narrow"/>
        </w:rPr>
      </w:pPr>
      <w:r w:rsidRPr="00F04B81">
        <w:rPr>
          <w:rFonts w:ascii="Arial Narrow" w:hAnsi="Arial Narrow"/>
        </w:rPr>
        <w:t>Source: Guideline recommendations</w:t>
      </w:r>
      <w:r w:rsidR="00F04B81" w:rsidRPr="00F04B81">
        <w:rPr>
          <w:rFonts w:ascii="Arial Narrow" w:hAnsi="Arial Narrow"/>
        </w:rPr>
        <w:t xml:space="preserve"> in </w:t>
      </w:r>
      <w:r w:rsidR="00D63371" w:rsidRPr="00D63371">
        <w:rPr>
          <w:rFonts w:ascii="Arial Narrow" w:hAnsi="Arial Narrow"/>
        </w:rPr>
        <w:t>Table 1.7</w:t>
      </w:r>
      <w:r w:rsidR="00D63371" w:rsidRPr="00250EDE">
        <w:t xml:space="preserve"> </w:t>
      </w:r>
      <w:r w:rsidR="00D63371">
        <w:tab/>
        <w:t>Guideline recommendations supporting the therapy pathways</w:t>
      </w:r>
      <w:r w:rsidR="00F04B81">
        <w:rPr>
          <w:rFonts w:ascii="Arial Narrow" w:hAnsi="Arial Narrow"/>
        </w:rPr>
        <w:t>;</w:t>
      </w:r>
      <w:r w:rsidRPr="00F04B81">
        <w:rPr>
          <w:rFonts w:ascii="Arial Narrow" w:hAnsi="Arial Narrow"/>
        </w:rPr>
        <w:t xml:space="preserve"> from sources in</w:t>
      </w:r>
      <w:r w:rsidR="00901B9B">
        <w:rPr>
          <w:rFonts w:ascii="Arial Narrow" w:hAnsi="Arial Narrow"/>
        </w:rPr>
        <w:t xml:space="preserve"> Table 1.1</w:t>
      </w:r>
      <w:r w:rsidRPr="00F04B81">
        <w:rPr>
          <w:rFonts w:ascii="Arial Narrow" w:hAnsi="Arial Narrow"/>
        </w:rPr>
        <w:t xml:space="preserve">. </w:t>
      </w:r>
    </w:p>
    <w:p w:rsidR="001D561A" w:rsidRDefault="001D561A" w:rsidP="00121658">
      <w:pPr>
        <w:spacing w:before="0" w:line="240" w:lineRule="auto"/>
        <w:jc w:val="left"/>
        <w:rPr>
          <w:rFonts w:ascii="Arial Narrow" w:eastAsiaTheme="minorEastAsia" w:hAnsi="Arial Narrow" w:cs="Baskerville"/>
          <w:sz w:val="20"/>
          <w:szCs w:val="20"/>
          <w:lang w:eastAsia="en-AU"/>
        </w:rPr>
      </w:pPr>
      <w:r>
        <w:rPr>
          <w:rFonts w:ascii="Arial Narrow" w:hAnsi="Arial Narrow"/>
        </w:rPr>
        <w:br w:type="page"/>
      </w:r>
    </w:p>
    <w:p w:rsidR="001D561A" w:rsidRDefault="00250EDE" w:rsidP="00250EDE">
      <w:pPr>
        <w:pStyle w:val="Caption"/>
        <w:jc w:val="left"/>
      </w:pPr>
      <w:bookmarkStart w:id="160" w:name="_Ref510796261"/>
      <w:bookmarkStart w:id="161" w:name="_Ref508896252"/>
      <w:bookmarkStart w:id="162" w:name="_Toc513107633"/>
      <w:r>
        <w:t>Table 1.</w:t>
      </w:r>
      <w:r w:rsidR="00D63371">
        <w:rPr>
          <w:noProof/>
        </w:rPr>
        <w:t>7</w:t>
      </w:r>
      <w:bookmarkEnd w:id="160"/>
      <w:r w:rsidRPr="00250EDE">
        <w:t xml:space="preserve"> </w:t>
      </w:r>
      <w:r>
        <w:tab/>
        <w:t>Guideline recommendations supporting the therapy pathways</w:t>
      </w:r>
      <w:bookmarkEnd w:id="161"/>
      <w:bookmarkEnd w:id="162"/>
    </w:p>
    <w:tbl>
      <w:tblPr>
        <w:tblStyle w:val="TableGrid"/>
        <w:tblW w:w="0" w:type="auto"/>
        <w:tblLook w:val="04A0" w:firstRow="1" w:lastRow="0" w:firstColumn="1" w:lastColumn="0" w:noHBand="0" w:noVBand="1"/>
        <w:tblCaption w:val="Guideline recommendations supporting the therapy pathways"/>
      </w:tblPr>
      <w:tblGrid>
        <w:gridCol w:w="1976"/>
        <w:gridCol w:w="5873"/>
        <w:gridCol w:w="6119"/>
      </w:tblGrid>
      <w:tr w:rsidR="001D561A" w:rsidRPr="002C3009" w:rsidTr="002C3009">
        <w:trPr>
          <w:cnfStyle w:val="100000000000" w:firstRow="1" w:lastRow="0" w:firstColumn="0" w:lastColumn="0" w:oddVBand="0" w:evenVBand="0" w:oddHBand="0" w:evenHBand="0" w:firstRowFirstColumn="0" w:firstRowLastColumn="0" w:lastRowFirstColumn="0" w:lastRowLastColumn="0"/>
        </w:trPr>
        <w:tc>
          <w:tcPr>
            <w:tcW w:w="0" w:type="auto"/>
            <w:tcBorders>
              <w:bottom w:val="single" w:sz="4" w:space="0" w:color="auto"/>
            </w:tcBorders>
          </w:tcPr>
          <w:p w:rsidR="001D561A" w:rsidRPr="002C3009" w:rsidRDefault="001D561A" w:rsidP="00F10B38">
            <w:pPr>
              <w:spacing w:before="0" w:line="240" w:lineRule="auto"/>
              <w:ind w:left="147" w:right="57"/>
              <w:jc w:val="left"/>
              <w:rPr>
                <w:rFonts w:ascii="Arial" w:hAnsi="Arial" w:cs="Arial"/>
                <w:b/>
                <w:sz w:val="20"/>
                <w:szCs w:val="20"/>
              </w:rPr>
            </w:pPr>
            <w:r w:rsidRPr="002C3009">
              <w:rPr>
                <w:rFonts w:ascii="Arial" w:hAnsi="Arial" w:cs="Arial"/>
                <w:b/>
                <w:sz w:val="20"/>
                <w:szCs w:val="20"/>
              </w:rPr>
              <w:t>Patient Group</w:t>
            </w:r>
          </w:p>
        </w:tc>
        <w:tc>
          <w:tcPr>
            <w:tcW w:w="0" w:type="auto"/>
            <w:tcBorders>
              <w:bottom w:val="single" w:sz="4" w:space="0" w:color="auto"/>
            </w:tcBorders>
          </w:tcPr>
          <w:p w:rsidR="001D561A" w:rsidRPr="002C3009" w:rsidRDefault="00F13710" w:rsidP="009C556B">
            <w:pPr>
              <w:spacing w:before="0" w:line="240" w:lineRule="auto"/>
              <w:ind w:left="143" w:right="57"/>
              <w:jc w:val="left"/>
              <w:rPr>
                <w:rFonts w:ascii="Arial" w:hAnsi="Arial" w:cs="Arial"/>
                <w:b/>
                <w:sz w:val="20"/>
                <w:szCs w:val="20"/>
              </w:rPr>
            </w:pPr>
            <w:r w:rsidRPr="002C3009">
              <w:rPr>
                <w:rFonts w:ascii="Arial" w:hAnsi="Arial" w:cs="Arial"/>
                <w:b/>
                <w:sz w:val="20"/>
                <w:szCs w:val="20"/>
              </w:rPr>
              <w:t xml:space="preserve">CHEST </w:t>
            </w:r>
            <w:r w:rsidR="001D561A" w:rsidRPr="002C3009">
              <w:rPr>
                <w:rFonts w:ascii="Arial" w:hAnsi="Arial" w:cs="Arial"/>
                <w:b/>
                <w:sz w:val="20"/>
                <w:szCs w:val="20"/>
              </w:rPr>
              <w:t>Guideline</w:t>
            </w:r>
            <w:r w:rsidR="009C556B" w:rsidRPr="009C556B">
              <w:rPr>
                <w:rFonts w:ascii="Arial" w:hAnsi="Arial" w:cs="Arial"/>
                <w:b/>
                <w:noProof/>
                <w:sz w:val="20"/>
                <w:szCs w:val="20"/>
                <w:vertAlign w:val="superscript"/>
              </w:rPr>
              <w:t>19</w:t>
            </w:r>
          </w:p>
        </w:tc>
        <w:tc>
          <w:tcPr>
            <w:tcW w:w="0" w:type="auto"/>
            <w:tcBorders>
              <w:bottom w:val="single" w:sz="4" w:space="0" w:color="auto"/>
            </w:tcBorders>
          </w:tcPr>
          <w:p w:rsidR="001D561A" w:rsidRPr="002C3009" w:rsidRDefault="0018277C" w:rsidP="009C556B">
            <w:pPr>
              <w:pStyle w:val="06Tabletextspacebefore"/>
              <w:rPr>
                <w:b/>
              </w:rPr>
            </w:pPr>
            <w:r w:rsidRPr="002C3009">
              <w:rPr>
                <w:b/>
              </w:rPr>
              <w:t>ESC/ERS Guideline</w:t>
            </w:r>
            <w:r w:rsidR="009C556B" w:rsidRPr="002C3009">
              <w:rPr>
                <w:b/>
                <w:noProof/>
                <w:vertAlign w:val="superscript"/>
              </w:rPr>
              <w:t>8</w:t>
            </w:r>
          </w:p>
        </w:tc>
      </w:tr>
      <w:tr w:rsidR="00F04B81" w:rsidRPr="00F10B38" w:rsidTr="002C3009">
        <w:tc>
          <w:tcPr>
            <w:tcW w:w="0" w:type="auto"/>
            <w:tcBorders>
              <w:right w:val="nil"/>
            </w:tcBorders>
            <w:shd w:val="clear" w:color="auto" w:fill="FFFFFF" w:themeFill="background1"/>
          </w:tcPr>
          <w:p w:rsidR="00F04B81" w:rsidRPr="00F10B38" w:rsidRDefault="00F04B81" w:rsidP="00F10B38">
            <w:pPr>
              <w:spacing w:before="0" w:line="240" w:lineRule="auto"/>
              <w:ind w:left="147" w:right="57"/>
              <w:jc w:val="left"/>
              <w:rPr>
                <w:rFonts w:ascii="Arial" w:hAnsi="Arial" w:cs="Arial"/>
                <w:b/>
                <w:sz w:val="20"/>
                <w:szCs w:val="20"/>
              </w:rPr>
            </w:pPr>
            <w:r w:rsidRPr="00F10B38">
              <w:rPr>
                <w:rFonts w:ascii="Arial" w:hAnsi="Arial" w:cs="Arial"/>
                <w:b/>
                <w:sz w:val="20"/>
                <w:szCs w:val="20"/>
              </w:rPr>
              <w:t>General comments</w:t>
            </w:r>
          </w:p>
        </w:tc>
        <w:tc>
          <w:tcPr>
            <w:tcW w:w="0" w:type="auto"/>
            <w:tcBorders>
              <w:left w:val="nil"/>
              <w:right w:val="nil"/>
            </w:tcBorders>
            <w:shd w:val="clear" w:color="auto" w:fill="FFFFFF" w:themeFill="background1"/>
          </w:tcPr>
          <w:p w:rsidR="00F04B81" w:rsidRPr="00F10B38" w:rsidRDefault="00F04B81" w:rsidP="0066711F">
            <w:pPr>
              <w:spacing w:before="0" w:line="240" w:lineRule="auto"/>
              <w:ind w:left="143" w:right="57"/>
              <w:jc w:val="left"/>
              <w:rPr>
                <w:rFonts w:ascii="Arial" w:hAnsi="Arial" w:cs="Arial"/>
                <w:b/>
                <w:sz w:val="20"/>
                <w:szCs w:val="20"/>
              </w:rPr>
            </w:pPr>
          </w:p>
        </w:tc>
        <w:tc>
          <w:tcPr>
            <w:tcW w:w="0" w:type="auto"/>
            <w:tcBorders>
              <w:left w:val="nil"/>
            </w:tcBorders>
            <w:shd w:val="clear" w:color="auto" w:fill="F2F2F2" w:themeFill="background1" w:themeFillShade="F2"/>
          </w:tcPr>
          <w:p w:rsidR="00F04B81" w:rsidRPr="00F10B38" w:rsidRDefault="00F04B81" w:rsidP="002C3009">
            <w:pPr>
              <w:pStyle w:val="06Tabletextspacebefore"/>
            </w:pPr>
          </w:p>
        </w:tc>
      </w:tr>
      <w:tr w:rsidR="00F04B81" w:rsidRPr="00F10B38" w:rsidTr="00F04B81">
        <w:tc>
          <w:tcPr>
            <w:tcW w:w="0" w:type="auto"/>
          </w:tcPr>
          <w:p w:rsidR="00F04B81" w:rsidRPr="002C3009" w:rsidRDefault="00F04B81" w:rsidP="00F10B38">
            <w:pPr>
              <w:spacing w:before="0" w:line="240" w:lineRule="auto"/>
              <w:ind w:left="147" w:right="57"/>
              <w:jc w:val="left"/>
              <w:rPr>
                <w:rFonts w:ascii="Arial" w:hAnsi="Arial" w:cs="Arial"/>
                <w:sz w:val="20"/>
                <w:szCs w:val="20"/>
              </w:rPr>
            </w:pPr>
            <w:r w:rsidRPr="002C3009">
              <w:rPr>
                <w:rFonts w:ascii="Arial" w:hAnsi="Arial" w:cs="Arial"/>
                <w:sz w:val="20"/>
                <w:szCs w:val="20"/>
              </w:rPr>
              <w:t xml:space="preserve">Choice of </w:t>
            </w:r>
            <w:r w:rsidR="00517C17" w:rsidRPr="002C3009">
              <w:rPr>
                <w:rFonts w:ascii="Arial" w:hAnsi="Arial" w:cs="Arial"/>
                <w:sz w:val="20"/>
                <w:szCs w:val="20"/>
              </w:rPr>
              <w:t>medicine</w:t>
            </w:r>
            <w:r w:rsidRPr="002C3009">
              <w:rPr>
                <w:rFonts w:ascii="Arial" w:hAnsi="Arial" w:cs="Arial"/>
                <w:sz w:val="20"/>
                <w:szCs w:val="20"/>
              </w:rPr>
              <w:t xml:space="preserve"> – monotherapy </w:t>
            </w:r>
          </w:p>
        </w:tc>
        <w:tc>
          <w:tcPr>
            <w:tcW w:w="0" w:type="auto"/>
          </w:tcPr>
          <w:p w:rsidR="00F04B81" w:rsidRPr="002C3009" w:rsidRDefault="00F04B81" w:rsidP="0066711F">
            <w:pPr>
              <w:spacing w:before="0" w:line="240" w:lineRule="auto"/>
              <w:ind w:left="143" w:right="57"/>
              <w:jc w:val="left"/>
              <w:rPr>
                <w:rFonts w:ascii="Arial" w:hAnsi="Arial" w:cs="Arial"/>
                <w:i/>
                <w:sz w:val="20"/>
                <w:szCs w:val="20"/>
              </w:rPr>
            </w:pPr>
            <w:r w:rsidRPr="002C3009">
              <w:rPr>
                <w:rFonts w:ascii="Arial" w:hAnsi="Arial" w:cs="Arial"/>
                <w:i/>
                <w:sz w:val="20"/>
                <w:szCs w:val="20"/>
              </w:rPr>
              <w:t xml:space="preserve">“Direct comparisons of available oral therapies for PAH monotherapy for treatment-naive patients have not been performed, and we do not make recommendations or suggestions of one </w:t>
            </w:r>
            <w:r w:rsidR="00517C17" w:rsidRPr="002C3009">
              <w:rPr>
                <w:rFonts w:ascii="Arial" w:hAnsi="Arial" w:cs="Arial"/>
                <w:i/>
                <w:sz w:val="20"/>
                <w:szCs w:val="20"/>
              </w:rPr>
              <w:t>medicine</w:t>
            </w:r>
            <w:r w:rsidRPr="002C3009">
              <w:rPr>
                <w:rFonts w:ascii="Arial" w:hAnsi="Arial" w:cs="Arial"/>
                <w:i/>
                <w:sz w:val="20"/>
                <w:szCs w:val="20"/>
              </w:rPr>
              <w:t xml:space="preserve">, or class of </w:t>
            </w:r>
            <w:r w:rsidR="00517C17" w:rsidRPr="002C3009">
              <w:rPr>
                <w:rFonts w:ascii="Arial" w:hAnsi="Arial" w:cs="Arial"/>
                <w:i/>
                <w:sz w:val="20"/>
                <w:szCs w:val="20"/>
              </w:rPr>
              <w:t>medicine</w:t>
            </w:r>
            <w:r w:rsidRPr="002C3009">
              <w:rPr>
                <w:rFonts w:ascii="Arial" w:hAnsi="Arial" w:cs="Arial"/>
                <w:i/>
                <w:sz w:val="20"/>
                <w:szCs w:val="20"/>
              </w:rPr>
              <w:t xml:space="preserve">, over another. Rapid onset of action and </w:t>
            </w:r>
            <w:proofErr w:type="spellStart"/>
            <w:r w:rsidRPr="002C3009">
              <w:rPr>
                <w:rFonts w:ascii="Arial" w:hAnsi="Arial" w:cs="Arial"/>
                <w:i/>
                <w:sz w:val="20"/>
                <w:szCs w:val="20"/>
              </w:rPr>
              <w:t>titratability</w:t>
            </w:r>
            <w:proofErr w:type="spellEnd"/>
            <w:r w:rsidRPr="002C3009">
              <w:rPr>
                <w:rFonts w:ascii="Arial" w:hAnsi="Arial" w:cs="Arial"/>
                <w:i/>
                <w:sz w:val="20"/>
                <w:szCs w:val="20"/>
              </w:rPr>
              <w:t xml:space="preserve"> of this form of therapy to the severity of the class IV patient’s disease make this preferable over oral PAH-</w:t>
            </w:r>
            <w:r w:rsidR="00C40AC4" w:rsidRPr="002C3009">
              <w:rPr>
                <w:rFonts w:ascii="Arial" w:hAnsi="Arial" w:cs="Arial"/>
                <w:i/>
                <w:sz w:val="20"/>
                <w:szCs w:val="20"/>
              </w:rPr>
              <w:t>specific</w:t>
            </w:r>
            <w:r w:rsidRPr="002C3009">
              <w:rPr>
                <w:rFonts w:ascii="Arial" w:hAnsi="Arial" w:cs="Arial"/>
                <w:i/>
                <w:sz w:val="20"/>
                <w:szCs w:val="20"/>
              </w:rPr>
              <w:t xml:space="preserve"> therapies.”</w:t>
            </w:r>
          </w:p>
        </w:tc>
        <w:tc>
          <w:tcPr>
            <w:tcW w:w="0" w:type="auto"/>
          </w:tcPr>
          <w:p w:rsidR="00F04B81" w:rsidRPr="002C3009" w:rsidRDefault="00F04B81" w:rsidP="002C3009">
            <w:pPr>
              <w:pStyle w:val="06Tabletextspacebefore"/>
              <w:rPr>
                <w:i/>
                <w:sz w:val="20"/>
                <w:szCs w:val="20"/>
              </w:rPr>
            </w:pPr>
            <w:r w:rsidRPr="002C3009">
              <w:rPr>
                <w:i/>
                <w:sz w:val="20"/>
                <w:szCs w:val="20"/>
              </w:rPr>
              <w:t>“If initial monotherapy is chosen, since head-to-head comparisons among different compounds are not available […] the choice of the drug may depend on […] labelling, route of administration, side-effect profile, potential interaction with background therapies, patient preferences, co-morbidities, physician experience and cost”</w:t>
            </w:r>
          </w:p>
        </w:tc>
      </w:tr>
      <w:tr w:rsidR="00F04B81" w:rsidRPr="00F10B38" w:rsidTr="00F04B81">
        <w:tc>
          <w:tcPr>
            <w:tcW w:w="0" w:type="auto"/>
          </w:tcPr>
          <w:p w:rsidR="00F04B81" w:rsidRPr="002C3009" w:rsidRDefault="00F04B81" w:rsidP="00F10B38">
            <w:pPr>
              <w:spacing w:before="0" w:line="240" w:lineRule="auto"/>
              <w:ind w:left="147" w:right="57"/>
              <w:jc w:val="left"/>
              <w:rPr>
                <w:rFonts w:ascii="Arial" w:hAnsi="Arial" w:cs="Arial"/>
                <w:sz w:val="20"/>
                <w:szCs w:val="20"/>
              </w:rPr>
            </w:pPr>
            <w:r w:rsidRPr="002C3009">
              <w:rPr>
                <w:rFonts w:ascii="Arial" w:hAnsi="Arial" w:cs="Arial"/>
                <w:sz w:val="20"/>
                <w:szCs w:val="20"/>
              </w:rPr>
              <w:t xml:space="preserve">Choice of </w:t>
            </w:r>
            <w:r w:rsidR="00517C17" w:rsidRPr="002C3009">
              <w:rPr>
                <w:rFonts w:ascii="Arial" w:hAnsi="Arial" w:cs="Arial"/>
                <w:sz w:val="20"/>
                <w:szCs w:val="20"/>
              </w:rPr>
              <w:t>medicine</w:t>
            </w:r>
            <w:r w:rsidRPr="002C3009">
              <w:rPr>
                <w:rFonts w:ascii="Arial" w:hAnsi="Arial" w:cs="Arial"/>
                <w:sz w:val="20"/>
                <w:szCs w:val="20"/>
              </w:rPr>
              <w:t xml:space="preserve"> – high risk/WHO FC IV</w:t>
            </w:r>
          </w:p>
        </w:tc>
        <w:tc>
          <w:tcPr>
            <w:tcW w:w="0" w:type="auto"/>
          </w:tcPr>
          <w:p w:rsidR="00F04B81" w:rsidRPr="002C3009" w:rsidRDefault="00F04B81" w:rsidP="0066711F">
            <w:pPr>
              <w:spacing w:before="0" w:line="240" w:lineRule="auto"/>
              <w:ind w:left="143" w:right="57"/>
              <w:jc w:val="left"/>
              <w:rPr>
                <w:rFonts w:ascii="Arial" w:hAnsi="Arial" w:cs="Arial"/>
                <w:i/>
                <w:sz w:val="20"/>
                <w:szCs w:val="20"/>
              </w:rPr>
            </w:pPr>
            <w:r w:rsidRPr="002C3009">
              <w:rPr>
                <w:rFonts w:ascii="Arial" w:hAnsi="Arial" w:cs="Arial"/>
                <w:i/>
                <w:sz w:val="20"/>
                <w:szCs w:val="20"/>
              </w:rPr>
              <w:t xml:space="preserve"> “Most experts in the field consider IV epoprostenol the therapy of choice for WHO FC IV patients based on extensive clinical experience and the findings of improved survival in a single study”</w:t>
            </w:r>
          </w:p>
        </w:tc>
        <w:tc>
          <w:tcPr>
            <w:tcW w:w="0" w:type="auto"/>
          </w:tcPr>
          <w:p w:rsidR="00F04B81" w:rsidRPr="002C3009" w:rsidRDefault="00F04B81" w:rsidP="002C3009">
            <w:pPr>
              <w:pStyle w:val="06Tabletextspacebefore"/>
              <w:rPr>
                <w:i/>
                <w:sz w:val="20"/>
                <w:szCs w:val="20"/>
              </w:rPr>
            </w:pPr>
            <w:r w:rsidRPr="002C3009">
              <w:rPr>
                <w:i/>
                <w:sz w:val="20"/>
                <w:szCs w:val="20"/>
              </w:rPr>
              <w:t>“In non-</w:t>
            </w:r>
            <w:proofErr w:type="spellStart"/>
            <w:r w:rsidRPr="002C3009">
              <w:rPr>
                <w:i/>
                <w:sz w:val="20"/>
                <w:szCs w:val="20"/>
              </w:rPr>
              <w:t>vasoreactive</w:t>
            </w:r>
            <w:proofErr w:type="spellEnd"/>
            <w:r w:rsidRPr="002C3009">
              <w:rPr>
                <w:i/>
                <w:sz w:val="20"/>
                <w:szCs w:val="20"/>
              </w:rPr>
              <w:t xml:space="preserve"> and treatment-naive patients at high risk, initial combination therapy including </w:t>
            </w:r>
            <w:proofErr w:type="spellStart"/>
            <w:r w:rsidRPr="002C3009">
              <w:rPr>
                <w:i/>
                <w:sz w:val="20"/>
                <w:szCs w:val="20"/>
              </w:rPr>
              <w:t>i.v.</w:t>
            </w:r>
            <w:proofErr w:type="spellEnd"/>
            <w:r w:rsidRPr="002C3009">
              <w:rPr>
                <w:i/>
                <w:sz w:val="20"/>
                <w:szCs w:val="20"/>
              </w:rPr>
              <w:t xml:space="preserve"> prostacyclin analogues should be considered. I.V. epoprostenol should be prioritised since it has reduced the 3-month rate of mortality in high-risk PAH patients also as monotherapy”</w:t>
            </w:r>
          </w:p>
        </w:tc>
      </w:tr>
      <w:tr w:rsidR="00044526" w:rsidRPr="00F10B38" w:rsidTr="002C3009">
        <w:tc>
          <w:tcPr>
            <w:tcW w:w="0" w:type="auto"/>
            <w:tcBorders>
              <w:bottom w:val="single" w:sz="4" w:space="0" w:color="auto"/>
            </w:tcBorders>
          </w:tcPr>
          <w:p w:rsidR="00044526" w:rsidRPr="002C3009" w:rsidRDefault="00044526" w:rsidP="00F10B38">
            <w:pPr>
              <w:spacing w:before="0" w:line="240" w:lineRule="auto"/>
              <w:ind w:left="147" w:right="57"/>
              <w:jc w:val="left"/>
              <w:rPr>
                <w:rFonts w:ascii="Arial" w:hAnsi="Arial" w:cs="Arial"/>
                <w:sz w:val="20"/>
                <w:szCs w:val="20"/>
              </w:rPr>
            </w:pPr>
            <w:r w:rsidRPr="002C3009">
              <w:rPr>
                <w:rFonts w:ascii="Arial" w:hAnsi="Arial" w:cs="Arial"/>
                <w:sz w:val="20"/>
                <w:szCs w:val="20"/>
              </w:rPr>
              <w:t>Treatment response</w:t>
            </w:r>
          </w:p>
        </w:tc>
        <w:tc>
          <w:tcPr>
            <w:tcW w:w="0" w:type="auto"/>
            <w:tcBorders>
              <w:bottom w:val="single" w:sz="4" w:space="0" w:color="auto"/>
            </w:tcBorders>
          </w:tcPr>
          <w:p w:rsidR="00044526" w:rsidRPr="002C3009" w:rsidRDefault="00044526" w:rsidP="0066711F">
            <w:pPr>
              <w:spacing w:before="0" w:line="240" w:lineRule="auto"/>
              <w:ind w:left="143" w:right="57"/>
              <w:jc w:val="left"/>
              <w:rPr>
                <w:rFonts w:ascii="Arial" w:hAnsi="Arial" w:cs="Arial"/>
                <w:i/>
                <w:sz w:val="20"/>
                <w:szCs w:val="20"/>
              </w:rPr>
            </w:pPr>
            <w:r w:rsidRPr="002C3009">
              <w:rPr>
                <w:rFonts w:ascii="Arial" w:hAnsi="Arial" w:cs="Arial"/>
                <w:i/>
                <w:sz w:val="20"/>
                <w:szCs w:val="20"/>
              </w:rPr>
              <w:t>“The therapy is considered adequate only if the targets are met […] patients who are stabilised, or even those who improve slightly, can still receive additional therapy if treatment goals are not met”</w:t>
            </w:r>
          </w:p>
          <w:p w:rsidR="00044526" w:rsidRPr="002C3009" w:rsidRDefault="00044526" w:rsidP="0066711F">
            <w:pPr>
              <w:spacing w:before="0" w:line="240" w:lineRule="auto"/>
              <w:ind w:left="143" w:right="57"/>
              <w:jc w:val="left"/>
              <w:rPr>
                <w:rFonts w:ascii="Arial" w:hAnsi="Arial" w:cs="Arial"/>
                <w:i/>
                <w:sz w:val="20"/>
                <w:szCs w:val="20"/>
              </w:rPr>
            </w:pPr>
            <w:r w:rsidRPr="002C3009">
              <w:rPr>
                <w:rFonts w:ascii="Arial" w:hAnsi="Arial" w:cs="Arial"/>
                <w:i/>
                <w:sz w:val="20"/>
                <w:szCs w:val="20"/>
              </w:rPr>
              <w:t>“The goal-oriented treatment strategy utilises different targets, including WHO-FC I or II, and the near-normalization of resting CI and/or of NT-</w:t>
            </w:r>
            <w:proofErr w:type="spellStart"/>
            <w:r w:rsidRPr="002C3009">
              <w:rPr>
                <w:rFonts w:ascii="Arial" w:hAnsi="Arial" w:cs="Arial"/>
                <w:i/>
                <w:sz w:val="20"/>
                <w:szCs w:val="20"/>
              </w:rPr>
              <w:t>proBNP</w:t>
            </w:r>
            <w:proofErr w:type="spellEnd"/>
            <w:r w:rsidRPr="002C3009">
              <w:rPr>
                <w:rFonts w:ascii="Arial" w:hAnsi="Arial" w:cs="Arial"/>
                <w:i/>
                <w:sz w:val="20"/>
                <w:szCs w:val="20"/>
              </w:rPr>
              <w:t xml:space="preserve"> plasma levels”</w:t>
            </w:r>
          </w:p>
        </w:tc>
        <w:tc>
          <w:tcPr>
            <w:tcW w:w="0" w:type="auto"/>
            <w:tcBorders>
              <w:bottom w:val="single" w:sz="4" w:space="0" w:color="auto"/>
            </w:tcBorders>
          </w:tcPr>
          <w:p w:rsidR="00044526" w:rsidRPr="002C3009" w:rsidRDefault="00044526" w:rsidP="002C3009">
            <w:pPr>
              <w:pStyle w:val="06Tabletextspacebefore"/>
              <w:rPr>
                <w:i/>
                <w:sz w:val="20"/>
                <w:szCs w:val="20"/>
              </w:rPr>
            </w:pPr>
            <w:r w:rsidRPr="002C3009">
              <w:rPr>
                <w:i/>
                <w:sz w:val="20"/>
                <w:szCs w:val="20"/>
              </w:rPr>
              <w:t>“Achievement/maintenance of an intermediate-risk profile should be considered an inadequate treatment response for most patients with PAH”</w:t>
            </w:r>
          </w:p>
        </w:tc>
      </w:tr>
      <w:tr w:rsidR="001D561A" w:rsidRPr="00F10B38" w:rsidTr="002C3009">
        <w:tc>
          <w:tcPr>
            <w:tcW w:w="0" w:type="auto"/>
            <w:tcBorders>
              <w:right w:val="nil"/>
            </w:tcBorders>
            <w:shd w:val="clear" w:color="auto" w:fill="FFFFFF" w:themeFill="background1"/>
          </w:tcPr>
          <w:p w:rsidR="001D561A" w:rsidRPr="002C3009" w:rsidRDefault="001D561A" w:rsidP="00F10B38">
            <w:pPr>
              <w:spacing w:before="0" w:line="240" w:lineRule="auto"/>
              <w:ind w:left="147" w:right="57"/>
              <w:jc w:val="left"/>
              <w:rPr>
                <w:rFonts w:ascii="Arial" w:hAnsi="Arial" w:cs="Arial"/>
                <w:b/>
                <w:sz w:val="20"/>
                <w:szCs w:val="20"/>
              </w:rPr>
            </w:pPr>
            <w:r w:rsidRPr="002C3009">
              <w:rPr>
                <w:rFonts w:ascii="Arial" w:hAnsi="Arial" w:cs="Arial"/>
                <w:b/>
                <w:sz w:val="20"/>
                <w:szCs w:val="20"/>
              </w:rPr>
              <w:t xml:space="preserve">Treatment naïve </w:t>
            </w:r>
          </w:p>
        </w:tc>
        <w:tc>
          <w:tcPr>
            <w:tcW w:w="0" w:type="auto"/>
            <w:tcBorders>
              <w:left w:val="nil"/>
              <w:right w:val="nil"/>
            </w:tcBorders>
            <w:shd w:val="clear" w:color="auto" w:fill="FFFFFF" w:themeFill="background1"/>
          </w:tcPr>
          <w:p w:rsidR="001D561A" w:rsidRPr="002C3009" w:rsidRDefault="001D561A" w:rsidP="0066711F">
            <w:pPr>
              <w:spacing w:before="0" w:line="240" w:lineRule="auto"/>
              <w:ind w:left="143" w:right="57"/>
              <w:jc w:val="left"/>
              <w:rPr>
                <w:rFonts w:ascii="Arial" w:hAnsi="Arial" w:cs="Arial"/>
                <w:b/>
                <w:sz w:val="20"/>
                <w:szCs w:val="20"/>
              </w:rPr>
            </w:pPr>
          </w:p>
        </w:tc>
        <w:tc>
          <w:tcPr>
            <w:tcW w:w="0" w:type="auto"/>
            <w:tcBorders>
              <w:left w:val="nil"/>
              <w:right w:val="nil"/>
            </w:tcBorders>
            <w:shd w:val="clear" w:color="auto" w:fill="FFFFFF" w:themeFill="background1"/>
          </w:tcPr>
          <w:p w:rsidR="001D561A" w:rsidRPr="002C3009" w:rsidRDefault="001D561A" w:rsidP="002C3009">
            <w:pPr>
              <w:pStyle w:val="06Tabletextspacebefore"/>
              <w:rPr>
                <w:sz w:val="20"/>
                <w:szCs w:val="20"/>
              </w:rPr>
            </w:pPr>
          </w:p>
        </w:tc>
      </w:tr>
      <w:tr w:rsidR="001D561A" w:rsidRPr="00F10B38" w:rsidTr="00F04B81">
        <w:tc>
          <w:tcPr>
            <w:tcW w:w="0" w:type="auto"/>
          </w:tcPr>
          <w:p w:rsidR="001D561A" w:rsidRPr="002C3009" w:rsidRDefault="001D561A" w:rsidP="00F10B38">
            <w:pPr>
              <w:spacing w:before="0" w:line="240" w:lineRule="auto"/>
              <w:ind w:left="147" w:right="57"/>
              <w:jc w:val="left"/>
              <w:rPr>
                <w:rFonts w:ascii="Arial" w:hAnsi="Arial" w:cs="Arial"/>
                <w:sz w:val="20"/>
                <w:szCs w:val="20"/>
              </w:rPr>
            </w:pPr>
            <w:r w:rsidRPr="002C3009">
              <w:rPr>
                <w:rFonts w:ascii="Arial" w:hAnsi="Arial" w:cs="Arial"/>
                <w:sz w:val="20"/>
                <w:szCs w:val="20"/>
              </w:rPr>
              <w:t xml:space="preserve">WHO FC I </w:t>
            </w:r>
          </w:p>
        </w:tc>
        <w:tc>
          <w:tcPr>
            <w:tcW w:w="0" w:type="auto"/>
          </w:tcPr>
          <w:p w:rsidR="001D561A" w:rsidRPr="002C3009" w:rsidRDefault="00F04B81" w:rsidP="0066711F">
            <w:pPr>
              <w:spacing w:before="0" w:line="240" w:lineRule="auto"/>
              <w:ind w:left="143" w:right="57"/>
              <w:jc w:val="left"/>
              <w:rPr>
                <w:rFonts w:ascii="Arial" w:hAnsi="Arial" w:cs="Arial"/>
                <w:sz w:val="20"/>
                <w:szCs w:val="20"/>
              </w:rPr>
            </w:pPr>
            <w:r w:rsidRPr="002C3009">
              <w:rPr>
                <w:rFonts w:ascii="Arial" w:hAnsi="Arial" w:cs="Arial"/>
                <w:i/>
                <w:sz w:val="20"/>
                <w:szCs w:val="20"/>
              </w:rPr>
              <w:t>“</w:t>
            </w:r>
            <w:r w:rsidR="001D561A" w:rsidRPr="002C3009">
              <w:rPr>
                <w:rFonts w:ascii="Arial" w:hAnsi="Arial" w:cs="Arial"/>
                <w:i/>
                <w:sz w:val="20"/>
                <w:szCs w:val="20"/>
              </w:rPr>
              <w:t>For treatment naive PAH patients with WHO FC I symptoms, we suggest continued monitoring for the development of symptoms that would signal disease progression and warrant the initiation of pharmacotherapy</w:t>
            </w:r>
            <w:r w:rsidRPr="002C3009">
              <w:rPr>
                <w:rFonts w:ascii="Arial" w:hAnsi="Arial" w:cs="Arial"/>
                <w:i/>
                <w:sz w:val="20"/>
                <w:szCs w:val="20"/>
              </w:rPr>
              <w:t>”</w:t>
            </w:r>
          </w:p>
        </w:tc>
        <w:tc>
          <w:tcPr>
            <w:tcW w:w="0" w:type="auto"/>
          </w:tcPr>
          <w:p w:rsidR="00577343" w:rsidRPr="002C3009" w:rsidRDefault="0018277C" w:rsidP="002C3009">
            <w:pPr>
              <w:pStyle w:val="06Tabletextspacebefore"/>
              <w:rPr>
                <w:sz w:val="20"/>
                <w:szCs w:val="20"/>
              </w:rPr>
            </w:pPr>
            <w:r w:rsidRPr="002C3009">
              <w:rPr>
                <w:sz w:val="20"/>
                <w:szCs w:val="20"/>
              </w:rPr>
              <w:t>WHO FC I patients</w:t>
            </w:r>
            <w:r w:rsidR="00577343" w:rsidRPr="002C3009">
              <w:rPr>
                <w:sz w:val="20"/>
                <w:szCs w:val="20"/>
              </w:rPr>
              <w:t xml:space="preserve"> are</w:t>
            </w:r>
            <w:r w:rsidRPr="002C3009">
              <w:rPr>
                <w:sz w:val="20"/>
                <w:szCs w:val="20"/>
              </w:rPr>
              <w:t xml:space="preserve"> not included in the </w:t>
            </w:r>
            <w:r w:rsidR="00577343" w:rsidRPr="002C3009">
              <w:rPr>
                <w:sz w:val="20"/>
                <w:szCs w:val="20"/>
              </w:rPr>
              <w:t xml:space="preserve">guideline algorithm or the </w:t>
            </w:r>
            <w:r w:rsidR="009E71BE" w:rsidRPr="002C3009">
              <w:rPr>
                <w:sz w:val="20"/>
                <w:szCs w:val="20"/>
              </w:rPr>
              <w:t xml:space="preserve">tabulated </w:t>
            </w:r>
            <w:r w:rsidRPr="002C3009">
              <w:rPr>
                <w:sz w:val="20"/>
                <w:szCs w:val="20"/>
              </w:rPr>
              <w:t>drug therapy recommendations</w:t>
            </w:r>
            <w:r w:rsidR="00823AC2" w:rsidRPr="002C3009">
              <w:rPr>
                <w:sz w:val="20"/>
                <w:szCs w:val="20"/>
              </w:rPr>
              <w:t>; nor is there discussion about management of patients at this stage</w:t>
            </w:r>
            <w:r w:rsidR="00F04B81" w:rsidRPr="002C3009">
              <w:rPr>
                <w:sz w:val="20"/>
                <w:szCs w:val="20"/>
              </w:rPr>
              <w:t>.</w:t>
            </w:r>
          </w:p>
        </w:tc>
      </w:tr>
      <w:tr w:rsidR="001D561A" w:rsidRPr="00F10B38" w:rsidTr="00F04B81">
        <w:tc>
          <w:tcPr>
            <w:tcW w:w="0" w:type="auto"/>
          </w:tcPr>
          <w:p w:rsidR="001D561A" w:rsidRPr="002C3009" w:rsidRDefault="001D561A"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WHO-FC I-III, all symptomatic patients without high risk factors</w:t>
            </w:r>
          </w:p>
        </w:tc>
        <w:tc>
          <w:tcPr>
            <w:tcW w:w="0" w:type="auto"/>
          </w:tcPr>
          <w:p w:rsidR="001D561A" w:rsidRPr="002C3009" w:rsidRDefault="00F04B81"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w:t>
            </w:r>
            <w:r w:rsidR="001D561A" w:rsidRPr="002C3009">
              <w:rPr>
                <w:rFonts w:ascii="Arial" w:hAnsi="Arial" w:cs="Arial"/>
                <w:i/>
                <w:sz w:val="20"/>
                <w:szCs w:val="20"/>
              </w:rPr>
              <w:t>[P]</w:t>
            </w:r>
            <w:proofErr w:type="spellStart"/>
            <w:r w:rsidR="001D561A" w:rsidRPr="002C3009">
              <w:rPr>
                <w:rFonts w:ascii="Arial" w:hAnsi="Arial" w:cs="Arial"/>
                <w:i/>
                <w:sz w:val="20"/>
                <w:szCs w:val="20"/>
              </w:rPr>
              <w:t>atients</w:t>
            </w:r>
            <w:proofErr w:type="spellEnd"/>
            <w:r w:rsidR="001D561A" w:rsidRPr="002C3009">
              <w:rPr>
                <w:rFonts w:ascii="Arial" w:hAnsi="Arial" w:cs="Arial"/>
                <w:i/>
                <w:sz w:val="20"/>
                <w:szCs w:val="20"/>
              </w:rPr>
              <w:t xml:space="preserve"> with PAH who, in the absence of right-heart failure or contraindications to CCB therapy, demonstrate acute vasoreactivity according to consensus definition, should be considered candidates for a trial of therapy with an oral CCB blocker</w:t>
            </w:r>
            <w:r w:rsidRPr="002C3009">
              <w:rPr>
                <w:rFonts w:ascii="Arial" w:hAnsi="Arial" w:cs="Arial"/>
                <w:i/>
                <w:sz w:val="20"/>
                <w:szCs w:val="20"/>
              </w:rPr>
              <w:t>”</w:t>
            </w:r>
          </w:p>
          <w:p w:rsidR="001D561A" w:rsidRPr="002C3009" w:rsidRDefault="001D561A" w:rsidP="002C3009">
            <w:pPr>
              <w:spacing w:beforeLines="60" w:before="144" w:after="60" w:line="240" w:lineRule="auto"/>
              <w:ind w:left="143" w:right="57"/>
              <w:jc w:val="left"/>
              <w:rPr>
                <w:rFonts w:ascii="Arial" w:hAnsi="Arial" w:cs="Arial"/>
                <w:sz w:val="20"/>
                <w:szCs w:val="20"/>
              </w:rPr>
            </w:pPr>
            <w:r w:rsidRPr="002C3009">
              <w:rPr>
                <w:rFonts w:ascii="Arial" w:hAnsi="Arial" w:cs="Arial"/>
                <w:sz w:val="20"/>
                <w:szCs w:val="20"/>
              </w:rPr>
              <w:t>[Note:</w:t>
            </w:r>
            <w:r w:rsidR="00C40AC4" w:rsidRPr="002C3009">
              <w:rPr>
                <w:rFonts w:ascii="Arial" w:hAnsi="Arial" w:cs="Arial"/>
                <w:sz w:val="20"/>
                <w:szCs w:val="20"/>
              </w:rPr>
              <w:t xml:space="preserve"> </w:t>
            </w:r>
            <w:r w:rsidRPr="002C3009">
              <w:rPr>
                <w:rFonts w:ascii="Arial" w:hAnsi="Arial" w:cs="Arial"/>
                <w:sz w:val="20"/>
                <w:szCs w:val="20"/>
              </w:rPr>
              <w:t xml:space="preserve">elsewhere in this Guideline, targeted </w:t>
            </w:r>
            <w:r w:rsidR="00F95235" w:rsidRPr="002C3009">
              <w:rPr>
                <w:rFonts w:ascii="Arial" w:hAnsi="Arial" w:cs="Arial"/>
                <w:sz w:val="20"/>
                <w:szCs w:val="20"/>
              </w:rPr>
              <w:t>PAH medicines</w:t>
            </w:r>
            <w:r w:rsidRPr="002C3009">
              <w:rPr>
                <w:rFonts w:ascii="Arial" w:hAnsi="Arial" w:cs="Arial"/>
                <w:sz w:val="20"/>
                <w:szCs w:val="20"/>
              </w:rPr>
              <w:t xml:space="preserve"> rather than CCBs are recommended for WHO FC III with poor prognosis/risk factors or WHO FC IV]</w:t>
            </w:r>
          </w:p>
        </w:tc>
        <w:tc>
          <w:tcPr>
            <w:tcW w:w="0" w:type="auto"/>
          </w:tcPr>
          <w:p w:rsidR="001D561A" w:rsidRPr="002C3009" w:rsidRDefault="00F04B81" w:rsidP="002C3009">
            <w:pPr>
              <w:pStyle w:val="06Tabletextspacebefore"/>
              <w:spacing w:beforeLines="60" w:before="144" w:after="60"/>
              <w:rPr>
                <w:i/>
                <w:sz w:val="20"/>
                <w:szCs w:val="20"/>
              </w:rPr>
            </w:pPr>
            <w:r w:rsidRPr="002C3009">
              <w:rPr>
                <w:i/>
                <w:sz w:val="20"/>
                <w:szCs w:val="20"/>
              </w:rPr>
              <w:t>“</w:t>
            </w:r>
            <w:r w:rsidR="00FA36A1" w:rsidRPr="002C3009">
              <w:rPr>
                <w:i/>
                <w:sz w:val="20"/>
                <w:szCs w:val="20"/>
              </w:rPr>
              <w:t>Initiation of specific PAH therapy is recommended in patients in WHO-FC III or IV (or those without marked haemodynamic improvement (near normalization) after high doses of CCBs)</w:t>
            </w:r>
            <w:r w:rsidRPr="002C3009">
              <w:rPr>
                <w:i/>
                <w:sz w:val="20"/>
                <w:szCs w:val="20"/>
              </w:rPr>
              <w:t>”</w:t>
            </w:r>
          </w:p>
          <w:p w:rsidR="00577343" w:rsidRPr="002C3009" w:rsidRDefault="00577343" w:rsidP="002C3009">
            <w:pPr>
              <w:pStyle w:val="06Tabletextspacebefore"/>
              <w:spacing w:beforeLines="60" w:before="144" w:after="60"/>
              <w:rPr>
                <w:sz w:val="20"/>
                <w:szCs w:val="20"/>
              </w:rPr>
            </w:pPr>
            <w:r w:rsidRPr="002C3009">
              <w:rPr>
                <w:sz w:val="20"/>
                <w:szCs w:val="20"/>
              </w:rPr>
              <w:t xml:space="preserve">From the guideline algorithm: An acute vasoreactivity test should be administered to patients with </w:t>
            </w:r>
            <w:r w:rsidR="00FC25B4" w:rsidRPr="002C3009">
              <w:rPr>
                <w:sz w:val="20"/>
                <w:szCs w:val="20"/>
              </w:rPr>
              <w:t>IPAH/</w:t>
            </w:r>
            <w:r w:rsidR="004F0200" w:rsidRPr="002C3009">
              <w:rPr>
                <w:sz w:val="20"/>
                <w:szCs w:val="20"/>
              </w:rPr>
              <w:t>heritable</w:t>
            </w:r>
            <w:r w:rsidR="00FC25B4" w:rsidRPr="002C3009">
              <w:rPr>
                <w:sz w:val="20"/>
                <w:szCs w:val="20"/>
              </w:rPr>
              <w:t xml:space="preserve"> PAH/drug induced </w:t>
            </w:r>
            <w:r w:rsidRPr="002C3009">
              <w:rPr>
                <w:sz w:val="20"/>
                <w:szCs w:val="20"/>
              </w:rPr>
              <w:t xml:space="preserve">PAH only, and CCBs trialled in those who are </w:t>
            </w:r>
            <w:proofErr w:type="spellStart"/>
            <w:r w:rsidRPr="002C3009">
              <w:rPr>
                <w:sz w:val="20"/>
                <w:szCs w:val="20"/>
              </w:rPr>
              <w:t>vasoreactive</w:t>
            </w:r>
            <w:proofErr w:type="spellEnd"/>
            <w:r w:rsidR="00F04B81" w:rsidRPr="002C3009">
              <w:rPr>
                <w:sz w:val="20"/>
                <w:szCs w:val="20"/>
              </w:rPr>
              <w:t>.</w:t>
            </w:r>
          </w:p>
          <w:p w:rsidR="00577343" w:rsidRPr="002C3009" w:rsidRDefault="00F04B81" w:rsidP="002C3009">
            <w:pPr>
              <w:pStyle w:val="06Tabletextspacebefore"/>
              <w:spacing w:beforeLines="60" w:before="144" w:after="60"/>
              <w:rPr>
                <w:sz w:val="20"/>
                <w:szCs w:val="20"/>
              </w:rPr>
            </w:pPr>
            <w:r w:rsidRPr="002C3009">
              <w:rPr>
                <w:sz w:val="20"/>
                <w:szCs w:val="20"/>
              </w:rPr>
              <w:t>T</w:t>
            </w:r>
            <w:r w:rsidR="00823AC2" w:rsidRPr="002C3009">
              <w:rPr>
                <w:sz w:val="20"/>
                <w:szCs w:val="20"/>
              </w:rPr>
              <w:t xml:space="preserve">abulated recommendations for monotherapy </w:t>
            </w:r>
            <w:r w:rsidR="00FC25B4" w:rsidRPr="002C3009">
              <w:rPr>
                <w:sz w:val="20"/>
                <w:szCs w:val="20"/>
              </w:rPr>
              <w:t>include</w:t>
            </w:r>
            <w:r w:rsidR="00823AC2" w:rsidRPr="002C3009">
              <w:rPr>
                <w:sz w:val="20"/>
                <w:szCs w:val="20"/>
              </w:rPr>
              <w:t xml:space="preserve"> CCBs for those meeting the subtypes and vasoreactivity criteria and who are WHO FC II or III – </w:t>
            </w:r>
            <w:r w:rsidR="0083085A" w:rsidRPr="002C3009">
              <w:rPr>
                <w:sz w:val="20"/>
                <w:szCs w:val="20"/>
              </w:rPr>
              <w:t>per</w:t>
            </w:r>
            <w:r w:rsidR="00823AC2" w:rsidRPr="002C3009">
              <w:rPr>
                <w:sz w:val="20"/>
                <w:szCs w:val="20"/>
              </w:rPr>
              <w:t xml:space="preserve"> </w:t>
            </w:r>
            <w:r w:rsidR="00FC25B4" w:rsidRPr="002C3009">
              <w:rPr>
                <w:sz w:val="20"/>
                <w:szCs w:val="20"/>
              </w:rPr>
              <w:t>the guideline algorithm</w:t>
            </w:r>
            <w:r w:rsidR="00823AC2" w:rsidRPr="002C3009">
              <w:rPr>
                <w:sz w:val="20"/>
                <w:szCs w:val="20"/>
              </w:rPr>
              <w:t xml:space="preserve"> this would not include WHO FC III with high risk factors</w:t>
            </w:r>
            <w:r w:rsidRPr="002C3009">
              <w:rPr>
                <w:sz w:val="20"/>
                <w:szCs w:val="20"/>
              </w:rPr>
              <w:t>.</w:t>
            </w:r>
          </w:p>
        </w:tc>
      </w:tr>
      <w:tr w:rsidR="00A13424" w:rsidRPr="00F10B38" w:rsidTr="00F04B81">
        <w:tc>
          <w:tcPr>
            <w:tcW w:w="0" w:type="auto"/>
          </w:tcPr>
          <w:p w:rsidR="00A13424" w:rsidRPr="002C3009" w:rsidRDefault="00A13424"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II – not eligible for CCBs</w:t>
            </w:r>
          </w:p>
        </w:tc>
        <w:tc>
          <w:tcPr>
            <w:tcW w:w="0" w:type="auto"/>
          </w:tcPr>
          <w:p w:rsidR="00A13424" w:rsidRPr="002C3009" w:rsidRDefault="00F04B81"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w:t>
            </w:r>
            <w:r w:rsidR="00A13424" w:rsidRPr="002C3009">
              <w:rPr>
                <w:rFonts w:ascii="Arial" w:hAnsi="Arial" w:cs="Arial"/>
                <w:i/>
                <w:sz w:val="20"/>
                <w:szCs w:val="20"/>
              </w:rPr>
              <w:t xml:space="preserve">For treatment naive PAH patients with WHO FC II symptoms who are not candidates for CCB therapy, we advise monotherapy with an ERA, </w:t>
            </w:r>
            <w:r w:rsidR="00AF191D" w:rsidRPr="002C3009">
              <w:rPr>
                <w:rFonts w:ascii="Arial" w:hAnsi="Arial" w:cs="Arial"/>
                <w:i/>
                <w:sz w:val="20"/>
                <w:szCs w:val="20"/>
              </w:rPr>
              <w:t>PDE</w:t>
            </w:r>
            <w:r w:rsidR="00AF191D" w:rsidRPr="002C3009">
              <w:rPr>
                <w:rFonts w:ascii="Arial" w:hAnsi="Arial" w:cs="Arial"/>
                <w:i/>
                <w:sz w:val="20"/>
                <w:szCs w:val="20"/>
              </w:rPr>
              <w:noBreakHyphen/>
              <w:t>5</w:t>
            </w:r>
            <w:r w:rsidR="00C40AC4" w:rsidRPr="002C3009">
              <w:rPr>
                <w:rFonts w:ascii="Arial" w:hAnsi="Arial" w:cs="Arial"/>
                <w:i/>
                <w:sz w:val="20"/>
                <w:szCs w:val="20"/>
              </w:rPr>
              <w:t xml:space="preserve"> inhibitor or rio</w:t>
            </w:r>
            <w:r w:rsidRPr="002C3009">
              <w:rPr>
                <w:rFonts w:ascii="Arial" w:hAnsi="Arial" w:cs="Arial"/>
                <w:i/>
                <w:sz w:val="20"/>
                <w:szCs w:val="20"/>
              </w:rPr>
              <w:t>c</w:t>
            </w:r>
            <w:r w:rsidR="00C40AC4" w:rsidRPr="002C3009">
              <w:rPr>
                <w:rFonts w:ascii="Arial" w:hAnsi="Arial" w:cs="Arial"/>
                <w:i/>
                <w:sz w:val="20"/>
                <w:szCs w:val="20"/>
              </w:rPr>
              <w:t>i</w:t>
            </w:r>
            <w:r w:rsidRPr="002C3009">
              <w:rPr>
                <w:rFonts w:ascii="Arial" w:hAnsi="Arial" w:cs="Arial"/>
                <w:i/>
                <w:sz w:val="20"/>
                <w:szCs w:val="20"/>
              </w:rPr>
              <w:t>guat”</w:t>
            </w:r>
          </w:p>
        </w:tc>
        <w:tc>
          <w:tcPr>
            <w:tcW w:w="0" w:type="auto"/>
          </w:tcPr>
          <w:p w:rsidR="00A13424" w:rsidRPr="002C3009" w:rsidRDefault="00F04B81" w:rsidP="002C3009">
            <w:pPr>
              <w:pStyle w:val="06Tabletextspacebefore"/>
              <w:spacing w:beforeLines="60" w:before="144" w:after="60"/>
              <w:rPr>
                <w:sz w:val="20"/>
                <w:szCs w:val="20"/>
              </w:rPr>
            </w:pPr>
            <w:r w:rsidRPr="002C3009">
              <w:rPr>
                <w:i/>
                <w:sz w:val="20"/>
                <w:szCs w:val="20"/>
              </w:rPr>
              <w:t>“</w:t>
            </w:r>
            <w:r w:rsidR="0018277C" w:rsidRPr="002C3009">
              <w:rPr>
                <w:i/>
                <w:sz w:val="20"/>
                <w:szCs w:val="20"/>
              </w:rPr>
              <w:t>Non-responders to acute vasoreactivity testing who are at low or intermediate risk can be treated with either initial monotherapy or initial oral combination therapy</w:t>
            </w:r>
            <w:r w:rsidRPr="002C3009">
              <w:rPr>
                <w:i/>
                <w:sz w:val="20"/>
                <w:szCs w:val="20"/>
              </w:rPr>
              <w:t>”</w:t>
            </w:r>
            <w:r w:rsidR="00823AC2" w:rsidRPr="002C3009">
              <w:rPr>
                <w:sz w:val="20"/>
                <w:szCs w:val="20"/>
              </w:rPr>
              <w:t xml:space="preserve"> </w:t>
            </w:r>
            <w:r w:rsidR="00FC25B4" w:rsidRPr="002C3009">
              <w:rPr>
                <w:sz w:val="20"/>
                <w:szCs w:val="20"/>
              </w:rPr>
              <w:t>(per the guideline algorithm, this only applies to WHO FC II or III</w:t>
            </w:r>
            <w:r w:rsidR="00823AC2" w:rsidRPr="002C3009">
              <w:rPr>
                <w:sz w:val="20"/>
                <w:szCs w:val="20"/>
              </w:rPr>
              <w:t>)</w:t>
            </w:r>
            <w:r w:rsidRPr="002C3009">
              <w:rPr>
                <w:sz w:val="20"/>
                <w:szCs w:val="20"/>
              </w:rPr>
              <w:t>.</w:t>
            </w:r>
          </w:p>
          <w:p w:rsidR="00577343" w:rsidRPr="002C3009" w:rsidRDefault="00577343" w:rsidP="002C3009">
            <w:pPr>
              <w:pStyle w:val="06Tabletextspacebefore"/>
              <w:spacing w:beforeLines="60" w:before="144" w:after="60"/>
              <w:rPr>
                <w:i/>
                <w:sz w:val="20"/>
                <w:szCs w:val="20"/>
              </w:rPr>
            </w:pPr>
            <w:r w:rsidRPr="002C3009">
              <w:rPr>
                <w:sz w:val="20"/>
                <w:szCs w:val="20"/>
              </w:rPr>
              <w:t xml:space="preserve">The tabulated recommendations for monotherapy </w:t>
            </w:r>
            <w:r w:rsidR="00F04B81" w:rsidRPr="002C3009">
              <w:rPr>
                <w:sz w:val="20"/>
                <w:szCs w:val="20"/>
              </w:rPr>
              <w:t xml:space="preserve">indicate </w:t>
            </w:r>
            <w:r w:rsidR="000A5398" w:rsidRPr="002C3009">
              <w:rPr>
                <w:sz w:val="20"/>
                <w:szCs w:val="20"/>
              </w:rPr>
              <w:t xml:space="preserve">ERAs, </w:t>
            </w:r>
            <w:r w:rsidR="00AF191D" w:rsidRPr="002C3009">
              <w:rPr>
                <w:sz w:val="20"/>
                <w:szCs w:val="20"/>
              </w:rPr>
              <w:t>PDE</w:t>
            </w:r>
            <w:r w:rsidR="00AF191D" w:rsidRPr="002C3009">
              <w:rPr>
                <w:sz w:val="20"/>
                <w:szCs w:val="20"/>
              </w:rPr>
              <w:noBreakHyphen/>
              <w:t>5</w:t>
            </w:r>
            <w:r w:rsidR="000A5398" w:rsidRPr="002C3009">
              <w:rPr>
                <w:sz w:val="20"/>
                <w:szCs w:val="20"/>
              </w:rPr>
              <w:t xml:space="preserve"> inhibitors and</w:t>
            </w:r>
            <w:r w:rsidRPr="002C3009">
              <w:rPr>
                <w:sz w:val="20"/>
                <w:szCs w:val="20"/>
              </w:rPr>
              <w:t xml:space="preserve"> riociguat</w:t>
            </w:r>
            <w:r w:rsidR="000A5398" w:rsidRPr="002C3009">
              <w:rPr>
                <w:sz w:val="20"/>
                <w:szCs w:val="20"/>
              </w:rPr>
              <w:t>,</w:t>
            </w:r>
            <w:r w:rsidRPr="002C3009">
              <w:rPr>
                <w:sz w:val="20"/>
                <w:szCs w:val="20"/>
              </w:rPr>
              <w:t xml:space="preserve"> (</w:t>
            </w:r>
            <w:r w:rsidR="000A5398" w:rsidRPr="002C3009">
              <w:rPr>
                <w:sz w:val="20"/>
                <w:szCs w:val="20"/>
              </w:rPr>
              <w:t>also</w:t>
            </w:r>
            <w:r w:rsidRPr="002C3009">
              <w:rPr>
                <w:sz w:val="20"/>
                <w:szCs w:val="20"/>
              </w:rPr>
              <w:t xml:space="preserve"> selexipag) in WHO FC II and III</w:t>
            </w:r>
            <w:r w:rsidR="00F04B81" w:rsidRPr="002C3009">
              <w:rPr>
                <w:sz w:val="20"/>
                <w:szCs w:val="20"/>
              </w:rPr>
              <w:t>.</w:t>
            </w:r>
          </w:p>
        </w:tc>
      </w:tr>
      <w:tr w:rsidR="009E71BE" w:rsidRPr="00F10B38" w:rsidTr="00F04B81">
        <w:tc>
          <w:tcPr>
            <w:tcW w:w="0" w:type="auto"/>
          </w:tcPr>
          <w:p w:rsidR="009E71BE" w:rsidRPr="002C3009" w:rsidRDefault="009E71BE" w:rsidP="002C3009">
            <w:pPr>
              <w:spacing w:beforeLines="60" w:before="144" w:after="60" w:line="240" w:lineRule="auto"/>
              <w:ind w:left="147" w:right="57"/>
              <w:jc w:val="left"/>
              <w:rPr>
                <w:rFonts w:ascii="Arial" w:hAnsi="Arial" w:cs="Arial"/>
                <w:i/>
                <w:sz w:val="20"/>
                <w:szCs w:val="20"/>
              </w:rPr>
            </w:pPr>
            <w:r w:rsidRPr="002C3009">
              <w:rPr>
                <w:rFonts w:ascii="Arial" w:hAnsi="Arial" w:cs="Arial"/>
                <w:sz w:val="20"/>
                <w:szCs w:val="20"/>
              </w:rPr>
              <w:t xml:space="preserve">WHO FC II – all </w:t>
            </w:r>
          </w:p>
        </w:tc>
        <w:tc>
          <w:tcPr>
            <w:tcW w:w="0" w:type="auto"/>
          </w:tcPr>
          <w:p w:rsidR="009E71BE" w:rsidRPr="002C3009" w:rsidRDefault="00F04B81" w:rsidP="002C3009">
            <w:pPr>
              <w:spacing w:beforeLines="60" w:before="144" w:after="60" w:line="240" w:lineRule="auto"/>
              <w:ind w:left="143" w:right="57"/>
              <w:jc w:val="left"/>
              <w:rPr>
                <w:rFonts w:ascii="Arial" w:hAnsi="Arial" w:cs="Arial"/>
                <w:sz w:val="20"/>
                <w:szCs w:val="20"/>
              </w:rPr>
            </w:pPr>
            <w:r w:rsidRPr="002C3009">
              <w:rPr>
                <w:rFonts w:ascii="Arial" w:hAnsi="Arial" w:cs="Arial"/>
                <w:i/>
                <w:sz w:val="20"/>
                <w:szCs w:val="20"/>
              </w:rPr>
              <w:t>“</w:t>
            </w:r>
            <w:r w:rsidR="009E71BE" w:rsidRPr="002C3009">
              <w:rPr>
                <w:rFonts w:ascii="Arial" w:hAnsi="Arial" w:cs="Arial"/>
                <w:i/>
                <w:sz w:val="20"/>
                <w:szCs w:val="20"/>
              </w:rPr>
              <w:t>[P]</w:t>
            </w:r>
            <w:proofErr w:type="spellStart"/>
            <w:r w:rsidR="009E71BE" w:rsidRPr="002C3009">
              <w:rPr>
                <w:rFonts w:ascii="Arial" w:hAnsi="Arial" w:cs="Arial"/>
                <w:i/>
                <w:sz w:val="20"/>
                <w:szCs w:val="20"/>
              </w:rPr>
              <w:t>arenteral</w:t>
            </w:r>
            <w:proofErr w:type="spellEnd"/>
            <w:r w:rsidR="009E71BE" w:rsidRPr="002C3009">
              <w:rPr>
                <w:rFonts w:ascii="Arial" w:hAnsi="Arial" w:cs="Arial"/>
                <w:i/>
                <w:sz w:val="20"/>
                <w:szCs w:val="20"/>
              </w:rPr>
              <w:t xml:space="preserve"> or inhaled prostanoids [should] not be chosen […] for treatment naive PAH patients with WHO FC II symptoms</w:t>
            </w:r>
            <w:r w:rsidRPr="002C3009">
              <w:rPr>
                <w:rFonts w:ascii="Arial" w:hAnsi="Arial" w:cs="Arial"/>
                <w:i/>
                <w:sz w:val="20"/>
                <w:szCs w:val="20"/>
              </w:rPr>
              <w:t>”</w:t>
            </w:r>
          </w:p>
        </w:tc>
        <w:tc>
          <w:tcPr>
            <w:tcW w:w="0" w:type="auto"/>
          </w:tcPr>
          <w:p w:rsidR="009E71BE" w:rsidRPr="002C3009" w:rsidRDefault="00F04B81" w:rsidP="002C3009">
            <w:pPr>
              <w:pStyle w:val="06Tabletextspacebefore"/>
              <w:spacing w:beforeLines="60" w:before="144" w:after="60"/>
              <w:rPr>
                <w:sz w:val="20"/>
                <w:szCs w:val="20"/>
              </w:rPr>
            </w:pPr>
            <w:proofErr w:type="gramStart"/>
            <w:r w:rsidRPr="002C3009">
              <w:rPr>
                <w:sz w:val="20"/>
                <w:szCs w:val="20"/>
              </w:rPr>
              <w:t>T</w:t>
            </w:r>
            <w:r w:rsidR="009E71BE" w:rsidRPr="002C3009">
              <w:rPr>
                <w:sz w:val="20"/>
                <w:szCs w:val="20"/>
              </w:rPr>
              <w:t>abulated recommendations for monotherapy</w:t>
            </w:r>
            <w:r w:rsidR="00FC25B4" w:rsidRPr="002C3009">
              <w:rPr>
                <w:sz w:val="20"/>
                <w:szCs w:val="20"/>
              </w:rPr>
              <w:t xml:space="preserve"> </w:t>
            </w:r>
            <w:r w:rsidR="009E71BE" w:rsidRPr="002C3009">
              <w:rPr>
                <w:sz w:val="20"/>
                <w:szCs w:val="20"/>
              </w:rPr>
              <w:t>excludes</w:t>
            </w:r>
            <w:proofErr w:type="gramEnd"/>
            <w:r w:rsidR="009E71BE" w:rsidRPr="002C3009">
              <w:rPr>
                <w:sz w:val="20"/>
                <w:szCs w:val="20"/>
              </w:rPr>
              <w:t xml:space="preserve"> all prostanoids for WHO FC II</w:t>
            </w:r>
            <w:r w:rsidR="00FC25B4" w:rsidRPr="002C3009">
              <w:rPr>
                <w:sz w:val="20"/>
                <w:szCs w:val="20"/>
              </w:rPr>
              <w:t>; WHO FC II also excluded from all initial combination therapy recommendations</w:t>
            </w:r>
            <w:r w:rsidRPr="002C3009">
              <w:rPr>
                <w:sz w:val="20"/>
                <w:szCs w:val="20"/>
              </w:rPr>
              <w:t>.</w:t>
            </w:r>
          </w:p>
        </w:tc>
      </w:tr>
      <w:tr w:rsidR="009E71BE" w:rsidRPr="00F10B38" w:rsidTr="00F04B81">
        <w:tc>
          <w:tcPr>
            <w:tcW w:w="0" w:type="auto"/>
          </w:tcPr>
          <w:p w:rsidR="009E71BE" w:rsidRPr="002C3009" w:rsidRDefault="009E71BE"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III – not eligible for CCBs</w:t>
            </w:r>
          </w:p>
        </w:tc>
        <w:tc>
          <w:tcPr>
            <w:tcW w:w="0" w:type="auto"/>
          </w:tcPr>
          <w:p w:rsidR="009E71BE" w:rsidRPr="002C3009" w:rsidRDefault="00F04B81"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 xml:space="preserve">For treatment-naive PAH patients with WHO FC III symptoms who are not candidates for CCB therapy, we advise monotherapy be initiated with an ERA, </w:t>
            </w:r>
            <w:r w:rsidRPr="002C3009">
              <w:rPr>
                <w:rFonts w:ascii="Arial" w:hAnsi="Arial" w:cs="Arial"/>
                <w:i/>
                <w:sz w:val="20"/>
                <w:szCs w:val="20"/>
              </w:rPr>
              <w:t xml:space="preserve">a </w:t>
            </w:r>
            <w:r w:rsidR="00AF191D" w:rsidRPr="002C3009">
              <w:rPr>
                <w:rFonts w:ascii="Arial" w:hAnsi="Arial" w:cs="Arial"/>
                <w:i/>
                <w:sz w:val="20"/>
                <w:szCs w:val="20"/>
              </w:rPr>
              <w:t>PDE</w:t>
            </w:r>
            <w:r w:rsidR="00AF191D" w:rsidRPr="002C3009">
              <w:rPr>
                <w:rFonts w:ascii="Arial" w:hAnsi="Arial" w:cs="Arial"/>
                <w:i/>
                <w:sz w:val="20"/>
                <w:szCs w:val="20"/>
              </w:rPr>
              <w:noBreakHyphen/>
              <w:t>5</w:t>
            </w:r>
            <w:r w:rsidRPr="002C3009">
              <w:rPr>
                <w:rFonts w:ascii="Arial" w:hAnsi="Arial" w:cs="Arial"/>
                <w:i/>
                <w:sz w:val="20"/>
                <w:szCs w:val="20"/>
              </w:rPr>
              <w:t xml:space="preserve"> inhibitor, or riociguat”</w:t>
            </w:r>
          </w:p>
        </w:tc>
        <w:tc>
          <w:tcPr>
            <w:tcW w:w="0" w:type="auto"/>
          </w:tcPr>
          <w:p w:rsidR="00577343" w:rsidRPr="002C3009" w:rsidRDefault="00577343" w:rsidP="002C3009">
            <w:pPr>
              <w:pStyle w:val="06Tabletextspacebefore"/>
              <w:spacing w:beforeLines="60" w:before="144" w:after="60"/>
              <w:rPr>
                <w:sz w:val="20"/>
                <w:szCs w:val="20"/>
              </w:rPr>
            </w:pPr>
            <w:r w:rsidRPr="002C3009">
              <w:rPr>
                <w:sz w:val="20"/>
                <w:szCs w:val="20"/>
              </w:rPr>
              <w:t>From the guideline algorithm: Low or intermediate risk WHO FC II–III should receive EITHER initial monotherapy OR initial oral combination</w:t>
            </w:r>
          </w:p>
          <w:p w:rsidR="00577343" w:rsidRPr="002C3009" w:rsidRDefault="00F04B81" w:rsidP="002C3009">
            <w:pPr>
              <w:pStyle w:val="06Tabletextspacebefore"/>
              <w:spacing w:beforeLines="60" w:before="144" w:after="60"/>
              <w:rPr>
                <w:sz w:val="20"/>
                <w:szCs w:val="20"/>
              </w:rPr>
            </w:pPr>
            <w:r w:rsidRPr="002C3009">
              <w:rPr>
                <w:sz w:val="20"/>
                <w:szCs w:val="20"/>
              </w:rPr>
              <w:t>T</w:t>
            </w:r>
            <w:r w:rsidR="009E71BE" w:rsidRPr="002C3009">
              <w:rPr>
                <w:sz w:val="20"/>
                <w:szCs w:val="20"/>
              </w:rPr>
              <w:t xml:space="preserve">abulated recommendations for </w:t>
            </w:r>
            <w:r w:rsidR="00577343" w:rsidRPr="002C3009">
              <w:rPr>
                <w:sz w:val="20"/>
                <w:szCs w:val="20"/>
              </w:rPr>
              <w:t>monotherapy</w:t>
            </w:r>
            <w:r w:rsidRPr="002C3009">
              <w:rPr>
                <w:sz w:val="20"/>
                <w:szCs w:val="20"/>
              </w:rPr>
              <w:t xml:space="preserve"> indicate</w:t>
            </w:r>
            <w:r w:rsidR="000A5398" w:rsidRPr="002C3009">
              <w:rPr>
                <w:sz w:val="20"/>
                <w:szCs w:val="20"/>
              </w:rPr>
              <w:t xml:space="preserve"> ERAs, </w:t>
            </w:r>
            <w:r w:rsidR="00AF191D" w:rsidRPr="002C3009">
              <w:rPr>
                <w:sz w:val="20"/>
                <w:szCs w:val="20"/>
              </w:rPr>
              <w:t>PDE</w:t>
            </w:r>
            <w:r w:rsidR="00AF191D" w:rsidRPr="002C3009">
              <w:rPr>
                <w:sz w:val="20"/>
                <w:szCs w:val="20"/>
              </w:rPr>
              <w:noBreakHyphen/>
              <w:t>5</w:t>
            </w:r>
            <w:r w:rsidR="000A5398" w:rsidRPr="002C3009">
              <w:rPr>
                <w:sz w:val="20"/>
                <w:szCs w:val="20"/>
              </w:rPr>
              <w:t xml:space="preserve"> inhibitors and</w:t>
            </w:r>
            <w:r w:rsidR="009E71BE" w:rsidRPr="002C3009">
              <w:rPr>
                <w:sz w:val="20"/>
                <w:szCs w:val="20"/>
              </w:rPr>
              <w:t xml:space="preserve"> riociguat</w:t>
            </w:r>
            <w:r w:rsidR="000A5398" w:rsidRPr="002C3009">
              <w:rPr>
                <w:sz w:val="20"/>
                <w:szCs w:val="20"/>
              </w:rPr>
              <w:t>,</w:t>
            </w:r>
            <w:r w:rsidR="009E71BE" w:rsidRPr="002C3009">
              <w:rPr>
                <w:sz w:val="20"/>
                <w:szCs w:val="20"/>
              </w:rPr>
              <w:t xml:space="preserve"> (</w:t>
            </w:r>
            <w:r w:rsidR="000A5398" w:rsidRPr="002C3009">
              <w:rPr>
                <w:sz w:val="20"/>
                <w:szCs w:val="20"/>
              </w:rPr>
              <w:t>also</w:t>
            </w:r>
            <w:r w:rsidR="009E71BE" w:rsidRPr="002C3009">
              <w:rPr>
                <w:sz w:val="20"/>
                <w:szCs w:val="20"/>
              </w:rPr>
              <w:t xml:space="preserve"> selexipag)</w:t>
            </w:r>
            <w:r w:rsidR="00125464" w:rsidRPr="002C3009">
              <w:rPr>
                <w:sz w:val="20"/>
                <w:szCs w:val="20"/>
              </w:rPr>
              <w:t xml:space="preserve"> in WHO FC II and III</w:t>
            </w:r>
            <w:r w:rsidRPr="002C3009">
              <w:rPr>
                <w:sz w:val="20"/>
                <w:szCs w:val="20"/>
              </w:rPr>
              <w:t>.</w:t>
            </w:r>
          </w:p>
        </w:tc>
      </w:tr>
      <w:tr w:rsidR="009E71BE" w:rsidRPr="00F10B38" w:rsidTr="00F04B81">
        <w:tc>
          <w:tcPr>
            <w:tcW w:w="0" w:type="auto"/>
          </w:tcPr>
          <w:p w:rsidR="009E71BE" w:rsidRPr="002C3009" w:rsidRDefault="009E71BE"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III – high risk / poor prognosis</w:t>
            </w:r>
          </w:p>
        </w:tc>
        <w:tc>
          <w:tcPr>
            <w:tcW w:w="0" w:type="auto"/>
          </w:tcPr>
          <w:p w:rsidR="009E71BE" w:rsidRPr="002C3009" w:rsidRDefault="00F04B81" w:rsidP="002C3009">
            <w:pPr>
              <w:spacing w:beforeLines="60" w:before="144" w:after="60" w:line="240" w:lineRule="auto"/>
              <w:ind w:left="143" w:right="57"/>
              <w:jc w:val="left"/>
              <w:rPr>
                <w:rFonts w:ascii="Arial" w:hAnsi="Arial" w:cs="Arial"/>
                <w:sz w:val="20"/>
                <w:szCs w:val="20"/>
              </w:rPr>
            </w:pPr>
            <w:r w:rsidRPr="002C3009">
              <w:rPr>
                <w:rFonts w:ascii="Arial" w:hAnsi="Arial" w:cs="Arial"/>
                <w:i/>
                <w:sz w:val="20"/>
                <w:szCs w:val="20"/>
              </w:rPr>
              <w:t>“</w:t>
            </w:r>
            <w:r w:rsidR="009E71BE" w:rsidRPr="002C3009">
              <w:rPr>
                <w:rFonts w:ascii="Arial" w:hAnsi="Arial" w:cs="Arial"/>
                <w:i/>
                <w:sz w:val="20"/>
                <w:szCs w:val="20"/>
              </w:rPr>
              <w:t xml:space="preserve">For treatment naive PAH patients with WHO FC III symptoms who have evidence of rapid progression of their disease, or other markers of a poor clinical prognosis, we advise consideration of initial treatment with a parenteral </w:t>
            </w:r>
            <w:r w:rsidRPr="002C3009">
              <w:rPr>
                <w:rFonts w:ascii="Arial" w:hAnsi="Arial" w:cs="Arial"/>
                <w:i/>
                <w:sz w:val="20"/>
                <w:szCs w:val="20"/>
              </w:rPr>
              <w:t>prostanoid”</w:t>
            </w:r>
          </w:p>
        </w:tc>
        <w:tc>
          <w:tcPr>
            <w:tcW w:w="0" w:type="auto"/>
          </w:tcPr>
          <w:p w:rsidR="009E71BE" w:rsidRPr="002C3009" w:rsidRDefault="00F04B81" w:rsidP="002C3009">
            <w:pPr>
              <w:pStyle w:val="06Tabletextspacebefore"/>
              <w:spacing w:beforeLines="60" w:before="144" w:after="60"/>
              <w:rPr>
                <w:i/>
                <w:sz w:val="20"/>
                <w:szCs w:val="20"/>
              </w:rPr>
            </w:pPr>
            <w:r w:rsidRPr="002C3009">
              <w:rPr>
                <w:i/>
                <w:sz w:val="20"/>
                <w:szCs w:val="20"/>
              </w:rPr>
              <w:t>“</w:t>
            </w:r>
            <w:r w:rsidR="009E71BE" w:rsidRPr="002C3009">
              <w:rPr>
                <w:i/>
                <w:sz w:val="20"/>
                <w:szCs w:val="20"/>
              </w:rPr>
              <w:t>In non-</w:t>
            </w:r>
            <w:proofErr w:type="spellStart"/>
            <w:r w:rsidR="009E71BE" w:rsidRPr="002C3009">
              <w:rPr>
                <w:i/>
                <w:sz w:val="20"/>
                <w:szCs w:val="20"/>
              </w:rPr>
              <w:t>vasoreactive</w:t>
            </w:r>
            <w:proofErr w:type="spellEnd"/>
            <w:r w:rsidR="009E71BE" w:rsidRPr="002C3009">
              <w:rPr>
                <w:i/>
                <w:sz w:val="20"/>
                <w:szCs w:val="20"/>
              </w:rPr>
              <w:t xml:space="preserve"> and treatment-naive patients at high risk, initial combination therapy including </w:t>
            </w:r>
            <w:proofErr w:type="spellStart"/>
            <w:r w:rsidR="009E71BE" w:rsidRPr="002C3009">
              <w:rPr>
                <w:i/>
                <w:sz w:val="20"/>
                <w:szCs w:val="20"/>
              </w:rPr>
              <w:t>i.v.</w:t>
            </w:r>
            <w:proofErr w:type="spellEnd"/>
            <w:r w:rsidR="009E71BE" w:rsidRPr="002C3009">
              <w:rPr>
                <w:i/>
                <w:sz w:val="20"/>
                <w:szCs w:val="20"/>
              </w:rPr>
              <w:t xml:space="preserve"> prostacyclin analogues should be considered</w:t>
            </w:r>
            <w:r w:rsidRPr="002C3009">
              <w:rPr>
                <w:i/>
                <w:sz w:val="20"/>
                <w:szCs w:val="20"/>
              </w:rPr>
              <w:t>”</w:t>
            </w:r>
          </w:p>
          <w:p w:rsidR="00577343" w:rsidRPr="002C3009" w:rsidRDefault="00F04B81" w:rsidP="002C3009">
            <w:pPr>
              <w:pStyle w:val="06Tabletextspacebefore"/>
              <w:spacing w:beforeLines="60" w:before="144" w:after="60"/>
              <w:rPr>
                <w:sz w:val="20"/>
                <w:szCs w:val="20"/>
              </w:rPr>
            </w:pPr>
            <w:r w:rsidRPr="002C3009">
              <w:rPr>
                <w:sz w:val="20"/>
                <w:szCs w:val="20"/>
              </w:rPr>
              <w:t>T</w:t>
            </w:r>
            <w:r w:rsidR="00577343" w:rsidRPr="002C3009">
              <w:rPr>
                <w:sz w:val="20"/>
                <w:szCs w:val="20"/>
              </w:rPr>
              <w:t xml:space="preserve">abulated recommendations for monotherapy are for oral </w:t>
            </w:r>
            <w:r w:rsidR="00517C17" w:rsidRPr="002C3009">
              <w:rPr>
                <w:sz w:val="20"/>
                <w:szCs w:val="20"/>
              </w:rPr>
              <w:t>medicine</w:t>
            </w:r>
            <w:r w:rsidR="00577343" w:rsidRPr="002C3009">
              <w:rPr>
                <w:sz w:val="20"/>
                <w:szCs w:val="20"/>
              </w:rPr>
              <w:t xml:space="preserve">s and prostanoids in WHO FC III and IV, but especially </w:t>
            </w:r>
            <w:r w:rsidR="008573E5" w:rsidRPr="002C3009">
              <w:rPr>
                <w:sz w:val="20"/>
                <w:szCs w:val="20"/>
              </w:rPr>
              <w:t>epoprostenol</w:t>
            </w:r>
            <w:r w:rsidR="00577343" w:rsidRPr="002C3009">
              <w:rPr>
                <w:sz w:val="20"/>
                <w:szCs w:val="20"/>
              </w:rPr>
              <w:t xml:space="preserve"> in Class IV</w:t>
            </w:r>
            <w:r w:rsidRPr="002C3009">
              <w:rPr>
                <w:sz w:val="20"/>
                <w:szCs w:val="20"/>
              </w:rPr>
              <w:t>.</w:t>
            </w:r>
          </w:p>
          <w:p w:rsidR="00577343" w:rsidRPr="002C3009" w:rsidRDefault="00577343" w:rsidP="002C3009">
            <w:pPr>
              <w:pStyle w:val="06Tabletextspacebefore"/>
              <w:spacing w:beforeLines="60" w:before="144" w:after="60"/>
              <w:rPr>
                <w:sz w:val="20"/>
                <w:szCs w:val="20"/>
              </w:rPr>
            </w:pPr>
            <w:r w:rsidRPr="002C3009">
              <w:rPr>
                <w:sz w:val="20"/>
                <w:szCs w:val="20"/>
              </w:rPr>
              <w:t xml:space="preserve">From the guideline algorithm: Initial combination including </w:t>
            </w:r>
            <w:proofErr w:type="spellStart"/>
            <w:r w:rsidRPr="002C3009">
              <w:rPr>
                <w:sz w:val="20"/>
                <w:szCs w:val="20"/>
              </w:rPr>
              <w:t>i.v.</w:t>
            </w:r>
            <w:proofErr w:type="spellEnd"/>
            <w:r w:rsidRPr="002C3009">
              <w:rPr>
                <w:sz w:val="20"/>
                <w:szCs w:val="20"/>
              </w:rPr>
              <w:t xml:space="preserve"> prostacyclin analogue</w:t>
            </w:r>
            <w:r w:rsidR="000A5398" w:rsidRPr="002C3009">
              <w:rPr>
                <w:sz w:val="20"/>
                <w:szCs w:val="20"/>
              </w:rPr>
              <w:t xml:space="preserve"> for high risk WHO FC IV (also WHO FC III)</w:t>
            </w:r>
            <w:r w:rsidR="00F04B81" w:rsidRPr="002C3009">
              <w:rPr>
                <w:sz w:val="20"/>
                <w:szCs w:val="20"/>
              </w:rPr>
              <w:t>.</w:t>
            </w:r>
          </w:p>
        </w:tc>
      </w:tr>
      <w:tr w:rsidR="009E71BE" w:rsidRPr="00F10B38" w:rsidTr="00F04B81">
        <w:tc>
          <w:tcPr>
            <w:tcW w:w="0" w:type="auto"/>
          </w:tcPr>
          <w:p w:rsidR="009E71BE" w:rsidRPr="002C3009" w:rsidRDefault="009E71BE"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IV</w:t>
            </w:r>
          </w:p>
        </w:tc>
        <w:tc>
          <w:tcPr>
            <w:tcW w:w="0" w:type="auto"/>
          </w:tcPr>
          <w:p w:rsidR="009E71BE" w:rsidRPr="002C3009" w:rsidRDefault="00F04B81"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 xml:space="preserve">For treatment naive PAH patients in WHO FC IV, we advise initiation of monotherapy with a parenteral </w:t>
            </w:r>
            <w:r w:rsidRPr="002C3009">
              <w:rPr>
                <w:rFonts w:ascii="Arial" w:hAnsi="Arial" w:cs="Arial"/>
                <w:i/>
                <w:sz w:val="20"/>
                <w:szCs w:val="20"/>
              </w:rPr>
              <w:t>prostanoid agent”</w:t>
            </w:r>
          </w:p>
          <w:p w:rsidR="009E71BE" w:rsidRPr="002C3009" w:rsidRDefault="00F04B81"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For treatment naive PAH patients in WHO FC IV who are unable or do not desire to manage parenteral prostanoid therapy, we advise treatment with an inhaled prostanoid in combination with an ERA</w:t>
            </w:r>
            <w:r w:rsidRPr="002C3009">
              <w:rPr>
                <w:rFonts w:ascii="Arial" w:hAnsi="Arial" w:cs="Arial"/>
                <w:i/>
                <w:sz w:val="20"/>
                <w:szCs w:val="20"/>
              </w:rPr>
              <w:t>”</w:t>
            </w:r>
          </w:p>
        </w:tc>
        <w:tc>
          <w:tcPr>
            <w:tcW w:w="0" w:type="auto"/>
          </w:tcPr>
          <w:p w:rsidR="009E71BE" w:rsidRPr="002C3009" w:rsidRDefault="00F04B81" w:rsidP="002C3009">
            <w:pPr>
              <w:pStyle w:val="06Tabletextspacebefore"/>
              <w:spacing w:beforeLines="60" w:before="144" w:after="60"/>
              <w:rPr>
                <w:sz w:val="20"/>
                <w:szCs w:val="20"/>
              </w:rPr>
            </w:pPr>
            <w:r w:rsidRPr="002C3009">
              <w:rPr>
                <w:sz w:val="20"/>
                <w:szCs w:val="20"/>
              </w:rPr>
              <w:t>T</w:t>
            </w:r>
            <w:r w:rsidR="00577343" w:rsidRPr="002C3009">
              <w:rPr>
                <w:sz w:val="20"/>
                <w:szCs w:val="20"/>
              </w:rPr>
              <w:t xml:space="preserve">abulated recommendations for monotherapy are for oral agents and prostanoids in WHO FC III and IV, but especially </w:t>
            </w:r>
            <w:r w:rsidR="00242BE9" w:rsidRPr="002C3009">
              <w:rPr>
                <w:sz w:val="20"/>
                <w:szCs w:val="20"/>
              </w:rPr>
              <w:t>epoprostenol</w:t>
            </w:r>
            <w:r w:rsidR="00577343" w:rsidRPr="002C3009">
              <w:rPr>
                <w:sz w:val="20"/>
                <w:szCs w:val="20"/>
              </w:rPr>
              <w:t xml:space="preserve"> in Class IV</w:t>
            </w:r>
            <w:r w:rsidRPr="002C3009">
              <w:rPr>
                <w:sz w:val="20"/>
                <w:szCs w:val="20"/>
              </w:rPr>
              <w:t>.</w:t>
            </w:r>
          </w:p>
          <w:p w:rsidR="00577343" w:rsidRPr="002C3009" w:rsidRDefault="00577343" w:rsidP="002C3009">
            <w:pPr>
              <w:pStyle w:val="06Tabletextspacebefore"/>
              <w:spacing w:beforeLines="60" w:before="144" w:after="60"/>
              <w:rPr>
                <w:sz w:val="20"/>
                <w:szCs w:val="20"/>
              </w:rPr>
            </w:pPr>
            <w:r w:rsidRPr="002C3009">
              <w:rPr>
                <w:sz w:val="20"/>
                <w:szCs w:val="20"/>
              </w:rPr>
              <w:t xml:space="preserve">From the guideline algorithm: Initial combination including </w:t>
            </w:r>
            <w:proofErr w:type="spellStart"/>
            <w:r w:rsidRPr="002C3009">
              <w:rPr>
                <w:sz w:val="20"/>
                <w:szCs w:val="20"/>
              </w:rPr>
              <w:t>i.v.</w:t>
            </w:r>
            <w:proofErr w:type="spellEnd"/>
            <w:r w:rsidRPr="002C3009">
              <w:rPr>
                <w:sz w:val="20"/>
                <w:szCs w:val="20"/>
              </w:rPr>
              <w:t xml:space="preserve"> prostacyclin analogue</w:t>
            </w:r>
            <w:r w:rsidR="000A5398" w:rsidRPr="002C3009">
              <w:rPr>
                <w:sz w:val="20"/>
                <w:szCs w:val="20"/>
              </w:rPr>
              <w:t xml:space="preserve"> for high risk WHO FC IV (also WHO FC III)</w:t>
            </w:r>
            <w:r w:rsidR="00F04B81" w:rsidRPr="002C3009">
              <w:rPr>
                <w:sz w:val="20"/>
                <w:szCs w:val="20"/>
              </w:rPr>
              <w:t>.</w:t>
            </w:r>
          </w:p>
        </w:tc>
      </w:tr>
      <w:tr w:rsidR="009E71BE" w:rsidRPr="00F10B38" w:rsidTr="002C3009">
        <w:tc>
          <w:tcPr>
            <w:tcW w:w="0" w:type="auto"/>
            <w:tcBorders>
              <w:bottom w:val="single" w:sz="4" w:space="0" w:color="auto"/>
            </w:tcBorders>
          </w:tcPr>
          <w:p w:rsidR="009E71BE" w:rsidRPr="002C3009" w:rsidRDefault="009E71BE"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III or IV</w:t>
            </w:r>
          </w:p>
        </w:tc>
        <w:tc>
          <w:tcPr>
            <w:tcW w:w="0" w:type="auto"/>
            <w:tcBorders>
              <w:bottom w:val="single" w:sz="4" w:space="0" w:color="auto"/>
            </w:tcBorders>
          </w:tcPr>
          <w:p w:rsidR="009E71BE" w:rsidRPr="002C3009" w:rsidRDefault="00F04B81"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In PAH patients initiating therapy with IV epoprostenol, we suggest against the routine simultaneous initiation of bosentan</w:t>
            </w:r>
            <w:r w:rsidRPr="002C3009">
              <w:rPr>
                <w:rFonts w:ascii="Arial" w:hAnsi="Arial" w:cs="Arial"/>
                <w:i/>
                <w:sz w:val="20"/>
                <w:szCs w:val="20"/>
              </w:rPr>
              <w:t>”</w:t>
            </w:r>
          </w:p>
        </w:tc>
        <w:tc>
          <w:tcPr>
            <w:tcW w:w="0" w:type="auto"/>
            <w:tcBorders>
              <w:bottom w:val="single" w:sz="4" w:space="0" w:color="auto"/>
            </w:tcBorders>
          </w:tcPr>
          <w:p w:rsidR="009E71BE" w:rsidRPr="002C3009" w:rsidRDefault="00F04B81" w:rsidP="002C3009">
            <w:pPr>
              <w:pStyle w:val="06Tabletextspacebefore"/>
              <w:spacing w:beforeLines="60" w:before="144" w:after="60"/>
              <w:rPr>
                <w:sz w:val="20"/>
                <w:szCs w:val="20"/>
              </w:rPr>
            </w:pPr>
            <w:r w:rsidRPr="002C3009">
              <w:rPr>
                <w:sz w:val="20"/>
                <w:szCs w:val="20"/>
              </w:rPr>
              <w:t>T</w:t>
            </w:r>
            <w:r w:rsidR="009E71BE" w:rsidRPr="002C3009">
              <w:rPr>
                <w:sz w:val="20"/>
                <w:szCs w:val="20"/>
              </w:rPr>
              <w:t>abulated recommendations for monotherapy are for oral agents and prostanoids</w:t>
            </w:r>
            <w:r w:rsidR="00125464" w:rsidRPr="002C3009">
              <w:rPr>
                <w:sz w:val="20"/>
                <w:szCs w:val="20"/>
              </w:rPr>
              <w:t xml:space="preserve"> in WHO FC III and IV</w:t>
            </w:r>
            <w:r w:rsidR="009E71BE" w:rsidRPr="002C3009">
              <w:rPr>
                <w:sz w:val="20"/>
                <w:szCs w:val="20"/>
              </w:rPr>
              <w:t xml:space="preserve">, but especially </w:t>
            </w:r>
            <w:r w:rsidR="00242BE9" w:rsidRPr="002C3009">
              <w:rPr>
                <w:sz w:val="20"/>
                <w:szCs w:val="20"/>
              </w:rPr>
              <w:t>epoprostenol</w:t>
            </w:r>
            <w:r w:rsidR="009E71BE" w:rsidRPr="002C3009">
              <w:rPr>
                <w:sz w:val="20"/>
                <w:szCs w:val="20"/>
              </w:rPr>
              <w:t xml:space="preserve"> in Class IV</w:t>
            </w:r>
            <w:r w:rsidRPr="002C3009">
              <w:rPr>
                <w:sz w:val="20"/>
                <w:szCs w:val="20"/>
              </w:rPr>
              <w:t>.</w:t>
            </w:r>
          </w:p>
        </w:tc>
      </w:tr>
      <w:tr w:rsidR="009E71BE" w:rsidRPr="00F10B38" w:rsidTr="002C3009">
        <w:tc>
          <w:tcPr>
            <w:tcW w:w="0" w:type="auto"/>
            <w:tcBorders>
              <w:right w:val="nil"/>
            </w:tcBorders>
            <w:shd w:val="clear" w:color="auto" w:fill="FFFFFF" w:themeFill="background1"/>
          </w:tcPr>
          <w:p w:rsidR="009E71BE" w:rsidRPr="002C3009" w:rsidRDefault="009E71BE" w:rsidP="002C3009">
            <w:pPr>
              <w:spacing w:beforeLines="60" w:before="144" w:after="60" w:line="240" w:lineRule="auto"/>
              <w:ind w:left="147" w:right="57"/>
              <w:jc w:val="left"/>
              <w:rPr>
                <w:rFonts w:ascii="Arial" w:hAnsi="Arial" w:cs="Arial"/>
                <w:b/>
                <w:sz w:val="20"/>
                <w:szCs w:val="20"/>
              </w:rPr>
            </w:pPr>
            <w:r w:rsidRPr="002C3009">
              <w:rPr>
                <w:rFonts w:ascii="Arial" w:hAnsi="Arial" w:cs="Arial"/>
                <w:b/>
                <w:sz w:val="20"/>
                <w:szCs w:val="20"/>
              </w:rPr>
              <w:t>Previously treated</w:t>
            </w:r>
          </w:p>
        </w:tc>
        <w:tc>
          <w:tcPr>
            <w:tcW w:w="0" w:type="auto"/>
            <w:tcBorders>
              <w:left w:val="nil"/>
              <w:right w:val="nil"/>
            </w:tcBorders>
            <w:shd w:val="clear" w:color="auto" w:fill="FFFFFF" w:themeFill="background1"/>
          </w:tcPr>
          <w:p w:rsidR="009E71BE" w:rsidRPr="002C3009" w:rsidRDefault="009E71BE" w:rsidP="002C3009">
            <w:pPr>
              <w:spacing w:beforeLines="60" w:before="144" w:after="60" w:line="240" w:lineRule="auto"/>
              <w:ind w:left="143" w:right="57"/>
              <w:jc w:val="left"/>
              <w:rPr>
                <w:rFonts w:ascii="Arial" w:hAnsi="Arial" w:cs="Arial"/>
                <w:b/>
                <w:i/>
                <w:sz w:val="20"/>
                <w:szCs w:val="20"/>
              </w:rPr>
            </w:pPr>
          </w:p>
        </w:tc>
        <w:tc>
          <w:tcPr>
            <w:tcW w:w="0" w:type="auto"/>
            <w:tcBorders>
              <w:left w:val="nil"/>
              <w:right w:val="nil"/>
            </w:tcBorders>
            <w:shd w:val="clear" w:color="auto" w:fill="FFFFFF" w:themeFill="background1"/>
          </w:tcPr>
          <w:p w:rsidR="009E71BE" w:rsidRPr="002C3009" w:rsidRDefault="009E71BE" w:rsidP="002C3009">
            <w:pPr>
              <w:pStyle w:val="06Tabletextspacebefore"/>
              <w:spacing w:beforeLines="60" w:before="144" w:after="60"/>
              <w:rPr>
                <w:sz w:val="20"/>
                <w:szCs w:val="20"/>
              </w:rPr>
            </w:pPr>
          </w:p>
        </w:tc>
      </w:tr>
      <w:tr w:rsidR="009E71BE" w:rsidRPr="00F10B38" w:rsidTr="00F04B81">
        <w:tc>
          <w:tcPr>
            <w:tcW w:w="0" w:type="auto"/>
          </w:tcPr>
          <w:p w:rsidR="009E71BE" w:rsidRPr="002C3009" w:rsidRDefault="009E71BE"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II –failed CCBs</w:t>
            </w:r>
          </w:p>
        </w:tc>
        <w:tc>
          <w:tcPr>
            <w:tcW w:w="0" w:type="auto"/>
          </w:tcPr>
          <w:p w:rsidR="009E71BE" w:rsidRPr="002C3009" w:rsidRDefault="00F04B81" w:rsidP="002C3009">
            <w:pPr>
              <w:spacing w:beforeLines="60" w:before="144" w:after="60" w:line="240" w:lineRule="auto"/>
              <w:ind w:left="143" w:right="57"/>
              <w:jc w:val="left"/>
              <w:rPr>
                <w:rFonts w:ascii="Arial" w:hAnsi="Arial" w:cs="Arial"/>
                <w:sz w:val="20"/>
                <w:szCs w:val="20"/>
              </w:rPr>
            </w:pPr>
            <w:r w:rsidRPr="002C3009">
              <w:rPr>
                <w:rFonts w:ascii="Arial" w:hAnsi="Arial" w:cs="Arial"/>
                <w:i/>
                <w:sz w:val="20"/>
                <w:szCs w:val="20"/>
              </w:rPr>
              <w:t>“</w:t>
            </w:r>
            <w:r w:rsidR="009E71BE" w:rsidRPr="002C3009">
              <w:rPr>
                <w:rFonts w:ascii="Arial" w:hAnsi="Arial" w:cs="Arial"/>
                <w:i/>
                <w:sz w:val="20"/>
                <w:szCs w:val="20"/>
              </w:rPr>
              <w:t xml:space="preserve">For PAH patients with WHO FC II symptoms who have failed CCB therapy, we advise monotherapy with an ERA, </w:t>
            </w:r>
            <w:r w:rsidR="00AF191D" w:rsidRPr="002C3009">
              <w:rPr>
                <w:rFonts w:ascii="Arial" w:hAnsi="Arial" w:cs="Arial"/>
                <w:i/>
                <w:sz w:val="20"/>
                <w:szCs w:val="20"/>
              </w:rPr>
              <w:t>PDE</w:t>
            </w:r>
            <w:r w:rsidR="00AF191D" w:rsidRPr="002C3009">
              <w:rPr>
                <w:rFonts w:ascii="Arial" w:hAnsi="Arial" w:cs="Arial"/>
                <w:i/>
                <w:sz w:val="20"/>
                <w:szCs w:val="20"/>
              </w:rPr>
              <w:noBreakHyphen/>
              <w:t>5</w:t>
            </w:r>
            <w:r w:rsidR="00C40AC4" w:rsidRPr="002C3009">
              <w:rPr>
                <w:rFonts w:ascii="Arial" w:hAnsi="Arial" w:cs="Arial"/>
                <w:i/>
                <w:sz w:val="20"/>
                <w:szCs w:val="20"/>
              </w:rPr>
              <w:t xml:space="preserve"> inhibitor or rioci</w:t>
            </w:r>
            <w:r w:rsidRPr="002C3009">
              <w:rPr>
                <w:rFonts w:ascii="Arial" w:hAnsi="Arial" w:cs="Arial"/>
                <w:i/>
                <w:sz w:val="20"/>
                <w:szCs w:val="20"/>
              </w:rPr>
              <w:t>guat”</w:t>
            </w:r>
          </w:p>
        </w:tc>
        <w:tc>
          <w:tcPr>
            <w:tcW w:w="0" w:type="auto"/>
          </w:tcPr>
          <w:p w:rsidR="009E71BE" w:rsidRPr="002C3009" w:rsidRDefault="0025248C" w:rsidP="002C3009">
            <w:pPr>
              <w:pStyle w:val="06Tabletextspacebefore"/>
              <w:spacing w:beforeLines="60" w:before="144" w:after="60"/>
              <w:rPr>
                <w:sz w:val="20"/>
                <w:szCs w:val="20"/>
              </w:rPr>
            </w:pPr>
            <w:r w:rsidRPr="002C3009">
              <w:rPr>
                <w:sz w:val="20"/>
                <w:szCs w:val="20"/>
              </w:rPr>
              <w:t>[As for WHO FC III – failed CCBs</w:t>
            </w:r>
            <w:r w:rsidR="00F04B81" w:rsidRPr="002C3009">
              <w:rPr>
                <w:sz w:val="20"/>
                <w:szCs w:val="20"/>
              </w:rPr>
              <w:t>, below</w:t>
            </w:r>
            <w:r w:rsidRPr="002C3009">
              <w:rPr>
                <w:sz w:val="20"/>
                <w:szCs w:val="20"/>
              </w:rPr>
              <w:t>]</w:t>
            </w:r>
          </w:p>
        </w:tc>
      </w:tr>
      <w:tr w:rsidR="009E71BE" w:rsidRPr="00F10B38" w:rsidTr="00F04B81">
        <w:tc>
          <w:tcPr>
            <w:tcW w:w="0" w:type="auto"/>
          </w:tcPr>
          <w:p w:rsidR="009E71BE" w:rsidRPr="002C3009" w:rsidRDefault="009E71BE"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III – failed CCBs</w:t>
            </w:r>
          </w:p>
        </w:tc>
        <w:tc>
          <w:tcPr>
            <w:tcW w:w="0" w:type="auto"/>
          </w:tcPr>
          <w:p w:rsidR="009E71BE" w:rsidRPr="002C3009" w:rsidRDefault="00F04B81"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 xml:space="preserve">For PAH patients with WHO FC III symptoms who have failed CCB therapy, we advise monotherapy be initiated with an ERA, </w:t>
            </w:r>
            <w:r w:rsidRPr="002C3009">
              <w:rPr>
                <w:rFonts w:ascii="Arial" w:hAnsi="Arial" w:cs="Arial"/>
                <w:i/>
                <w:sz w:val="20"/>
                <w:szCs w:val="20"/>
              </w:rPr>
              <w:t xml:space="preserve">a </w:t>
            </w:r>
            <w:r w:rsidR="00AF191D" w:rsidRPr="002C3009">
              <w:rPr>
                <w:rFonts w:ascii="Arial" w:hAnsi="Arial" w:cs="Arial"/>
                <w:i/>
                <w:sz w:val="20"/>
                <w:szCs w:val="20"/>
              </w:rPr>
              <w:t>PDE</w:t>
            </w:r>
            <w:r w:rsidR="00AF191D" w:rsidRPr="002C3009">
              <w:rPr>
                <w:rFonts w:ascii="Arial" w:hAnsi="Arial" w:cs="Arial"/>
                <w:i/>
                <w:sz w:val="20"/>
                <w:szCs w:val="20"/>
              </w:rPr>
              <w:noBreakHyphen/>
              <w:t>5</w:t>
            </w:r>
            <w:r w:rsidRPr="002C3009">
              <w:rPr>
                <w:rFonts w:ascii="Arial" w:hAnsi="Arial" w:cs="Arial"/>
                <w:i/>
                <w:sz w:val="20"/>
                <w:szCs w:val="20"/>
              </w:rPr>
              <w:t xml:space="preserve"> inhibitor, or riociguat”</w:t>
            </w:r>
          </w:p>
        </w:tc>
        <w:tc>
          <w:tcPr>
            <w:tcW w:w="0" w:type="auto"/>
          </w:tcPr>
          <w:p w:rsidR="009E71BE" w:rsidRPr="002C3009" w:rsidRDefault="00F04B81" w:rsidP="002C3009">
            <w:pPr>
              <w:pStyle w:val="06Tabletextspacebefore"/>
              <w:spacing w:beforeLines="60" w:before="144" w:after="60"/>
              <w:rPr>
                <w:sz w:val="20"/>
                <w:szCs w:val="20"/>
              </w:rPr>
            </w:pPr>
            <w:r w:rsidRPr="002C3009">
              <w:rPr>
                <w:i/>
                <w:sz w:val="20"/>
                <w:szCs w:val="20"/>
              </w:rPr>
              <w:t>“</w:t>
            </w:r>
            <w:r w:rsidR="009E71BE" w:rsidRPr="002C3009">
              <w:rPr>
                <w:i/>
                <w:sz w:val="20"/>
                <w:szCs w:val="20"/>
              </w:rPr>
              <w:t>Initiation of specific PAH therapy is recommended in patients in WHO-FC III or IV or those without marked haemodynamic improvement (near normalization) after high doses of CCBs</w:t>
            </w:r>
            <w:r w:rsidRPr="002C3009">
              <w:rPr>
                <w:i/>
                <w:sz w:val="20"/>
                <w:szCs w:val="20"/>
              </w:rPr>
              <w:t>”</w:t>
            </w:r>
          </w:p>
        </w:tc>
      </w:tr>
      <w:tr w:rsidR="009E71BE" w:rsidRPr="00F10B38" w:rsidTr="00F04B81">
        <w:tc>
          <w:tcPr>
            <w:tcW w:w="0" w:type="auto"/>
          </w:tcPr>
          <w:p w:rsidR="009E71BE" w:rsidRPr="002C3009" w:rsidRDefault="009E71BE"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III – high risk / poor prognosis</w:t>
            </w:r>
          </w:p>
        </w:tc>
        <w:tc>
          <w:tcPr>
            <w:tcW w:w="0" w:type="auto"/>
          </w:tcPr>
          <w:p w:rsidR="009E71BE" w:rsidRPr="002C3009" w:rsidRDefault="00F04B81"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For PAH patients in WHO FC III who have evidence of progression of their disease, and/or markers of poor clinical prognosis despite treatment with one or two classes of oral agents, we advise consideration of the addition of a parenteral or inhaled prostanoid.</w:t>
            </w:r>
            <w:r w:rsidRPr="002C3009">
              <w:rPr>
                <w:rFonts w:ascii="Arial" w:hAnsi="Arial" w:cs="Arial"/>
                <w:i/>
                <w:sz w:val="20"/>
                <w:szCs w:val="20"/>
              </w:rPr>
              <w:t>”</w:t>
            </w:r>
          </w:p>
        </w:tc>
        <w:tc>
          <w:tcPr>
            <w:tcW w:w="0" w:type="auto"/>
          </w:tcPr>
          <w:p w:rsidR="009E71BE" w:rsidRPr="002C3009" w:rsidRDefault="00201586" w:rsidP="002C3009">
            <w:pPr>
              <w:pStyle w:val="06Tabletextspacebefore"/>
              <w:spacing w:beforeLines="60" w:before="144" w:after="60"/>
              <w:rPr>
                <w:sz w:val="20"/>
                <w:szCs w:val="20"/>
              </w:rPr>
            </w:pPr>
            <w:r w:rsidRPr="002C3009">
              <w:rPr>
                <w:sz w:val="20"/>
                <w:szCs w:val="20"/>
              </w:rPr>
              <w:t xml:space="preserve">From the guideline algorithm: Initial combination including </w:t>
            </w:r>
            <w:proofErr w:type="spellStart"/>
            <w:r w:rsidRPr="002C3009">
              <w:rPr>
                <w:sz w:val="20"/>
                <w:szCs w:val="20"/>
              </w:rPr>
              <w:t>i.v.</w:t>
            </w:r>
            <w:proofErr w:type="spellEnd"/>
            <w:r w:rsidRPr="002C3009">
              <w:rPr>
                <w:sz w:val="20"/>
                <w:szCs w:val="20"/>
              </w:rPr>
              <w:t xml:space="preserve"> prostacyclin analogue for WHO FC IV (also </w:t>
            </w:r>
            <w:r w:rsidR="00F04B81" w:rsidRPr="002C3009">
              <w:rPr>
                <w:sz w:val="20"/>
                <w:szCs w:val="20"/>
              </w:rPr>
              <w:t xml:space="preserve">high risk </w:t>
            </w:r>
            <w:r w:rsidRPr="002C3009">
              <w:rPr>
                <w:sz w:val="20"/>
                <w:szCs w:val="20"/>
              </w:rPr>
              <w:t>WHO FC III)</w:t>
            </w:r>
          </w:p>
        </w:tc>
      </w:tr>
      <w:tr w:rsidR="009E71BE" w:rsidRPr="00F10B38" w:rsidTr="00F04B81">
        <w:tc>
          <w:tcPr>
            <w:tcW w:w="0" w:type="auto"/>
          </w:tcPr>
          <w:p w:rsidR="009E71BE" w:rsidRPr="002C3009" w:rsidRDefault="009E71BE"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III or IV</w:t>
            </w:r>
          </w:p>
        </w:tc>
        <w:tc>
          <w:tcPr>
            <w:tcW w:w="0" w:type="auto"/>
          </w:tcPr>
          <w:p w:rsidR="009E71BE" w:rsidRPr="002C3009" w:rsidRDefault="00F04B81"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For WHO FC III or IV PAH patients with unacceptable clinical status despite established PAH-specific monotherapy, we advise addition of a second class of PAH therapy to improve exercise capacity:</w:t>
            </w:r>
          </w:p>
          <w:p w:rsidR="009E71BE" w:rsidRPr="002C3009" w:rsidRDefault="009E71BE"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 xml:space="preserve">- on ERA or </w:t>
            </w:r>
            <w:r w:rsidR="00AF191D" w:rsidRPr="002C3009">
              <w:rPr>
                <w:rFonts w:ascii="Arial" w:hAnsi="Arial" w:cs="Arial"/>
                <w:i/>
                <w:sz w:val="20"/>
                <w:szCs w:val="20"/>
              </w:rPr>
              <w:t>PDE</w:t>
            </w:r>
            <w:r w:rsidR="00AF191D" w:rsidRPr="002C3009">
              <w:rPr>
                <w:rFonts w:ascii="Arial" w:hAnsi="Arial" w:cs="Arial"/>
                <w:i/>
                <w:sz w:val="20"/>
                <w:szCs w:val="20"/>
              </w:rPr>
              <w:noBreakHyphen/>
              <w:t>5</w:t>
            </w:r>
            <w:r w:rsidRPr="002C3009">
              <w:rPr>
                <w:rFonts w:ascii="Arial" w:hAnsi="Arial" w:cs="Arial"/>
                <w:i/>
                <w:sz w:val="20"/>
                <w:szCs w:val="20"/>
              </w:rPr>
              <w:t xml:space="preserve"> inhibitor; add iloprost</w:t>
            </w:r>
          </w:p>
          <w:p w:rsidR="009E71BE" w:rsidRPr="002C3009" w:rsidRDefault="009E71BE"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 on IV epoprostenol, add sildenafil or titrate up epoprostenol dose</w:t>
            </w:r>
          </w:p>
          <w:p w:rsidR="009E71BE" w:rsidRPr="002C3009" w:rsidRDefault="009E71BE"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 on ERA or iloprost, add riociguat</w:t>
            </w:r>
          </w:p>
          <w:p w:rsidR="009E71BE" w:rsidRPr="002C3009" w:rsidRDefault="009E71BE" w:rsidP="002C3009">
            <w:pPr>
              <w:spacing w:beforeLines="60" w:before="144" w:after="60" w:line="240" w:lineRule="auto"/>
              <w:ind w:left="143" w:right="57"/>
              <w:jc w:val="left"/>
              <w:rPr>
                <w:rFonts w:ascii="Arial" w:hAnsi="Arial" w:cs="Arial"/>
                <w:i/>
                <w:sz w:val="20"/>
                <w:szCs w:val="20"/>
              </w:rPr>
            </w:pPr>
            <w:r w:rsidRPr="002C3009">
              <w:rPr>
                <w:rFonts w:ascii="Arial" w:hAnsi="Arial" w:cs="Arial"/>
                <w:i/>
                <w:sz w:val="20"/>
                <w:szCs w:val="20"/>
              </w:rPr>
              <w:t xml:space="preserve">- on </w:t>
            </w:r>
            <w:r w:rsidR="00AF191D" w:rsidRPr="002C3009">
              <w:rPr>
                <w:rFonts w:ascii="Arial" w:hAnsi="Arial" w:cs="Arial"/>
                <w:i/>
                <w:sz w:val="20"/>
                <w:szCs w:val="20"/>
              </w:rPr>
              <w:t>PDE</w:t>
            </w:r>
            <w:r w:rsidR="00AF191D" w:rsidRPr="002C3009">
              <w:rPr>
                <w:rFonts w:ascii="Arial" w:hAnsi="Arial" w:cs="Arial"/>
                <w:i/>
                <w:sz w:val="20"/>
                <w:szCs w:val="20"/>
              </w:rPr>
              <w:noBreakHyphen/>
              <w:t>5</w:t>
            </w:r>
            <w:r w:rsidRPr="002C3009">
              <w:rPr>
                <w:rFonts w:ascii="Arial" w:hAnsi="Arial" w:cs="Arial"/>
                <w:i/>
                <w:sz w:val="20"/>
                <w:szCs w:val="20"/>
              </w:rPr>
              <w:t xml:space="preserve"> inhibitor or iloprost; add macitentan</w:t>
            </w:r>
            <w:r w:rsidR="00F04B81" w:rsidRPr="002C3009">
              <w:rPr>
                <w:rFonts w:ascii="Arial" w:hAnsi="Arial" w:cs="Arial"/>
                <w:i/>
                <w:sz w:val="20"/>
                <w:szCs w:val="20"/>
              </w:rPr>
              <w:t>”</w:t>
            </w:r>
          </w:p>
        </w:tc>
        <w:tc>
          <w:tcPr>
            <w:tcW w:w="0" w:type="auto"/>
          </w:tcPr>
          <w:p w:rsidR="00F04B81" w:rsidRPr="002C3009" w:rsidRDefault="00F04B81" w:rsidP="002C3009">
            <w:pPr>
              <w:pStyle w:val="06Tabletextspacebefore"/>
              <w:spacing w:beforeLines="60" w:before="144" w:after="60"/>
              <w:rPr>
                <w:i/>
                <w:sz w:val="20"/>
                <w:szCs w:val="20"/>
              </w:rPr>
            </w:pPr>
            <w:r w:rsidRPr="002C3009">
              <w:rPr>
                <w:i/>
                <w:sz w:val="20"/>
                <w:szCs w:val="20"/>
              </w:rPr>
              <w:t>“In case of inadequate clinical response to initial combination therapy or initial monotherapy, sequential double or triple combination therapy is recommended. In case of inadequate clinical response with sequential double combination therapy, triple combination therapy should be attempted”</w:t>
            </w:r>
          </w:p>
          <w:p w:rsidR="00F04B81" w:rsidRPr="002C3009" w:rsidRDefault="00F04B81" w:rsidP="002C3009">
            <w:pPr>
              <w:pStyle w:val="06Tabletextspacebefore"/>
              <w:spacing w:beforeLines="60" w:before="144" w:after="60"/>
              <w:rPr>
                <w:sz w:val="20"/>
                <w:szCs w:val="20"/>
              </w:rPr>
            </w:pPr>
          </w:p>
          <w:p w:rsidR="009E71BE" w:rsidRPr="002C3009" w:rsidRDefault="00577343" w:rsidP="002C3009">
            <w:pPr>
              <w:pStyle w:val="06Tabletextspacebefore"/>
              <w:spacing w:beforeLines="60" w:before="144" w:after="60"/>
              <w:rPr>
                <w:sz w:val="20"/>
                <w:szCs w:val="20"/>
              </w:rPr>
            </w:pPr>
            <w:r w:rsidRPr="002C3009">
              <w:rPr>
                <w:sz w:val="20"/>
                <w:szCs w:val="20"/>
              </w:rPr>
              <w:t>From the guideline algorithm: Double or triple sequential combination</w:t>
            </w:r>
            <w:r w:rsidR="00F04B81" w:rsidRPr="002C3009">
              <w:rPr>
                <w:sz w:val="20"/>
                <w:szCs w:val="20"/>
              </w:rPr>
              <w:t xml:space="preserve"> to follow initial therapy.</w:t>
            </w:r>
          </w:p>
        </w:tc>
      </w:tr>
      <w:tr w:rsidR="009E71BE" w:rsidRPr="00F10B38" w:rsidTr="00F04B81">
        <w:tc>
          <w:tcPr>
            <w:tcW w:w="0" w:type="auto"/>
          </w:tcPr>
          <w:p w:rsidR="009E71BE" w:rsidRPr="002C3009" w:rsidRDefault="009E71BE"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WHO FC III or IV – high risk / poor prognosis</w:t>
            </w:r>
          </w:p>
        </w:tc>
        <w:tc>
          <w:tcPr>
            <w:tcW w:w="0" w:type="auto"/>
          </w:tcPr>
          <w:p w:rsidR="009E71BE" w:rsidRPr="002C3009" w:rsidRDefault="00F04B81" w:rsidP="002C3009">
            <w:pPr>
              <w:spacing w:beforeLines="60" w:before="144" w:after="60" w:line="240" w:lineRule="auto"/>
              <w:ind w:right="57"/>
              <w:jc w:val="left"/>
              <w:rPr>
                <w:rFonts w:ascii="Arial" w:hAnsi="Arial" w:cs="Arial"/>
                <w:i/>
                <w:sz w:val="20"/>
                <w:szCs w:val="20"/>
              </w:rPr>
            </w:pPr>
            <w:r w:rsidRPr="002C3009">
              <w:rPr>
                <w:rFonts w:ascii="Arial" w:hAnsi="Arial" w:cs="Arial"/>
                <w:i/>
                <w:sz w:val="20"/>
                <w:szCs w:val="20"/>
              </w:rPr>
              <w:t>“</w:t>
            </w:r>
            <w:r w:rsidR="009E71BE" w:rsidRPr="002C3009">
              <w:rPr>
                <w:rFonts w:ascii="Arial" w:hAnsi="Arial" w:cs="Arial"/>
                <w:i/>
                <w:sz w:val="20"/>
                <w:szCs w:val="20"/>
              </w:rPr>
              <w:t>For WHO FC III or IV PAH patients with unacceptable or deteriorating clinical status despite established PAH-specific therapy with two classes of PAH pharmacotherapy, we suggest addition of a third class of PAH therapy</w:t>
            </w:r>
          </w:p>
          <w:p w:rsidR="00F04B81" w:rsidRPr="002C3009" w:rsidRDefault="00F04B81" w:rsidP="002C3009">
            <w:pPr>
              <w:spacing w:beforeLines="60" w:before="144" w:after="60" w:line="240" w:lineRule="auto"/>
              <w:ind w:right="57"/>
              <w:jc w:val="left"/>
              <w:rPr>
                <w:rFonts w:ascii="Arial" w:hAnsi="Arial" w:cs="Arial"/>
                <w:i/>
                <w:sz w:val="20"/>
                <w:szCs w:val="20"/>
              </w:rPr>
            </w:pPr>
            <w:r w:rsidRPr="002C3009">
              <w:rPr>
                <w:rFonts w:ascii="Arial" w:hAnsi="Arial" w:cs="Arial"/>
                <w:i/>
                <w:sz w:val="20"/>
                <w:szCs w:val="20"/>
              </w:rPr>
              <w:t>[A]</w:t>
            </w:r>
            <w:proofErr w:type="spellStart"/>
            <w:r w:rsidRPr="002C3009">
              <w:rPr>
                <w:rFonts w:ascii="Arial" w:hAnsi="Arial" w:cs="Arial"/>
                <w:i/>
                <w:sz w:val="20"/>
                <w:szCs w:val="20"/>
              </w:rPr>
              <w:t>ddition</w:t>
            </w:r>
            <w:proofErr w:type="spellEnd"/>
            <w:r w:rsidRPr="002C3009">
              <w:rPr>
                <w:rFonts w:ascii="Arial" w:hAnsi="Arial" w:cs="Arial"/>
                <w:i/>
                <w:sz w:val="20"/>
                <w:szCs w:val="20"/>
              </w:rPr>
              <w:t xml:space="preserve"> of a third class of PAH medication usually indicates poor functional status. In this setting, we believe that treatment with a parenteral prostanoid therapy must be considered.”</w:t>
            </w:r>
          </w:p>
        </w:tc>
        <w:tc>
          <w:tcPr>
            <w:tcW w:w="0" w:type="auto"/>
          </w:tcPr>
          <w:p w:rsidR="009E71BE" w:rsidRPr="002C3009" w:rsidRDefault="00F04B81" w:rsidP="00A02B7B">
            <w:pPr>
              <w:spacing w:beforeLines="60" w:before="144" w:after="60" w:line="240" w:lineRule="auto"/>
              <w:ind w:left="94" w:right="57"/>
              <w:jc w:val="left"/>
              <w:rPr>
                <w:rFonts w:ascii="Arial" w:hAnsi="Arial" w:cs="Arial"/>
                <w:sz w:val="20"/>
                <w:szCs w:val="20"/>
              </w:rPr>
            </w:pPr>
            <w:r w:rsidRPr="002C3009">
              <w:rPr>
                <w:rFonts w:ascii="Arial" w:hAnsi="Arial" w:cs="Arial"/>
                <w:sz w:val="20"/>
                <w:szCs w:val="20"/>
              </w:rPr>
              <w:t xml:space="preserve">As above – addition of </w:t>
            </w:r>
            <w:r w:rsidR="00517C17" w:rsidRPr="002C3009">
              <w:rPr>
                <w:rFonts w:ascii="Arial" w:hAnsi="Arial" w:cs="Arial"/>
                <w:sz w:val="20"/>
                <w:szCs w:val="20"/>
              </w:rPr>
              <w:t>a PAH medicine</w:t>
            </w:r>
            <w:r w:rsidRPr="002C3009">
              <w:rPr>
                <w:rFonts w:ascii="Arial" w:hAnsi="Arial" w:cs="Arial"/>
                <w:sz w:val="20"/>
                <w:szCs w:val="20"/>
              </w:rPr>
              <w:t xml:space="preserve"> to existing therapy, up to triple combination.</w:t>
            </w:r>
          </w:p>
        </w:tc>
      </w:tr>
      <w:tr w:rsidR="009E71BE" w:rsidRPr="00F10B38" w:rsidTr="00F04B81">
        <w:tc>
          <w:tcPr>
            <w:tcW w:w="0" w:type="auto"/>
          </w:tcPr>
          <w:p w:rsidR="009E71BE" w:rsidRPr="002C3009" w:rsidRDefault="00F04B81" w:rsidP="002C3009">
            <w:pPr>
              <w:spacing w:beforeLines="60" w:before="144" w:after="60" w:line="240" w:lineRule="auto"/>
              <w:ind w:left="147" w:right="57"/>
              <w:jc w:val="left"/>
              <w:rPr>
                <w:rFonts w:ascii="Arial" w:hAnsi="Arial" w:cs="Arial"/>
                <w:sz w:val="20"/>
                <w:szCs w:val="20"/>
              </w:rPr>
            </w:pPr>
            <w:r w:rsidRPr="002C3009">
              <w:rPr>
                <w:rFonts w:ascii="Arial" w:hAnsi="Arial" w:cs="Arial"/>
                <w:sz w:val="20"/>
                <w:szCs w:val="20"/>
              </w:rPr>
              <w:t>On approaching maximum drug therapy options</w:t>
            </w:r>
          </w:p>
        </w:tc>
        <w:tc>
          <w:tcPr>
            <w:tcW w:w="0" w:type="auto"/>
          </w:tcPr>
          <w:p w:rsidR="009E71BE" w:rsidRPr="002C3009" w:rsidRDefault="00F04B81" w:rsidP="002C3009">
            <w:pPr>
              <w:spacing w:beforeLines="60" w:before="144" w:after="60" w:line="240" w:lineRule="auto"/>
              <w:ind w:right="57"/>
              <w:jc w:val="left"/>
              <w:rPr>
                <w:rFonts w:ascii="Arial" w:hAnsi="Arial" w:cs="Arial"/>
                <w:i/>
                <w:sz w:val="20"/>
                <w:szCs w:val="20"/>
              </w:rPr>
            </w:pPr>
            <w:r w:rsidRPr="002C3009">
              <w:rPr>
                <w:rFonts w:ascii="Arial" w:hAnsi="Arial" w:cs="Arial"/>
                <w:i/>
                <w:sz w:val="20"/>
                <w:szCs w:val="20"/>
              </w:rPr>
              <w:t>“[E]</w:t>
            </w:r>
            <w:proofErr w:type="spellStart"/>
            <w:r w:rsidRPr="002C3009">
              <w:rPr>
                <w:rFonts w:ascii="Arial" w:hAnsi="Arial" w:cs="Arial"/>
                <w:i/>
                <w:sz w:val="20"/>
                <w:szCs w:val="20"/>
              </w:rPr>
              <w:t>scalation</w:t>
            </w:r>
            <w:proofErr w:type="spellEnd"/>
            <w:r w:rsidRPr="002C3009">
              <w:rPr>
                <w:rFonts w:ascii="Arial" w:hAnsi="Arial" w:cs="Arial"/>
                <w:i/>
                <w:sz w:val="20"/>
                <w:szCs w:val="20"/>
              </w:rPr>
              <w:t xml:space="preserve"> of therapy and referral for lung transplantation evaluation should occur when a patient has evidence of disease progression on combination therapy”</w:t>
            </w:r>
          </w:p>
        </w:tc>
        <w:tc>
          <w:tcPr>
            <w:tcW w:w="0" w:type="auto"/>
          </w:tcPr>
          <w:p w:rsidR="009E71BE" w:rsidRPr="002C3009" w:rsidRDefault="00F04B81" w:rsidP="00A02B7B">
            <w:pPr>
              <w:spacing w:beforeLines="60" w:before="144" w:after="60" w:line="240" w:lineRule="auto"/>
              <w:ind w:left="94" w:right="57"/>
              <w:jc w:val="left"/>
              <w:rPr>
                <w:rFonts w:ascii="Arial" w:hAnsi="Arial" w:cs="Arial"/>
                <w:i/>
                <w:sz w:val="20"/>
                <w:szCs w:val="20"/>
              </w:rPr>
            </w:pPr>
            <w:r w:rsidRPr="002C3009">
              <w:rPr>
                <w:rFonts w:ascii="Arial" w:hAnsi="Arial" w:cs="Arial"/>
                <w:i/>
                <w:sz w:val="20"/>
                <w:szCs w:val="20"/>
              </w:rPr>
              <w:t>“[C]</w:t>
            </w:r>
            <w:proofErr w:type="spellStart"/>
            <w:r w:rsidRPr="002C3009">
              <w:rPr>
                <w:rFonts w:ascii="Arial" w:hAnsi="Arial" w:cs="Arial"/>
                <w:i/>
                <w:sz w:val="20"/>
                <w:szCs w:val="20"/>
              </w:rPr>
              <w:t>onsider</w:t>
            </w:r>
            <w:proofErr w:type="spellEnd"/>
            <w:r w:rsidRPr="002C3009">
              <w:rPr>
                <w:rFonts w:ascii="Arial" w:hAnsi="Arial" w:cs="Arial"/>
                <w:i/>
                <w:sz w:val="20"/>
                <w:szCs w:val="20"/>
              </w:rPr>
              <w:t xml:space="preserve"> eligibility for lung transplantation after an inadequate clinical response to the initial monotherapy or initial combination therapy and to refer the patient for lung transplantation soon after the inadequate clinical response is confirmed on maximal combination therapy”</w:t>
            </w:r>
          </w:p>
        </w:tc>
      </w:tr>
    </w:tbl>
    <w:p w:rsidR="001D561A" w:rsidRPr="00F10B38" w:rsidRDefault="001D561A" w:rsidP="00121658">
      <w:pPr>
        <w:jc w:val="left"/>
        <w:rPr>
          <w:rFonts w:ascii="Arial" w:hAnsi="Arial" w:cs="Arial"/>
          <w:sz w:val="18"/>
          <w:szCs w:val="16"/>
        </w:rPr>
      </w:pPr>
    </w:p>
    <w:p w:rsidR="001D561A" w:rsidRDefault="001D561A" w:rsidP="00121658">
      <w:pPr>
        <w:spacing w:before="0" w:line="240" w:lineRule="auto"/>
        <w:jc w:val="left"/>
        <w:rPr>
          <w:sz w:val="8"/>
          <w:szCs w:val="16"/>
        </w:rPr>
      </w:pPr>
      <w:r>
        <w:rPr>
          <w:sz w:val="8"/>
          <w:szCs w:val="16"/>
        </w:rPr>
        <w:br w:type="page"/>
      </w:r>
    </w:p>
    <w:p w:rsidR="001D561A" w:rsidRDefault="00250EDE" w:rsidP="002C3009">
      <w:pPr>
        <w:pStyle w:val="Caption"/>
        <w:ind w:left="0" w:firstLine="0"/>
        <w:jc w:val="left"/>
      </w:pPr>
      <w:bookmarkStart w:id="163" w:name="_Ref510795680"/>
      <w:bookmarkStart w:id="164" w:name="_Ref508896261"/>
      <w:bookmarkStart w:id="165" w:name="_Toc513107634"/>
      <w:r>
        <w:t>Table 1.</w:t>
      </w:r>
      <w:r w:rsidR="00D63371">
        <w:rPr>
          <w:noProof/>
        </w:rPr>
        <w:t>8</w:t>
      </w:r>
      <w:bookmarkEnd w:id="163"/>
      <w:r w:rsidRPr="00250EDE">
        <w:t xml:space="preserve"> </w:t>
      </w:r>
      <w:r>
        <w:tab/>
        <w:t>Guideline recommendations regarding high dose CCBs</w:t>
      </w:r>
      <w:bookmarkEnd w:id="164"/>
      <w:bookmarkEnd w:id="165"/>
    </w:p>
    <w:tbl>
      <w:tblPr>
        <w:tblStyle w:val="TableGrid"/>
        <w:tblW w:w="5000" w:type="pct"/>
        <w:tblLook w:val="04A0" w:firstRow="1" w:lastRow="0" w:firstColumn="1" w:lastColumn="0" w:noHBand="0" w:noVBand="1"/>
        <w:tblCaption w:val="Guideline recommendations regarding high dose CCBs"/>
      </w:tblPr>
      <w:tblGrid>
        <w:gridCol w:w="1990"/>
        <w:gridCol w:w="5989"/>
        <w:gridCol w:w="5989"/>
      </w:tblGrid>
      <w:tr w:rsidR="001D561A" w:rsidRPr="008858FD" w:rsidTr="002575FC">
        <w:trPr>
          <w:cnfStyle w:val="100000000000" w:firstRow="1" w:lastRow="0" w:firstColumn="0" w:lastColumn="0" w:oddVBand="0" w:evenVBand="0" w:oddHBand="0" w:evenHBand="0" w:firstRowFirstColumn="0" w:firstRowLastColumn="0" w:lastRowFirstColumn="0" w:lastRowLastColumn="0"/>
        </w:trPr>
        <w:tc>
          <w:tcPr>
            <w:tcW w:w="712" w:type="pct"/>
          </w:tcPr>
          <w:p w:rsidR="001D561A" w:rsidRPr="008858FD" w:rsidRDefault="004C2274" w:rsidP="008858FD">
            <w:pPr>
              <w:spacing w:before="0" w:line="240" w:lineRule="auto"/>
              <w:ind w:left="147" w:right="57"/>
              <w:jc w:val="left"/>
              <w:rPr>
                <w:rFonts w:ascii="Arial" w:hAnsi="Arial" w:cs="Arial"/>
                <w:b/>
                <w:sz w:val="20"/>
                <w:szCs w:val="20"/>
              </w:rPr>
            </w:pPr>
            <w:r w:rsidRPr="008858FD">
              <w:rPr>
                <w:rFonts w:ascii="Arial" w:hAnsi="Arial" w:cs="Arial"/>
                <w:b/>
                <w:sz w:val="20"/>
                <w:szCs w:val="20"/>
              </w:rPr>
              <w:t>Issue</w:t>
            </w:r>
          </w:p>
        </w:tc>
        <w:tc>
          <w:tcPr>
            <w:tcW w:w="2144" w:type="pct"/>
          </w:tcPr>
          <w:p w:rsidR="001D561A" w:rsidRPr="008858FD" w:rsidRDefault="001D561A" w:rsidP="009C556B">
            <w:pPr>
              <w:spacing w:before="0" w:line="240" w:lineRule="auto"/>
              <w:ind w:left="142" w:right="57"/>
              <w:jc w:val="left"/>
              <w:rPr>
                <w:rFonts w:ascii="Arial" w:hAnsi="Arial" w:cs="Arial"/>
                <w:b/>
                <w:sz w:val="20"/>
                <w:szCs w:val="20"/>
              </w:rPr>
            </w:pPr>
            <w:r w:rsidRPr="008858FD">
              <w:rPr>
                <w:rFonts w:ascii="Arial" w:hAnsi="Arial" w:cs="Arial"/>
                <w:b/>
                <w:sz w:val="20"/>
                <w:szCs w:val="20"/>
              </w:rPr>
              <w:t>Chest Guideline</w:t>
            </w:r>
            <w:r w:rsidR="009C556B" w:rsidRPr="009C556B">
              <w:rPr>
                <w:rFonts w:ascii="Arial" w:hAnsi="Arial" w:cs="Arial"/>
                <w:b/>
                <w:noProof/>
                <w:sz w:val="20"/>
                <w:szCs w:val="20"/>
                <w:vertAlign w:val="superscript"/>
              </w:rPr>
              <w:t>19</w:t>
            </w:r>
          </w:p>
        </w:tc>
        <w:tc>
          <w:tcPr>
            <w:tcW w:w="2144" w:type="pct"/>
          </w:tcPr>
          <w:p w:rsidR="001D561A" w:rsidRPr="008858FD" w:rsidRDefault="004C2274" w:rsidP="009C556B">
            <w:pPr>
              <w:spacing w:before="0" w:line="240" w:lineRule="auto"/>
              <w:ind w:left="106" w:right="57"/>
              <w:jc w:val="left"/>
              <w:rPr>
                <w:rFonts w:ascii="Arial" w:hAnsi="Arial" w:cs="Arial"/>
                <w:b/>
                <w:sz w:val="20"/>
                <w:szCs w:val="20"/>
              </w:rPr>
            </w:pPr>
            <w:r w:rsidRPr="008858FD">
              <w:rPr>
                <w:rFonts w:ascii="Arial" w:hAnsi="Arial" w:cs="Arial"/>
                <w:b/>
                <w:sz w:val="20"/>
                <w:szCs w:val="20"/>
              </w:rPr>
              <w:t>ESC/ERS Guideline</w:t>
            </w:r>
            <w:r w:rsidR="009C556B" w:rsidRPr="008858FD">
              <w:rPr>
                <w:rFonts w:ascii="Arial" w:hAnsi="Arial" w:cs="Arial"/>
                <w:b/>
                <w:noProof/>
                <w:sz w:val="20"/>
                <w:szCs w:val="20"/>
                <w:vertAlign w:val="superscript"/>
              </w:rPr>
              <w:t>8</w:t>
            </w:r>
          </w:p>
        </w:tc>
      </w:tr>
      <w:tr w:rsidR="001D561A" w:rsidRPr="008858FD" w:rsidTr="002575FC">
        <w:tc>
          <w:tcPr>
            <w:tcW w:w="712" w:type="pct"/>
          </w:tcPr>
          <w:p w:rsidR="001D561A" w:rsidRPr="008858FD" w:rsidRDefault="004C2274" w:rsidP="008858FD">
            <w:pPr>
              <w:spacing w:before="60" w:after="60" w:line="240" w:lineRule="auto"/>
              <w:ind w:left="147" w:right="57"/>
              <w:jc w:val="left"/>
              <w:rPr>
                <w:rFonts w:ascii="Arial" w:hAnsi="Arial" w:cs="Arial"/>
                <w:b/>
                <w:sz w:val="20"/>
                <w:szCs w:val="20"/>
              </w:rPr>
            </w:pPr>
            <w:r w:rsidRPr="008858FD">
              <w:rPr>
                <w:rFonts w:ascii="Arial" w:hAnsi="Arial" w:cs="Arial"/>
                <w:b/>
                <w:sz w:val="20"/>
                <w:szCs w:val="20"/>
              </w:rPr>
              <w:t>Indication for CBBs</w:t>
            </w:r>
          </w:p>
        </w:tc>
        <w:tc>
          <w:tcPr>
            <w:tcW w:w="2144" w:type="pct"/>
          </w:tcPr>
          <w:p w:rsidR="00C54635" w:rsidRPr="008858FD" w:rsidRDefault="001D561A" w:rsidP="008858FD">
            <w:pPr>
              <w:spacing w:before="60" w:after="60" w:line="240" w:lineRule="auto"/>
              <w:ind w:left="142" w:right="57"/>
              <w:jc w:val="left"/>
              <w:rPr>
                <w:rFonts w:ascii="Arial" w:hAnsi="Arial" w:cs="Arial"/>
                <w:i/>
                <w:sz w:val="20"/>
                <w:szCs w:val="20"/>
              </w:rPr>
            </w:pPr>
            <w:r w:rsidRPr="008858FD">
              <w:rPr>
                <w:rFonts w:ascii="Arial" w:hAnsi="Arial" w:cs="Arial"/>
                <w:i/>
                <w:sz w:val="20"/>
                <w:szCs w:val="20"/>
              </w:rPr>
              <w:t>[P]</w:t>
            </w:r>
            <w:proofErr w:type="spellStart"/>
            <w:r w:rsidRPr="008858FD">
              <w:rPr>
                <w:rFonts w:ascii="Arial" w:hAnsi="Arial" w:cs="Arial"/>
                <w:i/>
                <w:sz w:val="20"/>
                <w:szCs w:val="20"/>
              </w:rPr>
              <w:t>atients</w:t>
            </w:r>
            <w:proofErr w:type="spellEnd"/>
            <w:r w:rsidRPr="008858FD">
              <w:rPr>
                <w:rFonts w:ascii="Arial" w:hAnsi="Arial" w:cs="Arial"/>
                <w:i/>
                <w:sz w:val="20"/>
                <w:szCs w:val="20"/>
              </w:rPr>
              <w:t xml:space="preserve"> with PAH who, in the absence of right-heart failure or contraindications to CCB therapy, demonstrate acute vasoreactiv</w:t>
            </w:r>
            <w:r w:rsidR="00C40AC4" w:rsidRPr="008858FD">
              <w:rPr>
                <w:rFonts w:ascii="Arial" w:hAnsi="Arial" w:cs="Arial"/>
                <w:i/>
                <w:sz w:val="20"/>
                <w:szCs w:val="20"/>
              </w:rPr>
              <w:t>ity according to consensus defi</w:t>
            </w:r>
            <w:r w:rsidRPr="008858FD">
              <w:rPr>
                <w:rFonts w:ascii="Arial" w:hAnsi="Arial" w:cs="Arial"/>
                <w:i/>
                <w:sz w:val="20"/>
                <w:szCs w:val="20"/>
              </w:rPr>
              <w:t>nition, should be considered candidates for a trial of therapy with an oral CCB blocker</w:t>
            </w:r>
          </w:p>
        </w:tc>
        <w:tc>
          <w:tcPr>
            <w:tcW w:w="2144" w:type="pct"/>
          </w:tcPr>
          <w:p w:rsidR="004C2274" w:rsidRPr="008858FD" w:rsidRDefault="001D561A" w:rsidP="008858FD">
            <w:pPr>
              <w:spacing w:before="60" w:after="60" w:line="240" w:lineRule="auto"/>
              <w:ind w:left="106" w:right="57"/>
              <w:jc w:val="left"/>
              <w:rPr>
                <w:rFonts w:ascii="Arial" w:hAnsi="Arial" w:cs="Arial"/>
                <w:i/>
                <w:sz w:val="20"/>
                <w:szCs w:val="20"/>
              </w:rPr>
            </w:pPr>
            <w:r w:rsidRPr="008858FD">
              <w:rPr>
                <w:rFonts w:ascii="Arial" w:hAnsi="Arial" w:cs="Arial"/>
                <w:i/>
                <w:sz w:val="20"/>
                <w:szCs w:val="20"/>
              </w:rPr>
              <w:t xml:space="preserve">High doses of CCBs are recommended in patients with IPAH, </w:t>
            </w:r>
            <w:r w:rsidR="004F0200" w:rsidRPr="008858FD">
              <w:rPr>
                <w:rFonts w:ascii="Arial" w:hAnsi="Arial" w:cs="Arial"/>
                <w:i/>
                <w:sz w:val="20"/>
                <w:szCs w:val="20"/>
              </w:rPr>
              <w:t>heritable</w:t>
            </w:r>
            <w:r w:rsidRPr="008858FD">
              <w:rPr>
                <w:rFonts w:ascii="Arial" w:hAnsi="Arial" w:cs="Arial"/>
                <w:i/>
                <w:sz w:val="20"/>
                <w:szCs w:val="20"/>
              </w:rPr>
              <w:t xml:space="preserve"> PAH and drug induced PAH who are responders to acute vasoreactivity testing</w:t>
            </w:r>
          </w:p>
        </w:tc>
      </w:tr>
      <w:tr w:rsidR="001D561A" w:rsidRPr="008858FD" w:rsidTr="002575FC">
        <w:tc>
          <w:tcPr>
            <w:tcW w:w="712" w:type="pct"/>
          </w:tcPr>
          <w:p w:rsidR="001D561A" w:rsidRPr="008858FD" w:rsidRDefault="004C2274" w:rsidP="008858FD">
            <w:pPr>
              <w:spacing w:before="60" w:after="60" w:line="240" w:lineRule="auto"/>
              <w:ind w:left="147" w:right="57"/>
              <w:jc w:val="left"/>
              <w:rPr>
                <w:rFonts w:ascii="Arial" w:hAnsi="Arial" w:cs="Arial"/>
                <w:b/>
                <w:sz w:val="20"/>
                <w:szCs w:val="20"/>
              </w:rPr>
            </w:pPr>
            <w:r w:rsidRPr="008858FD">
              <w:rPr>
                <w:rFonts w:ascii="Arial" w:hAnsi="Arial" w:cs="Arial"/>
                <w:b/>
                <w:sz w:val="20"/>
                <w:szCs w:val="20"/>
              </w:rPr>
              <w:t>Recommendation for vasoreactivity testing</w:t>
            </w:r>
          </w:p>
        </w:tc>
        <w:tc>
          <w:tcPr>
            <w:tcW w:w="2144" w:type="pct"/>
          </w:tcPr>
          <w:p w:rsidR="004C2274" w:rsidRPr="008858FD" w:rsidRDefault="00C54635" w:rsidP="008858FD">
            <w:pPr>
              <w:spacing w:before="60" w:after="60" w:line="240" w:lineRule="auto"/>
              <w:ind w:left="142" w:right="57"/>
              <w:jc w:val="left"/>
              <w:rPr>
                <w:rFonts w:ascii="Arial" w:hAnsi="Arial" w:cs="Arial"/>
                <w:i/>
                <w:sz w:val="20"/>
                <w:szCs w:val="20"/>
              </w:rPr>
            </w:pPr>
            <w:r w:rsidRPr="008858FD">
              <w:rPr>
                <w:rFonts w:ascii="Arial" w:hAnsi="Arial" w:cs="Arial"/>
                <w:i/>
                <w:sz w:val="20"/>
                <w:szCs w:val="20"/>
              </w:rPr>
              <w:t>[P]</w:t>
            </w:r>
            <w:proofErr w:type="spellStart"/>
            <w:r w:rsidRPr="008858FD">
              <w:rPr>
                <w:rFonts w:ascii="Arial" w:hAnsi="Arial" w:cs="Arial"/>
                <w:i/>
                <w:sz w:val="20"/>
                <w:szCs w:val="20"/>
              </w:rPr>
              <w:t>atients</w:t>
            </w:r>
            <w:proofErr w:type="spellEnd"/>
            <w:r w:rsidRPr="008858FD">
              <w:rPr>
                <w:rFonts w:ascii="Arial" w:hAnsi="Arial" w:cs="Arial"/>
                <w:i/>
                <w:sz w:val="20"/>
                <w:szCs w:val="20"/>
              </w:rPr>
              <w:t xml:space="preserve"> with PAH, in the absence of contraindications, should undergo acute vasoreactivity testing using a short-acting agent at a </w:t>
            </w:r>
            <w:proofErr w:type="spellStart"/>
            <w:r w:rsidRPr="008858FD">
              <w:rPr>
                <w:rFonts w:ascii="Arial" w:hAnsi="Arial" w:cs="Arial"/>
                <w:i/>
                <w:sz w:val="20"/>
                <w:szCs w:val="20"/>
              </w:rPr>
              <w:t>center</w:t>
            </w:r>
            <w:proofErr w:type="spellEnd"/>
            <w:r w:rsidRPr="008858FD">
              <w:rPr>
                <w:rFonts w:ascii="Arial" w:hAnsi="Arial" w:cs="Arial"/>
                <w:i/>
                <w:sz w:val="20"/>
                <w:szCs w:val="20"/>
              </w:rPr>
              <w:t xml:space="preserve"> with experience in the performance and interpretation of vasoreactivity testing</w:t>
            </w:r>
            <w:r w:rsidR="004C2274" w:rsidRPr="008858FD">
              <w:rPr>
                <w:rFonts w:ascii="Arial" w:hAnsi="Arial" w:cs="Arial"/>
                <w:i/>
                <w:sz w:val="20"/>
                <w:szCs w:val="20"/>
              </w:rPr>
              <w:t>.</w:t>
            </w:r>
          </w:p>
          <w:p w:rsidR="0018277C" w:rsidRPr="008858FD" w:rsidRDefault="0018277C" w:rsidP="008858FD">
            <w:pPr>
              <w:spacing w:before="60" w:after="60" w:line="240" w:lineRule="auto"/>
              <w:ind w:left="142" w:right="57"/>
              <w:jc w:val="left"/>
              <w:rPr>
                <w:rFonts w:ascii="Arial" w:hAnsi="Arial" w:cs="Arial"/>
                <w:i/>
                <w:sz w:val="20"/>
                <w:szCs w:val="20"/>
              </w:rPr>
            </w:pPr>
            <w:r w:rsidRPr="008858FD">
              <w:rPr>
                <w:rFonts w:ascii="Arial" w:hAnsi="Arial" w:cs="Arial"/>
                <w:i/>
                <w:sz w:val="20"/>
                <w:szCs w:val="20"/>
              </w:rPr>
              <w:t>No other clinical characteristic or baseline hemodynamic feature predicts those patients who will respond.</w:t>
            </w:r>
          </w:p>
        </w:tc>
        <w:tc>
          <w:tcPr>
            <w:tcW w:w="2144" w:type="pct"/>
          </w:tcPr>
          <w:p w:rsidR="004C2274" w:rsidRPr="008858FD" w:rsidRDefault="004C2274" w:rsidP="008858FD">
            <w:pPr>
              <w:spacing w:before="60" w:after="60" w:line="240" w:lineRule="auto"/>
              <w:ind w:left="106" w:right="57"/>
              <w:jc w:val="left"/>
              <w:rPr>
                <w:rFonts w:ascii="Arial" w:hAnsi="Arial" w:cs="Arial"/>
                <w:i/>
                <w:sz w:val="20"/>
                <w:szCs w:val="20"/>
              </w:rPr>
            </w:pPr>
            <w:r w:rsidRPr="008858FD">
              <w:rPr>
                <w:rFonts w:ascii="Arial" w:hAnsi="Arial" w:cs="Arial"/>
                <w:i/>
                <w:sz w:val="20"/>
                <w:szCs w:val="20"/>
              </w:rPr>
              <w:t>Vasoreactivity testing is recommended in patients with IPAH, HPAH and PAH associated with drugs use to detect patients who can be treated with high doses of a CCB.</w:t>
            </w:r>
          </w:p>
          <w:p w:rsidR="004C2274" w:rsidRPr="008858FD" w:rsidRDefault="0018277C" w:rsidP="008858FD">
            <w:pPr>
              <w:spacing w:before="60" w:after="60" w:line="240" w:lineRule="auto"/>
              <w:ind w:left="106" w:right="57"/>
              <w:jc w:val="left"/>
              <w:rPr>
                <w:rFonts w:ascii="Arial" w:hAnsi="Arial" w:cs="Arial"/>
                <w:i/>
                <w:sz w:val="20"/>
                <w:szCs w:val="20"/>
              </w:rPr>
            </w:pPr>
            <w:r w:rsidRPr="008858FD">
              <w:rPr>
                <w:rFonts w:ascii="Arial" w:hAnsi="Arial" w:cs="Arial"/>
                <w:i/>
                <w:sz w:val="20"/>
                <w:szCs w:val="20"/>
              </w:rPr>
              <w:t>[</w:t>
            </w:r>
            <w:r w:rsidR="004C2274" w:rsidRPr="008858FD">
              <w:rPr>
                <w:rFonts w:ascii="Arial" w:hAnsi="Arial" w:cs="Arial"/>
                <w:i/>
                <w:sz w:val="20"/>
                <w:szCs w:val="20"/>
              </w:rPr>
              <w:t>O</w:t>
            </w:r>
            <w:r w:rsidRPr="008858FD">
              <w:rPr>
                <w:rFonts w:ascii="Arial" w:hAnsi="Arial" w:cs="Arial"/>
                <w:i/>
                <w:sz w:val="20"/>
                <w:szCs w:val="20"/>
              </w:rPr>
              <w:t>]</w:t>
            </w:r>
            <w:proofErr w:type="spellStart"/>
            <w:r w:rsidR="004C2274" w:rsidRPr="008858FD">
              <w:rPr>
                <w:rFonts w:ascii="Arial" w:hAnsi="Arial" w:cs="Arial"/>
                <w:i/>
                <w:sz w:val="20"/>
                <w:szCs w:val="20"/>
              </w:rPr>
              <w:t>nly</w:t>
            </w:r>
            <w:proofErr w:type="spellEnd"/>
            <w:r w:rsidR="004C2274" w:rsidRPr="008858FD">
              <w:rPr>
                <w:rFonts w:ascii="Arial" w:hAnsi="Arial" w:cs="Arial"/>
                <w:i/>
                <w:sz w:val="20"/>
                <w:szCs w:val="20"/>
              </w:rPr>
              <w:t xml:space="preserve"> a small number of patients with IPAH who demonstrate a favourable response to acute vasodilator testing at the time of RHC do well with CCBs.</w:t>
            </w:r>
          </w:p>
        </w:tc>
      </w:tr>
      <w:tr w:rsidR="004C2274" w:rsidRPr="008858FD" w:rsidTr="002575FC">
        <w:tc>
          <w:tcPr>
            <w:tcW w:w="712" w:type="pct"/>
          </w:tcPr>
          <w:p w:rsidR="004C2274" w:rsidRPr="008858FD" w:rsidRDefault="004C2274" w:rsidP="008858FD">
            <w:pPr>
              <w:spacing w:before="60" w:after="60" w:line="240" w:lineRule="auto"/>
              <w:ind w:left="147" w:right="57"/>
              <w:jc w:val="left"/>
              <w:rPr>
                <w:rFonts w:ascii="Arial" w:hAnsi="Arial" w:cs="Arial"/>
                <w:b/>
                <w:sz w:val="20"/>
                <w:szCs w:val="20"/>
              </w:rPr>
            </w:pPr>
            <w:r w:rsidRPr="008858FD">
              <w:rPr>
                <w:rFonts w:ascii="Arial" w:hAnsi="Arial" w:cs="Arial"/>
                <w:b/>
                <w:sz w:val="20"/>
                <w:szCs w:val="20"/>
              </w:rPr>
              <w:t>Positive acute response definition</w:t>
            </w:r>
          </w:p>
        </w:tc>
        <w:tc>
          <w:tcPr>
            <w:tcW w:w="2144" w:type="pct"/>
          </w:tcPr>
          <w:p w:rsidR="004C2274" w:rsidRPr="008858FD" w:rsidRDefault="004C2274" w:rsidP="008858FD">
            <w:pPr>
              <w:spacing w:before="60" w:after="60" w:line="240" w:lineRule="auto"/>
              <w:ind w:left="142" w:right="57"/>
              <w:jc w:val="left"/>
              <w:rPr>
                <w:rFonts w:ascii="Arial" w:hAnsi="Arial" w:cs="Arial"/>
                <w:i/>
                <w:sz w:val="20"/>
                <w:szCs w:val="20"/>
              </w:rPr>
            </w:pPr>
            <w:r w:rsidRPr="008858FD">
              <w:rPr>
                <w:rFonts w:ascii="Arial" w:hAnsi="Arial" w:cs="Arial"/>
                <w:i/>
                <w:sz w:val="20"/>
                <w:szCs w:val="20"/>
              </w:rPr>
              <w:t xml:space="preserve">The consensus definition of acute vasoreactivity is a fall in </w:t>
            </w:r>
            <w:proofErr w:type="spellStart"/>
            <w:r w:rsidRPr="008858FD">
              <w:rPr>
                <w:rFonts w:ascii="Arial" w:hAnsi="Arial" w:cs="Arial"/>
                <w:i/>
                <w:sz w:val="20"/>
                <w:szCs w:val="20"/>
              </w:rPr>
              <w:t>mPAP</w:t>
            </w:r>
            <w:proofErr w:type="spellEnd"/>
            <w:r w:rsidRPr="008858FD">
              <w:rPr>
                <w:rFonts w:ascii="Arial" w:hAnsi="Arial" w:cs="Arial"/>
                <w:i/>
                <w:sz w:val="20"/>
                <w:szCs w:val="20"/>
              </w:rPr>
              <w:t xml:space="preserve"> &gt;10 mm Hg, to an </w:t>
            </w:r>
            <w:proofErr w:type="spellStart"/>
            <w:r w:rsidRPr="008858FD">
              <w:rPr>
                <w:rFonts w:ascii="Arial" w:hAnsi="Arial" w:cs="Arial"/>
                <w:i/>
                <w:sz w:val="20"/>
                <w:szCs w:val="20"/>
              </w:rPr>
              <w:t>mPAP</w:t>
            </w:r>
            <w:proofErr w:type="spellEnd"/>
            <w:r w:rsidRPr="008858FD">
              <w:rPr>
                <w:rFonts w:ascii="Arial" w:hAnsi="Arial" w:cs="Arial"/>
                <w:i/>
                <w:sz w:val="20"/>
                <w:szCs w:val="20"/>
              </w:rPr>
              <w:t xml:space="preserve"> &lt;40 mm Hg, with an unchanged or increased CO.</w:t>
            </w:r>
          </w:p>
          <w:p w:rsidR="001F4168" w:rsidRPr="008858FD" w:rsidRDefault="001F4168" w:rsidP="009C556B">
            <w:pPr>
              <w:spacing w:before="60" w:after="60" w:line="240" w:lineRule="auto"/>
              <w:ind w:left="142" w:right="57"/>
              <w:jc w:val="left"/>
              <w:rPr>
                <w:rFonts w:ascii="Arial" w:hAnsi="Arial" w:cs="Arial"/>
                <w:sz w:val="20"/>
                <w:szCs w:val="20"/>
              </w:rPr>
            </w:pPr>
            <w:r w:rsidRPr="008858FD">
              <w:rPr>
                <w:rFonts w:ascii="Arial" w:hAnsi="Arial" w:cs="Arial"/>
                <w:sz w:val="20"/>
                <w:szCs w:val="20"/>
              </w:rPr>
              <w:t>This guideline defers to a separate document for PAH in children. Other guidance defines a positive response in children is defined as ≥20% decrease in PAP and PVR with no decrease in cardiac output</w:t>
            </w:r>
            <w:r w:rsidR="009C556B" w:rsidRPr="009C556B">
              <w:rPr>
                <w:rFonts w:ascii="Arial" w:hAnsi="Arial" w:cs="Arial"/>
                <w:noProof/>
                <w:sz w:val="20"/>
                <w:szCs w:val="20"/>
                <w:vertAlign w:val="superscript"/>
              </w:rPr>
              <w:t>22, 23</w:t>
            </w:r>
            <w:r w:rsidRPr="008858FD">
              <w:rPr>
                <w:rFonts w:ascii="Arial" w:hAnsi="Arial" w:cs="Arial"/>
                <w:sz w:val="20"/>
                <w:szCs w:val="20"/>
              </w:rPr>
              <w:t xml:space="preserve">. </w:t>
            </w:r>
          </w:p>
        </w:tc>
        <w:tc>
          <w:tcPr>
            <w:tcW w:w="2144" w:type="pct"/>
          </w:tcPr>
          <w:p w:rsidR="004C2274" w:rsidRPr="008858FD" w:rsidRDefault="004C2274" w:rsidP="008858FD">
            <w:pPr>
              <w:spacing w:before="60" w:after="60" w:line="240" w:lineRule="auto"/>
              <w:ind w:left="106" w:right="57"/>
              <w:jc w:val="left"/>
              <w:rPr>
                <w:rFonts w:ascii="Arial" w:hAnsi="Arial" w:cs="Arial"/>
                <w:i/>
                <w:sz w:val="20"/>
                <w:szCs w:val="20"/>
              </w:rPr>
            </w:pPr>
            <w:r w:rsidRPr="008858FD">
              <w:rPr>
                <w:rFonts w:ascii="Arial" w:hAnsi="Arial" w:cs="Arial"/>
                <w:i/>
                <w:sz w:val="20"/>
                <w:szCs w:val="20"/>
              </w:rPr>
              <w:t>A positive response to vasoreactivity testing is defined as a reduction of mean PAP ≥10 mmHg to reach an absolute value of mean PAP ≤40 mmHg with an increased or unchanged cardiac output.</w:t>
            </w:r>
          </w:p>
        </w:tc>
      </w:tr>
      <w:tr w:rsidR="004C2274" w:rsidRPr="008858FD" w:rsidTr="002575FC">
        <w:tc>
          <w:tcPr>
            <w:tcW w:w="712" w:type="pct"/>
          </w:tcPr>
          <w:p w:rsidR="004C2274" w:rsidRPr="008858FD" w:rsidRDefault="004C2274" w:rsidP="008858FD">
            <w:pPr>
              <w:spacing w:before="60" w:after="60" w:line="240" w:lineRule="auto"/>
              <w:ind w:left="147" w:right="57"/>
              <w:jc w:val="left"/>
              <w:rPr>
                <w:rFonts w:ascii="Arial" w:hAnsi="Arial" w:cs="Arial"/>
                <w:b/>
                <w:sz w:val="20"/>
                <w:szCs w:val="20"/>
              </w:rPr>
            </w:pPr>
            <w:r w:rsidRPr="008858FD">
              <w:rPr>
                <w:rFonts w:ascii="Arial" w:hAnsi="Arial" w:cs="Arial"/>
                <w:b/>
                <w:sz w:val="20"/>
                <w:szCs w:val="20"/>
              </w:rPr>
              <w:t>CCB dosage</w:t>
            </w:r>
          </w:p>
        </w:tc>
        <w:tc>
          <w:tcPr>
            <w:tcW w:w="2144" w:type="pct"/>
          </w:tcPr>
          <w:p w:rsidR="004C2274" w:rsidRPr="008858FD" w:rsidRDefault="004C2274" w:rsidP="008858FD">
            <w:pPr>
              <w:spacing w:before="60" w:after="60" w:line="240" w:lineRule="auto"/>
              <w:ind w:left="142" w:right="57"/>
              <w:jc w:val="left"/>
              <w:rPr>
                <w:rFonts w:ascii="Arial" w:hAnsi="Arial" w:cs="Arial"/>
                <w:i/>
                <w:sz w:val="20"/>
                <w:szCs w:val="20"/>
              </w:rPr>
            </w:pPr>
            <w:r w:rsidRPr="008858FD">
              <w:rPr>
                <w:rFonts w:ascii="Arial" w:hAnsi="Arial" w:cs="Arial"/>
                <w:i/>
                <w:sz w:val="20"/>
                <w:szCs w:val="20"/>
              </w:rPr>
              <w:t xml:space="preserve">Although the optimal dose remains uncertain, the typical dosage used is amlodipine 20-30mg/day, </w:t>
            </w:r>
            <w:proofErr w:type="spellStart"/>
            <w:r w:rsidRPr="008858FD">
              <w:rPr>
                <w:rFonts w:ascii="Arial" w:hAnsi="Arial" w:cs="Arial"/>
                <w:i/>
                <w:sz w:val="20"/>
                <w:szCs w:val="20"/>
              </w:rPr>
              <w:t>nifedipine</w:t>
            </w:r>
            <w:proofErr w:type="spellEnd"/>
            <w:r w:rsidRPr="008858FD">
              <w:rPr>
                <w:rFonts w:ascii="Arial" w:hAnsi="Arial" w:cs="Arial"/>
                <w:i/>
                <w:sz w:val="20"/>
                <w:szCs w:val="20"/>
              </w:rPr>
              <w:t xml:space="preserve"> 180-240mg/day, or diltiazem 720-960mg/day</w:t>
            </w:r>
          </w:p>
        </w:tc>
        <w:tc>
          <w:tcPr>
            <w:tcW w:w="2144" w:type="pct"/>
          </w:tcPr>
          <w:p w:rsidR="004C2274" w:rsidRPr="008858FD" w:rsidRDefault="004C2274" w:rsidP="008858FD">
            <w:pPr>
              <w:spacing w:before="60" w:after="60" w:line="240" w:lineRule="auto"/>
              <w:ind w:left="106" w:right="57"/>
              <w:jc w:val="left"/>
              <w:rPr>
                <w:rFonts w:ascii="Arial" w:hAnsi="Arial" w:cs="Arial"/>
                <w:i/>
                <w:sz w:val="20"/>
                <w:szCs w:val="20"/>
              </w:rPr>
            </w:pPr>
            <w:r w:rsidRPr="008858FD">
              <w:rPr>
                <w:rFonts w:ascii="Arial" w:hAnsi="Arial" w:cs="Arial"/>
                <w:i/>
                <w:sz w:val="20"/>
                <w:szCs w:val="20"/>
              </w:rPr>
              <w:t xml:space="preserve">The daily doses of these drugs that have shown efficacy in IPAH are relatively high: 120–240mg for </w:t>
            </w:r>
            <w:proofErr w:type="spellStart"/>
            <w:r w:rsidRPr="008858FD">
              <w:rPr>
                <w:rFonts w:ascii="Arial" w:hAnsi="Arial" w:cs="Arial"/>
                <w:i/>
                <w:sz w:val="20"/>
                <w:szCs w:val="20"/>
              </w:rPr>
              <w:t>nifedipine</w:t>
            </w:r>
            <w:proofErr w:type="spellEnd"/>
            <w:r w:rsidRPr="008858FD">
              <w:rPr>
                <w:rFonts w:ascii="Arial" w:hAnsi="Arial" w:cs="Arial"/>
                <w:i/>
                <w:sz w:val="20"/>
                <w:szCs w:val="20"/>
              </w:rPr>
              <w:t>, 240–720mg for diltiazem and up to 20 mg for amlodipine.</w:t>
            </w:r>
          </w:p>
        </w:tc>
      </w:tr>
      <w:tr w:rsidR="001D561A" w:rsidRPr="008858FD" w:rsidTr="002575FC">
        <w:tc>
          <w:tcPr>
            <w:tcW w:w="712" w:type="pct"/>
          </w:tcPr>
          <w:p w:rsidR="001D561A" w:rsidRPr="008858FD" w:rsidRDefault="004C2274" w:rsidP="008858FD">
            <w:pPr>
              <w:spacing w:before="60" w:after="60" w:line="240" w:lineRule="auto"/>
              <w:ind w:left="147" w:right="57"/>
              <w:jc w:val="left"/>
              <w:rPr>
                <w:rFonts w:ascii="Arial" w:hAnsi="Arial" w:cs="Arial"/>
                <w:b/>
                <w:sz w:val="20"/>
                <w:szCs w:val="20"/>
              </w:rPr>
            </w:pPr>
            <w:r w:rsidRPr="008858FD">
              <w:rPr>
                <w:rFonts w:ascii="Arial" w:hAnsi="Arial" w:cs="Arial"/>
                <w:b/>
                <w:sz w:val="20"/>
                <w:szCs w:val="20"/>
              </w:rPr>
              <w:t>Follow-up</w:t>
            </w:r>
          </w:p>
        </w:tc>
        <w:tc>
          <w:tcPr>
            <w:tcW w:w="2144" w:type="pct"/>
          </w:tcPr>
          <w:p w:rsidR="001D561A" w:rsidRPr="008858FD" w:rsidRDefault="004C2274" w:rsidP="008858FD">
            <w:pPr>
              <w:spacing w:before="60" w:after="60" w:line="240" w:lineRule="auto"/>
              <w:ind w:left="142" w:right="57"/>
              <w:jc w:val="left"/>
              <w:rPr>
                <w:rFonts w:ascii="Arial" w:hAnsi="Arial" w:cs="Arial"/>
                <w:i/>
                <w:sz w:val="20"/>
                <w:szCs w:val="20"/>
              </w:rPr>
            </w:pPr>
            <w:r w:rsidRPr="008858FD">
              <w:rPr>
                <w:rFonts w:ascii="Arial" w:hAnsi="Arial" w:cs="Arial"/>
                <w:i/>
                <w:sz w:val="20"/>
                <w:szCs w:val="20"/>
              </w:rPr>
              <w:t>Patients who respond to CCB therapy show dramatic clinical improvements within the first few months of treatment.</w:t>
            </w:r>
          </w:p>
        </w:tc>
        <w:tc>
          <w:tcPr>
            <w:tcW w:w="2144" w:type="pct"/>
          </w:tcPr>
          <w:p w:rsidR="001D561A" w:rsidRPr="008858FD" w:rsidRDefault="001D561A" w:rsidP="008858FD">
            <w:pPr>
              <w:spacing w:before="60" w:after="60" w:line="240" w:lineRule="auto"/>
              <w:ind w:left="106" w:right="57"/>
              <w:jc w:val="left"/>
              <w:rPr>
                <w:rFonts w:ascii="Arial" w:hAnsi="Arial" w:cs="Arial"/>
                <w:i/>
                <w:sz w:val="20"/>
                <w:szCs w:val="20"/>
              </w:rPr>
            </w:pPr>
            <w:r w:rsidRPr="008858FD">
              <w:rPr>
                <w:rFonts w:ascii="Arial" w:hAnsi="Arial" w:cs="Arial"/>
                <w:i/>
                <w:sz w:val="20"/>
                <w:szCs w:val="20"/>
              </w:rPr>
              <w:t xml:space="preserve">Close follow-up with complete reassessment after 3–4 months of therapy (including RHC) is recommended in patients with IPAH, </w:t>
            </w:r>
            <w:r w:rsidR="004F0200" w:rsidRPr="008858FD">
              <w:rPr>
                <w:rFonts w:ascii="Arial" w:hAnsi="Arial" w:cs="Arial"/>
                <w:i/>
                <w:sz w:val="20"/>
                <w:szCs w:val="20"/>
              </w:rPr>
              <w:t>heritable</w:t>
            </w:r>
            <w:r w:rsidRPr="008858FD">
              <w:rPr>
                <w:rFonts w:ascii="Arial" w:hAnsi="Arial" w:cs="Arial"/>
                <w:i/>
                <w:sz w:val="20"/>
                <w:szCs w:val="20"/>
              </w:rPr>
              <w:t xml:space="preserve"> PAH and drug induced PAH treated by high doses of CCBs</w:t>
            </w:r>
          </w:p>
          <w:p w:rsidR="00C54635" w:rsidRPr="008858FD" w:rsidRDefault="00C54635" w:rsidP="008858FD">
            <w:pPr>
              <w:spacing w:before="60" w:after="60" w:line="240" w:lineRule="auto"/>
              <w:ind w:left="106" w:right="57"/>
              <w:jc w:val="left"/>
              <w:rPr>
                <w:rFonts w:ascii="Arial" w:hAnsi="Arial" w:cs="Arial"/>
                <w:i/>
                <w:sz w:val="20"/>
                <w:szCs w:val="20"/>
              </w:rPr>
            </w:pPr>
            <w:r w:rsidRPr="008858FD">
              <w:rPr>
                <w:rFonts w:ascii="Arial" w:hAnsi="Arial" w:cs="Arial"/>
                <w:i/>
                <w:sz w:val="20"/>
                <w:szCs w:val="20"/>
              </w:rPr>
              <w:t>If the patient does not show an adequate response, defined as being in WHO-FC I or II and with a marked haemodynamic improvement (near normalization), additional PAH therapy should be instituted.</w:t>
            </w:r>
          </w:p>
        </w:tc>
      </w:tr>
      <w:tr w:rsidR="001D561A" w:rsidRPr="008858FD" w:rsidTr="002575FC">
        <w:tc>
          <w:tcPr>
            <w:tcW w:w="712" w:type="pct"/>
          </w:tcPr>
          <w:p w:rsidR="001D561A" w:rsidRPr="008858FD" w:rsidRDefault="004C2274" w:rsidP="008858FD">
            <w:pPr>
              <w:spacing w:before="60" w:after="60" w:line="240" w:lineRule="auto"/>
              <w:ind w:left="147" w:right="57"/>
              <w:jc w:val="left"/>
              <w:rPr>
                <w:rFonts w:ascii="Arial" w:hAnsi="Arial" w:cs="Arial"/>
                <w:b/>
                <w:sz w:val="20"/>
                <w:szCs w:val="20"/>
              </w:rPr>
            </w:pPr>
            <w:r w:rsidRPr="008858FD">
              <w:rPr>
                <w:rFonts w:ascii="Arial" w:hAnsi="Arial" w:cs="Arial"/>
                <w:b/>
                <w:sz w:val="20"/>
                <w:szCs w:val="20"/>
              </w:rPr>
              <w:t>Contraindications</w:t>
            </w:r>
          </w:p>
        </w:tc>
        <w:tc>
          <w:tcPr>
            <w:tcW w:w="2144" w:type="pct"/>
          </w:tcPr>
          <w:p w:rsidR="00C54635" w:rsidRPr="008858FD" w:rsidRDefault="00C54635" w:rsidP="008858FD">
            <w:pPr>
              <w:spacing w:before="60" w:after="60" w:line="240" w:lineRule="auto"/>
              <w:ind w:left="142" w:right="57"/>
              <w:jc w:val="left"/>
              <w:rPr>
                <w:rFonts w:ascii="Arial" w:hAnsi="Arial" w:cs="Arial"/>
                <w:i/>
                <w:sz w:val="20"/>
                <w:szCs w:val="20"/>
              </w:rPr>
            </w:pPr>
            <w:r w:rsidRPr="008858FD">
              <w:rPr>
                <w:rFonts w:ascii="Arial" w:hAnsi="Arial" w:cs="Arial"/>
                <w:i/>
                <w:sz w:val="20"/>
                <w:szCs w:val="20"/>
              </w:rPr>
              <w:t>CCBs should not be used empirically to treat PAH in the absence of demonstrated acute vasoreactivity</w:t>
            </w:r>
          </w:p>
          <w:p w:rsidR="001D561A" w:rsidRPr="008858FD" w:rsidRDefault="001D561A" w:rsidP="008858FD">
            <w:pPr>
              <w:spacing w:before="60" w:after="60" w:line="240" w:lineRule="auto"/>
              <w:ind w:left="142" w:right="57"/>
              <w:jc w:val="left"/>
              <w:rPr>
                <w:rFonts w:ascii="Arial" w:hAnsi="Arial" w:cs="Arial"/>
                <w:i/>
                <w:sz w:val="20"/>
                <w:szCs w:val="20"/>
              </w:rPr>
            </w:pPr>
            <w:r w:rsidRPr="008858FD">
              <w:rPr>
                <w:rFonts w:ascii="Arial" w:hAnsi="Arial" w:cs="Arial"/>
                <w:i/>
                <w:sz w:val="20"/>
                <w:szCs w:val="20"/>
              </w:rPr>
              <w:t>Contraindications to acute vasoreactivity testing include a low systemic blood pressure, low cardiac output or the presence of FC IV symptoms.</w:t>
            </w:r>
          </w:p>
        </w:tc>
        <w:tc>
          <w:tcPr>
            <w:tcW w:w="2144" w:type="pct"/>
          </w:tcPr>
          <w:p w:rsidR="001D561A" w:rsidRPr="008858FD" w:rsidRDefault="001D561A" w:rsidP="008858FD">
            <w:pPr>
              <w:spacing w:before="60" w:after="60" w:line="240" w:lineRule="auto"/>
              <w:ind w:left="106" w:right="57"/>
              <w:jc w:val="left"/>
              <w:rPr>
                <w:rFonts w:ascii="Arial" w:hAnsi="Arial" w:cs="Arial"/>
                <w:i/>
                <w:sz w:val="20"/>
                <w:szCs w:val="20"/>
              </w:rPr>
            </w:pPr>
            <w:r w:rsidRPr="008858FD">
              <w:rPr>
                <w:rFonts w:ascii="Arial" w:hAnsi="Arial" w:cs="Arial"/>
                <w:i/>
                <w:sz w:val="20"/>
                <w:szCs w:val="20"/>
              </w:rPr>
              <w:t>High doses of CCBs are not indicated in patients without a vasoreactivity study or non-responders unless standard doses are prescribed for other indications (e.g. Raynaud’s phenomenon)</w:t>
            </w:r>
          </w:p>
          <w:p w:rsidR="00C54635" w:rsidRPr="008858FD" w:rsidRDefault="00C54635" w:rsidP="008858FD">
            <w:pPr>
              <w:spacing w:before="60" w:after="60" w:line="240" w:lineRule="auto"/>
              <w:ind w:left="106" w:right="57"/>
              <w:jc w:val="left"/>
              <w:rPr>
                <w:rFonts w:ascii="Arial" w:hAnsi="Arial" w:cs="Arial"/>
                <w:sz w:val="20"/>
                <w:szCs w:val="20"/>
              </w:rPr>
            </w:pPr>
            <w:r w:rsidRPr="008858FD">
              <w:rPr>
                <w:rFonts w:ascii="Arial" w:hAnsi="Arial" w:cs="Arial"/>
                <w:i/>
                <w:sz w:val="20"/>
                <w:szCs w:val="20"/>
              </w:rPr>
              <w:t xml:space="preserve">The use of CCBs is not recommended in patients with </w:t>
            </w:r>
            <w:proofErr w:type="spellStart"/>
            <w:r w:rsidRPr="008858FD">
              <w:rPr>
                <w:rFonts w:ascii="Arial" w:hAnsi="Arial" w:cs="Arial"/>
                <w:i/>
                <w:sz w:val="20"/>
                <w:szCs w:val="20"/>
              </w:rPr>
              <w:t>Eisenmenger</w:t>
            </w:r>
            <w:proofErr w:type="spellEnd"/>
            <w:r w:rsidRPr="008858FD">
              <w:rPr>
                <w:rFonts w:ascii="Arial" w:hAnsi="Arial" w:cs="Arial"/>
                <w:i/>
                <w:sz w:val="20"/>
                <w:szCs w:val="20"/>
              </w:rPr>
              <w:t xml:space="preserve"> syndrome.</w:t>
            </w:r>
          </w:p>
        </w:tc>
      </w:tr>
      <w:tr w:rsidR="00357C88" w:rsidRPr="008858FD" w:rsidTr="002575FC">
        <w:tc>
          <w:tcPr>
            <w:tcW w:w="712" w:type="pct"/>
          </w:tcPr>
          <w:p w:rsidR="00357C88" w:rsidRPr="008858FD" w:rsidRDefault="004C2274" w:rsidP="008858FD">
            <w:pPr>
              <w:spacing w:before="60" w:after="60" w:line="240" w:lineRule="auto"/>
              <w:ind w:left="147" w:right="57"/>
              <w:jc w:val="left"/>
              <w:rPr>
                <w:rFonts w:ascii="Arial" w:hAnsi="Arial" w:cs="Arial"/>
                <w:b/>
                <w:sz w:val="20"/>
                <w:szCs w:val="20"/>
              </w:rPr>
            </w:pPr>
            <w:r w:rsidRPr="008858FD">
              <w:rPr>
                <w:rFonts w:ascii="Arial" w:hAnsi="Arial" w:cs="Arial"/>
                <w:b/>
                <w:sz w:val="20"/>
                <w:szCs w:val="20"/>
              </w:rPr>
              <w:t>Potential adverse effects</w:t>
            </w:r>
          </w:p>
        </w:tc>
        <w:tc>
          <w:tcPr>
            <w:tcW w:w="2144" w:type="pct"/>
          </w:tcPr>
          <w:p w:rsidR="00357C88" w:rsidRPr="008858FD" w:rsidRDefault="00357C88" w:rsidP="008858FD">
            <w:pPr>
              <w:spacing w:before="60" w:after="60" w:line="240" w:lineRule="auto"/>
              <w:ind w:left="142" w:right="57"/>
              <w:jc w:val="left"/>
              <w:rPr>
                <w:rFonts w:ascii="Arial" w:hAnsi="Arial" w:cs="Arial"/>
                <w:i/>
                <w:sz w:val="20"/>
                <w:szCs w:val="20"/>
              </w:rPr>
            </w:pPr>
            <w:r w:rsidRPr="008858FD">
              <w:rPr>
                <w:rFonts w:ascii="Arial" w:hAnsi="Arial" w:cs="Arial"/>
                <w:i/>
                <w:sz w:val="20"/>
                <w:szCs w:val="20"/>
              </w:rPr>
              <w:t>The use of CCBs in patients with PAH can cause systemic hypotension producing reflex tachycardia, sympathetic stimulation, and right ventricular ischemia. Reports of serious adverse events when CCBs are used inappropriately underscore that CCBs need to be used with caution.</w:t>
            </w:r>
          </w:p>
        </w:tc>
        <w:tc>
          <w:tcPr>
            <w:tcW w:w="2144" w:type="pct"/>
          </w:tcPr>
          <w:p w:rsidR="00357C88" w:rsidRPr="008858FD" w:rsidRDefault="00357C88" w:rsidP="008858FD">
            <w:pPr>
              <w:spacing w:before="60" w:after="60" w:line="240" w:lineRule="auto"/>
              <w:ind w:left="106" w:right="57"/>
              <w:jc w:val="left"/>
              <w:rPr>
                <w:rFonts w:ascii="Arial" w:hAnsi="Arial" w:cs="Arial"/>
                <w:i/>
                <w:sz w:val="20"/>
                <w:szCs w:val="20"/>
              </w:rPr>
            </w:pPr>
            <w:r w:rsidRPr="008858FD">
              <w:rPr>
                <w:rFonts w:ascii="Arial" w:hAnsi="Arial" w:cs="Arial"/>
                <w:i/>
                <w:sz w:val="20"/>
                <w:szCs w:val="20"/>
              </w:rPr>
              <w:t>Patients who have not undergone a vasoreactivity study or those with a negative study should not be started on CCBs because of potential severe side effects (e.g. hypotension, syncope and RV failure</w:t>
            </w:r>
            <w:r w:rsidR="00FD08B5" w:rsidRPr="008858FD">
              <w:rPr>
                <w:rFonts w:ascii="Arial" w:hAnsi="Arial" w:cs="Arial"/>
                <w:i/>
                <w:sz w:val="20"/>
                <w:szCs w:val="20"/>
              </w:rPr>
              <w:t>)</w:t>
            </w:r>
          </w:p>
        </w:tc>
      </w:tr>
    </w:tbl>
    <w:p w:rsidR="001D561A" w:rsidRPr="008858FD" w:rsidRDefault="001D561A" w:rsidP="00121658">
      <w:pPr>
        <w:jc w:val="left"/>
        <w:rPr>
          <w:rFonts w:ascii="Arial" w:hAnsi="Arial" w:cs="Arial"/>
          <w:sz w:val="20"/>
          <w:szCs w:val="20"/>
        </w:rPr>
      </w:pPr>
    </w:p>
    <w:p w:rsidR="001D561A" w:rsidRDefault="001D561A" w:rsidP="00121658">
      <w:pPr>
        <w:jc w:val="left"/>
        <w:sectPr w:rsidR="001D561A" w:rsidSect="00CF3FEC">
          <w:footnotePr>
            <w:numFmt w:val="chicago"/>
          </w:footnotePr>
          <w:pgSz w:w="16838" w:h="11906" w:orient="landscape"/>
          <w:pgMar w:top="1440" w:right="1440" w:bottom="1440" w:left="1440" w:header="708" w:footer="708" w:gutter="0"/>
          <w:cols w:space="708"/>
          <w:titlePg/>
          <w:docGrid w:linePitch="360"/>
        </w:sectPr>
      </w:pPr>
    </w:p>
    <w:p w:rsidR="000A7F7B" w:rsidRPr="00CF3FEC" w:rsidRDefault="000A7F7B" w:rsidP="008858FD">
      <w:pPr>
        <w:pStyle w:val="BodyTextnospacebefore"/>
      </w:pPr>
      <w:r w:rsidRPr="00CF3FEC">
        <w:t>This distillation of treatment recommendations summarises the guidance</w:t>
      </w:r>
      <w:r>
        <w:t>. This</w:t>
      </w:r>
      <w:r w:rsidRPr="00CF3FEC">
        <w:t xml:space="preserve"> does not take into account updated data on the effectiveness of individual </w:t>
      </w:r>
      <w:r>
        <w:t>medicine</w:t>
      </w:r>
      <w:r w:rsidRPr="00CF3FEC">
        <w:t xml:space="preserve">s to achieve different outcomes (improvement in </w:t>
      </w:r>
      <w:r>
        <w:t>6MWD</w:t>
      </w:r>
      <w:r w:rsidRPr="00CF3FEC">
        <w:t xml:space="preserve"> or WHO Functional class, delay in clinical worsening </w:t>
      </w:r>
      <w:proofErr w:type="spellStart"/>
      <w:r w:rsidRPr="00CF3FEC">
        <w:t>etc</w:t>
      </w:r>
      <w:proofErr w:type="spellEnd"/>
      <w:r w:rsidRPr="00CF3FEC">
        <w:t xml:space="preserve">). These are included (where available) in the assessment for TOR 4. </w:t>
      </w:r>
    </w:p>
    <w:p w:rsidR="000A7F7B" w:rsidRPr="008858FD" w:rsidRDefault="000A7F7B" w:rsidP="008858FD">
      <w:pPr>
        <w:pStyle w:val="BodyTextnospacebefore"/>
      </w:pPr>
      <w:r w:rsidRPr="00CF3FEC">
        <w:t xml:space="preserve">Treatment and diagnostic algorithms from the published guidelines and selected </w:t>
      </w:r>
      <w:r w:rsidRPr="008858FD">
        <w:t xml:space="preserve">authoritative reviews are given in </w:t>
      </w:r>
      <w:r w:rsidR="00D63371">
        <w:t xml:space="preserve">Appendix </w:t>
      </w:r>
      <w:proofErr w:type="gramStart"/>
      <w:r w:rsidR="00D63371">
        <w:rPr>
          <w:noProof/>
        </w:rPr>
        <w:t>1.</w:t>
      </w:r>
      <w:r w:rsidRPr="008858FD">
        <w:t>:</w:t>
      </w:r>
      <w:proofErr w:type="gramEnd"/>
    </w:p>
    <w:p w:rsidR="00E301BC" w:rsidRPr="008858FD" w:rsidRDefault="00D63371" w:rsidP="00121658">
      <w:pPr>
        <w:jc w:val="left"/>
        <w:rPr>
          <w:rFonts w:asciiTheme="minorHAnsi" w:hAnsiTheme="minorHAnsi" w:cstheme="minorHAnsi"/>
        </w:rPr>
      </w:pPr>
      <w:r w:rsidRPr="00D63371">
        <w:rPr>
          <w:rFonts w:asciiTheme="minorHAnsi" w:hAnsiTheme="minorHAnsi"/>
        </w:rPr>
        <w:t>Figure 1.2</w:t>
      </w:r>
      <w:r w:rsidRPr="00D63371">
        <w:rPr>
          <w:rFonts w:asciiTheme="minorHAnsi" w:hAnsiTheme="minorHAnsi"/>
        </w:rPr>
        <w:tab/>
        <w:t xml:space="preserve">Treatment </w:t>
      </w:r>
      <w:proofErr w:type="gramStart"/>
      <w:r w:rsidRPr="00D63371">
        <w:rPr>
          <w:rFonts w:asciiTheme="minorHAnsi" w:hAnsiTheme="minorHAnsi"/>
        </w:rPr>
        <w:t>algorithm</w:t>
      </w:r>
      <w:proofErr w:type="gramEnd"/>
      <w:r w:rsidRPr="00D63371">
        <w:rPr>
          <w:rFonts w:asciiTheme="minorHAnsi" w:hAnsiTheme="minorHAnsi"/>
        </w:rPr>
        <w:t xml:space="preserve"> for PAH ESC/ERS Guideline</w:t>
      </w:r>
    </w:p>
    <w:p w:rsidR="00E301BC" w:rsidRPr="008858FD" w:rsidRDefault="00D63371" w:rsidP="00121658">
      <w:pPr>
        <w:jc w:val="left"/>
        <w:rPr>
          <w:rFonts w:asciiTheme="minorHAnsi" w:hAnsiTheme="minorHAnsi" w:cstheme="minorHAnsi"/>
        </w:rPr>
      </w:pPr>
      <w:r w:rsidRPr="00D63371">
        <w:rPr>
          <w:rFonts w:asciiTheme="minorHAnsi" w:hAnsiTheme="minorHAnsi"/>
        </w:rPr>
        <w:t>Figure 1.3</w:t>
      </w:r>
      <w:r w:rsidRPr="00D63371">
        <w:rPr>
          <w:rFonts w:asciiTheme="minorHAnsi" w:hAnsiTheme="minorHAnsi"/>
        </w:rPr>
        <w:tab/>
        <w:t xml:space="preserve">Treatment </w:t>
      </w:r>
      <w:proofErr w:type="gramStart"/>
      <w:r w:rsidRPr="00D63371">
        <w:rPr>
          <w:rFonts w:asciiTheme="minorHAnsi" w:hAnsiTheme="minorHAnsi"/>
        </w:rPr>
        <w:t>algorithm</w:t>
      </w:r>
      <w:proofErr w:type="gramEnd"/>
      <w:r w:rsidRPr="00D63371">
        <w:rPr>
          <w:rFonts w:asciiTheme="minorHAnsi" w:hAnsiTheme="minorHAnsi"/>
        </w:rPr>
        <w:t xml:space="preserve"> from McLaughlin </w:t>
      </w:r>
      <w:r w:rsidRPr="00D63371">
        <w:rPr>
          <w:rFonts w:asciiTheme="minorHAnsi" w:hAnsiTheme="minorHAnsi"/>
          <w:i/>
        </w:rPr>
        <w:t>et al</w:t>
      </w:r>
      <w:r w:rsidRPr="00D63371">
        <w:rPr>
          <w:rFonts w:asciiTheme="minorHAnsi" w:hAnsiTheme="minorHAnsi"/>
        </w:rPr>
        <w:t xml:space="preserve"> (2015)</w:t>
      </w:r>
    </w:p>
    <w:p w:rsidR="00E301BC" w:rsidRPr="008858FD" w:rsidRDefault="00D63371" w:rsidP="00121658">
      <w:pPr>
        <w:jc w:val="left"/>
        <w:rPr>
          <w:rFonts w:asciiTheme="minorHAnsi" w:hAnsiTheme="minorHAnsi" w:cstheme="minorHAnsi"/>
        </w:rPr>
      </w:pPr>
      <w:r w:rsidRPr="00D63371">
        <w:rPr>
          <w:rFonts w:asciiTheme="minorHAnsi" w:hAnsiTheme="minorHAnsi"/>
        </w:rPr>
        <w:t>Figure 1.6</w:t>
      </w:r>
      <w:r w:rsidRPr="00D63371">
        <w:rPr>
          <w:rFonts w:asciiTheme="minorHAnsi" w:hAnsiTheme="minorHAnsi"/>
        </w:rPr>
        <w:tab/>
        <w:t xml:space="preserve">Treatment </w:t>
      </w:r>
      <w:proofErr w:type="gramStart"/>
      <w:r w:rsidRPr="00D63371">
        <w:rPr>
          <w:rFonts w:asciiTheme="minorHAnsi" w:hAnsiTheme="minorHAnsi"/>
        </w:rPr>
        <w:t>algorithm</w:t>
      </w:r>
      <w:proofErr w:type="gramEnd"/>
      <w:r w:rsidRPr="00D63371">
        <w:rPr>
          <w:rFonts w:asciiTheme="minorHAnsi" w:hAnsiTheme="minorHAnsi"/>
        </w:rPr>
        <w:t xml:space="preserve"> for Paediatric PAH (World Symposium)</w:t>
      </w:r>
    </w:p>
    <w:p w:rsidR="00E301BC" w:rsidRPr="008858FD" w:rsidRDefault="00D63371" w:rsidP="00121658">
      <w:pPr>
        <w:jc w:val="left"/>
        <w:rPr>
          <w:rFonts w:asciiTheme="minorHAnsi" w:hAnsiTheme="minorHAnsi" w:cstheme="minorHAnsi"/>
        </w:rPr>
      </w:pPr>
      <w:r w:rsidRPr="00D63371">
        <w:rPr>
          <w:rFonts w:asciiTheme="minorHAnsi" w:hAnsiTheme="minorHAnsi"/>
        </w:rPr>
        <w:t>Figure 1.4</w:t>
      </w:r>
      <w:r w:rsidRPr="00D63371">
        <w:rPr>
          <w:rFonts w:asciiTheme="minorHAnsi" w:hAnsiTheme="minorHAnsi"/>
        </w:rPr>
        <w:tab/>
      </w:r>
      <w:proofErr w:type="gramStart"/>
      <w:r w:rsidRPr="00D63371">
        <w:rPr>
          <w:rFonts w:asciiTheme="minorHAnsi" w:hAnsiTheme="minorHAnsi"/>
        </w:rPr>
        <w:t>Diagnostic algorithm</w:t>
      </w:r>
      <w:proofErr w:type="gramEnd"/>
      <w:r w:rsidRPr="00D63371">
        <w:rPr>
          <w:rFonts w:asciiTheme="minorHAnsi" w:hAnsiTheme="minorHAnsi"/>
        </w:rPr>
        <w:t xml:space="preserve"> for PAH, ESC/ERS Guideline</w:t>
      </w:r>
    </w:p>
    <w:p w:rsidR="00E301BC" w:rsidRPr="008858FD" w:rsidRDefault="00D63371" w:rsidP="00121658">
      <w:pPr>
        <w:jc w:val="left"/>
        <w:rPr>
          <w:rFonts w:asciiTheme="minorHAnsi" w:hAnsiTheme="minorHAnsi" w:cstheme="minorHAnsi"/>
        </w:rPr>
      </w:pPr>
      <w:r w:rsidRPr="00D63371">
        <w:rPr>
          <w:rFonts w:asciiTheme="minorHAnsi" w:hAnsiTheme="minorHAnsi"/>
        </w:rPr>
        <w:t>Figure 1.5</w:t>
      </w:r>
      <w:r w:rsidRPr="00D63371">
        <w:rPr>
          <w:rFonts w:asciiTheme="minorHAnsi" w:hAnsiTheme="minorHAnsi"/>
        </w:rPr>
        <w:tab/>
      </w:r>
      <w:proofErr w:type="gramStart"/>
      <w:r w:rsidRPr="00D63371">
        <w:rPr>
          <w:rFonts w:asciiTheme="minorHAnsi" w:hAnsiTheme="minorHAnsi"/>
        </w:rPr>
        <w:t>Diagnostic algorithm</w:t>
      </w:r>
      <w:proofErr w:type="gramEnd"/>
      <w:r w:rsidRPr="00D63371">
        <w:rPr>
          <w:rFonts w:asciiTheme="minorHAnsi" w:hAnsiTheme="minorHAnsi"/>
        </w:rPr>
        <w:t xml:space="preserve"> for PAH</w:t>
      </w:r>
    </w:p>
    <w:p w:rsidR="00E301BC" w:rsidRPr="008858FD" w:rsidRDefault="00D63371" w:rsidP="00121658">
      <w:pPr>
        <w:jc w:val="left"/>
        <w:rPr>
          <w:rFonts w:asciiTheme="minorHAnsi" w:hAnsiTheme="minorHAnsi" w:cstheme="minorHAnsi"/>
        </w:rPr>
      </w:pPr>
      <w:r w:rsidRPr="00D63371">
        <w:rPr>
          <w:rFonts w:asciiTheme="minorHAnsi" w:hAnsiTheme="minorHAnsi"/>
        </w:rPr>
        <w:t>Figure 1.7</w:t>
      </w:r>
      <w:r w:rsidRPr="00D63371">
        <w:rPr>
          <w:rFonts w:asciiTheme="minorHAnsi" w:hAnsiTheme="minorHAnsi"/>
        </w:rPr>
        <w:tab/>
      </w:r>
      <w:proofErr w:type="gramStart"/>
      <w:r w:rsidRPr="00D63371">
        <w:rPr>
          <w:rFonts w:asciiTheme="minorHAnsi" w:hAnsiTheme="minorHAnsi"/>
        </w:rPr>
        <w:t>Diagnostic algorithm</w:t>
      </w:r>
      <w:proofErr w:type="gramEnd"/>
      <w:r w:rsidRPr="00D63371">
        <w:rPr>
          <w:rFonts w:asciiTheme="minorHAnsi" w:hAnsiTheme="minorHAnsi"/>
        </w:rPr>
        <w:t xml:space="preserve"> for Paediatric PAH</w:t>
      </w:r>
    </w:p>
    <w:p w:rsidR="000A7F7B" w:rsidRDefault="000A7F7B" w:rsidP="00121658">
      <w:pPr>
        <w:spacing w:before="0" w:line="240" w:lineRule="auto"/>
        <w:jc w:val="left"/>
        <w:rPr>
          <w:rFonts w:cstheme="minorHAnsi"/>
        </w:rPr>
      </w:pPr>
    </w:p>
    <w:p w:rsidR="000A7F7B" w:rsidRPr="004A5F12" w:rsidRDefault="000A7F7B" w:rsidP="008858FD">
      <w:pPr>
        <w:pStyle w:val="BodyTextnospacebefore"/>
      </w:pPr>
      <w:r>
        <w:t>The CHEST guideline</w:t>
      </w:r>
      <w:r w:rsidR="009C556B" w:rsidRPr="009C556B">
        <w:rPr>
          <w:noProof/>
          <w:vertAlign w:val="superscript"/>
        </w:rPr>
        <w:t>19</w:t>
      </w:r>
      <w:r w:rsidRPr="00CF3FEC">
        <w:t xml:space="preserve"> did not include a treatment algorithm</w:t>
      </w:r>
      <w:r>
        <w:t>. The</w:t>
      </w:r>
      <w:r w:rsidRPr="00CF3FEC">
        <w:t xml:space="preserve"> algorithm in the ACC/AHA 2009 consensus statement </w:t>
      </w:r>
      <w:r>
        <w:t>has been omitted as</w:t>
      </w:r>
      <w:r w:rsidRPr="00CF3FEC">
        <w:t xml:space="preserve"> it was simplified and missing </w:t>
      </w:r>
      <w:r w:rsidR="00670DB9">
        <w:t>several</w:t>
      </w:r>
      <w:r w:rsidRPr="00CF3FEC">
        <w:t xml:space="preserve"> </w:t>
      </w:r>
      <w:r>
        <w:t>new</w:t>
      </w:r>
      <w:r w:rsidRPr="00CF3FEC">
        <w:t xml:space="preserve"> oral </w:t>
      </w:r>
      <w:r>
        <w:t>PAH medicines. T</w:t>
      </w:r>
      <w:r w:rsidRPr="00CF3FEC">
        <w:t>he lead author of that consensus statement</w:t>
      </w:r>
      <w:r w:rsidR="0072071B">
        <w:t xml:space="preserve"> recently co-authored a review with several other PAH</w:t>
      </w:r>
      <w:r w:rsidRPr="00CF3FEC">
        <w:t xml:space="preserve"> key opinion leaders that includes an</w:t>
      </w:r>
      <w:r w:rsidR="0072071B">
        <w:t xml:space="preserve"> </w:t>
      </w:r>
      <w:r w:rsidRPr="00CF3FEC">
        <w:t xml:space="preserve">algorithm </w:t>
      </w:r>
      <w:r>
        <w:t>which</w:t>
      </w:r>
      <w:r w:rsidRPr="00CF3FEC">
        <w:t xml:space="preserve"> has been included for comparison</w:t>
      </w:r>
      <w:r w:rsidR="009C556B" w:rsidRPr="009C556B">
        <w:rPr>
          <w:noProof/>
          <w:vertAlign w:val="superscript"/>
        </w:rPr>
        <w:t>29</w:t>
      </w:r>
      <w:r w:rsidRPr="00CF3FEC">
        <w:t xml:space="preserve"> (</w:t>
      </w:r>
      <w:r w:rsidR="00D63371">
        <w:t>Figure 1.3</w:t>
      </w:r>
      <w:r w:rsidRPr="00CF3FEC">
        <w:t>)</w:t>
      </w:r>
      <w:r>
        <w:t>. A</w:t>
      </w:r>
      <w:r w:rsidRPr="00CF3FEC">
        <w:t xml:space="preserve"> useful diagnostic algorithm has </w:t>
      </w:r>
      <w:r>
        <w:t xml:space="preserve">also </w:t>
      </w:r>
      <w:r w:rsidRPr="00CF3FEC">
        <w:t>been included from a literature review on echoc</w:t>
      </w:r>
      <w:r>
        <w:t>ardiography</w:t>
      </w:r>
      <w:r w:rsidR="009C556B" w:rsidRPr="009C556B">
        <w:rPr>
          <w:noProof/>
          <w:vertAlign w:val="superscript"/>
        </w:rPr>
        <w:t>30</w:t>
      </w:r>
      <w:r w:rsidRPr="00CF3FEC">
        <w:t xml:space="preserve"> as it reflects the interventions recommended in the various guidelines</w:t>
      </w:r>
      <w:r w:rsidR="0043729C">
        <w:t>.</w:t>
      </w:r>
    </w:p>
    <w:p w:rsidR="001D561A" w:rsidRPr="00CF3FEC" w:rsidRDefault="00C96D07" w:rsidP="008858FD">
      <w:pPr>
        <w:pStyle w:val="BodyTextnospacebefore"/>
      </w:pPr>
      <w:r>
        <w:t>The best evidence-based assessment was found in the CADTH review</w:t>
      </w:r>
      <w:r w:rsidR="009C556B" w:rsidRPr="009C556B">
        <w:rPr>
          <w:noProof/>
          <w:vertAlign w:val="superscript"/>
        </w:rPr>
        <w:t>25</w:t>
      </w:r>
      <w:r>
        <w:t xml:space="preserve">. </w:t>
      </w:r>
      <w:r w:rsidR="001D561A" w:rsidRPr="00CF3FEC">
        <w:t xml:space="preserve">CADTH evaluated evidence for monotherapy across WHO FC I-IV and found that </w:t>
      </w:r>
      <w:r w:rsidR="001D561A" w:rsidRPr="00CF3FEC">
        <w:rPr>
          <w:i/>
        </w:rPr>
        <w:t>“the available drugs used in monotherapy are similarly efficacious for improving the key trial outcomes of FC worsening and clinical worsening”</w:t>
      </w:r>
      <w:r w:rsidR="00FD08B5">
        <w:t xml:space="preserve"> (</w:t>
      </w:r>
      <w:r w:rsidR="00AF191D">
        <w:t>PDE</w:t>
      </w:r>
      <w:r w:rsidR="00AF191D">
        <w:noBreakHyphen/>
        <w:t>5</w:t>
      </w:r>
      <w:r w:rsidR="00FD08B5">
        <w:t xml:space="preserve"> inhibitors we</w:t>
      </w:r>
      <w:r w:rsidR="001D561A" w:rsidRPr="00CF3FEC">
        <w:t>re recommended based on cost)</w:t>
      </w:r>
      <w:r w:rsidR="001D561A">
        <w:t xml:space="preserve">. </w:t>
      </w:r>
      <w:r w:rsidR="001D561A" w:rsidRPr="00CF3FEC">
        <w:t xml:space="preserve">The review goes on to state that there was </w:t>
      </w:r>
      <w:r w:rsidR="001D561A" w:rsidRPr="00CF3FEC">
        <w:rPr>
          <w:i/>
        </w:rPr>
        <w:t>“no evidence to guide the duration of treatment [</w:t>
      </w:r>
      <w:r w:rsidR="00FD08B5">
        <w:rPr>
          <w:i/>
        </w:rPr>
        <w:t>…</w:t>
      </w:r>
      <w:r w:rsidR="001D561A" w:rsidRPr="00CF3FEC">
        <w:rPr>
          <w:i/>
        </w:rPr>
        <w:t>] before changing to or adding another drug. The decision to change from or add to initial therapy […] should be based on patient-specific factors and response”</w:t>
      </w:r>
      <w:r w:rsidR="0072071B">
        <w:rPr>
          <w:i/>
        </w:rPr>
        <w:t>.</w:t>
      </w:r>
    </w:p>
    <w:p w:rsidR="001D561A" w:rsidRPr="009C074C" w:rsidRDefault="001D561A" w:rsidP="00121658">
      <w:pPr>
        <w:jc w:val="left"/>
        <w:rPr>
          <w:rFonts w:asciiTheme="minorHAnsi" w:hAnsiTheme="minorHAnsi" w:cstheme="minorHAnsi"/>
        </w:rPr>
      </w:pPr>
      <w:r w:rsidRPr="009C074C">
        <w:rPr>
          <w:rFonts w:asciiTheme="minorHAnsi" w:hAnsiTheme="minorHAnsi" w:cstheme="minorHAnsi"/>
        </w:rPr>
        <w:t>Regarding treatment of patients with PAH</w:t>
      </w:r>
      <w:r w:rsidR="0003499D" w:rsidRPr="009C074C">
        <w:rPr>
          <w:rFonts w:asciiTheme="minorHAnsi" w:hAnsiTheme="minorHAnsi" w:cstheme="minorHAnsi"/>
        </w:rPr>
        <w:t>-</w:t>
      </w:r>
      <w:r w:rsidRPr="009C074C">
        <w:rPr>
          <w:rFonts w:asciiTheme="minorHAnsi" w:hAnsiTheme="minorHAnsi" w:cstheme="minorHAnsi"/>
        </w:rPr>
        <w:t xml:space="preserve">CTD, or </w:t>
      </w:r>
      <w:r w:rsidR="0003499D" w:rsidRPr="009C074C">
        <w:rPr>
          <w:rFonts w:asciiTheme="minorHAnsi" w:hAnsiTheme="minorHAnsi" w:cstheme="minorHAnsi"/>
        </w:rPr>
        <w:t>PAH-</w:t>
      </w:r>
      <w:r w:rsidRPr="009C074C">
        <w:rPr>
          <w:rFonts w:asciiTheme="minorHAnsi" w:hAnsiTheme="minorHAnsi" w:cstheme="minorHAnsi"/>
        </w:rPr>
        <w:t xml:space="preserve">CHD or drug and toxin induced PAH there are no fundamental differences to be highlighted in the proposed pharmacotherapy pathways as this is focusing on choice of PAH </w:t>
      </w:r>
      <w:r w:rsidR="00517C17" w:rsidRPr="009C074C">
        <w:rPr>
          <w:rFonts w:asciiTheme="minorHAnsi" w:hAnsiTheme="minorHAnsi" w:cstheme="minorHAnsi"/>
        </w:rPr>
        <w:t>medicine</w:t>
      </w:r>
      <w:r w:rsidRPr="009C074C">
        <w:rPr>
          <w:rFonts w:asciiTheme="minorHAnsi" w:hAnsiTheme="minorHAnsi" w:cstheme="minorHAnsi"/>
        </w:rPr>
        <w:t xml:space="preserve"> only. The clinical features in those different subtypes may however affect the prognostic factors and drive different treatment strategies. For example, patients with scleroderma (systemic sclerosis) tend to progress more quickly and have poorer survival. There were no specific recommendations for HIV infection or patients with portal hypertension either. ERAs remain indicated for the latter in spite of the hepatotoxicity risk, noting that macitentan and ambrisentan have a better safety profile for this endpoint </w:t>
      </w:r>
      <w:r w:rsidR="00D80D09" w:rsidRPr="009C074C">
        <w:rPr>
          <w:rFonts w:asciiTheme="minorHAnsi" w:hAnsiTheme="minorHAnsi" w:cstheme="minorHAnsi"/>
        </w:rPr>
        <w:t xml:space="preserve">in principle </w:t>
      </w:r>
      <w:r w:rsidRPr="009C074C">
        <w:rPr>
          <w:rFonts w:asciiTheme="minorHAnsi" w:hAnsiTheme="minorHAnsi" w:cstheme="minorHAnsi"/>
        </w:rPr>
        <w:t>but have not been studied to the same extent as bosentan</w:t>
      </w:r>
      <w:r w:rsidR="009C556B" w:rsidRPr="009C074C">
        <w:rPr>
          <w:rFonts w:asciiTheme="minorHAnsi" w:hAnsiTheme="minorHAnsi" w:cstheme="minorHAnsi"/>
          <w:noProof/>
          <w:vertAlign w:val="superscript"/>
        </w:rPr>
        <w:t>8</w:t>
      </w:r>
      <w:r w:rsidRPr="009C074C">
        <w:rPr>
          <w:rFonts w:asciiTheme="minorHAnsi" w:hAnsiTheme="minorHAnsi" w:cstheme="minorHAnsi"/>
        </w:rPr>
        <w:t>.</w:t>
      </w:r>
    </w:p>
    <w:p w:rsidR="00226063" w:rsidRPr="008858FD" w:rsidRDefault="000A7F7B" w:rsidP="0015688E">
      <w:pPr>
        <w:spacing w:after="200"/>
        <w:jc w:val="left"/>
        <w:rPr>
          <w:rFonts w:asciiTheme="minorHAnsi" w:hAnsiTheme="minorHAnsi" w:cstheme="minorHAnsi"/>
        </w:rPr>
      </w:pPr>
      <w:r w:rsidRPr="008858FD">
        <w:rPr>
          <w:rFonts w:asciiTheme="minorHAnsi" w:hAnsiTheme="minorHAnsi" w:cstheme="minorHAnsi"/>
        </w:rPr>
        <w:t>T</w:t>
      </w:r>
      <w:r w:rsidR="002F0F70" w:rsidRPr="008858FD">
        <w:rPr>
          <w:rFonts w:asciiTheme="minorHAnsi" w:hAnsiTheme="minorHAnsi" w:cstheme="minorHAnsi"/>
        </w:rPr>
        <w:t xml:space="preserve">he ESC/ERS guideline states that </w:t>
      </w:r>
      <w:r w:rsidR="002F0F70" w:rsidRPr="008858FD">
        <w:rPr>
          <w:rFonts w:asciiTheme="minorHAnsi" w:hAnsiTheme="minorHAnsi" w:cstheme="minorHAnsi"/>
          <w:i/>
        </w:rPr>
        <w:t xml:space="preserve">“The medical treatment strategy for patients with PAH associated with </w:t>
      </w:r>
      <w:r w:rsidR="0003499D" w:rsidRPr="008858FD">
        <w:rPr>
          <w:rFonts w:asciiTheme="minorHAnsi" w:hAnsiTheme="minorHAnsi" w:cstheme="minorHAnsi"/>
          <w:i/>
        </w:rPr>
        <w:t>[congenital heart disease]</w:t>
      </w:r>
      <w:r w:rsidR="002F0F70" w:rsidRPr="008858FD">
        <w:rPr>
          <w:rFonts w:asciiTheme="minorHAnsi" w:hAnsiTheme="minorHAnsi" w:cstheme="minorHAnsi"/>
          <w:i/>
        </w:rPr>
        <w:t xml:space="preserve">, and in particular for subjects with </w:t>
      </w:r>
      <w:proofErr w:type="spellStart"/>
      <w:r w:rsidR="002F0F70" w:rsidRPr="008858FD">
        <w:rPr>
          <w:rFonts w:asciiTheme="minorHAnsi" w:hAnsiTheme="minorHAnsi" w:cstheme="minorHAnsi"/>
          <w:i/>
        </w:rPr>
        <w:t>Eisenmenger</w:t>
      </w:r>
      <w:proofErr w:type="spellEnd"/>
      <w:r w:rsidR="002F0F70" w:rsidRPr="008858FD">
        <w:rPr>
          <w:rFonts w:asciiTheme="minorHAnsi" w:hAnsiTheme="minorHAnsi" w:cstheme="minorHAnsi"/>
          <w:i/>
        </w:rPr>
        <w:t xml:space="preserve"> syndrome, is mainly based on the clinical experience of experts rather than being formally evidence-based”.</w:t>
      </w:r>
      <w:bookmarkStart w:id="166" w:name="_Toc473291080"/>
      <w:bookmarkStart w:id="167" w:name="_Toc480371883"/>
      <w:bookmarkEnd w:id="147"/>
      <w:bookmarkEnd w:id="148"/>
      <w:bookmarkEnd w:id="149"/>
      <w:bookmarkEnd w:id="150"/>
      <w:bookmarkEnd w:id="151"/>
      <w:bookmarkEnd w:id="152"/>
      <w:bookmarkEnd w:id="153"/>
      <w:r w:rsidR="0072071B" w:rsidRPr="008858FD">
        <w:rPr>
          <w:rFonts w:asciiTheme="minorHAnsi" w:hAnsiTheme="minorHAnsi" w:cstheme="minorHAnsi"/>
        </w:rPr>
        <w:t xml:space="preserve"> </w:t>
      </w:r>
      <w:r w:rsidR="00226063" w:rsidRPr="008858FD">
        <w:rPr>
          <w:rFonts w:asciiTheme="minorHAnsi" w:hAnsiTheme="minorHAnsi" w:cstheme="minorHAnsi"/>
        </w:rPr>
        <w:t xml:space="preserve">Regarding children, </w:t>
      </w:r>
      <w:r w:rsidR="0072071B" w:rsidRPr="008858FD">
        <w:rPr>
          <w:rFonts w:asciiTheme="minorHAnsi" w:hAnsiTheme="minorHAnsi" w:cstheme="minorHAnsi"/>
        </w:rPr>
        <w:t>it</w:t>
      </w:r>
      <w:r w:rsidR="00226063" w:rsidRPr="008858FD">
        <w:rPr>
          <w:rFonts w:asciiTheme="minorHAnsi" w:hAnsiTheme="minorHAnsi" w:cstheme="minorHAnsi"/>
        </w:rPr>
        <w:t xml:space="preserve"> states that “</w:t>
      </w:r>
      <w:r w:rsidR="00226063" w:rsidRPr="008858FD">
        <w:rPr>
          <w:rFonts w:asciiTheme="minorHAnsi" w:hAnsiTheme="minorHAnsi" w:cstheme="minorHAnsi"/>
          <w:i/>
        </w:rPr>
        <w:t>The general scheme of the diagnostic algorithm for adult patients may also be adopted in children, with some adaptation related to the different epidemiology”</w:t>
      </w:r>
      <w:r w:rsidR="009C556B" w:rsidRPr="008858FD">
        <w:rPr>
          <w:rFonts w:asciiTheme="minorHAnsi" w:hAnsiTheme="minorHAnsi" w:cstheme="minorHAnsi"/>
          <w:noProof/>
          <w:vertAlign w:val="superscript"/>
        </w:rPr>
        <w:t>8</w:t>
      </w:r>
      <w:r w:rsidR="0043729C">
        <w:rPr>
          <w:rFonts w:asciiTheme="minorHAnsi" w:hAnsiTheme="minorHAnsi" w:cstheme="minorHAnsi"/>
        </w:rPr>
        <w:t>.</w:t>
      </w:r>
    </w:p>
    <w:p w:rsidR="00EC3162" w:rsidRPr="00B92CC9" w:rsidRDefault="00EC3162" w:rsidP="00121658">
      <w:pPr>
        <w:pStyle w:val="Heading3"/>
        <w:jc w:val="left"/>
      </w:pPr>
      <w:bookmarkStart w:id="168" w:name="_Toc513107602"/>
      <w:r>
        <w:t xml:space="preserve">Diagnostic </w:t>
      </w:r>
      <w:r w:rsidR="00054996">
        <w:t xml:space="preserve">and monitoring </w:t>
      </w:r>
      <w:r>
        <w:t>recommendations</w:t>
      </w:r>
      <w:bookmarkEnd w:id="168"/>
    </w:p>
    <w:p w:rsidR="00054996" w:rsidRPr="00F53D1B" w:rsidRDefault="00054996" w:rsidP="00121658">
      <w:pPr>
        <w:pStyle w:val="Heading4"/>
        <w:jc w:val="left"/>
      </w:pPr>
      <w:r w:rsidRPr="00F53D1B">
        <w:t>Right heart catheterisation (RHC)</w:t>
      </w:r>
    </w:p>
    <w:p w:rsidR="00054996" w:rsidRDefault="00054996" w:rsidP="008858FD">
      <w:pPr>
        <w:pStyle w:val="BodyTextnospacebefore"/>
      </w:pPr>
      <w:r w:rsidRPr="00F53D1B">
        <w:t xml:space="preserve">Pulmonary hypertension is defined as a resting </w:t>
      </w:r>
      <w:proofErr w:type="spellStart"/>
      <w:r w:rsidRPr="00F53D1B">
        <w:t>mPAP</w:t>
      </w:r>
      <w:proofErr w:type="spellEnd"/>
      <w:r w:rsidRPr="00F53D1B">
        <w:t xml:space="preserve"> of 25 mmHg or more by RHC. </w:t>
      </w:r>
      <w:r>
        <w:t>RHC</w:t>
      </w:r>
      <w:r w:rsidRPr="00F53D1B">
        <w:t xml:space="preserve"> is the gold standard for PAH diagnosis and is used to measure </w:t>
      </w:r>
      <w:r>
        <w:t xml:space="preserve">this and other parameters such as </w:t>
      </w:r>
      <w:r w:rsidRPr="00F53D1B">
        <w:t>right atrial pressure</w:t>
      </w:r>
      <w:r>
        <w:t xml:space="preserve"> (RAP)</w:t>
      </w:r>
      <w:r w:rsidR="00FD08B5">
        <w:t>, other dimensions of the right heart</w:t>
      </w:r>
      <w:r w:rsidRPr="00F53D1B">
        <w:t xml:space="preserve"> and cardiac performance</w:t>
      </w:r>
      <w:r>
        <w:t xml:space="preserve">. </w:t>
      </w:r>
      <w:r w:rsidRPr="00F53D1B">
        <w:t>RHC is recommended as essential prior to making treatment decisions, unless contraindicated (</w:t>
      </w:r>
      <w:r w:rsidR="00D63371">
        <w:t>Table 1.9</w:t>
      </w:r>
      <w:r w:rsidR="00D63371" w:rsidRPr="00F75B8B">
        <w:t xml:space="preserve"> </w:t>
      </w:r>
      <w:r w:rsidR="00D63371">
        <w:tab/>
        <w:t>Guideline diagnostic recommendations for PAH</w:t>
      </w:r>
      <w:r w:rsidR="007A1023">
        <w:t xml:space="preserve">). </w:t>
      </w:r>
      <w:r w:rsidRPr="00F53D1B">
        <w:t xml:space="preserve">RHC should be performed once the </w:t>
      </w:r>
      <w:r w:rsidR="002F0F70">
        <w:t>non-invasive</w:t>
      </w:r>
      <w:r w:rsidRPr="00F53D1B">
        <w:t xml:space="preserve"> assessments have been completed</w:t>
      </w:r>
      <w:r w:rsidR="0043729C">
        <w:t>.</w:t>
      </w:r>
    </w:p>
    <w:p w:rsidR="00826896" w:rsidRPr="00F53D1B" w:rsidRDefault="00826896" w:rsidP="00121658">
      <w:pPr>
        <w:pStyle w:val="Heading4"/>
        <w:numPr>
          <w:ilvl w:val="0"/>
          <w:numId w:val="0"/>
        </w:numPr>
        <w:jc w:val="left"/>
      </w:pPr>
      <w:r w:rsidRPr="00F53D1B">
        <w:t>Transthoracic Echocardiography</w:t>
      </w:r>
    </w:p>
    <w:p w:rsidR="00826896" w:rsidRDefault="00826896" w:rsidP="008858FD">
      <w:pPr>
        <w:pStyle w:val="BodyTextnospacebefore"/>
      </w:pPr>
      <w:r w:rsidRPr="00F53D1B">
        <w:t xml:space="preserve">A chest echocardiogram is the key </w:t>
      </w:r>
      <w:r w:rsidR="002F0F70">
        <w:t>non-invasive</w:t>
      </w:r>
      <w:r>
        <w:t xml:space="preserve"> method</w:t>
      </w:r>
      <w:r w:rsidRPr="00F53D1B">
        <w:t xml:space="preserve"> to determine if PAH is suspected and whether RHC is indicated. PAP cannot be measured directly using echocardiography and</w:t>
      </w:r>
      <w:r>
        <w:t xml:space="preserve"> must be inferred from </w:t>
      </w:r>
      <w:r w:rsidRPr="00F53D1B">
        <w:t>peak tricuspid regurgitation velocity (TRV)</w:t>
      </w:r>
      <w:r>
        <w:t xml:space="preserve"> and mean Right Atrial </w:t>
      </w:r>
      <w:r w:rsidR="00C40AC4">
        <w:t>Pressure</w:t>
      </w:r>
      <w:r>
        <w:t xml:space="preserve"> (</w:t>
      </w:r>
      <w:proofErr w:type="spellStart"/>
      <w:r>
        <w:t>m</w:t>
      </w:r>
      <w:r w:rsidRPr="00F53D1B">
        <w:t>RAP</w:t>
      </w:r>
      <w:proofErr w:type="spellEnd"/>
      <w:r>
        <w:t xml:space="preserve">). </w:t>
      </w:r>
      <w:r w:rsidRPr="00F53D1B">
        <w:t>The tricuspid valve lies between the right atrium and the right ventricle</w:t>
      </w:r>
      <w:r>
        <w:t xml:space="preserve">. </w:t>
      </w:r>
      <w:r w:rsidRPr="00F53D1B">
        <w:t xml:space="preserve">Regurgitation results from the leaking tricuspid valve allowing blood flow back into the right atrium, instead of the blood flowing as it should (right atrium </w:t>
      </w:r>
      <w:r>
        <w:t>–</w:t>
      </w:r>
      <w:r w:rsidRPr="00F53D1B">
        <w:t xml:space="preserve">&gt; right ventricle </w:t>
      </w:r>
      <w:r>
        <w:t>–</w:t>
      </w:r>
      <w:r w:rsidRPr="00F53D1B">
        <w:t>&gt; pulmonary artery)</w:t>
      </w:r>
      <w:r w:rsidR="0043729C">
        <w:t>.</w:t>
      </w:r>
    </w:p>
    <w:p w:rsidR="00826896" w:rsidRDefault="00826896" w:rsidP="008858FD">
      <w:pPr>
        <w:pStyle w:val="BodyTextnospacebefore"/>
      </w:pPr>
      <w:r w:rsidRPr="00F53D1B">
        <w:t>This method is less effective in patients with mild PAH as regurgitation may not be apparent, or in those who have underlying lung disease. If TRV is not measurable, the other signs of PAH</w:t>
      </w:r>
      <w:r>
        <w:t xml:space="preserve"> on echocardiography</w:t>
      </w:r>
      <w:r w:rsidRPr="00F53D1B">
        <w:t xml:space="preserve"> become key to </w:t>
      </w:r>
      <w:r>
        <w:t xml:space="preserve">determining </w:t>
      </w:r>
      <w:r w:rsidRPr="00F53D1B">
        <w:t>the likelihood of PAH</w:t>
      </w:r>
      <w:r>
        <w:t xml:space="preserve"> </w:t>
      </w:r>
      <w:r w:rsidRPr="00F53D1B">
        <w:t>(</w:t>
      </w:r>
      <w:r w:rsidR="00D63371">
        <w:t>Table 1.</w:t>
      </w:r>
      <w:r w:rsidR="00D63371">
        <w:rPr>
          <w:noProof/>
        </w:rPr>
        <w:t>9</w:t>
      </w:r>
      <w:r w:rsidRPr="00F53D1B">
        <w:t>) and a decision to proceed to RHC</w:t>
      </w:r>
      <w:r>
        <w:t xml:space="preserve">. </w:t>
      </w:r>
      <w:r w:rsidR="00670DB9">
        <w:t>The lack of reliably measureable</w:t>
      </w:r>
      <w:r w:rsidRPr="00F53D1B">
        <w:t xml:space="preserve"> TRV in </w:t>
      </w:r>
      <w:r w:rsidR="00670DB9">
        <w:t>some patients</w:t>
      </w:r>
      <w:r w:rsidR="00CC7275">
        <w:t xml:space="preserve"> rules out </w:t>
      </w:r>
      <w:r w:rsidRPr="00F53D1B">
        <w:t xml:space="preserve">echocardiography as </w:t>
      </w:r>
      <w:r>
        <w:t>the key</w:t>
      </w:r>
      <w:r w:rsidRPr="00F53D1B">
        <w:t xml:space="preserve"> diagnostic test</w:t>
      </w:r>
      <w:r>
        <w:t>.</w:t>
      </w:r>
    </w:p>
    <w:p w:rsidR="00670DB9" w:rsidRPr="00BB3BA9" w:rsidRDefault="00670DB9" w:rsidP="00121658">
      <w:pPr>
        <w:pStyle w:val="Heading4"/>
        <w:jc w:val="left"/>
        <w:rPr>
          <w:rFonts w:eastAsiaTheme="minorEastAsia"/>
        </w:rPr>
      </w:pPr>
      <w:r>
        <w:rPr>
          <w:rFonts w:eastAsiaTheme="minorEastAsia"/>
        </w:rPr>
        <w:t>Risk categories and prognostic characteristics</w:t>
      </w:r>
    </w:p>
    <w:p w:rsidR="00670DB9" w:rsidRPr="00F53D1B" w:rsidRDefault="00670DB9" w:rsidP="008858FD">
      <w:pPr>
        <w:pStyle w:val="BodyTextnospacebefore"/>
      </w:pPr>
      <w:r>
        <w:t>A</w:t>
      </w:r>
      <w:r w:rsidRPr="00F53D1B">
        <w:t xml:space="preserve">n essential component of </w:t>
      </w:r>
      <w:r>
        <w:t>PAH</w:t>
      </w:r>
      <w:r w:rsidRPr="00F53D1B">
        <w:t xml:space="preserve"> diagnosis </w:t>
      </w:r>
      <w:r>
        <w:t xml:space="preserve">and treatment decisions </w:t>
      </w:r>
      <w:r w:rsidRPr="00F53D1B">
        <w:t xml:space="preserve">is the </w:t>
      </w:r>
      <w:r>
        <w:t>suite of</w:t>
      </w:r>
      <w:r w:rsidRPr="00F53D1B">
        <w:t xml:space="preserve"> baseline characteristics to provide a measure of risk </w:t>
      </w:r>
      <w:r>
        <w:t>of PAH disease deterioration or</w:t>
      </w:r>
      <w:r w:rsidRPr="00F53D1B">
        <w:t xml:space="preserve"> prognosis</w:t>
      </w:r>
      <w:r>
        <w:t>, and then for monitoring of response.</w:t>
      </w:r>
    </w:p>
    <w:p w:rsidR="00670DB9" w:rsidRDefault="00670DB9" w:rsidP="008858FD">
      <w:pPr>
        <w:pStyle w:val="BodyTextnospacebefore"/>
      </w:pPr>
      <w:r w:rsidRPr="00AE134B">
        <w:t>Current treatment recommendations are informed by considering patient risk factors based on their sympto</w:t>
      </w:r>
      <w:r>
        <w:t>ms and other clinical features – several different approaches are described in</w:t>
      </w:r>
      <w:r w:rsidR="007B0F54">
        <w:t xml:space="preserve"> </w:t>
      </w:r>
      <w:r w:rsidR="00CE16FA">
        <w:t>Table 1.10</w:t>
      </w:r>
      <w:r>
        <w:t xml:space="preserve">, referring to examples of recommended risk factor assessments in </w:t>
      </w:r>
      <w:r w:rsidR="00D63371">
        <w:t>Table 1.</w:t>
      </w:r>
      <w:r w:rsidR="00D63371">
        <w:rPr>
          <w:noProof/>
        </w:rPr>
        <w:t>11</w:t>
      </w:r>
      <w:r>
        <w:t xml:space="preserve">, </w:t>
      </w:r>
      <w:r w:rsidR="00D63371">
        <w:t>Table 1.</w:t>
      </w:r>
      <w:r w:rsidR="00D63371">
        <w:rPr>
          <w:noProof/>
        </w:rPr>
        <w:t>12</w:t>
      </w:r>
      <w:r>
        <w:t xml:space="preserve"> and </w:t>
      </w:r>
      <w:r w:rsidR="00D63371">
        <w:t>Figure 1.1</w:t>
      </w:r>
      <w:r w:rsidR="0043729C">
        <w:t>.</w:t>
      </w:r>
    </w:p>
    <w:p w:rsidR="00670DB9" w:rsidRPr="00054996" w:rsidRDefault="00670DB9" w:rsidP="00121658">
      <w:pPr>
        <w:tabs>
          <w:tab w:val="left" w:pos="3663"/>
        </w:tabs>
        <w:jc w:val="left"/>
      </w:pPr>
    </w:p>
    <w:p w:rsidR="00054996" w:rsidRDefault="00054996" w:rsidP="00121658">
      <w:pPr>
        <w:tabs>
          <w:tab w:val="left" w:pos="3663"/>
        </w:tabs>
        <w:jc w:val="left"/>
        <w:sectPr w:rsidR="00054996" w:rsidSect="00C978EB">
          <w:headerReference w:type="even" r:id="rId31"/>
          <w:headerReference w:type="default" r:id="rId32"/>
          <w:footerReference w:type="default" r:id="rId33"/>
          <w:headerReference w:type="first" r:id="rId34"/>
          <w:footerReference w:type="first" r:id="rId35"/>
          <w:footnotePr>
            <w:numFmt w:val="chicago"/>
          </w:footnotePr>
          <w:pgSz w:w="11906" w:h="16838"/>
          <w:pgMar w:top="1440" w:right="1440" w:bottom="1440" w:left="1440" w:header="708" w:footer="708" w:gutter="0"/>
          <w:cols w:space="708"/>
          <w:titlePg/>
          <w:docGrid w:linePitch="360"/>
        </w:sectPr>
      </w:pPr>
    </w:p>
    <w:p w:rsidR="00054996" w:rsidRDefault="00F75B8B" w:rsidP="00F75B8B">
      <w:pPr>
        <w:pStyle w:val="Caption"/>
        <w:jc w:val="left"/>
      </w:pPr>
      <w:bookmarkStart w:id="169" w:name="_Ref510795151"/>
      <w:bookmarkStart w:id="170" w:name="_Ref508896653"/>
      <w:bookmarkStart w:id="171" w:name="_Toc513107635"/>
      <w:r>
        <w:t>Table 1.</w:t>
      </w:r>
      <w:r w:rsidR="00D63371">
        <w:rPr>
          <w:noProof/>
        </w:rPr>
        <w:t>9</w:t>
      </w:r>
      <w:bookmarkEnd w:id="169"/>
      <w:r w:rsidRPr="00F75B8B">
        <w:t xml:space="preserve"> </w:t>
      </w:r>
      <w:r>
        <w:tab/>
        <w:t>Guideline diagnostic recommendations for PAH</w:t>
      </w:r>
      <w:bookmarkEnd w:id="170"/>
      <w:bookmarkEnd w:id="171"/>
    </w:p>
    <w:tbl>
      <w:tblPr>
        <w:tblStyle w:val="TableGrid"/>
        <w:tblW w:w="5000" w:type="pct"/>
        <w:shd w:val="clear" w:color="auto" w:fill="FFFFFF" w:themeFill="background1"/>
        <w:tblLayout w:type="fixed"/>
        <w:tblLook w:val="04A0" w:firstRow="1" w:lastRow="0" w:firstColumn="1" w:lastColumn="0" w:noHBand="0" w:noVBand="1"/>
        <w:tblCaption w:val="Guideline diagnostic recommendations for PAH"/>
      </w:tblPr>
      <w:tblGrid>
        <w:gridCol w:w="1849"/>
        <w:gridCol w:w="12119"/>
      </w:tblGrid>
      <w:tr w:rsidR="00054996" w:rsidRPr="00FF7A00" w:rsidTr="00FF7A00">
        <w:trPr>
          <w:cnfStyle w:val="100000000000" w:firstRow="1" w:lastRow="0" w:firstColumn="0" w:lastColumn="0" w:oddVBand="0" w:evenVBand="0" w:oddHBand="0" w:evenHBand="0" w:firstRowFirstColumn="0" w:firstRowLastColumn="0" w:lastRowFirstColumn="0" w:lastRowLastColumn="0"/>
        </w:trPr>
        <w:tc>
          <w:tcPr>
            <w:tcW w:w="662" w:type="pct"/>
            <w:shd w:val="clear" w:color="auto" w:fill="BFBFBF" w:themeFill="background1" w:themeFillShade="BF"/>
          </w:tcPr>
          <w:p w:rsidR="00054996" w:rsidRPr="00FF7A00" w:rsidRDefault="00054996" w:rsidP="00FF7A00">
            <w:pPr>
              <w:spacing w:before="0" w:line="240" w:lineRule="auto"/>
              <w:ind w:left="147" w:right="57"/>
              <w:jc w:val="left"/>
              <w:rPr>
                <w:rFonts w:ascii="Arial" w:hAnsi="Arial" w:cs="Arial"/>
                <w:b/>
                <w:sz w:val="20"/>
                <w:szCs w:val="20"/>
              </w:rPr>
            </w:pPr>
            <w:r w:rsidRPr="00FF7A00">
              <w:rPr>
                <w:rFonts w:ascii="Arial" w:hAnsi="Arial" w:cs="Arial"/>
                <w:b/>
                <w:sz w:val="20"/>
                <w:szCs w:val="20"/>
              </w:rPr>
              <w:t>Issue</w:t>
            </w:r>
          </w:p>
        </w:tc>
        <w:tc>
          <w:tcPr>
            <w:tcW w:w="4338" w:type="pct"/>
            <w:shd w:val="clear" w:color="auto" w:fill="BFBFBF" w:themeFill="background1" w:themeFillShade="BF"/>
          </w:tcPr>
          <w:p w:rsidR="00054996" w:rsidRPr="00FF7A00" w:rsidRDefault="00054996" w:rsidP="00FF7A00">
            <w:pPr>
              <w:spacing w:before="0" w:line="240" w:lineRule="auto"/>
              <w:ind w:left="141" w:right="57"/>
              <w:jc w:val="left"/>
              <w:rPr>
                <w:rFonts w:ascii="Arial" w:hAnsi="Arial" w:cs="Arial"/>
                <w:b/>
                <w:sz w:val="20"/>
                <w:szCs w:val="20"/>
              </w:rPr>
            </w:pPr>
            <w:r w:rsidRPr="00FF7A00">
              <w:rPr>
                <w:rFonts w:ascii="Arial" w:hAnsi="Arial" w:cs="Arial"/>
                <w:b/>
                <w:sz w:val="20"/>
                <w:szCs w:val="20"/>
              </w:rPr>
              <w:t>Details</w:t>
            </w:r>
          </w:p>
        </w:tc>
      </w:tr>
      <w:tr w:rsidR="00054996" w:rsidRPr="00FF7A00" w:rsidTr="00FF7A00">
        <w:tc>
          <w:tcPr>
            <w:tcW w:w="5000" w:type="pct"/>
            <w:gridSpan w:val="2"/>
            <w:shd w:val="clear" w:color="auto" w:fill="FFFFFF" w:themeFill="background1"/>
          </w:tcPr>
          <w:p w:rsidR="00054996" w:rsidRPr="00FF7A00" w:rsidRDefault="00054996" w:rsidP="00FF7A00">
            <w:pPr>
              <w:spacing w:before="0" w:line="240" w:lineRule="auto"/>
              <w:ind w:left="141" w:right="57"/>
              <w:jc w:val="left"/>
              <w:rPr>
                <w:rFonts w:ascii="Arial" w:hAnsi="Arial" w:cs="Arial"/>
                <w:b/>
                <w:sz w:val="20"/>
                <w:szCs w:val="20"/>
              </w:rPr>
            </w:pPr>
            <w:r w:rsidRPr="00FF7A00">
              <w:rPr>
                <w:rFonts w:ascii="Arial" w:hAnsi="Arial" w:cs="Arial"/>
                <w:b/>
                <w:sz w:val="20"/>
                <w:szCs w:val="20"/>
              </w:rPr>
              <w:t>Right Heart Catheterisation (RHC)</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Haemodynamic definition of PAH</w:t>
            </w:r>
          </w:p>
        </w:tc>
        <w:tc>
          <w:tcPr>
            <w:tcW w:w="4338" w:type="pct"/>
            <w:shd w:val="clear" w:color="auto" w:fill="FFFFFF" w:themeFill="background1"/>
          </w:tcPr>
          <w:p w:rsidR="00054996" w:rsidRPr="00FF7A00" w:rsidRDefault="00054996" w:rsidP="00FF7A00">
            <w:pPr>
              <w:spacing w:before="0" w:line="240" w:lineRule="auto"/>
              <w:ind w:left="141" w:right="57"/>
              <w:jc w:val="left"/>
              <w:rPr>
                <w:rFonts w:ascii="Arial" w:hAnsi="Arial" w:cs="Arial"/>
                <w:sz w:val="20"/>
                <w:szCs w:val="20"/>
              </w:rPr>
            </w:pPr>
            <w:r w:rsidRPr="00FF7A00">
              <w:rPr>
                <w:rFonts w:ascii="Arial" w:hAnsi="Arial" w:cs="Arial"/>
                <w:sz w:val="20"/>
                <w:szCs w:val="20"/>
              </w:rPr>
              <w:t xml:space="preserve">Pulmonary </w:t>
            </w:r>
            <w:r w:rsidR="00C40AC4" w:rsidRPr="00FF7A00">
              <w:rPr>
                <w:rFonts w:ascii="Arial" w:hAnsi="Arial" w:cs="Arial"/>
                <w:sz w:val="20"/>
                <w:szCs w:val="20"/>
              </w:rPr>
              <w:t>hypertension</w:t>
            </w:r>
            <w:r w:rsidRPr="00FF7A00">
              <w:rPr>
                <w:rFonts w:ascii="Arial" w:hAnsi="Arial" w:cs="Arial"/>
                <w:sz w:val="20"/>
                <w:szCs w:val="20"/>
              </w:rPr>
              <w:t xml:space="preserve"> is defined as an increase in mean pulmonary artery pressure (</w:t>
            </w:r>
            <w:proofErr w:type="spellStart"/>
            <w:r w:rsidRPr="00FF7A00">
              <w:rPr>
                <w:rFonts w:ascii="Arial" w:hAnsi="Arial" w:cs="Arial"/>
                <w:sz w:val="20"/>
                <w:szCs w:val="20"/>
              </w:rPr>
              <w:t>mPAP</w:t>
            </w:r>
            <w:proofErr w:type="spellEnd"/>
            <w:r w:rsidRPr="00FF7A00">
              <w:rPr>
                <w:rFonts w:ascii="Arial" w:hAnsi="Arial" w:cs="Arial"/>
                <w:sz w:val="20"/>
                <w:szCs w:val="20"/>
              </w:rPr>
              <w:t xml:space="preserve">) ≥25 mmHg at rest as assessed by right heart catheterisation (RHC). This is in comparison to a normal </w:t>
            </w:r>
            <w:proofErr w:type="spellStart"/>
            <w:r w:rsidRPr="00FF7A00">
              <w:rPr>
                <w:rFonts w:ascii="Arial" w:hAnsi="Arial" w:cs="Arial"/>
                <w:sz w:val="20"/>
                <w:szCs w:val="20"/>
              </w:rPr>
              <w:t>mPAP</w:t>
            </w:r>
            <w:proofErr w:type="spellEnd"/>
            <w:r w:rsidRPr="00FF7A00">
              <w:rPr>
                <w:rFonts w:ascii="Arial" w:hAnsi="Arial" w:cs="Arial"/>
                <w:sz w:val="20"/>
                <w:szCs w:val="20"/>
              </w:rPr>
              <w:t>, which at rest is 14±3 mmHg with an upper limit of normal of approximately 20mmHg</w:t>
            </w:r>
            <w:r w:rsidR="009C556B" w:rsidRPr="009C556B">
              <w:rPr>
                <w:rFonts w:ascii="Arial" w:hAnsi="Arial" w:cs="Arial"/>
                <w:noProof/>
                <w:sz w:val="20"/>
                <w:szCs w:val="20"/>
                <w:vertAlign w:val="superscript"/>
              </w:rPr>
              <w:t>21, 24</w:t>
            </w:r>
            <w:r w:rsidRPr="00FF7A00">
              <w:rPr>
                <w:rFonts w:ascii="Arial" w:hAnsi="Arial" w:cs="Arial"/>
                <w:sz w:val="20"/>
                <w:szCs w:val="20"/>
              </w:rPr>
              <w:t>.</w:t>
            </w:r>
          </w:p>
          <w:p w:rsidR="00054996" w:rsidRPr="00FF7A00" w:rsidRDefault="00054996" w:rsidP="009C556B">
            <w:pPr>
              <w:spacing w:before="0" w:line="240" w:lineRule="auto"/>
              <w:ind w:left="141" w:right="57"/>
              <w:jc w:val="left"/>
              <w:rPr>
                <w:rFonts w:ascii="Arial" w:hAnsi="Arial" w:cs="Arial"/>
                <w:i/>
                <w:sz w:val="20"/>
                <w:szCs w:val="20"/>
              </w:rPr>
            </w:pPr>
            <w:r w:rsidRPr="00FF7A00">
              <w:rPr>
                <w:rFonts w:ascii="Arial" w:hAnsi="Arial" w:cs="Arial"/>
                <w:sz w:val="20"/>
                <w:szCs w:val="20"/>
              </w:rPr>
              <w:t>The patient should be confirmed to have normal pulmonary artery wedge pressure (PAWP) ≤15mmHg (as an indication of left ventricular pressure) and a pulmonary vascular resistance of &gt;3 Wood units in the absence of other causes of precapillary PH such as PH due to lung diseases or CTEPH. In children, the definition is the same except pulmonary vascular resistance (PVR) should be &gt;2 Wood units</w:t>
            </w:r>
            <w:r w:rsidR="009C556B" w:rsidRPr="009C556B">
              <w:rPr>
                <w:rFonts w:ascii="Arial" w:hAnsi="Arial" w:cs="Arial"/>
                <w:noProof/>
                <w:sz w:val="20"/>
                <w:szCs w:val="20"/>
                <w:vertAlign w:val="superscript"/>
              </w:rPr>
              <w:t>22</w:t>
            </w:r>
            <w:r w:rsidR="00433046">
              <w:rPr>
                <w:rFonts w:ascii="Arial" w:hAnsi="Arial" w:cs="Arial"/>
                <w:sz w:val="20"/>
                <w:szCs w:val="20"/>
              </w:rPr>
              <w:t>.</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Contraindications for RHC</w:t>
            </w:r>
          </w:p>
        </w:tc>
        <w:tc>
          <w:tcPr>
            <w:tcW w:w="4338" w:type="pct"/>
            <w:shd w:val="clear" w:color="auto" w:fill="FFFFFF" w:themeFill="background1"/>
          </w:tcPr>
          <w:p w:rsidR="00054996" w:rsidRPr="00FF7A00" w:rsidRDefault="00054996" w:rsidP="00FF7A00">
            <w:pPr>
              <w:spacing w:before="0" w:line="240" w:lineRule="auto"/>
              <w:ind w:left="141" w:right="57"/>
              <w:jc w:val="left"/>
              <w:rPr>
                <w:rFonts w:ascii="Arial" w:hAnsi="Arial" w:cs="Arial"/>
                <w:i/>
                <w:sz w:val="20"/>
                <w:szCs w:val="20"/>
              </w:rPr>
            </w:pPr>
          </w:p>
          <w:tbl>
            <w:tblPr>
              <w:tblStyle w:val="TableGrid"/>
              <w:tblW w:w="0" w:type="auto"/>
              <w:tblLayout w:type="fixed"/>
              <w:tblLook w:val="04A0" w:firstRow="1" w:lastRow="0" w:firstColumn="1" w:lastColumn="0" w:noHBand="0" w:noVBand="1"/>
              <w:tblCaption w:val="Contraindications for RHC"/>
            </w:tblPr>
            <w:tblGrid>
              <w:gridCol w:w="2273"/>
              <w:gridCol w:w="6743"/>
            </w:tblGrid>
            <w:tr w:rsidR="00054996" w:rsidRPr="00FF7A00" w:rsidTr="00054996">
              <w:trPr>
                <w:cnfStyle w:val="100000000000" w:firstRow="1" w:lastRow="0" w:firstColumn="0" w:lastColumn="0" w:oddVBand="0" w:evenVBand="0" w:oddHBand="0" w:evenHBand="0" w:firstRowFirstColumn="0" w:firstRowLastColumn="0" w:lastRowFirstColumn="0" w:lastRowLastColumn="0"/>
              </w:trPr>
              <w:tc>
                <w:tcPr>
                  <w:tcW w:w="2273" w:type="dxa"/>
                  <w:shd w:val="clear" w:color="auto" w:fill="FFFFFF" w:themeFill="background1"/>
                </w:tcPr>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Absolute</w:t>
                  </w:r>
                  <w:r w:rsidR="007A1023" w:rsidRPr="00FF7A00">
                    <w:rPr>
                      <w:rFonts w:ascii="Arial" w:eastAsia="Times New Roman" w:hAnsi="Arial" w:cs="Arial"/>
                      <w:sz w:val="20"/>
                      <w:szCs w:val="20"/>
                      <w:lang w:eastAsia="en-AU"/>
                    </w:rPr>
                    <w:t xml:space="preserve"> contraindications</w:t>
                  </w:r>
                  <w:r w:rsidRPr="00FF7A00">
                    <w:rPr>
                      <w:rFonts w:ascii="Arial" w:eastAsia="Times New Roman" w:hAnsi="Arial" w:cs="Arial"/>
                      <w:sz w:val="20"/>
                      <w:szCs w:val="20"/>
                      <w:lang w:eastAsia="en-AU"/>
                    </w:rPr>
                    <w:t xml:space="preserve">: </w:t>
                  </w:r>
                </w:p>
              </w:tc>
              <w:tc>
                <w:tcPr>
                  <w:tcW w:w="6743" w:type="dxa"/>
                  <w:shd w:val="clear" w:color="auto" w:fill="FFFFFF" w:themeFill="background1"/>
                </w:tcPr>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Mechanical tricuspid or pulmonic valve</w:t>
                  </w:r>
                </w:p>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Right heart masses (thrombus or tumour)</w:t>
                  </w:r>
                </w:p>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Right-sided endocarditis</w:t>
                  </w:r>
                </w:p>
              </w:tc>
            </w:tr>
            <w:tr w:rsidR="00054996" w:rsidRPr="00FF7A00" w:rsidTr="00054996">
              <w:tc>
                <w:tcPr>
                  <w:tcW w:w="2273" w:type="dxa"/>
                </w:tcPr>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Relative</w:t>
                  </w:r>
                  <w:r w:rsidR="007A1023" w:rsidRPr="00FF7A00">
                    <w:rPr>
                      <w:rFonts w:ascii="Arial" w:eastAsia="Times New Roman" w:hAnsi="Arial" w:cs="Arial"/>
                      <w:sz w:val="20"/>
                      <w:szCs w:val="20"/>
                      <w:lang w:eastAsia="en-AU"/>
                    </w:rPr>
                    <w:t xml:space="preserve"> contraindications</w:t>
                  </w:r>
                  <w:r w:rsidRPr="00FF7A00">
                    <w:rPr>
                      <w:rFonts w:ascii="Arial" w:eastAsia="Times New Roman" w:hAnsi="Arial" w:cs="Arial"/>
                      <w:sz w:val="20"/>
                      <w:szCs w:val="20"/>
                      <w:lang w:eastAsia="en-AU"/>
                    </w:rPr>
                    <w:t>:</w:t>
                  </w:r>
                </w:p>
              </w:tc>
              <w:tc>
                <w:tcPr>
                  <w:tcW w:w="6743" w:type="dxa"/>
                </w:tcPr>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Coagulopathy</w:t>
                  </w:r>
                </w:p>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Pacemaker</w:t>
                  </w:r>
                </w:p>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proofErr w:type="spellStart"/>
                  <w:r w:rsidRPr="00FF7A00">
                    <w:rPr>
                      <w:rFonts w:ascii="Arial" w:eastAsia="Times New Roman" w:hAnsi="Arial" w:cs="Arial"/>
                      <w:sz w:val="20"/>
                      <w:szCs w:val="20"/>
                      <w:lang w:eastAsia="en-AU"/>
                    </w:rPr>
                    <w:t>Bioprosthetic</w:t>
                  </w:r>
                  <w:proofErr w:type="spellEnd"/>
                  <w:r w:rsidRPr="00FF7A00">
                    <w:rPr>
                      <w:rFonts w:ascii="Arial" w:eastAsia="Times New Roman" w:hAnsi="Arial" w:cs="Arial"/>
                      <w:sz w:val="20"/>
                      <w:szCs w:val="20"/>
                      <w:lang w:eastAsia="en-AU"/>
                    </w:rPr>
                    <w:t xml:space="preserve"> tricuspid or pulmonic valve</w:t>
                  </w:r>
                </w:p>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Left bundle branch block</w:t>
                  </w:r>
                </w:p>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Arrhythmias</w:t>
                  </w:r>
                </w:p>
                <w:p w:rsidR="00054996" w:rsidRPr="00FF7A00" w:rsidRDefault="00054996" w:rsidP="00FF7A00">
                  <w:pPr>
                    <w:keepNext/>
                    <w:spacing w:before="0" w:line="240" w:lineRule="auto"/>
                    <w:ind w:left="141" w:right="57"/>
                    <w:jc w:val="left"/>
                    <w:rPr>
                      <w:rFonts w:ascii="Arial" w:eastAsia="Times New Roman" w:hAnsi="Arial" w:cs="Arial"/>
                      <w:sz w:val="20"/>
                      <w:szCs w:val="20"/>
                      <w:lang w:eastAsia="en-AU"/>
                    </w:rPr>
                  </w:pPr>
                  <w:r w:rsidRPr="00FF7A00">
                    <w:rPr>
                      <w:rFonts w:ascii="Arial" w:eastAsia="Times New Roman" w:hAnsi="Arial" w:cs="Arial"/>
                      <w:sz w:val="20"/>
                      <w:szCs w:val="20"/>
                      <w:lang w:eastAsia="en-AU"/>
                    </w:rPr>
                    <w:t>Skin site infections</w:t>
                  </w:r>
                </w:p>
              </w:tc>
            </w:tr>
          </w:tbl>
          <w:p w:rsidR="00054996" w:rsidRPr="00FF7A00" w:rsidRDefault="00054996" w:rsidP="009C556B">
            <w:pPr>
              <w:spacing w:before="0" w:after="200" w:line="240" w:lineRule="auto"/>
              <w:ind w:left="141" w:right="57"/>
              <w:contextualSpacing/>
              <w:jc w:val="left"/>
              <w:rPr>
                <w:rFonts w:ascii="Arial" w:eastAsiaTheme="minorEastAsia" w:hAnsi="Arial" w:cs="Arial"/>
                <w:sz w:val="20"/>
                <w:szCs w:val="20"/>
                <w:lang w:eastAsia="en-AU"/>
              </w:rPr>
            </w:pPr>
            <w:r w:rsidRPr="00FF7A00">
              <w:rPr>
                <w:rFonts w:ascii="Arial" w:eastAsiaTheme="minorEastAsia" w:hAnsi="Arial" w:cs="Arial"/>
                <w:sz w:val="20"/>
                <w:szCs w:val="20"/>
                <w:lang w:eastAsia="en-AU"/>
              </w:rPr>
              <w:t xml:space="preserve">Source: </w:t>
            </w:r>
            <w:proofErr w:type="spellStart"/>
            <w:r w:rsidRPr="00FF7A00">
              <w:rPr>
                <w:rFonts w:ascii="Arial" w:eastAsiaTheme="minorEastAsia" w:hAnsi="Arial" w:cs="Arial"/>
                <w:sz w:val="20"/>
                <w:szCs w:val="20"/>
                <w:lang w:eastAsia="en-AU"/>
              </w:rPr>
              <w:t>Rosenkranz</w:t>
            </w:r>
            <w:proofErr w:type="spellEnd"/>
            <w:r w:rsidRPr="00FF7A00">
              <w:rPr>
                <w:rFonts w:ascii="Arial" w:eastAsiaTheme="minorEastAsia" w:hAnsi="Arial" w:cs="Arial"/>
                <w:i/>
                <w:sz w:val="20"/>
                <w:szCs w:val="20"/>
                <w:lang w:eastAsia="en-AU"/>
              </w:rPr>
              <w:t xml:space="preserve"> et al</w:t>
            </w:r>
            <w:r w:rsidRPr="00FF7A00">
              <w:rPr>
                <w:rFonts w:ascii="Arial" w:eastAsiaTheme="minorEastAsia" w:hAnsi="Arial" w:cs="Arial"/>
                <w:sz w:val="20"/>
                <w:szCs w:val="20"/>
                <w:lang w:eastAsia="en-AU"/>
              </w:rPr>
              <w:t xml:space="preserve"> 2015</w:t>
            </w:r>
            <w:r w:rsidR="009C556B" w:rsidRPr="009C556B">
              <w:rPr>
                <w:rFonts w:ascii="Arial" w:eastAsiaTheme="minorEastAsia" w:hAnsi="Arial" w:cs="Arial"/>
                <w:noProof/>
                <w:sz w:val="20"/>
                <w:szCs w:val="20"/>
                <w:vertAlign w:val="superscript"/>
                <w:lang w:eastAsia="en-AU"/>
              </w:rPr>
              <w:t>31</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Parameters for RHC</w:t>
            </w:r>
          </w:p>
        </w:tc>
        <w:tc>
          <w:tcPr>
            <w:tcW w:w="4338" w:type="pct"/>
            <w:shd w:val="clear" w:color="auto" w:fill="FFFFFF" w:themeFill="background1"/>
          </w:tcPr>
          <w:p w:rsidR="00054996" w:rsidRPr="00FF7A00" w:rsidRDefault="00054996" w:rsidP="009C556B">
            <w:pPr>
              <w:spacing w:before="0" w:line="240" w:lineRule="auto"/>
              <w:ind w:left="141" w:right="57"/>
              <w:jc w:val="left"/>
              <w:rPr>
                <w:rFonts w:ascii="Arial" w:hAnsi="Arial" w:cs="Arial"/>
                <w:sz w:val="20"/>
                <w:szCs w:val="20"/>
              </w:rPr>
            </w:pPr>
            <w:r w:rsidRPr="00FF7A00">
              <w:rPr>
                <w:rFonts w:ascii="Arial" w:hAnsi="Arial" w:cs="Arial"/>
                <w:sz w:val="20"/>
                <w:szCs w:val="20"/>
              </w:rPr>
              <w:t xml:space="preserve">For diagnosis of PAH, RHC should include measurement of cardiac output, mixed venous oxygen saturation (SvO2), PAP, PAWP, right atrial pressure (RAP) and right ventricular pressure. Parameters calculated from these measurements include the </w:t>
            </w:r>
            <w:proofErr w:type="spellStart"/>
            <w:r w:rsidRPr="00FF7A00">
              <w:rPr>
                <w:rFonts w:ascii="Arial" w:hAnsi="Arial" w:cs="Arial"/>
                <w:sz w:val="20"/>
                <w:szCs w:val="20"/>
              </w:rPr>
              <w:t>transpulmonary</w:t>
            </w:r>
            <w:proofErr w:type="spellEnd"/>
            <w:r w:rsidRPr="00FF7A00">
              <w:rPr>
                <w:rFonts w:ascii="Arial" w:hAnsi="Arial" w:cs="Arial"/>
                <w:sz w:val="20"/>
                <w:szCs w:val="20"/>
              </w:rPr>
              <w:t xml:space="preserve"> pressure gradient, diastolic pressure gradient,</w:t>
            </w:r>
            <w:r w:rsidR="00631656" w:rsidRPr="00FF7A00">
              <w:rPr>
                <w:rFonts w:ascii="Arial" w:hAnsi="Arial" w:cs="Arial"/>
                <w:sz w:val="20"/>
                <w:szCs w:val="20"/>
              </w:rPr>
              <w:t xml:space="preserve"> pulmonary vascular resistance</w:t>
            </w:r>
            <w:r w:rsidRPr="00FF7A00">
              <w:rPr>
                <w:rFonts w:ascii="Arial" w:hAnsi="Arial" w:cs="Arial"/>
                <w:sz w:val="20"/>
                <w:szCs w:val="20"/>
              </w:rPr>
              <w:t xml:space="preserve"> </w:t>
            </w:r>
            <w:r w:rsidR="00631656" w:rsidRPr="00FF7A00">
              <w:rPr>
                <w:rFonts w:ascii="Arial" w:hAnsi="Arial" w:cs="Arial"/>
                <w:sz w:val="20"/>
                <w:szCs w:val="20"/>
              </w:rPr>
              <w:t>(</w:t>
            </w:r>
            <w:r w:rsidRPr="00FF7A00">
              <w:rPr>
                <w:rFonts w:ascii="Arial" w:hAnsi="Arial" w:cs="Arial"/>
                <w:sz w:val="20"/>
                <w:szCs w:val="20"/>
              </w:rPr>
              <w:t>PVR</w:t>
            </w:r>
            <w:r w:rsidR="00631656" w:rsidRPr="00FF7A00">
              <w:rPr>
                <w:rFonts w:ascii="Arial" w:hAnsi="Arial" w:cs="Arial"/>
                <w:sz w:val="20"/>
                <w:szCs w:val="20"/>
              </w:rPr>
              <w:t>)</w:t>
            </w:r>
            <w:r w:rsidRPr="00FF7A00">
              <w:rPr>
                <w:rFonts w:ascii="Arial" w:hAnsi="Arial" w:cs="Arial"/>
                <w:sz w:val="20"/>
                <w:szCs w:val="20"/>
              </w:rPr>
              <w:t xml:space="preserve"> and cardiac index</w:t>
            </w:r>
            <w:r w:rsidR="009C556B" w:rsidRPr="009C556B">
              <w:rPr>
                <w:rFonts w:ascii="Arial" w:hAnsi="Arial" w:cs="Arial"/>
                <w:noProof/>
                <w:sz w:val="20"/>
                <w:szCs w:val="20"/>
                <w:vertAlign w:val="superscript"/>
              </w:rPr>
              <w:t>24, 31</w:t>
            </w:r>
            <w:r w:rsidRPr="00FF7A00">
              <w:rPr>
                <w:rFonts w:ascii="Arial" w:hAnsi="Arial" w:cs="Arial"/>
                <w:sz w:val="20"/>
                <w:szCs w:val="20"/>
              </w:rPr>
              <w:t>.</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Safety of RHC</w:t>
            </w:r>
          </w:p>
        </w:tc>
        <w:tc>
          <w:tcPr>
            <w:tcW w:w="4338" w:type="pct"/>
            <w:shd w:val="clear" w:color="auto" w:fill="FFFFFF" w:themeFill="background1"/>
          </w:tcPr>
          <w:p w:rsidR="00054996" w:rsidRPr="00FF7A00" w:rsidRDefault="00054996" w:rsidP="009C556B">
            <w:pPr>
              <w:spacing w:before="0" w:line="240" w:lineRule="auto"/>
              <w:ind w:left="141" w:right="57"/>
              <w:jc w:val="left"/>
              <w:rPr>
                <w:rFonts w:ascii="Arial" w:hAnsi="Arial" w:cs="Arial"/>
                <w:sz w:val="20"/>
                <w:szCs w:val="20"/>
              </w:rPr>
            </w:pPr>
            <w:r w:rsidRPr="00FF7A00">
              <w:rPr>
                <w:rFonts w:ascii="Arial" w:hAnsi="Arial" w:cs="Arial"/>
                <w:sz w:val="20"/>
                <w:szCs w:val="20"/>
              </w:rPr>
              <w:t>The ESC/ERS guideline</w:t>
            </w:r>
            <w:r w:rsidR="009C556B" w:rsidRPr="00FF7A00">
              <w:rPr>
                <w:rFonts w:ascii="Arial" w:hAnsi="Arial" w:cs="Arial"/>
                <w:noProof/>
                <w:sz w:val="20"/>
                <w:szCs w:val="20"/>
                <w:vertAlign w:val="superscript"/>
              </w:rPr>
              <w:t>8</w:t>
            </w:r>
            <w:r w:rsidRPr="00FF7A00">
              <w:rPr>
                <w:rFonts w:ascii="Arial" w:hAnsi="Arial" w:cs="Arial"/>
                <w:sz w:val="20"/>
                <w:szCs w:val="20"/>
              </w:rPr>
              <w:t xml:space="preserve"> observes that</w:t>
            </w:r>
            <w:r w:rsidR="00C40AC4" w:rsidRPr="00FF7A00">
              <w:rPr>
                <w:rFonts w:ascii="Arial" w:hAnsi="Arial" w:cs="Arial"/>
                <w:sz w:val="20"/>
                <w:szCs w:val="20"/>
              </w:rPr>
              <w:t xml:space="preserve"> </w:t>
            </w:r>
            <w:r w:rsidRPr="00FF7A00">
              <w:rPr>
                <w:rFonts w:ascii="Arial" w:hAnsi="Arial" w:cs="Arial"/>
                <w:i/>
                <w:sz w:val="20"/>
                <w:szCs w:val="20"/>
              </w:rPr>
              <w:t xml:space="preserve">“when performed at expert centres, [RHC] should have low morbidity (1.1%) and mortality (0.055%) rates.” </w:t>
            </w:r>
            <w:r w:rsidRPr="00FF7A00">
              <w:rPr>
                <w:rFonts w:ascii="Arial" w:hAnsi="Arial" w:cs="Arial"/>
                <w:sz w:val="20"/>
                <w:szCs w:val="20"/>
              </w:rPr>
              <w:t>On the other hand, with inexpert administration, balloon inflation can result in ruptured pulmonary arteries</w:t>
            </w:r>
            <w:r w:rsidR="009C556B" w:rsidRPr="009C556B">
              <w:rPr>
                <w:rFonts w:ascii="Arial" w:hAnsi="Arial" w:cs="Arial"/>
                <w:noProof/>
                <w:sz w:val="20"/>
                <w:szCs w:val="20"/>
                <w:vertAlign w:val="superscript"/>
              </w:rPr>
              <w:t>24</w:t>
            </w:r>
            <w:r w:rsidRPr="00FF7A00">
              <w:rPr>
                <w:rFonts w:ascii="Arial" w:hAnsi="Arial" w:cs="Arial"/>
                <w:sz w:val="20"/>
                <w:szCs w:val="20"/>
              </w:rPr>
              <w:t xml:space="preserve">. </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RHC in children</w:t>
            </w:r>
          </w:p>
        </w:tc>
        <w:tc>
          <w:tcPr>
            <w:tcW w:w="4338" w:type="pct"/>
            <w:shd w:val="clear" w:color="auto" w:fill="FFFFFF" w:themeFill="background1"/>
          </w:tcPr>
          <w:p w:rsidR="00054996" w:rsidRPr="00FF7A00" w:rsidRDefault="00054996" w:rsidP="00FF7A00">
            <w:pPr>
              <w:spacing w:before="0" w:line="240" w:lineRule="auto"/>
              <w:ind w:left="141" w:right="57"/>
              <w:jc w:val="left"/>
              <w:rPr>
                <w:rFonts w:ascii="Arial" w:hAnsi="Arial" w:cs="Arial"/>
                <w:sz w:val="20"/>
                <w:szCs w:val="20"/>
              </w:rPr>
            </w:pPr>
            <w:r w:rsidRPr="00FF7A00">
              <w:rPr>
                <w:rFonts w:ascii="Arial" w:hAnsi="Arial" w:cs="Arial"/>
                <w:sz w:val="20"/>
                <w:szCs w:val="20"/>
              </w:rPr>
              <w:t>RHC requires general anaesthesia or conscious sedation in most children under 15 years</w:t>
            </w:r>
            <w:r w:rsidR="009C556B" w:rsidRPr="009C556B">
              <w:rPr>
                <w:rFonts w:ascii="Arial" w:hAnsi="Arial" w:cs="Arial"/>
                <w:noProof/>
                <w:sz w:val="20"/>
                <w:szCs w:val="20"/>
                <w:vertAlign w:val="superscript"/>
              </w:rPr>
              <w:t>22</w:t>
            </w:r>
            <w:r w:rsidRPr="00FF7A00">
              <w:rPr>
                <w:rFonts w:ascii="Arial" w:hAnsi="Arial" w:cs="Arial"/>
                <w:sz w:val="20"/>
                <w:szCs w:val="20"/>
              </w:rPr>
              <w:t xml:space="preserve">. </w:t>
            </w:r>
          </w:p>
          <w:p w:rsidR="00364153" w:rsidRPr="00FF7A00" w:rsidRDefault="00364153" w:rsidP="009C556B">
            <w:pPr>
              <w:spacing w:before="0" w:line="240" w:lineRule="auto"/>
              <w:ind w:left="141" w:right="57"/>
              <w:jc w:val="left"/>
              <w:rPr>
                <w:rFonts w:ascii="Arial" w:hAnsi="Arial" w:cs="Arial"/>
                <w:i/>
                <w:sz w:val="20"/>
                <w:szCs w:val="20"/>
              </w:rPr>
            </w:pPr>
            <w:r w:rsidRPr="00FF7A00">
              <w:rPr>
                <w:rFonts w:ascii="Arial" w:hAnsi="Arial" w:cs="Arial"/>
                <w:i/>
                <w:sz w:val="20"/>
                <w:szCs w:val="20"/>
              </w:rPr>
              <w:t>[S]</w:t>
            </w:r>
            <w:proofErr w:type="spellStart"/>
            <w:r w:rsidRPr="00FF7A00">
              <w:rPr>
                <w:rFonts w:ascii="Arial" w:hAnsi="Arial" w:cs="Arial"/>
                <w:i/>
                <w:sz w:val="20"/>
                <w:szCs w:val="20"/>
              </w:rPr>
              <w:t>erial</w:t>
            </w:r>
            <w:proofErr w:type="spellEnd"/>
            <w:r w:rsidRPr="00FF7A00">
              <w:rPr>
                <w:rFonts w:ascii="Arial" w:hAnsi="Arial" w:cs="Arial"/>
                <w:i/>
                <w:sz w:val="20"/>
                <w:szCs w:val="20"/>
              </w:rPr>
              <w:t xml:space="preserve"> echocardiography and serial RHC are […] indicated as they are in adults to monitor initial response and potentially on clinical worsening to look for evidence of right heart deterioration</w:t>
            </w:r>
            <w:r w:rsidR="009C556B" w:rsidRPr="009C556B">
              <w:rPr>
                <w:rFonts w:ascii="Arial" w:hAnsi="Arial" w:cs="Arial"/>
                <w:i/>
                <w:noProof/>
                <w:sz w:val="20"/>
                <w:szCs w:val="20"/>
                <w:vertAlign w:val="superscript"/>
              </w:rPr>
              <w:t>22</w:t>
            </w:r>
            <w:r w:rsidR="00433046">
              <w:rPr>
                <w:rFonts w:ascii="Arial" w:hAnsi="Arial" w:cs="Arial"/>
                <w:i/>
                <w:sz w:val="20"/>
                <w:szCs w:val="20"/>
              </w:rPr>
              <w:t>.</w:t>
            </w:r>
          </w:p>
        </w:tc>
      </w:tr>
      <w:tr w:rsidR="00054996" w:rsidRPr="00FF7A00" w:rsidTr="00FF7A00">
        <w:tc>
          <w:tcPr>
            <w:tcW w:w="5000" w:type="pct"/>
            <w:gridSpan w:val="2"/>
            <w:shd w:val="clear" w:color="auto" w:fill="FFFFFF" w:themeFill="background1"/>
          </w:tcPr>
          <w:p w:rsidR="00054996" w:rsidRPr="00FF7A00" w:rsidRDefault="00054996" w:rsidP="00FF7A00">
            <w:pPr>
              <w:spacing w:before="0" w:line="240" w:lineRule="auto"/>
              <w:ind w:left="141" w:right="57"/>
              <w:jc w:val="left"/>
              <w:rPr>
                <w:rFonts w:ascii="Arial" w:hAnsi="Arial" w:cs="Arial"/>
                <w:b/>
                <w:sz w:val="20"/>
                <w:szCs w:val="20"/>
              </w:rPr>
            </w:pPr>
            <w:r w:rsidRPr="00FF7A00">
              <w:rPr>
                <w:rFonts w:ascii="Arial" w:hAnsi="Arial" w:cs="Arial"/>
                <w:b/>
                <w:sz w:val="20"/>
                <w:szCs w:val="20"/>
              </w:rPr>
              <w:t>Echocardiography</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Methodology/ equipment</w:t>
            </w:r>
          </w:p>
        </w:tc>
        <w:tc>
          <w:tcPr>
            <w:tcW w:w="4338" w:type="pct"/>
            <w:shd w:val="clear" w:color="auto" w:fill="FFFFFF" w:themeFill="background1"/>
          </w:tcPr>
          <w:p w:rsidR="00054996" w:rsidRPr="00FF7A00" w:rsidRDefault="00054996" w:rsidP="009C556B">
            <w:pPr>
              <w:spacing w:before="0" w:line="240" w:lineRule="auto"/>
              <w:ind w:left="141" w:right="57"/>
              <w:jc w:val="left"/>
              <w:rPr>
                <w:rFonts w:ascii="Arial" w:hAnsi="Arial" w:cs="Arial"/>
                <w:sz w:val="20"/>
                <w:szCs w:val="20"/>
              </w:rPr>
            </w:pPr>
            <w:r w:rsidRPr="00FF7A00">
              <w:rPr>
                <w:rFonts w:ascii="Arial" w:hAnsi="Arial" w:cs="Arial"/>
                <w:sz w:val="20"/>
                <w:szCs w:val="20"/>
              </w:rPr>
              <w:t>Specifically, continuous wave Doppler transthoracic echocardiography should be performed, conducted in a patient at rest in line with current guidance on cardiac imaging. Either 2D or 3D methods can be used, though 3D is superior in evaluation of right ventricular volumes and ejection fraction according to the American College of Radiology PAH imaging guidance</w:t>
            </w:r>
            <w:r w:rsidR="009C556B" w:rsidRPr="009C556B">
              <w:rPr>
                <w:rFonts w:ascii="Arial" w:hAnsi="Arial" w:cs="Arial"/>
                <w:noProof/>
                <w:sz w:val="20"/>
                <w:szCs w:val="20"/>
                <w:vertAlign w:val="superscript"/>
              </w:rPr>
              <w:t>21</w:t>
            </w:r>
            <w:r w:rsidR="00433046">
              <w:rPr>
                <w:rFonts w:ascii="Arial" w:hAnsi="Arial" w:cs="Arial"/>
                <w:sz w:val="20"/>
                <w:szCs w:val="20"/>
              </w:rPr>
              <w:t>.</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Indication</w:t>
            </w:r>
          </w:p>
        </w:tc>
        <w:tc>
          <w:tcPr>
            <w:tcW w:w="4338" w:type="pct"/>
            <w:shd w:val="clear" w:color="auto" w:fill="FFFFFF" w:themeFill="background1"/>
          </w:tcPr>
          <w:p w:rsidR="00054996" w:rsidRPr="00FF7A00" w:rsidRDefault="00054996" w:rsidP="009C556B">
            <w:pPr>
              <w:spacing w:before="0" w:line="240" w:lineRule="auto"/>
              <w:ind w:left="141" w:right="57"/>
              <w:jc w:val="left"/>
              <w:rPr>
                <w:rFonts w:ascii="Arial" w:hAnsi="Arial" w:cs="Arial"/>
                <w:sz w:val="20"/>
                <w:szCs w:val="20"/>
              </w:rPr>
            </w:pPr>
            <w:r w:rsidRPr="00FF7A00">
              <w:rPr>
                <w:rFonts w:ascii="Arial" w:hAnsi="Arial" w:cs="Arial"/>
                <w:sz w:val="20"/>
                <w:szCs w:val="20"/>
              </w:rPr>
              <w:t>The ESC/ERS guideline states</w:t>
            </w:r>
            <w:r w:rsidR="009C556B" w:rsidRPr="00FF7A00">
              <w:rPr>
                <w:rFonts w:ascii="Arial" w:hAnsi="Arial" w:cs="Arial"/>
                <w:noProof/>
                <w:sz w:val="20"/>
                <w:szCs w:val="20"/>
                <w:vertAlign w:val="superscript"/>
              </w:rPr>
              <w:t>8</w:t>
            </w:r>
            <w:r w:rsidRPr="00FF7A00">
              <w:rPr>
                <w:rFonts w:ascii="Arial" w:hAnsi="Arial" w:cs="Arial"/>
                <w:sz w:val="20"/>
                <w:szCs w:val="20"/>
              </w:rPr>
              <w:t xml:space="preserve"> </w:t>
            </w:r>
            <w:r w:rsidRPr="00FF7A00">
              <w:rPr>
                <w:rFonts w:ascii="Arial" w:hAnsi="Arial" w:cs="Arial"/>
                <w:i/>
                <w:sz w:val="20"/>
                <w:szCs w:val="20"/>
              </w:rPr>
              <w:t>“Echocardiography should always be performed when PAH is suspected. […] When treatment of PAH itself is being considered, echocardiography alone is not sufficient to support a treatment decision and cardiac catheterization is required.”</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Key parameter – Tricuspid Regurgitation Velocity (TRV)</w:t>
            </w:r>
          </w:p>
        </w:tc>
        <w:tc>
          <w:tcPr>
            <w:tcW w:w="4338" w:type="pct"/>
            <w:shd w:val="clear" w:color="auto" w:fill="FFFFFF" w:themeFill="background1"/>
          </w:tcPr>
          <w:p w:rsidR="00054996" w:rsidRPr="00FF7A00" w:rsidRDefault="00054996" w:rsidP="00FF7A00">
            <w:pPr>
              <w:spacing w:before="0" w:line="240" w:lineRule="auto"/>
              <w:ind w:left="141" w:right="57"/>
              <w:jc w:val="left"/>
              <w:rPr>
                <w:rFonts w:ascii="Arial" w:hAnsi="Arial" w:cs="Arial"/>
                <w:sz w:val="20"/>
                <w:szCs w:val="20"/>
              </w:rPr>
            </w:pPr>
            <w:r w:rsidRPr="00FF7A00">
              <w:rPr>
                <w:rFonts w:ascii="Arial" w:hAnsi="Arial" w:cs="Arial"/>
                <w:sz w:val="20"/>
                <w:szCs w:val="20"/>
              </w:rPr>
              <w:t>PAH is likely if TRV is ≥2.9ms−1 and additional echocardiographic variables suggestive of PH are present, or if TRV is ≥3.4 m·s−1 with no other signs</w:t>
            </w:r>
            <w:r w:rsidR="009C556B" w:rsidRPr="00FF7A00">
              <w:rPr>
                <w:rFonts w:ascii="Arial" w:hAnsi="Arial" w:cs="Arial"/>
                <w:noProof/>
                <w:sz w:val="20"/>
                <w:szCs w:val="20"/>
                <w:vertAlign w:val="superscript"/>
              </w:rPr>
              <w:t>8</w:t>
            </w:r>
            <w:r w:rsidRPr="00FF7A00">
              <w:rPr>
                <w:rFonts w:ascii="Arial" w:hAnsi="Arial" w:cs="Arial"/>
                <w:sz w:val="20"/>
                <w:szCs w:val="20"/>
              </w:rPr>
              <w:t xml:space="preserve">; described in more detail in </w:t>
            </w:r>
            <w:proofErr w:type="spellStart"/>
            <w:r w:rsidRPr="00FF7A00">
              <w:rPr>
                <w:rFonts w:ascii="Arial" w:hAnsi="Arial" w:cs="Arial"/>
                <w:sz w:val="20"/>
                <w:szCs w:val="20"/>
              </w:rPr>
              <w:t>Grunig</w:t>
            </w:r>
            <w:proofErr w:type="spellEnd"/>
            <w:r w:rsidRPr="00FF7A00">
              <w:rPr>
                <w:rFonts w:ascii="Arial" w:hAnsi="Arial" w:cs="Arial"/>
                <w:sz w:val="20"/>
                <w:szCs w:val="20"/>
              </w:rPr>
              <w:t xml:space="preserve"> at al 2015</w:t>
            </w:r>
            <w:r w:rsidR="009C556B" w:rsidRPr="009C556B">
              <w:rPr>
                <w:rFonts w:ascii="Arial" w:hAnsi="Arial" w:cs="Arial"/>
                <w:noProof/>
                <w:sz w:val="20"/>
                <w:szCs w:val="20"/>
                <w:vertAlign w:val="superscript"/>
              </w:rPr>
              <w:t>32</w:t>
            </w:r>
            <w:r w:rsidRPr="00FF7A00">
              <w:rPr>
                <w:rFonts w:ascii="Arial" w:hAnsi="Arial" w:cs="Arial"/>
                <w:sz w:val="20"/>
                <w:szCs w:val="20"/>
              </w:rPr>
              <w:t xml:space="preserve">. </w:t>
            </w:r>
          </w:p>
          <w:p w:rsidR="00054996" w:rsidRPr="00FF7A00" w:rsidRDefault="00054996" w:rsidP="009C556B">
            <w:pPr>
              <w:spacing w:before="0" w:line="240" w:lineRule="auto"/>
              <w:ind w:left="141" w:right="57"/>
              <w:jc w:val="left"/>
              <w:rPr>
                <w:rFonts w:ascii="Arial" w:hAnsi="Arial" w:cs="Arial"/>
                <w:sz w:val="20"/>
                <w:szCs w:val="20"/>
              </w:rPr>
            </w:pPr>
            <w:r w:rsidRPr="00FF7A00">
              <w:rPr>
                <w:rFonts w:ascii="Arial" w:hAnsi="Arial" w:cs="Arial"/>
                <w:sz w:val="20"/>
                <w:szCs w:val="20"/>
              </w:rPr>
              <w:t>The ESC/ERS guideline</w:t>
            </w:r>
            <w:r w:rsidR="009C556B" w:rsidRPr="00FF7A00">
              <w:rPr>
                <w:rFonts w:ascii="Arial" w:hAnsi="Arial" w:cs="Arial"/>
                <w:noProof/>
                <w:sz w:val="20"/>
                <w:szCs w:val="20"/>
                <w:vertAlign w:val="superscript"/>
              </w:rPr>
              <w:t>8</w:t>
            </w:r>
            <w:r w:rsidRPr="00FF7A00">
              <w:rPr>
                <w:rFonts w:ascii="Arial" w:hAnsi="Arial" w:cs="Arial"/>
                <w:sz w:val="20"/>
                <w:szCs w:val="20"/>
              </w:rPr>
              <w:t xml:space="preserve"> states that </w:t>
            </w:r>
            <w:r w:rsidRPr="00FF7A00">
              <w:rPr>
                <w:rFonts w:ascii="Arial" w:hAnsi="Arial" w:cs="Arial"/>
                <w:i/>
                <w:sz w:val="20"/>
                <w:szCs w:val="20"/>
              </w:rPr>
              <w:t>“given the inaccuracies of RAP estimation and the amplification of measurement errors by using derived variables, we recommend using the continuous wave Doppler measurement of peak TRV as the main variable for assigning the echocardiographic probability of PH”</w:t>
            </w:r>
            <w:r w:rsidR="00433046">
              <w:rPr>
                <w:rFonts w:ascii="Arial" w:hAnsi="Arial" w:cs="Arial"/>
                <w:i/>
                <w:sz w:val="20"/>
                <w:szCs w:val="20"/>
              </w:rPr>
              <w:t>.</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Other signs of PAH on echocardiography (than TRV)</w:t>
            </w:r>
          </w:p>
        </w:tc>
        <w:tc>
          <w:tcPr>
            <w:tcW w:w="4338" w:type="pct"/>
            <w:shd w:val="clear" w:color="auto" w:fill="FFFFFF" w:themeFill="background1"/>
          </w:tcPr>
          <w:tbl>
            <w:tblPr>
              <w:tblStyle w:val="TableGrid"/>
              <w:tblW w:w="12043" w:type="dxa"/>
              <w:tblLayout w:type="fixed"/>
              <w:tblLook w:val="04A0" w:firstRow="1" w:lastRow="0" w:firstColumn="1" w:lastColumn="0" w:noHBand="0" w:noVBand="1"/>
              <w:tblCaption w:val="Other signs of PAH on echocardiography (than TRV)"/>
            </w:tblPr>
            <w:tblGrid>
              <w:gridCol w:w="3659"/>
              <w:gridCol w:w="4111"/>
              <w:gridCol w:w="4273"/>
            </w:tblGrid>
            <w:tr w:rsidR="00054996" w:rsidRPr="00FF7A00" w:rsidTr="00FF7A00">
              <w:trPr>
                <w:cnfStyle w:val="100000000000" w:firstRow="1" w:lastRow="0" w:firstColumn="0" w:lastColumn="0" w:oddVBand="0" w:evenVBand="0" w:oddHBand="0" w:evenHBand="0" w:firstRowFirstColumn="0" w:firstRowLastColumn="0" w:lastRowFirstColumn="0" w:lastRowLastColumn="0"/>
              </w:trPr>
              <w:tc>
                <w:tcPr>
                  <w:tcW w:w="3659" w:type="dxa"/>
                  <w:shd w:val="clear" w:color="auto" w:fill="BFBFBF" w:themeFill="background1" w:themeFillShade="BF"/>
                </w:tcPr>
                <w:p w:rsidR="00054996" w:rsidRPr="00FF7A00" w:rsidRDefault="00054996" w:rsidP="00FF7A00">
                  <w:pPr>
                    <w:pStyle w:val="TableText"/>
                    <w:ind w:left="141" w:right="57"/>
                    <w:rPr>
                      <w:rFonts w:ascii="Arial" w:hAnsi="Arial"/>
                      <w:b/>
                      <w:szCs w:val="20"/>
                    </w:rPr>
                  </w:pPr>
                  <w:r w:rsidRPr="00FF7A00">
                    <w:rPr>
                      <w:rFonts w:ascii="Arial" w:hAnsi="Arial"/>
                      <w:b/>
                      <w:szCs w:val="20"/>
                    </w:rPr>
                    <w:t>A: The ventricles</w:t>
                  </w:r>
                </w:p>
              </w:tc>
              <w:tc>
                <w:tcPr>
                  <w:tcW w:w="4111" w:type="dxa"/>
                  <w:shd w:val="clear" w:color="auto" w:fill="BFBFBF" w:themeFill="background1" w:themeFillShade="BF"/>
                </w:tcPr>
                <w:p w:rsidR="00054996" w:rsidRPr="00FF7A00" w:rsidRDefault="00054996" w:rsidP="00FF7A00">
                  <w:pPr>
                    <w:pStyle w:val="TableText"/>
                    <w:ind w:left="141" w:right="57"/>
                    <w:rPr>
                      <w:rFonts w:ascii="Arial" w:hAnsi="Arial"/>
                      <w:b/>
                      <w:szCs w:val="20"/>
                    </w:rPr>
                  </w:pPr>
                  <w:r w:rsidRPr="00FF7A00">
                    <w:rPr>
                      <w:rFonts w:ascii="Arial" w:hAnsi="Arial"/>
                      <w:b/>
                      <w:szCs w:val="20"/>
                    </w:rPr>
                    <w:t>B: Pulmonary artery</w:t>
                  </w:r>
                </w:p>
              </w:tc>
              <w:tc>
                <w:tcPr>
                  <w:tcW w:w="4273" w:type="dxa"/>
                  <w:shd w:val="clear" w:color="auto" w:fill="BFBFBF" w:themeFill="background1" w:themeFillShade="BF"/>
                </w:tcPr>
                <w:p w:rsidR="00054996" w:rsidRPr="00FF7A00" w:rsidRDefault="00054996" w:rsidP="00FF7A00">
                  <w:pPr>
                    <w:pStyle w:val="TableText"/>
                    <w:ind w:left="141" w:right="57"/>
                    <w:rPr>
                      <w:rFonts w:ascii="Arial" w:hAnsi="Arial"/>
                      <w:b/>
                      <w:szCs w:val="20"/>
                    </w:rPr>
                  </w:pPr>
                  <w:r w:rsidRPr="00FF7A00">
                    <w:rPr>
                      <w:rFonts w:ascii="Arial" w:hAnsi="Arial"/>
                      <w:b/>
                      <w:szCs w:val="20"/>
                    </w:rPr>
                    <w:t>C: Inferior vena cava and right atrium</w:t>
                  </w:r>
                </w:p>
              </w:tc>
            </w:tr>
            <w:tr w:rsidR="00054996" w:rsidRPr="00FF7A00" w:rsidTr="00FF7A00">
              <w:tc>
                <w:tcPr>
                  <w:tcW w:w="3659" w:type="dxa"/>
                </w:tcPr>
                <w:p w:rsidR="00054996" w:rsidRPr="00FF7A00" w:rsidRDefault="00054996" w:rsidP="00FF7A00">
                  <w:pPr>
                    <w:pStyle w:val="TableText"/>
                    <w:ind w:left="141" w:right="57"/>
                    <w:rPr>
                      <w:rFonts w:ascii="Arial" w:hAnsi="Arial"/>
                      <w:szCs w:val="20"/>
                    </w:rPr>
                  </w:pPr>
                  <w:r w:rsidRPr="00FF7A00">
                    <w:rPr>
                      <w:rFonts w:ascii="Arial" w:hAnsi="Arial"/>
                      <w:szCs w:val="20"/>
                    </w:rPr>
                    <w:t>Right ventricle/ left ventricle basal diameter ratio &gt;1.0</w:t>
                  </w:r>
                </w:p>
              </w:tc>
              <w:tc>
                <w:tcPr>
                  <w:tcW w:w="4111" w:type="dxa"/>
                </w:tcPr>
                <w:p w:rsidR="00054996" w:rsidRPr="00FF7A00" w:rsidRDefault="00054996" w:rsidP="00FF7A00">
                  <w:pPr>
                    <w:pStyle w:val="TableText"/>
                    <w:ind w:left="141" w:right="57"/>
                    <w:rPr>
                      <w:rFonts w:ascii="Arial" w:hAnsi="Arial"/>
                      <w:szCs w:val="20"/>
                    </w:rPr>
                  </w:pPr>
                  <w:r w:rsidRPr="00FF7A00">
                    <w:rPr>
                      <w:rFonts w:ascii="Arial" w:hAnsi="Arial"/>
                      <w:szCs w:val="20"/>
                    </w:rPr>
                    <w:t xml:space="preserve">Right ventricular outflow Doppler acceleration time &lt;105msec and/or </w:t>
                  </w:r>
                  <w:proofErr w:type="spellStart"/>
                  <w:r w:rsidRPr="00FF7A00">
                    <w:rPr>
                      <w:rFonts w:ascii="Arial" w:hAnsi="Arial"/>
                      <w:szCs w:val="20"/>
                    </w:rPr>
                    <w:t>midsystolic</w:t>
                  </w:r>
                  <w:proofErr w:type="spellEnd"/>
                  <w:r w:rsidRPr="00FF7A00">
                    <w:rPr>
                      <w:rFonts w:ascii="Arial" w:hAnsi="Arial"/>
                      <w:szCs w:val="20"/>
                    </w:rPr>
                    <w:t xml:space="preserve"> notching</w:t>
                  </w:r>
                </w:p>
              </w:tc>
              <w:tc>
                <w:tcPr>
                  <w:tcW w:w="4273" w:type="dxa"/>
                </w:tcPr>
                <w:p w:rsidR="00054996" w:rsidRPr="00FF7A00" w:rsidRDefault="00054996" w:rsidP="00FF7A00">
                  <w:pPr>
                    <w:pStyle w:val="TableText"/>
                    <w:ind w:left="141" w:right="57"/>
                    <w:rPr>
                      <w:rFonts w:ascii="Arial" w:hAnsi="Arial"/>
                      <w:szCs w:val="20"/>
                    </w:rPr>
                  </w:pPr>
                  <w:r w:rsidRPr="00FF7A00">
                    <w:rPr>
                      <w:rFonts w:ascii="Arial" w:hAnsi="Arial"/>
                      <w:szCs w:val="20"/>
                    </w:rPr>
                    <w:t>Inferior cava diameter &gt;21mm with decreased inspiratory collapse (&lt;50% with a sniff or &lt;20% with quiet inspiration)</w:t>
                  </w:r>
                </w:p>
              </w:tc>
            </w:tr>
            <w:tr w:rsidR="00054996" w:rsidRPr="00FF7A00" w:rsidTr="00FF7A00">
              <w:tc>
                <w:tcPr>
                  <w:tcW w:w="3659" w:type="dxa"/>
                </w:tcPr>
                <w:p w:rsidR="00054996" w:rsidRPr="00FF7A00" w:rsidRDefault="00054996" w:rsidP="00FF7A00">
                  <w:pPr>
                    <w:pStyle w:val="TableText"/>
                    <w:ind w:left="141" w:right="57"/>
                    <w:rPr>
                      <w:rFonts w:ascii="Arial" w:hAnsi="Arial"/>
                      <w:szCs w:val="20"/>
                    </w:rPr>
                  </w:pPr>
                  <w:r w:rsidRPr="00FF7A00">
                    <w:rPr>
                      <w:rFonts w:ascii="Arial" w:hAnsi="Arial"/>
                      <w:szCs w:val="20"/>
                    </w:rPr>
                    <w:t>Flattening of the interventricular septum (left ventricular eccentricity index &gt;1.1 in systole and/or diastole)</w:t>
                  </w:r>
                </w:p>
              </w:tc>
              <w:tc>
                <w:tcPr>
                  <w:tcW w:w="4111" w:type="dxa"/>
                </w:tcPr>
                <w:p w:rsidR="00054996" w:rsidRPr="00FF7A00" w:rsidRDefault="00054996" w:rsidP="00FF7A00">
                  <w:pPr>
                    <w:pStyle w:val="TableText"/>
                    <w:ind w:left="141" w:right="57"/>
                    <w:rPr>
                      <w:rFonts w:ascii="Arial" w:hAnsi="Arial"/>
                      <w:szCs w:val="20"/>
                    </w:rPr>
                  </w:pPr>
                  <w:r w:rsidRPr="00FF7A00">
                    <w:rPr>
                      <w:rFonts w:ascii="Arial" w:hAnsi="Arial"/>
                      <w:szCs w:val="20"/>
                    </w:rPr>
                    <w:t>Early diastolic pulmonary regurgitation velocity &gt;2.2m/sec</w:t>
                  </w:r>
                </w:p>
              </w:tc>
              <w:tc>
                <w:tcPr>
                  <w:tcW w:w="4273" w:type="dxa"/>
                </w:tcPr>
                <w:p w:rsidR="00054996" w:rsidRPr="00FF7A00" w:rsidRDefault="00054996" w:rsidP="00FF7A00">
                  <w:pPr>
                    <w:pStyle w:val="TableText"/>
                    <w:ind w:left="141" w:right="57"/>
                    <w:rPr>
                      <w:rFonts w:ascii="Arial" w:hAnsi="Arial"/>
                      <w:szCs w:val="20"/>
                    </w:rPr>
                  </w:pPr>
                  <w:r w:rsidRPr="00FF7A00">
                    <w:rPr>
                      <w:rFonts w:ascii="Arial" w:hAnsi="Arial"/>
                      <w:szCs w:val="20"/>
                    </w:rPr>
                    <w:t>Right atrial area (end-systole) &gt;18cm</w:t>
                  </w:r>
                  <w:r w:rsidRPr="00FF7A00">
                    <w:rPr>
                      <w:rFonts w:ascii="Arial" w:hAnsi="Arial"/>
                      <w:szCs w:val="20"/>
                      <w:vertAlign w:val="superscript"/>
                    </w:rPr>
                    <w:t>2</w:t>
                  </w:r>
                </w:p>
              </w:tc>
            </w:tr>
            <w:tr w:rsidR="00054996" w:rsidRPr="00FF7A00" w:rsidTr="00FF7A00">
              <w:tc>
                <w:tcPr>
                  <w:tcW w:w="3659" w:type="dxa"/>
                </w:tcPr>
                <w:p w:rsidR="00054996" w:rsidRPr="00FF7A00" w:rsidRDefault="00054996" w:rsidP="00FF7A00">
                  <w:pPr>
                    <w:pStyle w:val="TableText"/>
                    <w:ind w:left="141" w:right="57"/>
                    <w:rPr>
                      <w:rFonts w:ascii="Arial" w:hAnsi="Arial"/>
                      <w:szCs w:val="20"/>
                    </w:rPr>
                  </w:pPr>
                </w:p>
              </w:tc>
              <w:tc>
                <w:tcPr>
                  <w:tcW w:w="4111" w:type="dxa"/>
                </w:tcPr>
                <w:p w:rsidR="00054996" w:rsidRPr="00FF7A00" w:rsidRDefault="00054996" w:rsidP="00FF7A00">
                  <w:pPr>
                    <w:pStyle w:val="TableText"/>
                    <w:ind w:left="141" w:right="57"/>
                    <w:rPr>
                      <w:rFonts w:ascii="Arial" w:hAnsi="Arial"/>
                      <w:szCs w:val="20"/>
                    </w:rPr>
                  </w:pPr>
                  <w:r w:rsidRPr="00FF7A00">
                    <w:rPr>
                      <w:rFonts w:ascii="Arial" w:hAnsi="Arial"/>
                      <w:szCs w:val="20"/>
                    </w:rPr>
                    <w:t>PA diameter &gt;25 mm</w:t>
                  </w:r>
                </w:p>
              </w:tc>
              <w:tc>
                <w:tcPr>
                  <w:tcW w:w="4273" w:type="dxa"/>
                </w:tcPr>
                <w:p w:rsidR="00054996" w:rsidRPr="00FF7A00" w:rsidRDefault="00054996" w:rsidP="00FF7A00">
                  <w:pPr>
                    <w:pStyle w:val="TableText"/>
                    <w:ind w:left="141" w:right="57"/>
                    <w:rPr>
                      <w:rFonts w:ascii="Arial" w:hAnsi="Arial"/>
                      <w:szCs w:val="20"/>
                    </w:rPr>
                  </w:pPr>
                </w:p>
              </w:tc>
            </w:tr>
          </w:tbl>
          <w:p w:rsidR="00054996" w:rsidRPr="00FF7A00" w:rsidRDefault="00054996" w:rsidP="00FF7A00">
            <w:pPr>
              <w:pStyle w:val="Tablenote"/>
              <w:ind w:left="141" w:right="57"/>
              <w:rPr>
                <w:rFonts w:ascii="Arial" w:hAnsi="Arial" w:cs="Arial"/>
              </w:rPr>
            </w:pPr>
            <w:r w:rsidRPr="00FF7A00">
              <w:rPr>
                <w:rFonts w:ascii="Arial" w:hAnsi="Arial" w:cs="Arial"/>
              </w:rPr>
              <w:t>Notes: Echocardiographic signs from at least two different categories (A/B/C) from the list should be present to alter the level of echocardiographic probability of pulmonary hypertension</w:t>
            </w:r>
            <w:r w:rsidR="00433046">
              <w:rPr>
                <w:rFonts w:ascii="Arial" w:hAnsi="Arial" w:cs="Arial"/>
              </w:rPr>
              <w:t>.</w:t>
            </w:r>
          </w:p>
          <w:p w:rsidR="00054996" w:rsidRPr="00FF7A00" w:rsidRDefault="00054996" w:rsidP="009C556B">
            <w:pPr>
              <w:pStyle w:val="Tablenote"/>
              <w:ind w:left="141" w:right="57"/>
              <w:rPr>
                <w:rFonts w:ascii="Arial" w:hAnsi="Arial" w:cs="Arial"/>
              </w:rPr>
            </w:pPr>
            <w:r w:rsidRPr="00FF7A00">
              <w:rPr>
                <w:rFonts w:ascii="Arial" w:hAnsi="Arial" w:cs="Arial"/>
              </w:rPr>
              <w:t xml:space="preserve">Source: </w:t>
            </w:r>
            <w:proofErr w:type="spellStart"/>
            <w:r w:rsidRPr="00FF7A00">
              <w:rPr>
                <w:rFonts w:ascii="Arial" w:hAnsi="Arial" w:cs="Arial"/>
              </w:rPr>
              <w:t>Galie</w:t>
            </w:r>
            <w:proofErr w:type="spellEnd"/>
            <w:r w:rsidRPr="00FF7A00">
              <w:rPr>
                <w:rFonts w:ascii="Arial" w:hAnsi="Arial" w:cs="Arial"/>
              </w:rPr>
              <w:t xml:space="preserve"> </w:t>
            </w:r>
            <w:r w:rsidRPr="00FF7A00">
              <w:rPr>
                <w:rFonts w:ascii="Arial" w:hAnsi="Arial" w:cs="Arial"/>
                <w:i/>
              </w:rPr>
              <w:t xml:space="preserve">et al </w:t>
            </w:r>
            <w:r w:rsidRPr="00FF7A00">
              <w:rPr>
                <w:rFonts w:ascii="Arial" w:hAnsi="Arial" w:cs="Arial"/>
              </w:rPr>
              <w:t>2015</w:t>
            </w:r>
            <w:r w:rsidR="009C556B" w:rsidRPr="00FF7A00">
              <w:rPr>
                <w:rFonts w:ascii="Arial" w:hAnsi="Arial" w:cs="Arial"/>
                <w:noProof/>
                <w:vertAlign w:val="superscript"/>
              </w:rPr>
              <w:t>8</w:t>
            </w:r>
          </w:p>
        </w:tc>
      </w:tr>
      <w:tr w:rsidR="00054996" w:rsidRPr="00FF7A00" w:rsidTr="00FF7A00">
        <w:tc>
          <w:tcPr>
            <w:tcW w:w="662" w:type="pct"/>
            <w:shd w:val="clear" w:color="auto" w:fill="FFFFFF" w:themeFill="background1"/>
          </w:tcPr>
          <w:p w:rsidR="00054996" w:rsidRPr="00FF7A00" w:rsidRDefault="00054996" w:rsidP="00FF7A00">
            <w:pPr>
              <w:spacing w:before="0" w:line="240" w:lineRule="auto"/>
              <w:ind w:left="147" w:right="57"/>
              <w:jc w:val="left"/>
              <w:rPr>
                <w:rFonts w:ascii="Arial" w:hAnsi="Arial" w:cs="Arial"/>
                <w:sz w:val="20"/>
                <w:szCs w:val="20"/>
              </w:rPr>
            </w:pPr>
            <w:r w:rsidRPr="00FF7A00">
              <w:rPr>
                <w:rFonts w:ascii="Arial" w:hAnsi="Arial" w:cs="Arial"/>
                <w:sz w:val="20"/>
                <w:szCs w:val="20"/>
              </w:rPr>
              <w:t xml:space="preserve">Whether to estimate </w:t>
            </w:r>
            <w:proofErr w:type="spellStart"/>
            <w:r w:rsidRPr="00FF7A00">
              <w:rPr>
                <w:rFonts w:ascii="Arial" w:hAnsi="Arial" w:cs="Arial"/>
                <w:sz w:val="20"/>
                <w:szCs w:val="20"/>
              </w:rPr>
              <w:t>mRAP</w:t>
            </w:r>
            <w:proofErr w:type="spellEnd"/>
          </w:p>
        </w:tc>
        <w:tc>
          <w:tcPr>
            <w:tcW w:w="4338" w:type="pct"/>
            <w:shd w:val="clear" w:color="auto" w:fill="FFFFFF" w:themeFill="background1"/>
          </w:tcPr>
          <w:p w:rsidR="00054996" w:rsidRPr="00FF7A00" w:rsidRDefault="00054996" w:rsidP="009C556B">
            <w:pPr>
              <w:spacing w:before="0" w:line="240" w:lineRule="auto"/>
              <w:ind w:left="141" w:right="57"/>
              <w:jc w:val="left"/>
              <w:rPr>
                <w:rFonts w:ascii="Arial" w:hAnsi="Arial" w:cs="Arial"/>
                <w:sz w:val="20"/>
                <w:szCs w:val="20"/>
              </w:rPr>
            </w:pPr>
            <w:r w:rsidRPr="00FF7A00">
              <w:rPr>
                <w:rFonts w:ascii="Arial" w:hAnsi="Arial" w:cs="Arial"/>
                <w:sz w:val="20"/>
                <w:szCs w:val="20"/>
              </w:rPr>
              <w:t>The method to estimate RAP can be clinical estimation from jugular venous pressure; using a fixed value from 5mmHg to 10mmHg; or (most commonly) using the diameter and collapse of the inferior vena cava during spontaneous respiration</w:t>
            </w:r>
            <w:r w:rsidR="009C556B" w:rsidRPr="009C556B">
              <w:rPr>
                <w:rFonts w:ascii="Arial" w:hAnsi="Arial" w:cs="Arial"/>
                <w:noProof/>
                <w:sz w:val="20"/>
                <w:szCs w:val="20"/>
                <w:vertAlign w:val="superscript"/>
              </w:rPr>
              <w:t>28</w:t>
            </w:r>
            <w:r w:rsidRPr="00FF7A00">
              <w:rPr>
                <w:rFonts w:ascii="Arial" w:hAnsi="Arial" w:cs="Arial"/>
                <w:sz w:val="20"/>
                <w:szCs w:val="20"/>
              </w:rPr>
              <w:t xml:space="preserve">. As a result, the </w:t>
            </w:r>
            <w:proofErr w:type="spellStart"/>
            <w:r w:rsidRPr="00FF7A00">
              <w:rPr>
                <w:rFonts w:ascii="Arial" w:hAnsi="Arial" w:cs="Arial"/>
                <w:sz w:val="20"/>
                <w:szCs w:val="20"/>
              </w:rPr>
              <w:t>mRAP</w:t>
            </w:r>
            <w:proofErr w:type="spellEnd"/>
            <w:r w:rsidRPr="00FF7A00">
              <w:rPr>
                <w:rFonts w:ascii="Arial" w:hAnsi="Arial" w:cs="Arial"/>
                <w:sz w:val="20"/>
                <w:szCs w:val="20"/>
              </w:rPr>
              <w:t xml:space="preserve"> value can vary depending on the approach used and leads to variable estimates of PAP. </w:t>
            </w:r>
          </w:p>
        </w:tc>
      </w:tr>
    </w:tbl>
    <w:p w:rsidR="00054996" w:rsidRDefault="00054996" w:rsidP="00121658">
      <w:pPr>
        <w:tabs>
          <w:tab w:val="left" w:pos="3663"/>
        </w:tabs>
        <w:jc w:val="left"/>
      </w:pPr>
    </w:p>
    <w:p w:rsidR="00054996" w:rsidRDefault="00054996" w:rsidP="00121658">
      <w:pPr>
        <w:spacing w:before="0" w:line="240" w:lineRule="auto"/>
        <w:jc w:val="left"/>
        <w:rPr>
          <w:sz w:val="8"/>
          <w:szCs w:val="16"/>
        </w:rPr>
      </w:pPr>
      <w:r>
        <w:rPr>
          <w:sz w:val="8"/>
          <w:szCs w:val="16"/>
        </w:rPr>
        <w:br w:type="page"/>
      </w:r>
    </w:p>
    <w:p w:rsidR="00054996" w:rsidRDefault="0048383C" w:rsidP="00F75B8B">
      <w:pPr>
        <w:pStyle w:val="Caption"/>
      </w:pPr>
      <w:bookmarkStart w:id="172" w:name="_Ref510795236"/>
      <w:bookmarkStart w:id="173" w:name="_Toc513107636"/>
      <w:r>
        <w:t>Table 1.</w:t>
      </w:r>
      <w:r w:rsidR="00D63371">
        <w:rPr>
          <w:noProof/>
        </w:rPr>
        <w:t>10</w:t>
      </w:r>
      <w:bookmarkEnd w:id="172"/>
      <w:r w:rsidR="00F75B8B">
        <w:tab/>
        <w:t>Monitoring recommendations and other patient assessments for PAH</w:t>
      </w:r>
      <w:bookmarkEnd w:id="173"/>
    </w:p>
    <w:tbl>
      <w:tblPr>
        <w:tblStyle w:val="TableGrid"/>
        <w:tblW w:w="5000" w:type="pct"/>
        <w:tblLayout w:type="fixed"/>
        <w:tblLook w:val="04A0" w:firstRow="1" w:lastRow="0" w:firstColumn="1" w:lastColumn="0" w:noHBand="0" w:noVBand="1"/>
        <w:tblCaption w:val="Monitoring recommendations and other patient assessments for PAH"/>
      </w:tblPr>
      <w:tblGrid>
        <w:gridCol w:w="1849"/>
        <w:gridCol w:w="12119"/>
      </w:tblGrid>
      <w:tr w:rsidR="00054996" w:rsidRPr="00FF7A00" w:rsidTr="00FF7A00">
        <w:trPr>
          <w:cnfStyle w:val="100000000000" w:firstRow="1" w:lastRow="0" w:firstColumn="0" w:lastColumn="0" w:oddVBand="0" w:evenVBand="0" w:oddHBand="0" w:evenHBand="0" w:firstRowFirstColumn="0" w:firstRowLastColumn="0" w:lastRowFirstColumn="0" w:lastRowLastColumn="0"/>
        </w:trPr>
        <w:tc>
          <w:tcPr>
            <w:tcW w:w="662" w:type="pct"/>
          </w:tcPr>
          <w:p w:rsidR="00054996" w:rsidRPr="00FF7A00" w:rsidRDefault="00054996" w:rsidP="00FF7A00">
            <w:pPr>
              <w:spacing w:before="60" w:after="60" w:line="240" w:lineRule="auto"/>
              <w:ind w:left="147" w:right="57"/>
              <w:jc w:val="left"/>
              <w:rPr>
                <w:rFonts w:ascii="Arial" w:hAnsi="Arial" w:cs="Arial"/>
                <w:b/>
                <w:sz w:val="20"/>
                <w:szCs w:val="20"/>
              </w:rPr>
            </w:pPr>
            <w:r w:rsidRPr="00FF7A00">
              <w:rPr>
                <w:rFonts w:ascii="Arial" w:hAnsi="Arial" w:cs="Arial"/>
                <w:b/>
                <w:sz w:val="20"/>
                <w:szCs w:val="20"/>
              </w:rPr>
              <w:t>Issue</w:t>
            </w:r>
          </w:p>
        </w:tc>
        <w:tc>
          <w:tcPr>
            <w:tcW w:w="4338" w:type="pct"/>
          </w:tcPr>
          <w:p w:rsidR="00054996" w:rsidRPr="00FF7A00" w:rsidRDefault="00054996" w:rsidP="00FF7A00">
            <w:pPr>
              <w:spacing w:before="60" w:after="60" w:line="240" w:lineRule="auto"/>
              <w:ind w:left="142" w:right="57"/>
              <w:jc w:val="left"/>
              <w:rPr>
                <w:rFonts w:ascii="Arial" w:hAnsi="Arial" w:cs="Arial"/>
                <w:b/>
                <w:sz w:val="20"/>
                <w:szCs w:val="20"/>
              </w:rPr>
            </w:pPr>
            <w:r w:rsidRPr="00FF7A00">
              <w:rPr>
                <w:rFonts w:ascii="Arial" w:hAnsi="Arial" w:cs="Arial"/>
                <w:b/>
                <w:sz w:val="20"/>
                <w:szCs w:val="20"/>
              </w:rPr>
              <w:t>Details</w:t>
            </w:r>
          </w:p>
        </w:tc>
      </w:tr>
      <w:tr w:rsidR="00054996" w:rsidRPr="00FF7A00" w:rsidTr="00054996">
        <w:tc>
          <w:tcPr>
            <w:tcW w:w="5000" w:type="pct"/>
            <w:gridSpan w:val="2"/>
            <w:shd w:val="clear" w:color="auto" w:fill="000000" w:themeFill="text1"/>
          </w:tcPr>
          <w:p w:rsidR="00054996" w:rsidRPr="00FF7A00" w:rsidRDefault="00A10002" w:rsidP="00FF7A00">
            <w:pPr>
              <w:spacing w:before="60" w:after="60" w:line="240" w:lineRule="auto"/>
              <w:ind w:left="142" w:right="57"/>
              <w:jc w:val="left"/>
              <w:rPr>
                <w:rFonts w:ascii="Arial" w:hAnsi="Arial" w:cs="Arial"/>
                <w:b/>
                <w:sz w:val="20"/>
                <w:szCs w:val="20"/>
              </w:rPr>
            </w:pPr>
            <w:r w:rsidRPr="00FF7A00">
              <w:rPr>
                <w:rFonts w:ascii="Arial" w:hAnsi="Arial" w:cs="Arial"/>
                <w:b/>
                <w:sz w:val="20"/>
                <w:szCs w:val="20"/>
              </w:rPr>
              <w:t>Risk Factors</w:t>
            </w:r>
          </w:p>
        </w:tc>
      </w:tr>
      <w:tr w:rsidR="00054996" w:rsidRPr="00FF7A00" w:rsidTr="00FF7A00">
        <w:tc>
          <w:tcPr>
            <w:tcW w:w="662" w:type="pct"/>
          </w:tcPr>
          <w:p w:rsidR="00054996" w:rsidRPr="00FF7A00" w:rsidRDefault="00054996" w:rsidP="00FF7A00">
            <w:pPr>
              <w:spacing w:before="60" w:after="60" w:line="240" w:lineRule="auto"/>
              <w:ind w:left="147" w:right="57"/>
              <w:jc w:val="left"/>
              <w:rPr>
                <w:rFonts w:ascii="Arial" w:hAnsi="Arial" w:cs="Arial"/>
                <w:sz w:val="20"/>
                <w:szCs w:val="20"/>
              </w:rPr>
            </w:pPr>
            <w:r w:rsidRPr="00FF7A00">
              <w:rPr>
                <w:rFonts w:ascii="Arial" w:hAnsi="Arial" w:cs="Arial"/>
                <w:sz w:val="20"/>
                <w:szCs w:val="20"/>
              </w:rPr>
              <w:t>Different approaches to risk / prognostic factors</w:t>
            </w:r>
          </w:p>
        </w:tc>
        <w:tc>
          <w:tcPr>
            <w:tcW w:w="4338" w:type="pct"/>
          </w:tcPr>
          <w:p w:rsidR="00054996" w:rsidRPr="00FF7A00" w:rsidRDefault="00054996" w:rsidP="00807704">
            <w:pPr>
              <w:pStyle w:val="ListParagraph"/>
              <w:numPr>
                <w:ilvl w:val="0"/>
                <w:numId w:val="20"/>
              </w:numPr>
              <w:spacing w:before="60" w:after="60" w:line="240" w:lineRule="auto"/>
              <w:ind w:left="142" w:right="57" w:hanging="294"/>
              <w:jc w:val="left"/>
              <w:rPr>
                <w:rFonts w:ascii="Arial" w:hAnsi="Arial" w:cs="Arial"/>
                <w:i/>
                <w:sz w:val="20"/>
                <w:szCs w:val="20"/>
              </w:rPr>
            </w:pPr>
            <w:r w:rsidRPr="00FF7A00">
              <w:rPr>
                <w:rFonts w:ascii="Arial" w:hAnsi="Arial" w:cs="Arial"/>
                <w:i/>
                <w:sz w:val="20"/>
                <w:szCs w:val="20"/>
              </w:rPr>
              <w:t>The ESC/ERS guideline</w:t>
            </w:r>
            <w:r w:rsidR="009C556B" w:rsidRPr="00FF7A00">
              <w:rPr>
                <w:rFonts w:ascii="Arial" w:hAnsi="Arial" w:cs="Arial"/>
                <w:i/>
                <w:noProof/>
                <w:sz w:val="20"/>
                <w:szCs w:val="20"/>
                <w:vertAlign w:val="superscript"/>
              </w:rPr>
              <w:t>8</w:t>
            </w:r>
            <w:r w:rsidRPr="00FF7A00">
              <w:rPr>
                <w:rFonts w:ascii="Arial" w:hAnsi="Arial" w:cs="Arial"/>
                <w:i/>
                <w:sz w:val="20"/>
                <w:szCs w:val="20"/>
              </w:rPr>
              <w:t xml:space="preserve"> divides patients into risk categories according to the summary in</w:t>
            </w:r>
            <w:r w:rsidR="007B0F54" w:rsidRPr="00FF7A00">
              <w:rPr>
                <w:rFonts w:ascii="Arial" w:hAnsi="Arial" w:cs="Arial"/>
                <w:i/>
                <w:sz w:val="20"/>
                <w:szCs w:val="20"/>
              </w:rPr>
              <w:t xml:space="preserve"> </w:t>
            </w:r>
            <w:r w:rsidR="00CE16FA">
              <w:rPr>
                <w:rFonts w:ascii="Arial" w:hAnsi="Arial" w:cs="Arial"/>
                <w:i/>
                <w:sz w:val="20"/>
                <w:szCs w:val="20"/>
              </w:rPr>
              <w:t>Table 1.11.</w:t>
            </w:r>
          </w:p>
          <w:p w:rsidR="00054996" w:rsidRPr="00FF7A00" w:rsidRDefault="00054996" w:rsidP="00807704">
            <w:pPr>
              <w:pStyle w:val="ListParagraph"/>
              <w:numPr>
                <w:ilvl w:val="0"/>
                <w:numId w:val="20"/>
              </w:numPr>
              <w:spacing w:before="60" w:after="60" w:line="240" w:lineRule="auto"/>
              <w:ind w:left="142" w:right="57" w:hanging="294"/>
              <w:jc w:val="left"/>
              <w:rPr>
                <w:rFonts w:ascii="Arial" w:hAnsi="Arial" w:cs="Arial"/>
                <w:i/>
                <w:sz w:val="20"/>
                <w:szCs w:val="20"/>
              </w:rPr>
            </w:pPr>
            <w:r w:rsidRPr="00FF7A00">
              <w:rPr>
                <w:rFonts w:ascii="Arial" w:hAnsi="Arial" w:cs="Arial"/>
                <w:i/>
                <w:sz w:val="20"/>
                <w:szCs w:val="20"/>
              </w:rPr>
              <w:t>McLaughlin et al 2015</w:t>
            </w:r>
            <w:r w:rsidR="009C556B" w:rsidRPr="009C556B">
              <w:rPr>
                <w:rFonts w:ascii="Arial" w:hAnsi="Arial" w:cs="Arial"/>
                <w:i/>
                <w:noProof/>
                <w:sz w:val="20"/>
                <w:szCs w:val="20"/>
                <w:vertAlign w:val="superscript"/>
              </w:rPr>
              <w:t>29</w:t>
            </w:r>
            <w:r w:rsidRPr="00FF7A00">
              <w:rPr>
                <w:rFonts w:ascii="Arial" w:hAnsi="Arial" w:cs="Arial"/>
                <w:i/>
                <w:sz w:val="20"/>
                <w:szCs w:val="20"/>
              </w:rPr>
              <w:t xml:space="preserve"> provided a suggested list of patient risk factors</w:t>
            </w:r>
            <w:r w:rsidR="00CE16FA">
              <w:rPr>
                <w:rFonts w:ascii="Arial" w:hAnsi="Arial" w:cs="Arial"/>
                <w:i/>
                <w:sz w:val="20"/>
                <w:szCs w:val="20"/>
              </w:rPr>
              <w:t xml:space="preserve"> (Table 1.12)</w:t>
            </w:r>
            <w:r w:rsidRPr="00FF7A00">
              <w:rPr>
                <w:rFonts w:ascii="Arial" w:hAnsi="Arial" w:cs="Arial"/>
                <w:i/>
                <w:sz w:val="20"/>
                <w:szCs w:val="20"/>
              </w:rPr>
              <w:t xml:space="preserve">. </w:t>
            </w:r>
          </w:p>
          <w:p w:rsidR="00054996" w:rsidRPr="00FF7A00" w:rsidRDefault="00054996" w:rsidP="009C556B">
            <w:pPr>
              <w:pStyle w:val="ListParagraph"/>
              <w:numPr>
                <w:ilvl w:val="0"/>
                <w:numId w:val="20"/>
              </w:numPr>
              <w:spacing w:before="60" w:after="60" w:line="240" w:lineRule="auto"/>
              <w:ind w:left="142" w:right="57" w:hanging="294"/>
              <w:jc w:val="left"/>
              <w:rPr>
                <w:rFonts w:ascii="Arial" w:hAnsi="Arial" w:cs="Arial"/>
                <w:i/>
                <w:sz w:val="20"/>
                <w:szCs w:val="20"/>
              </w:rPr>
            </w:pPr>
            <w:r w:rsidRPr="00FF7A00">
              <w:rPr>
                <w:rFonts w:ascii="Arial" w:hAnsi="Arial" w:cs="Arial"/>
                <w:i/>
                <w:sz w:val="20"/>
                <w:szCs w:val="20"/>
              </w:rPr>
              <w:t xml:space="preserve">The US REVEAL risk calculator assigns weighted values for a list of clinical features given in </w:t>
            </w:r>
            <w:r w:rsidR="00D63371" w:rsidRPr="00D63371">
              <w:rPr>
                <w:rFonts w:ascii="Arial" w:hAnsi="Arial" w:cs="Arial"/>
                <w:i/>
                <w:sz w:val="20"/>
                <w:szCs w:val="20"/>
              </w:rPr>
              <w:t>Figure 1.1</w:t>
            </w:r>
            <w:r w:rsidR="009C556B" w:rsidRPr="009C556B">
              <w:rPr>
                <w:rFonts w:ascii="Arial" w:hAnsi="Arial" w:cs="Arial"/>
                <w:i/>
                <w:noProof/>
                <w:sz w:val="20"/>
                <w:szCs w:val="20"/>
                <w:vertAlign w:val="superscript"/>
              </w:rPr>
              <w:t>33</w:t>
            </w:r>
            <w:r w:rsidRPr="00FF7A00">
              <w:rPr>
                <w:rFonts w:ascii="Arial" w:hAnsi="Arial" w:cs="Arial"/>
                <w:i/>
                <w:sz w:val="20"/>
                <w:szCs w:val="20"/>
              </w:rPr>
              <w:t xml:space="preserve">. </w:t>
            </w:r>
          </w:p>
        </w:tc>
      </w:tr>
      <w:tr w:rsidR="00054996" w:rsidRPr="00FF7A00" w:rsidTr="00FF7A00">
        <w:tc>
          <w:tcPr>
            <w:tcW w:w="662" w:type="pct"/>
          </w:tcPr>
          <w:p w:rsidR="00054996" w:rsidRPr="00FF7A00" w:rsidRDefault="00054996" w:rsidP="00FF7A00">
            <w:pPr>
              <w:spacing w:before="60" w:after="60" w:line="240" w:lineRule="auto"/>
              <w:ind w:left="147" w:right="57"/>
              <w:jc w:val="left"/>
              <w:rPr>
                <w:rFonts w:ascii="Arial" w:hAnsi="Arial" w:cs="Arial"/>
                <w:sz w:val="20"/>
                <w:szCs w:val="20"/>
              </w:rPr>
            </w:pPr>
            <w:r w:rsidRPr="00FF7A00">
              <w:rPr>
                <w:rFonts w:ascii="Arial" w:hAnsi="Arial" w:cs="Arial"/>
                <w:sz w:val="20"/>
                <w:szCs w:val="20"/>
              </w:rPr>
              <w:t xml:space="preserve">Risk factors – children </w:t>
            </w:r>
          </w:p>
        </w:tc>
        <w:tc>
          <w:tcPr>
            <w:tcW w:w="4338" w:type="pct"/>
          </w:tcPr>
          <w:p w:rsidR="00054996" w:rsidRPr="00FF7A00" w:rsidRDefault="00054996" w:rsidP="00FF7A00">
            <w:pPr>
              <w:spacing w:before="60" w:after="60" w:line="240" w:lineRule="auto"/>
              <w:ind w:left="142" w:right="57"/>
              <w:jc w:val="left"/>
              <w:rPr>
                <w:rFonts w:ascii="Arial" w:hAnsi="Arial" w:cs="Arial"/>
                <w:sz w:val="20"/>
                <w:szCs w:val="20"/>
              </w:rPr>
            </w:pPr>
            <w:r w:rsidRPr="00FF7A00">
              <w:rPr>
                <w:rFonts w:ascii="Arial" w:hAnsi="Arial" w:cs="Arial"/>
                <w:sz w:val="20"/>
                <w:szCs w:val="20"/>
              </w:rPr>
              <w:t>Regarding PAH risk factors in children, the ESC/ERS guideline states that “</w:t>
            </w:r>
            <w:r w:rsidRPr="00FF7A00">
              <w:rPr>
                <w:rFonts w:ascii="Arial" w:hAnsi="Arial" w:cs="Arial"/>
                <w:i/>
                <w:sz w:val="20"/>
                <w:szCs w:val="20"/>
              </w:rPr>
              <w:t xml:space="preserve">As in adults, clinical evidence of RV failure, progression of symptoms, WHO-FC III/IV and elevated BNP levels are recognized as being associated with higher risk of death. In children, failure to thrive, haemodynamic parameters such as the </w:t>
            </w:r>
            <w:proofErr w:type="spellStart"/>
            <w:r w:rsidRPr="00FF7A00">
              <w:rPr>
                <w:rFonts w:ascii="Arial" w:hAnsi="Arial" w:cs="Arial"/>
                <w:i/>
                <w:sz w:val="20"/>
                <w:szCs w:val="20"/>
              </w:rPr>
              <w:t>mPAP</w:t>
            </w:r>
            <w:proofErr w:type="gramStart"/>
            <w:r w:rsidRPr="00FF7A00">
              <w:rPr>
                <w:rFonts w:ascii="Arial" w:hAnsi="Arial" w:cs="Arial"/>
                <w:i/>
                <w:sz w:val="20"/>
                <w:szCs w:val="20"/>
              </w:rPr>
              <w:t>:systemic</w:t>
            </w:r>
            <w:proofErr w:type="spellEnd"/>
            <w:proofErr w:type="gramEnd"/>
            <w:r w:rsidRPr="00FF7A00">
              <w:rPr>
                <w:rFonts w:ascii="Arial" w:hAnsi="Arial" w:cs="Arial"/>
                <w:i/>
                <w:sz w:val="20"/>
                <w:szCs w:val="20"/>
              </w:rPr>
              <w:t xml:space="preserve"> artery pressure ratio, RAP &gt;10 mmHg and PVR index &gt;20 Wood Units/m2 have also been associated with a higher risk of death, while the 6MWD was not a prognostic parameter.”</w:t>
            </w:r>
          </w:p>
        </w:tc>
      </w:tr>
      <w:tr w:rsidR="00A10002" w:rsidRPr="00FF7A00" w:rsidTr="00A31206">
        <w:tc>
          <w:tcPr>
            <w:tcW w:w="5000" w:type="pct"/>
            <w:gridSpan w:val="2"/>
            <w:shd w:val="clear" w:color="auto" w:fill="000000" w:themeFill="text1"/>
          </w:tcPr>
          <w:p w:rsidR="00A10002" w:rsidRPr="00FF7A00" w:rsidRDefault="00FB1802" w:rsidP="009C556B">
            <w:pPr>
              <w:spacing w:before="60" w:after="60" w:line="240" w:lineRule="auto"/>
              <w:ind w:left="142" w:right="57"/>
              <w:jc w:val="left"/>
              <w:rPr>
                <w:rFonts w:ascii="Arial" w:hAnsi="Arial" w:cs="Arial"/>
                <w:b/>
                <w:sz w:val="20"/>
                <w:szCs w:val="20"/>
              </w:rPr>
            </w:pPr>
            <w:r w:rsidRPr="00FF7A00">
              <w:rPr>
                <w:rFonts w:ascii="Arial" w:hAnsi="Arial" w:cs="Arial"/>
                <w:b/>
                <w:sz w:val="20"/>
                <w:szCs w:val="20"/>
              </w:rPr>
              <w:t>T</w:t>
            </w:r>
            <w:r w:rsidR="00A10002" w:rsidRPr="00FF7A00">
              <w:rPr>
                <w:rFonts w:ascii="Arial" w:hAnsi="Arial" w:cs="Arial"/>
                <w:b/>
                <w:sz w:val="20"/>
                <w:szCs w:val="20"/>
              </w:rPr>
              <w:t>reatment response (per ESC/ERS guideline</w:t>
            </w:r>
            <w:r w:rsidR="009C556B" w:rsidRPr="00FF7A00">
              <w:rPr>
                <w:rFonts w:ascii="Arial" w:hAnsi="Arial" w:cs="Arial"/>
                <w:b/>
                <w:noProof/>
                <w:sz w:val="20"/>
                <w:szCs w:val="20"/>
                <w:vertAlign w:val="superscript"/>
              </w:rPr>
              <w:t>8</w:t>
            </w:r>
            <w:r w:rsidR="00A10002" w:rsidRPr="00FF7A00">
              <w:rPr>
                <w:rFonts w:ascii="Arial" w:hAnsi="Arial" w:cs="Arial"/>
                <w:b/>
                <w:sz w:val="20"/>
                <w:szCs w:val="20"/>
              </w:rPr>
              <w:t>)</w:t>
            </w:r>
          </w:p>
        </w:tc>
      </w:tr>
      <w:tr w:rsidR="00054996" w:rsidRPr="00FF7A00" w:rsidTr="00FF7A00">
        <w:tc>
          <w:tcPr>
            <w:tcW w:w="662" w:type="pct"/>
          </w:tcPr>
          <w:p w:rsidR="00054996" w:rsidRPr="00FF7A00" w:rsidRDefault="00A10002" w:rsidP="00FF7A00">
            <w:pPr>
              <w:spacing w:before="60" w:after="60" w:line="240" w:lineRule="auto"/>
              <w:ind w:left="147" w:right="57"/>
              <w:jc w:val="left"/>
              <w:rPr>
                <w:rFonts w:ascii="Arial" w:hAnsi="Arial" w:cs="Arial"/>
                <w:sz w:val="20"/>
                <w:szCs w:val="20"/>
              </w:rPr>
            </w:pPr>
            <w:r w:rsidRPr="00FF7A00">
              <w:rPr>
                <w:rFonts w:ascii="Arial" w:hAnsi="Arial" w:cs="Arial"/>
                <w:sz w:val="20"/>
                <w:szCs w:val="20"/>
              </w:rPr>
              <w:t>Assessments</w:t>
            </w:r>
          </w:p>
        </w:tc>
        <w:tc>
          <w:tcPr>
            <w:tcW w:w="4338" w:type="pct"/>
          </w:tcPr>
          <w:p w:rsidR="00A10002" w:rsidRPr="00FF7A00" w:rsidRDefault="00FB1802" w:rsidP="00A82355">
            <w:pPr>
              <w:tabs>
                <w:tab w:val="left" w:pos="8897"/>
              </w:tabs>
              <w:spacing w:before="60" w:after="60" w:line="240" w:lineRule="auto"/>
              <w:ind w:left="142" w:right="57"/>
              <w:jc w:val="left"/>
              <w:rPr>
                <w:rFonts w:ascii="Arial" w:hAnsi="Arial" w:cs="Arial"/>
                <w:i/>
                <w:sz w:val="20"/>
                <w:szCs w:val="20"/>
              </w:rPr>
            </w:pPr>
            <w:r w:rsidRPr="00FF7A00">
              <w:rPr>
                <w:rFonts w:ascii="Arial" w:hAnsi="Arial" w:cs="Arial"/>
                <w:i/>
                <w:sz w:val="20"/>
                <w:szCs w:val="20"/>
              </w:rPr>
              <w:t>“</w:t>
            </w:r>
            <w:r w:rsidR="00A10002" w:rsidRPr="00FF7A00">
              <w:rPr>
                <w:rFonts w:ascii="Arial" w:hAnsi="Arial" w:cs="Arial"/>
                <w:i/>
                <w:sz w:val="20"/>
                <w:szCs w:val="20"/>
              </w:rPr>
              <w:t>It is recommended to evaluate the severity of PAH patients with a panel of data derived from clinical assessment,</w:t>
            </w:r>
            <w:r w:rsidR="00C40AC4" w:rsidRPr="00FF7A00">
              <w:rPr>
                <w:rFonts w:ascii="Arial" w:hAnsi="Arial" w:cs="Arial"/>
                <w:i/>
                <w:sz w:val="20"/>
                <w:szCs w:val="20"/>
              </w:rPr>
              <w:t xml:space="preserve"> </w:t>
            </w:r>
            <w:r w:rsidR="00A10002" w:rsidRPr="00FF7A00">
              <w:rPr>
                <w:rFonts w:ascii="Arial" w:hAnsi="Arial" w:cs="Arial"/>
                <w:i/>
                <w:sz w:val="20"/>
                <w:szCs w:val="20"/>
              </w:rPr>
              <w:t>exercise tests, biochemical markers and echocardiographic and haemodynamic evaluations</w:t>
            </w:r>
            <w:r w:rsidRPr="00FF7A00">
              <w:rPr>
                <w:rFonts w:ascii="Arial" w:hAnsi="Arial" w:cs="Arial"/>
                <w:i/>
                <w:sz w:val="20"/>
                <w:szCs w:val="20"/>
              </w:rPr>
              <w:t>”</w:t>
            </w:r>
            <w:r w:rsidR="00A10002" w:rsidRPr="00FF7A00">
              <w:rPr>
                <w:rFonts w:ascii="Arial" w:hAnsi="Arial" w:cs="Arial"/>
                <w:sz w:val="20"/>
                <w:szCs w:val="20"/>
              </w:rPr>
              <w:t xml:space="preserve"> – see</w:t>
            </w:r>
            <w:r w:rsidR="007B0F54" w:rsidRPr="00FF7A00">
              <w:rPr>
                <w:rFonts w:ascii="Arial" w:hAnsi="Arial" w:cs="Arial"/>
                <w:sz w:val="20"/>
                <w:szCs w:val="20"/>
              </w:rPr>
              <w:t xml:space="preserve"> </w:t>
            </w:r>
            <w:r w:rsidR="00CE16FA">
              <w:rPr>
                <w:rFonts w:ascii="Arial" w:hAnsi="Arial" w:cs="Arial"/>
                <w:sz w:val="20"/>
                <w:szCs w:val="20"/>
              </w:rPr>
              <w:t>Table 1.13</w:t>
            </w:r>
            <w:r w:rsidR="003C17FA" w:rsidRPr="00FF7A00">
              <w:rPr>
                <w:rFonts w:ascii="Arial" w:hAnsi="Arial" w:cs="Arial"/>
                <w:sz w:val="20"/>
                <w:szCs w:val="20"/>
              </w:rPr>
              <w:t xml:space="preserve">. </w:t>
            </w:r>
            <w:r w:rsidR="00A10002" w:rsidRPr="00FF7A00">
              <w:rPr>
                <w:rFonts w:ascii="Arial" w:hAnsi="Arial" w:cs="Arial"/>
                <w:sz w:val="20"/>
                <w:szCs w:val="20"/>
              </w:rPr>
              <w:t>The assessments are the same as those to determine risk factors</w:t>
            </w:r>
            <w:r w:rsidR="003C17FA" w:rsidRPr="00FF7A00">
              <w:rPr>
                <w:rFonts w:ascii="Arial" w:hAnsi="Arial" w:cs="Arial"/>
                <w:sz w:val="20"/>
                <w:szCs w:val="20"/>
              </w:rPr>
              <w:t xml:space="preserve">. </w:t>
            </w:r>
          </w:p>
        </w:tc>
      </w:tr>
      <w:tr w:rsidR="00054996" w:rsidRPr="00FF7A00" w:rsidTr="00FF7A00">
        <w:tc>
          <w:tcPr>
            <w:tcW w:w="662" w:type="pct"/>
          </w:tcPr>
          <w:p w:rsidR="00054996" w:rsidRPr="00FF7A00" w:rsidRDefault="00A10002" w:rsidP="00FF7A00">
            <w:pPr>
              <w:spacing w:before="60" w:after="60" w:line="240" w:lineRule="auto"/>
              <w:ind w:left="147" w:right="57"/>
              <w:jc w:val="left"/>
              <w:rPr>
                <w:rFonts w:ascii="Arial" w:hAnsi="Arial" w:cs="Arial"/>
                <w:sz w:val="20"/>
                <w:szCs w:val="20"/>
              </w:rPr>
            </w:pPr>
            <w:r w:rsidRPr="00FF7A00">
              <w:rPr>
                <w:rFonts w:ascii="Arial" w:hAnsi="Arial" w:cs="Arial"/>
                <w:sz w:val="20"/>
                <w:szCs w:val="20"/>
              </w:rPr>
              <w:t>Frequency</w:t>
            </w:r>
          </w:p>
        </w:tc>
        <w:tc>
          <w:tcPr>
            <w:tcW w:w="4338" w:type="pct"/>
          </w:tcPr>
          <w:p w:rsidR="00054996" w:rsidRPr="00FF7A00" w:rsidRDefault="00FB1802" w:rsidP="00FF7A00">
            <w:pPr>
              <w:spacing w:before="60" w:after="60" w:line="240" w:lineRule="auto"/>
              <w:ind w:left="142" w:right="57"/>
              <w:jc w:val="left"/>
              <w:rPr>
                <w:rFonts w:ascii="Arial" w:hAnsi="Arial" w:cs="Arial"/>
                <w:sz w:val="20"/>
                <w:szCs w:val="20"/>
              </w:rPr>
            </w:pPr>
            <w:r w:rsidRPr="00FF7A00">
              <w:rPr>
                <w:rFonts w:ascii="Arial" w:hAnsi="Arial" w:cs="Arial"/>
                <w:i/>
                <w:sz w:val="20"/>
                <w:szCs w:val="20"/>
              </w:rPr>
              <w:t>“</w:t>
            </w:r>
            <w:r w:rsidR="00A10002" w:rsidRPr="00FF7A00">
              <w:rPr>
                <w:rFonts w:ascii="Arial" w:hAnsi="Arial" w:cs="Arial"/>
                <w:i/>
                <w:sz w:val="20"/>
                <w:szCs w:val="20"/>
              </w:rPr>
              <w:t>It is recommended to perform regular follow-up assessments every 3–6 months in stable patients</w:t>
            </w:r>
            <w:r w:rsidRPr="00FF7A00">
              <w:rPr>
                <w:rFonts w:ascii="Arial" w:hAnsi="Arial" w:cs="Arial"/>
                <w:i/>
                <w:sz w:val="20"/>
                <w:szCs w:val="20"/>
              </w:rPr>
              <w:t>”</w:t>
            </w:r>
            <w:r w:rsidR="00A10002" w:rsidRPr="00FF7A00">
              <w:rPr>
                <w:rFonts w:ascii="Arial" w:hAnsi="Arial" w:cs="Arial"/>
                <w:sz w:val="20"/>
                <w:szCs w:val="20"/>
              </w:rPr>
              <w:t xml:space="preserve"> – see </w:t>
            </w:r>
            <w:r w:rsidR="00CE16FA">
              <w:rPr>
                <w:rFonts w:ascii="Arial" w:hAnsi="Arial" w:cs="Arial"/>
                <w:sz w:val="20"/>
                <w:szCs w:val="20"/>
              </w:rPr>
              <w:t>Table 1.13</w:t>
            </w:r>
            <w:r w:rsidR="003C17FA" w:rsidRPr="00FF7A00">
              <w:rPr>
                <w:rFonts w:ascii="Arial" w:hAnsi="Arial" w:cs="Arial"/>
                <w:sz w:val="20"/>
                <w:szCs w:val="20"/>
              </w:rPr>
              <w:t xml:space="preserve">. </w:t>
            </w:r>
          </w:p>
          <w:p w:rsidR="00FB1802" w:rsidRPr="00FF7A00" w:rsidRDefault="00FB1802" w:rsidP="00FF7A00">
            <w:pPr>
              <w:spacing w:before="60" w:after="60" w:line="240" w:lineRule="auto"/>
              <w:ind w:left="142" w:right="57"/>
              <w:jc w:val="left"/>
              <w:rPr>
                <w:rFonts w:ascii="Arial" w:hAnsi="Arial" w:cs="Arial"/>
                <w:i/>
                <w:sz w:val="20"/>
                <w:szCs w:val="20"/>
              </w:rPr>
            </w:pPr>
          </w:p>
          <w:p w:rsidR="00FB1802" w:rsidRPr="00FF7A00" w:rsidRDefault="00FB1802" w:rsidP="009C556B">
            <w:pPr>
              <w:spacing w:before="60" w:after="60" w:line="240" w:lineRule="auto"/>
              <w:ind w:left="142" w:right="57"/>
              <w:jc w:val="left"/>
              <w:rPr>
                <w:rFonts w:ascii="Arial" w:hAnsi="Arial" w:cs="Arial"/>
                <w:i/>
                <w:sz w:val="20"/>
                <w:szCs w:val="20"/>
              </w:rPr>
            </w:pPr>
            <w:r w:rsidRPr="00FF7A00">
              <w:rPr>
                <w:rFonts w:ascii="Arial" w:hAnsi="Arial" w:cs="Arial"/>
                <w:i/>
                <w:sz w:val="20"/>
                <w:szCs w:val="20"/>
              </w:rPr>
              <w:t>“In children, it is recommended RHC should be repeated within 3 to 12 months after initiation of therapy to evaluate response or upon clinical worsening; and thereafter at regular follow-up intervals or upon clinical worsening. In general, follow-up should be made, at a minimum, every 3 to 6 months, or more frequently visits for children with advanced disease or if PAH changing medication”</w:t>
            </w:r>
            <w:r w:rsidR="009C556B" w:rsidRPr="009C556B">
              <w:rPr>
                <w:rFonts w:ascii="Arial" w:hAnsi="Arial" w:cs="Arial"/>
                <w:i/>
                <w:noProof/>
                <w:sz w:val="20"/>
                <w:szCs w:val="20"/>
                <w:vertAlign w:val="superscript"/>
              </w:rPr>
              <w:t>22, 23</w:t>
            </w:r>
            <w:r w:rsidR="00433046">
              <w:rPr>
                <w:rFonts w:ascii="Arial" w:hAnsi="Arial" w:cs="Arial"/>
                <w:i/>
                <w:sz w:val="20"/>
                <w:szCs w:val="20"/>
              </w:rPr>
              <w:t>.</w:t>
            </w:r>
          </w:p>
        </w:tc>
      </w:tr>
      <w:tr w:rsidR="00A10002" w:rsidRPr="00FF7A00" w:rsidTr="00FF7A00">
        <w:tc>
          <w:tcPr>
            <w:tcW w:w="662" w:type="pct"/>
          </w:tcPr>
          <w:p w:rsidR="00A10002" w:rsidRPr="00FF7A00" w:rsidRDefault="00A10002" w:rsidP="00FF7A00">
            <w:pPr>
              <w:spacing w:before="60" w:after="60" w:line="240" w:lineRule="auto"/>
              <w:ind w:left="147" w:right="57"/>
              <w:jc w:val="left"/>
              <w:rPr>
                <w:rFonts w:ascii="Arial" w:hAnsi="Arial" w:cs="Arial"/>
                <w:sz w:val="20"/>
                <w:szCs w:val="20"/>
              </w:rPr>
            </w:pPr>
            <w:r w:rsidRPr="00FF7A00">
              <w:rPr>
                <w:rFonts w:ascii="Arial" w:hAnsi="Arial" w:cs="Arial"/>
                <w:sz w:val="20"/>
                <w:szCs w:val="20"/>
              </w:rPr>
              <w:t>Objectives</w:t>
            </w:r>
          </w:p>
        </w:tc>
        <w:tc>
          <w:tcPr>
            <w:tcW w:w="4338" w:type="pct"/>
          </w:tcPr>
          <w:p w:rsidR="00A10002" w:rsidRPr="00FF7A00" w:rsidRDefault="00FB1802" w:rsidP="00FF7A00">
            <w:pPr>
              <w:spacing w:before="60" w:after="60" w:line="240" w:lineRule="auto"/>
              <w:ind w:left="142" w:right="57"/>
              <w:jc w:val="left"/>
              <w:rPr>
                <w:rFonts w:ascii="Arial" w:hAnsi="Arial" w:cs="Arial"/>
                <w:i/>
                <w:sz w:val="20"/>
                <w:szCs w:val="20"/>
              </w:rPr>
            </w:pPr>
            <w:r w:rsidRPr="00FF7A00">
              <w:rPr>
                <w:rFonts w:ascii="Arial" w:hAnsi="Arial" w:cs="Arial"/>
                <w:i/>
                <w:sz w:val="20"/>
                <w:szCs w:val="20"/>
              </w:rPr>
              <w:t>“</w:t>
            </w:r>
            <w:r w:rsidR="00A10002" w:rsidRPr="00FF7A00">
              <w:rPr>
                <w:rFonts w:ascii="Arial" w:hAnsi="Arial" w:cs="Arial"/>
                <w:i/>
                <w:sz w:val="20"/>
                <w:szCs w:val="20"/>
              </w:rPr>
              <w:t>Achievement/maintenance of a low-risk profile is recommended as an adequate treatment response for patients with PAH</w:t>
            </w:r>
            <w:r w:rsidRPr="00FF7A00">
              <w:rPr>
                <w:rFonts w:ascii="Arial" w:hAnsi="Arial" w:cs="Arial"/>
                <w:i/>
                <w:sz w:val="20"/>
                <w:szCs w:val="20"/>
              </w:rPr>
              <w:t>”</w:t>
            </w:r>
            <w:r w:rsidR="00433046">
              <w:rPr>
                <w:rFonts w:ascii="Arial" w:hAnsi="Arial" w:cs="Arial"/>
                <w:i/>
                <w:sz w:val="20"/>
                <w:szCs w:val="20"/>
              </w:rPr>
              <w:t>.</w:t>
            </w:r>
          </w:p>
          <w:p w:rsidR="00A10002" w:rsidRPr="00FF7A00" w:rsidRDefault="00FB1802" w:rsidP="00FF7A00">
            <w:pPr>
              <w:spacing w:before="60" w:after="60" w:line="240" w:lineRule="auto"/>
              <w:ind w:left="142" w:right="57"/>
              <w:jc w:val="left"/>
              <w:rPr>
                <w:rFonts w:ascii="Arial" w:hAnsi="Arial" w:cs="Arial"/>
                <w:i/>
                <w:sz w:val="20"/>
                <w:szCs w:val="20"/>
              </w:rPr>
            </w:pPr>
            <w:r w:rsidRPr="00FF7A00">
              <w:rPr>
                <w:rFonts w:ascii="Arial" w:hAnsi="Arial" w:cs="Arial"/>
                <w:i/>
                <w:sz w:val="20"/>
                <w:szCs w:val="20"/>
              </w:rPr>
              <w:t>“</w:t>
            </w:r>
            <w:r w:rsidR="00A10002" w:rsidRPr="00FF7A00">
              <w:rPr>
                <w:rFonts w:ascii="Arial" w:hAnsi="Arial" w:cs="Arial"/>
                <w:i/>
                <w:sz w:val="20"/>
                <w:szCs w:val="20"/>
              </w:rPr>
              <w:t>Achievement/maintenance of an intermediate-risk profile should be considered an inadequate treatment response for most patients with PAH</w:t>
            </w:r>
            <w:r w:rsidRPr="00FF7A00">
              <w:rPr>
                <w:rFonts w:ascii="Arial" w:hAnsi="Arial" w:cs="Arial"/>
                <w:i/>
                <w:sz w:val="20"/>
                <w:szCs w:val="20"/>
              </w:rPr>
              <w:t>”</w:t>
            </w:r>
            <w:r w:rsidR="00433046">
              <w:rPr>
                <w:rFonts w:ascii="Arial" w:hAnsi="Arial" w:cs="Arial"/>
                <w:i/>
                <w:sz w:val="20"/>
                <w:szCs w:val="20"/>
              </w:rPr>
              <w:t>.</w:t>
            </w:r>
          </w:p>
        </w:tc>
      </w:tr>
    </w:tbl>
    <w:p w:rsidR="00FF7A00" w:rsidRDefault="00FF7A00">
      <w:r>
        <w:br w:type="page"/>
      </w:r>
    </w:p>
    <w:tbl>
      <w:tblPr>
        <w:tblStyle w:val="TableGrid"/>
        <w:tblW w:w="5000" w:type="pct"/>
        <w:tblLayout w:type="fixed"/>
        <w:tblLook w:val="04A0" w:firstRow="1" w:lastRow="0" w:firstColumn="1" w:lastColumn="0" w:noHBand="0" w:noVBand="1"/>
        <w:tblCaption w:val="Monitoring recommendations and other patient assessments for PAH"/>
      </w:tblPr>
      <w:tblGrid>
        <w:gridCol w:w="1849"/>
        <w:gridCol w:w="12119"/>
      </w:tblGrid>
      <w:tr w:rsidR="00FB1802" w:rsidRPr="00FF7A00" w:rsidTr="00FF7A00">
        <w:trPr>
          <w:cnfStyle w:val="100000000000" w:firstRow="1" w:lastRow="0" w:firstColumn="0" w:lastColumn="0" w:oddVBand="0" w:evenVBand="0" w:oddHBand="0" w:evenHBand="0" w:firstRowFirstColumn="0" w:firstRowLastColumn="0" w:lastRowFirstColumn="0" w:lastRowLastColumn="0"/>
        </w:trPr>
        <w:tc>
          <w:tcPr>
            <w:tcW w:w="662" w:type="pct"/>
            <w:tcBorders>
              <w:bottom w:val="single" w:sz="4" w:space="0" w:color="auto"/>
            </w:tcBorders>
          </w:tcPr>
          <w:p w:rsidR="00FB1802" w:rsidRPr="00FF7A00" w:rsidRDefault="00FB1802" w:rsidP="00FF7A00">
            <w:pPr>
              <w:spacing w:before="60" w:after="60" w:line="240" w:lineRule="auto"/>
              <w:ind w:left="147" w:right="57"/>
              <w:jc w:val="left"/>
              <w:rPr>
                <w:rFonts w:ascii="Arial" w:hAnsi="Arial" w:cs="Arial"/>
                <w:sz w:val="20"/>
                <w:szCs w:val="20"/>
              </w:rPr>
            </w:pPr>
            <w:r w:rsidRPr="00FF7A00">
              <w:rPr>
                <w:rFonts w:ascii="Arial" w:hAnsi="Arial" w:cs="Arial"/>
                <w:sz w:val="20"/>
                <w:szCs w:val="20"/>
              </w:rPr>
              <w:t>Clinical worsening</w:t>
            </w:r>
          </w:p>
        </w:tc>
        <w:tc>
          <w:tcPr>
            <w:tcW w:w="4338" w:type="pct"/>
          </w:tcPr>
          <w:p w:rsidR="00FB1802" w:rsidRPr="00FF7A00" w:rsidRDefault="00FB1802" w:rsidP="009C556B">
            <w:pPr>
              <w:spacing w:before="60" w:after="60" w:line="240" w:lineRule="auto"/>
              <w:ind w:left="142" w:right="57"/>
              <w:jc w:val="left"/>
              <w:rPr>
                <w:rFonts w:ascii="Arial" w:hAnsi="Arial" w:cs="Arial"/>
                <w:i/>
                <w:sz w:val="20"/>
                <w:szCs w:val="20"/>
              </w:rPr>
            </w:pPr>
            <w:r w:rsidRPr="00FF7A00">
              <w:rPr>
                <w:rFonts w:ascii="Arial" w:hAnsi="Arial" w:cs="Arial"/>
                <w:i/>
                <w:sz w:val="20"/>
                <w:szCs w:val="20"/>
              </w:rPr>
              <w:t xml:space="preserve">Clinical worsening is the main indicator of a change in PAH disease status. Time to clinical worsening is frequently included as a secondary endpoint in PAH clinical </w:t>
            </w:r>
            <w:proofErr w:type="gramStart"/>
            <w:r w:rsidRPr="00FF7A00">
              <w:rPr>
                <w:rFonts w:ascii="Arial" w:hAnsi="Arial" w:cs="Arial"/>
                <w:i/>
                <w:sz w:val="20"/>
                <w:szCs w:val="20"/>
              </w:rPr>
              <w:t>trials</w:t>
            </w:r>
            <w:r w:rsidR="009C556B" w:rsidRPr="009C556B">
              <w:rPr>
                <w:rFonts w:ascii="Arial" w:hAnsi="Arial" w:cs="Arial"/>
                <w:i/>
                <w:noProof/>
                <w:sz w:val="20"/>
                <w:szCs w:val="20"/>
                <w:vertAlign w:val="superscript"/>
              </w:rPr>
              <w:t>34</w:t>
            </w:r>
            <w:r w:rsidRPr="00FF7A00">
              <w:rPr>
                <w:rFonts w:ascii="Arial" w:hAnsi="Arial" w:cs="Arial"/>
                <w:i/>
                <w:sz w:val="20"/>
                <w:szCs w:val="20"/>
              </w:rPr>
              <w:t>(</w:t>
            </w:r>
            <w:proofErr w:type="gramEnd"/>
            <w:r w:rsidRPr="00FF7A00">
              <w:rPr>
                <w:rFonts w:ascii="Arial" w:hAnsi="Arial" w:cs="Arial"/>
                <w:i/>
                <w:sz w:val="20"/>
                <w:szCs w:val="20"/>
              </w:rPr>
              <w:t xml:space="preserve">discussed further in TOR4). The guidelines refer to clinical worsening but without offering a definition for use in clinical practice (c.f. clinical trials). Change in exercise capacity and signs of right heart failure will be dependent on frequency of assessment and the margin that is defined as clinically meaningful. </w:t>
            </w:r>
          </w:p>
        </w:tc>
      </w:tr>
      <w:tr w:rsidR="00FB1802" w:rsidRPr="00FF7A00" w:rsidTr="00FF7A00">
        <w:tc>
          <w:tcPr>
            <w:tcW w:w="662" w:type="pct"/>
            <w:tcBorders>
              <w:bottom w:val="nil"/>
            </w:tcBorders>
          </w:tcPr>
          <w:p w:rsidR="00FB1802" w:rsidRPr="00FF7A00" w:rsidRDefault="00FB1802" w:rsidP="00FF7A00">
            <w:pPr>
              <w:spacing w:before="60" w:after="60" w:line="240" w:lineRule="auto"/>
              <w:ind w:left="147" w:right="57"/>
              <w:jc w:val="left"/>
              <w:rPr>
                <w:rFonts w:ascii="Arial" w:hAnsi="Arial" w:cs="Arial"/>
                <w:sz w:val="20"/>
                <w:szCs w:val="20"/>
              </w:rPr>
            </w:pPr>
            <w:r w:rsidRPr="00FF7A00">
              <w:rPr>
                <w:rFonts w:ascii="Arial" w:hAnsi="Arial" w:cs="Arial"/>
                <w:sz w:val="20"/>
                <w:szCs w:val="20"/>
              </w:rPr>
              <w:t>Treatment goals</w:t>
            </w:r>
          </w:p>
        </w:tc>
        <w:tc>
          <w:tcPr>
            <w:tcW w:w="4338" w:type="pct"/>
          </w:tcPr>
          <w:p w:rsidR="00FB1802" w:rsidRPr="00FF7A00" w:rsidRDefault="00FB1802" w:rsidP="00FF7A00">
            <w:pPr>
              <w:spacing w:before="60" w:after="60" w:line="240" w:lineRule="auto"/>
              <w:ind w:left="142" w:right="57"/>
              <w:jc w:val="left"/>
              <w:rPr>
                <w:rFonts w:ascii="Arial" w:hAnsi="Arial" w:cs="Arial"/>
                <w:i/>
                <w:sz w:val="20"/>
                <w:szCs w:val="20"/>
              </w:rPr>
            </w:pPr>
            <w:r w:rsidRPr="00FF7A00">
              <w:rPr>
                <w:rFonts w:ascii="Arial" w:hAnsi="Arial" w:cs="Arial"/>
                <w:i/>
                <w:sz w:val="20"/>
                <w:szCs w:val="20"/>
              </w:rPr>
              <w:t>“The goal-oriented treatment strategy utilises different targets, including WHO Functional Class I or II, and the near-normalisation of resting cardiac index and/or of NT-</w:t>
            </w:r>
            <w:proofErr w:type="spellStart"/>
            <w:r w:rsidRPr="00FF7A00">
              <w:rPr>
                <w:rFonts w:ascii="Arial" w:hAnsi="Arial" w:cs="Arial"/>
                <w:i/>
                <w:sz w:val="20"/>
                <w:szCs w:val="20"/>
              </w:rPr>
              <w:t>proBNP</w:t>
            </w:r>
            <w:proofErr w:type="spellEnd"/>
            <w:r w:rsidRPr="00FF7A00">
              <w:rPr>
                <w:rFonts w:ascii="Arial" w:hAnsi="Arial" w:cs="Arial"/>
                <w:i/>
                <w:sz w:val="20"/>
                <w:szCs w:val="20"/>
              </w:rPr>
              <w:t xml:space="preserve"> plasma levels.”</w:t>
            </w:r>
          </w:p>
        </w:tc>
      </w:tr>
      <w:tr w:rsidR="00FB1802" w:rsidRPr="00FF7A00" w:rsidTr="00FF7A00">
        <w:tc>
          <w:tcPr>
            <w:tcW w:w="662" w:type="pct"/>
            <w:tcBorders>
              <w:top w:val="nil"/>
            </w:tcBorders>
          </w:tcPr>
          <w:p w:rsidR="00FB1802" w:rsidRPr="00FF7A00" w:rsidRDefault="00FB1802" w:rsidP="00FF7A00">
            <w:pPr>
              <w:spacing w:before="60" w:after="60" w:line="240" w:lineRule="auto"/>
              <w:ind w:left="147" w:right="57"/>
              <w:jc w:val="left"/>
              <w:rPr>
                <w:rFonts w:ascii="Arial" w:hAnsi="Arial" w:cs="Arial"/>
                <w:sz w:val="20"/>
                <w:szCs w:val="20"/>
              </w:rPr>
            </w:pPr>
          </w:p>
        </w:tc>
        <w:tc>
          <w:tcPr>
            <w:tcW w:w="4338" w:type="pct"/>
          </w:tcPr>
          <w:p w:rsidR="00FB1802" w:rsidRPr="00FF7A00" w:rsidRDefault="00FB1802" w:rsidP="00FF7A00">
            <w:pPr>
              <w:spacing w:before="60" w:after="60" w:line="240" w:lineRule="auto"/>
              <w:ind w:left="142" w:right="57"/>
              <w:jc w:val="left"/>
              <w:rPr>
                <w:rFonts w:ascii="Arial" w:hAnsi="Arial" w:cs="Arial"/>
                <w:sz w:val="20"/>
                <w:szCs w:val="20"/>
              </w:rPr>
            </w:pPr>
            <w:r w:rsidRPr="00FF7A00">
              <w:rPr>
                <w:rFonts w:ascii="Arial" w:hAnsi="Arial" w:cs="Arial"/>
                <w:sz w:val="20"/>
                <w:szCs w:val="20"/>
              </w:rPr>
              <w:t>Choice of further goals or measures is left to the judgement of the treating physician and is not covered by the guidelines. However, as an illustration, suggested treatment goals for PAH are summarised in McLaughlin et al 2015</w:t>
            </w:r>
            <w:r w:rsidR="009C556B" w:rsidRPr="009C556B">
              <w:rPr>
                <w:rFonts w:ascii="Arial" w:hAnsi="Arial" w:cs="Arial"/>
                <w:noProof/>
                <w:sz w:val="20"/>
                <w:szCs w:val="20"/>
                <w:vertAlign w:val="superscript"/>
              </w:rPr>
              <w:t>29</w:t>
            </w:r>
            <w:r w:rsidRPr="00FF7A00">
              <w:rPr>
                <w:rFonts w:ascii="Arial" w:hAnsi="Arial" w:cs="Arial"/>
                <w:sz w:val="20"/>
                <w:szCs w:val="20"/>
              </w:rPr>
              <w:t>:</w:t>
            </w:r>
          </w:p>
          <w:p w:rsidR="00FB1802" w:rsidRPr="00FF7A00" w:rsidRDefault="00FB1802" w:rsidP="00FF7A00">
            <w:pPr>
              <w:spacing w:before="60" w:after="60" w:line="240" w:lineRule="auto"/>
              <w:ind w:left="142" w:right="57"/>
              <w:jc w:val="left"/>
              <w:rPr>
                <w:rFonts w:ascii="Arial" w:hAnsi="Arial" w:cs="Arial"/>
                <w:sz w:val="20"/>
                <w:szCs w:val="20"/>
              </w:rPr>
            </w:pPr>
            <w:r w:rsidRPr="00FF7A00">
              <w:rPr>
                <w:rFonts w:ascii="Arial" w:hAnsi="Arial" w:cs="Arial"/>
                <w:sz w:val="20"/>
                <w:szCs w:val="20"/>
              </w:rPr>
              <w:t>Target to reach: WHO Functional Class I or II</w:t>
            </w:r>
          </w:p>
          <w:p w:rsidR="00FB1802" w:rsidRPr="00FF7A00" w:rsidRDefault="00FB1802" w:rsidP="00FF7A00">
            <w:pPr>
              <w:spacing w:before="60" w:after="60" w:line="240" w:lineRule="auto"/>
              <w:ind w:left="142" w:right="57"/>
              <w:jc w:val="left"/>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t>Echocardiography/C</w:t>
            </w:r>
            <w:r w:rsidR="00AF191D" w:rsidRPr="00FF7A00">
              <w:rPr>
                <w:rFonts w:ascii="Arial" w:hAnsi="Arial" w:cs="Arial"/>
                <w:sz w:val="20"/>
                <w:szCs w:val="20"/>
              </w:rPr>
              <w:t xml:space="preserve">ardiac </w:t>
            </w:r>
            <w:r w:rsidRPr="00FF7A00">
              <w:rPr>
                <w:rFonts w:ascii="Arial" w:hAnsi="Arial" w:cs="Arial"/>
                <w:sz w:val="20"/>
                <w:szCs w:val="20"/>
              </w:rPr>
              <w:t>MRI normal or near-normal RV size and function</w:t>
            </w:r>
          </w:p>
          <w:p w:rsidR="00FB1802" w:rsidRPr="00FF7A00" w:rsidRDefault="00FB1802" w:rsidP="00FF7A00">
            <w:pPr>
              <w:spacing w:before="60" w:after="60" w:line="240" w:lineRule="auto"/>
              <w:ind w:left="142" w:right="57"/>
              <w:jc w:val="left"/>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r>
            <w:proofErr w:type="spellStart"/>
            <w:r w:rsidRPr="00FF7A00">
              <w:rPr>
                <w:rFonts w:ascii="Arial" w:hAnsi="Arial" w:cs="Arial"/>
                <w:sz w:val="20"/>
                <w:szCs w:val="20"/>
              </w:rPr>
              <w:t>Haemodynamics</w:t>
            </w:r>
            <w:proofErr w:type="spellEnd"/>
            <w:r w:rsidRPr="00FF7A00">
              <w:rPr>
                <w:rFonts w:ascii="Arial" w:hAnsi="Arial" w:cs="Arial"/>
                <w:sz w:val="20"/>
                <w:szCs w:val="20"/>
              </w:rPr>
              <w:t>: normal indexes of RV function (right atrial pressure &lt;8 mm Hg and cardiac index &gt;2.5 to 3.0 L/min/m2)</w:t>
            </w:r>
          </w:p>
          <w:p w:rsidR="00FB1802" w:rsidRPr="00FF7A00" w:rsidRDefault="00FB1802" w:rsidP="00FF7A00">
            <w:pPr>
              <w:spacing w:before="60" w:after="60" w:line="240" w:lineRule="auto"/>
              <w:ind w:left="142" w:right="57"/>
              <w:jc w:val="left"/>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t>6MWD distance &gt;380 to 440 m</w:t>
            </w:r>
          </w:p>
          <w:p w:rsidR="00FB1802" w:rsidRPr="00FF7A00" w:rsidRDefault="00FB1802" w:rsidP="00FF7A00">
            <w:pPr>
              <w:spacing w:before="60" w:after="60" w:line="240" w:lineRule="auto"/>
              <w:ind w:left="142" w:right="57"/>
              <w:jc w:val="left"/>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t xml:space="preserve">Cardiopulmonary exercise testing: peak oxygen uptake &gt;15 mL/min/kg and </w:t>
            </w:r>
            <w:proofErr w:type="spellStart"/>
            <w:r w:rsidRPr="00FF7A00">
              <w:rPr>
                <w:rFonts w:ascii="Arial" w:hAnsi="Arial" w:cs="Arial"/>
                <w:sz w:val="20"/>
                <w:szCs w:val="20"/>
              </w:rPr>
              <w:t>ventilatory</w:t>
            </w:r>
            <w:proofErr w:type="spellEnd"/>
            <w:r w:rsidRPr="00FF7A00">
              <w:rPr>
                <w:rFonts w:ascii="Arial" w:hAnsi="Arial" w:cs="Arial"/>
                <w:sz w:val="20"/>
                <w:szCs w:val="20"/>
              </w:rPr>
              <w:t xml:space="preserve"> equivalents for CO2 &lt;45 L/min</w:t>
            </w:r>
          </w:p>
          <w:p w:rsidR="00FB1802" w:rsidRPr="00FF7A00" w:rsidRDefault="00FB1802" w:rsidP="00FF7A00">
            <w:pPr>
              <w:spacing w:before="60" w:after="60" w:line="240" w:lineRule="auto"/>
              <w:ind w:left="142" w:right="57"/>
              <w:jc w:val="left"/>
              <w:rPr>
                <w:rFonts w:ascii="Arial" w:hAnsi="Arial" w:cs="Arial"/>
                <w:sz w:val="20"/>
                <w:szCs w:val="20"/>
              </w:rPr>
            </w:pPr>
            <w:r w:rsidRPr="00FF7A00">
              <w:rPr>
                <w:rFonts w:ascii="Arial" w:hAnsi="Arial" w:cs="Arial"/>
                <w:sz w:val="20"/>
                <w:szCs w:val="20"/>
              </w:rPr>
              <w:t>•</w:t>
            </w:r>
            <w:r w:rsidRPr="00FF7A00">
              <w:rPr>
                <w:rFonts w:ascii="Arial" w:hAnsi="Arial" w:cs="Arial"/>
                <w:sz w:val="20"/>
                <w:szCs w:val="20"/>
              </w:rPr>
              <w:tab/>
              <w:t xml:space="preserve">BNP level: “normal” (determined by local laboratory </w:t>
            </w:r>
            <w:proofErr w:type="spellStart"/>
            <w:r w:rsidRPr="00FF7A00">
              <w:rPr>
                <w:rFonts w:ascii="Arial" w:hAnsi="Arial" w:cs="Arial"/>
                <w:sz w:val="20"/>
                <w:szCs w:val="20"/>
              </w:rPr>
              <w:t>cutoff</w:t>
            </w:r>
            <w:proofErr w:type="spellEnd"/>
            <w:r w:rsidRPr="00FF7A00">
              <w:rPr>
                <w:rFonts w:ascii="Arial" w:hAnsi="Arial" w:cs="Arial"/>
                <w:sz w:val="20"/>
                <w:szCs w:val="20"/>
              </w:rPr>
              <w:t xml:space="preserve"> values)</w:t>
            </w:r>
            <w:r w:rsidR="00433046">
              <w:rPr>
                <w:rFonts w:ascii="Arial" w:hAnsi="Arial" w:cs="Arial"/>
                <w:sz w:val="20"/>
                <w:szCs w:val="20"/>
              </w:rPr>
              <w:t>.</w:t>
            </w:r>
          </w:p>
        </w:tc>
      </w:tr>
    </w:tbl>
    <w:p w:rsidR="00054996" w:rsidRPr="00364153" w:rsidRDefault="00054996" w:rsidP="00121658">
      <w:pPr>
        <w:tabs>
          <w:tab w:val="left" w:pos="3663"/>
        </w:tabs>
        <w:spacing w:before="0" w:line="240" w:lineRule="auto"/>
        <w:jc w:val="left"/>
        <w:rPr>
          <w:sz w:val="22"/>
        </w:rPr>
      </w:pPr>
    </w:p>
    <w:p w:rsidR="00054996" w:rsidRDefault="00054996" w:rsidP="00121658">
      <w:pPr>
        <w:tabs>
          <w:tab w:val="left" w:pos="3663"/>
        </w:tabs>
        <w:jc w:val="left"/>
        <w:sectPr w:rsidR="00054996" w:rsidSect="00054996">
          <w:footnotePr>
            <w:numFmt w:val="chicago"/>
          </w:footnotePr>
          <w:pgSz w:w="16838" w:h="11906" w:orient="landscape"/>
          <w:pgMar w:top="1440" w:right="1440" w:bottom="1440" w:left="1440" w:header="708" w:footer="708" w:gutter="0"/>
          <w:cols w:space="708"/>
          <w:titlePg/>
          <w:docGrid w:linePitch="360"/>
        </w:sectPr>
      </w:pPr>
    </w:p>
    <w:p w:rsidR="00826896" w:rsidRDefault="003B625D" w:rsidP="00FF7A00">
      <w:pPr>
        <w:pStyle w:val="BodyTextnospacebefore"/>
      </w:pPr>
      <w:bookmarkStart w:id="174" w:name="_Ref503518712"/>
      <w:bookmarkStart w:id="175" w:name="_Toc503800639"/>
      <w:bookmarkStart w:id="176" w:name="_Toc503811591"/>
      <w:r>
        <w:t>T</w:t>
      </w:r>
      <w:r w:rsidRPr="00F53D1B">
        <w:t>here is no single</w:t>
      </w:r>
      <w:r>
        <w:t xml:space="preserve"> </w:t>
      </w:r>
      <w:r w:rsidRPr="00F53D1B">
        <w:t xml:space="preserve">set of criteria recommended </w:t>
      </w:r>
      <w:r>
        <w:t>to assess</w:t>
      </w:r>
      <w:r w:rsidRPr="00F53D1B">
        <w:t xml:space="preserve"> PAH risk factors, but the various approaches suggested are similar</w:t>
      </w:r>
      <w:r>
        <w:t xml:space="preserve">. These risk factors include parameters determined by RHC (such as cardiac output, mixed venous oxygen saturation and Right Atrial Pressure, or RAP) and by echocardiography (such as </w:t>
      </w:r>
      <w:r w:rsidRPr="0080307D">
        <w:t>tricuspid annular plane systolic excursion</w:t>
      </w:r>
      <w:r>
        <w:t>, TAPSE, which is a measure of right ventricular function shown to be prognostic for PAH patients</w:t>
      </w:r>
      <w:r w:rsidR="009C556B" w:rsidRPr="009C556B">
        <w:rPr>
          <w:noProof/>
          <w:vertAlign w:val="superscript"/>
        </w:rPr>
        <w:t>28</w:t>
      </w:r>
      <w:r>
        <w:t xml:space="preserve">).  </w:t>
      </w:r>
    </w:p>
    <w:p w:rsidR="00054996" w:rsidRDefault="0048383C" w:rsidP="00F75B8B">
      <w:pPr>
        <w:pStyle w:val="Caption"/>
      </w:pPr>
      <w:bookmarkStart w:id="177" w:name="_Ref510795317"/>
      <w:bookmarkStart w:id="178" w:name="_Toc513107637"/>
      <w:r>
        <w:t>Table 1.</w:t>
      </w:r>
      <w:r w:rsidR="00D63371">
        <w:rPr>
          <w:noProof/>
        </w:rPr>
        <w:t>11</w:t>
      </w:r>
      <w:bookmarkEnd w:id="177"/>
      <w:r w:rsidR="00F75B8B">
        <w:tab/>
        <w:t>Clinical features of high risk vs low risk PAH patients (ESC/ERS Guideline)</w:t>
      </w:r>
      <w:bookmarkEnd w:id="178"/>
    </w:p>
    <w:tbl>
      <w:tblPr>
        <w:tblStyle w:val="TableGrid"/>
        <w:tblW w:w="5000" w:type="pct"/>
        <w:tblLook w:val="04A0" w:firstRow="1" w:lastRow="0" w:firstColumn="1" w:lastColumn="0" w:noHBand="0" w:noVBand="1"/>
        <w:tblCaption w:val="Clinical features of high risk vs low risk PAH patients (ESC/ERS Guideline)"/>
      </w:tblPr>
      <w:tblGrid>
        <w:gridCol w:w="2018"/>
        <w:gridCol w:w="2296"/>
        <w:gridCol w:w="2479"/>
        <w:gridCol w:w="2243"/>
      </w:tblGrid>
      <w:tr w:rsidR="00054996" w:rsidRPr="00AE134B" w:rsidTr="00054996">
        <w:trPr>
          <w:cnfStyle w:val="100000000000" w:firstRow="1" w:lastRow="0" w:firstColumn="0" w:lastColumn="0" w:oddVBand="0" w:evenVBand="0" w:oddHBand="0" w:evenHBand="0" w:firstRowFirstColumn="0" w:firstRowLastColumn="0" w:lastRowFirstColumn="0" w:lastRowLastColumn="0"/>
        </w:trPr>
        <w:tc>
          <w:tcPr>
            <w:tcW w:w="1116" w:type="pct"/>
            <w:shd w:val="clear" w:color="auto" w:fill="BFBFBF" w:themeFill="background1" w:themeFillShade="BF"/>
          </w:tcPr>
          <w:p w:rsidR="00054996" w:rsidRPr="00FF7A00" w:rsidRDefault="00054996" w:rsidP="00FF7A00">
            <w:pPr>
              <w:pStyle w:val="TableText"/>
              <w:spacing w:before="0" w:after="0"/>
              <w:ind w:left="147"/>
              <w:rPr>
                <w:rFonts w:ascii="Arial" w:hAnsi="Arial"/>
                <w:b/>
                <w:szCs w:val="20"/>
              </w:rPr>
            </w:pPr>
            <w:r w:rsidRPr="00FF7A00">
              <w:rPr>
                <w:rFonts w:ascii="Arial" w:hAnsi="Arial"/>
                <w:b/>
                <w:szCs w:val="20"/>
              </w:rPr>
              <w:t>Determinants of prognosis</w:t>
            </w:r>
          </w:p>
          <w:p w:rsidR="00054996" w:rsidRPr="00FF7A00" w:rsidRDefault="00054996" w:rsidP="00FF7A00">
            <w:pPr>
              <w:pStyle w:val="TableText"/>
              <w:spacing w:before="0" w:after="0"/>
              <w:ind w:left="147"/>
              <w:rPr>
                <w:rFonts w:ascii="Arial" w:hAnsi="Arial"/>
                <w:b/>
                <w:szCs w:val="20"/>
              </w:rPr>
            </w:pPr>
            <w:r w:rsidRPr="00FF7A00">
              <w:rPr>
                <w:rFonts w:ascii="Arial" w:hAnsi="Arial"/>
                <w:b/>
                <w:szCs w:val="20"/>
              </w:rPr>
              <w:t>(estimated 1-year mortality)</w:t>
            </w:r>
          </w:p>
        </w:tc>
        <w:tc>
          <w:tcPr>
            <w:tcW w:w="1270" w:type="pct"/>
            <w:shd w:val="clear" w:color="auto" w:fill="BFBFBF" w:themeFill="background1" w:themeFillShade="BF"/>
          </w:tcPr>
          <w:p w:rsidR="00FF7A00" w:rsidRDefault="00054996" w:rsidP="00FF7A00">
            <w:pPr>
              <w:pStyle w:val="TableText"/>
              <w:spacing w:before="0" w:after="0"/>
              <w:ind w:left="114"/>
              <w:rPr>
                <w:rFonts w:ascii="Arial" w:hAnsi="Arial"/>
                <w:b/>
                <w:szCs w:val="20"/>
              </w:rPr>
            </w:pPr>
            <w:r w:rsidRPr="00FF7A00">
              <w:rPr>
                <w:rFonts w:ascii="Arial" w:hAnsi="Arial"/>
                <w:b/>
                <w:szCs w:val="20"/>
              </w:rPr>
              <w:t>Low Risk Patients</w:t>
            </w:r>
          </w:p>
          <w:p w:rsidR="00054996" w:rsidRPr="00FF7A00" w:rsidRDefault="00054996" w:rsidP="00FF7A00">
            <w:pPr>
              <w:pStyle w:val="TableText"/>
              <w:spacing w:before="0" w:after="0"/>
              <w:ind w:left="114"/>
              <w:rPr>
                <w:rFonts w:ascii="Arial" w:hAnsi="Arial"/>
                <w:b/>
                <w:szCs w:val="20"/>
              </w:rPr>
            </w:pPr>
            <w:r w:rsidRPr="00FF7A00">
              <w:rPr>
                <w:rFonts w:ascii="Arial" w:hAnsi="Arial"/>
                <w:b/>
                <w:szCs w:val="20"/>
              </w:rPr>
              <w:t>(&lt;5% in 1-year mortality)</w:t>
            </w:r>
          </w:p>
        </w:tc>
        <w:tc>
          <w:tcPr>
            <w:tcW w:w="1372" w:type="pct"/>
            <w:shd w:val="clear" w:color="auto" w:fill="BFBFBF" w:themeFill="background1" w:themeFillShade="BF"/>
          </w:tcPr>
          <w:p w:rsidR="00FF7A00" w:rsidRDefault="00054996" w:rsidP="00FF7A00">
            <w:pPr>
              <w:pStyle w:val="TableText"/>
              <w:spacing w:before="0" w:after="0"/>
              <w:ind w:left="86"/>
              <w:rPr>
                <w:rFonts w:ascii="Arial" w:hAnsi="Arial"/>
                <w:b/>
                <w:szCs w:val="20"/>
              </w:rPr>
            </w:pPr>
            <w:r w:rsidRPr="00FF7A00">
              <w:rPr>
                <w:rFonts w:ascii="Arial" w:hAnsi="Arial"/>
                <w:b/>
                <w:szCs w:val="20"/>
              </w:rPr>
              <w:t xml:space="preserve">Intermediate risk </w:t>
            </w:r>
          </w:p>
          <w:p w:rsidR="00054996" w:rsidRPr="00FF7A00" w:rsidRDefault="00054996" w:rsidP="00FF7A00">
            <w:pPr>
              <w:pStyle w:val="TableText"/>
              <w:spacing w:before="0" w:after="0"/>
              <w:ind w:left="86"/>
              <w:rPr>
                <w:rFonts w:ascii="Arial" w:hAnsi="Arial"/>
                <w:b/>
                <w:szCs w:val="20"/>
              </w:rPr>
            </w:pPr>
            <w:r w:rsidRPr="00FF7A00">
              <w:rPr>
                <w:rFonts w:ascii="Arial" w:hAnsi="Arial"/>
                <w:b/>
                <w:szCs w:val="20"/>
              </w:rPr>
              <w:t>5–10%</w:t>
            </w:r>
          </w:p>
        </w:tc>
        <w:tc>
          <w:tcPr>
            <w:tcW w:w="1241" w:type="pct"/>
            <w:shd w:val="clear" w:color="auto" w:fill="BFBFBF" w:themeFill="background1" w:themeFillShade="BF"/>
          </w:tcPr>
          <w:p w:rsidR="00FF7A00" w:rsidRDefault="00054996" w:rsidP="00FF7A00">
            <w:pPr>
              <w:pStyle w:val="TableText"/>
              <w:spacing w:before="0" w:after="0"/>
              <w:ind w:left="158"/>
              <w:rPr>
                <w:rFonts w:ascii="Arial" w:hAnsi="Arial"/>
                <w:b/>
                <w:szCs w:val="20"/>
              </w:rPr>
            </w:pPr>
            <w:r w:rsidRPr="00FF7A00">
              <w:rPr>
                <w:rFonts w:ascii="Arial" w:hAnsi="Arial"/>
                <w:b/>
                <w:szCs w:val="20"/>
              </w:rPr>
              <w:t>High Risk Patients</w:t>
            </w:r>
          </w:p>
          <w:p w:rsidR="00054996" w:rsidRPr="00FF7A00" w:rsidRDefault="00054996" w:rsidP="00FF7A00">
            <w:pPr>
              <w:pStyle w:val="TableText"/>
              <w:spacing w:before="0" w:after="0"/>
              <w:ind w:left="158"/>
              <w:rPr>
                <w:rFonts w:ascii="Arial" w:hAnsi="Arial"/>
                <w:b/>
                <w:szCs w:val="20"/>
              </w:rPr>
            </w:pPr>
            <w:r w:rsidRPr="00FF7A00">
              <w:rPr>
                <w:rFonts w:ascii="Arial" w:hAnsi="Arial"/>
                <w:b/>
                <w:szCs w:val="20"/>
              </w:rPr>
              <w:t>(&gt;10% 1-year mortality)</w:t>
            </w:r>
          </w:p>
        </w:tc>
      </w:tr>
      <w:tr w:rsidR="00054996" w:rsidRPr="00AE134B" w:rsidTr="00054996">
        <w:tc>
          <w:tcPr>
            <w:tcW w:w="1116" w:type="pct"/>
          </w:tcPr>
          <w:p w:rsidR="00054996" w:rsidRPr="00FF7A00" w:rsidRDefault="00054996" w:rsidP="00FF7A00">
            <w:pPr>
              <w:pStyle w:val="TableText"/>
              <w:spacing w:before="0" w:after="0"/>
              <w:ind w:left="147"/>
              <w:rPr>
                <w:rFonts w:ascii="Arial" w:hAnsi="Arial"/>
                <w:szCs w:val="20"/>
              </w:rPr>
            </w:pPr>
            <w:r w:rsidRPr="00FF7A00">
              <w:rPr>
                <w:rFonts w:ascii="Arial" w:hAnsi="Arial"/>
                <w:szCs w:val="20"/>
              </w:rPr>
              <w:t>Clinical signs of right heart failure</w:t>
            </w:r>
          </w:p>
        </w:tc>
        <w:tc>
          <w:tcPr>
            <w:tcW w:w="1270" w:type="pct"/>
          </w:tcPr>
          <w:p w:rsidR="00054996" w:rsidRPr="00FF7A00" w:rsidRDefault="00054996" w:rsidP="00FF7A00">
            <w:pPr>
              <w:pStyle w:val="TableText"/>
              <w:spacing w:before="0" w:after="0"/>
              <w:ind w:left="114"/>
              <w:rPr>
                <w:rFonts w:ascii="Arial" w:hAnsi="Arial"/>
                <w:szCs w:val="20"/>
              </w:rPr>
            </w:pPr>
            <w:r w:rsidRPr="00FF7A00">
              <w:rPr>
                <w:rFonts w:ascii="Arial" w:hAnsi="Arial"/>
                <w:szCs w:val="20"/>
              </w:rPr>
              <w:t>Absent</w:t>
            </w:r>
          </w:p>
        </w:tc>
        <w:tc>
          <w:tcPr>
            <w:tcW w:w="1372" w:type="pct"/>
          </w:tcPr>
          <w:p w:rsidR="00054996" w:rsidRPr="00FF7A00" w:rsidRDefault="00054996" w:rsidP="00FF7A00">
            <w:pPr>
              <w:pStyle w:val="TableText"/>
              <w:spacing w:before="0" w:after="0"/>
              <w:ind w:left="86"/>
              <w:rPr>
                <w:rFonts w:ascii="Arial" w:hAnsi="Arial"/>
                <w:szCs w:val="20"/>
              </w:rPr>
            </w:pPr>
            <w:r w:rsidRPr="00FF7A00">
              <w:rPr>
                <w:rFonts w:ascii="Arial" w:hAnsi="Arial"/>
                <w:szCs w:val="20"/>
              </w:rPr>
              <w:t>Absent</w:t>
            </w:r>
          </w:p>
        </w:tc>
        <w:tc>
          <w:tcPr>
            <w:tcW w:w="1241" w:type="pct"/>
          </w:tcPr>
          <w:p w:rsidR="00054996" w:rsidRPr="00FF7A00" w:rsidRDefault="00054996" w:rsidP="00FF7A00">
            <w:pPr>
              <w:pStyle w:val="TableText"/>
              <w:spacing w:before="0" w:after="0"/>
              <w:ind w:left="158"/>
              <w:rPr>
                <w:rFonts w:ascii="Arial" w:hAnsi="Arial"/>
                <w:szCs w:val="20"/>
              </w:rPr>
            </w:pPr>
            <w:r w:rsidRPr="00FF7A00">
              <w:rPr>
                <w:rFonts w:ascii="Arial" w:hAnsi="Arial"/>
                <w:szCs w:val="20"/>
              </w:rPr>
              <w:t>Present</w:t>
            </w:r>
          </w:p>
        </w:tc>
      </w:tr>
      <w:tr w:rsidR="00054996" w:rsidRPr="00AE134B" w:rsidTr="00054996">
        <w:tc>
          <w:tcPr>
            <w:tcW w:w="1116" w:type="pct"/>
          </w:tcPr>
          <w:p w:rsidR="00054996" w:rsidRPr="00FF7A00" w:rsidRDefault="00054996" w:rsidP="00FF7A00">
            <w:pPr>
              <w:pStyle w:val="TableText"/>
              <w:spacing w:before="0" w:after="0"/>
              <w:ind w:left="147"/>
              <w:rPr>
                <w:rFonts w:ascii="Arial" w:hAnsi="Arial"/>
                <w:szCs w:val="20"/>
              </w:rPr>
            </w:pPr>
            <w:r w:rsidRPr="00FF7A00">
              <w:rPr>
                <w:rFonts w:ascii="Arial" w:hAnsi="Arial"/>
                <w:szCs w:val="20"/>
              </w:rPr>
              <w:t>Progression of symptoms</w:t>
            </w:r>
          </w:p>
        </w:tc>
        <w:tc>
          <w:tcPr>
            <w:tcW w:w="1270" w:type="pct"/>
          </w:tcPr>
          <w:p w:rsidR="00054996" w:rsidRPr="00FF7A00" w:rsidRDefault="00054996" w:rsidP="00FF7A00">
            <w:pPr>
              <w:pStyle w:val="TableText"/>
              <w:spacing w:before="0" w:after="0"/>
              <w:ind w:left="114"/>
              <w:rPr>
                <w:rFonts w:ascii="Arial" w:hAnsi="Arial"/>
                <w:szCs w:val="20"/>
              </w:rPr>
            </w:pPr>
            <w:r w:rsidRPr="00FF7A00">
              <w:rPr>
                <w:rFonts w:ascii="Arial" w:hAnsi="Arial"/>
                <w:szCs w:val="20"/>
              </w:rPr>
              <w:t>No</w:t>
            </w:r>
          </w:p>
        </w:tc>
        <w:tc>
          <w:tcPr>
            <w:tcW w:w="1372" w:type="pct"/>
          </w:tcPr>
          <w:p w:rsidR="00054996" w:rsidRPr="00FF7A00" w:rsidRDefault="00054996" w:rsidP="00FF7A00">
            <w:pPr>
              <w:pStyle w:val="TableText"/>
              <w:spacing w:before="0" w:after="0"/>
              <w:ind w:left="86"/>
              <w:rPr>
                <w:rFonts w:ascii="Arial" w:hAnsi="Arial"/>
                <w:szCs w:val="20"/>
              </w:rPr>
            </w:pPr>
            <w:r w:rsidRPr="00FF7A00">
              <w:rPr>
                <w:rFonts w:ascii="Arial" w:hAnsi="Arial"/>
                <w:szCs w:val="20"/>
              </w:rPr>
              <w:t>Slow</w:t>
            </w:r>
          </w:p>
        </w:tc>
        <w:tc>
          <w:tcPr>
            <w:tcW w:w="1241" w:type="pct"/>
          </w:tcPr>
          <w:p w:rsidR="00054996" w:rsidRPr="00FF7A00" w:rsidRDefault="00054996" w:rsidP="00FF7A00">
            <w:pPr>
              <w:pStyle w:val="TableText"/>
              <w:spacing w:before="0" w:after="0"/>
              <w:ind w:left="158"/>
              <w:rPr>
                <w:rFonts w:ascii="Arial" w:hAnsi="Arial"/>
                <w:szCs w:val="20"/>
              </w:rPr>
            </w:pPr>
            <w:r w:rsidRPr="00FF7A00">
              <w:rPr>
                <w:rFonts w:ascii="Arial" w:hAnsi="Arial"/>
                <w:szCs w:val="20"/>
              </w:rPr>
              <w:t>Rapid</w:t>
            </w:r>
          </w:p>
        </w:tc>
      </w:tr>
      <w:tr w:rsidR="00054996" w:rsidRPr="00AE134B" w:rsidTr="00054996">
        <w:tc>
          <w:tcPr>
            <w:tcW w:w="1116" w:type="pct"/>
          </w:tcPr>
          <w:p w:rsidR="00054996" w:rsidRPr="00FF7A00" w:rsidRDefault="00054996" w:rsidP="00FF7A00">
            <w:pPr>
              <w:pStyle w:val="TableText"/>
              <w:spacing w:before="0" w:after="0"/>
              <w:ind w:left="147"/>
              <w:rPr>
                <w:rFonts w:ascii="Arial" w:hAnsi="Arial"/>
                <w:szCs w:val="20"/>
              </w:rPr>
            </w:pPr>
            <w:r w:rsidRPr="00FF7A00">
              <w:rPr>
                <w:rFonts w:ascii="Arial" w:hAnsi="Arial"/>
                <w:szCs w:val="20"/>
              </w:rPr>
              <w:t>Syncope</w:t>
            </w:r>
          </w:p>
        </w:tc>
        <w:tc>
          <w:tcPr>
            <w:tcW w:w="1270" w:type="pct"/>
          </w:tcPr>
          <w:p w:rsidR="00054996" w:rsidRPr="00FF7A00" w:rsidRDefault="00054996" w:rsidP="00FF7A00">
            <w:pPr>
              <w:pStyle w:val="TableText"/>
              <w:spacing w:before="0" w:after="0"/>
              <w:ind w:left="114"/>
              <w:rPr>
                <w:rFonts w:ascii="Arial" w:hAnsi="Arial"/>
                <w:szCs w:val="20"/>
              </w:rPr>
            </w:pPr>
            <w:r w:rsidRPr="00FF7A00">
              <w:rPr>
                <w:rFonts w:ascii="Arial" w:hAnsi="Arial"/>
                <w:szCs w:val="20"/>
              </w:rPr>
              <w:t>No</w:t>
            </w:r>
          </w:p>
        </w:tc>
        <w:tc>
          <w:tcPr>
            <w:tcW w:w="1372" w:type="pct"/>
          </w:tcPr>
          <w:p w:rsidR="00054996" w:rsidRPr="00FF7A00" w:rsidRDefault="00054996" w:rsidP="00FF7A00">
            <w:pPr>
              <w:pStyle w:val="TableText"/>
              <w:spacing w:before="0" w:after="0"/>
              <w:ind w:left="86"/>
              <w:rPr>
                <w:rFonts w:ascii="Arial" w:hAnsi="Arial"/>
                <w:szCs w:val="20"/>
              </w:rPr>
            </w:pPr>
            <w:r w:rsidRPr="00FF7A00">
              <w:rPr>
                <w:rFonts w:ascii="Arial" w:hAnsi="Arial"/>
                <w:szCs w:val="20"/>
              </w:rPr>
              <w:t>Occasional syncope</w:t>
            </w:r>
          </w:p>
        </w:tc>
        <w:tc>
          <w:tcPr>
            <w:tcW w:w="1241" w:type="pct"/>
          </w:tcPr>
          <w:p w:rsidR="00054996" w:rsidRPr="00FF7A00" w:rsidRDefault="00054996" w:rsidP="00FF7A00">
            <w:pPr>
              <w:pStyle w:val="TableText"/>
              <w:spacing w:before="0" w:after="0"/>
              <w:ind w:left="158"/>
              <w:rPr>
                <w:rFonts w:ascii="Arial" w:hAnsi="Arial"/>
                <w:szCs w:val="20"/>
              </w:rPr>
            </w:pPr>
            <w:r w:rsidRPr="00FF7A00">
              <w:rPr>
                <w:rFonts w:ascii="Arial" w:hAnsi="Arial"/>
                <w:szCs w:val="20"/>
              </w:rPr>
              <w:t>Repeated syncope</w:t>
            </w:r>
          </w:p>
        </w:tc>
      </w:tr>
      <w:tr w:rsidR="00054996" w:rsidRPr="00AE134B" w:rsidTr="00054996">
        <w:tc>
          <w:tcPr>
            <w:tcW w:w="1116" w:type="pct"/>
          </w:tcPr>
          <w:p w:rsidR="00054996" w:rsidRPr="00FF7A00" w:rsidRDefault="00054996" w:rsidP="00FF7A00">
            <w:pPr>
              <w:pStyle w:val="TableText"/>
              <w:spacing w:before="0" w:after="0"/>
              <w:ind w:left="147"/>
              <w:rPr>
                <w:rFonts w:ascii="Arial" w:hAnsi="Arial"/>
                <w:szCs w:val="20"/>
              </w:rPr>
            </w:pPr>
            <w:r w:rsidRPr="00FF7A00">
              <w:rPr>
                <w:rFonts w:ascii="Arial" w:hAnsi="Arial"/>
                <w:szCs w:val="20"/>
              </w:rPr>
              <w:t>WHO Functional Class</w:t>
            </w:r>
          </w:p>
        </w:tc>
        <w:tc>
          <w:tcPr>
            <w:tcW w:w="1270" w:type="pct"/>
          </w:tcPr>
          <w:p w:rsidR="00054996" w:rsidRPr="00FF7A00" w:rsidRDefault="00054996" w:rsidP="00FF7A00">
            <w:pPr>
              <w:pStyle w:val="TableText"/>
              <w:spacing w:before="0" w:after="0"/>
              <w:ind w:left="114"/>
              <w:rPr>
                <w:rFonts w:ascii="Arial" w:hAnsi="Arial"/>
                <w:szCs w:val="20"/>
              </w:rPr>
            </w:pPr>
            <w:r w:rsidRPr="00FF7A00">
              <w:rPr>
                <w:rFonts w:ascii="Arial" w:hAnsi="Arial"/>
                <w:szCs w:val="20"/>
              </w:rPr>
              <w:t>I, II</w:t>
            </w:r>
          </w:p>
        </w:tc>
        <w:tc>
          <w:tcPr>
            <w:tcW w:w="1372" w:type="pct"/>
          </w:tcPr>
          <w:p w:rsidR="00054996" w:rsidRPr="00FF7A00" w:rsidRDefault="00054996" w:rsidP="00FF7A00">
            <w:pPr>
              <w:pStyle w:val="TableText"/>
              <w:spacing w:before="0" w:after="0"/>
              <w:ind w:left="86"/>
              <w:rPr>
                <w:rFonts w:ascii="Arial" w:hAnsi="Arial"/>
                <w:szCs w:val="20"/>
              </w:rPr>
            </w:pPr>
            <w:r w:rsidRPr="00FF7A00">
              <w:rPr>
                <w:rFonts w:ascii="Arial" w:hAnsi="Arial"/>
                <w:szCs w:val="20"/>
              </w:rPr>
              <w:t>III</w:t>
            </w:r>
          </w:p>
        </w:tc>
        <w:tc>
          <w:tcPr>
            <w:tcW w:w="1241" w:type="pct"/>
          </w:tcPr>
          <w:p w:rsidR="00054996" w:rsidRPr="00FF7A00" w:rsidRDefault="00054996" w:rsidP="00FF7A00">
            <w:pPr>
              <w:pStyle w:val="TableText"/>
              <w:spacing w:before="0" w:after="0"/>
              <w:ind w:left="158"/>
              <w:rPr>
                <w:rFonts w:ascii="Arial" w:hAnsi="Arial"/>
                <w:szCs w:val="20"/>
              </w:rPr>
            </w:pPr>
            <w:r w:rsidRPr="00FF7A00">
              <w:rPr>
                <w:rFonts w:ascii="Arial" w:hAnsi="Arial"/>
                <w:szCs w:val="20"/>
              </w:rPr>
              <w:t>IV</w:t>
            </w:r>
          </w:p>
        </w:tc>
      </w:tr>
      <w:tr w:rsidR="00054996" w:rsidRPr="00AE134B" w:rsidTr="00054996">
        <w:tc>
          <w:tcPr>
            <w:tcW w:w="1116" w:type="pct"/>
          </w:tcPr>
          <w:p w:rsidR="00054996" w:rsidRPr="00FF7A00" w:rsidRDefault="00054996" w:rsidP="00FF7A00">
            <w:pPr>
              <w:pStyle w:val="TableText"/>
              <w:spacing w:before="0" w:after="0"/>
              <w:ind w:left="147"/>
              <w:rPr>
                <w:rFonts w:ascii="Arial" w:hAnsi="Arial"/>
                <w:szCs w:val="20"/>
              </w:rPr>
            </w:pPr>
            <w:r w:rsidRPr="00FF7A00">
              <w:rPr>
                <w:rFonts w:ascii="Arial" w:hAnsi="Arial"/>
                <w:szCs w:val="20"/>
              </w:rPr>
              <w:t>6MWD</w:t>
            </w:r>
          </w:p>
        </w:tc>
        <w:tc>
          <w:tcPr>
            <w:tcW w:w="1270" w:type="pct"/>
          </w:tcPr>
          <w:p w:rsidR="00054996" w:rsidRPr="00FF7A00" w:rsidRDefault="00054996" w:rsidP="00FF7A00">
            <w:pPr>
              <w:pStyle w:val="TableText"/>
              <w:spacing w:before="0" w:after="0"/>
              <w:ind w:left="114"/>
              <w:rPr>
                <w:rFonts w:ascii="Arial" w:hAnsi="Arial"/>
                <w:szCs w:val="20"/>
              </w:rPr>
            </w:pPr>
            <w:r w:rsidRPr="00FF7A00">
              <w:rPr>
                <w:rFonts w:ascii="Arial" w:hAnsi="Arial"/>
                <w:szCs w:val="20"/>
              </w:rPr>
              <w:t>&gt;440m</w:t>
            </w:r>
          </w:p>
        </w:tc>
        <w:tc>
          <w:tcPr>
            <w:tcW w:w="1372" w:type="pct"/>
          </w:tcPr>
          <w:p w:rsidR="00054996" w:rsidRPr="00FF7A00" w:rsidRDefault="00054996" w:rsidP="00FF7A00">
            <w:pPr>
              <w:pStyle w:val="TableText"/>
              <w:spacing w:before="0" w:after="0"/>
              <w:ind w:left="86"/>
              <w:rPr>
                <w:rFonts w:ascii="Arial" w:hAnsi="Arial"/>
                <w:szCs w:val="20"/>
              </w:rPr>
            </w:pPr>
            <w:r w:rsidRPr="00FF7A00">
              <w:rPr>
                <w:rFonts w:ascii="Arial" w:hAnsi="Arial"/>
                <w:szCs w:val="20"/>
              </w:rPr>
              <w:t>165-440m</w:t>
            </w:r>
          </w:p>
        </w:tc>
        <w:tc>
          <w:tcPr>
            <w:tcW w:w="1241" w:type="pct"/>
          </w:tcPr>
          <w:p w:rsidR="00054996" w:rsidRPr="00FF7A00" w:rsidRDefault="00054996" w:rsidP="00FF7A00">
            <w:pPr>
              <w:pStyle w:val="TableText"/>
              <w:spacing w:before="0" w:after="0"/>
              <w:ind w:left="158"/>
              <w:rPr>
                <w:rFonts w:ascii="Arial" w:hAnsi="Arial"/>
                <w:szCs w:val="20"/>
              </w:rPr>
            </w:pPr>
            <w:r w:rsidRPr="00FF7A00">
              <w:rPr>
                <w:rFonts w:ascii="Arial" w:hAnsi="Arial"/>
                <w:szCs w:val="20"/>
              </w:rPr>
              <w:t>&lt;165m</w:t>
            </w:r>
          </w:p>
        </w:tc>
      </w:tr>
      <w:tr w:rsidR="00054996" w:rsidRPr="00AE134B" w:rsidTr="00054996">
        <w:tc>
          <w:tcPr>
            <w:tcW w:w="1116" w:type="pct"/>
          </w:tcPr>
          <w:p w:rsidR="00054996" w:rsidRPr="00FF7A00" w:rsidRDefault="00054996" w:rsidP="00FF7A00">
            <w:pPr>
              <w:pStyle w:val="TableText"/>
              <w:spacing w:before="0" w:after="0"/>
              <w:ind w:left="147"/>
              <w:rPr>
                <w:rFonts w:ascii="Arial" w:hAnsi="Arial"/>
                <w:szCs w:val="20"/>
              </w:rPr>
            </w:pPr>
            <w:r w:rsidRPr="00FF7A00">
              <w:rPr>
                <w:rFonts w:ascii="Arial" w:hAnsi="Arial"/>
                <w:szCs w:val="20"/>
              </w:rPr>
              <w:t>Cardiopulmonary exercise testing</w:t>
            </w:r>
          </w:p>
        </w:tc>
        <w:tc>
          <w:tcPr>
            <w:tcW w:w="1270" w:type="pct"/>
          </w:tcPr>
          <w:p w:rsidR="00054996" w:rsidRPr="00FF7A00" w:rsidRDefault="00054996" w:rsidP="00FF7A00">
            <w:pPr>
              <w:pStyle w:val="TableText"/>
              <w:spacing w:before="0" w:after="0"/>
              <w:ind w:left="114"/>
              <w:rPr>
                <w:rFonts w:ascii="Arial" w:hAnsi="Arial"/>
                <w:szCs w:val="20"/>
              </w:rPr>
            </w:pPr>
            <w:r w:rsidRPr="00FF7A00">
              <w:rPr>
                <w:rFonts w:ascii="Arial" w:hAnsi="Arial"/>
                <w:szCs w:val="20"/>
              </w:rPr>
              <w:t>Peak VO</w:t>
            </w:r>
            <w:r w:rsidRPr="00FF7A00">
              <w:rPr>
                <w:rFonts w:ascii="Arial" w:hAnsi="Arial"/>
                <w:szCs w:val="20"/>
                <w:vertAlign w:val="subscript"/>
              </w:rPr>
              <w:t>2</w:t>
            </w:r>
            <w:r w:rsidRPr="00FF7A00">
              <w:rPr>
                <w:rFonts w:ascii="Arial" w:hAnsi="Arial"/>
                <w:szCs w:val="20"/>
              </w:rPr>
              <w:t xml:space="preserve"> &gt;15mL/min/kg (&gt;65% pred.)</w:t>
            </w:r>
          </w:p>
          <w:p w:rsidR="00054996" w:rsidRPr="00FF7A00" w:rsidRDefault="00054996" w:rsidP="00FF7A00">
            <w:pPr>
              <w:pStyle w:val="TableText"/>
              <w:spacing w:before="0" w:after="0"/>
              <w:ind w:left="114"/>
              <w:rPr>
                <w:rFonts w:ascii="Arial" w:hAnsi="Arial"/>
                <w:szCs w:val="20"/>
              </w:rPr>
            </w:pPr>
            <w:r w:rsidRPr="00FF7A00">
              <w:rPr>
                <w:rFonts w:ascii="Arial" w:hAnsi="Arial"/>
                <w:szCs w:val="20"/>
              </w:rPr>
              <w:t>VE/VCO</w:t>
            </w:r>
            <w:r w:rsidRPr="00FF7A00">
              <w:rPr>
                <w:rFonts w:ascii="Arial" w:hAnsi="Arial"/>
                <w:szCs w:val="20"/>
                <w:vertAlign w:val="subscript"/>
              </w:rPr>
              <w:t>2</w:t>
            </w:r>
            <w:r w:rsidRPr="00FF7A00">
              <w:rPr>
                <w:rFonts w:ascii="Arial" w:hAnsi="Arial"/>
                <w:szCs w:val="20"/>
              </w:rPr>
              <w:t xml:space="preserve"> slope &lt;36</w:t>
            </w:r>
          </w:p>
        </w:tc>
        <w:tc>
          <w:tcPr>
            <w:tcW w:w="1372" w:type="pct"/>
          </w:tcPr>
          <w:p w:rsidR="00054996" w:rsidRPr="00FF7A00" w:rsidRDefault="00054996" w:rsidP="00FF7A00">
            <w:pPr>
              <w:pStyle w:val="TableText"/>
              <w:spacing w:before="0" w:after="0"/>
              <w:ind w:left="86"/>
              <w:rPr>
                <w:rFonts w:ascii="Arial" w:hAnsi="Arial"/>
                <w:szCs w:val="20"/>
              </w:rPr>
            </w:pPr>
            <w:r w:rsidRPr="00FF7A00">
              <w:rPr>
                <w:rFonts w:ascii="Arial" w:hAnsi="Arial"/>
                <w:szCs w:val="20"/>
              </w:rPr>
              <w:t>Peak VO</w:t>
            </w:r>
            <w:r w:rsidRPr="00FF7A00">
              <w:rPr>
                <w:rFonts w:ascii="Arial" w:hAnsi="Arial"/>
                <w:szCs w:val="20"/>
                <w:vertAlign w:val="subscript"/>
              </w:rPr>
              <w:t>2</w:t>
            </w:r>
            <w:r w:rsidRPr="00FF7A00">
              <w:rPr>
                <w:rFonts w:ascii="Arial" w:hAnsi="Arial"/>
                <w:szCs w:val="20"/>
              </w:rPr>
              <w:t xml:space="preserve"> 11–15 mL/min/kg (35–65% pred.)</w:t>
            </w:r>
          </w:p>
          <w:p w:rsidR="00054996" w:rsidRPr="00FF7A00" w:rsidRDefault="00054996" w:rsidP="00FF7A00">
            <w:pPr>
              <w:pStyle w:val="TableText"/>
              <w:spacing w:before="0" w:after="0"/>
              <w:ind w:left="86"/>
              <w:rPr>
                <w:rFonts w:ascii="Arial" w:hAnsi="Arial"/>
                <w:szCs w:val="20"/>
              </w:rPr>
            </w:pPr>
            <w:r w:rsidRPr="00FF7A00">
              <w:rPr>
                <w:rFonts w:ascii="Arial" w:hAnsi="Arial"/>
                <w:szCs w:val="20"/>
              </w:rPr>
              <w:t>VE/VCO</w:t>
            </w:r>
            <w:r w:rsidRPr="00FF7A00">
              <w:rPr>
                <w:rFonts w:ascii="Arial" w:hAnsi="Arial"/>
                <w:szCs w:val="20"/>
                <w:vertAlign w:val="subscript"/>
              </w:rPr>
              <w:t>2</w:t>
            </w:r>
            <w:r w:rsidRPr="00FF7A00">
              <w:rPr>
                <w:rFonts w:ascii="Arial" w:hAnsi="Arial"/>
                <w:szCs w:val="20"/>
              </w:rPr>
              <w:t xml:space="preserve"> slope 36–44.9</w:t>
            </w:r>
          </w:p>
        </w:tc>
        <w:tc>
          <w:tcPr>
            <w:tcW w:w="1241" w:type="pct"/>
          </w:tcPr>
          <w:p w:rsidR="00054996" w:rsidRPr="00FF7A00" w:rsidRDefault="00054996" w:rsidP="00FF7A00">
            <w:pPr>
              <w:pStyle w:val="TableText"/>
              <w:spacing w:before="0" w:after="0"/>
              <w:ind w:left="158"/>
              <w:rPr>
                <w:rFonts w:ascii="Arial" w:hAnsi="Arial"/>
                <w:szCs w:val="20"/>
              </w:rPr>
            </w:pPr>
            <w:r w:rsidRPr="00FF7A00">
              <w:rPr>
                <w:rFonts w:ascii="Arial" w:hAnsi="Arial"/>
                <w:szCs w:val="20"/>
              </w:rPr>
              <w:t>Peak VO</w:t>
            </w:r>
            <w:r w:rsidRPr="00FF7A00">
              <w:rPr>
                <w:rFonts w:ascii="Arial" w:hAnsi="Arial"/>
                <w:szCs w:val="20"/>
                <w:vertAlign w:val="subscript"/>
              </w:rPr>
              <w:t>2</w:t>
            </w:r>
            <w:r w:rsidRPr="00FF7A00">
              <w:rPr>
                <w:rFonts w:ascii="Arial" w:hAnsi="Arial"/>
                <w:szCs w:val="20"/>
              </w:rPr>
              <w:t xml:space="preserve"> &lt;11 mL/min/kg (&lt;35% pred.)</w:t>
            </w:r>
          </w:p>
          <w:p w:rsidR="00054996" w:rsidRPr="00FF7A00" w:rsidRDefault="00054996" w:rsidP="00FF7A00">
            <w:pPr>
              <w:pStyle w:val="TableText"/>
              <w:spacing w:before="0" w:after="0"/>
              <w:ind w:left="158"/>
              <w:rPr>
                <w:rFonts w:ascii="Arial" w:hAnsi="Arial"/>
                <w:szCs w:val="20"/>
              </w:rPr>
            </w:pPr>
            <w:r w:rsidRPr="00FF7A00">
              <w:rPr>
                <w:rFonts w:ascii="Arial" w:hAnsi="Arial"/>
                <w:szCs w:val="20"/>
              </w:rPr>
              <w:t>VE/VCO</w:t>
            </w:r>
            <w:r w:rsidRPr="00FF7A00">
              <w:rPr>
                <w:rFonts w:ascii="Arial" w:hAnsi="Arial"/>
                <w:szCs w:val="20"/>
                <w:vertAlign w:val="subscript"/>
              </w:rPr>
              <w:t>2</w:t>
            </w:r>
            <w:r w:rsidRPr="00FF7A00">
              <w:rPr>
                <w:rFonts w:ascii="Arial" w:hAnsi="Arial"/>
                <w:szCs w:val="20"/>
              </w:rPr>
              <w:t xml:space="preserve"> slope ≥45</w:t>
            </w:r>
          </w:p>
        </w:tc>
      </w:tr>
      <w:tr w:rsidR="00054996" w:rsidRPr="00AE134B" w:rsidTr="00054996">
        <w:tc>
          <w:tcPr>
            <w:tcW w:w="1116" w:type="pct"/>
          </w:tcPr>
          <w:p w:rsidR="00054996" w:rsidRPr="00FF7A00" w:rsidRDefault="00054996" w:rsidP="00FF7A00">
            <w:pPr>
              <w:pStyle w:val="TableText"/>
              <w:spacing w:before="0" w:after="0"/>
              <w:ind w:left="147"/>
              <w:rPr>
                <w:rFonts w:ascii="Arial" w:hAnsi="Arial"/>
                <w:szCs w:val="20"/>
              </w:rPr>
            </w:pPr>
            <w:r w:rsidRPr="00FF7A00">
              <w:rPr>
                <w:rFonts w:ascii="Arial" w:hAnsi="Arial"/>
                <w:szCs w:val="20"/>
              </w:rPr>
              <w:t>BNP (ng/L) plasma levels</w:t>
            </w:r>
          </w:p>
        </w:tc>
        <w:tc>
          <w:tcPr>
            <w:tcW w:w="1270" w:type="pct"/>
          </w:tcPr>
          <w:p w:rsidR="00054996" w:rsidRPr="00FF7A00" w:rsidRDefault="00054996" w:rsidP="00FF7A00">
            <w:pPr>
              <w:pStyle w:val="TableText"/>
              <w:spacing w:before="0" w:after="0"/>
              <w:ind w:left="114"/>
              <w:rPr>
                <w:rFonts w:ascii="Arial" w:hAnsi="Arial"/>
                <w:szCs w:val="20"/>
              </w:rPr>
            </w:pPr>
            <w:r w:rsidRPr="00FF7A00">
              <w:rPr>
                <w:rFonts w:ascii="Arial" w:hAnsi="Arial"/>
                <w:szCs w:val="20"/>
              </w:rPr>
              <w:t>BNP &lt;50ng/L</w:t>
            </w:r>
          </w:p>
          <w:p w:rsidR="00054996" w:rsidRPr="00FF7A00" w:rsidRDefault="00054996" w:rsidP="00FF7A00">
            <w:pPr>
              <w:pStyle w:val="TableText"/>
              <w:spacing w:before="0" w:after="0"/>
              <w:ind w:left="114"/>
              <w:rPr>
                <w:rFonts w:ascii="Arial" w:hAnsi="Arial"/>
                <w:szCs w:val="20"/>
              </w:rPr>
            </w:pPr>
            <w:r w:rsidRPr="00FF7A00">
              <w:rPr>
                <w:rFonts w:ascii="Arial" w:hAnsi="Arial"/>
                <w:szCs w:val="20"/>
              </w:rPr>
              <w:t>NT-</w:t>
            </w:r>
            <w:proofErr w:type="spellStart"/>
            <w:r w:rsidRPr="00FF7A00">
              <w:rPr>
                <w:rFonts w:ascii="Arial" w:hAnsi="Arial"/>
                <w:szCs w:val="20"/>
              </w:rPr>
              <w:t>proBNP</w:t>
            </w:r>
            <w:proofErr w:type="spellEnd"/>
            <w:r w:rsidRPr="00FF7A00">
              <w:rPr>
                <w:rFonts w:ascii="Arial" w:hAnsi="Arial"/>
                <w:szCs w:val="20"/>
              </w:rPr>
              <w:t xml:space="preserve"> &lt;300ng/L</w:t>
            </w:r>
          </w:p>
        </w:tc>
        <w:tc>
          <w:tcPr>
            <w:tcW w:w="1372" w:type="pct"/>
          </w:tcPr>
          <w:p w:rsidR="00054996" w:rsidRPr="00FF7A00" w:rsidRDefault="00054996" w:rsidP="00FF7A00">
            <w:pPr>
              <w:pStyle w:val="TableText"/>
              <w:spacing w:before="0" w:after="0"/>
              <w:ind w:left="86"/>
              <w:rPr>
                <w:rFonts w:ascii="Arial" w:hAnsi="Arial"/>
                <w:szCs w:val="20"/>
              </w:rPr>
            </w:pPr>
            <w:r w:rsidRPr="00FF7A00">
              <w:rPr>
                <w:rFonts w:ascii="Arial" w:hAnsi="Arial"/>
                <w:szCs w:val="20"/>
              </w:rPr>
              <w:t>BNP 50–300 ng/L</w:t>
            </w:r>
          </w:p>
          <w:p w:rsidR="00054996" w:rsidRPr="00FF7A00" w:rsidRDefault="00054996" w:rsidP="00FF7A00">
            <w:pPr>
              <w:pStyle w:val="TableText"/>
              <w:spacing w:before="0" w:after="0"/>
              <w:ind w:left="86"/>
              <w:rPr>
                <w:rFonts w:ascii="Arial" w:hAnsi="Arial"/>
                <w:szCs w:val="20"/>
              </w:rPr>
            </w:pPr>
            <w:r w:rsidRPr="00FF7A00">
              <w:rPr>
                <w:rFonts w:ascii="Arial" w:hAnsi="Arial"/>
                <w:szCs w:val="20"/>
              </w:rPr>
              <w:t>NT-</w:t>
            </w:r>
            <w:proofErr w:type="spellStart"/>
            <w:r w:rsidRPr="00FF7A00">
              <w:rPr>
                <w:rFonts w:ascii="Arial" w:hAnsi="Arial"/>
                <w:szCs w:val="20"/>
              </w:rPr>
              <w:t>proBNP</w:t>
            </w:r>
            <w:proofErr w:type="spellEnd"/>
            <w:r w:rsidRPr="00FF7A00">
              <w:rPr>
                <w:rFonts w:ascii="Arial" w:hAnsi="Arial"/>
                <w:szCs w:val="20"/>
              </w:rPr>
              <w:t xml:space="preserve"> 300–1400 ng/L</w:t>
            </w:r>
          </w:p>
        </w:tc>
        <w:tc>
          <w:tcPr>
            <w:tcW w:w="1241" w:type="pct"/>
          </w:tcPr>
          <w:p w:rsidR="00054996" w:rsidRPr="00FF7A00" w:rsidRDefault="00054996" w:rsidP="00FF7A00">
            <w:pPr>
              <w:pStyle w:val="TableText"/>
              <w:spacing w:before="0" w:after="0"/>
              <w:ind w:left="158"/>
              <w:rPr>
                <w:rFonts w:ascii="Arial" w:hAnsi="Arial"/>
                <w:szCs w:val="20"/>
              </w:rPr>
            </w:pPr>
            <w:r w:rsidRPr="00FF7A00">
              <w:rPr>
                <w:rFonts w:ascii="Arial" w:hAnsi="Arial"/>
                <w:szCs w:val="20"/>
              </w:rPr>
              <w:t>BNP &gt;300 ng/L</w:t>
            </w:r>
          </w:p>
          <w:p w:rsidR="00054996" w:rsidRPr="00FF7A00" w:rsidRDefault="00054996" w:rsidP="00FF7A00">
            <w:pPr>
              <w:pStyle w:val="TableText"/>
              <w:spacing w:before="0" w:after="0"/>
              <w:ind w:left="158"/>
              <w:rPr>
                <w:rFonts w:ascii="Arial" w:hAnsi="Arial"/>
                <w:szCs w:val="20"/>
              </w:rPr>
            </w:pPr>
            <w:r w:rsidRPr="00FF7A00">
              <w:rPr>
                <w:rFonts w:ascii="Arial" w:hAnsi="Arial"/>
                <w:szCs w:val="20"/>
              </w:rPr>
              <w:t>NT-</w:t>
            </w:r>
            <w:proofErr w:type="spellStart"/>
            <w:r w:rsidRPr="00FF7A00">
              <w:rPr>
                <w:rFonts w:ascii="Arial" w:hAnsi="Arial"/>
                <w:szCs w:val="20"/>
              </w:rPr>
              <w:t>proBNP</w:t>
            </w:r>
            <w:proofErr w:type="spellEnd"/>
            <w:r w:rsidRPr="00FF7A00">
              <w:rPr>
                <w:rFonts w:ascii="Arial" w:hAnsi="Arial"/>
                <w:szCs w:val="20"/>
              </w:rPr>
              <w:t xml:space="preserve"> &gt;1400 ng/L</w:t>
            </w:r>
          </w:p>
        </w:tc>
      </w:tr>
      <w:tr w:rsidR="00054996" w:rsidRPr="00AE134B" w:rsidTr="00054996">
        <w:tc>
          <w:tcPr>
            <w:tcW w:w="1116" w:type="pct"/>
          </w:tcPr>
          <w:p w:rsidR="00054996" w:rsidRPr="00FF7A00" w:rsidRDefault="00054996" w:rsidP="00FF7A00">
            <w:pPr>
              <w:pStyle w:val="TableText"/>
              <w:spacing w:before="0" w:after="0"/>
              <w:ind w:left="147"/>
              <w:rPr>
                <w:rFonts w:ascii="Arial" w:hAnsi="Arial"/>
                <w:szCs w:val="20"/>
              </w:rPr>
            </w:pPr>
            <w:r w:rsidRPr="00FF7A00">
              <w:rPr>
                <w:rFonts w:ascii="Arial" w:hAnsi="Arial"/>
                <w:szCs w:val="20"/>
              </w:rPr>
              <w:t>Imaging</w:t>
            </w:r>
          </w:p>
        </w:tc>
        <w:tc>
          <w:tcPr>
            <w:tcW w:w="1270" w:type="pct"/>
          </w:tcPr>
          <w:p w:rsidR="00054996" w:rsidRPr="00FF7A00" w:rsidRDefault="00054996" w:rsidP="00FF7A00">
            <w:pPr>
              <w:pStyle w:val="TableText"/>
              <w:spacing w:before="0" w:after="0"/>
              <w:ind w:left="114"/>
              <w:rPr>
                <w:rFonts w:ascii="Arial" w:hAnsi="Arial"/>
                <w:szCs w:val="20"/>
              </w:rPr>
            </w:pPr>
            <w:r w:rsidRPr="00FF7A00">
              <w:rPr>
                <w:rFonts w:ascii="Arial" w:hAnsi="Arial"/>
                <w:szCs w:val="20"/>
              </w:rPr>
              <w:t>RA area &lt;18 cm</w:t>
            </w:r>
            <w:r w:rsidRPr="00FF7A00">
              <w:rPr>
                <w:rFonts w:ascii="Arial" w:hAnsi="Arial"/>
                <w:szCs w:val="20"/>
                <w:vertAlign w:val="superscript"/>
              </w:rPr>
              <w:t>2</w:t>
            </w:r>
          </w:p>
          <w:p w:rsidR="00054996" w:rsidRPr="00FF7A00" w:rsidRDefault="00054996" w:rsidP="00FF7A00">
            <w:pPr>
              <w:pStyle w:val="TableText"/>
              <w:spacing w:before="0" w:after="0"/>
              <w:ind w:left="114"/>
              <w:rPr>
                <w:rFonts w:ascii="Arial" w:hAnsi="Arial"/>
                <w:szCs w:val="20"/>
              </w:rPr>
            </w:pPr>
            <w:r w:rsidRPr="00FF7A00">
              <w:rPr>
                <w:rFonts w:ascii="Arial" w:hAnsi="Arial"/>
                <w:szCs w:val="20"/>
              </w:rPr>
              <w:t>No pericardial effusion</w:t>
            </w:r>
          </w:p>
        </w:tc>
        <w:tc>
          <w:tcPr>
            <w:tcW w:w="1372" w:type="pct"/>
          </w:tcPr>
          <w:p w:rsidR="00054996" w:rsidRPr="00FF7A00" w:rsidRDefault="00054996" w:rsidP="00FF7A00">
            <w:pPr>
              <w:pStyle w:val="TableText"/>
              <w:spacing w:before="0" w:after="0"/>
              <w:ind w:left="86"/>
              <w:rPr>
                <w:rFonts w:ascii="Arial" w:hAnsi="Arial"/>
                <w:szCs w:val="20"/>
              </w:rPr>
            </w:pPr>
            <w:r w:rsidRPr="00FF7A00">
              <w:rPr>
                <w:rFonts w:ascii="Arial" w:hAnsi="Arial"/>
                <w:szCs w:val="20"/>
              </w:rPr>
              <w:t>RA area 18–26 cm</w:t>
            </w:r>
            <w:r w:rsidRPr="00FF7A00">
              <w:rPr>
                <w:rFonts w:ascii="Arial" w:hAnsi="Arial"/>
                <w:szCs w:val="20"/>
                <w:vertAlign w:val="superscript"/>
              </w:rPr>
              <w:t>2</w:t>
            </w:r>
          </w:p>
          <w:p w:rsidR="00054996" w:rsidRPr="00FF7A00" w:rsidRDefault="00054996" w:rsidP="00FF7A00">
            <w:pPr>
              <w:pStyle w:val="TableText"/>
              <w:spacing w:before="0" w:after="0"/>
              <w:ind w:left="86"/>
              <w:rPr>
                <w:rFonts w:ascii="Arial" w:hAnsi="Arial"/>
                <w:szCs w:val="20"/>
              </w:rPr>
            </w:pPr>
            <w:r w:rsidRPr="00FF7A00">
              <w:rPr>
                <w:rFonts w:ascii="Arial" w:hAnsi="Arial"/>
                <w:szCs w:val="20"/>
              </w:rPr>
              <w:t>No/minimal, pericardial effusion</w:t>
            </w:r>
          </w:p>
        </w:tc>
        <w:tc>
          <w:tcPr>
            <w:tcW w:w="1241" w:type="pct"/>
          </w:tcPr>
          <w:p w:rsidR="00054996" w:rsidRPr="00FF7A00" w:rsidRDefault="00054996" w:rsidP="00FF7A00">
            <w:pPr>
              <w:pStyle w:val="TableText"/>
              <w:spacing w:before="0" w:after="0"/>
              <w:ind w:left="158"/>
              <w:rPr>
                <w:rFonts w:ascii="Arial" w:hAnsi="Arial"/>
                <w:szCs w:val="20"/>
              </w:rPr>
            </w:pPr>
            <w:r w:rsidRPr="00FF7A00">
              <w:rPr>
                <w:rFonts w:ascii="Arial" w:hAnsi="Arial"/>
                <w:szCs w:val="20"/>
              </w:rPr>
              <w:t>RA area &gt;26 cm</w:t>
            </w:r>
            <w:r w:rsidRPr="00FF7A00">
              <w:rPr>
                <w:rFonts w:ascii="Arial" w:hAnsi="Arial"/>
                <w:szCs w:val="20"/>
                <w:vertAlign w:val="superscript"/>
              </w:rPr>
              <w:t>2</w:t>
            </w:r>
          </w:p>
          <w:p w:rsidR="00054996" w:rsidRPr="00FF7A00" w:rsidRDefault="00054996" w:rsidP="00FF7A00">
            <w:pPr>
              <w:pStyle w:val="TableText"/>
              <w:spacing w:before="0" w:after="0"/>
              <w:ind w:left="158"/>
              <w:rPr>
                <w:rFonts w:ascii="Arial" w:hAnsi="Arial"/>
                <w:szCs w:val="20"/>
              </w:rPr>
            </w:pPr>
            <w:r w:rsidRPr="00FF7A00">
              <w:rPr>
                <w:rFonts w:ascii="Arial" w:hAnsi="Arial"/>
                <w:szCs w:val="20"/>
              </w:rPr>
              <w:t>Pericardial effusion</w:t>
            </w:r>
          </w:p>
        </w:tc>
      </w:tr>
      <w:tr w:rsidR="00054996" w:rsidRPr="00AE134B" w:rsidTr="00054996">
        <w:tc>
          <w:tcPr>
            <w:tcW w:w="1116" w:type="pct"/>
          </w:tcPr>
          <w:p w:rsidR="00054996" w:rsidRPr="00FF7A00" w:rsidRDefault="00054996" w:rsidP="00FF7A00">
            <w:pPr>
              <w:pStyle w:val="TableText"/>
              <w:spacing w:before="0" w:after="0"/>
              <w:ind w:left="147"/>
              <w:rPr>
                <w:rFonts w:ascii="Arial" w:hAnsi="Arial"/>
                <w:szCs w:val="20"/>
              </w:rPr>
            </w:pPr>
            <w:proofErr w:type="spellStart"/>
            <w:r w:rsidRPr="00FF7A00">
              <w:rPr>
                <w:rFonts w:ascii="Arial" w:hAnsi="Arial"/>
                <w:szCs w:val="20"/>
              </w:rPr>
              <w:t>Haemodynamics</w:t>
            </w:r>
            <w:proofErr w:type="spellEnd"/>
          </w:p>
        </w:tc>
        <w:tc>
          <w:tcPr>
            <w:tcW w:w="1270" w:type="pct"/>
          </w:tcPr>
          <w:p w:rsidR="00054996" w:rsidRPr="00FF7A00" w:rsidRDefault="00054996" w:rsidP="00FF7A00">
            <w:pPr>
              <w:pStyle w:val="TableText"/>
              <w:spacing w:before="0" w:after="0"/>
              <w:ind w:left="114"/>
              <w:rPr>
                <w:rFonts w:ascii="Arial" w:hAnsi="Arial"/>
                <w:szCs w:val="20"/>
              </w:rPr>
            </w:pPr>
            <w:r w:rsidRPr="00FF7A00">
              <w:rPr>
                <w:rFonts w:ascii="Arial" w:hAnsi="Arial"/>
                <w:szCs w:val="20"/>
              </w:rPr>
              <w:t>RAP &lt;8 mmHg</w:t>
            </w:r>
          </w:p>
          <w:p w:rsidR="00054996" w:rsidRPr="00FF7A00" w:rsidRDefault="00054996" w:rsidP="00FF7A00">
            <w:pPr>
              <w:pStyle w:val="TableText"/>
              <w:spacing w:before="0" w:after="0"/>
              <w:ind w:left="114"/>
              <w:rPr>
                <w:rFonts w:ascii="Arial" w:hAnsi="Arial"/>
                <w:szCs w:val="20"/>
              </w:rPr>
            </w:pPr>
            <w:r w:rsidRPr="00FF7A00">
              <w:rPr>
                <w:rFonts w:ascii="Arial" w:hAnsi="Arial"/>
                <w:szCs w:val="20"/>
              </w:rPr>
              <w:t>CI ≥2.5 L/min/m</w:t>
            </w:r>
            <w:r w:rsidRPr="00FF7A00">
              <w:rPr>
                <w:rFonts w:ascii="Arial" w:hAnsi="Arial"/>
                <w:szCs w:val="20"/>
                <w:vertAlign w:val="superscript"/>
              </w:rPr>
              <w:t>2</w:t>
            </w:r>
          </w:p>
          <w:p w:rsidR="00054996" w:rsidRPr="00FF7A00" w:rsidRDefault="00054996" w:rsidP="00FF7A00">
            <w:pPr>
              <w:pStyle w:val="TableText"/>
              <w:spacing w:before="0" w:after="0"/>
              <w:ind w:left="114"/>
              <w:rPr>
                <w:rFonts w:ascii="Arial" w:hAnsi="Arial"/>
                <w:szCs w:val="20"/>
              </w:rPr>
            </w:pPr>
            <w:r w:rsidRPr="00FF7A00">
              <w:rPr>
                <w:rFonts w:ascii="Arial" w:hAnsi="Arial"/>
                <w:szCs w:val="20"/>
              </w:rPr>
              <w:t>SvO</w:t>
            </w:r>
            <w:r w:rsidRPr="00FF7A00">
              <w:rPr>
                <w:rFonts w:ascii="Arial" w:hAnsi="Arial"/>
                <w:szCs w:val="20"/>
                <w:vertAlign w:val="subscript"/>
              </w:rPr>
              <w:t>2</w:t>
            </w:r>
            <w:r w:rsidRPr="00FF7A00">
              <w:rPr>
                <w:rFonts w:ascii="Arial" w:hAnsi="Arial"/>
                <w:szCs w:val="20"/>
              </w:rPr>
              <w:t xml:space="preserve"> &gt;65%</w:t>
            </w:r>
          </w:p>
        </w:tc>
        <w:tc>
          <w:tcPr>
            <w:tcW w:w="1372" w:type="pct"/>
          </w:tcPr>
          <w:p w:rsidR="00054996" w:rsidRPr="00FF7A00" w:rsidRDefault="00054996" w:rsidP="00FF7A00">
            <w:pPr>
              <w:pStyle w:val="TableText"/>
              <w:spacing w:before="0" w:after="0"/>
              <w:ind w:left="86"/>
              <w:rPr>
                <w:rFonts w:ascii="Arial" w:hAnsi="Arial"/>
                <w:szCs w:val="20"/>
              </w:rPr>
            </w:pPr>
            <w:r w:rsidRPr="00FF7A00">
              <w:rPr>
                <w:rFonts w:ascii="Arial" w:hAnsi="Arial"/>
                <w:szCs w:val="20"/>
              </w:rPr>
              <w:t>RAP 8–14 mmHg</w:t>
            </w:r>
          </w:p>
          <w:p w:rsidR="00054996" w:rsidRPr="00FF7A00" w:rsidRDefault="00054996" w:rsidP="00FF7A00">
            <w:pPr>
              <w:pStyle w:val="TableText"/>
              <w:spacing w:before="0" w:after="0"/>
              <w:ind w:left="86"/>
              <w:rPr>
                <w:rFonts w:ascii="Arial" w:hAnsi="Arial"/>
                <w:szCs w:val="20"/>
              </w:rPr>
            </w:pPr>
            <w:r w:rsidRPr="00FF7A00">
              <w:rPr>
                <w:rFonts w:ascii="Arial" w:hAnsi="Arial"/>
                <w:szCs w:val="20"/>
              </w:rPr>
              <w:t>CI 2.0–2.4 L/min/m</w:t>
            </w:r>
            <w:r w:rsidRPr="00FF7A00">
              <w:rPr>
                <w:rFonts w:ascii="Arial" w:hAnsi="Arial"/>
                <w:szCs w:val="20"/>
                <w:vertAlign w:val="superscript"/>
              </w:rPr>
              <w:t>2</w:t>
            </w:r>
          </w:p>
          <w:p w:rsidR="00054996" w:rsidRPr="00FF7A00" w:rsidRDefault="00054996" w:rsidP="00FF7A00">
            <w:pPr>
              <w:pStyle w:val="TableText"/>
              <w:spacing w:before="0" w:after="0"/>
              <w:ind w:left="86"/>
              <w:rPr>
                <w:rFonts w:ascii="Arial" w:hAnsi="Arial"/>
                <w:szCs w:val="20"/>
              </w:rPr>
            </w:pPr>
            <w:r w:rsidRPr="00FF7A00">
              <w:rPr>
                <w:rFonts w:ascii="Arial" w:hAnsi="Arial"/>
                <w:szCs w:val="20"/>
              </w:rPr>
              <w:t>SvO</w:t>
            </w:r>
            <w:r w:rsidRPr="00FF7A00">
              <w:rPr>
                <w:rFonts w:ascii="Arial" w:hAnsi="Arial"/>
                <w:szCs w:val="20"/>
                <w:vertAlign w:val="subscript"/>
              </w:rPr>
              <w:t>2</w:t>
            </w:r>
            <w:r w:rsidRPr="00FF7A00">
              <w:rPr>
                <w:rFonts w:ascii="Arial" w:hAnsi="Arial"/>
                <w:szCs w:val="20"/>
              </w:rPr>
              <w:t xml:space="preserve"> 60–65%</w:t>
            </w:r>
          </w:p>
        </w:tc>
        <w:tc>
          <w:tcPr>
            <w:tcW w:w="1241" w:type="pct"/>
          </w:tcPr>
          <w:p w:rsidR="00054996" w:rsidRPr="00FF7A00" w:rsidRDefault="00054996" w:rsidP="00FF7A00">
            <w:pPr>
              <w:pStyle w:val="TableText"/>
              <w:spacing w:before="0" w:after="0"/>
              <w:ind w:left="158"/>
              <w:rPr>
                <w:rFonts w:ascii="Arial" w:hAnsi="Arial"/>
                <w:szCs w:val="20"/>
              </w:rPr>
            </w:pPr>
            <w:r w:rsidRPr="00FF7A00">
              <w:rPr>
                <w:rFonts w:ascii="Arial" w:hAnsi="Arial"/>
                <w:szCs w:val="20"/>
              </w:rPr>
              <w:t>RAP &gt;14 mmHg</w:t>
            </w:r>
          </w:p>
          <w:p w:rsidR="00054996" w:rsidRPr="00FF7A00" w:rsidRDefault="00054996" w:rsidP="00FF7A00">
            <w:pPr>
              <w:pStyle w:val="TableText"/>
              <w:spacing w:before="0" w:after="0"/>
              <w:ind w:left="158"/>
              <w:rPr>
                <w:rFonts w:ascii="Arial" w:hAnsi="Arial"/>
                <w:szCs w:val="20"/>
              </w:rPr>
            </w:pPr>
            <w:r w:rsidRPr="00FF7A00">
              <w:rPr>
                <w:rFonts w:ascii="Arial" w:hAnsi="Arial"/>
                <w:szCs w:val="20"/>
              </w:rPr>
              <w:t>CI ≥2.5 L/min/m</w:t>
            </w:r>
            <w:r w:rsidRPr="00FF7A00">
              <w:rPr>
                <w:rFonts w:ascii="Arial" w:hAnsi="Arial"/>
                <w:szCs w:val="20"/>
                <w:vertAlign w:val="superscript"/>
              </w:rPr>
              <w:t>2</w:t>
            </w:r>
          </w:p>
          <w:p w:rsidR="00054996" w:rsidRPr="00FF7A00" w:rsidRDefault="00054996" w:rsidP="00FF7A00">
            <w:pPr>
              <w:pStyle w:val="TableText"/>
              <w:spacing w:before="0" w:after="0"/>
              <w:ind w:left="158"/>
              <w:rPr>
                <w:rFonts w:ascii="Arial" w:hAnsi="Arial"/>
                <w:szCs w:val="20"/>
              </w:rPr>
            </w:pPr>
            <w:r w:rsidRPr="00FF7A00">
              <w:rPr>
                <w:rFonts w:ascii="Arial" w:hAnsi="Arial"/>
                <w:szCs w:val="20"/>
              </w:rPr>
              <w:t>SvO</w:t>
            </w:r>
            <w:r w:rsidRPr="00FF7A00">
              <w:rPr>
                <w:rFonts w:ascii="Arial" w:hAnsi="Arial"/>
                <w:szCs w:val="20"/>
                <w:vertAlign w:val="subscript"/>
              </w:rPr>
              <w:t>2</w:t>
            </w:r>
            <w:r w:rsidRPr="00FF7A00">
              <w:rPr>
                <w:rFonts w:ascii="Arial" w:hAnsi="Arial"/>
                <w:szCs w:val="20"/>
              </w:rPr>
              <w:t xml:space="preserve"> &lt;60%</w:t>
            </w:r>
          </w:p>
        </w:tc>
      </w:tr>
    </w:tbl>
    <w:p w:rsidR="00054996" w:rsidRPr="00FF7A00" w:rsidRDefault="00054996" w:rsidP="00121658">
      <w:pPr>
        <w:pStyle w:val="Tablenote"/>
        <w:rPr>
          <w:rFonts w:ascii="Arial" w:hAnsi="Arial" w:cs="Arial"/>
          <w:sz w:val="16"/>
          <w:szCs w:val="16"/>
        </w:rPr>
      </w:pPr>
      <w:r w:rsidRPr="00FF7A00">
        <w:rPr>
          <w:rFonts w:ascii="Arial" w:hAnsi="Arial" w:cs="Arial"/>
          <w:sz w:val="16"/>
          <w:szCs w:val="16"/>
        </w:rPr>
        <w:t>BNP = B-type natriuretic peptide; CI = Cardiac Index; NT = N-terminal; Pred. = predicted; RA = right atrial; SvO</w:t>
      </w:r>
      <w:r w:rsidRPr="00FF7A00">
        <w:rPr>
          <w:rFonts w:ascii="Arial" w:hAnsi="Arial" w:cs="Arial"/>
          <w:sz w:val="16"/>
          <w:szCs w:val="16"/>
          <w:vertAlign w:val="subscript"/>
        </w:rPr>
        <w:t>2</w:t>
      </w:r>
      <w:r w:rsidRPr="00FF7A00">
        <w:rPr>
          <w:rFonts w:ascii="Arial" w:hAnsi="Arial" w:cs="Arial"/>
          <w:sz w:val="16"/>
          <w:szCs w:val="16"/>
          <w:vertAlign w:val="superscript"/>
        </w:rPr>
        <w:t xml:space="preserve"> </w:t>
      </w:r>
      <w:r w:rsidRPr="00FF7A00">
        <w:rPr>
          <w:rFonts w:ascii="Arial" w:hAnsi="Arial" w:cs="Arial"/>
          <w:sz w:val="16"/>
          <w:szCs w:val="16"/>
        </w:rPr>
        <w:t>= mixed venous oxygen saturation; VE/VCO</w:t>
      </w:r>
      <w:r w:rsidRPr="00FF7A00">
        <w:rPr>
          <w:rFonts w:ascii="Arial" w:hAnsi="Arial" w:cs="Arial"/>
          <w:sz w:val="16"/>
          <w:szCs w:val="16"/>
          <w:vertAlign w:val="subscript"/>
        </w:rPr>
        <w:t>2</w:t>
      </w:r>
      <w:r w:rsidRPr="00FF7A00">
        <w:rPr>
          <w:rFonts w:ascii="Arial" w:hAnsi="Arial" w:cs="Arial"/>
          <w:sz w:val="16"/>
          <w:szCs w:val="16"/>
        </w:rPr>
        <w:t xml:space="preserve"> = minute ventilation/carbon dioxide production; RAP = Right Atrial Pressure; VO</w:t>
      </w:r>
      <w:r w:rsidRPr="00FF7A00">
        <w:rPr>
          <w:rFonts w:ascii="Arial" w:hAnsi="Arial" w:cs="Arial"/>
          <w:sz w:val="16"/>
          <w:szCs w:val="16"/>
          <w:vertAlign w:val="subscript"/>
        </w:rPr>
        <w:t>2</w:t>
      </w:r>
      <w:r w:rsidRPr="00FF7A00">
        <w:rPr>
          <w:rFonts w:ascii="Arial" w:hAnsi="Arial" w:cs="Arial"/>
          <w:sz w:val="16"/>
          <w:szCs w:val="16"/>
        </w:rPr>
        <w:t xml:space="preserve"> = Oxygen uptake</w:t>
      </w:r>
    </w:p>
    <w:p w:rsidR="00054996" w:rsidRPr="00FF7A00" w:rsidRDefault="00054996" w:rsidP="00121658">
      <w:pPr>
        <w:pStyle w:val="Tablenote"/>
        <w:spacing w:after="240"/>
        <w:rPr>
          <w:rFonts w:ascii="Arial" w:hAnsi="Arial" w:cs="Arial"/>
          <w:i/>
          <w:sz w:val="16"/>
          <w:szCs w:val="16"/>
        </w:rPr>
      </w:pPr>
      <w:r w:rsidRPr="00FF7A00">
        <w:rPr>
          <w:rFonts w:ascii="Arial" w:hAnsi="Arial" w:cs="Arial"/>
          <w:sz w:val="16"/>
          <w:szCs w:val="16"/>
        </w:rPr>
        <w:t>Source: ESC/ERS Guideline</w:t>
      </w:r>
      <w:r w:rsidR="009C556B" w:rsidRPr="00FF7A00">
        <w:rPr>
          <w:rFonts w:ascii="Arial" w:hAnsi="Arial" w:cs="Arial"/>
          <w:noProof/>
          <w:sz w:val="16"/>
          <w:szCs w:val="16"/>
          <w:vertAlign w:val="superscript"/>
        </w:rPr>
        <w:t>8</w:t>
      </w:r>
    </w:p>
    <w:p w:rsidR="00054996" w:rsidRDefault="0048383C" w:rsidP="00F75B8B">
      <w:pPr>
        <w:pStyle w:val="Caption"/>
      </w:pPr>
      <w:bookmarkStart w:id="179" w:name="_Ref510795326"/>
      <w:bookmarkStart w:id="180" w:name="_Toc513107638"/>
      <w:r>
        <w:t>Table 1.</w:t>
      </w:r>
      <w:r w:rsidR="00D63371">
        <w:rPr>
          <w:noProof/>
        </w:rPr>
        <w:t>12</w:t>
      </w:r>
      <w:bookmarkEnd w:id="179"/>
      <w:r w:rsidR="00F75B8B">
        <w:tab/>
        <w:t>Clinical features of high risk PAH patients (USA)</w:t>
      </w:r>
      <w:bookmarkEnd w:id="180"/>
    </w:p>
    <w:tbl>
      <w:tblPr>
        <w:tblStyle w:val="TableGrid"/>
        <w:tblW w:w="0" w:type="auto"/>
        <w:tblLook w:val="04A0" w:firstRow="1" w:lastRow="0" w:firstColumn="1" w:lastColumn="0" w:noHBand="0" w:noVBand="1"/>
        <w:tblCaption w:val="Clinical features of high risk PAH patients (USA)"/>
      </w:tblPr>
      <w:tblGrid>
        <w:gridCol w:w="4967"/>
        <w:gridCol w:w="4049"/>
      </w:tblGrid>
      <w:tr w:rsidR="00054996" w:rsidTr="00FF7A00">
        <w:trPr>
          <w:cnfStyle w:val="100000000000" w:firstRow="1" w:lastRow="0" w:firstColumn="0" w:lastColumn="0" w:oddVBand="0" w:evenVBand="0" w:oddHBand="0" w:evenHBand="0" w:firstRowFirstColumn="0" w:firstRowLastColumn="0" w:lastRowFirstColumn="0" w:lastRowLastColumn="0"/>
        </w:trPr>
        <w:tc>
          <w:tcPr>
            <w:tcW w:w="4967" w:type="dxa"/>
          </w:tcPr>
          <w:p w:rsidR="00054996" w:rsidRPr="00FF7A00" w:rsidRDefault="00805124" w:rsidP="00FF7A00">
            <w:pPr>
              <w:pStyle w:val="TableText"/>
              <w:keepNext/>
              <w:spacing w:before="0" w:after="0"/>
              <w:ind w:left="147"/>
              <w:rPr>
                <w:rFonts w:ascii="Arial" w:hAnsi="Arial"/>
                <w:b/>
              </w:rPr>
            </w:pPr>
            <w:r w:rsidRPr="00FF7A00">
              <w:rPr>
                <w:rFonts w:ascii="Arial" w:hAnsi="Arial"/>
                <w:b/>
              </w:rPr>
              <w:t>Items</w:t>
            </w:r>
          </w:p>
        </w:tc>
        <w:tc>
          <w:tcPr>
            <w:tcW w:w="4049" w:type="dxa"/>
          </w:tcPr>
          <w:p w:rsidR="00054996" w:rsidRPr="00FF7A00" w:rsidRDefault="00805124" w:rsidP="00FF7A00">
            <w:pPr>
              <w:pStyle w:val="TableText"/>
              <w:keepNext/>
              <w:spacing w:before="0" w:after="0"/>
              <w:ind w:left="165"/>
              <w:rPr>
                <w:rFonts w:ascii="Arial" w:hAnsi="Arial"/>
                <w:b/>
              </w:rPr>
            </w:pPr>
            <w:r w:rsidRPr="00FF7A00">
              <w:rPr>
                <w:rFonts w:ascii="Arial" w:hAnsi="Arial"/>
                <w:b/>
              </w:rPr>
              <w:t>Clinical features of high risk</w:t>
            </w:r>
          </w:p>
        </w:tc>
      </w:tr>
      <w:tr w:rsidR="00805124" w:rsidTr="00FF7A00">
        <w:tc>
          <w:tcPr>
            <w:tcW w:w="4967" w:type="dxa"/>
          </w:tcPr>
          <w:p w:rsidR="00805124" w:rsidRPr="00FF7A00" w:rsidRDefault="00805124" w:rsidP="00FF7A00">
            <w:pPr>
              <w:pStyle w:val="TableText"/>
              <w:keepNext/>
              <w:spacing w:before="0" w:after="0"/>
              <w:ind w:left="147"/>
              <w:rPr>
                <w:rFonts w:ascii="Arial" w:hAnsi="Arial"/>
              </w:rPr>
            </w:pPr>
            <w:r w:rsidRPr="00FF7A00">
              <w:rPr>
                <w:rFonts w:ascii="Arial" w:hAnsi="Arial"/>
              </w:rPr>
              <w:t>Syncope</w:t>
            </w:r>
          </w:p>
        </w:tc>
        <w:tc>
          <w:tcPr>
            <w:tcW w:w="4049" w:type="dxa"/>
          </w:tcPr>
          <w:p w:rsidR="00805124" w:rsidRPr="00FF7A00" w:rsidRDefault="00805124" w:rsidP="00FF7A00">
            <w:pPr>
              <w:pStyle w:val="TableText"/>
              <w:keepNext/>
              <w:spacing w:before="0" w:after="0"/>
              <w:ind w:left="165"/>
              <w:rPr>
                <w:rFonts w:ascii="Arial" w:hAnsi="Arial"/>
              </w:rPr>
            </w:pPr>
            <w:r w:rsidRPr="00FF7A00">
              <w:rPr>
                <w:rFonts w:ascii="Arial" w:hAnsi="Arial"/>
              </w:rPr>
              <w:t>Yes</w:t>
            </w:r>
          </w:p>
        </w:tc>
      </w:tr>
      <w:tr w:rsidR="00054996" w:rsidTr="00FF7A00">
        <w:tc>
          <w:tcPr>
            <w:tcW w:w="4967" w:type="dxa"/>
          </w:tcPr>
          <w:p w:rsidR="00054996" w:rsidRPr="00FF7A00" w:rsidRDefault="00054996" w:rsidP="00FF7A00">
            <w:pPr>
              <w:pStyle w:val="TableText"/>
              <w:keepNext/>
              <w:spacing w:before="0" w:after="0"/>
              <w:ind w:left="147"/>
              <w:rPr>
                <w:rFonts w:ascii="Arial" w:hAnsi="Arial"/>
              </w:rPr>
            </w:pPr>
            <w:r w:rsidRPr="00FF7A00">
              <w:rPr>
                <w:rFonts w:ascii="Arial" w:hAnsi="Arial"/>
              </w:rPr>
              <w:t>NYHA/WHO class</w:t>
            </w:r>
          </w:p>
        </w:tc>
        <w:tc>
          <w:tcPr>
            <w:tcW w:w="4049" w:type="dxa"/>
          </w:tcPr>
          <w:p w:rsidR="00054996" w:rsidRPr="00FF7A00" w:rsidRDefault="00054996" w:rsidP="00FF7A00">
            <w:pPr>
              <w:pStyle w:val="TableText"/>
              <w:keepNext/>
              <w:spacing w:before="0" w:after="0"/>
              <w:ind w:left="165"/>
              <w:rPr>
                <w:rFonts w:ascii="Arial" w:hAnsi="Arial"/>
              </w:rPr>
            </w:pPr>
            <w:r w:rsidRPr="00FF7A00">
              <w:rPr>
                <w:rFonts w:ascii="Arial" w:hAnsi="Arial"/>
              </w:rPr>
              <w:t>IV</w:t>
            </w:r>
          </w:p>
        </w:tc>
      </w:tr>
      <w:tr w:rsidR="00054996" w:rsidTr="00FF7A00">
        <w:tc>
          <w:tcPr>
            <w:tcW w:w="4967" w:type="dxa"/>
          </w:tcPr>
          <w:p w:rsidR="00054996" w:rsidRPr="00FF7A00" w:rsidRDefault="00054996" w:rsidP="00FF7A00">
            <w:pPr>
              <w:pStyle w:val="TableText"/>
              <w:keepNext/>
              <w:spacing w:before="0" w:after="0"/>
              <w:ind w:left="147"/>
              <w:rPr>
                <w:rFonts w:ascii="Arial" w:hAnsi="Arial"/>
              </w:rPr>
            </w:pPr>
            <w:r w:rsidRPr="00FF7A00">
              <w:rPr>
                <w:rFonts w:ascii="Arial" w:hAnsi="Arial"/>
              </w:rPr>
              <w:t>6MWD</w:t>
            </w:r>
          </w:p>
        </w:tc>
        <w:tc>
          <w:tcPr>
            <w:tcW w:w="4049" w:type="dxa"/>
          </w:tcPr>
          <w:p w:rsidR="00054996" w:rsidRPr="00FF7A00" w:rsidRDefault="00054996" w:rsidP="00FF7A00">
            <w:pPr>
              <w:pStyle w:val="TableText"/>
              <w:keepNext/>
              <w:spacing w:before="0" w:after="0"/>
              <w:ind w:left="165"/>
              <w:rPr>
                <w:rFonts w:ascii="Arial" w:hAnsi="Arial"/>
              </w:rPr>
            </w:pPr>
            <w:r w:rsidRPr="00FF7A00">
              <w:rPr>
                <w:rFonts w:ascii="Arial" w:hAnsi="Arial"/>
              </w:rPr>
              <w:t>&lt;300 m</w:t>
            </w:r>
          </w:p>
        </w:tc>
      </w:tr>
      <w:tr w:rsidR="00054996" w:rsidTr="00FF7A00">
        <w:tc>
          <w:tcPr>
            <w:tcW w:w="4967" w:type="dxa"/>
          </w:tcPr>
          <w:p w:rsidR="00054996" w:rsidRPr="00FF7A00" w:rsidRDefault="00054996" w:rsidP="00FF7A00">
            <w:pPr>
              <w:pStyle w:val="TableText"/>
              <w:keepNext/>
              <w:spacing w:before="0" w:after="0"/>
              <w:ind w:left="147"/>
              <w:rPr>
                <w:rFonts w:ascii="Arial" w:hAnsi="Arial"/>
              </w:rPr>
            </w:pPr>
            <w:r w:rsidRPr="00FF7A00">
              <w:rPr>
                <w:rFonts w:ascii="Arial" w:hAnsi="Arial"/>
              </w:rPr>
              <w:t xml:space="preserve">CPET Peak oxygen uptake </w:t>
            </w:r>
          </w:p>
        </w:tc>
        <w:tc>
          <w:tcPr>
            <w:tcW w:w="4049" w:type="dxa"/>
          </w:tcPr>
          <w:p w:rsidR="00054996" w:rsidRPr="00FF7A00" w:rsidRDefault="00054996" w:rsidP="00FF7A00">
            <w:pPr>
              <w:pStyle w:val="TableText"/>
              <w:keepNext/>
              <w:spacing w:before="0" w:after="0"/>
              <w:ind w:left="165"/>
              <w:rPr>
                <w:rFonts w:ascii="Arial" w:hAnsi="Arial"/>
              </w:rPr>
            </w:pPr>
            <w:r w:rsidRPr="00FF7A00">
              <w:rPr>
                <w:rFonts w:ascii="Arial" w:hAnsi="Arial"/>
              </w:rPr>
              <w:t>&lt;12 mL/kg/min</w:t>
            </w:r>
          </w:p>
        </w:tc>
      </w:tr>
      <w:tr w:rsidR="00054996" w:rsidTr="00FF7A00">
        <w:tc>
          <w:tcPr>
            <w:tcW w:w="4967" w:type="dxa"/>
          </w:tcPr>
          <w:p w:rsidR="00054996" w:rsidRPr="00FF7A00" w:rsidRDefault="00054996" w:rsidP="00FF7A00">
            <w:pPr>
              <w:pStyle w:val="TableText"/>
              <w:keepNext/>
              <w:spacing w:before="0" w:after="0"/>
              <w:ind w:left="147"/>
              <w:rPr>
                <w:rFonts w:ascii="Arial" w:hAnsi="Arial"/>
              </w:rPr>
            </w:pPr>
            <w:r w:rsidRPr="00FF7A00">
              <w:rPr>
                <w:rFonts w:ascii="Arial" w:hAnsi="Arial"/>
              </w:rPr>
              <w:t>Echocardiographic findings – Pericardial effusion</w:t>
            </w:r>
          </w:p>
        </w:tc>
        <w:tc>
          <w:tcPr>
            <w:tcW w:w="4049" w:type="dxa"/>
          </w:tcPr>
          <w:p w:rsidR="00054996" w:rsidRPr="00FF7A00" w:rsidRDefault="00054996" w:rsidP="00FF7A00">
            <w:pPr>
              <w:pStyle w:val="TableText"/>
              <w:keepNext/>
              <w:spacing w:before="0" w:after="0"/>
              <w:ind w:left="165"/>
              <w:rPr>
                <w:rFonts w:ascii="Arial" w:hAnsi="Arial"/>
              </w:rPr>
            </w:pPr>
            <w:r w:rsidRPr="00FF7A00">
              <w:rPr>
                <w:rFonts w:ascii="Arial" w:hAnsi="Arial"/>
              </w:rPr>
              <w:t>Yes</w:t>
            </w:r>
          </w:p>
        </w:tc>
      </w:tr>
      <w:tr w:rsidR="00054996" w:rsidTr="00FF7A00">
        <w:tc>
          <w:tcPr>
            <w:tcW w:w="4967" w:type="dxa"/>
          </w:tcPr>
          <w:p w:rsidR="00054996" w:rsidRPr="00FF7A00" w:rsidRDefault="00054996" w:rsidP="00FF7A00">
            <w:pPr>
              <w:pStyle w:val="TableText"/>
              <w:keepNext/>
              <w:spacing w:before="0" w:after="0"/>
              <w:ind w:left="147"/>
              <w:rPr>
                <w:rFonts w:ascii="Arial" w:hAnsi="Arial"/>
              </w:rPr>
            </w:pPr>
            <w:r w:rsidRPr="00FF7A00">
              <w:rPr>
                <w:rFonts w:ascii="Arial" w:hAnsi="Arial"/>
              </w:rPr>
              <w:t>Echocardiographic findings – TAPSE</w:t>
            </w:r>
          </w:p>
        </w:tc>
        <w:tc>
          <w:tcPr>
            <w:tcW w:w="4049" w:type="dxa"/>
          </w:tcPr>
          <w:p w:rsidR="00054996" w:rsidRPr="00FF7A00" w:rsidRDefault="00054996" w:rsidP="00FF7A00">
            <w:pPr>
              <w:pStyle w:val="TableText"/>
              <w:keepNext/>
              <w:spacing w:before="0" w:after="0"/>
              <w:ind w:left="165"/>
              <w:rPr>
                <w:rFonts w:ascii="Arial" w:hAnsi="Arial"/>
              </w:rPr>
            </w:pPr>
            <w:r w:rsidRPr="00FF7A00">
              <w:rPr>
                <w:rFonts w:ascii="Arial" w:hAnsi="Arial"/>
              </w:rPr>
              <w:t>&lt;1.5 cm</w:t>
            </w:r>
          </w:p>
        </w:tc>
      </w:tr>
      <w:tr w:rsidR="00054996" w:rsidTr="00FF7A00">
        <w:tc>
          <w:tcPr>
            <w:tcW w:w="4967" w:type="dxa"/>
          </w:tcPr>
          <w:p w:rsidR="00054996" w:rsidRPr="00FF7A00" w:rsidRDefault="00054996" w:rsidP="00FF7A00">
            <w:pPr>
              <w:pStyle w:val="TableText"/>
              <w:keepNext/>
              <w:spacing w:before="0" w:after="0"/>
              <w:ind w:left="147"/>
              <w:rPr>
                <w:rFonts w:ascii="Arial" w:hAnsi="Arial"/>
              </w:rPr>
            </w:pPr>
            <w:proofErr w:type="spellStart"/>
            <w:r w:rsidRPr="00FF7A00">
              <w:rPr>
                <w:rFonts w:ascii="Arial" w:hAnsi="Arial"/>
              </w:rPr>
              <w:t>Hemodynamics</w:t>
            </w:r>
            <w:proofErr w:type="spellEnd"/>
            <w:r w:rsidRPr="00FF7A00">
              <w:rPr>
                <w:rFonts w:ascii="Arial" w:hAnsi="Arial"/>
              </w:rPr>
              <w:t xml:space="preserve"> – RAP </w:t>
            </w:r>
          </w:p>
        </w:tc>
        <w:tc>
          <w:tcPr>
            <w:tcW w:w="4049" w:type="dxa"/>
          </w:tcPr>
          <w:p w:rsidR="00054996" w:rsidRPr="00FF7A00" w:rsidRDefault="00054996" w:rsidP="00FF7A00">
            <w:pPr>
              <w:pStyle w:val="TableText"/>
              <w:keepNext/>
              <w:spacing w:before="0" w:after="0"/>
              <w:ind w:left="165"/>
              <w:rPr>
                <w:rFonts w:ascii="Arial" w:hAnsi="Arial"/>
              </w:rPr>
            </w:pPr>
            <w:r w:rsidRPr="00FF7A00">
              <w:rPr>
                <w:rFonts w:ascii="Arial" w:hAnsi="Arial"/>
              </w:rPr>
              <w:t>&gt;15 mm Hg</w:t>
            </w:r>
          </w:p>
        </w:tc>
      </w:tr>
      <w:tr w:rsidR="00054996" w:rsidTr="00FF7A00">
        <w:tc>
          <w:tcPr>
            <w:tcW w:w="4967" w:type="dxa"/>
          </w:tcPr>
          <w:p w:rsidR="00054996" w:rsidRPr="00FF7A00" w:rsidRDefault="00054996" w:rsidP="00FF7A00">
            <w:pPr>
              <w:pStyle w:val="TableText"/>
              <w:keepNext/>
              <w:spacing w:before="0" w:after="0"/>
              <w:ind w:left="147"/>
              <w:rPr>
                <w:rFonts w:ascii="Arial" w:hAnsi="Arial"/>
              </w:rPr>
            </w:pPr>
            <w:proofErr w:type="spellStart"/>
            <w:r w:rsidRPr="00FF7A00">
              <w:rPr>
                <w:rFonts w:ascii="Arial" w:hAnsi="Arial"/>
              </w:rPr>
              <w:t>Hemodynamics</w:t>
            </w:r>
            <w:proofErr w:type="spellEnd"/>
            <w:r w:rsidRPr="00FF7A00">
              <w:rPr>
                <w:rFonts w:ascii="Arial" w:hAnsi="Arial"/>
              </w:rPr>
              <w:t xml:space="preserve"> – Cardiac index </w:t>
            </w:r>
          </w:p>
        </w:tc>
        <w:tc>
          <w:tcPr>
            <w:tcW w:w="4049" w:type="dxa"/>
          </w:tcPr>
          <w:p w:rsidR="00054996" w:rsidRPr="00FF7A00" w:rsidRDefault="00054996" w:rsidP="00FF7A00">
            <w:pPr>
              <w:pStyle w:val="TableText"/>
              <w:keepNext/>
              <w:spacing w:before="0" w:after="0"/>
              <w:ind w:left="165"/>
              <w:rPr>
                <w:rFonts w:ascii="Arial" w:hAnsi="Arial"/>
              </w:rPr>
            </w:pPr>
            <w:r w:rsidRPr="00FF7A00">
              <w:rPr>
                <w:rFonts w:ascii="Arial" w:hAnsi="Arial"/>
              </w:rPr>
              <w:t>≤2 L/min/m</w:t>
            </w:r>
            <w:r w:rsidRPr="00FF7A00">
              <w:rPr>
                <w:rFonts w:ascii="Arial" w:hAnsi="Arial"/>
                <w:vertAlign w:val="superscript"/>
              </w:rPr>
              <w:t>2</w:t>
            </w:r>
          </w:p>
        </w:tc>
      </w:tr>
      <w:tr w:rsidR="00054996" w:rsidTr="00FF7A00">
        <w:tc>
          <w:tcPr>
            <w:tcW w:w="4967" w:type="dxa"/>
          </w:tcPr>
          <w:p w:rsidR="00054996" w:rsidRPr="00FF7A00" w:rsidRDefault="00054996" w:rsidP="00FF7A00">
            <w:pPr>
              <w:pStyle w:val="TableText"/>
              <w:keepNext/>
              <w:spacing w:before="0" w:after="0"/>
              <w:ind w:left="147"/>
              <w:rPr>
                <w:rFonts w:ascii="Arial" w:hAnsi="Arial"/>
              </w:rPr>
            </w:pPr>
            <w:r w:rsidRPr="00FF7A00">
              <w:rPr>
                <w:rFonts w:ascii="Arial" w:hAnsi="Arial"/>
              </w:rPr>
              <w:t xml:space="preserve">Cardiac MRI RVEF </w:t>
            </w:r>
          </w:p>
        </w:tc>
        <w:tc>
          <w:tcPr>
            <w:tcW w:w="4049" w:type="dxa"/>
          </w:tcPr>
          <w:p w:rsidR="00054996" w:rsidRPr="00FF7A00" w:rsidRDefault="00054996" w:rsidP="00FF7A00">
            <w:pPr>
              <w:pStyle w:val="TableText"/>
              <w:keepNext/>
              <w:spacing w:before="0" w:after="0"/>
              <w:ind w:left="165"/>
              <w:rPr>
                <w:rFonts w:ascii="Arial" w:hAnsi="Arial"/>
              </w:rPr>
            </w:pPr>
            <w:r w:rsidRPr="00FF7A00">
              <w:rPr>
                <w:rFonts w:ascii="Arial" w:hAnsi="Arial"/>
              </w:rPr>
              <w:t>&lt;35%</w:t>
            </w:r>
          </w:p>
        </w:tc>
      </w:tr>
    </w:tbl>
    <w:p w:rsidR="00054996" w:rsidRPr="00FF7A00" w:rsidRDefault="00054996" w:rsidP="00121658">
      <w:pPr>
        <w:pStyle w:val="Tablenote"/>
        <w:rPr>
          <w:rFonts w:ascii="Arial" w:hAnsi="Arial" w:cs="Arial"/>
          <w:sz w:val="16"/>
          <w:szCs w:val="16"/>
        </w:rPr>
      </w:pPr>
      <w:r w:rsidRPr="00FF7A00">
        <w:rPr>
          <w:rFonts w:ascii="Arial" w:hAnsi="Arial" w:cs="Arial"/>
          <w:sz w:val="16"/>
          <w:szCs w:val="16"/>
        </w:rPr>
        <w:t xml:space="preserve">6MWD = 6-minute walk distance; CPET = cardiopulmonary exercise testing; NYHA = New York Heart Association; RAP = right atrial pressure; RVEF = right ventricular ejection fraction; TAPSE = tricuspid annular plane systolic excursion </w:t>
      </w:r>
    </w:p>
    <w:p w:rsidR="00054996" w:rsidRPr="00FF7A00" w:rsidRDefault="00054996" w:rsidP="00121658">
      <w:pPr>
        <w:pStyle w:val="Tablenote"/>
        <w:rPr>
          <w:rFonts w:ascii="Arial" w:hAnsi="Arial" w:cs="Arial"/>
          <w:sz w:val="16"/>
          <w:szCs w:val="16"/>
        </w:rPr>
      </w:pPr>
      <w:r w:rsidRPr="00FF7A00">
        <w:rPr>
          <w:rFonts w:ascii="Arial" w:hAnsi="Arial" w:cs="Arial"/>
          <w:sz w:val="16"/>
          <w:szCs w:val="16"/>
        </w:rPr>
        <w:t>Source: McLaughlin et al 2015</w:t>
      </w:r>
      <w:r w:rsidR="009C556B" w:rsidRPr="009C556B">
        <w:rPr>
          <w:rFonts w:ascii="Arial" w:hAnsi="Arial" w:cs="Arial"/>
          <w:noProof/>
          <w:sz w:val="16"/>
          <w:szCs w:val="16"/>
          <w:vertAlign w:val="superscript"/>
        </w:rPr>
        <w:t>29</w:t>
      </w:r>
    </w:p>
    <w:p w:rsidR="00F92A84" w:rsidRDefault="00F92A84" w:rsidP="00121658">
      <w:pPr>
        <w:jc w:val="left"/>
      </w:pPr>
      <w:bookmarkStart w:id="181" w:name="_Toc503047885"/>
      <w:r>
        <w:rPr>
          <w:noProof/>
          <w:lang w:eastAsia="en-AU"/>
        </w:rPr>
        <w:drawing>
          <wp:inline distT="0" distB="0" distL="0" distR="0" wp14:anchorId="0CC9CFA4" wp14:editId="352F76D5">
            <wp:extent cx="5509195" cy="6934200"/>
            <wp:effectExtent l="0" t="0" r="0" b="0"/>
            <wp:docPr id="1" name="Picture 1" descr="REVEAL risk score calculator sourced from: http://journal.chestnet.org/cms/attachment/2097897153/2078466575/gr1_lrg.jpg" title="REVEAL risk score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urnal.chestnet.org/cms/attachment/2097897153/2078466575/gr1_lrg.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519905" cy="6947680"/>
                    </a:xfrm>
                    <a:prstGeom prst="rect">
                      <a:avLst/>
                    </a:prstGeom>
                    <a:noFill/>
                    <a:ln>
                      <a:noFill/>
                    </a:ln>
                    <a:extLst>
                      <a:ext uri="{53640926-AAD7-44D8-BBD7-CCE9431645EC}">
                        <a14:shadowObscured xmlns:a14="http://schemas.microsoft.com/office/drawing/2010/main"/>
                      </a:ext>
                    </a:extLst>
                  </pic:spPr>
                </pic:pic>
              </a:graphicData>
            </a:graphic>
          </wp:inline>
        </w:drawing>
      </w:r>
    </w:p>
    <w:p w:rsidR="00054996" w:rsidRDefault="00F92A84" w:rsidP="00FF7A00">
      <w:pPr>
        <w:pStyle w:val="Caption"/>
        <w:ind w:left="0" w:firstLine="0"/>
        <w:jc w:val="left"/>
      </w:pPr>
      <w:bookmarkStart w:id="182" w:name="_Ref508905582"/>
      <w:bookmarkStart w:id="183" w:name="_Toc513107652"/>
      <w:r>
        <w:t>Figure 1.</w:t>
      </w:r>
      <w:r w:rsidR="00D63371">
        <w:rPr>
          <w:noProof/>
        </w:rPr>
        <w:t>1</w:t>
      </w:r>
      <w:bookmarkEnd w:id="182"/>
      <w:r w:rsidR="0015688E">
        <w:tab/>
      </w:r>
      <w:r w:rsidR="00054996">
        <w:t>REVEAL risk score calculator</w:t>
      </w:r>
      <w:bookmarkEnd w:id="181"/>
      <w:bookmarkEnd w:id="183"/>
      <w:r w:rsidR="00054996" w:rsidRPr="00C71F0F">
        <w:t xml:space="preserve"> </w:t>
      </w:r>
    </w:p>
    <w:p w:rsidR="00F92A84" w:rsidRPr="00957C7F" w:rsidRDefault="00F92A84" w:rsidP="00121658">
      <w:pPr>
        <w:pStyle w:val="Tablenote"/>
        <w:spacing w:after="0"/>
        <w:rPr>
          <w:rFonts w:ascii="Arial" w:hAnsi="Arial" w:cs="Arial"/>
          <w:noProof/>
        </w:rPr>
      </w:pPr>
      <w:r w:rsidRPr="00957C7F">
        <w:rPr>
          <w:rFonts w:ascii="Arial" w:hAnsi="Arial" w:cs="Arial"/>
          <w:noProof/>
        </w:rPr>
        <w:t xml:space="preserve">Note: Calculated risk scores can range from 0 (lowest risk) to 22 (highest risk). If N-terminal proBNP is available and BNP is not, listed cut points are replaced with &lt; 300 pg/mL and &gt; 1500 pg/mL. </w:t>
      </w:r>
    </w:p>
    <w:p w:rsidR="00F92A84" w:rsidRPr="00957C7F" w:rsidRDefault="00F92A84" w:rsidP="00121658">
      <w:pPr>
        <w:pStyle w:val="Tablenote"/>
        <w:spacing w:after="0"/>
        <w:rPr>
          <w:rFonts w:ascii="Arial" w:hAnsi="Arial" w:cs="Arial"/>
          <w:noProof/>
        </w:rPr>
      </w:pPr>
      <w:r w:rsidRPr="00957C7F">
        <w:rPr>
          <w:rFonts w:ascii="Arial" w:hAnsi="Arial" w:cs="Arial"/>
          <w:noProof/>
        </w:rPr>
        <w:t>APAH = associated pulmonary arterial hypertension; BNP = brain natriuretic peptide; BPM = beats per minute; CTD = connective tissue disease; DLco = diffusing capacity of lung for carbon monoxide; FPAH = familial pulmonary arterial hypertension; HR = heart rate; mRAP = mean right atrial pressure; NYHA = New York Heart Association; PAH = pulmonary arterial hypertension; PoPH = portopulmonary hypertension; PVR = pulmonary vascular resistance; REVEAL Registry = Registry to Evaluate Early and Long-term Pulmonary Arterial Hypertension Disease Management; SBP = systolic BP; WHO = World Health Organization.</w:t>
      </w:r>
    </w:p>
    <w:p w:rsidR="00054996" w:rsidRPr="00957C7F" w:rsidRDefault="00054996" w:rsidP="00121658">
      <w:pPr>
        <w:pStyle w:val="Tablenote"/>
        <w:spacing w:after="0"/>
        <w:rPr>
          <w:rFonts w:ascii="Arial" w:hAnsi="Arial" w:cs="Arial"/>
        </w:rPr>
      </w:pPr>
      <w:r w:rsidRPr="00957C7F">
        <w:rPr>
          <w:rFonts w:ascii="Arial" w:hAnsi="Arial" w:cs="Arial"/>
        </w:rPr>
        <w:t xml:space="preserve">Source: </w:t>
      </w:r>
      <w:proofErr w:type="spellStart"/>
      <w:r w:rsidRPr="00957C7F">
        <w:rPr>
          <w:rFonts w:ascii="Arial" w:hAnsi="Arial" w:cs="Arial"/>
        </w:rPr>
        <w:t>Benza</w:t>
      </w:r>
      <w:proofErr w:type="spellEnd"/>
      <w:r w:rsidRPr="00957C7F">
        <w:rPr>
          <w:rFonts w:ascii="Arial" w:hAnsi="Arial" w:cs="Arial"/>
        </w:rPr>
        <w:t xml:space="preserve"> </w:t>
      </w:r>
      <w:r w:rsidRPr="00957C7F">
        <w:rPr>
          <w:rFonts w:ascii="Arial" w:hAnsi="Arial" w:cs="Arial"/>
          <w:i/>
        </w:rPr>
        <w:t xml:space="preserve">et al </w:t>
      </w:r>
      <w:r w:rsidRPr="00957C7F">
        <w:rPr>
          <w:rFonts w:ascii="Arial" w:hAnsi="Arial" w:cs="Arial"/>
        </w:rPr>
        <w:t>2012</w:t>
      </w:r>
      <w:r w:rsidR="009C556B" w:rsidRPr="009C556B">
        <w:rPr>
          <w:rFonts w:ascii="Arial" w:hAnsi="Arial" w:cs="Arial"/>
          <w:noProof/>
          <w:vertAlign w:val="superscript"/>
        </w:rPr>
        <w:t>33</w:t>
      </w:r>
    </w:p>
    <w:p w:rsidR="00054996" w:rsidRPr="00BB3BA9" w:rsidRDefault="00054996" w:rsidP="00121658">
      <w:pPr>
        <w:pStyle w:val="Heading4"/>
        <w:jc w:val="left"/>
        <w:rPr>
          <w:rFonts w:eastAsiaTheme="minorEastAsia"/>
        </w:rPr>
      </w:pPr>
      <w:r>
        <w:rPr>
          <w:rFonts w:eastAsiaTheme="minorEastAsia"/>
        </w:rPr>
        <w:br w:type="page"/>
      </w:r>
      <w:bookmarkStart w:id="184" w:name="_Toc503800640"/>
      <w:bookmarkStart w:id="185" w:name="_Toc503811592"/>
      <w:bookmarkStart w:id="186" w:name="_Toc503800641"/>
      <w:bookmarkStart w:id="187" w:name="_Toc503811593"/>
      <w:r>
        <w:rPr>
          <w:rFonts w:eastAsiaTheme="minorEastAsia"/>
        </w:rPr>
        <w:t>Definition of response and monitoring</w:t>
      </w:r>
      <w:bookmarkEnd w:id="184"/>
      <w:bookmarkEnd w:id="185"/>
    </w:p>
    <w:p w:rsidR="00054996" w:rsidRPr="00AE134B" w:rsidRDefault="00054996" w:rsidP="00957C7F">
      <w:pPr>
        <w:pStyle w:val="BodyTextnospacebefore"/>
      </w:pPr>
      <w:r w:rsidRPr="00AE134B">
        <w:t xml:space="preserve">The ESC/ERS guideline </w:t>
      </w:r>
      <w:r w:rsidR="00A10002">
        <w:t>contains the key recommendations regarding type of</w:t>
      </w:r>
      <w:r w:rsidRPr="00AE134B">
        <w:t xml:space="preserve"> tests and </w:t>
      </w:r>
      <w:r w:rsidRPr="00631656">
        <w:t xml:space="preserve">frequency of monitoring </w:t>
      </w:r>
      <w:r w:rsidR="00CE16FA">
        <w:t>(Table 1.10 and Table 1.13)</w:t>
      </w:r>
      <w:r w:rsidR="00FB1802" w:rsidRPr="00631656">
        <w:t xml:space="preserve"> – these</w:t>
      </w:r>
      <w:r w:rsidR="00670DB9">
        <w:t xml:space="preserve"> are based on those</w:t>
      </w:r>
      <w:r w:rsidR="00FB1802" w:rsidRPr="00631656">
        <w:t xml:space="preserve"> for determining</w:t>
      </w:r>
      <w:r w:rsidR="00FB1802">
        <w:t xml:space="preserve"> patient risk factors and for setting therapeutic goals</w:t>
      </w:r>
      <w:r w:rsidRPr="00AE134B">
        <w:t xml:space="preserve">. </w:t>
      </w:r>
    </w:p>
    <w:p w:rsidR="00054996" w:rsidRPr="007B0F54" w:rsidRDefault="00DE6308" w:rsidP="00F75B8B">
      <w:pPr>
        <w:pStyle w:val="Caption"/>
      </w:pPr>
      <w:bookmarkStart w:id="188" w:name="_Ref510795448"/>
      <w:bookmarkStart w:id="189" w:name="_Toc513107639"/>
      <w:r>
        <w:t>Table 1.</w:t>
      </w:r>
      <w:r w:rsidR="00D63371">
        <w:rPr>
          <w:noProof/>
        </w:rPr>
        <w:t>13</w:t>
      </w:r>
      <w:bookmarkEnd w:id="188"/>
      <w:r w:rsidR="00F75B8B">
        <w:tab/>
      </w:r>
      <w:r w:rsidR="00F75B8B" w:rsidRPr="007B0F54">
        <w:t>ESC/ERS suggested assessments and timing for follow-up</w:t>
      </w:r>
      <w:bookmarkEnd w:id="189"/>
    </w:p>
    <w:tbl>
      <w:tblPr>
        <w:tblStyle w:val="TableGrid"/>
        <w:tblW w:w="0" w:type="auto"/>
        <w:tblLook w:val="04A0" w:firstRow="1" w:lastRow="0" w:firstColumn="1" w:lastColumn="0" w:noHBand="0" w:noVBand="1"/>
        <w:tblCaption w:val="ESC/ERS suggested assessments and timing for follow-up"/>
      </w:tblPr>
      <w:tblGrid>
        <w:gridCol w:w="2557"/>
        <w:gridCol w:w="1124"/>
        <w:gridCol w:w="1286"/>
        <w:gridCol w:w="1275"/>
        <w:gridCol w:w="1418"/>
        <w:gridCol w:w="1356"/>
      </w:tblGrid>
      <w:tr w:rsidR="00054996" w:rsidRPr="001B2E37" w:rsidTr="003A5843">
        <w:trPr>
          <w:cnfStyle w:val="100000000000" w:firstRow="1" w:lastRow="0" w:firstColumn="0" w:lastColumn="0" w:oddVBand="0" w:evenVBand="0" w:oddHBand="0" w:evenHBand="0" w:firstRowFirstColumn="0" w:firstRowLastColumn="0" w:lastRowFirstColumn="0" w:lastRowLastColumn="0"/>
        </w:trPr>
        <w:tc>
          <w:tcPr>
            <w:tcW w:w="2557" w:type="dxa"/>
            <w:shd w:val="clear" w:color="auto" w:fill="BFBFBF" w:themeFill="background1" w:themeFillShade="BF"/>
          </w:tcPr>
          <w:p w:rsidR="00054996" w:rsidRPr="003A5843" w:rsidRDefault="00054996" w:rsidP="003A5843">
            <w:pPr>
              <w:pStyle w:val="TableText"/>
              <w:ind w:left="147"/>
              <w:rPr>
                <w:rFonts w:ascii="Arial" w:hAnsi="Arial"/>
                <w:b/>
                <w:szCs w:val="20"/>
              </w:rPr>
            </w:pPr>
            <w:r w:rsidRPr="003A5843">
              <w:rPr>
                <w:rFonts w:ascii="Arial" w:hAnsi="Arial"/>
                <w:b/>
                <w:szCs w:val="20"/>
              </w:rPr>
              <w:t>Parameters</w:t>
            </w:r>
          </w:p>
        </w:tc>
        <w:tc>
          <w:tcPr>
            <w:tcW w:w="1124" w:type="dxa"/>
            <w:shd w:val="clear" w:color="auto" w:fill="BFBFBF" w:themeFill="background1" w:themeFillShade="BF"/>
          </w:tcPr>
          <w:p w:rsidR="00054996" w:rsidRPr="003A5843" w:rsidRDefault="00054996" w:rsidP="003A5843">
            <w:pPr>
              <w:pStyle w:val="TableText"/>
              <w:ind w:left="142"/>
              <w:rPr>
                <w:rFonts w:ascii="Arial" w:hAnsi="Arial"/>
                <w:b/>
                <w:szCs w:val="20"/>
              </w:rPr>
            </w:pPr>
            <w:r w:rsidRPr="003A5843">
              <w:rPr>
                <w:rFonts w:ascii="Arial" w:hAnsi="Arial"/>
                <w:b/>
                <w:szCs w:val="20"/>
              </w:rPr>
              <w:t>Baseline</w:t>
            </w:r>
          </w:p>
        </w:tc>
        <w:tc>
          <w:tcPr>
            <w:tcW w:w="1286" w:type="dxa"/>
            <w:shd w:val="clear" w:color="auto" w:fill="BFBFBF" w:themeFill="background1" w:themeFillShade="BF"/>
          </w:tcPr>
          <w:p w:rsidR="003A5843" w:rsidRDefault="00054996" w:rsidP="003A5843">
            <w:pPr>
              <w:pStyle w:val="TableText"/>
              <w:ind w:left="152"/>
              <w:rPr>
                <w:rFonts w:ascii="Arial" w:hAnsi="Arial"/>
                <w:b/>
                <w:szCs w:val="20"/>
              </w:rPr>
            </w:pPr>
            <w:r w:rsidRPr="003A5843">
              <w:rPr>
                <w:rFonts w:ascii="Arial" w:hAnsi="Arial"/>
                <w:b/>
                <w:szCs w:val="20"/>
              </w:rPr>
              <w:t xml:space="preserve">Every </w:t>
            </w:r>
          </w:p>
          <w:p w:rsidR="00054996" w:rsidRPr="003A5843" w:rsidRDefault="00054996" w:rsidP="003A5843">
            <w:pPr>
              <w:pStyle w:val="TableText"/>
              <w:ind w:left="152"/>
              <w:rPr>
                <w:rFonts w:ascii="Arial" w:hAnsi="Arial"/>
                <w:b/>
                <w:szCs w:val="20"/>
              </w:rPr>
            </w:pPr>
            <w:r w:rsidRPr="003A5843">
              <w:rPr>
                <w:rFonts w:ascii="Arial" w:hAnsi="Arial"/>
                <w:b/>
                <w:szCs w:val="20"/>
              </w:rPr>
              <w:t>3-6 mo</w:t>
            </w:r>
            <w:r w:rsidR="003A5843">
              <w:rPr>
                <w:rFonts w:ascii="Arial" w:hAnsi="Arial"/>
                <w:b/>
                <w:szCs w:val="20"/>
              </w:rPr>
              <w:t>nth</w:t>
            </w:r>
          </w:p>
        </w:tc>
        <w:tc>
          <w:tcPr>
            <w:tcW w:w="1275" w:type="dxa"/>
            <w:shd w:val="clear" w:color="auto" w:fill="BFBFBF" w:themeFill="background1" w:themeFillShade="BF"/>
          </w:tcPr>
          <w:p w:rsidR="003A5843" w:rsidRDefault="00054996" w:rsidP="003A5843">
            <w:pPr>
              <w:pStyle w:val="TableText"/>
              <w:ind w:left="94"/>
              <w:rPr>
                <w:rFonts w:ascii="Arial" w:hAnsi="Arial"/>
                <w:b/>
                <w:szCs w:val="20"/>
              </w:rPr>
            </w:pPr>
            <w:r w:rsidRPr="003A5843">
              <w:rPr>
                <w:rFonts w:ascii="Arial" w:hAnsi="Arial"/>
                <w:b/>
                <w:szCs w:val="20"/>
              </w:rPr>
              <w:t xml:space="preserve">Every </w:t>
            </w:r>
          </w:p>
          <w:p w:rsidR="00054996" w:rsidRPr="003A5843" w:rsidRDefault="00054996" w:rsidP="003A5843">
            <w:pPr>
              <w:pStyle w:val="TableText"/>
              <w:ind w:left="94"/>
              <w:rPr>
                <w:rFonts w:ascii="Arial" w:hAnsi="Arial"/>
                <w:b/>
                <w:szCs w:val="20"/>
              </w:rPr>
            </w:pPr>
            <w:r w:rsidRPr="003A5843">
              <w:rPr>
                <w:rFonts w:ascii="Arial" w:hAnsi="Arial"/>
                <w:b/>
                <w:szCs w:val="20"/>
              </w:rPr>
              <w:t>6-12 mo</w:t>
            </w:r>
            <w:r w:rsidR="003A5843">
              <w:rPr>
                <w:rFonts w:ascii="Arial" w:hAnsi="Arial"/>
                <w:b/>
                <w:szCs w:val="20"/>
              </w:rPr>
              <w:t>nth</w:t>
            </w:r>
          </w:p>
        </w:tc>
        <w:tc>
          <w:tcPr>
            <w:tcW w:w="1418" w:type="dxa"/>
            <w:shd w:val="clear" w:color="auto" w:fill="BFBFBF" w:themeFill="background1" w:themeFillShade="BF"/>
          </w:tcPr>
          <w:p w:rsidR="003A5843" w:rsidRDefault="00054996" w:rsidP="003A5843">
            <w:pPr>
              <w:pStyle w:val="TableText"/>
              <w:ind w:left="36"/>
              <w:rPr>
                <w:rFonts w:ascii="Arial" w:hAnsi="Arial"/>
                <w:b/>
                <w:szCs w:val="20"/>
              </w:rPr>
            </w:pPr>
            <w:r w:rsidRPr="003A5843">
              <w:rPr>
                <w:rFonts w:ascii="Arial" w:hAnsi="Arial"/>
                <w:b/>
                <w:szCs w:val="20"/>
              </w:rPr>
              <w:t>3-6 mo</w:t>
            </w:r>
            <w:r w:rsidR="003A5843">
              <w:rPr>
                <w:rFonts w:ascii="Arial" w:hAnsi="Arial"/>
                <w:b/>
                <w:szCs w:val="20"/>
              </w:rPr>
              <w:t>nth</w:t>
            </w:r>
            <w:r w:rsidRPr="003A5843">
              <w:rPr>
                <w:rFonts w:ascii="Arial" w:hAnsi="Arial"/>
                <w:b/>
                <w:szCs w:val="20"/>
              </w:rPr>
              <w:t xml:space="preserve"> </w:t>
            </w:r>
          </w:p>
          <w:p w:rsidR="00054996" w:rsidRPr="003A5843" w:rsidRDefault="00054996" w:rsidP="003A5843">
            <w:pPr>
              <w:pStyle w:val="TableText"/>
              <w:ind w:left="36"/>
              <w:rPr>
                <w:rFonts w:ascii="Arial" w:hAnsi="Arial"/>
                <w:b/>
                <w:szCs w:val="20"/>
              </w:rPr>
            </w:pPr>
            <w:r w:rsidRPr="003A5843">
              <w:rPr>
                <w:rFonts w:ascii="Arial" w:hAnsi="Arial"/>
                <w:b/>
                <w:szCs w:val="20"/>
              </w:rPr>
              <w:t>after therapy change</w:t>
            </w:r>
          </w:p>
        </w:tc>
        <w:tc>
          <w:tcPr>
            <w:tcW w:w="1356" w:type="dxa"/>
            <w:shd w:val="clear" w:color="auto" w:fill="BFBFBF" w:themeFill="background1" w:themeFillShade="BF"/>
          </w:tcPr>
          <w:p w:rsidR="00054996" w:rsidRPr="003A5843" w:rsidRDefault="00054996" w:rsidP="003A5843">
            <w:pPr>
              <w:pStyle w:val="TableText"/>
              <w:ind w:left="142" w:firstLine="9"/>
              <w:rPr>
                <w:rFonts w:ascii="Arial" w:hAnsi="Arial"/>
                <w:b/>
                <w:szCs w:val="20"/>
              </w:rPr>
            </w:pPr>
            <w:r w:rsidRPr="003A5843">
              <w:rPr>
                <w:rFonts w:ascii="Arial" w:hAnsi="Arial"/>
                <w:b/>
                <w:szCs w:val="20"/>
              </w:rPr>
              <w:t>On clinical worsening</w:t>
            </w:r>
          </w:p>
        </w:tc>
      </w:tr>
      <w:tr w:rsidR="00054996" w:rsidRPr="001B2E37" w:rsidTr="003A5843">
        <w:tc>
          <w:tcPr>
            <w:tcW w:w="2557" w:type="dxa"/>
          </w:tcPr>
          <w:p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Medical assessment; determination of Functional class</w:t>
            </w:r>
          </w:p>
        </w:tc>
        <w:tc>
          <w:tcPr>
            <w:tcW w:w="1124"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rsidTr="003A5843">
        <w:tc>
          <w:tcPr>
            <w:tcW w:w="2557" w:type="dxa"/>
          </w:tcPr>
          <w:p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ECG</w:t>
            </w:r>
          </w:p>
        </w:tc>
        <w:tc>
          <w:tcPr>
            <w:tcW w:w="1124"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rsidTr="003A5843">
        <w:tc>
          <w:tcPr>
            <w:tcW w:w="2557" w:type="dxa"/>
          </w:tcPr>
          <w:p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6MWD + Borg Dyspnoea</w:t>
            </w:r>
          </w:p>
        </w:tc>
        <w:tc>
          <w:tcPr>
            <w:tcW w:w="1124"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rsidTr="003A5843">
        <w:tc>
          <w:tcPr>
            <w:tcW w:w="2557" w:type="dxa"/>
          </w:tcPr>
          <w:p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CPET</w:t>
            </w:r>
          </w:p>
        </w:tc>
        <w:tc>
          <w:tcPr>
            <w:tcW w:w="1124"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rsidTr="003A5843">
        <w:tc>
          <w:tcPr>
            <w:tcW w:w="2557" w:type="dxa"/>
          </w:tcPr>
          <w:p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ECHO</w:t>
            </w:r>
          </w:p>
        </w:tc>
        <w:tc>
          <w:tcPr>
            <w:tcW w:w="1124"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rsidTr="003A5843">
        <w:tc>
          <w:tcPr>
            <w:tcW w:w="2557" w:type="dxa"/>
          </w:tcPr>
          <w:p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Basic lab</w:t>
            </w:r>
          </w:p>
        </w:tc>
        <w:tc>
          <w:tcPr>
            <w:tcW w:w="1124"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rsidTr="003A5843">
        <w:tc>
          <w:tcPr>
            <w:tcW w:w="2557" w:type="dxa"/>
          </w:tcPr>
          <w:p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Extended lab</w:t>
            </w:r>
          </w:p>
        </w:tc>
        <w:tc>
          <w:tcPr>
            <w:tcW w:w="1124"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rsidTr="003A5843">
        <w:tc>
          <w:tcPr>
            <w:tcW w:w="2557" w:type="dxa"/>
          </w:tcPr>
          <w:p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Arterial blood gas</w:t>
            </w:r>
          </w:p>
        </w:tc>
        <w:tc>
          <w:tcPr>
            <w:tcW w:w="1124"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r w:rsidR="00054996" w:rsidRPr="001B2E37" w:rsidTr="003A5843">
        <w:tc>
          <w:tcPr>
            <w:tcW w:w="2557" w:type="dxa"/>
          </w:tcPr>
          <w:p w:rsidR="00054996" w:rsidRPr="003A5843" w:rsidRDefault="00054996" w:rsidP="003A5843">
            <w:pPr>
              <w:pStyle w:val="TableText"/>
              <w:spacing w:beforeLines="40" w:before="96" w:afterLines="40" w:after="96"/>
              <w:ind w:left="147"/>
              <w:rPr>
                <w:rFonts w:ascii="Arial" w:hAnsi="Arial"/>
                <w:szCs w:val="20"/>
              </w:rPr>
            </w:pPr>
            <w:r w:rsidRPr="003A5843">
              <w:rPr>
                <w:rFonts w:ascii="Arial" w:hAnsi="Arial"/>
                <w:szCs w:val="20"/>
              </w:rPr>
              <w:t>RHC</w:t>
            </w:r>
          </w:p>
        </w:tc>
        <w:tc>
          <w:tcPr>
            <w:tcW w:w="1124"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8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275"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418"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c>
          <w:tcPr>
            <w:tcW w:w="1356" w:type="dxa"/>
          </w:tcPr>
          <w:p w:rsidR="00054996" w:rsidRPr="003A5843" w:rsidRDefault="00054996" w:rsidP="003A5843">
            <w:pPr>
              <w:pStyle w:val="TableText"/>
              <w:spacing w:beforeLines="40" w:before="96" w:afterLines="40" w:after="96"/>
              <w:jc w:val="center"/>
              <w:rPr>
                <w:rFonts w:ascii="Arial" w:hAnsi="Arial"/>
                <w:b/>
                <w:szCs w:val="20"/>
              </w:rPr>
            </w:pPr>
            <w:r w:rsidRPr="003A5843">
              <w:rPr>
                <w:rFonts w:ascii="Arial" w:hAnsi="Arial"/>
                <w:b/>
                <w:szCs w:val="20"/>
              </w:rPr>
              <w:t>+*</w:t>
            </w:r>
          </w:p>
        </w:tc>
      </w:tr>
    </w:tbl>
    <w:p w:rsidR="00054996" w:rsidRPr="003A5843" w:rsidRDefault="00054996" w:rsidP="00121658">
      <w:pPr>
        <w:pStyle w:val="Tablenote"/>
        <w:rPr>
          <w:rFonts w:ascii="Arial" w:hAnsi="Arial" w:cs="Arial"/>
          <w:sz w:val="16"/>
          <w:szCs w:val="16"/>
        </w:rPr>
      </w:pPr>
      <w:r w:rsidRPr="003A5843">
        <w:rPr>
          <w:rFonts w:ascii="Arial" w:hAnsi="Arial" w:cs="Arial"/>
          <w:sz w:val="16"/>
          <w:szCs w:val="16"/>
        </w:rPr>
        <w:t>Basic lab: includes blood count, INR (if on warfarin), serum creatinine, sodium, potassium, aminotransferases (if on ERAs), bilirubin and BNP/NT-</w:t>
      </w:r>
      <w:proofErr w:type="spellStart"/>
      <w:r w:rsidRPr="003A5843">
        <w:rPr>
          <w:rFonts w:ascii="Arial" w:hAnsi="Arial" w:cs="Arial"/>
          <w:sz w:val="16"/>
          <w:szCs w:val="16"/>
        </w:rPr>
        <w:t>proBNP</w:t>
      </w:r>
      <w:proofErr w:type="spellEnd"/>
      <w:r w:rsidRPr="003A5843">
        <w:rPr>
          <w:rFonts w:ascii="Arial" w:hAnsi="Arial" w:cs="Arial"/>
          <w:sz w:val="16"/>
          <w:szCs w:val="16"/>
        </w:rPr>
        <w:t>.</w:t>
      </w:r>
    </w:p>
    <w:p w:rsidR="00054996" w:rsidRPr="003A5843" w:rsidRDefault="00054996" w:rsidP="00121658">
      <w:pPr>
        <w:pStyle w:val="Tablenote"/>
        <w:rPr>
          <w:rFonts w:ascii="Arial" w:hAnsi="Arial" w:cs="Arial"/>
          <w:sz w:val="16"/>
          <w:szCs w:val="16"/>
        </w:rPr>
      </w:pPr>
      <w:r w:rsidRPr="003A5843">
        <w:rPr>
          <w:rFonts w:ascii="Arial" w:hAnsi="Arial" w:cs="Arial"/>
          <w:sz w:val="16"/>
          <w:szCs w:val="16"/>
        </w:rPr>
        <w:t>Extended lab: includes TSH (thyroid stimulating hormone), troponin, uric acid, iron status (iron, ferritin, soluble transferrin receptor) and other variables according to individual patient needs.</w:t>
      </w:r>
    </w:p>
    <w:p w:rsidR="00054996" w:rsidRPr="003A5843" w:rsidRDefault="00054996" w:rsidP="00121658">
      <w:pPr>
        <w:pStyle w:val="Tablenote"/>
        <w:rPr>
          <w:rFonts w:ascii="Arial" w:hAnsi="Arial" w:cs="Arial"/>
          <w:sz w:val="16"/>
          <w:szCs w:val="16"/>
        </w:rPr>
      </w:pPr>
      <w:r w:rsidRPr="003A5843">
        <w:rPr>
          <w:rFonts w:ascii="Arial" w:hAnsi="Arial" w:cs="Arial"/>
          <w:sz w:val="16"/>
          <w:szCs w:val="16"/>
        </w:rPr>
        <w:t xml:space="preserve">Notes: the intermediate (3-6 </w:t>
      </w:r>
      <w:proofErr w:type="spellStart"/>
      <w:r w:rsidRPr="003A5843">
        <w:rPr>
          <w:rFonts w:ascii="Arial" w:hAnsi="Arial" w:cs="Arial"/>
          <w:sz w:val="16"/>
          <w:szCs w:val="16"/>
        </w:rPr>
        <w:t>mo</w:t>
      </w:r>
      <w:proofErr w:type="spellEnd"/>
      <w:r w:rsidRPr="003A5843">
        <w:rPr>
          <w:rFonts w:ascii="Arial" w:hAnsi="Arial" w:cs="Arial"/>
          <w:sz w:val="16"/>
          <w:szCs w:val="16"/>
        </w:rPr>
        <w:t xml:space="preserve">) interval to be adjusted according to patient need; RHC beyond baseline (*) to be considered but is recommended after therapy change; arterial blood gas can be replaced by oximetry/peripheral oxygen saturation in stable patients. </w:t>
      </w:r>
    </w:p>
    <w:p w:rsidR="00054996" w:rsidRPr="003A5843" w:rsidRDefault="00054996" w:rsidP="00121658">
      <w:pPr>
        <w:pStyle w:val="Tablenote"/>
        <w:rPr>
          <w:rFonts w:ascii="Arial" w:hAnsi="Arial" w:cs="Arial"/>
          <w:sz w:val="16"/>
          <w:szCs w:val="16"/>
        </w:rPr>
      </w:pPr>
      <w:r w:rsidRPr="003A5843">
        <w:rPr>
          <w:rFonts w:ascii="Arial" w:hAnsi="Arial" w:cs="Arial"/>
          <w:sz w:val="16"/>
          <w:szCs w:val="16"/>
        </w:rPr>
        <w:t xml:space="preserve">Source: </w:t>
      </w:r>
      <w:proofErr w:type="spellStart"/>
      <w:r w:rsidRPr="003A5843">
        <w:rPr>
          <w:rFonts w:ascii="Arial" w:hAnsi="Arial" w:cs="Arial"/>
          <w:sz w:val="16"/>
          <w:szCs w:val="16"/>
        </w:rPr>
        <w:t>Galie</w:t>
      </w:r>
      <w:proofErr w:type="spellEnd"/>
      <w:r w:rsidRPr="003A5843">
        <w:rPr>
          <w:rFonts w:ascii="Arial" w:hAnsi="Arial" w:cs="Arial"/>
          <w:sz w:val="16"/>
          <w:szCs w:val="16"/>
        </w:rPr>
        <w:t xml:space="preserve"> </w:t>
      </w:r>
      <w:r w:rsidRPr="003A5843">
        <w:rPr>
          <w:rFonts w:ascii="Arial" w:hAnsi="Arial" w:cs="Arial"/>
          <w:i/>
          <w:sz w:val="16"/>
          <w:szCs w:val="16"/>
        </w:rPr>
        <w:t xml:space="preserve">et al </w:t>
      </w:r>
      <w:r w:rsidRPr="003A5843">
        <w:rPr>
          <w:rFonts w:ascii="Arial" w:hAnsi="Arial" w:cs="Arial"/>
          <w:sz w:val="16"/>
          <w:szCs w:val="16"/>
        </w:rPr>
        <w:t>2015</w:t>
      </w:r>
      <w:r w:rsidR="009C556B" w:rsidRPr="003A5843">
        <w:rPr>
          <w:rFonts w:ascii="Arial" w:hAnsi="Arial" w:cs="Arial"/>
          <w:noProof/>
          <w:sz w:val="16"/>
          <w:szCs w:val="16"/>
          <w:vertAlign w:val="superscript"/>
        </w:rPr>
        <w:t>8</w:t>
      </w:r>
    </w:p>
    <w:p w:rsidR="00054996" w:rsidRPr="001B2E37" w:rsidRDefault="00054996" w:rsidP="003A5843">
      <w:pPr>
        <w:pStyle w:val="BodyTextnospacebefore"/>
      </w:pPr>
      <w:r w:rsidRPr="001B2E37">
        <w:t>The CADTH review</w:t>
      </w:r>
      <w:r w:rsidR="009C556B" w:rsidRPr="009C556B">
        <w:rPr>
          <w:noProof/>
          <w:vertAlign w:val="superscript"/>
        </w:rPr>
        <w:t>25</w:t>
      </w:r>
      <w:r w:rsidRPr="001B2E37">
        <w:t xml:space="preserve"> commented that </w:t>
      </w:r>
      <w:r w:rsidR="003B625D">
        <w:t>WHO FC improvement may be</w:t>
      </w:r>
      <w:r w:rsidRPr="001B2E37">
        <w:t xml:space="preserve"> a less reliable measure of response than clinical worsening, because WHO FC is a single outco</w:t>
      </w:r>
      <w:r w:rsidR="003B625D">
        <w:t>me whereas clinical worsening is</w:t>
      </w:r>
      <w:r w:rsidRPr="001B2E37">
        <w:t xml:space="preserve"> a composite of multiple factors</w:t>
      </w:r>
      <w:r>
        <w:t>.</w:t>
      </w:r>
      <w:r w:rsidRPr="001B2E37">
        <w:t xml:space="preserve"> The review also commented that there is no minimally </w:t>
      </w:r>
      <w:r w:rsidRPr="00524771">
        <w:t>clinically important difference that can be defined for clinical worsening. Clinical worsening is understood to be a judgement made by the treating physician, based on the change in monitoring parameters</w:t>
      </w:r>
      <w:r w:rsidR="002F0F70" w:rsidRPr="00524771">
        <w:t xml:space="preserve"> over two or more consecutive visits</w:t>
      </w:r>
      <w:r w:rsidRPr="00524771">
        <w:t>.</w:t>
      </w:r>
      <w:r>
        <w:t xml:space="preserve"> </w:t>
      </w:r>
    </w:p>
    <w:bookmarkEnd w:id="186"/>
    <w:bookmarkEnd w:id="187"/>
    <w:p w:rsidR="00054996" w:rsidRPr="001B2E37" w:rsidRDefault="00054996" w:rsidP="003A5843">
      <w:pPr>
        <w:pStyle w:val="BodyTextnospacebefore"/>
      </w:pPr>
      <w:r w:rsidRPr="001B2E37">
        <w:t>Guidelines recommend that patients should be considered primarily according to progress against therapeutic goals and their risk of poor prognosis when making treatment decisions (an approach that uses WHO Functional Class as a component)</w:t>
      </w:r>
      <w:r>
        <w:t xml:space="preserve">. </w:t>
      </w:r>
      <w:r w:rsidRPr="001B2E37">
        <w:t xml:space="preserve">Treatment goals are defined as target improvements in specific variables to improve the patient’s prognosis or risk category. </w:t>
      </w:r>
      <w:r w:rsidR="00FB1802" w:rsidRPr="00F53D1B">
        <w:t xml:space="preserve">A patient already on PAH treatment could be low or intermediate risk, with stable disease but with unmet treatment goals. According to guideline recommendations this is sufficient evidence to add another PAH </w:t>
      </w:r>
      <w:r w:rsidR="00517C17">
        <w:t>medicine</w:t>
      </w:r>
      <w:r w:rsidR="00FB1802">
        <w:t xml:space="preserve">. </w:t>
      </w:r>
    </w:p>
    <w:p w:rsidR="00364153" w:rsidRPr="00B92CC9" w:rsidRDefault="00364153" w:rsidP="00121658">
      <w:pPr>
        <w:pStyle w:val="Heading3"/>
        <w:jc w:val="left"/>
      </w:pPr>
      <w:bookmarkStart w:id="190" w:name="_Ref506182486"/>
      <w:bookmarkStart w:id="191" w:name="_Ref506480697"/>
      <w:bookmarkStart w:id="192" w:name="_Toc513107603"/>
      <w:bookmarkEnd w:id="174"/>
      <w:bookmarkEnd w:id="175"/>
      <w:bookmarkEnd w:id="176"/>
      <w:r>
        <w:t>PAH treatment centres</w:t>
      </w:r>
      <w:bookmarkEnd w:id="190"/>
      <w:bookmarkEnd w:id="191"/>
      <w:bookmarkEnd w:id="192"/>
    </w:p>
    <w:p w:rsidR="00364153" w:rsidRPr="00533AB0" w:rsidRDefault="00364153" w:rsidP="003A5843">
      <w:pPr>
        <w:pStyle w:val="BodyTextnospacebefore"/>
        <w:rPr>
          <w:szCs w:val="22"/>
          <w:lang w:eastAsia="en-AU"/>
        </w:rPr>
      </w:pPr>
      <w:r w:rsidRPr="00533AB0">
        <w:t>The ESC/ERS guideline states “</w:t>
      </w:r>
      <w:r w:rsidRPr="00533AB0">
        <w:rPr>
          <w:i/>
        </w:rPr>
        <w:t xml:space="preserve">The interpretation of these [PAH testing] investigations requires, at the very least, expertise in cardiology, imaging and respiratory medicine and </w:t>
      </w:r>
      <w:proofErr w:type="gramStart"/>
      <w:r w:rsidRPr="00533AB0">
        <w:rPr>
          <w:i/>
        </w:rPr>
        <w:t>may</w:t>
      </w:r>
      <w:proofErr w:type="gramEnd"/>
      <w:r w:rsidRPr="00533AB0">
        <w:rPr>
          <w:i/>
        </w:rPr>
        <w:t xml:space="preserve"> best be discussed at a multidisciplinary team meeting</w:t>
      </w:r>
      <w:r w:rsidRPr="00533AB0">
        <w:t>.” A similar statement is included in the US 2014 CHEST guideline</w:t>
      </w:r>
      <w:r w:rsidR="009C556B" w:rsidRPr="009C556B">
        <w:rPr>
          <w:noProof/>
          <w:vertAlign w:val="superscript"/>
        </w:rPr>
        <w:t>8, 19</w:t>
      </w:r>
      <w:r w:rsidRPr="00533AB0">
        <w:t>.</w:t>
      </w:r>
    </w:p>
    <w:p w:rsidR="00364153" w:rsidRPr="00533AB0" w:rsidRDefault="00826896" w:rsidP="003A5843">
      <w:pPr>
        <w:pStyle w:val="BodyTextnospacebefore"/>
      </w:pPr>
      <w:r>
        <w:t xml:space="preserve">The CADTH review also stated </w:t>
      </w:r>
      <w:r w:rsidRPr="00826896">
        <w:rPr>
          <w:i/>
        </w:rPr>
        <w:t>“[The Canadian Drug Expert Committee]</w:t>
      </w:r>
      <w:r w:rsidR="00364153" w:rsidRPr="00826896">
        <w:rPr>
          <w:i/>
        </w:rPr>
        <w:t xml:space="preserve"> acknowledges that medical specialists working in PH clinics are best suited to prescribe these medications for adults with PAH, given the nature of the disease as well as the complexity and costs of drug r</w:t>
      </w:r>
      <w:r w:rsidRPr="00826896">
        <w:rPr>
          <w:i/>
        </w:rPr>
        <w:t>egimens”</w:t>
      </w:r>
      <w:r w:rsidR="009C556B" w:rsidRPr="009C556B">
        <w:rPr>
          <w:noProof/>
          <w:vertAlign w:val="superscript"/>
        </w:rPr>
        <w:t>25</w:t>
      </w:r>
      <w:r w:rsidR="00364153" w:rsidRPr="00533AB0">
        <w:t>.</w:t>
      </w:r>
    </w:p>
    <w:p w:rsidR="00364153" w:rsidRPr="00533AB0" w:rsidRDefault="00364153" w:rsidP="003A5843">
      <w:pPr>
        <w:pStyle w:val="BodyTextnospacebefore"/>
      </w:pPr>
      <w:r w:rsidRPr="00533AB0">
        <w:t xml:space="preserve">The authors of the paediatric guideline concur, stating further that </w:t>
      </w:r>
      <w:r w:rsidRPr="00533AB0">
        <w:rPr>
          <w:i/>
        </w:rPr>
        <w:t>“children with PH should be evaluated and treated in comprehensive, multidisciplinary clinics at specialised paediatric centres”</w:t>
      </w:r>
      <w:r w:rsidR="009C556B" w:rsidRPr="009C556B">
        <w:rPr>
          <w:noProof/>
          <w:vertAlign w:val="superscript"/>
        </w:rPr>
        <w:t>22</w:t>
      </w:r>
      <w:r>
        <w:t xml:space="preserve">. </w:t>
      </w:r>
    </w:p>
    <w:p w:rsidR="00364153" w:rsidRPr="00533AB0" w:rsidRDefault="00364153" w:rsidP="003A5843">
      <w:pPr>
        <w:pStyle w:val="BodyTextnospacebefore"/>
      </w:pPr>
      <w:r w:rsidRPr="00533AB0">
        <w:t>Minimum criteria for referral centres for treatment of PAH patients should be</w:t>
      </w:r>
      <w:r w:rsidR="009C556B" w:rsidRPr="00DC475B">
        <w:rPr>
          <w:noProof/>
          <w:vertAlign w:val="superscript"/>
        </w:rPr>
        <w:t>8</w:t>
      </w:r>
      <w:r w:rsidRPr="00533AB0">
        <w:t>:</w:t>
      </w:r>
    </w:p>
    <w:p w:rsidR="00364153" w:rsidRPr="00826896" w:rsidRDefault="00364153" w:rsidP="00921D13">
      <w:pPr>
        <w:pStyle w:val="08Bulletsseriesofsentences"/>
      </w:pPr>
      <w:r w:rsidRPr="00826896">
        <w:t xml:space="preserve">No fewer than 200 </w:t>
      </w:r>
      <w:proofErr w:type="gramStart"/>
      <w:r w:rsidRPr="00826896">
        <w:t>adults</w:t>
      </w:r>
      <w:proofErr w:type="gramEnd"/>
      <w:r w:rsidRPr="00826896">
        <w:t xml:space="preserve"> patients seen per centre per year of which at least half have a final diagnosis of PAH. In countries such as Australia having a population larger than 10</w:t>
      </w:r>
      <w:r w:rsidRPr="00826896">
        <w:rPr>
          <w:rFonts w:ascii="Times New Roman" w:hAnsi="Times New Roman"/>
        </w:rPr>
        <w:t>◦</w:t>
      </w:r>
      <w:r w:rsidRPr="00826896">
        <w:t>million, the number should be greater than 300 patients per centre per year;</w:t>
      </w:r>
    </w:p>
    <w:p w:rsidR="00364153" w:rsidRPr="00826896" w:rsidRDefault="00364153" w:rsidP="00921D13">
      <w:pPr>
        <w:pStyle w:val="08Bulletsseriesofsentences"/>
      </w:pPr>
      <w:r w:rsidRPr="00826896">
        <w:t>The centre should at any time be following at least 50 patients with PAH or CTEPH;</w:t>
      </w:r>
    </w:p>
    <w:p w:rsidR="00364153" w:rsidRPr="00826896" w:rsidRDefault="00364153" w:rsidP="00921D13">
      <w:pPr>
        <w:pStyle w:val="08Bulletsseriesofsentences"/>
      </w:pPr>
      <w:r w:rsidRPr="00826896">
        <w:t>At least two PAH or CTEPH referrals per month;</w:t>
      </w:r>
    </w:p>
    <w:p w:rsidR="00364153" w:rsidRPr="00826896" w:rsidRDefault="00364153" w:rsidP="00921D13">
      <w:pPr>
        <w:pStyle w:val="08Bulletsseriesofsentences"/>
      </w:pPr>
      <w:r w:rsidRPr="00826896">
        <w:t>The patient should be seen by a multi-profession team including cardiology and respiratory medicine physicians, clinical nurse specialist, radiologists, psychological and social work support, and other appropriate on-call expertise;</w:t>
      </w:r>
    </w:p>
    <w:p w:rsidR="00364153" w:rsidRPr="00826896" w:rsidRDefault="00364153" w:rsidP="00921D13">
      <w:pPr>
        <w:pStyle w:val="08Bulletsseriesofsentences"/>
      </w:pPr>
      <w:r w:rsidRPr="00826896">
        <w:t>The centre to perform 20 vasoreactivity tests per year.</w:t>
      </w:r>
    </w:p>
    <w:p w:rsidR="004937E8" w:rsidRDefault="004937E8">
      <w:pPr>
        <w:spacing w:before="0" w:line="240" w:lineRule="auto"/>
        <w:jc w:val="left"/>
        <w:rPr>
          <w:rFonts w:asciiTheme="minorHAnsi" w:eastAsia="Times New Roman" w:hAnsiTheme="minorHAnsi"/>
          <w:b/>
          <w:color w:val="4F81BD"/>
          <w:sz w:val="32"/>
          <w:szCs w:val="26"/>
        </w:rPr>
      </w:pPr>
      <w:r>
        <w:br w:type="page"/>
      </w:r>
    </w:p>
    <w:p w:rsidR="009918A3" w:rsidRDefault="00A46536" w:rsidP="00121658">
      <w:pPr>
        <w:pStyle w:val="Heading2"/>
        <w:jc w:val="left"/>
      </w:pPr>
      <w:bookmarkStart w:id="193" w:name="_Toc513107604"/>
      <w:r>
        <w:t>PBS restrictions and TGA indications</w:t>
      </w:r>
      <w:bookmarkEnd w:id="193"/>
      <w:r>
        <w:t xml:space="preserve"> </w:t>
      </w:r>
    </w:p>
    <w:p w:rsidR="00D32790" w:rsidRPr="00B92CC9" w:rsidRDefault="00A46536" w:rsidP="00121658">
      <w:pPr>
        <w:pStyle w:val="Heading3"/>
        <w:jc w:val="left"/>
      </w:pPr>
      <w:bookmarkStart w:id="194" w:name="_Ref505886754"/>
      <w:bookmarkStart w:id="195" w:name="_Toc513107605"/>
      <w:bookmarkEnd w:id="166"/>
      <w:bookmarkEnd w:id="167"/>
      <w:r>
        <w:t>TGA indications</w:t>
      </w:r>
      <w:bookmarkEnd w:id="194"/>
      <w:bookmarkEnd w:id="195"/>
    </w:p>
    <w:p w:rsidR="00236FB8" w:rsidRPr="00BB3BA9" w:rsidRDefault="00236FB8" w:rsidP="00121658">
      <w:pPr>
        <w:pStyle w:val="Heading4"/>
        <w:jc w:val="left"/>
        <w:rPr>
          <w:rFonts w:eastAsiaTheme="minorEastAsia"/>
        </w:rPr>
      </w:pPr>
      <w:bookmarkStart w:id="196" w:name="_Toc503800645"/>
      <w:bookmarkStart w:id="197" w:name="_Toc503811597"/>
      <w:bookmarkStart w:id="198" w:name="_Toc473291081"/>
      <w:bookmarkStart w:id="199" w:name="_Toc480371884"/>
      <w:bookmarkStart w:id="200" w:name="_Toc486514232"/>
      <w:r w:rsidRPr="00A2374E">
        <w:rPr>
          <w:rFonts w:eastAsiaTheme="minorEastAsia"/>
        </w:rPr>
        <w:t>Current ARTG registered PAH medicines</w:t>
      </w:r>
      <w:bookmarkEnd w:id="196"/>
      <w:bookmarkEnd w:id="197"/>
    </w:p>
    <w:p w:rsidR="00236FB8" w:rsidRPr="00236FB8" w:rsidRDefault="00236FB8" w:rsidP="003A5843">
      <w:pPr>
        <w:pStyle w:val="BodyTextnospacebefore"/>
      </w:pPr>
      <w:r w:rsidRPr="009C074C">
        <w:t xml:space="preserve">Medications registered for PAH in Australia are listed in </w:t>
      </w:r>
      <w:r w:rsidR="00D63371">
        <w:t>Table 1.14</w:t>
      </w:r>
      <w:r w:rsidRPr="009C074C">
        <w:t xml:space="preserve"> with an overview of their approved indications for use in</w:t>
      </w:r>
      <w:r w:rsidR="00FB0A8B" w:rsidRPr="009C074C">
        <w:t xml:space="preserve"> terms of</w:t>
      </w:r>
      <w:r w:rsidRPr="009C074C">
        <w:t xml:space="preserve"> WHO Functional Classes and combination use. Information on paediatric use is also included as this was a significant area where the registered indications, PBS restrictions and clinical guidelines do not align</w:t>
      </w:r>
      <w:r w:rsidR="00C6734D" w:rsidRPr="009C074C">
        <w:t>.</w:t>
      </w:r>
      <w:r w:rsidR="00C6734D">
        <w:t xml:space="preserve"> </w:t>
      </w:r>
    </w:p>
    <w:p w:rsidR="00826896" w:rsidRPr="00FB1802" w:rsidRDefault="00236FB8" w:rsidP="003A5843">
      <w:pPr>
        <w:pStyle w:val="BodyTextnospacebefore"/>
      </w:pPr>
      <w:r w:rsidRPr="00236FB8">
        <w:t>Text of registered indications as it appears in the PI for each medicine is reproduced in</w:t>
      </w:r>
      <w:r w:rsidR="007B0F54">
        <w:t xml:space="preserve"> </w:t>
      </w:r>
      <w:r w:rsidR="00D63371">
        <w:t>Table 1.</w:t>
      </w:r>
      <w:r w:rsidR="00D63371">
        <w:rPr>
          <w:noProof/>
        </w:rPr>
        <w:t>15</w:t>
      </w:r>
      <w:r w:rsidR="003A5843">
        <w:t>. The approved</w:t>
      </w:r>
      <w:r w:rsidRPr="00236FB8">
        <w:t xml:space="preserve"> indications are either for the whole of Group 1 of the WHO PH classification or for the individual subtypes. </w:t>
      </w:r>
    </w:p>
    <w:p w:rsidR="00236FB8" w:rsidRDefault="00236FB8" w:rsidP="00121658">
      <w:pPr>
        <w:jc w:val="left"/>
        <w:rPr>
          <w:rFonts w:asciiTheme="minorHAnsi" w:hAnsiTheme="minorHAnsi"/>
        </w:rPr>
        <w:sectPr w:rsidR="00236FB8" w:rsidSect="00C978EB">
          <w:footnotePr>
            <w:numFmt w:val="chicago"/>
          </w:footnotePr>
          <w:pgSz w:w="11906" w:h="16838"/>
          <w:pgMar w:top="1440" w:right="1440" w:bottom="1440" w:left="1440" w:header="708" w:footer="708" w:gutter="0"/>
          <w:cols w:space="708"/>
          <w:titlePg/>
          <w:docGrid w:linePitch="360"/>
        </w:sectPr>
      </w:pPr>
    </w:p>
    <w:p w:rsidR="00236FB8" w:rsidRDefault="00F75B8B" w:rsidP="00F75B8B">
      <w:pPr>
        <w:pStyle w:val="Caption"/>
      </w:pPr>
      <w:bookmarkStart w:id="201" w:name="_Ref510795505"/>
      <w:bookmarkStart w:id="202" w:name="_Toc513107640"/>
      <w:bookmarkStart w:id="203" w:name="_Ref501004341"/>
      <w:r>
        <w:t>Table 1.</w:t>
      </w:r>
      <w:r w:rsidR="00D63371">
        <w:rPr>
          <w:noProof/>
        </w:rPr>
        <w:t>14</w:t>
      </w:r>
      <w:bookmarkEnd w:id="201"/>
      <w:r>
        <w:tab/>
        <w:t>Overview of registered indications for PAH medicines</w:t>
      </w:r>
      <w:bookmarkEnd w:id="202"/>
    </w:p>
    <w:tbl>
      <w:tblPr>
        <w:tblW w:w="46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Overview of registered indications for PAH medicines "/>
      </w:tblPr>
      <w:tblGrid>
        <w:gridCol w:w="1399"/>
        <w:gridCol w:w="2823"/>
        <w:gridCol w:w="1701"/>
        <w:gridCol w:w="4676"/>
        <w:gridCol w:w="2693"/>
      </w:tblGrid>
      <w:tr w:rsidR="00236FB8" w:rsidRPr="007E6A14" w:rsidTr="007D269C">
        <w:trPr>
          <w:tblHeader/>
        </w:trPr>
        <w:tc>
          <w:tcPr>
            <w:tcW w:w="526" w:type="pct"/>
            <w:shd w:val="clear" w:color="auto" w:fill="BFBFBF" w:themeFill="background1" w:themeFillShade="BF"/>
            <w:vAlign w:val="center"/>
          </w:tcPr>
          <w:p w:rsidR="00236FB8" w:rsidRPr="007D269C" w:rsidRDefault="00236FB8"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b/>
                <w:sz w:val="20"/>
                <w:szCs w:val="20"/>
              </w:rPr>
              <w:t>Treatment</w:t>
            </w:r>
          </w:p>
        </w:tc>
        <w:tc>
          <w:tcPr>
            <w:tcW w:w="1062" w:type="pct"/>
            <w:shd w:val="clear" w:color="auto" w:fill="BFBFBF" w:themeFill="background1" w:themeFillShade="BF"/>
            <w:vAlign w:val="center"/>
          </w:tcPr>
          <w:p w:rsidR="00236FB8" w:rsidRPr="007D269C" w:rsidRDefault="00236FB8"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b/>
                <w:sz w:val="20"/>
                <w:szCs w:val="20"/>
              </w:rPr>
              <w:t>Aetiology / PAH subtypes</w:t>
            </w:r>
          </w:p>
        </w:tc>
        <w:tc>
          <w:tcPr>
            <w:tcW w:w="640" w:type="pct"/>
            <w:shd w:val="clear" w:color="auto" w:fill="BFBFBF" w:themeFill="background1" w:themeFillShade="BF"/>
            <w:vAlign w:val="center"/>
          </w:tcPr>
          <w:p w:rsidR="00236FB8" w:rsidRPr="007D269C" w:rsidRDefault="00236FB8"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b/>
                <w:sz w:val="20"/>
                <w:szCs w:val="20"/>
              </w:rPr>
              <w:t>WHO FC</w:t>
            </w:r>
          </w:p>
        </w:tc>
        <w:tc>
          <w:tcPr>
            <w:tcW w:w="1759" w:type="pct"/>
            <w:shd w:val="clear" w:color="auto" w:fill="BFBFBF" w:themeFill="background1" w:themeFillShade="BF"/>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b/>
                <w:sz w:val="20"/>
                <w:szCs w:val="20"/>
              </w:rPr>
              <w:t>Combination therapy</w:t>
            </w:r>
          </w:p>
        </w:tc>
        <w:tc>
          <w:tcPr>
            <w:tcW w:w="1013" w:type="pct"/>
            <w:shd w:val="clear" w:color="auto" w:fill="BFBFBF" w:themeFill="background1" w:themeFillShade="BF"/>
          </w:tcPr>
          <w:p w:rsidR="00236FB8" w:rsidRPr="007D269C" w:rsidRDefault="00236FB8" w:rsidP="007D269C">
            <w:pPr>
              <w:spacing w:beforeLines="20" w:before="48" w:afterLines="20" w:after="48" w:line="240" w:lineRule="auto"/>
              <w:jc w:val="left"/>
              <w:rPr>
                <w:rFonts w:ascii="Arial" w:hAnsi="Arial" w:cs="Arial"/>
                <w:b/>
                <w:sz w:val="20"/>
                <w:szCs w:val="20"/>
              </w:rPr>
            </w:pPr>
            <w:r w:rsidRPr="007D269C">
              <w:rPr>
                <w:rFonts w:ascii="Arial" w:hAnsi="Arial" w:cs="Arial"/>
                <w:b/>
                <w:sz w:val="20"/>
                <w:szCs w:val="20"/>
              </w:rPr>
              <w:t xml:space="preserve">Children </w:t>
            </w:r>
          </w:p>
        </w:tc>
      </w:tr>
      <w:tr w:rsidR="00236FB8" w:rsidRPr="007E6A14" w:rsidTr="007D269C">
        <w:tc>
          <w:tcPr>
            <w:tcW w:w="526" w:type="pct"/>
            <w:shd w:val="clear" w:color="auto" w:fill="auto"/>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Macitentan</w:t>
            </w:r>
          </w:p>
        </w:tc>
        <w:tc>
          <w:tcPr>
            <w:tcW w:w="1062" w:type="pct"/>
            <w:shd w:val="clear" w:color="auto" w:fill="auto"/>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IPAH, HPAH, PAH-CTD or PAH-CHD</w:t>
            </w:r>
          </w:p>
        </w:tc>
        <w:tc>
          <w:tcPr>
            <w:tcW w:w="640" w:type="pct"/>
            <w:shd w:val="clear" w:color="auto" w:fill="auto"/>
            <w:vAlign w:val="center"/>
          </w:tcPr>
          <w:p w:rsidR="00236FB8" w:rsidRPr="007D269C" w:rsidRDefault="00236FB8"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sz w:val="20"/>
                <w:szCs w:val="20"/>
              </w:rPr>
              <w:t>II,III, IV</w:t>
            </w:r>
          </w:p>
        </w:tc>
        <w:tc>
          <w:tcPr>
            <w:tcW w:w="1759" w:type="pct"/>
            <w:shd w:val="clear" w:color="auto" w:fill="auto"/>
            <w:vAlign w:val="center"/>
          </w:tcPr>
          <w:p w:rsidR="00236FB8" w:rsidRPr="007D269C" w:rsidRDefault="00A9100A"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Yes</w:t>
            </w:r>
            <w:r w:rsidR="00236FB8" w:rsidRPr="007D269C">
              <w:rPr>
                <w:rFonts w:ascii="Arial" w:hAnsi="Arial" w:cs="Arial"/>
                <w:sz w:val="20"/>
                <w:szCs w:val="20"/>
              </w:rPr>
              <w:t>, approved PAH treatments (</w:t>
            </w:r>
            <w:r w:rsidR="00AF191D" w:rsidRPr="007D269C">
              <w:rPr>
                <w:rFonts w:ascii="Arial" w:hAnsi="Arial" w:cs="Arial"/>
                <w:sz w:val="20"/>
                <w:szCs w:val="20"/>
              </w:rPr>
              <w:t>PDE</w:t>
            </w:r>
            <w:r w:rsidR="00AF191D" w:rsidRPr="007D269C">
              <w:rPr>
                <w:rFonts w:ascii="Arial" w:hAnsi="Arial" w:cs="Arial"/>
                <w:sz w:val="20"/>
                <w:szCs w:val="20"/>
              </w:rPr>
              <w:noBreakHyphen/>
              <w:t>5</w:t>
            </w:r>
            <w:r w:rsidR="00236FB8" w:rsidRPr="007D269C">
              <w:rPr>
                <w:rFonts w:ascii="Arial" w:hAnsi="Arial" w:cs="Arial"/>
                <w:sz w:val="20"/>
                <w:szCs w:val="20"/>
              </w:rPr>
              <w:t xml:space="preserve"> inhibitors or prostanoids)</w:t>
            </w:r>
          </w:p>
        </w:tc>
        <w:tc>
          <w:tcPr>
            <w:tcW w:w="1013"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Limited data in children aged 12 and above, none in children &lt;12 years</w:t>
            </w:r>
          </w:p>
        </w:tc>
      </w:tr>
      <w:tr w:rsidR="00236FB8" w:rsidRPr="007E6A14" w:rsidTr="007D269C">
        <w:tc>
          <w:tcPr>
            <w:tcW w:w="526"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Bosentan</w:t>
            </w:r>
          </w:p>
        </w:tc>
        <w:tc>
          <w:tcPr>
            <w:tcW w:w="1062" w:type="pct"/>
            <w:vAlign w:val="center"/>
          </w:tcPr>
          <w:p w:rsidR="00236FB8" w:rsidRPr="007D269C" w:rsidRDefault="00236FB8"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sz w:val="20"/>
                <w:szCs w:val="20"/>
              </w:rPr>
              <w:t>IPAH, HPAH, PAH-CTD or PAH-CHD</w:t>
            </w:r>
          </w:p>
        </w:tc>
        <w:tc>
          <w:tcPr>
            <w:tcW w:w="640" w:type="pct"/>
            <w:vAlign w:val="center"/>
          </w:tcPr>
          <w:p w:rsidR="00236FB8" w:rsidRPr="007D269C" w:rsidRDefault="00236FB8"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sz w:val="20"/>
                <w:szCs w:val="20"/>
              </w:rPr>
              <w:t>II,III, IV</w:t>
            </w:r>
          </w:p>
        </w:tc>
        <w:tc>
          <w:tcPr>
            <w:tcW w:w="1759"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Clinical benefit of the combination of bosentan and epoprostenol has not been demonstrated</w:t>
            </w:r>
          </w:p>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Use with sildenafil should be avoided due altered PK</w:t>
            </w:r>
          </w:p>
        </w:tc>
        <w:tc>
          <w:tcPr>
            <w:tcW w:w="1013"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Yes</w:t>
            </w:r>
          </w:p>
        </w:tc>
      </w:tr>
      <w:tr w:rsidR="00236FB8" w:rsidRPr="00F44148" w:rsidTr="007D269C">
        <w:tc>
          <w:tcPr>
            <w:tcW w:w="526"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Ambrisentan</w:t>
            </w:r>
          </w:p>
        </w:tc>
        <w:tc>
          <w:tcPr>
            <w:tcW w:w="1062" w:type="pct"/>
            <w:vAlign w:val="center"/>
          </w:tcPr>
          <w:p w:rsidR="00880436" w:rsidRPr="007D269C" w:rsidRDefault="00880436"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 xml:space="preserve">As monotherapy: </w:t>
            </w:r>
            <w:r w:rsidR="00236FB8" w:rsidRPr="007D269C">
              <w:rPr>
                <w:rFonts w:ascii="Arial" w:hAnsi="Arial" w:cs="Arial"/>
                <w:sz w:val="20"/>
                <w:szCs w:val="20"/>
              </w:rPr>
              <w:t>IPAH, PAH-CTD</w:t>
            </w:r>
            <w:r w:rsidR="007D269C">
              <w:rPr>
                <w:rFonts w:ascii="Arial" w:hAnsi="Arial" w:cs="Arial"/>
                <w:sz w:val="20"/>
                <w:szCs w:val="20"/>
              </w:rPr>
              <w:t xml:space="preserve">; </w:t>
            </w:r>
            <w:r w:rsidRPr="007D269C">
              <w:rPr>
                <w:rFonts w:ascii="Arial" w:hAnsi="Arial" w:cs="Arial"/>
                <w:sz w:val="20"/>
                <w:szCs w:val="20"/>
              </w:rPr>
              <w:t>With tadalafil: all WHO Group 1 / PAH</w:t>
            </w:r>
          </w:p>
        </w:tc>
        <w:tc>
          <w:tcPr>
            <w:tcW w:w="640" w:type="pct"/>
            <w:vAlign w:val="center"/>
          </w:tcPr>
          <w:p w:rsidR="00880436" w:rsidRPr="007D269C" w:rsidRDefault="00880436"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Mono: unspecified</w:t>
            </w:r>
          </w:p>
          <w:p w:rsidR="00236FB8" w:rsidRPr="007D269C" w:rsidRDefault="00880436"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sz w:val="20"/>
                <w:szCs w:val="20"/>
              </w:rPr>
              <w:t xml:space="preserve">Combo: </w:t>
            </w:r>
            <w:r w:rsidR="00236FB8" w:rsidRPr="007D269C">
              <w:rPr>
                <w:rFonts w:ascii="Arial" w:hAnsi="Arial" w:cs="Arial"/>
                <w:sz w:val="20"/>
                <w:szCs w:val="20"/>
              </w:rPr>
              <w:t>II,III, IV</w:t>
            </w:r>
          </w:p>
        </w:tc>
        <w:tc>
          <w:tcPr>
            <w:tcW w:w="1759" w:type="pct"/>
            <w:vAlign w:val="center"/>
          </w:tcPr>
          <w:p w:rsidR="00236FB8" w:rsidRPr="007D269C" w:rsidRDefault="00A9100A"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Yes, w</w:t>
            </w:r>
            <w:r w:rsidR="00236FB8" w:rsidRPr="007D269C">
              <w:rPr>
                <w:rFonts w:ascii="Arial" w:hAnsi="Arial" w:cs="Arial"/>
                <w:sz w:val="20"/>
                <w:szCs w:val="20"/>
              </w:rPr>
              <w:t xml:space="preserve">ith tadalafil (WHO Group 1, II/III/IV PAH) </w:t>
            </w:r>
          </w:p>
        </w:tc>
        <w:tc>
          <w:tcPr>
            <w:tcW w:w="1013"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No</w:t>
            </w:r>
          </w:p>
        </w:tc>
      </w:tr>
      <w:tr w:rsidR="00236FB8" w:rsidRPr="004A366B" w:rsidTr="007D269C">
        <w:tc>
          <w:tcPr>
            <w:tcW w:w="526"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Sildenafil</w:t>
            </w:r>
          </w:p>
        </w:tc>
        <w:tc>
          <w:tcPr>
            <w:tcW w:w="1062" w:type="pct"/>
            <w:vAlign w:val="center"/>
          </w:tcPr>
          <w:p w:rsidR="00236FB8" w:rsidRPr="007D269C" w:rsidRDefault="00B833FE"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sz w:val="20"/>
                <w:szCs w:val="20"/>
              </w:rPr>
              <w:t xml:space="preserve">PAH </w:t>
            </w:r>
            <w:r w:rsidRPr="007D269C">
              <w:rPr>
                <w:rFonts w:ascii="Arial" w:hAnsi="Arial" w:cs="Arial"/>
                <w:sz w:val="20"/>
                <w:szCs w:val="20"/>
              </w:rPr>
              <w:br/>
              <w:t>(</w:t>
            </w:r>
            <w:r w:rsidR="00236FB8" w:rsidRPr="007D269C">
              <w:rPr>
                <w:rFonts w:ascii="Arial" w:hAnsi="Arial" w:cs="Arial"/>
                <w:sz w:val="20"/>
                <w:szCs w:val="20"/>
              </w:rPr>
              <w:t>efficacy has been shown</w:t>
            </w:r>
            <w:r w:rsidRPr="007D269C">
              <w:rPr>
                <w:rFonts w:ascii="Arial" w:hAnsi="Arial" w:cs="Arial"/>
                <w:sz w:val="20"/>
                <w:szCs w:val="20"/>
              </w:rPr>
              <w:br/>
            </w:r>
            <w:r w:rsidR="00236FB8" w:rsidRPr="007D269C">
              <w:rPr>
                <w:rFonts w:ascii="Arial" w:hAnsi="Arial" w:cs="Arial"/>
                <w:sz w:val="20"/>
                <w:szCs w:val="20"/>
              </w:rPr>
              <w:t>in IPAH and PAH-CTD</w:t>
            </w:r>
            <w:r w:rsidRPr="007D269C">
              <w:rPr>
                <w:rFonts w:ascii="Arial" w:hAnsi="Arial" w:cs="Arial"/>
                <w:sz w:val="20"/>
                <w:szCs w:val="20"/>
              </w:rPr>
              <w:t>)</w:t>
            </w:r>
          </w:p>
        </w:tc>
        <w:tc>
          <w:tcPr>
            <w:tcW w:w="640" w:type="pct"/>
            <w:vAlign w:val="center"/>
          </w:tcPr>
          <w:p w:rsidR="00236FB8" w:rsidRPr="007D269C" w:rsidRDefault="00236FB8"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sz w:val="20"/>
                <w:szCs w:val="20"/>
              </w:rPr>
              <w:t>II,III</w:t>
            </w:r>
          </w:p>
        </w:tc>
        <w:tc>
          <w:tcPr>
            <w:tcW w:w="1759"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 xml:space="preserve">Concomitant use of riociguat with </w:t>
            </w:r>
            <w:r w:rsidR="00AF191D" w:rsidRPr="007D269C">
              <w:rPr>
                <w:rFonts w:ascii="Arial" w:hAnsi="Arial" w:cs="Arial"/>
                <w:sz w:val="20"/>
                <w:szCs w:val="20"/>
              </w:rPr>
              <w:t>PDE</w:t>
            </w:r>
            <w:r w:rsidR="00AF191D" w:rsidRPr="007D269C">
              <w:rPr>
                <w:rFonts w:ascii="Arial" w:hAnsi="Arial" w:cs="Arial"/>
                <w:sz w:val="20"/>
                <w:szCs w:val="20"/>
              </w:rPr>
              <w:noBreakHyphen/>
              <w:t>5</w:t>
            </w:r>
            <w:r w:rsidRPr="007D269C">
              <w:rPr>
                <w:rFonts w:ascii="Arial" w:hAnsi="Arial" w:cs="Arial"/>
                <w:sz w:val="20"/>
                <w:szCs w:val="20"/>
              </w:rPr>
              <w:t xml:space="preserve"> inhibitors is contraindicated. Efficacy of sildenafil has not been evaluated in patients currently on bosentan.</w:t>
            </w:r>
          </w:p>
        </w:tc>
        <w:tc>
          <w:tcPr>
            <w:tcW w:w="1013"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No</w:t>
            </w:r>
          </w:p>
        </w:tc>
      </w:tr>
      <w:tr w:rsidR="00236FB8" w:rsidRPr="00F44148" w:rsidTr="007D269C">
        <w:tc>
          <w:tcPr>
            <w:tcW w:w="526"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Tadalafil</w:t>
            </w:r>
          </w:p>
        </w:tc>
        <w:tc>
          <w:tcPr>
            <w:tcW w:w="1062" w:type="pct"/>
            <w:vAlign w:val="center"/>
          </w:tcPr>
          <w:p w:rsidR="00236FB8" w:rsidRPr="007D269C" w:rsidRDefault="00B833FE"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sz w:val="20"/>
                <w:szCs w:val="20"/>
              </w:rPr>
              <w:t>PAH</w:t>
            </w:r>
            <w:r w:rsidRPr="007D269C">
              <w:rPr>
                <w:rFonts w:ascii="Arial" w:hAnsi="Arial" w:cs="Arial"/>
                <w:sz w:val="20"/>
                <w:szCs w:val="20"/>
              </w:rPr>
              <w:br/>
              <w:t>(</w:t>
            </w:r>
            <w:r w:rsidR="00236FB8" w:rsidRPr="007D269C">
              <w:rPr>
                <w:rFonts w:ascii="Arial" w:hAnsi="Arial" w:cs="Arial"/>
                <w:sz w:val="20"/>
                <w:szCs w:val="20"/>
              </w:rPr>
              <w:t xml:space="preserve">efficacy has been shown </w:t>
            </w:r>
            <w:r w:rsidRPr="007D269C">
              <w:rPr>
                <w:rFonts w:ascii="Arial" w:hAnsi="Arial" w:cs="Arial"/>
                <w:sz w:val="20"/>
                <w:szCs w:val="20"/>
              </w:rPr>
              <w:br/>
            </w:r>
            <w:r w:rsidR="00236FB8" w:rsidRPr="007D269C">
              <w:rPr>
                <w:rFonts w:ascii="Arial" w:hAnsi="Arial" w:cs="Arial"/>
                <w:sz w:val="20"/>
                <w:szCs w:val="20"/>
              </w:rPr>
              <w:t>in IPAH and PAH-CTD</w:t>
            </w:r>
            <w:r w:rsidRPr="007D269C">
              <w:rPr>
                <w:rFonts w:ascii="Arial" w:hAnsi="Arial" w:cs="Arial"/>
                <w:sz w:val="20"/>
                <w:szCs w:val="20"/>
              </w:rPr>
              <w:t>)</w:t>
            </w:r>
          </w:p>
        </w:tc>
        <w:tc>
          <w:tcPr>
            <w:tcW w:w="640" w:type="pct"/>
            <w:vAlign w:val="center"/>
          </w:tcPr>
          <w:p w:rsidR="00236FB8" w:rsidRPr="007D269C" w:rsidRDefault="00236FB8" w:rsidP="007D269C">
            <w:pPr>
              <w:spacing w:beforeLines="20" w:before="48" w:afterLines="20" w:after="48" w:line="240" w:lineRule="auto"/>
              <w:jc w:val="left"/>
              <w:rPr>
                <w:rFonts w:ascii="Arial" w:hAnsi="Arial" w:cs="Arial"/>
                <w:b/>
                <w:caps/>
                <w:color w:val="000000"/>
                <w:spacing w:val="5"/>
                <w:kern w:val="28"/>
                <w:sz w:val="20"/>
                <w:szCs w:val="20"/>
                <w:lang w:val="en-US"/>
              </w:rPr>
            </w:pPr>
            <w:r w:rsidRPr="007D269C">
              <w:rPr>
                <w:rFonts w:ascii="Arial" w:hAnsi="Arial" w:cs="Arial"/>
                <w:sz w:val="20"/>
                <w:szCs w:val="20"/>
              </w:rPr>
              <w:t>II,III</w:t>
            </w:r>
          </w:p>
        </w:tc>
        <w:tc>
          <w:tcPr>
            <w:tcW w:w="1759"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 xml:space="preserve">Concomitant use of riociguat with </w:t>
            </w:r>
            <w:r w:rsidR="00AF191D" w:rsidRPr="007D269C">
              <w:rPr>
                <w:rFonts w:ascii="Arial" w:hAnsi="Arial" w:cs="Arial"/>
                <w:sz w:val="20"/>
                <w:szCs w:val="20"/>
              </w:rPr>
              <w:t>PDE</w:t>
            </w:r>
            <w:r w:rsidR="00AF191D" w:rsidRPr="007D269C">
              <w:rPr>
                <w:rFonts w:ascii="Arial" w:hAnsi="Arial" w:cs="Arial"/>
                <w:sz w:val="20"/>
                <w:szCs w:val="20"/>
              </w:rPr>
              <w:noBreakHyphen/>
              <w:t>5</w:t>
            </w:r>
            <w:r w:rsidRPr="007D269C">
              <w:rPr>
                <w:rFonts w:ascii="Arial" w:hAnsi="Arial" w:cs="Arial"/>
                <w:sz w:val="20"/>
                <w:szCs w:val="20"/>
              </w:rPr>
              <w:t xml:space="preserve"> inhibitors is contraindicated</w:t>
            </w:r>
          </w:p>
        </w:tc>
        <w:tc>
          <w:tcPr>
            <w:tcW w:w="1013"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No</w:t>
            </w:r>
          </w:p>
        </w:tc>
      </w:tr>
      <w:tr w:rsidR="00236FB8" w:rsidRPr="00054B90" w:rsidTr="007D269C">
        <w:tc>
          <w:tcPr>
            <w:tcW w:w="526"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 xml:space="preserve">Riociguat </w:t>
            </w:r>
          </w:p>
        </w:tc>
        <w:tc>
          <w:tcPr>
            <w:tcW w:w="1062"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IPAH, HPAH, PAH-CTD or PAH-CHD</w:t>
            </w:r>
          </w:p>
        </w:tc>
        <w:tc>
          <w:tcPr>
            <w:tcW w:w="640"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II,III, IV</w:t>
            </w:r>
          </w:p>
        </w:tc>
        <w:tc>
          <w:tcPr>
            <w:tcW w:w="1759" w:type="pct"/>
            <w:vAlign w:val="center"/>
          </w:tcPr>
          <w:p w:rsidR="00236FB8" w:rsidRPr="007D269C" w:rsidRDefault="00A9100A"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Yes</w:t>
            </w:r>
            <w:r w:rsidR="00236FB8" w:rsidRPr="007D269C">
              <w:rPr>
                <w:rFonts w:ascii="Arial" w:hAnsi="Arial" w:cs="Arial"/>
                <w:sz w:val="20"/>
                <w:szCs w:val="20"/>
              </w:rPr>
              <w:t xml:space="preserve">, approved PAH treatments (ERAs or prostanoids). Concomitant use of riociguat with </w:t>
            </w:r>
            <w:r w:rsidR="00AF191D" w:rsidRPr="007D269C">
              <w:rPr>
                <w:rFonts w:ascii="Arial" w:hAnsi="Arial" w:cs="Arial"/>
                <w:sz w:val="20"/>
                <w:szCs w:val="20"/>
              </w:rPr>
              <w:t>PDE</w:t>
            </w:r>
            <w:r w:rsidR="00AF191D" w:rsidRPr="007D269C">
              <w:rPr>
                <w:rFonts w:ascii="Arial" w:hAnsi="Arial" w:cs="Arial"/>
                <w:sz w:val="20"/>
                <w:szCs w:val="20"/>
              </w:rPr>
              <w:noBreakHyphen/>
              <w:t>5</w:t>
            </w:r>
            <w:r w:rsidR="00236FB8" w:rsidRPr="007D269C">
              <w:rPr>
                <w:rFonts w:ascii="Arial" w:hAnsi="Arial" w:cs="Arial"/>
                <w:sz w:val="20"/>
                <w:szCs w:val="20"/>
              </w:rPr>
              <w:t xml:space="preserve"> inhibitors is contraindicated.</w:t>
            </w:r>
          </w:p>
        </w:tc>
        <w:tc>
          <w:tcPr>
            <w:tcW w:w="1013"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No</w:t>
            </w:r>
          </w:p>
        </w:tc>
      </w:tr>
      <w:tr w:rsidR="00236FB8" w:rsidRPr="00F44148" w:rsidTr="007D269C">
        <w:tc>
          <w:tcPr>
            <w:tcW w:w="526"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Iloprost</w:t>
            </w:r>
          </w:p>
        </w:tc>
        <w:tc>
          <w:tcPr>
            <w:tcW w:w="1062" w:type="pct"/>
            <w:vAlign w:val="center"/>
          </w:tcPr>
          <w:p w:rsidR="00236FB8" w:rsidRPr="007D269C" w:rsidRDefault="00236FB8" w:rsidP="007D269C">
            <w:pPr>
              <w:pStyle w:val="TableText"/>
              <w:spacing w:beforeLines="20" w:before="48" w:afterLines="20" w:after="48"/>
              <w:rPr>
                <w:rFonts w:ascii="Arial" w:hAnsi="Arial"/>
                <w:b/>
                <w:caps/>
                <w:color w:val="000000"/>
                <w:spacing w:val="5"/>
                <w:kern w:val="28"/>
                <w:szCs w:val="20"/>
                <w:lang w:val="en-US"/>
              </w:rPr>
            </w:pPr>
            <w:r w:rsidRPr="007D269C">
              <w:rPr>
                <w:rFonts w:ascii="Arial" w:hAnsi="Arial"/>
                <w:szCs w:val="20"/>
              </w:rPr>
              <w:t>IPAH, PAH</w:t>
            </w:r>
            <w:r w:rsidR="00B833FE" w:rsidRPr="007D269C">
              <w:rPr>
                <w:rFonts w:ascii="Arial" w:hAnsi="Arial"/>
                <w:szCs w:val="20"/>
              </w:rPr>
              <w:t>-DT</w:t>
            </w:r>
            <w:r w:rsidRPr="007D269C">
              <w:rPr>
                <w:rFonts w:ascii="Arial" w:hAnsi="Arial"/>
                <w:szCs w:val="20"/>
              </w:rPr>
              <w:t>, PAH-CTD</w:t>
            </w:r>
          </w:p>
        </w:tc>
        <w:tc>
          <w:tcPr>
            <w:tcW w:w="640" w:type="pct"/>
            <w:vAlign w:val="center"/>
          </w:tcPr>
          <w:p w:rsidR="00236FB8" w:rsidRPr="007D269C" w:rsidRDefault="00236FB8" w:rsidP="007D269C">
            <w:pPr>
              <w:pStyle w:val="TableText"/>
              <w:spacing w:beforeLines="20" w:before="48" w:afterLines="20" w:after="48"/>
              <w:rPr>
                <w:rFonts w:ascii="Arial" w:hAnsi="Arial"/>
                <w:b/>
                <w:caps/>
                <w:color w:val="000000"/>
                <w:spacing w:val="5"/>
                <w:kern w:val="28"/>
                <w:szCs w:val="20"/>
                <w:lang w:val="en-US"/>
              </w:rPr>
            </w:pPr>
            <w:r w:rsidRPr="007D269C">
              <w:rPr>
                <w:rFonts w:ascii="Arial" w:hAnsi="Arial"/>
                <w:szCs w:val="20"/>
              </w:rPr>
              <w:t>Moderate or severe stage</w:t>
            </w:r>
          </w:p>
        </w:tc>
        <w:tc>
          <w:tcPr>
            <w:tcW w:w="1759" w:type="pct"/>
            <w:vAlign w:val="center"/>
          </w:tcPr>
          <w:p w:rsidR="00236FB8" w:rsidRPr="007D269C" w:rsidRDefault="00236FB8" w:rsidP="007D269C">
            <w:pPr>
              <w:pStyle w:val="TableText"/>
              <w:spacing w:beforeLines="20" w:before="48" w:afterLines="20" w:after="48"/>
              <w:rPr>
                <w:rFonts w:ascii="Arial" w:hAnsi="Arial"/>
                <w:szCs w:val="20"/>
              </w:rPr>
            </w:pPr>
            <w:r w:rsidRPr="007D269C">
              <w:rPr>
                <w:rFonts w:ascii="Arial" w:hAnsi="Arial"/>
                <w:szCs w:val="20"/>
              </w:rPr>
              <w:t>Not mentioned</w:t>
            </w:r>
          </w:p>
        </w:tc>
        <w:tc>
          <w:tcPr>
            <w:tcW w:w="1013"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No</w:t>
            </w:r>
          </w:p>
        </w:tc>
      </w:tr>
      <w:tr w:rsidR="00236FB8" w:rsidRPr="00F44148" w:rsidTr="007D269C">
        <w:tc>
          <w:tcPr>
            <w:tcW w:w="526"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Epoprostenol</w:t>
            </w:r>
          </w:p>
        </w:tc>
        <w:tc>
          <w:tcPr>
            <w:tcW w:w="1062" w:type="pct"/>
            <w:vAlign w:val="center"/>
          </w:tcPr>
          <w:p w:rsidR="00236FB8" w:rsidRPr="007D269C" w:rsidRDefault="00236FB8" w:rsidP="007D269C">
            <w:pPr>
              <w:pStyle w:val="TableText"/>
              <w:spacing w:beforeLines="20" w:before="48" w:afterLines="20" w:after="48"/>
              <w:rPr>
                <w:rFonts w:ascii="Arial" w:hAnsi="Arial"/>
                <w:b/>
                <w:caps/>
                <w:color w:val="000000"/>
                <w:spacing w:val="5"/>
                <w:kern w:val="28"/>
                <w:szCs w:val="20"/>
                <w:lang w:val="en-US"/>
              </w:rPr>
            </w:pPr>
            <w:r w:rsidRPr="007D269C">
              <w:rPr>
                <w:rFonts w:ascii="Arial" w:hAnsi="Arial"/>
                <w:szCs w:val="20"/>
              </w:rPr>
              <w:t>IPAH, HPAH, PAH-CTD</w:t>
            </w:r>
          </w:p>
        </w:tc>
        <w:tc>
          <w:tcPr>
            <w:tcW w:w="640" w:type="pct"/>
            <w:vAlign w:val="center"/>
          </w:tcPr>
          <w:p w:rsidR="00236FB8" w:rsidRPr="007D269C" w:rsidRDefault="00B833FE" w:rsidP="007D269C">
            <w:pPr>
              <w:pStyle w:val="TableText"/>
              <w:spacing w:beforeLines="20" w:before="48" w:afterLines="20" w:after="48"/>
              <w:rPr>
                <w:rFonts w:ascii="Arial" w:hAnsi="Arial"/>
                <w:b/>
                <w:caps/>
                <w:color w:val="000000"/>
                <w:spacing w:val="5"/>
                <w:kern w:val="28"/>
                <w:szCs w:val="20"/>
                <w:lang w:val="en-US"/>
              </w:rPr>
            </w:pPr>
            <w:r w:rsidRPr="007D269C">
              <w:rPr>
                <w:rFonts w:ascii="Arial" w:hAnsi="Arial"/>
                <w:szCs w:val="20"/>
              </w:rPr>
              <w:t>III,</w:t>
            </w:r>
            <w:r w:rsidR="00236FB8" w:rsidRPr="007D269C">
              <w:rPr>
                <w:rFonts w:ascii="Arial" w:hAnsi="Arial"/>
                <w:szCs w:val="20"/>
              </w:rPr>
              <w:t>IV</w:t>
            </w:r>
          </w:p>
        </w:tc>
        <w:tc>
          <w:tcPr>
            <w:tcW w:w="1759" w:type="pct"/>
            <w:vAlign w:val="center"/>
          </w:tcPr>
          <w:p w:rsidR="00236FB8" w:rsidRPr="007D269C" w:rsidRDefault="00236FB8" w:rsidP="007D269C">
            <w:pPr>
              <w:pStyle w:val="TableText"/>
              <w:spacing w:beforeLines="20" w:before="48" w:afterLines="20" w:after="48"/>
              <w:rPr>
                <w:rFonts w:ascii="Arial" w:hAnsi="Arial"/>
                <w:szCs w:val="20"/>
              </w:rPr>
            </w:pPr>
            <w:r w:rsidRPr="007D269C">
              <w:rPr>
                <w:rFonts w:ascii="Arial" w:hAnsi="Arial"/>
                <w:szCs w:val="20"/>
              </w:rPr>
              <w:t>Not mentioned</w:t>
            </w:r>
          </w:p>
        </w:tc>
        <w:tc>
          <w:tcPr>
            <w:tcW w:w="1013" w:type="pct"/>
            <w:vAlign w:val="center"/>
          </w:tcPr>
          <w:p w:rsidR="00236FB8" w:rsidRPr="007D269C" w:rsidRDefault="00236FB8" w:rsidP="007D269C">
            <w:pPr>
              <w:spacing w:beforeLines="20" w:before="48" w:afterLines="20" w:after="48" w:line="240" w:lineRule="auto"/>
              <w:jc w:val="left"/>
              <w:rPr>
                <w:rFonts w:ascii="Arial" w:hAnsi="Arial" w:cs="Arial"/>
                <w:sz w:val="20"/>
                <w:szCs w:val="20"/>
              </w:rPr>
            </w:pPr>
            <w:r w:rsidRPr="007D269C">
              <w:rPr>
                <w:rFonts w:ascii="Arial" w:hAnsi="Arial" w:cs="Arial"/>
                <w:sz w:val="20"/>
                <w:szCs w:val="20"/>
              </w:rPr>
              <w:t>No</w:t>
            </w:r>
          </w:p>
        </w:tc>
      </w:tr>
      <w:tr w:rsidR="00236FB8" w:rsidRPr="00383A9C" w:rsidTr="007D269C">
        <w:tc>
          <w:tcPr>
            <w:tcW w:w="526" w:type="pct"/>
            <w:vAlign w:val="center"/>
          </w:tcPr>
          <w:p w:rsidR="00236FB8" w:rsidRPr="007D269C" w:rsidRDefault="00236FB8" w:rsidP="007D269C">
            <w:pPr>
              <w:spacing w:beforeLines="20" w:before="48" w:afterLines="20" w:after="48" w:line="240" w:lineRule="auto"/>
              <w:jc w:val="left"/>
              <w:rPr>
                <w:rFonts w:ascii="Arial" w:hAnsi="Arial" w:cs="Arial"/>
                <w:i/>
                <w:color w:val="808080" w:themeColor="background1" w:themeShade="80"/>
                <w:sz w:val="20"/>
                <w:szCs w:val="20"/>
              </w:rPr>
            </w:pPr>
            <w:r w:rsidRPr="007D269C">
              <w:rPr>
                <w:rFonts w:ascii="Arial" w:hAnsi="Arial" w:cs="Arial"/>
                <w:i/>
                <w:color w:val="808080" w:themeColor="background1" w:themeShade="80"/>
                <w:sz w:val="20"/>
                <w:szCs w:val="20"/>
              </w:rPr>
              <w:t>Selexipag</w:t>
            </w:r>
          </w:p>
        </w:tc>
        <w:tc>
          <w:tcPr>
            <w:tcW w:w="1062" w:type="pct"/>
            <w:vAlign w:val="center"/>
          </w:tcPr>
          <w:p w:rsidR="00236FB8" w:rsidRPr="007D269C" w:rsidRDefault="007D269C" w:rsidP="007D269C">
            <w:pPr>
              <w:spacing w:beforeLines="20" w:before="48" w:afterLines="20" w:after="48" w:line="240" w:lineRule="auto"/>
              <w:jc w:val="left"/>
              <w:rPr>
                <w:rFonts w:ascii="Arial" w:hAnsi="Arial" w:cs="Arial"/>
                <w:i/>
                <w:color w:val="808080" w:themeColor="background1" w:themeShade="80"/>
                <w:sz w:val="20"/>
                <w:szCs w:val="20"/>
              </w:rPr>
            </w:pPr>
            <w:r>
              <w:rPr>
                <w:rFonts w:ascii="Arial" w:hAnsi="Arial" w:cs="Arial"/>
                <w:i/>
                <w:color w:val="808080" w:themeColor="background1" w:themeShade="80"/>
                <w:sz w:val="20"/>
                <w:szCs w:val="20"/>
              </w:rPr>
              <w:t xml:space="preserve">IPAH, HPAH, PAH-CTD or PAH-CHD, </w:t>
            </w:r>
            <w:r w:rsidR="00236FB8" w:rsidRPr="007D269C">
              <w:rPr>
                <w:rFonts w:ascii="Arial" w:hAnsi="Arial" w:cs="Arial"/>
                <w:i/>
                <w:color w:val="808080" w:themeColor="background1" w:themeShade="80"/>
                <w:sz w:val="20"/>
                <w:szCs w:val="20"/>
              </w:rPr>
              <w:t>PAH-DT</w:t>
            </w:r>
          </w:p>
        </w:tc>
        <w:tc>
          <w:tcPr>
            <w:tcW w:w="640" w:type="pct"/>
            <w:vAlign w:val="center"/>
          </w:tcPr>
          <w:p w:rsidR="00236FB8" w:rsidRPr="007D269C" w:rsidRDefault="00236FB8" w:rsidP="007D269C">
            <w:pPr>
              <w:pStyle w:val="TableText"/>
              <w:spacing w:beforeLines="20" w:before="48" w:afterLines="20" w:after="48"/>
              <w:rPr>
                <w:rFonts w:ascii="Arial" w:hAnsi="Arial"/>
                <w:i/>
                <w:color w:val="808080" w:themeColor="background1" w:themeShade="80"/>
                <w:szCs w:val="20"/>
              </w:rPr>
            </w:pPr>
            <w:r w:rsidRPr="007D269C">
              <w:rPr>
                <w:rFonts w:ascii="Arial" w:hAnsi="Arial"/>
                <w:i/>
                <w:color w:val="808080" w:themeColor="background1" w:themeShade="80"/>
                <w:szCs w:val="20"/>
              </w:rPr>
              <w:t>II,III, IV</w:t>
            </w:r>
          </w:p>
        </w:tc>
        <w:tc>
          <w:tcPr>
            <w:tcW w:w="1759" w:type="pct"/>
            <w:vAlign w:val="center"/>
          </w:tcPr>
          <w:p w:rsidR="00236FB8" w:rsidRPr="007D269C" w:rsidRDefault="00A9100A" w:rsidP="007D269C">
            <w:pPr>
              <w:pStyle w:val="TableText"/>
              <w:spacing w:beforeLines="20" w:before="48" w:afterLines="20" w:after="48"/>
              <w:rPr>
                <w:rFonts w:ascii="Arial" w:hAnsi="Arial"/>
                <w:i/>
                <w:color w:val="808080" w:themeColor="background1" w:themeShade="80"/>
                <w:szCs w:val="20"/>
              </w:rPr>
            </w:pPr>
            <w:r w:rsidRPr="007D269C">
              <w:rPr>
                <w:rFonts w:ascii="Arial" w:hAnsi="Arial"/>
                <w:i/>
                <w:color w:val="808080" w:themeColor="background1" w:themeShade="80"/>
                <w:szCs w:val="20"/>
              </w:rPr>
              <w:t>Yes</w:t>
            </w:r>
            <w:r w:rsidR="00236FB8" w:rsidRPr="007D269C">
              <w:rPr>
                <w:rFonts w:ascii="Arial" w:hAnsi="Arial"/>
                <w:i/>
                <w:color w:val="808080" w:themeColor="background1" w:themeShade="80"/>
                <w:szCs w:val="20"/>
              </w:rPr>
              <w:t>, patients insufficiently controlled with an ERA and/or a PDE 5 inhibitor</w:t>
            </w:r>
          </w:p>
        </w:tc>
        <w:tc>
          <w:tcPr>
            <w:tcW w:w="1013" w:type="pct"/>
            <w:vAlign w:val="center"/>
          </w:tcPr>
          <w:p w:rsidR="00236FB8" w:rsidRPr="007D269C" w:rsidRDefault="00236FB8" w:rsidP="007D269C">
            <w:pPr>
              <w:pStyle w:val="TableText"/>
              <w:spacing w:beforeLines="20" w:before="48" w:afterLines="20" w:after="48"/>
              <w:rPr>
                <w:rFonts w:ascii="Arial" w:hAnsi="Arial"/>
                <w:i/>
                <w:color w:val="808080" w:themeColor="background1" w:themeShade="80"/>
                <w:szCs w:val="20"/>
              </w:rPr>
            </w:pPr>
            <w:r w:rsidRPr="007D269C">
              <w:rPr>
                <w:rFonts w:ascii="Arial" w:hAnsi="Arial"/>
                <w:i/>
                <w:color w:val="808080" w:themeColor="background1" w:themeShade="80"/>
                <w:szCs w:val="20"/>
              </w:rPr>
              <w:t>No</w:t>
            </w:r>
          </w:p>
        </w:tc>
      </w:tr>
    </w:tbl>
    <w:p w:rsidR="00236FB8" w:rsidRPr="006D2683" w:rsidRDefault="00236FB8" w:rsidP="00121658">
      <w:pPr>
        <w:pStyle w:val="tabletext1"/>
        <w:rPr>
          <w:rFonts w:ascii="Arial" w:hAnsi="Arial"/>
          <w:sz w:val="16"/>
          <w:szCs w:val="16"/>
        </w:rPr>
      </w:pPr>
      <w:r w:rsidRPr="006D2683">
        <w:rPr>
          <w:rFonts w:ascii="Arial" w:hAnsi="Arial"/>
          <w:sz w:val="16"/>
          <w:szCs w:val="16"/>
        </w:rPr>
        <w:t xml:space="preserve">ERA = endothelin receptor antagonist; FC = Functional Class; HPAH = heritable pulmonary arterial hypertension; IPAH = idiopathic pulmonary arterial hypertension; PAH = pulmonary arterial hypertension; PAH-CHD = pulmonary arterial hypertension associated with congenital heart disease; PAH-CTD = pulmonary arterial hypertension associated with connective tissue disease; PAH-DT = drug/toxin-induced pulmonary arterial hypertension; </w:t>
      </w:r>
      <w:r w:rsidR="00AF191D" w:rsidRPr="006D2683">
        <w:rPr>
          <w:rFonts w:ascii="Arial" w:hAnsi="Arial"/>
          <w:sz w:val="16"/>
          <w:szCs w:val="16"/>
        </w:rPr>
        <w:t>PDE</w:t>
      </w:r>
      <w:r w:rsidR="00AF191D" w:rsidRPr="006D2683">
        <w:rPr>
          <w:rFonts w:ascii="Arial" w:hAnsi="Arial"/>
          <w:sz w:val="16"/>
          <w:szCs w:val="16"/>
        </w:rPr>
        <w:noBreakHyphen/>
        <w:t>5</w:t>
      </w:r>
      <w:r w:rsidRPr="006D2683">
        <w:rPr>
          <w:rFonts w:ascii="Arial" w:hAnsi="Arial"/>
          <w:sz w:val="16"/>
          <w:szCs w:val="16"/>
        </w:rPr>
        <w:t xml:space="preserve"> = phosphodiesterase type 5; sGC = soluble guanylate cyclase</w:t>
      </w:r>
    </w:p>
    <w:p w:rsidR="00236FB8" w:rsidRPr="006D2683" w:rsidRDefault="00236FB8" w:rsidP="00121658">
      <w:pPr>
        <w:pStyle w:val="tabletext1"/>
        <w:rPr>
          <w:rFonts w:ascii="Arial" w:hAnsi="Arial"/>
          <w:sz w:val="16"/>
          <w:szCs w:val="16"/>
        </w:rPr>
      </w:pPr>
      <w:r w:rsidRPr="006D2683">
        <w:rPr>
          <w:rFonts w:ascii="Arial" w:hAnsi="Arial"/>
          <w:sz w:val="16"/>
          <w:szCs w:val="16"/>
        </w:rPr>
        <w:t>Note: selexipag (in grey) is approved but not PBS listed and is not in scope for this Post-Market Review</w:t>
      </w:r>
      <w:r w:rsidR="00C6734D" w:rsidRPr="006D2683">
        <w:rPr>
          <w:rFonts w:ascii="Arial" w:hAnsi="Arial"/>
          <w:sz w:val="16"/>
          <w:szCs w:val="16"/>
        </w:rPr>
        <w:t xml:space="preserve">. </w:t>
      </w:r>
    </w:p>
    <w:p w:rsidR="00236FB8" w:rsidRPr="006D2683" w:rsidRDefault="00236FB8" w:rsidP="00121658">
      <w:pPr>
        <w:pStyle w:val="tabletext1"/>
        <w:rPr>
          <w:rFonts w:ascii="Arial" w:hAnsi="Arial"/>
          <w:sz w:val="16"/>
          <w:szCs w:val="16"/>
        </w:rPr>
      </w:pPr>
      <w:r w:rsidRPr="006D2683">
        <w:rPr>
          <w:rFonts w:ascii="Arial" w:hAnsi="Arial"/>
          <w:sz w:val="16"/>
          <w:szCs w:val="16"/>
        </w:rPr>
        <w:t>Source: Relevant product information documents</w:t>
      </w:r>
    </w:p>
    <w:p w:rsidR="00236FB8" w:rsidRDefault="00236FB8" w:rsidP="00121658">
      <w:pPr>
        <w:pStyle w:val="tabletext1"/>
        <w:keepNext w:val="0"/>
      </w:pPr>
    </w:p>
    <w:p w:rsidR="00236FB8" w:rsidRDefault="00F75B8B" w:rsidP="00F75B8B">
      <w:pPr>
        <w:pStyle w:val="Caption"/>
      </w:pPr>
      <w:bookmarkStart w:id="204" w:name="_Ref510795515"/>
      <w:bookmarkStart w:id="205" w:name="_Toc513107641"/>
      <w:bookmarkEnd w:id="203"/>
      <w:r>
        <w:t>Table 1.</w:t>
      </w:r>
      <w:r w:rsidR="00D63371">
        <w:rPr>
          <w:noProof/>
        </w:rPr>
        <w:t>15</w:t>
      </w:r>
      <w:bookmarkEnd w:id="204"/>
      <w:r>
        <w:rPr>
          <w:noProof/>
        </w:rPr>
        <w:tab/>
      </w:r>
      <w:r>
        <w:t>PAH medicines – TGA wording of registered indications</w:t>
      </w:r>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H medicines – TGA wording of registered indications"/>
      </w:tblPr>
      <w:tblGrid>
        <w:gridCol w:w="1395"/>
        <w:gridCol w:w="1157"/>
        <w:gridCol w:w="1808"/>
        <w:gridCol w:w="9814"/>
      </w:tblGrid>
      <w:tr w:rsidR="00236FB8" w:rsidRPr="00847CCD" w:rsidTr="006D2683">
        <w:trPr>
          <w:tblHeader/>
        </w:trPr>
        <w:tc>
          <w:tcPr>
            <w:tcW w:w="492" w:type="pct"/>
            <w:shd w:val="clear" w:color="auto" w:fill="BFBFBF" w:themeFill="background1" w:themeFillShade="BF"/>
          </w:tcPr>
          <w:p w:rsidR="00236FB8" w:rsidRPr="006D2683" w:rsidRDefault="00236FB8" w:rsidP="006D2683">
            <w:pPr>
              <w:spacing w:beforeLines="40" w:before="96" w:afterLines="40" w:after="96" w:line="240" w:lineRule="auto"/>
              <w:jc w:val="left"/>
              <w:rPr>
                <w:rFonts w:ascii="Arial" w:hAnsi="Arial" w:cs="Arial"/>
                <w:b/>
                <w:caps/>
                <w:color w:val="000000"/>
                <w:spacing w:val="5"/>
                <w:kern w:val="28"/>
                <w:sz w:val="20"/>
                <w:szCs w:val="20"/>
                <w:lang w:val="en-US"/>
              </w:rPr>
            </w:pPr>
            <w:r w:rsidRPr="006D2683">
              <w:rPr>
                <w:rFonts w:ascii="Arial" w:hAnsi="Arial" w:cs="Arial"/>
                <w:b/>
                <w:sz w:val="20"/>
                <w:szCs w:val="20"/>
              </w:rPr>
              <w:t>Medicine</w:t>
            </w:r>
          </w:p>
        </w:tc>
        <w:tc>
          <w:tcPr>
            <w:tcW w:w="408" w:type="pct"/>
            <w:shd w:val="clear" w:color="auto" w:fill="BFBFBF" w:themeFill="background1" w:themeFillShade="BF"/>
          </w:tcPr>
          <w:p w:rsidR="00236FB8" w:rsidRPr="006D2683" w:rsidRDefault="00236FB8" w:rsidP="006D2683">
            <w:pPr>
              <w:spacing w:beforeLines="40" w:before="96" w:afterLines="40" w:after="96" w:line="240" w:lineRule="auto"/>
              <w:jc w:val="left"/>
              <w:rPr>
                <w:rFonts w:ascii="Arial" w:hAnsi="Arial" w:cs="Arial"/>
                <w:b/>
                <w:sz w:val="20"/>
                <w:szCs w:val="20"/>
              </w:rPr>
            </w:pPr>
            <w:r w:rsidRPr="006D2683">
              <w:rPr>
                <w:rFonts w:ascii="Arial" w:hAnsi="Arial" w:cs="Arial"/>
                <w:b/>
                <w:sz w:val="20"/>
                <w:szCs w:val="20"/>
              </w:rPr>
              <w:t>Brand</w:t>
            </w:r>
          </w:p>
        </w:tc>
        <w:tc>
          <w:tcPr>
            <w:tcW w:w="638" w:type="pct"/>
            <w:shd w:val="clear" w:color="auto" w:fill="BFBFBF" w:themeFill="background1" w:themeFillShade="BF"/>
          </w:tcPr>
          <w:p w:rsidR="00236FB8" w:rsidRPr="006D2683" w:rsidRDefault="00236FB8" w:rsidP="006D2683">
            <w:pPr>
              <w:spacing w:beforeLines="40" w:before="96" w:afterLines="40" w:after="96" w:line="240" w:lineRule="auto"/>
              <w:jc w:val="left"/>
              <w:rPr>
                <w:rFonts w:ascii="Arial" w:hAnsi="Arial" w:cs="Arial"/>
                <w:b/>
                <w:sz w:val="20"/>
                <w:szCs w:val="20"/>
              </w:rPr>
            </w:pPr>
            <w:r w:rsidRPr="006D2683">
              <w:rPr>
                <w:rFonts w:ascii="Arial" w:hAnsi="Arial" w:cs="Arial"/>
                <w:b/>
                <w:sz w:val="20"/>
                <w:szCs w:val="20"/>
              </w:rPr>
              <w:t>PI Version Date</w:t>
            </w:r>
          </w:p>
        </w:tc>
        <w:tc>
          <w:tcPr>
            <w:tcW w:w="3462" w:type="pct"/>
            <w:shd w:val="clear" w:color="auto" w:fill="BFBFBF" w:themeFill="background1" w:themeFillShade="BF"/>
            <w:vAlign w:val="center"/>
          </w:tcPr>
          <w:p w:rsidR="00236FB8" w:rsidRPr="006D2683" w:rsidRDefault="00236FB8" w:rsidP="00647D4E">
            <w:pPr>
              <w:spacing w:beforeLines="40" w:before="96" w:afterLines="40" w:after="96" w:line="240" w:lineRule="auto"/>
              <w:ind w:left="35"/>
              <w:jc w:val="left"/>
              <w:rPr>
                <w:rFonts w:ascii="Arial" w:hAnsi="Arial" w:cs="Arial"/>
                <w:b/>
                <w:sz w:val="20"/>
                <w:szCs w:val="20"/>
              </w:rPr>
            </w:pPr>
            <w:r w:rsidRPr="006D2683">
              <w:rPr>
                <w:rFonts w:ascii="Arial" w:hAnsi="Arial" w:cs="Arial"/>
                <w:b/>
                <w:sz w:val="20"/>
                <w:szCs w:val="20"/>
              </w:rPr>
              <w:t>Registered Indications – extract from Product Information</w:t>
            </w:r>
          </w:p>
        </w:tc>
      </w:tr>
      <w:tr w:rsidR="00236FB8" w:rsidRPr="00847CCD" w:rsidTr="006D2683">
        <w:tc>
          <w:tcPr>
            <w:tcW w:w="492" w:type="pct"/>
            <w:shd w:val="clear" w:color="auto" w:fill="auto"/>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Bosentan</w:t>
            </w:r>
          </w:p>
        </w:tc>
        <w:tc>
          <w:tcPr>
            <w:tcW w:w="408" w:type="pct"/>
          </w:tcPr>
          <w:p w:rsidR="00236FB8" w:rsidRPr="006D2683" w:rsidRDefault="00060C26"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Tracleer</w:t>
            </w:r>
            <w:r w:rsidR="00252749" w:rsidRPr="006D2683">
              <w:rPr>
                <w:rFonts w:ascii="Arial" w:hAnsi="Arial" w:cs="Arial"/>
                <w:sz w:val="20"/>
                <w:szCs w:val="20"/>
                <w:vertAlign w:val="superscript"/>
              </w:rPr>
              <w:t>®</w:t>
            </w:r>
          </w:p>
        </w:tc>
        <w:tc>
          <w:tcPr>
            <w:tcW w:w="638" w:type="pct"/>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15 February 2016</w:t>
            </w:r>
          </w:p>
        </w:tc>
        <w:tc>
          <w:tcPr>
            <w:tcW w:w="3462" w:type="pct"/>
            <w:shd w:val="clear" w:color="auto" w:fill="auto"/>
            <w:vAlign w:val="center"/>
          </w:tcPr>
          <w:p w:rsidR="00236FB8" w:rsidRPr="006D2683" w:rsidRDefault="00060C26" w:rsidP="00647D4E">
            <w:pPr>
              <w:spacing w:beforeLines="40" w:before="96" w:afterLines="40" w:after="96" w:line="240" w:lineRule="auto"/>
              <w:ind w:left="176" w:hanging="141"/>
              <w:jc w:val="left"/>
              <w:rPr>
                <w:rFonts w:ascii="Arial" w:hAnsi="Arial" w:cs="Arial"/>
                <w:i/>
                <w:sz w:val="20"/>
                <w:szCs w:val="20"/>
              </w:rPr>
            </w:pPr>
            <w:r w:rsidRPr="006D2683">
              <w:rPr>
                <w:rFonts w:ascii="Arial" w:hAnsi="Arial" w:cs="Arial"/>
                <w:i/>
                <w:sz w:val="20"/>
                <w:szCs w:val="20"/>
              </w:rPr>
              <w:t>TRACLEER</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is indicated for the treatment of</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idiopathic pulmonary arterial hypertension</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familial pulmonary arterial hypertension</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pulmonary arterial hypertension associated with scleroderma or</w:t>
            </w:r>
          </w:p>
          <w:p w:rsidR="00236FB8" w:rsidRPr="006D2683" w:rsidRDefault="00236FB8" w:rsidP="00807704">
            <w:pPr>
              <w:pStyle w:val="ListParagraph"/>
              <w:numPr>
                <w:ilvl w:val="0"/>
                <w:numId w:val="13"/>
              </w:numPr>
              <w:spacing w:beforeLines="40" w:before="96" w:afterLines="40" w:after="96" w:line="240" w:lineRule="auto"/>
              <w:ind w:left="743" w:hanging="567"/>
              <w:contextualSpacing w:val="0"/>
              <w:jc w:val="left"/>
              <w:rPr>
                <w:rFonts w:ascii="Arial" w:hAnsi="Arial" w:cs="Arial"/>
                <w:i/>
                <w:sz w:val="20"/>
                <w:szCs w:val="20"/>
              </w:rPr>
            </w:pPr>
            <w:r w:rsidRPr="006D2683">
              <w:rPr>
                <w:rFonts w:ascii="Arial" w:hAnsi="Arial" w:cs="Arial"/>
                <w:i/>
                <w:sz w:val="20"/>
                <w:szCs w:val="20"/>
              </w:rPr>
              <w:t xml:space="preserve">pulmonary arterial hypertension associated with congenital systemic to pulmonary shunts including </w:t>
            </w:r>
            <w:proofErr w:type="spellStart"/>
            <w:r w:rsidRPr="006D2683">
              <w:rPr>
                <w:rFonts w:ascii="Arial" w:hAnsi="Arial" w:cs="Arial"/>
                <w:i/>
                <w:sz w:val="20"/>
                <w:szCs w:val="20"/>
              </w:rPr>
              <w:t>Eisenmenger’s</w:t>
            </w:r>
            <w:proofErr w:type="spellEnd"/>
            <w:r w:rsidRPr="006D2683">
              <w:rPr>
                <w:rFonts w:ascii="Arial" w:hAnsi="Arial" w:cs="Arial"/>
                <w:i/>
                <w:sz w:val="20"/>
                <w:szCs w:val="20"/>
              </w:rPr>
              <w:t xml:space="preserve"> physiology</w:t>
            </w:r>
          </w:p>
          <w:p w:rsidR="00236FB8" w:rsidRPr="006D2683" w:rsidRDefault="00236FB8" w:rsidP="006D2683">
            <w:pPr>
              <w:spacing w:beforeLines="40" w:before="96" w:afterLines="40" w:after="96" w:line="240" w:lineRule="auto"/>
              <w:ind w:left="88"/>
              <w:jc w:val="left"/>
              <w:rPr>
                <w:rFonts w:ascii="Arial" w:hAnsi="Arial" w:cs="Arial"/>
                <w:i/>
                <w:sz w:val="20"/>
                <w:szCs w:val="20"/>
                <w:highlight w:val="yellow"/>
              </w:rPr>
            </w:pPr>
            <w:r w:rsidRPr="006D2683">
              <w:rPr>
                <w:rFonts w:ascii="Arial" w:hAnsi="Arial" w:cs="Arial"/>
                <w:i/>
                <w:sz w:val="20"/>
                <w:szCs w:val="20"/>
              </w:rPr>
              <w:t>in patients with WHO functional Class II, III or IV symptoms</w:t>
            </w:r>
          </w:p>
        </w:tc>
      </w:tr>
      <w:tr w:rsidR="00236FB8" w:rsidRPr="00847CCD" w:rsidTr="006D2683">
        <w:tc>
          <w:tcPr>
            <w:tcW w:w="492" w:type="pct"/>
            <w:shd w:val="clear" w:color="auto" w:fill="auto"/>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Ambrisentan</w:t>
            </w:r>
          </w:p>
        </w:tc>
        <w:tc>
          <w:tcPr>
            <w:tcW w:w="408" w:type="pct"/>
          </w:tcPr>
          <w:p w:rsidR="00236FB8" w:rsidRPr="006D2683" w:rsidRDefault="00777ACB" w:rsidP="006D2683">
            <w:pPr>
              <w:spacing w:beforeLines="40" w:before="96" w:afterLines="40" w:after="96" w:line="240" w:lineRule="auto"/>
              <w:jc w:val="left"/>
              <w:rPr>
                <w:rFonts w:ascii="Arial" w:hAnsi="Arial" w:cs="Arial"/>
                <w:sz w:val="20"/>
                <w:szCs w:val="20"/>
              </w:rPr>
            </w:pPr>
            <w:proofErr w:type="spellStart"/>
            <w:r w:rsidRPr="006D2683">
              <w:rPr>
                <w:rFonts w:ascii="Arial" w:hAnsi="Arial" w:cs="Arial"/>
                <w:sz w:val="20"/>
                <w:szCs w:val="20"/>
              </w:rPr>
              <w:t>Volibris</w:t>
            </w:r>
            <w:proofErr w:type="spellEnd"/>
            <w:r w:rsidR="00252749" w:rsidRPr="006D2683">
              <w:rPr>
                <w:rFonts w:ascii="Arial" w:hAnsi="Arial" w:cs="Arial"/>
                <w:sz w:val="20"/>
                <w:szCs w:val="20"/>
              </w:rPr>
              <w:t>®</w:t>
            </w:r>
          </w:p>
        </w:tc>
        <w:tc>
          <w:tcPr>
            <w:tcW w:w="638" w:type="pct"/>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16 February 2016</w:t>
            </w:r>
          </w:p>
        </w:tc>
        <w:tc>
          <w:tcPr>
            <w:tcW w:w="3462" w:type="pct"/>
            <w:shd w:val="clear" w:color="auto" w:fill="auto"/>
            <w:vAlign w:val="center"/>
          </w:tcPr>
          <w:p w:rsidR="00236FB8" w:rsidRPr="006D2683" w:rsidRDefault="00777ACB" w:rsidP="006D2683">
            <w:pPr>
              <w:spacing w:beforeLines="40" w:before="96" w:afterLines="40" w:after="96" w:line="240" w:lineRule="auto"/>
              <w:ind w:left="88"/>
              <w:jc w:val="left"/>
              <w:rPr>
                <w:rFonts w:ascii="Arial" w:hAnsi="Arial" w:cs="Arial"/>
                <w:i/>
                <w:sz w:val="20"/>
                <w:szCs w:val="20"/>
              </w:rPr>
            </w:pPr>
            <w:r w:rsidRPr="006D2683">
              <w:rPr>
                <w:rFonts w:ascii="Arial" w:hAnsi="Arial" w:cs="Arial"/>
                <w:i/>
                <w:sz w:val="20"/>
                <w:szCs w:val="20"/>
              </w:rPr>
              <w:t>VOLIBRIS</w:t>
            </w:r>
            <w:r w:rsidR="00252749" w:rsidRPr="006D2683">
              <w:rPr>
                <w:rFonts w:ascii="Arial" w:hAnsi="Arial" w:cs="Arial"/>
                <w:i/>
                <w:sz w:val="20"/>
                <w:szCs w:val="20"/>
              </w:rPr>
              <w:t>®</w:t>
            </w:r>
            <w:r w:rsidR="00236FB8" w:rsidRPr="006D2683">
              <w:rPr>
                <w:rFonts w:ascii="Arial" w:hAnsi="Arial" w:cs="Arial"/>
                <w:i/>
                <w:sz w:val="20"/>
                <w:szCs w:val="20"/>
              </w:rPr>
              <w:t xml:space="preserve"> is indicated for the treatment of:</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idiopathic pulmonary arterial hypertension (PAH),</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 xml:space="preserve">pulmonary arterial hypertension associated with connective tissue disease (PAH-CTD), </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proofErr w:type="gramStart"/>
            <w:r w:rsidRPr="006D2683">
              <w:rPr>
                <w:rFonts w:ascii="Arial" w:hAnsi="Arial" w:cs="Arial"/>
                <w:i/>
                <w:sz w:val="20"/>
                <w:szCs w:val="20"/>
              </w:rPr>
              <w:t>in</w:t>
            </w:r>
            <w:proofErr w:type="gramEnd"/>
            <w:r w:rsidRPr="006D2683">
              <w:rPr>
                <w:rFonts w:ascii="Arial" w:hAnsi="Arial" w:cs="Arial"/>
                <w:i/>
                <w:sz w:val="20"/>
                <w:szCs w:val="20"/>
              </w:rPr>
              <w:t xml:space="preserve"> patients with WHO functional class II, III or IV symptoms.</w:t>
            </w:r>
          </w:p>
          <w:p w:rsidR="00236FB8" w:rsidRPr="006D2683" w:rsidRDefault="00777ACB" w:rsidP="006D2683">
            <w:pPr>
              <w:spacing w:beforeLines="40" w:before="96" w:afterLines="40" w:after="96" w:line="240" w:lineRule="auto"/>
              <w:ind w:left="88"/>
              <w:jc w:val="left"/>
              <w:rPr>
                <w:rFonts w:ascii="Arial" w:hAnsi="Arial" w:cs="Arial"/>
                <w:i/>
                <w:sz w:val="20"/>
                <w:szCs w:val="20"/>
              </w:rPr>
            </w:pPr>
            <w:r w:rsidRPr="006D2683">
              <w:rPr>
                <w:rFonts w:ascii="Arial" w:hAnsi="Arial" w:cs="Arial"/>
                <w:i/>
                <w:sz w:val="20"/>
                <w:szCs w:val="20"/>
              </w:rPr>
              <w:t>VOLIBRIS</w:t>
            </w:r>
            <w:r w:rsidR="00252749" w:rsidRPr="006D2683">
              <w:rPr>
                <w:rFonts w:ascii="Arial" w:hAnsi="Arial" w:cs="Arial"/>
                <w:i/>
                <w:sz w:val="20"/>
                <w:szCs w:val="20"/>
              </w:rPr>
              <w:t>®</w:t>
            </w:r>
            <w:r w:rsidR="00236FB8" w:rsidRPr="006D2683">
              <w:rPr>
                <w:rFonts w:ascii="Arial" w:hAnsi="Arial" w:cs="Arial"/>
                <w:i/>
                <w:sz w:val="20"/>
                <w:szCs w:val="20"/>
              </w:rPr>
              <w:t xml:space="preserve"> in combination with Tadalafil is indicated for the treatment of WHO Group 1 pulmonary arterial hypertension in patients with WHO functional class II, III or IV symptoms.</w:t>
            </w:r>
          </w:p>
        </w:tc>
      </w:tr>
      <w:tr w:rsidR="00236FB8" w:rsidRPr="00847CCD" w:rsidTr="006D2683">
        <w:tc>
          <w:tcPr>
            <w:tcW w:w="492" w:type="pct"/>
            <w:shd w:val="clear" w:color="auto" w:fill="auto"/>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Macitentan</w:t>
            </w:r>
          </w:p>
        </w:tc>
        <w:tc>
          <w:tcPr>
            <w:tcW w:w="408" w:type="pct"/>
          </w:tcPr>
          <w:p w:rsidR="00236FB8" w:rsidRPr="006D2683" w:rsidRDefault="00060C26"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Opsumit</w:t>
            </w:r>
            <w:r w:rsidR="00252749" w:rsidRPr="006D2683">
              <w:rPr>
                <w:rFonts w:ascii="Arial" w:hAnsi="Arial" w:cs="Arial"/>
                <w:sz w:val="20"/>
                <w:szCs w:val="20"/>
                <w:vertAlign w:val="superscript"/>
              </w:rPr>
              <w:t>®</w:t>
            </w:r>
          </w:p>
        </w:tc>
        <w:tc>
          <w:tcPr>
            <w:tcW w:w="638" w:type="pct"/>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25 August 2016</w:t>
            </w:r>
          </w:p>
        </w:tc>
        <w:tc>
          <w:tcPr>
            <w:tcW w:w="3462" w:type="pct"/>
            <w:shd w:val="clear" w:color="auto" w:fill="auto"/>
            <w:vAlign w:val="center"/>
          </w:tcPr>
          <w:p w:rsidR="00236FB8" w:rsidRPr="006D2683" w:rsidRDefault="00060C26" w:rsidP="006D2683">
            <w:pPr>
              <w:spacing w:beforeLines="40" w:before="96" w:afterLines="40" w:after="96" w:line="240" w:lineRule="auto"/>
              <w:ind w:left="88"/>
              <w:jc w:val="left"/>
              <w:rPr>
                <w:rFonts w:ascii="Arial" w:hAnsi="Arial" w:cs="Arial"/>
                <w:i/>
                <w:sz w:val="20"/>
                <w:szCs w:val="20"/>
              </w:rPr>
            </w:pPr>
            <w:r w:rsidRPr="006D2683">
              <w:rPr>
                <w:rFonts w:ascii="Arial" w:hAnsi="Arial" w:cs="Arial"/>
                <w:i/>
                <w:sz w:val="20"/>
                <w:szCs w:val="20"/>
              </w:rPr>
              <w:t>OPSUMIT</w:t>
            </w:r>
            <w:r w:rsidR="00252749" w:rsidRPr="006D2683">
              <w:rPr>
                <w:rFonts w:ascii="Arial" w:hAnsi="Arial" w:cs="Arial"/>
                <w:i/>
                <w:sz w:val="20"/>
                <w:szCs w:val="20"/>
                <w:vertAlign w:val="superscript"/>
              </w:rPr>
              <w:t>®</w:t>
            </w:r>
            <w:r w:rsidR="00236FB8" w:rsidRPr="006D2683">
              <w:rPr>
                <w:rFonts w:ascii="Arial" w:hAnsi="Arial" w:cs="Arial"/>
                <w:i/>
                <w:sz w:val="20"/>
                <w:szCs w:val="20"/>
              </w:rPr>
              <w:t>, as monotherapy or in combination with approved PAH treatments (phosphodiesterase-5 inhibitors or inhaled prostanoids), is indicated for the treatment of:</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idiopathic pulmonary arterial hypertension</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heritable pulmonary arterial hypertension</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pulmonary arterial hypertension associated with connective tissue disease</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pulmonary arterial hypertension associated with congenital heart disease with repaired shunts</w:t>
            </w:r>
          </w:p>
          <w:p w:rsidR="00236FB8" w:rsidRPr="006D2683" w:rsidRDefault="00236FB8" w:rsidP="006D2683">
            <w:pPr>
              <w:spacing w:beforeLines="40" w:before="96" w:afterLines="40" w:after="96" w:line="240" w:lineRule="auto"/>
              <w:ind w:left="88"/>
              <w:jc w:val="left"/>
              <w:rPr>
                <w:rFonts w:ascii="Arial" w:hAnsi="Arial" w:cs="Arial"/>
                <w:i/>
                <w:sz w:val="20"/>
                <w:szCs w:val="20"/>
              </w:rPr>
            </w:pPr>
            <w:proofErr w:type="gramStart"/>
            <w:r w:rsidRPr="006D2683">
              <w:rPr>
                <w:rFonts w:ascii="Arial" w:hAnsi="Arial" w:cs="Arial"/>
                <w:i/>
                <w:sz w:val="20"/>
                <w:szCs w:val="20"/>
              </w:rPr>
              <w:t>in</w:t>
            </w:r>
            <w:proofErr w:type="gramEnd"/>
            <w:r w:rsidRPr="006D2683">
              <w:rPr>
                <w:rFonts w:ascii="Arial" w:hAnsi="Arial" w:cs="Arial"/>
                <w:i/>
                <w:sz w:val="20"/>
                <w:szCs w:val="20"/>
              </w:rPr>
              <w:t xml:space="preserve"> patients with WHO Functional class II, III or IV symptoms.</w:t>
            </w:r>
          </w:p>
        </w:tc>
      </w:tr>
      <w:tr w:rsidR="00236FB8" w:rsidRPr="00847CCD" w:rsidTr="006D2683">
        <w:tc>
          <w:tcPr>
            <w:tcW w:w="492" w:type="pct"/>
            <w:shd w:val="clear" w:color="auto" w:fill="auto"/>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Sildenafil</w:t>
            </w:r>
          </w:p>
        </w:tc>
        <w:tc>
          <w:tcPr>
            <w:tcW w:w="408" w:type="pct"/>
          </w:tcPr>
          <w:p w:rsidR="00236FB8" w:rsidRPr="006D2683" w:rsidRDefault="00060C26" w:rsidP="006D2683">
            <w:pPr>
              <w:spacing w:beforeLines="40" w:before="96" w:afterLines="40" w:after="96" w:line="240" w:lineRule="auto"/>
              <w:jc w:val="left"/>
              <w:rPr>
                <w:rFonts w:ascii="Arial" w:hAnsi="Arial" w:cs="Arial"/>
                <w:sz w:val="20"/>
                <w:szCs w:val="20"/>
              </w:rPr>
            </w:pPr>
            <w:proofErr w:type="spellStart"/>
            <w:r w:rsidRPr="006D2683">
              <w:rPr>
                <w:rFonts w:ascii="Arial" w:hAnsi="Arial" w:cs="Arial"/>
                <w:sz w:val="20"/>
                <w:szCs w:val="20"/>
              </w:rPr>
              <w:t>Revatio</w:t>
            </w:r>
            <w:proofErr w:type="spellEnd"/>
            <w:r w:rsidR="00252749" w:rsidRPr="006D2683">
              <w:rPr>
                <w:rFonts w:ascii="Arial" w:hAnsi="Arial" w:cs="Arial"/>
                <w:sz w:val="20"/>
                <w:szCs w:val="20"/>
                <w:vertAlign w:val="superscript"/>
              </w:rPr>
              <w:t>®</w:t>
            </w:r>
          </w:p>
        </w:tc>
        <w:tc>
          <w:tcPr>
            <w:tcW w:w="638" w:type="pct"/>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21 December 2015</w:t>
            </w:r>
          </w:p>
        </w:tc>
        <w:tc>
          <w:tcPr>
            <w:tcW w:w="3462" w:type="pct"/>
            <w:shd w:val="clear" w:color="auto" w:fill="auto"/>
            <w:vAlign w:val="center"/>
          </w:tcPr>
          <w:p w:rsidR="00236FB8" w:rsidRPr="006D2683" w:rsidRDefault="00060C26" w:rsidP="00647D4E">
            <w:pPr>
              <w:spacing w:beforeLines="40" w:before="96" w:afterLines="40" w:after="96" w:line="240" w:lineRule="auto"/>
              <w:ind w:left="176"/>
              <w:jc w:val="left"/>
              <w:rPr>
                <w:rFonts w:ascii="Arial" w:hAnsi="Arial" w:cs="Arial"/>
                <w:i/>
                <w:sz w:val="20"/>
                <w:szCs w:val="20"/>
              </w:rPr>
            </w:pPr>
            <w:r w:rsidRPr="006D2683">
              <w:rPr>
                <w:rFonts w:ascii="Arial" w:hAnsi="Arial" w:cs="Arial"/>
                <w:i/>
                <w:sz w:val="20"/>
                <w:szCs w:val="20"/>
              </w:rPr>
              <w:t>REVATIO</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tablets are indicated for the treatment of patients with pulmonary arterial hypertension classified as WHO functional classes II and III, to improve exercise capacity. Efficacy has been shown in primary pulmonary hypertension and pulmonary hypertension associated with connective tissue disease.</w:t>
            </w:r>
          </w:p>
          <w:p w:rsidR="00236FB8" w:rsidRPr="006D2683" w:rsidRDefault="00060C26" w:rsidP="00647D4E">
            <w:pPr>
              <w:spacing w:beforeLines="40" w:before="96" w:afterLines="40" w:after="96" w:line="240" w:lineRule="auto"/>
              <w:ind w:left="176"/>
              <w:jc w:val="left"/>
              <w:rPr>
                <w:rFonts w:ascii="Arial" w:hAnsi="Arial" w:cs="Arial"/>
                <w:i/>
                <w:sz w:val="20"/>
                <w:szCs w:val="20"/>
              </w:rPr>
            </w:pPr>
            <w:r w:rsidRPr="006D2683">
              <w:rPr>
                <w:rFonts w:ascii="Arial" w:hAnsi="Arial" w:cs="Arial"/>
                <w:i/>
                <w:sz w:val="20"/>
                <w:szCs w:val="20"/>
              </w:rPr>
              <w:t>REVATIO</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solution for injection is for the treatment of adult patients with pulmonary arterial hypertension who are currently prescribed oral </w:t>
            </w:r>
            <w:r w:rsidRPr="006D2683">
              <w:rPr>
                <w:rFonts w:ascii="Arial" w:hAnsi="Arial" w:cs="Arial"/>
                <w:i/>
                <w:sz w:val="20"/>
                <w:szCs w:val="20"/>
              </w:rPr>
              <w:t>REVATIO</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and who are temporarily unable to take oral therapy, but are otherwise clinically and </w:t>
            </w:r>
            <w:proofErr w:type="spellStart"/>
            <w:r w:rsidR="00236FB8" w:rsidRPr="006D2683">
              <w:rPr>
                <w:rFonts w:ascii="Arial" w:hAnsi="Arial" w:cs="Arial"/>
                <w:i/>
                <w:sz w:val="20"/>
                <w:szCs w:val="20"/>
              </w:rPr>
              <w:t>haemodynamically</w:t>
            </w:r>
            <w:proofErr w:type="spellEnd"/>
            <w:r w:rsidR="00236FB8" w:rsidRPr="006D2683">
              <w:rPr>
                <w:rFonts w:ascii="Arial" w:hAnsi="Arial" w:cs="Arial"/>
                <w:i/>
                <w:sz w:val="20"/>
                <w:szCs w:val="20"/>
              </w:rPr>
              <w:t xml:space="preserve"> stable.</w:t>
            </w:r>
          </w:p>
          <w:p w:rsidR="00236FB8" w:rsidRPr="006D2683" w:rsidRDefault="00236FB8" w:rsidP="00647D4E">
            <w:pPr>
              <w:spacing w:beforeLines="40" w:before="96" w:afterLines="40" w:after="96" w:line="240" w:lineRule="auto"/>
              <w:ind w:left="176"/>
              <w:jc w:val="left"/>
              <w:rPr>
                <w:rFonts w:ascii="Arial" w:hAnsi="Arial" w:cs="Arial"/>
                <w:i/>
                <w:sz w:val="20"/>
                <w:szCs w:val="20"/>
              </w:rPr>
            </w:pPr>
            <w:r w:rsidRPr="006D2683">
              <w:rPr>
                <w:rFonts w:ascii="Arial" w:hAnsi="Arial" w:cs="Arial"/>
                <w:i/>
                <w:sz w:val="20"/>
                <w:szCs w:val="20"/>
              </w:rPr>
              <w:t xml:space="preserve">The efficacy of </w:t>
            </w:r>
            <w:r w:rsidR="00060C26" w:rsidRPr="006D2683">
              <w:rPr>
                <w:rFonts w:ascii="Arial" w:hAnsi="Arial" w:cs="Arial"/>
                <w:i/>
                <w:sz w:val="20"/>
                <w:szCs w:val="20"/>
              </w:rPr>
              <w:t>REVATIO</w:t>
            </w:r>
            <w:r w:rsidR="00252749" w:rsidRPr="006D2683">
              <w:rPr>
                <w:rFonts w:ascii="Arial" w:hAnsi="Arial" w:cs="Arial"/>
                <w:i/>
                <w:sz w:val="20"/>
                <w:szCs w:val="20"/>
                <w:vertAlign w:val="superscript"/>
              </w:rPr>
              <w:t>®</w:t>
            </w:r>
            <w:r w:rsidRPr="006D2683">
              <w:rPr>
                <w:rFonts w:ascii="Arial" w:hAnsi="Arial" w:cs="Arial"/>
                <w:i/>
                <w:sz w:val="20"/>
                <w:szCs w:val="20"/>
              </w:rPr>
              <w:t xml:space="preserve"> has not been established in patients currently on bosentan therapy (see PRECAUTIONS).</w:t>
            </w:r>
          </w:p>
        </w:tc>
      </w:tr>
      <w:tr w:rsidR="00236FB8" w:rsidRPr="00847CCD" w:rsidTr="006D2683">
        <w:tc>
          <w:tcPr>
            <w:tcW w:w="492" w:type="pct"/>
            <w:shd w:val="clear" w:color="auto" w:fill="auto"/>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Tadalafil</w:t>
            </w:r>
          </w:p>
        </w:tc>
        <w:tc>
          <w:tcPr>
            <w:tcW w:w="408" w:type="pct"/>
          </w:tcPr>
          <w:p w:rsidR="00236FB8" w:rsidRPr="006D2683" w:rsidRDefault="00060C26" w:rsidP="006D2683">
            <w:pPr>
              <w:spacing w:beforeLines="40" w:before="96" w:afterLines="40" w:after="96" w:line="240" w:lineRule="auto"/>
              <w:jc w:val="left"/>
              <w:rPr>
                <w:rFonts w:ascii="Arial" w:hAnsi="Arial" w:cs="Arial"/>
                <w:sz w:val="20"/>
                <w:szCs w:val="20"/>
              </w:rPr>
            </w:pPr>
            <w:proofErr w:type="spellStart"/>
            <w:r w:rsidRPr="006D2683">
              <w:rPr>
                <w:rFonts w:ascii="Arial" w:hAnsi="Arial" w:cs="Arial"/>
                <w:sz w:val="20"/>
                <w:szCs w:val="20"/>
              </w:rPr>
              <w:t>Adcirca</w:t>
            </w:r>
            <w:proofErr w:type="spellEnd"/>
            <w:r w:rsidR="00252749" w:rsidRPr="006D2683">
              <w:rPr>
                <w:rFonts w:ascii="Arial" w:hAnsi="Arial" w:cs="Arial"/>
                <w:sz w:val="20"/>
                <w:szCs w:val="20"/>
                <w:vertAlign w:val="superscript"/>
              </w:rPr>
              <w:t>®</w:t>
            </w:r>
          </w:p>
        </w:tc>
        <w:tc>
          <w:tcPr>
            <w:tcW w:w="638" w:type="pct"/>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18 December 2015</w:t>
            </w:r>
          </w:p>
        </w:tc>
        <w:tc>
          <w:tcPr>
            <w:tcW w:w="3462" w:type="pct"/>
            <w:shd w:val="clear" w:color="auto" w:fill="auto"/>
            <w:vAlign w:val="center"/>
          </w:tcPr>
          <w:p w:rsidR="00236FB8" w:rsidRPr="006D2683" w:rsidRDefault="00060C26" w:rsidP="00647D4E">
            <w:pPr>
              <w:spacing w:beforeLines="40" w:before="96" w:afterLines="40" w:after="96" w:line="240" w:lineRule="auto"/>
              <w:ind w:left="176"/>
              <w:jc w:val="left"/>
              <w:rPr>
                <w:rFonts w:ascii="Arial" w:hAnsi="Arial" w:cs="Arial"/>
                <w:i/>
                <w:sz w:val="20"/>
                <w:szCs w:val="20"/>
              </w:rPr>
            </w:pPr>
            <w:r w:rsidRPr="006D2683">
              <w:rPr>
                <w:rFonts w:ascii="Arial" w:hAnsi="Arial" w:cs="Arial"/>
                <w:i/>
                <w:sz w:val="20"/>
                <w:szCs w:val="20"/>
              </w:rPr>
              <w:t>ADCIRCA</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is indicated in adults for the treatment of pulmonary arterial hypertension (PAH) classified as WHO functional class II and III, to improve exercise capacity. Efficacy has been shown in idiopathic PAH (IPAH) and in PAH related to collagen vascular disease.</w:t>
            </w:r>
          </w:p>
        </w:tc>
      </w:tr>
      <w:tr w:rsidR="00236FB8" w:rsidRPr="00847CCD" w:rsidTr="006D2683">
        <w:tc>
          <w:tcPr>
            <w:tcW w:w="492" w:type="pct"/>
            <w:shd w:val="clear" w:color="auto" w:fill="auto"/>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Riociguat</w:t>
            </w:r>
          </w:p>
        </w:tc>
        <w:tc>
          <w:tcPr>
            <w:tcW w:w="408" w:type="pct"/>
          </w:tcPr>
          <w:p w:rsidR="00236FB8" w:rsidRPr="006D2683" w:rsidRDefault="00060C26" w:rsidP="006D2683">
            <w:pPr>
              <w:spacing w:beforeLines="40" w:before="96" w:afterLines="40" w:after="96" w:line="240" w:lineRule="auto"/>
              <w:jc w:val="left"/>
              <w:rPr>
                <w:rFonts w:ascii="Arial" w:hAnsi="Arial" w:cs="Arial"/>
                <w:sz w:val="20"/>
                <w:szCs w:val="20"/>
              </w:rPr>
            </w:pPr>
            <w:proofErr w:type="spellStart"/>
            <w:r w:rsidRPr="006D2683">
              <w:rPr>
                <w:rFonts w:ascii="Arial" w:hAnsi="Arial" w:cs="Arial"/>
                <w:sz w:val="20"/>
                <w:szCs w:val="20"/>
              </w:rPr>
              <w:t>Adempas</w:t>
            </w:r>
            <w:proofErr w:type="spellEnd"/>
            <w:r w:rsidR="00252749" w:rsidRPr="006D2683">
              <w:rPr>
                <w:rFonts w:ascii="Arial" w:hAnsi="Arial" w:cs="Arial"/>
                <w:sz w:val="20"/>
                <w:szCs w:val="20"/>
                <w:vertAlign w:val="superscript"/>
              </w:rPr>
              <w:t>®</w:t>
            </w:r>
          </w:p>
        </w:tc>
        <w:tc>
          <w:tcPr>
            <w:tcW w:w="638" w:type="pct"/>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17 March 2017</w:t>
            </w:r>
          </w:p>
        </w:tc>
        <w:tc>
          <w:tcPr>
            <w:tcW w:w="3462" w:type="pct"/>
            <w:shd w:val="clear" w:color="auto" w:fill="auto"/>
            <w:vAlign w:val="center"/>
          </w:tcPr>
          <w:p w:rsidR="00236FB8" w:rsidRPr="006D2683" w:rsidRDefault="00236FB8" w:rsidP="00647D4E">
            <w:pPr>
              <w:spacing w:beforeLines="40" w:before="96" w:afterLines="40" w:after="96" w:line="240" w:lineRule="auto"/>
              <w:ind w:left="176"/>
              <w:jc w:val="left"/>
              <w:rPr>
                <w:rFonts w:ascii="Arial" w:hAnsi="Arial" w:cs="Arial"/>
                <w:i/>
                <w:sz w:val="20"/>
                <w:szCs w:val="20"/>
              </w:rPr>
            </w:pPr>
            <w:r w:rsidRPr="006D2683">
              <w:rPr>
                <w:rFonts w:ascii="Arial" w:hAnsi="Arial" w:cs="Arial"/>
                <w:i/>
                <w:sz w:val="20"/>
                <w:szCs w:val="20"/>
              </w:rPr>
              <w:t>Pulmonary arterial hypertension</w:t>
            </w:r>
          </w:p>
          <w:p w:rsidR="00236FB8" w:rsidRPr="006D2683" w:rsidRDefault="00060C26" w:rsidP="00647D4E">
            <w:pPr>
              <w:spacing w:beforeLines="40" w:before="96" w:afterLines="40" w:after="96" w:line="240" w:lineRule="auto"/>
              <w:ind w:left="176"/>
              <w:jc w:val="left"/>
              <w:rPr>
                <w:rFonts w:ascii="Arial" w:hAnsi="Arial" w:cs="Arial"/>
                <w:i/>
                <w:sz w:val="20"/>
                <w:szCs w:val="20"/>
              </w:rPr>
            </w:pPr>
            <w:proofErr w:type="spellStart"/>
            <w:r w:rsidRPr="006D2683">
              <w:rPr>
                <w:rFonts w:ascii="Arial" w:hAnsi="Arial" w:cs="Arial"/>
                <w:i/>
                <w:sz w:val="20"/>
                <w:szCs w:val="20"/>
              </w:rPr>
              <w:t>Adempas</w:t>
            </w:r>
            <w:proofErr w:type="spellEnd"/>
            <w:r w:rsidR="00252749" w:rsidRPr="006D2683">
              <w:rPr>
                <w:rFonts w:ascii="Arial" w:hAnsi="Arial" w:cs="Arial"/>
                <w:i/>
                <w:sz w:val="20"/>
                <w:szCs w:val="20"/>
                <w:vertAlign w:val="superscript"/>
              </w:rPr>
              <w:t>®</w:t>
            </w:r>
            <w:r w:rsidR="00236FB8" w:rsidRPr="006D2683">
              <w:rPr>
                <w:rFonts w:ascii="Arial" w:hAnsi="Arial" w:cs="Arial"/>
                <w:i/>
                <w:sz w:val="20"/>
                <w:szCs w:val="20"/>
              </w:rPr>
              <w:t>, as monotherapy or in combination with approved PAH treatments (endothelin receptor antagonists or inhaled or subcutaneous prostanoids), is indicated for the treatment of:</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idiopathic pulmonary arterial hypertension</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heritable pulmonary arterial hypertension</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pulmonary arterial hypertension associated with connective tissue diseases or</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pulmonary arterial hypertension associated with congenital heart disease</w:t>
            </w:r>
          </w:p>
          <w:p w:rsidR="00236FB8" w:rsidRPr="006D2683" w:rsidRDefault="00236FB8" w:rsidP="00647D4E">
            <w:pPr>
              <w:spacing w:beforeLines="40" w:before="96" w:afterLines="40" w:after="96" w:line="240" w:lineRule="auto"/>
              <w:ind w:left="176"/>
              <w:jc w:val="left"/>
              <w:rPr>
                <w:rFonts w:ascii="Arial" w:hAnsi="Arial" w:cs="Arial"/>
                <w:i/>
                <w:sz w:val="20"/>
                <w:szCs w:val="20"/>
              </w:rPr>
            </w:pPr>
            <w:r w:rsidRPr="006D2683">
              <w:rPr>
                <w:rFonts w:ascii="Arial" w:hAnsi="Arial" w:cs="Arial"/>
                <w:i/>
                <w:sz w:val="20"/>
                <w:szCs w:val="20"/>
              </w:rPr>
              <w:t xml:space="preserve">in adult patients with WHO functional Class II, </w:t>
            </w:r>
            <w:proofErr w:type="spellStart"/>
            <w:r w:rsidRPr="006D2683">
              <w:rPr>
                <w:rFonts w:ascii="Arial" w:hAnsi="Arial" w:cs="Arial"/>
                <w:i/>
                <w:sz w:val="20"/>
                <w:szCs w:val="20"/>
              </w:rPr>
              <w:t>lll</w:t>
            </w:r>
            <w:proofErr w:type="spellEnd"/>
            <w:r w:rsidRPr="006D2683">
              <w:rPr>
                <w:rFonts w:ascii="Arial" w:hAnsi="Arial" w:cs="Arial"/>
                <w:i/>
                <w:sz w:val="20"/>
                <w:szCs w:val="20"/>
              </w:rPr>
              <w:t xml:space="preserve"> or IV symptoms</w:t>
            </w:r>
          </w:p>
          <w:p w:rsidR="00236FB8" w:rsidRPr="006D2683" w:rsidRDefault="00236FB8" w:rsidP="00647D4E">
            <w:pPr>
              <w:spacing w:beforeLines="40" w:before="96" w:afterLines="40" w:after="96" w:line="240" w:lineRule="auto"/>
              <w:ind w:left="176"/>
              <w:jc w:val="left"/>
              <w:rPr>
                <w:rFonts w:ascii="Arial" w:hAnsi="Arial" w:cs="Arial"/>
                <w:i/>
                <w:color w:val="A6A6A6" w:themeColor="background1" w:themeShade="A6"/>
                <w:sz w:val="20"/>
                <w:szCs w:val="20"/>
              </w:rPr>
            </w:pPr>
            <w:r w:rsidRPr="006D2683">
              <w:rPr>
                <w:rFonts w:ascii="Arial" w:hAnsi="Arial" w:cs="Arial"/>
                <w:i/>
                <w:color w:val="A6A6A6" w:themeColor="background1" w:themeShade="A6"/>
                <w:sz w:val="20"/>
                <w:szCs w:val="20"/>
              </w:rPr>
              <w:t>Chronic thromboembolic pulmonary hypertension</w:t>
            </w:r>
          </w:p>
          <w:p w:rsidR="00236FB8" w:rsidRPr="006D2683" w:rsidRDefault="00060C26" w:rsidP="00647D4E">
            <w:pPr>
              <w:spacing w:beforeLines="40" w:before="96" w:afterLines="40" w:after="96" w:line="240" w:lineRule="auto"/>
              <w:ind w:left="176"/>
              <w:jc w:val="left"/>
              <w:rPr>
                <w:rFonts w:ascii="Arial" w:hAnsi="Arial" w:cs="Arial"/>
                <w:i/>
                <w:color w:val="A6A6A6" w:themeColor="background1" w:themeShade="A6"/>
                <w:sz w:val="20"/>
                <w:szCs w:val="20"/>
              </w:rPr>
            </w:pPr>
            <w:proofErr w:type="spellStart"/>
            <w:r w:rsidRPr="006D2683">
              <w:rPr>
                <w:rFonts w:ascii="Arial" w:hAnsi="Arial" w:cs="Arial"/>
                <w:i/>
                <w:color w:val="A6A6A6" w:themeColor="background1" w:themeShade="A6"/>
                <w:sz w:val="20"/>
                <w:szCs w:val="20"/>
              </w:rPr>
              <w:t>Adempas</w:t>
            </w:r>
            <w:proofErr w:type="spellEnd"/>
            <w:r w:rsidR="00252749" w:rsidRPr="006D2683">
              <w:rPr>
                <w:rFonts w:ascii="Arial" w:hAnsi="Arial" w:cs="Arial"/>
                <w:i/>
                <w:color w:val="A6A6A6" w:themeColor="background1" w:themeShade="A6"/>
                <w:sz w:val="20"/>
                <w:szCs w:val="20"/>
                <w:vertAlign w:val="superscript"/>
              </w:rPr>
              <w:t>®</w:t>
            </w:r>
            <w:r w:rsidR="00236FB8" w:rsidRPr="006D2683">
              <w:rPr>
                <w:rFonts w:ascii="Arial" w:hAnsi="Arial" w:cs="Arial"/>
                <w:i/>
                <w:color w:val="A6A6A6" w:themeColor="background1" w:themeShade="A6"/>
                <w:sz w:val="20"/>
                <w:szCs w:val="20"/>
              </w:rPr>
              <w:t xml:space="preserve"> is indicated for the treatment of:</w:t>
            </w:r>
          </w:p>
          <w:p w:rsidR="00236FB8" w:rsidRPr="006D2683" w:rsidRDefault="00236FB8" w:rsidP="00647D4E">
            <w:pPr>
              <w:spacing w:beforeLines="40" w:before="96" w:afterLines="40" w:after="96" w:line="240" w:lineRule="auto"/>
              <w:ind w:left="176"/>
              <w:jc w:val="left"/>
              <w:rPr>
                <w:rFonts w:ascii="Arial" w:hAnsi="Arial" w:cs="Arial"/>
                <w:i/>
                <w:color w:val="A6A6A6" w:themeColor="background1" w:themeShade="A6"/>
                <w:sz w:val="20"/>
                <w:szCs w:val="20"/>
              </w:rPr>
            </w:pPr>
            <w:r w:rsidRPr="006D2683">
              <w:rPr>
                <w:rFonts w:ascii="Arial" w:hAnsi="Arial" w:cs="Arial"/>
                <w:i/>
                <w:color w:val="A6A6A6" w:themeColor="background1" w:themeShade="A6"/>
                <w:sz w:val="20"/>
                <w:szCs w:val="20"/>
              </w:rPr>
              <w:t>• Persistent or recurrent chronic thromboembolic pulmonary hypertension (CTEPH) after surgical treatment or</w:t>
            </w:r>
          </w:p>
          <w:p w:rsidR="00236FB8" w:rsidRPr="006D2683" w:rsidRDefault="00236FB8" w:rsidP="00647D4E">
            <w:pPr>
              <w:spacing w:beforeLines="40" w:before="96" w:afterLines="40" w:after="96" w:line="240" w:lineRule="auto"/>
              <w:ind w:left="176"/>
              <w:jc w:val="left"/>
              <w:rPr>
                <w:rFonts w:ascii="Arial" w:hAnsi="Arial" w:cs="Arial"/>
                <w:i/>
                <w:color w:val="A6A6A6" w:themeColor="background1" w:themeShade="A6"/>
                <w:sz w:val="20"/>
                <w:szCs w:val="20"/>
              </w:rPr>
            </w:pPr>
            <w:r w:rsidRPr="006D2683">
              <w:rPr>
                <w:rFonts w:ascii="Arial" w:hAnsi="Arial" w:cs="Arial"/>
                <w:i/>
                <w:color w:val="A6A6A6" w:themeColor="background1" w:themeShade="A6"/>
                <w:sz w:val="20"/>
                <w:szCs w:val="20"/>
              </w:rPr>
              <w:t>• inoperable CTEPH</w:t>
            </w:r>
          </w:p>
          <w:p w:rsidR="00236FB8" w:rsidRPr="006D2683" w:rsidRDefault="00236FB8" w:rsidP="00647D4E">
            <w:pPr>
              <w:spacing w:beforeLines="40" w:before="96" w:afterLines="40" w:after="96" w:line="240" w:lineRule="auto"/>
              <w:ind w:left="176"/>
              <w:jc w:val="left"/>
              <w:rPr>
                <w:rFonts w:ascii="Arial" w:hAnsi="Arial" w:cs="Arial"/>
                <w:i/>
                <w:sz w:val="20"/>
                <w:szCs w:val="20"/>
              </w:rPr>
            </w:pPr>
            <w:r w:rsidRPr="006D2683">
              <w:rPr>
                <w:rFonts w:ascii="Arial" w:hAnsi="Arial" w:cs="Arial"/>
                <w:i/>
                <w:color w:val="A6A6A6" w:themeColor="background1" w:themeShade="A6"/>
                <w:sz w:val="20"/>
                <w:szCs w:val="20"/>
              </w:rPr>
              <w:t xml:space="preserve">in adult patients with WHO functional Class II, </w:t>
            </w:r>
            <w:proofErr w:type="spellStart"/>
            <w:r w:rsidRPr="006D2683">
              <w:rPr>
                <w:rFonts w:ascii="Arial" w:hAnsi="Arial" w:cs="Arial"/>
                <w:i/>
                <w:color w:val="A6A6A6" w:themeColor="background1" w:themeShade="A6"/>
                <w:sz w:val="20"/>
                <w:szCs w:val="20"/>
              </w:rPr>
              <w:t>lll</w:t>
            </w:r>
            <w:proofErr w:type="spellEnd"/>
            <w:r w:rsidRPr="006D2683">
              <w:rPr>
                <w:rFonts w:ascii="Arial" w:hAnsi="Arial" w:cs="Arial"/>
                <w:i/>
                <w:color w:val="A6A6A6" w:themeColor="background1" w:themeShade="A6"/>
                <w:sz w:val="20"/>
                <w:szCs w:val="20"/>
              </w:rPr>
              <w:t xml:space="preserve"> or IV symptoms</w:t>
            </w:r>
          </w:p>
        </w:tc>
      </w:tr>
      <w:tr w:rsidR="00236FB8" w:rsidRPr="00847CCD" w:rsidTr="006D2683">
        <w:tc>
          <w:tcPr>
            <w:tcW w:w="492" w:type="pct"/>
            <w:shd w:val="clear" w:color="auto" w:fill="auto"/>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Epoprostenol</w:t>
            </w:r>
          </w:p>
        </w:tc>
        <w:tc>
          <w:tcPr>
            <w:tcW w:w="408" w:type="pct"/>
          </w:tcPr>
          <w:p w:rsidR="00236FB8" w:rsidRPr="006D2683" w:rsidRDefault="00060C26"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Flolan</w:t>
            </w:r>
            <w:r w:rsidR="00252749" w:rsidRPr="006D2683">
              <w:rPr>
                <w:rFonts w:ascii="Arial" w:hAnsi="Arial" w:cs="Arial"/>
                <w:sz w:val="20"/>
                <w:szCs w:val="20"/>
                <w:vertAlign w:val="superscript"/>
              </w:rPr>
              <w:t>®</w:t>
            </w:r>
          </w:p>
        </w:tc>
        <w:tc>
          <w:tcPr>
            <w:tcW w:w="638" w:type="pct"/>
          </w:tcPr>
          <w:p w:rsidR="00236FB8" w:rsidRPr="006D2683" w:rsidRDefault="00236FB8" w:rsidP="006D2683">
            <w:pPr>
              <w:spacing w:beforeLines="40" w:before="96" w:afterLines="40" w:after="96" w:line="240" w:lineRule="auto"/>
              <w:jc w:val="left"/>
              <w:rPr>
                <w:rFonts w:ascii="Arial" w:hAnsi="Arial" w:cs="Arial"/>
                <w:sz w:val="20"/>
                <w:szCs w:val="20"/>
                <w:highlight w:val="yellow"/>
              </w:rPr>
            </w:pPr>
            <w:r w:rsidRPr="006D2683">
              <w:rPr>
                <w:rFonts w:ascii="Arial" w:hAnsi="Arial" w:cs="Arial"/>
                <w:sz w:val="20"/>
                <w:szCs w:val="20"/>
              </w:rPr>
              <w:t>3 February 2016</w:t>
            </w:r>
          </w:p>
        </w:tc>
        <w:tc>
          <w:tcPr>
            <w:tcW w:w="3462" w:type="pct"/>
            <w:shd w:val="clear" w:color="auto" w:fill="auto"/>
            <w:vAlign w:val="center"/>
          </w:tcPr>
          <w:p w:rsidR="00236FB8" w:rsidRPr="006D2683" w:rsidRDefault="00060C26" w:rsidP="00647D4E">
            <w:pPr>
              <w:spacing w:beforeLines="40" w:before="96" w:afterLines="40" w:after="96" w:line="240" w:lineRule="auto"/>
              <w:ind w:left="176"/>
              <w:jc w:val="left"/>
              <w:rPr>
                <w:rFonts w:ascii="Arial" w:hAnsi="Arial" w:cs="Arial"/>
                <w:i/>
                <w:sz w:val="20"/>
                <w:szCs w:val="20"/>
              </w:rPr>
            </w:pPr>
            <w:r w:rsidRPr="006D2683">
              <w:rPr>
                <w:rFonts w:ascii="Arial" w:hAnsi="Arial" w:cs="Arial"/>
                <w:i/>
                <w:sz w:val="20"/>
                <w:szCs w:val="20"/>
              </w:rPr>
              <w:t>FLOLAN</w:t>
            </w:r>
            <w:r w:rsidR="00252749" w:rsidRPr="006D2683">
              <w:rPr>
                <w:rFonts w:ascii="Arial" w:hAnsi="Arial" w:cs="Arial"/>
                <w:i/>
                <w:sz w:val="20"/>
                <w:szCs w:val="20"/>
                <w:vertAlign w:val="superscript"/>
              </w:rPr>
              <w:t>®</w:t>
            </w:r>
            <w:r w:rsidR="00236FB8" w:rsidRPr="006D2683">
              <w:rPr>
                <w:rFonts w:ascii="Arial" w:hAnsi="Arial" w:cs="Arial"/>
                <w:i/>
                <w:sz w:val="20"/>
                <w:szCs w:val="20"/>
              </w:rPr>
              <w:t xml:space="preserve"> is indicated for the long-term treatment, via continuous intravenous infusion, in WHO functional Class III or Class IV patients with:</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idiopathic pulmonary arterial hypertension</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r w:rsidRPr="006D2683">
              <w:rPr>
                <w:rFonts w:ascii="Arial" w:hAnsi="Arial" w:cs="Arial"/>
                <w:i/>
                <w:sz w:val="20"/>
                <w:szCs w:val="20"/>
              </w:rPr>
              <w:t>familial pulmonary arterial hypertension</w:t>
            </w:r>
          </w:p>
          <w:p w:rsidR="00236FB8" w:rsidRPr="006D2683" w:rsidRDefault="00236FB8" w:rsidP="00807704">
            <w:pPr>
              <w:pStyle w:val="ListParagraph"/>
              <w:numPr>
                <w:ilvl w:val="0"/>
                <w:numId w:val="13"/>
              </w:numPr>
              <w:spacing w:beforeLines="40" w:before="96" w:afterLines="40" w:after="96" w:line="240" w:lineRule="auto"/>
              <w:ind w:left="176" w:firstLine="0"/>
              <w:contextualSpacing w:val="0"/>
              <w:jc w:val="left"/>
              <w:rPr>
                <w:rFonts w:ascii="Arial" w:hAnsi="Arial" w:cs="Arial"/>
                <w:i/>
                <w:sz w:val="20"/>
                <w:szCs w:val="20"/>
              </w:rPr>
            </w:pPr>
            <w:proofErr w:type="gramStart"/>
            <w:r w:rsidRPr="006D2683">
              <w:rPr>
                <w:rFonts w:ascii="Arial" w:hAnsi="Arial" w:cs="Arial"/>
                <w:i/>
                <w:sz w:val="20"/>
                <w:szCs w:val="20"/>
              </w:rPr>
              <w:t>pulmonary</w:t>
            </w:r>
            <w:proofErr w:type="gramEnd"/>
            <w:r w:rsidRPr="006D2683">
              <w:rPr>
                <w:rFonts w:ascii="Arial" w:hAnsi="Arial" w:cs="Arial"/>
                <w:i/>
                <w:sz w:val="20"/>
                <w:szCs w:val="20"/>
              </w:rPr>
              <w:t xml:space="preserve"> arterial hypertension associated with the scleroderma spectrum of diseases.</w:t>
            </w:r>
          </w:p>
        </w:tc>
      </w:tr>
      <w:tr w:rsidR="00236FB8" w:rsidRPr="00847CCD" w:rsidTr="006D2683">
        <w:tc>
          <w:tcPr>
            <w:tcW w:w="492" w:type="pct"/>
            <w:shd w:val="clear" w:color="auto" w:fill="auto"/>
          </w:tcPr>
          <w:p w:rsidR="00236FB8" w:rsidRPr="006D2683" w:rsidRDefault="00236FB8" w:rsidP="006D2683">
            <w:pPr>
              <w:spacing w:beforeLines="40" w:before="96" w:afterLines="40" w:after="96" w:line="240" w:lineRule="auto"/>
              <w:jc w:val="left"/>
              <w:rPr>
                <w:rFonts w:ascii="Arial" w:hAnsi="Arial" w:cs="Arial"/>
                <w:sz w:val="20"/>
                <w:szCs w:val="20"/>
              </w:rPr>
            </w:pPr>
            <w:r w:rsidRPr="006D2683">
              <w:rPr>
                <w:rFonts w:ascii="Arial" w:hAnsi="Arial" w:cs="Arial"/>
                <w:sz w:val="20"/>
                <w:szCs w:val="20"/>
              </w:rPr>
              <w:t>Iloprost</w:t>
            </w:r>
          </w:p>
        </w:tc>
        <w:tc>
          <w:tcPr>
            <w:tcW w:w="408" w:type="pct"/>
          </w:tcPr>
          <w:p w:rsidR="00236FB8" w:rsidRPr="006D2683" w:rsidRDefault="00060C26" w:rsidP="006D2683">
            <w:pPr>
              <w:spacing w:beforeLines="40" w:before="96" w:afterLines="40" w:after="96" w:line="240" w:lineRule="auto"/>
              <w:jc w:val="left"/>
              <w:rPr>
                <w:rFonts w:ascii="Arial" w:hAnsi="Arial" w:cs="Arial"/>
                <w:i/>
                <w:sz w:val="20"/>
                <w:szCs w:val="20"/>
                <w:highlight w:val="yellow"/>
              </w:rPr>
            </w:pPr>
            <w:proofErr w:type="spellStart"/>
            <w:r w:rsidRPr="006D2683">
              <w:rPr>
                <w:rFonts w:ascii="Arial" w:hAnsi="Arial" w:cs="Arial"/>
                <w:sz w:val="20"/>
                <w:szCs w:val="20"/>
              </w:rPr>
              <w:t>Ventavis</w:t>
            </w:r>
            <w:proofErr w:type="spellEnd"/>
            <w:r w:rsidR="00252749" w:rsidRPr="006D2683">
              <w:rPr>
                <w:rFonts w:ascii="Arial" w:hAnsi="Arial" w:cs="Arial"/>
                <w:sz w:val="20"/>
                <w:szCs w:val="20"/>
                <w:vertAlign w:val="superscript"/>
              </w:rPr>
              <w:t>®</w:t>
            </w:r>
          </w:p>
        </w:tc>
        <w:tc>
          <w:tcPr>
            <w:tcW w:w="638" w:type="pct"/>
          </w:tcPr>
          <w:p w:rsidR="00236FB8" w:rsidRPr="006D2683" w:rsidRDefault="00236FB8" w:rsidP="006D2683">
            <w:pPr>
              <w:spacing w:beforeLines="40" w:before="96" w:afterLines="40" w:after="96" w:line="240" w:lineRule="auto"/>
              <w:jc w:val="left"/>
              <w:rPr>
                <w:rFonts w:ascii="Arial" w:hAnsi="Arial" w:cs="Arial"/>
                <w:sz w:val="20"/>
                <w:szCs w:val="20"/>
                <w:highlight w:val="yellow"/>
              </w:rPr>
            </w:pPr>
            <w:r w:rsidRPr="006D2683">
              <w:rPr>
                <w:rFonts w:ascii="Arial" w:hAnsi="Arial" w:cs="Arial"/>
                <w:sz w:val="20"/>
                <w:szCs w:val="20"/>
              </w:rPr>
              <w:t>16 June 2017</w:t>
            </w:r>
          </w:p>
        </w:tc>
        <w:tc>
          <w:tcPr>
            <w:tcW w:w="3462" w:type="pct"/>
            <w:shd w:val="clear" w:color="auto" w:fill="auto"/>
            <w:vAlign w:val="center"/>
          </w:tcPr>
          <w:p w:rsidR="00236FB8" w:rsidRPr="006D2683" w:rsidRDefault="00236FB8" w:rsidP="00647D4E">
            <w:pPr>
              <w:spacing w:beforeLines="40" w:before="96" w:afterLines="40" w:after="96" w:line="240" w:lineRule="auto"/>
              <w:ind w:left="176"/>
              <w:jc w:val="left"/>
              <w:rPr>
                <w:rFonts w:ascii="Arial" w:hAnsi="Arial" w:cs="Arial"/>
                <w:i/>
                <w:sz w:val="20"/>
                <w:szCs w:val="20"/>
                <w:highlight w:val="yellow"/>
              </w:rPr>
            </w:pPr>
            <w:r w:rsidRPr="006D2683">
              <w:rPr>
                <w:rFonts w:ascii="Arial" w:hAnsi="Arial" w:cs="Arial"/>
                <w:i/>
                <w:sz w:val="20"/>
                <w:szCs w:val="20"/>
              </w:rPr>
              <w:t>Treatment of patients with primary pulmonary hypertension or secondary pulmonary hypertension due to connective tissue disease or drug-induced, in moderate or severe stages of the disease. In addition, treatment of moderate or severe secondary pulmonary hypertension due to chronic pulmonary thromboembolism, where surgery is not possible.</w:t>
            </w:r>
          </w:p>
        </w:tc>
      </w:tr>
      <w:tr w:rsidR="00236FB8" w:rsidRPr="00847CCD" w:rsidTr="006D2683">
        <w:tc>
          <w:tcPr>
            <w:tcW w:w="492" w:type="pct"/>
            <w:shd w:val="clear" w:color="auto" w:fill="auto"/>
          </w:tcPr>
          <w:p w:rsidR="00236FB8" w:rsidRPr="006D2683" w:rsidRDefault="00F840D7" w:rsidP="006D2683">
            <w:pPr>
              <w:spacing w:beforeLines="40" w:before="96" w:afterLines="40" w:after="96" w:line="240" w:lineRule="auto"/>
              <w:jc w:val="left"/>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Selexipag</w:t>
            </w:r>
          </w:p>
        </w:tc>
        <w:tc>
          <w:tcPr>
            <w:tcW w:w="408" w:type="pct"/>
          </w:tcPr>
          <w:p w:rsidR="00236FB8" w:rsidRPr="006D2683" w:rsidRDefault="00236FB8" w:rsidP="006D2683">
            <w:pPr>
              <w:spacing w:beforeLines="40" w:before="96" w:afterLines="40" w:after="96" w:line="240" w:lineRule="auto"/>
              <w:jc w:val="left"/>
              <w:rPr>
                <w:rFonts w:ascii="Arial" w:hAnsi="Arial" w:cs="Arial"/>
                <w:i/>
                <w:color w:val="808080" w:themeColor="background1" w:themeShade="80"/>
                <w:sz w:val="20"/>
                <w:szCs w:val="20"/>
              </w:rPr>
            </w:pPr>
            <w:proofErr w:type="spellStart"/>
            <w:r w:rsidRPr="006D2683">
              <w:rPr>
                <w:rFonts w:ascii="Arial" w:hAnsi="Arial" w:cs="Arial"/>
                <w:i/>
                <w:color w:val="808080" w:themeColor="background1" w:themeShade="80"/>
                <w:sz w:val="20"/>
                <w:szCs w:val="20"/>
              </w:rPr>
              <w:t>Uptravi</w:t>
            </w:r>
            <w:proofErr w:type="spellEnd"/>
            <w:r w:rsidR="00252749" w:rsidRPr="006D2683">
              <w:rPr>
                <w:rFonts w:ascii="Arial" w:hAnsi="Arial" w:cs="Arial"/>
                <w:i/>
                <w:color w:val="808080" w:themeColor="background1" w:themeShade="80"/>
                <w:sz w:val="20"/>
                <w:szCs w:val="20"/>
                <w:vertAlign w:val="superscript"/>
              </w:rPr>
              <w:t>®</w:t>
            </w:r>
          </w:p>
        </w:tc>
        <w:tc>
          <w:tcPr>
            <w:tcW w:w="638" w:type="pct"/>
          </w:tcPr>
          <w:p w:rsidR="00236FB8" w:rsidRPr="006D2683" w:rsidRDefault="00236FB8" w:rsidP="006D2683">
            <w:pPr>
              <w:spacing w:beforeLines="40" w:before="96" w:afterLines="40" w:after="96" w:line="240" w:lineRule="auto"/>
              <w:jc w:val="left"/>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14 July 2016</w:t>
            </w:r>
          </w:p>
        </w:tc>
        <w:tc>
          <w:tcPr>
            <w:tcW w:w="3462" w:type="pct"/>
            <w:shd w:val="clear" w:color="auto" w:fill="auto"/>
            <w:vAlign w:val="center"/>
          </w:tcPr>
          <w:p w:rsidR="00236FB8" w:rsidRPr="006D2683" w:rsidRDefault="00236FB8" w:rsidP="00647D4E">
            <w:pPr>
              <w:spacing w:beforeLines="40" w:before="96" w:afterLines="40" w:after="96" w:line="240" w:lineRule="auto"/>
              <w:ind w:left="176"/>
              <w:jc w:val="left"/>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UPTRAVI</w:t>
            </w:r>
            <w:r w:rsidR="00252749" w:rsidRPr="006D2683">
              <w:rPr>
                <w:rFonts w:ascii="Arial" w:hAnsi="Arial" w:cs="Arial"/>
                <w:i/>
                <w:color w:val="808080" w:themeColor="background1" w:themeShade="80"/>
                <w:sz w:val="20"/>
                <w:szCs w:val="20"/>
                <w:vertAlign w:val="superscript"/>
              </w:rPr>
              <w:t>®</w:t>
            </w:r>
            <w:r w:rsidRPr="006D2683">
              <w:rPr>
                <w:rFonts w:ascii="Arial" w:hAnsi="Arial" w:cs="Arial"/>
                <w:i/>
                <w:color w:val="808080" w:themeColor="background1" w:themeShade="80"/>
                <w:sz w:val="20"/>
                <w:szCs w:val="20"/>
              </w:rPr>
              <w:t xml:space="preserve"> is indicated for the treatment of:</w:t>
            </w:r>
          </w:p>
          <w:p w:rsidR="00236FB8" w:rsidRPr="006D2683" w:rsidRDefault="00236FB8" w:rsidP="00647D4E">
            <w:pPr>
              <w:spacing w:beforeLines="40" w:before="96" w:afterLines="40" w:after="96" w:line="240" w:lineRule="auto"/>
              <w:ind w:left="176"/>
              <w:jc w:val="left"/>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idiopathic pulmonary arterial hypertension</w:t>
            </w:r>
          </w:p>
          <w:p w:rsidR="00236FB8" w:rsidRPr="006D2683" w:rsidRDefault="00236FB8" w:rsidP="00647D4E">
            <w:pPr>
              <w:spacing w:beforeLines="40" w:before="96" w:afterLines="40" w:after="96" w:line="240" w:lineRule="auto"/>
              <w:ind w:left="176"/>
              <w:jc w:val="left"/>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heritable pulmonary arterial hypertension</w:t>
            </w:r>
          </w:p>
          <w:p w:rsidR="00236FB8" w:rsidRPr="006D2683" w:rsidRDefault="00236FB8" w:rsidP="00647D4E">
            <w:pPr>
              <w:spacing w:beforeLines="40" w:before="96" w:afterLines="40" w:after="96" w:line="240" w:lineRule="auto"/>
              <w:ind w:left="176"/>
              <w:jc w:val="left"/>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pulmonary arterial hypertension associated with connective tissue disease</w:t>
            </w:r>
          </w:p>
          <w:p w:rsidR="00236FB8" w:rsidRPr="006D2683" w:rsidRDefault="00236FB8" w:rsidP="00647D4E">
            <w:pPr>
              <w:spacing w:beforeLines="40" w:before="96" w:afterLines="40" w:after="96" w:line="240" w:lineRule="auto"/>
              <w:ind w:left="176"/>
              <w:jc w:val="left"/>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pulmonary arterial hypertension associated with congenital heart disease with repaired shunts</w:t>
            </w:r>
          </w:p>
          <w:p w:rsidR="00236FB8" w:rsidRPr="006D2683" w:rsidRDefault="00236FB8" w:rsidP="00647D4E">
            <w:pPr>
              <w:spacing w:beforeLines="40" w:before="96" w:afterLines="40" w:after="96" w:line="240" w:lineRule="auto"/>
              <w:ind w:left="176"/>
              <w:jc w:val="left"/>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pulmonary arterial hypertension associated with drugs and toxins</w:t>
            </w:r>
          </w:p>
          <w:p w:rsidR="00236FB8" w:rsidRPr="006D2683" w:rsidRDefault="00236FB8" w:rsidP="00647D4E">
            <w:pPr>
              <w:spacing w:beforeLines="40" w:before="96" w:afterLines="40" w:after="96" w:line="240" w:lineRule="auto"/>
              <w:ind w:left="176"/>
              <w:jc w:val="left"/>
              <w:rPr>
                <w:rFonts w:ascii="Arial" w:hAnsi="Arial" w:cs="Arial"/>
                <w:i/>
                <w:color w:val="808080" w:themeColor="background1" w:themeShade="80"/>
                <w:sz w:val="20"/>
                <w:szCs w:val="20"/>
              </w:rPr>
            </w:pPr>
            <w:proofErr w:type="gramStart"/>
            <w:r w:rsidRPr="006D2683">
              <w:rPr>
                <w:rFonts w:ascii="Arial" w:hAnsi="Arial" w:cs="Arial"/>
                <w:i/>
                <w:color w:val="808080" w:themeColor="background1" w:themeShade="80"/>
                <w:sz w:val="20"/>
                <w:szCs w:val="20"/>
              </w:rPr>
              <w:t>in</w:t>
            </w:r>
            <w:proofErr w:type="gramEnd"/>
            <w:r w:rsidRPr="006D2683">
              <w:rPr>
                <w:rFonts w:ascii="Arial" w:hAnsi="Arial" w:cs="Arial"/>
                <w:i/>
                <w:color w:val="808080" w:themeColor="background1" w:themeShade="80"/>
                <w:sz w:val="20"/>
                <w:szCs w:val="20"/>
              </w:rPr>
              <w:t xml:space="preserve"> patients with WHO functional class II, III or IV symptoms.</w:t>
            </w:r>
          </w:p>
          <w:p w:rsidR="00236FB8" w:rsidRPr="006D2683" w:rsidRDefault="00236FB8" w:rsidP="00647D4E">
            <w:pPr>
              <w:spacing w:beforeLines="40" w:before="96" w:afterLines="40" w:after="96" w:line="240" w:lineRule="auto"/>
              <w:ind w:left="176"/>
              <w:jc w:val="left"/>
              <w:rPr>
                <w:rFonts w:ascii="Arial" w:hAnsi="Arial" w:cs="Arial"/>
                <w:i/>
                <w:color w:val="808080" w:themeColor="background1" w:themeShade="80"/>
                <w:sz w:val="20"/>
                <w:szCs w:val="20"/>
              </w:rPr>
            </w:pPr>
            <w:r w:rsidRPr="006D2683">
              <w:rPr>
                <w:rFonts w:ascii="Arial" w:hAnsi="Arial" w:cs="Arial"/>
                <w:i/>
                <w:color w:val="808080" w:themeColor="background1" w:themeShade="80"/>
                <w:sz w:val="20"/>
                <w:szCs w:val="20"/>
              </w:rPr>
              <w:t xml:space="preserve">Selexipag can be used in combination therapy in patients insufficiently controlled with an endothelin receptor antagonist (ERA) and/or a phosphodiesterase type </w:t>
            </w:r>
            <w:proofErr w:type="gramStart"/>
            <w:r w:rsidRPr="006D2683">
              <w:rPr>
                <w:rFonts w:ascii="Arial" w:hAnsi="Arial" w:cs="Arial"/>
                <w:i/>
                <w:color w:val="808080" w:themeColor="background1" w:themeShade="80"/>
                <w:sz w:val="20"/>
                <w:szCs w:val="20"/>
              </w:rPr>
              <w:t>5 (PDE 5) inhibitor,</w:t>
            </w:r>
            <w:proofErr w:type="gramEnd"/>
            <w:r w:rsidRPr="006D2683">
              <w:rPr>
                <w:rFonts w:ascii="Arial" w:hAnsi="Arial" w:cs="Arial"/>
                <w:i/>
                <w:color w:val="808080" w:themeColor="background1" w:themeShade="80"/>
                <w:sz w:val="20"/>
                <w:szCs w:val="20"/>
              </w:rPr>
              <w:t xml:space="preserve"> or as monotherapy in patients who are not candidates for these therapies.</w:t>
            </w:r>
          </w:p>
        </w:tc>
      </w:tr>
    </w:tbl>
    <w:p w:rsidR="00236FB8" w:rsidRPr="00236FB8" w:rsidRDefault="00236FB8" w:rsidP="00121658">
      <w:pPr>
        <w:pStyle w:val="Tablenote"/>
        <w:rPr>
          <w:rFonts w:ascii="Arial Narrow" w:hAnsi="Arial Narrow"/>
          <w:sz w:val="18"/>
        </w:rPr>
      </w:pPr>
      <w:r w:rsidRPr="00236FB8">
        <w:rPr>
          <w:rFonts w:ascii="Arial Narrow" w:hAnsi="Arial Narrow"/>
          <w:sz w:val="18"/>
        </w:rPr>
        <w:t>Source: Relevant product information documents</w:t>
      </w:r>
    </w:p>
    <w:p w:rsidR="00236FB8" w:rsidRDefault="00236FB8" w:rsidP="00121658">
      <w:pPr>
        <w:jc w:val="left"/>
        <w:rPr>
          <w:rFonts w:asciiTheme="minorHAnsi" w:hAnsiTheme="minorHAnsi"/>
        </w:rPr>
      </w:pPr>
    </w:p>
    <w:p w:rsidR="00236FB8" w:rsidRDefault="00236FB8" w:rsidP="00121658">
      <w:pPr>
        <w:jc w:val="left"/>
        <w:rPr>
          <w:rFonts w:asciiTheme="minorHAnsi" w:hAnsiTheme="minorHAnsi"/>
        </w:rPr>
        <w:sectPr w:rsidR="00236FB8" w:rsidSect="00C978EB">
          <w:footnotePr>
            <w:numFmt w:val="chicago"/>
          </w:footnotePr>
          <w:pgSz w:w="16838" w:h="11906" w:orient="landscape"/>
          <w:pgMar w:top="1440" w:right="1440" w:bottom="1440" w:left="1440" w:header="708" w:footer="708" w:gutter="0"/>
          <w:cols w:space="708"/>
          <w:titlePg/>
          <w:docGrid w:linePitch="360"/>
        </w:sectPr>
      </w:pPr>
    </w:p>
    <w:p w:rsidR="00670DB9" w:rsidRPr="00DA0A26" w:rsidRDefault="00670DB9" w:rsidP="00DE148E">
      <w:pPr>
        <w:pStyle w:val="BodyTextnospacebefore"/>
      </w:pPr>
      <w:bookmarkStart w:id="206" w:name="_Ref503787143"/>
      <w:bookmarkStart w:id="207" w:name="_Toc503800647"/>
      <w:bookmarkStart w:id="208" w:name="_Toc503811599"/>
      <w:r w:rsidRPr="00236FB8">
        <w:t xml:space="preserve">Further details from the current PI for each PAH </w:t>
      </w:r>
      <w:proofErr w:type="gramStart"/>
      <w:r>
        <w:t>medicine</w:t>
      </w:r>
      <w:r w:rsidRPr="00236FB8">
        <w:t xml:space="preserve"> relevant to this review are</w:t>
      </w:r>
      <w:proofErr w:type="gramEnd"/>
      <w:r w:rsidRPr="00236FB8">
        <w:t xml:space="preserve"> given </w:t>
      </w:r>
      <w:r w:rsidRPr="00DA0A26">
        <w:t>in the Appendices:</w:t>
      </w:r>
    </w:p>
    <w:p w:rsidR="00670DB9" w:rsidRPr="00DA0A26" w:rsidRDefault="00670DB9" w:rsidP="00921D13">
      <w:pPr>
        <w:pStyle w:val="08Bulletsseriesofsentences"/>
      </w:pPr>
      <w:r w:rsidRPr="00DA0A26">
        <w:t xml:space="preserve">Statements regarding use in combination with other </w:t>
      </w:r>
      <w:r>
        <w:t>PAH medicines</w:t>
      </w:r>
      <w:r w:rsidRPr="00DA0A26">
        <w:t>, whether they be registered indications, warnings or contraindications</w:t>
      </w:r>
      <w:r>
        <w:t>:</w:t>
      </w:r>
      <w:r w:rsidR="00F275ED">
        <w:t xml:space="preserve"> </w:t>
      </w:r>
      <w:r w:rsidR="00D63371">
        <w:t xml:space="preserve">Appendix </w:t>
      </w:r>
      <w:proofErr w:type="gramStart"/>
      <w:r w:rsidR="00D63371">
        <w:rPr>
          <w:noProof/>
        </w:rPr>
        <w:t>1.</w:t>
      </w:r>
      <w:r>
        <w:t>,</w:t>
      </w:r>
      <w:proofErr w:type="gramEnd"/>
      <w:r w:rsidR="00F275ED">
        <w:t xml:space="preserve"> </w:t>
      </w:r>
      <w:r w:rsidR="00D63371" w:rsidRPr="00D63371">
        <w:t>Table 1.20</w:t>
      </w:r>
      <w:r w:rsidR="00433046">
        <w:t>.</w:t>
      </w:r>
    </w:p>
    <w:p w:rsidR="00670DB9" w:rsidRPr="00DA0A26" w:rsidRDefault="00670DB9" w:rsidP="00921D13">
      <w:pPr>
        <w:pStyle w:val="08Bulletsseriesofsentences"/>
      </w:pPr>
      <w:r w:rsidRPr="00DA0A26">
        <w:t>Statements regarding use to treat children</w:t>
      </w:r>
      <w:r>
        <w:t>:</w:t>
      </w:r>
      <w:r w:rsidR="00F275ED">
        <w:t xml:space="preserve"> </w:t>
      </w:r>
      <w:r w:rsidR="00D63371">
        <w:t xml:space="preserve">Appendix </w:t>
      </w:r>
      <w:proofErr w:type="gramStart"/>
      <w:r w:rsidR="00D63371">
        <w:rPr>
          <w:noProof/>
        </w:rPr>
        <w:t>1.</w:t>
      </w:r>
      <w:r>
        <w:t>,</w:t>
      </w:r>
      <w:proofErr w:type="gramEnd"/>
      <w:r w:rsidRPr="00DA0A26">
        <w:t xml:space="preserve"> </w:t>
      </w:r>
      <w:r w:rsidR="00D63371" w:rsidRPr="002D2A0A">
        <w:rPr>
          <w:rFonts w:cs="Arial"/>
        </w:rPr>
        <w:t>Table 1.</w:t>
      </w:r>
      <w:r w:rsidR="00D63371">
        <w:rPr>
          <w:rFonts w:cs="Arial"/>
          <w:noProof/>
        </w:rPr>
        <w:t>21</w:t>
      </w:r>
      <w:r w:rsidR="00D63371" w:rsidRPr="002D2A0A">
        <w:rPr>
          <w:rFonts w:cs="Arial"/>
        </w:rPr>
        <w:t>Table 1.</w:t>
      </w:r>
      <w:r w:rsidR="00D63371">
        <w:rPr>
          <w:rFonts w:cs="Arial"/>
        </w:rPr>
        <w:t>21</w:t>
      </w:r>
      <w:r w:rsidR="00433046">
        <w:t>.</w:t>
      </w:r>
    </w:p>
    <w:p w:rsidR="00670DB9" w:rsidRPr="00236FB8" w:rsidRDefault="00670DB9" w:rsidP="00DE148E">
      <w:pPr>
        <w:pStyle w:val="BodyTextnospacebefore"/>
      </w:pPr>
      <w:r w:rsidRPr="00236FB8">
        <w:t xml:space="preserve">Information from the PI relevant to the key issues for this review is summarised in the following sections, also highlighting any key issues that appear in the corresponding product information for these </w:t>
      </w:r>
      <w:r w:rsidR="00433046">
        <w:t>medicines in Europe or the USA.</w:t>
      </w:r>
    </w:p>
    <w:p w:rsidR="00670DB9" w:rsidRDefault="00670DB9" w:rsidP="00DE148E">
      <w:pPr>
        <w:pStyle w:val="BodyTextnospacebefore"/>
      </w:pPr>
      <w:r w:rsidRPr="00236FB8">
        <w:t xml:space="preserve">All </w:t>
      </w:r>
      <w:r>
        <w:t>PAH medicines</w:t>
      </w:r>
      <w:r w:rsidRPr="00236FB8">
        <w:t xml:space="preserve"> currently listed on the PBS are ARTG registered for treatment of patients with WHO FC II PAH, except epoprostenol and iloprost (Class III and IV only). The </w:t>
      </w:r>
      <w:r>
        <w:t>PDE</w:t>
      </w:r>
      <w:r>
        <w:noBreakHyphen/>
        <w:t>5</w:t>
      </w:r>
      <w:r w:rsidRPr="00236FB8">
        <w:t xml:space="preserve"> inhibitors are only approved to treat Class II and III</w:t>
      </w:r>
      <w:r>
        <w:t xml:space="preserve">. </w:t>
      </w:r>
      <w:r w:rsidRPr="00236FB8">
        <w:t xml:space="preserve">The other oral </w:t>
      </w:r>
      <w:r>
        <w:t>medicine</w:t>
      </w:r>
      <w:r w:rsidRPr="00236FB8">
        <w:t>s are approved for classes II, III and IV.</w:t>
      </w:r>
      <w:r>
        <w:t xml:space="preserve"> </w:t>
      </w:r>
      <w:r w:rsidRPr="00236FB8">
        <w:t>T</w:t>
      </w:r>
      <w:r>
        <w:t xml:space="preserve">he registered indication for </w:t>
      </w:r>
      <w:r w:rsidR="00F275ED">
        <w:t>il</w:t>
      </w:r>
      <w:r w:rsidR="00F275ED" w:rsidRPr="00236FB8">
        <w:t>oprost</w:t>
      </w:r>
      <w:r>
        <w:t xml:space="preserve"> </w:t>
      </w:r>
      <w:r w:rsidRPr="00236FB8">
        <w:t>makes no reference to WHO Functional Class but refers instead to moderate or severe disease</w:t>
      </w:r>
      <w:r>
        <w:t xml:space="preserve">. </w:t>
      </w:r>
      <w:r w:rsidRPr="00236FB8">
        <w:t>This is assumed to correspond more or less to Class III or Class IV PAH</w:t>
      </w:r>
      <w:r>
        <w:t>.</w:t>
      </w:r>
    </w:p>
    <w:p w:rsidR="0045766E" w:rsidRPr="00DE148E" w:rsidRDefault="0045766E" w:rsidP="00DE148E">
      <w:pPr>
        <w:pStyle w:val="BodyTextnospacebefore"/>
        <w:rPr>
          <w:b/>
        </w:rPr>
      </w:pPr>
      <w:r w:rsidRPr="00DE148E">
        <w:rPr>
          <w:b/>
        </w:rPr>
        <w:t>Calcium Channel Blockers for PAH</w:t>
      </w:r>
    </w:p>
    <w:p w:rsidR="004F0200" w:rsidRDefault="0045766E" w:rsidP="00DE148E">
      <w:pPr>
        <w:pStyle w:val="BodyTextnospacebefore"/>
      </w:pPr>
      <w:r w:rsidRPr="0045766E">
        <w:t xml:space="preserve">None of the CCBs registered on the ARTG are approved for treatment of PAH. Diltiazem, </w:t>
      </w:r>
      <w:proofErr w:type="spellStart"/>
      <w:r w:rsidR="00826896" w:rsidRPr="0045766E">
        <w:t>nifedipine</w:t>
      </w:r>
      <w:proofErr w:type="spellEnd"/>
      <w:r w:rsidR="00826896" w:rsidRPr="0045766E">
        <w:t xml:space="preserve"> </w:t>
      </w:r>
      <w:r w:rsidRPr="0045766E">
        <w:t xml:space="preserve">and </w:t>
      </w:r>
      <w:r w:rsidR="00826896" w:rsidRPr="0045766E">
        <w:t xml:space="preserve">amlodipine </w:t>
      </w:r>
      <w:r w:rsidRPr="0045766E">
        <w:t xml:space="preserve">are registered for systemic hypertension and stable angina. Use of high dose CCBs in PAH patients is off-label, although this clinical practice has occurred since at least the early 1990s given the absence of targeted </w:t>
      </w:r>
      <w:r w:rsidR="00F95235">
        <w:t>PAH medicines</w:t>
      </w:r>
      <w:r w:rsidRPr="0045766E">
        <w:t xml:space="preserve"> at the time. The situation is the same in overseas markets. </w:t>
      </w:r>
      <w:r w:rsidR="004F0200" w:rsidRPr="0045766E">
        <w:t xml:space="preserve">The Australian PIs for CCBs do not mention treatment of PAH patients, in particular the high dose regimens recommended for PAH treatment or adverse events associated </w:t>
      </w:r>
      <w:r w:rsidR="00433046">
        <w:t>with it.</w:t>
      </w:r>
    </w:p>
    <w:p w:rsidR="0045766E" w:rsidRPr="0045766E" w:rsidRDefault="004F0200" w:rsidP="00DE148E">
      <w:pPr>
        <w:pStyle w:val="BodyTextnospacebefore"/>
      </w:pPr>
      <w:r>
        <w:t>PAH guideline dose recommendations and safety warnings</w:t>
      </w:r>
      <w:r w:rsidR="00302755">
        <w:t xml:space="preserve"> for high dose CCB therapy</w:t>
      </w:r>
      <w:r>
        <w:t xml:space="preserve"> are in </w:t>
      </w:r>
      <w:r w:rsidR="00D63371">
        <w:t>Table 1.8</w:t>
      </w:r>
      <w:r w:rsidR="00D63371" w:rsidRPr="00250EDE">
        <w:t xml:space="preserve"> </w:t>
      </w:r>
      <w:r w:rsidR="00D63371">
        <w:tab/>
        <w:t>Guideline recommendations regarding high dose CCBs</w:t>
      </w:r>
      <w:r w:rsidR="00433046">
        <w:t>.</w:t>
      </w:r>
    </w:p>
    <w:p w:rsidR="00236FB8" w:rsidRPr="00DE148E" w:rsidRDefault="000A0384" w:rsidP="00DE148E">
      <w:pPr>
        <w:pStyle w:val="BodyTextnospacebefore"/>
        <w:rPr>
          <w:b/>
        </w:rPr>
      </w:pPr>
      <w:bookmarkStart w:id="209" w:name="_Ref505888025"/>
      <w:bookmarkStart w:id="210" w:name="PI"/>
      <w:r w:rsidRPr="00DE148E">
        <w:rPr>
          <w:b/>
        </w:rPr>
        <w:t>Information in the PI regarding c</w:t>
      </w:r>
      <w:r w:rsidR="00236FB8" w:rsidRPr="00DE148E">
        <w:rPr>
          <w:b/>
        </w:rPr>
        <w:t>ombination use of PAH medicines</w:t>
      </w:r>
      <w:bookmarkEnd w:id="206"/>
      <w:bookmarkEnd w:id="207"/>
      <w:bookmarkEnd w:id="208"/>
      <w:bookmarkEnd w:id="209"/>
    </w:p>
    <w:bookmarkEnd w:id="210"/>
    <w:p w:rsidR="004B69E5" w:rsidRDefault="004B69E5" w:rsidP="00DE148E">
      <w:pPr>
        <w:pStyle w:val="BodyTextnospacebefore"/>
      </w:pPr>
      <w:r w:rsidRPr="004B69E5">
        <w:t xml:space="preserve">PI statements regarding use in combination with other </w:t>
      </w:r>
      <w:r w:rsidR="00F95235">
        <w:t>PAH medicines</w:t>
      </w:r>
      <w:r w:rsidRPr="004B69E5">
        <w:t xml:space="preserve">, </w:t>
      </w:r>
      <w:r w:rsidR="004F0200">
        <w:t xml:space="preserve">including </w:t>
      </w:r>
      <w:r w:rsidRPr="004B69E5">
        <w:t xml:space="preserve">registered indications, warnings </w:t>
      </w:r>
      <w:r w:rsidR="004F0200">
        <w:t>and</w:t>
      </w:r>
      <w:r w:rsidRPr="004B69E5">
        <w:t xml:space="preserve"> contraindications, are presented in</w:t>
      </w:r>
      <w:r w:rsidR="00F275ED">
        <w:t xml:space="preserve"> </w:t>
      </w:r>
      <w:r w:rsidR="00D63371">
        <w:t xml:space="preserve">Appendix </w:t>
      </w:r>
      <w:proofErr w:type="gramStart"/>
      <w:r w:rsidR="00D63371">
        <w:rPr>
          <w:noProof/>
        </w:rPr>
        <w:t>1.</w:t>
      </w:r>
      <w:r w:rsidR="00B44F17">
        <w:t>,</w:t>
      </w:r>
      <w:proofErr w:type="gramEnd"/>
      <w:r w:rsidR="00F275ED">
        <w:t xml:space="preserve"> </w:t>
      </w:r>
      <w:r w:rsidR="00D63371" w:rsidRPr="002D2A0A">
        <w:rPr>
          <w:rFonts w:cs="Arial"/>
        </w:rPr>
        <w:t>Table 1.</w:t>
      </w:r>
      <w:r w:rsidR="00D63371">
        <w:rPr>
          <w:rFonts w:cs="Arial"/>
          <w:noProof/>
        </w:rPr>
        <w:t>20</w:t>
      </w:r>
      <w:r w:rsidR="003D4C66">
        <w:t>.</w:t>
      </w:r>
    </w:p>
    <w:p w:rsidR="00236FB8" w:rsidRPr="00236FB8" w:rsidRDefault="00236FB8" w:rsidP="00DE148E">
      <w:pPr>
        <w:pStyle w:val="BodyTextnospacebefore"/>
      </w:pPr>
      <w:r w:rsidRPr="00236FB8">
        <w:t>Three PAH medicines are approved in Australia for add-on or combination use:</w:t>
      </w:r>
    </w:p>
    <w:p w:rsidR="00236FB8" w:rsidRPr="00236FB8" w:rsidRDefault="00433046" w:rsidP="00921D13">
      <w:pPr>
        <w:pStyle w:val="08Bulletsseriesofsentences"/>
      </w:pPr>
      <w:r>
        <w:t>Ambrisentan + tadalafil</w:t>
      </w:r>
    </w:p>
    <w:p w:rsidR="00236FB8" w:rsidRPr="00236FB8" w:rsidRDefault="00236FB8" w:rsidP="00921D13">
      <w:pPr>
        <w:pStyle w:val="08Bulletsseriesofsentences"/>
      </w:pPr>
      <w:r w:rsidRPr="00236FB8">
        <w:t>Macitentan +</w:t>
      </w:r>
      <w:r w:rsidR="00AF191D">
        <w:t>PDE</w:t>
      </w:r>
      <w:r w:rsidR="00AF191D">
        <w:noBreakHyphen/>
        <w:t>5</w:t>
      </w:r>
      <w:r w:rsidRPr="00236FB8">
        <w:t xml:space="preserve"> inh</w:t>
      </w:r>
      <w:r w:rsidR="00433046">
        <w:t>ibitors or inhaled prostanoids</w:t>
      </w:r>
    </w:p>
    <w:p w:rsidR="00236FB8" w:rsidRPr="00236FB8" w:rsidRDefault="00236FB8" w:rsidP="00921D13">
      <w:pPr>
        <w:pStyle w:val="08Bulletsseriesofsentences"/>
      </w:pPr>
      <w:r w:rsidRPr="00236FB8">
        <w:t>Riociguat +ERAs or inhaled or subcutaneous prostanoids</w:t>
      </w:r>
      <w:r w:rsidR="00433046">
        <w:t>.</w:t>
      </w:r>
    </w:p>
    <w:p w:rsidR="00236FB8" w:rsidRPr="00236FB8" w:rsidRDefault="00236FB8" w:rsidP="00DE148E">
      <w:pPr>
        <w:pStyle w:val="BodyTextnospacebefore"/>
      </w:pPr>
      <w:r w:rsidRPr="00236FB8">
        <w:t>Use in combination with tadalafil is a registered indication for ambrisentan and this is reflected in support</w:t>
      </w:r>
      <w:r w:rsidR="004B69E5">
        <w:t>ing information in the PI. T</w:t>
      </w:r>
      <w:r w:rsidRPr="00236FB8">
        <w:t xml:space="preserve">he PI for tadalafil is silent on this particular combination and makes </w:t>
      </w:r>
      <w:r w:rsidR="004B69E5">
        <w:t>no mention of ambrisentan</w:t>
      </w:r>
      <w:r w:rsidR="009301E0">
        <w:t>.</w:t>
      </w:r>
    </w:p>
    <w:p w:rsidR="00236FB8" w:rsidRPr="00236FB8" w:rsidRDefault="00236FB8" w:rsidP="00DE148E">
      <w:pPr>
        <w:pStyle w:val="BodyTextnospacebefore"/>
      </w:pPr>
      <w:r w:rsidRPr="00236FB8">
        <w:t xml:space="preserve">The PIs of </w:t>
      </w:r>
      <w:r w:rsidR="00F95235">
        <w:t>PAH medicines</w:t>
      </w:r>
      <w:r w:rsidRPr="00236FB8">
        <w:t xml:space="preserve"> contain several warnings and contraindications regarding certain combinations:</w:t>
      </w:r>
    </w:p>
    <w:p w:rsidR="00236FB8" w:rsidRPr="00236FB8" w:rsidRDefault="00236FB8" w:rsidP="00921D13">
      <w:pPr>
        <w:pStyle w:val="08Bulletsseriesofsentences"/>
      </w:pPr>
      <w:r w:rsidRPr="00236FB8">
        <w:t xml:space="preserve">Contraindication: Riociguat + PDE5 inhibitors (tadalafil; sildenafil), due to high risk of hypotensive effects, especially syncope, and lack </w:t>
      </w:r>
      <w:r w:rsidR="009301E0">
        <w:t>of incremental clinical benefit.</w:t>
      </w:r>
    </w:p>
    <w:p w:rsidR="00236FB8" w:rsidRPr="00236FB8" w:rsidRDefault="00236FB8" w:rsidP="00921D13">
      <w:pPr>
        <w:pStyle w:val="08Bulletsseriesofsentences"/>
      </w:pPr>
      <w:r w:rsidRPr="00236FB8">
        <w:t>Precaution: Bosentan + sildenafil, due to the altered pharmacokinetics of both drugs when co-administered.</w:t>
      </w:r>
    </w:p>
    <w:p w:rsidR="00236FB8" w:rsidRPr="00236FB8" w:rsidRDefault="00236FB8" w:rsidP="00DE148E">
      <w:pPr>
        <w:pStyle w:val="BodyTextnospacebefore"/>
      </w:pPr>
      <w:r w:rsidRPr="00236FB8">
        <w:t>Riociguat is contraindicated for co-administration with both sildenafil and tadalafil as it may lead to symptomatic hypot</w:t>
      </w:r>
      <w:r w:rsidR="004B69E5">
        <w:t>ension including syncope. T</w:t>
      </w:r>
      <w:r w:rsidRPr="00236FB8">
        <w:t>his is a contraindication not merely a precaution</w:t>
      </w:r>
      <w:r w:rsidR="00524771">
        <w:t>. The PI states this</w:t>
      </w:r>
      <w:r w:rsidR="00B92C85">
        <w:t xml:space="preserve"> is</w:t>
      </w:r>
      <w:r w:rsidRPr="00236FB8">
        <w:t xml:space="preserve"> due to: (1) the high rate of discontinuations due to hypotension in patients receiving this combination, along with; (2) the lack of evidence for any clinical benefit compared with monotherapy (sildenafil).</w:t>
      </w:r>
    </w:p>
    <w:p w:rsidR="00236FB8" w:rsidRPr="00236FB8" w:rsidRDefault="00236FB8" w:rsidP="00DE148E">
      <w:pPr>
        <w:pStyle w:val="BodyTextnospacebefore"/>
      </w:pPr>
      <w:r w:rsidRPr="00236FB8">
        <w:t>The approved indications for macitentan and riociguat refer to use in combination with inhaled and/ or subcutaneous prostanoids, specified by their route of administration</w:t>
      </w:r>
      <w:r w:rsidR="00C6734D">
        <w:t xml:space="preserve">. </w:t>
      </w:r>
      <w:r w:rsidRPr="00236FB8">
        <w:t>Only one inhaled prostanoid is available in Australia (iloprost), a</w:t>
      </w:r>
      <w:r w:rsidR="009301E0">
        <w:t>nd no subcutaneous prostanoids.</w:t>
      </w:r>
    </w:p>
    <w:p w:rsidR="00236FB8" w:rsidRPr="00236FB8" w:rsidRDefault="00236FB8" w:rsidP="00DE148E">
      <w:pPr>
        <w:pStyle w:val="BodyTextnospacebefore"/>
      </w:pPr>
      <w:r w:rsidRPr="00236FB8">
        <w:t>The two prostanoids and riociguat each involve a dose initiation phase, with monitoring for adverse effects / haemodynamic variables and dose titration accordingly</w:t>
      </w:r>
      <w:r w:rsidR="00C6734D">
        <w:t xml:space="preserve">. </w:t>
      </w:r>
      <w:r w:rsidRPr="00236FB8">
        <w:t xml:space="preserve">In principle, patients should be stabilised on one agent first before commencing with dosing of the second. </w:t>
      </w:r>
      <w:r w:rsidR="004F0200">
        <w:t>A</w:t>
      </w:r>
      <w:r w:rsidR="009B4C9C" w:rsidRPr="009B4C9C">
        <w:t xml:space="preserve"> 2017 report by Strange </w:t>
      </w:r>
      <w:proofErr w:type="gramStart"/>
      <w:r w:rsidR="009B4C9C" w:rsidRPr="00302755">
        <w:rPr>
          <w:i/>
        </w:rPr>
        <w:t>et</w:t>
      </w:r>
      <w:proofErr w:type="gramEnd"/>
      <w:r w:rsidR="009B4C9C" w:rsidRPr="00302755">
        <w:rPr>
          <w:i/>
        </w:rPr>
        <w:t xml:space="preserve"> al</w:t>
      </w:r>
      <w:r w:rsidR="009C556B" w:rsidRPr="009C556B">
        <w:rPr>
          <w:noProof/>
          <w:vertAlign w:val="superscript"/>
          <w:lang w:eastAsia="en-AU"/>
        </w:rPr>
        <w:t>14</w:t>
      </w:r>
      <w:r w:rsidR="004F0200">
        <w:t xml:space="preserve"> defined</w:t>
      </w:r>
      <w:r w:rsidR="009B4C9C" w:rsidRPr="009B4C9C">
        <w:t xml:space="preserve"> initiation of two PAH medicines within 30 days as initial</w:t>
      </w:r>
      <w:r w:rsidR="009B4C9C">
        <w:t xml:space="preserve"> combination therapy</w:t>
      </w:r>
      <w:r w:rsidR="004F0200">
        <w:t xml:space="preserve"> though it is unknown if</w:t>
      </w:r>
      <w:r w:rsidR="009B4C9C">
        <w:t xml:space="preserve"> this is representative of current clinical practice in Australia</w:t>
      </w:r>
      <w:r w:rsidR="009301E0">
        <w:t>.</w:t>
      </w:r>
    </w:p>
    <w:p w:rsidR="00236FB8" w:rsidRPr="00DE148E" w:rsidRDefault="00236FB8" w:rsidP="00121658">
      <w:pPr>
        <w:pStyle w:val="Heading5"/>
        <w:jc w:val="left"/>
        <w:rPr>
          <w:rFonts w:asciiTheme="minorHAnsi" w:hAnsiTheme="minorHAnsi"/>
        </w:rPr>
      </w:pPr>
      <w:r w:rsidRPr="00DE148E">
        <w:rPr>
          <w:rFonts w:asciiTheme="minorHAnsi" w:hAnsiTheme="minorHAnsi"/>
        </w:rPr>
        <w:t xml:space="preserve">Drug interactions between ERAs and </w:t>
      </w:r>
      <w:r w:rsidR="00AF191D" w:rsidRPr="00DE148E">
        <w:rPr>
          <w:rFonts w:asciiTheme="minorHAnsi" w:hAnsiTheme="minorHAnsi"/>
        </w:rPr>
        <w:t>PDE</w:t>
      </w:r>
      <w:r w:rsidR="00AF191D" w:rsidRPr="00DE148E">
        <w:rPr>
          <w:rFonts w:asciiTheme="minorHAnsi" w:hAnsiTheme="minorHAnsi"/>
        </w:rPr>
        <w:noBreakHyphen/>
        <w:t>5</w:t>
      </w:r>
      <w:r w:rsidRPr="00DE148E">
        <w:rPr>
          <w:rFonts w:asciiTheme="minorHAnsi" w:hAnsiTheme="minorHAnsi"/>
        </w:rPr>
        <w:t xml:space="preserve"> inhibitors</w:t>
      </w:r>
    </w:p>
    <w:p w:rsidR="00236FB8" w:rsidRPr="00236FB8" w:rsidRDefault="00236FB8" w:rsidP="00DE148E">
      <w:pPr>
        <w:pStyle w:val="BodyTextnospacebefore"/>
      </w:pPr>
      <w:r w:rsidRPr="00236FB8">
        <w:t xml:space="preserve">Both ambrisentan and macitentan are approved for use with one or more </w:t>
      </w:r>
      <w:r w:rsidR="00AF191D">
        <w:t>PDE</w:t>
      </w:r>
      <w:r w:rsidR="00AF191D">
        <w:noBreakHyphen/>
        <w:t>5</w:t>
      </w:r>
      <w:r w:rsidRPr="00236FB8">
        <w:t xml:space="preserve"> inhibitors</w:t>
      </w:r>
      <w:r w:rsidR="00C6734D">
        <w:t xml:space="preserve">. </w:t>
      </w:r>
      <w:r w:rsidR="004F0200">
        <w:t>Bosentan</w:t>
      </w:r>
      <w:r w:rsidRPr="00236FB8">
        <w:t xml:space="preserve"> is not approved in Aus</w:t>
      </w:r>
      <w:r w:rsidR="009301E0">
        <w:t>tralia for any combination use.</w:t>
      </w:r>
    </w:p>
    <w:p w:rsidR="00236FB8" w:rsidRPr="00236FB8" w:rsidRDefault="00236FB8" w:rsidP="00DE148E">
      <w:pPr>
        <w:pStyle w:val="BodyTextnospacebefore"/>
      </w:pPr>
      <w:r w:rsidRPr="00236FB8">
        <w:t>Bosentan has been shown to interact with sildenafil, altering the pharmacokinetics of both molecules</w:t>
      </w:r>
      <w:r w:rsidR="009C556B" w:rsidRPr="009C556B">
        <w:rPr>
          <w:noProof/>
          <w:vertAlign w:val="superscript"/>
        </w:rPr>
        <w:t>35</w:t>
      </w:r>
      <w:r w:rsidR="00C6734D">
        <w:t xml:space="preserve">. </w:t>
      </w:r>
      <w:r w:rsidRPr="00236FB8">
        <w:t>A study in healthy volunteers resulted in a 63% decrease in sildenafil AUC and a 50% increase in bosentan AUC</w:t>
      </w:r>
      <w:r w:rsidR="00C6734D">
        <w:t xml:space="preserve">. </w:t>
      </w:r>
      <w:r w:rsidRPr="00236FB8">
        <w:t xml:space="preserve">In effect, without dose adjustment patients are overdosed on bosentan (which could result in increased side effects especially to do with </w:t>
      </w:r>
      <w:r w:rsidR="00A71B36">
        <w:t xml:space="preserve">bleeding or </w:t>
      </w:r>
      <w:r w:rsidRPr="00236FB8">
        <w:t xml:space="preserve">hepatotoxicity) but </w:t>
      </w:r>
      <w:proofErr w:type="spellStart"/>
      <w:r w:rsidRPr="00236FB8">
        <w:t>underdosed</w:t>
      </w:r>
      <w:proofErr w:type="spellEnd"/>
      <w:r w:rsidRPr="00236FB8">
        <w:t xml:space="preserve"> with sildenafil (potentially resulting in a less-than-clinically effective dose)</w:t>
      </w:r>
      <w:r w:rsidR="009301E0">
        <w:t>.</w:t>
      </w:r>
    </w:p>
    <w:p w:rsidR="00236FB8" w:rsidRPr="00236FB8" w:rsidRDefault="00236FB8" w:rsidP="00DE148E">
      <w:pPr>
        <w:pStyle w:val="BodyTextnospacebefore"/>
      </w:pPr>
      <w:r w:rsidRPr="00236FB8">
        <w:t xml:space="preserve">These PK effects have been observed in other studies of patients (for example Paul </w:t>
      </w:r>
      <w:r w:rsidRPr="00236FB8">
        <w:rPr>
          <w:i/>
        </w:rPr>
        <w:t xml:space="preserve">et al </w:t>
      </w:r>
      <w:r w:rsidRPr="00236FB8">
        <w:t>2005</w:t>
      </w:r>
      <w:r w:rsidR="009C556B" w:rsidRPr="009C556B">
        <w:rPr>
          <w:noProof/>
          <w:vertAlign w:val="superscript"/>
        </w:rPr>
        <w:t>36</w:t>
      </w:r>
      <w:r w:rsidRPr="00236FB8">
        <w:t>)</w:t>
      </w:r>
      <w:r w:rsidR="00C6734D">
        <w:t xml:space="preserve">. </w:t>
      </w:r>
      <w:r w:rsidRPr="00236FB8">
        <w:t>According to the sildenafil PI, the effect is likely due to induction by bosentan of cytochrome P450 enzymes that metabolise s</w:t>
      </w:r>
      <w:r w:rsidR="009301E0">
        <w:t>ildenafil, specifically CYP3A4.</w:t>
      </w:r>
    </w:p>
    <w:p w:rsidR="00236FB8" w:rsidRDefault="001D561A" w:rsidP="00DE148E">
      <w:pPr>
        <w:pStyle w:val="BodyTextnospacebefore"/>
        <w:rPr>
          <w:rFonts w:cstheme="minorHAnsi"/>
        </w:rPr>
      </w:pPr>
      <w:r w:rsidRPr="000A0384">
        <w:t xml:space="preserve">Nevertheless, bosentan + sildenafil </w:t>
      </w:r>
      <w:proofErr w:type="gramStart"/>
      <w:r w:rsidRPr="000A0384">
        <w:t>is</w:t>
      </w:r>
      <w:proofErr w:type="gramEnd"/>
      <w:r w:rsidRPr="000A0384">
        <w:t xml:space="preserve"> a common combination therapy used to treat PAH patients in Australia</w:t>
      </w:r>
      <w:r>
        <w:t xml:space="preserve">. </w:t>
      </w:r>
      <w:r w:rsidRPr="000A0384">
        <w:t xml:space="preserve">This is reportedly driven by the low cost of sildenafil if added as second agent via a private script (e.g. </w:t>
      </w:r>
      <w:proofErr w:type="spellStart"/>
      <w:r w:rsidRPr="000A0384">
        <w:t>Moonen</w:t>
      </w:r>
      <w:proofErr w:type="spellEnd"/>
      <w:r w:rsidRPr="000A0384">
        <w:t xml:space="preserve"> </w:t>
      </w:r>
      <w:r w:rsidRPr="000A0384">
        <w:rPr>
          <w:i/>
        </w:rPr>
        <w:t xml:space="preserve">et al </w:t>
      </w:r>
      <w:r w:rsidRPr="000A0384">
        <w:t>2017</w:t>
      </w:r>
      <w:r w:rsidR="009C556B" w:rsidRPr="009C556B">
        <w:rPr>
          <w:noProof/>
          <w:vertAlign w:val="superscript"/>
        </w:rPr>
        <w:t>12</w:t>
      </w:r>
      <w:r w:rsidRPr="000A0384">
        <w:t>)</w:t>
      </w:r>
      <w:r>
        <w:t xml:space="preserve">. </w:t>
      </w:r>
      <w:r w:rsidR="00236FB8" w:rsidRPr="00236FB8">
        <w:rPr>
          <w:rFonts w:cstheme="minorHAnsi"/>
        </w:rPr>
        <w:t>It is not known if/how physicians are managing the PK effects when giving sildenafil and bosentan in combination (for example, through dose adjustment or monitoring)</w:t>
      </w:r>
      <w:r w:rsidR="009301E0">
        <w:rPr>
          <w:rFonts w:cstheme="minorHAnsi"/>
        </w:rPr>
        <w:t>.</w:t>
      </w:r>
    </w:p>
    <w:p w:rsidR="00236FB8" w:rsidRPr="00236FB8" w:rsidRDefault="00236FB8" w:rsidP="00DE148E">
      <w:pPr>
        <w:pStyle w:val="BodyTextnospacebefore"/>
      </w:pPr>
      <w:r w:rsidRPr="00236FB8">
        <w:t>Interactions between bosentan and tadalafil have also been studied – the PI for tadalafil reports that co-administration with bosentan also results in a 42% decrease in tadalafil systemic exposure but not for bosentan or its metabolites</w:t>
      </w:r>
      <w:r w:rsidR="00C6734D">
        <w:t xml:space="preserve">. </w:t>
      </w:r>
      <w:r w:rsidRPr="00236FB8">
        <w:t xml:space="preserve">Although this information is included in the tadalafil PI, there is no recommendation against combination use of these two </w:t>
      </w:r>
      <w:r w:rsidR="00F95235">
        <w:t>PAH medicines</w:t>
      </w:r>
      <w:r w:rsidRPr="00236FB8">
        <w:t xml:space="preserve"> specifically</w:t>
      </w:r>
      <w:r w:rsidR="009301E0">
        <w:t>.</w:t>
      </w:r>
    </w:p>
    <w:p w:rsidR="00236FB8" w:rsidRPr="00236FB8" w:rsidRDefault="00236FB8" w:rsidP="00DE148E">
      <w:pPr>
        <w:pStyle w:val="BodyTextnospacebefore"/>
      </w:pPr>
      <w:r w:rsidRPr="00236FB8">
        <w:t>There is no similar warning in the bosentan PI, though there is a guarded statement in the PRECAUTIONS under ‘theoretical interactions’</w:t>
      </w:r>
      <w:r w:rsidR="00C6734D">
        <w:t xml:space="preserve">. </w:t>
      </w:r>
      <w:r w:rsidRPr="00236FB8">
        <w:t xml:space="preserve">The PI states </w:t>
      </w:r>
      <w:r w:rsidRPr="004F0200">
        <w:rPr>
          <w:i/>
        </w:rPr>
        <w:t>“</w:t>
      </w:r>
      <w:r w:rsidR="00060C26">
        <w:rPr>
          <w:i/>
        </w:rPr>
        <w:t>TRACLEER</w:t>
      </w:r>
      <w:r w:rsidR="00252749">
        <w:rPr>
          <w:i/>
          <w:vertAlign w:val="superscript"/>
        </w:rPr>
        <w:t>®</w:t>
      </w:r>
      <w:r w:rsidRPr="004F0200">
        <w:rPr>
          <w:i/>
        </w:rPr>
        <w:t xml:space="preserve"> is an inducer of the cytochrome P450 isoenzymes CYP2C9 and CYP3A4.[…] plasma concentrations of drugs metabolized by these isoenzymes will be decreased when </w:t>
      </w:r>
      <w:r w:rsidR="00060C26">
        <w:rPr>
          <w:i/>
        </w:rPr>
        <w:t>TRACLEER</w:t>
      </w:r>
      <w:r w:rsidR="00252749">
        <w:rPr>
          <w:i/>
          <w:vertAlign w:val="superscript"/>
        </w:rPr>
        <w:t>®</w:t>
      </w:r>
      <w:r w:rsidRPr="004F0200">
        <w:rPr>
          <w:i/>
        </w:rPr>
        <w:t xml:space="preserve"> is co-administered”</w:t>
      </w:r>
      <w:r w:rsidR="00C6734D">
        <w:t xml:space="preserve">. </w:t>
      </w:r>
      <w:r w:rsidRPr="00236FB8">
        <w:t>Note that this includes sildenafil and tadalafil</w:t>
      </w:r>
      <w:r w:rsidR="00C6734D">
        <w:t xml:space="preserve">. </w:t>
      </w:r>
      <w:r w:rsidRPr="00236FB8">
        <w:t>Although this is described as a theoretical interaction, for tadalafil, this has been confirmed in patients</w:t>
      </w:r>
      <w:r w:rsidR="009C556B" w:rsidRPr="009C556B">
        <w:rPr>
          <w:noProof/>
          <w:vertAlign w:val="superscript"/>
        </w:rPr>
        <w:t>35</w:t>
      </w:r>
      <w:r w:rsidR="009301E0">
        <w:t>.</w:t>
      </w:r>
    </w:p>
    <w:p w:rsidR="00236FB8" w:rsidRPr="00236FB8" w:rsidRDefault="00236FB8" w:rsidP="00DE148E">
      <w:pPr>
        <w:pStyle w:val="BodyTextnospacebefore"/>
      </w:pPr>
      <w:r w:rsidRPr="00236FB8">
        <w:t>These PK effects have not been reproduced with other ERAs. The ambrisentan PI states “Co-administration of ambrisentan with a phosphodiesterase inhibitor, either sildenafil or tadalafil (both substrates of CYP 3A4) in healthy volunteers did not significantly affect the pharmacokinetics of ambrisentan or the phosphodiesterase inhibitor”</w:t>
      </w:r>
      <w:r w:rsidR="009301E0">
        <w:t>.</w:t>
      </w:r>
    </w:p>
    <w:p w:rsidR="00236FB8" w:rsidRPr="00236FB8" w:rsidRDefault="00236FB8" w:rsidP="00DE148E">
      <w:pPr>
        <w:pStyle w:val="BodyTextnospacebefore"/>
      </w:pPr>
      <w:r w:rsidRPr="00236FB8">
        <w:t>Co-administration of ambrisentan with tadalafil does however lead to a modest increase in anaemia and peripheral oedema compared wi</w:t>
      </w:r>
      <w:r w:rsidR="009301E0">
        <w:t>th monotherapy of either agent.</w:t>
      </w:r>
    </w:p>
    <w:p w:rsidR="00236FB8" w:rsidRPr="00236FB8" w:rsidRDefault="00236FB8" w:rsidP="00DE148E">
      <w:pPr>
        <w:pStyle w:val="BodyTextnospacebefore"/>
      </w:pPr>
      <w:r w:rsidRPr="00236FB8">
        <w:t>A modest elevation of sildenafil is observed on co-administration with macitentan, though the macitentan PI states that this was not considered clinically relevant</w:t>
      </w:r>
      <w:r w:rsidR="00C6734D">
        <w:t xml:space="preserve">. </w:t>
      </w:r>
      <w:r w:rsidRPr="00236FB8">
        <w:t>Furthermore, and although this is not in the macitentan PI, the European product information states that macitentan is not an inducer or an inhibitor of any cytochrome P450 enzymes (Summary of Product Characteristics (</w:t>
      </w:r>
      <w:proofErr w:type="spellStart"/>
      <w:r w:rsidRPr="00236FB8">
        <w:t>SmPC</w:t>
      </w:r>
      <w:proofErr w:type="spellEnd"/>
      <w:r w:rsidRPr="00236FB8">
        <w:t>) dated 8 February 2017</w:t>
      </w:r>
      <w:r w:rsidR="009C556B" w:rsidRPr="009C556B">
        <w:rPr>
          <w:noProof/>
          <w:vertAlign w:val="superscript"/>
        </w:rPr>
        <w:t>37</w:t>
      </w:r>
      <w:r w:rsidRPr="00236FB8">
        <w:t>)</w:t>
      </w:r>
      <w:r w:rsidR="009301E0">
        <w:t>.</w:t>
      </w:r>
    </w:p>
    <w:p w:rsidR="004471BA" w:rsidRPr="00317D31" w:rsidRDefault="004471BA" w:rsidP="00121658">
      <w:pPr>
        <w:pStyle w:val="Heading4"/>
        <w:jc w:val="left"/>
        <w:rPr>
          <w:rFonts w:eastAsiaTheme="minorEastAsia"/>
          <w:i/>
        </w:rPr>
      </w:pPr>
      <w:bookmarkStart w:id="211" w:name="_Toc503800649"/>
      <w:bookmarkStart w:id="212" w:name="_Toc503811601"/>
      <w:r>
        <w:rPr>
          <w:rFonts w:eastAsiaTheme="minorEastAsia"/>
        </w:rPr>
        <w:t>Paediatric use</w:t>
      </w:r>
      <w:bookmarkEnd w:id="211"/>
      <w:bookmarkEnd w:id="212"/>
    </w:p>
    <w:p w:rsidR="004471BA" w:rsidRDefault="004471BA" w:rsidP="00DE148E">
      <w:pPr>
        <w:pStyle w:val="BodyTextnospacebefore"/>
      </w:pPr>
      <w:r w:rsidRPr="004471BA">
        <w:t>Of the TGA approved medicines for PAH, only bosentan is registered to treat PAH in children</w:t>
      </w:r>
      <w:r w:rsidR="00C6734D">
        <w:t xml:space="preserve">. </w:t>
      </w:r>
      <w:r w:rsidRPr="004471BA">
        <w:t xml:space="preserve">The PIs for the other </w:t>
      </w:r>
      <w:r w:rsidR="00F95235">
        <w:t>PAH medicines</w:t>
      </w:r>
      <w:r w:rsidRPr="004471BA">
        <w:t xml:space="preserve"> contain recommendations against treatment of children</w:t>
      </w:r>
      <w:r w:rsidR="00C6734D">
        <w:t xml:space="preserve">. </w:t>
      </w:r>
      <w:proofErr w:type="spellStart"/>
      <w:r w:rsidRPr="004471BA">
        <w:t>Macitentan’s</w:t>
      </w:r>
      <w:proofErr w:type="spellEnd"/>
      <w:r w:rsidRPr="004471BA">
        <w:t xml:space="preserve"> PI also states “</w:t>
      </w:r>
      <w:r w:rsidRPr="004471BA">
        <w:rPr>
          <w:i/>
        </w:rPr>
        <w:t>There is no data available on the effects of macitentan on growth and development in paediatric patients. There is limited clinical experience in paediatric patients aged 12 and above</w:t>
      </w:r>
      <w:r w:rsidRPr="004471BA">
        <w:t>”</w:t>
      </w:r>
      <w:r w:rsidR="009301E0">
        <w:t>.</w:t>
      </w:r>
    </w:p>
    <w:p w:rsidR="004471BA" w:rsidRPr="004471BA" w:rsidRDefault="004471BA" w:rsidP="00DE148E">
      <w:pPr>
        <w:pStyle w:val="BodyTextnospacebefore"/>
      </w:pPr>
      <w:r>
        <w:t>PI s</w:t>
      </w:r>
      <w:r w:rsidRPr="004471BA">
        <w:t>tatements regarding use to treat children are presented in</w:t>
      </w:r>
      <w:r w:rsidR="00F275ED">
        <w:t xml:space="preserve"> </w:t>
      </w:r>
      <w:r w:rsidR="00D63371">
        <w:t xml:space="preserve">Appendix </w:t>
      </w:r>
      <w:proofErr w:type="gramStart"/>
      <w:r w:rsidR="00D63371">
        <w:rPr>
          <w:noProof/>
        </w:rPr>
        <w:t>1.</w:t>
      </w:r>
      <w:r w:rsidR="00027EEF">
        <w:t>,</w:t>
      </w:r>
      <w:proofErr w:type="gramEnd"/>
      <w:r w:rsidRPr="004471BA">
        <w:t xml:space="preserve"> </w:t>
      </w:r>
      <w:r w:rsidR="00D63371" w:rsidRPr="00D63371">
        <w:t>Table 1.21</w:t>
      </w:r>
      <w:r w:rsidR="00F275ED">
        <w:t xml:space="preserve"> </w:t>
      </w:r>
      <w:r>
        <w:t xml:space="preserve">for each of the </w:t>
      </w:r>
      <w:r w:rsidR="00F95235">
        <w:t>PAH medicines</w:t>
      </w:r>
      <w:r w:rsidR="00C6734D">
        <w:t xml:space="preserve">. </w:t>
      </w:r>
    </w:p>
    <w:p w:rsidR="004937E8" w:rsidRDefault="004937E8">
      <w:pPr>
        <w:spacing w:before="0" w:line="240" w:lineRule="auto"/>
        <w:jc w:val="left"/>
        <w:rPr>
          <w:rFonts w:asciiTheme="minorHAnsi" w:eastAsia="Times New Roman" w:hAnsiTheme="minorHAnsi"/>
          <w:b/>
          <w:i/>
          <w:sz w:val="30"/>
        </w:rPr>
      </w:pPr>
      <w:r>
        <w:br w:type="page"/>
      </w:r>
    </w:p>
    <w:p w:rsidR="00D32790" w:rsidRDefault="00D32790" w:rsidP="00121658">
      <w:pPr>
        <w:pStyle w:val="Heading3"/>
        <w:jc w:val="left"/>
      </w:pPr>
      <w:bookmarkStart w:id="213" w:name="_Toc513107606"/>
      <w:r w:rsidRPr="00B92CC9">
        <w:t>PBS prescribing restrictions</w:t>
      </w:r>
      <w:bookmarkEnd w:id="213"/>
      <w:r w:rsidRPr="00B92CC9">
        <w:t xml:space="preserve"> </w:t>
      </w:r>
      <w:bookmarkEnd w:id="198"/>
      <w:bookmarkEnd w:id="199"/>
      <w:bookmarkEnd w:id="200"/>
    </w:p>
    <w:p w:rsidR="00F84C04" w:rsidRDefault="00F84C04" w:rsidP="009301E0">
      <w:pPr>
        <w:pStyle w:val="BodyTextnospacebefore"/>
      </w:pPr>
      <w:bookmarkStart w:id="214" w:name="_Toc502867688"/>
      <w:bookmarkStart w:id="215" w:name="_Toc503800655"/>
      <w:bookmarkStart w:id="216" w:name="_Toc503811607"/>
      <w:r>
        <w:t>The PBS restrictions for PAH medicines were introduced in the Background</w:t>
      </w:r>
      <w:r w:rsidR="008C75EF">
        <w:t xml:space="preserve"> </w:t>
      </w:r>
      <w:r w:rsidR="0021791D">
        <w:t>to this report</w:t>
      </w:r>
      <w:r>
        <w:t>:</w:t>
      </w:r>
    </w:p>
    <w:p w:rsidR="008D1B08" w:rsidRPr="009301E0" w:rsidRDefault="00D63371" w:rsidP="00121658">
      <w:pPr>
        <w:tabs>
          <w:tab w:val="left" w:pos="5812"/>
        </w:tabs>
        <w:jc w:val="left"/>
        <w:rPr>
          <w:rFonts w:asciiTheme="minorHAnsi" w:hAnsiTheme="minorHAnsi" w:cstheme="minorHAnsi"/>
          <w:szCs w:val="22"/>
        </w:rPr>
      </w:pPr>
      <w:r w:rsidRPr="00D63371">
        <w:rPr>
          <w:rFonts w:asciiTheme="minorHAnsi" w:hAnsiTheme="minorHAnsi"/>
          <w:szCs w:val="22"/>
        </w:rPr>
        <w:t>B.4.5. Pulmonary Arterial Hypertension</w:t>
      </w:r>
      <w:r w:rsidRPr="00D63371">
        <w:rPr>
          <w:rFonts w:asciiTheme="minorHAnsi" w:hAnsiTheme="minorHAnsi"/>
        </w:rPr>
        <w:t xml:space="preserve"> medicines on the PBS</w:t>
      </w:r>
      <w:r w:rsidR="00532B82" w:rsidRPr="009301E0">
        <w:rPr>
          <w:rFonts w:asciiTheme="minorHAnsi" w:hAnsiTheme="minorHAnsi" w:cstheme="minorHAnsi"/>
          <w:szCs w:val="22"/>
        </w:rPr>
        <w:tab/>
      </w:r>
      <w:r w:rsidR="008D1B08" w:rsidRPr="009301E0">
        <w:rPr>
          <w:rFonts w:asciiTheme="minorHAnsi" w:hAnsiTheme="minorHAnsi" w:cstheme="minorHAnsi"/>
          <w:szCs w:val="22"/>
        </w:rPr>
        <w:t>pp</w:t>
      </w:r>
      <w:r>
        <w:rPr>
          <w:rFonts w:asciiTheme="minorHAnsi" w:hAnsiTheme="minorHAnsi" w:cstheme="minorHAnsi"/>
          <w:noProof/>
          <w:szCs w:val="22"/>
        </w:rPr>
        <w:t>23</w:t>
      </w:r>
    </w:p>
    <w:p w:rsidR="008D1B08" w:rsidRPr="009301E0" w:rsidRDefault="00D63371" w:rsidP="00FB4215">
      <w:pPr>
        <w:tabs>
          <w:tab w:val="left" w:pos="6521"/>
        </w:tabs>
        <w:jc w:val="left"/>
        <w:rPr>
          <w:rFonts w:asciiTheme="minorHAnsi" w:hAnsiTheme="minorHAnsi" w:cstheme="minorHAnsi"/>
          <w:szCs w:val="22"/>
        </w:rPr>
      </w:pPr>
      <w:r w:rsidRPr="00D63371">
        <w:rPr>
          <w:rFonts w:asciiTheme="minorHAnsi" w:hAnsiTheme="minorHAnsi"/>
          <w:szCs w:val="22"/>
        </w:rPr>
        <w:t>B.4.5.1 PBS</w:t>
      </w:r>
      <w:r w:rsidRPr="00D63371">
        <w:rPr>
          <w:rFonts w:asciiTheme="minorHAnsi" w:hAnsiTheme="minorHAnsi"/>
        </w:rPr>
        <w:t xml:space="preserve"> listing history</w:t>
      </w:r>
      <w:r w:rsidR="00E1798C" w:rsidRPr="009301E0">
        <w:rPr>
          <w:rFonts w:asciiTheme="minorHAnsi" w:hAnsiTheme="minorHAnsi" w:cstheme="minorHAnsi"/>
          <w:szCs w:val="22"/>
        </w:rPr>
        <w:tab/>
      </w:r>
      <w:r w:rsidR="008D1B08" w:rsidRPr="009301E0">
        <w:rPr>
          <w:rFonts w:asciiTheme="minorHAnsi" w:hAnsiTheme="minorHAnsi" w:cstheme="minorHAnsi"/>
          <w:szCs w:val="22"/>
        </w:rPr>
        <w:t>pp</w:t>
      </w:r>
      <w:r>
        <w:rPr>
          <w:rFonts w:asciiTheme="minorHAnsi" w:hAnsiTheme="minorHAnsi" w:cstheme="minorHAnsi"/>
          <w:noProof/>
          <w:szCs w:val="22"/>
        </w:rPr>
        <w:t>23</w:t>
      </w:r>
    </w:p>
    <w:p w:rsidR="008D1B08" w:rsidRPr="009301E0" w:rsidRDefault="00DE148E" w:rsidP="00FB4215">
      <w:pPr>
        <w:tabs>
          <w:tab w:val="left" w:pos="6521"/>
        </w:tabs>
        <w:jc w:val="left"/>
        <w:rPr>
          <w:rFonts w:asciiTheme="minorHAnsi" w:hAnsiTheme="minorHAnsi" w:cstheme="minorHAnsi"/>
          <w:szCs w:val="22"/>
        </w:rPr>
      </w:pPr>
      <w:r w:rsidRPr="009301E0">
        <w:rPr>
          <w:rFonts w:asciiTheme="minorHAnsi" w:hAnsiTheme="minorHAnsi" w:cstheme="minorHAnsi"/>
          <w:szCs w:val="22"/>
        </w:rPr>
        <w:t xml:space="preserve">B.4.5.2 </w:t>
      </w:r>
      <w:r w:rsidR="00D63371" w:rsidRPr="00D63371">
        <w:rPr>
          <w:rFonts w:asciiTheme="minorHAnsi" w:hAnsiTheme="minorHAnsi"/>
          <w:szCs w:val="22"/>
        </w:rPr>
        <w:t>PBS prescribing restrictions</w:t>
      </w:r>
      <w:r w:rsidR="00E1798C" w:rsidRPr="009301E0">
        <w:rPr>
          <w:rFonts w:asciiTheme="minorHAnsi" w:hAnsiTheme="minorHAnsi" w:cstheme="minorHAnsi"/>
          <w:szCs w:val="22"/>
        </w:rPr>
        <w:tab/>
      </w:r>
      <w:r w:rsidR="008D1B08" w:rsidRPr="009301E0">
        <w:rPr>
          <w:rFonts w:asciiTheme="minorHAnsi" w:hAnsiTheme="minorHAnsi" w:cstheme="minorHAnsi"/>
          <w:szCs w:val="22"/>
        </w:rPr>
        <w:t>pp</w:t>
      </w:r>
      <w:r w:rsidR="00D63371">
        <w:rPr>
          <w:rFonts w:asciiTheme="minorHAnsi" w:hAnsiTheme="minorHAnsi" w:cstheme="minorHAnsi"/>
          <w:noProof/>
          <w:szCs w:val="22"/>
        </w:rPr>
        <w:t>26</w:t>
      </w:r>
    </w:p>
    <w:p w:rsidR="008D1B08" w:rsidRPr="009301E0" w:rsidRDefault="00D63371" w:rsidP="00FB4215">
      <w:pPr>
        <w:tabs>
          <w:tab w:val="left" w:pos="6521"/>
        </w:tabs>
        <w:jc w:val="left"/>
        <w:rPr>
          <w:rFonts w:asciiTheme="minorHAnsi" w:hAnsiTheme="minorHAnsi" w:cstheme="minorHAnsi"/>
        </w:rPr>
      </w:pPr>
      <w:r w:rsidRPr="00D63371">
        <w:rPr>
          <w:rFonts w:asciiTheme="minorHAnsi" w:eastAsiaTheme="minorEastAsia" w:hAnsiTheme="minorHAnsi"/>
          <w:szCs w:val="22"/>
        </w:rPr>
        <w:t>B.4.5.3 Recent amendments to</w:t>
      </w:r>
      <w:r w:rsidRPr="00D63371">
        <w:rPr>
          <w:rFonts w:asciiTheme="minorHAnsi" w:eastAsiaTheme="minorEastAsia" w:hAnsiTheme="minorHAnsi"/>
        </w:rPr>
        <w:t xml:space="preserve"> PBS Restrictions</w:t>
      </w:r>
      <w:r w:rsidR="00E1798C" w:rsidRPr="009301E0">
        <w:rPr>
          <w:rFonts w:asciiTheme="minorHAnsi" w:hAnsiTheme="minorHAnsi" w:cstheme="minorHAnsi"/>
          <w:szCs w:val="22"/>
        </w:rPr>
        <w:tab/>
      </w:r>
      <w:r w:rsidR="008D1B08" w:rsidRPr="009301E0">
        <w:rPr>
          <w:rFonts w:asciiTheme="minorHAnsi" w:hAnsiTheme="minorHAnsi" w:cstheme="minorHAnsi"/>
          <w:szCs w:val="22"/>
        </w:rPr>
        <w:t>pp</w:t>
      </w:r>
      <w:r>
        <w:rPr>
          <w:rFonts w:asciiTheme="minorHAnsi" w:hAnsiTheme="minorHAnsi" w:cstheme="minorHAnsi"/>
          <w:noProof/>
          <w:szCs w:val="22"/>
        </w:rPr>
        <w:t>28</w:t>
      </w:r>
    </w:p>
    <w:p w:rsidR="00841982" w:rsidRPr="009301E0" w:rsidRDefault="00841982" w:rsidP="00121658">
      <w:pPr>
        <w:keepNext/>
        <w:jc w:val="left"/>
        <w:rPr>
          <w:rFonts w:asciiTheme="minorHAnsi" w:hAnsiTheme="minorHAnsi"/>
        </w:rPr>
      </w:pPr>
      <w:r w:rsidRPr="009301E0">
        <w:rPr>
          <w:rFonts w:asciiTheme="minorHAnsi" w:hAnsiTheme="minorHAnsi" w:cstheme="minorHAnsi"/>
        </w:rPr>
        <w:t>T</w:t>
      </w:r>
      <w:r w:rsidRPr="009301E0">
        <w:rPr>
          <w:rFonts w:asciiTheme="minorHAnsi" w:hAnsiTheme="minorHAnsi"/>
        </w:rPr>
        <w:t>he current PBS listings have these general features:</w:t>
      </w:r>
    </w:p>
    <w:p w:rsidR="00841982" w:rsidRDefault="00841982" w:rsidP="00921D13">
      <w:pPr>
        <w:pStyle w:val="08Bulletsseriesofsentences"/>
      </w:pPr>
      <w:r w:rsidRPr="00841982">
        <w:t xml:space="preserve">All </w:t>
      </w:r>
      <w:r w:rsidR="00F95235">
        <w:t>PAH medicines</w:t>
      </w:r>
      <w:r w:rsidRPr="00841982">
        <w:t xml:space="preserve"> are listed for treatment of both WHO FC III and Class IV disease, with these exceptions:</w:t>
      </w:r>
    </w:p>
    <w:p w:rsidR="00841982" w:rsidRDefault="00841982" w:rsidP="00921D13">
      <w:pPr>
        <w:pStyle w:val="08Bulletsseriesofsentences"/>
      </w:pPr>
      <w:r w:rsidRPr="00841982">
        <w:t>The PDE5 inhibitors are listed for Class III treatment only;</w:t>
      </w:r>
    </w:p>
    <w:p w:rsidR="00841982" w:rsidRPr="00841982" w:rsidRDefault="00841982" w:rsidP="00921D13">
      <w:pPr>
        <w:pStyle w:val="08Bulletsseriesofsentences"/>
      </w:pPr>
      <w:r w:rsidRPr="00841982">
        <w:t xml:space="preserve">The prostanoids are listed for treatment of Class III patients in second line (except </w:t>
      </w:r>
      <w:r w:rsidR="000A182A">
        <w:t>iloprost for drug-induced PAH),</w:t>
      </w:r>
      <w:r w:rsidRPr="00841982">
        <w:t xml:space="preserve"> their use treating Class IV disease is first line;</w:t>
      </w:r>
    </w:p>
    <w:p w:rsidR="00841982" w:rsidRDefault="00841982" w:rsidP="00921D13">
      <w:pPr>
        <w:pStyle w:val="08Bulletsseriesofsentences"/>
      </w:pPr>
      <w:r w:rsidRPr="00841982">
        <w:t xml:space="preserve">All </w:t>
      </w:r>
      <w:r w:rsidR="00F95235">
        <w:t>PAH medicines</w:t>
      </w:r>
      <w:r w:rsidRPr="00841982">
        <w:t xml:space="preserve"> are listed for treatment of IPAH, heritable PAH, drug and toxin induced PAH and PAH associated with connective tissue disease.</w:t>
      </w:r>
    </w:p>
    <w:p w:rsidR="00841982" w:rsidRDefault="00A71B36" w:rsidP="00921D13">
      <w:pPr>
        <w:pStyle w:val="08Bulletsseriesofsentences"/>
      </w:pPr>
      <w:r>
        <w:t>Only</w:t>
      </w:r>
      <w:r w:rsidR="00841982" w:rsidRPr="00841982">
        <w:t xml:space="preserve"> bosentan, macitentan and riociguat are listed for PAH associated with congenital heart diseases</w:t>
      </w:r>
      <w:r w:rsidR="00C6734D">
        <w:t xml:space="preserve">. </w:t>
      </w:r>
      <w:r w:rsidR="00841982" w:rsidRPr="00841982">
        <w:t>These three drugs are listed for the same suite of indications</w:t>
      </w:r>
      <w:r w:rsidR="00C6734D">
        <w:t xml:space="preserve">. </w:t>
      </w:r>
      <w:r>
        <w:t xml:space="preserve">Neither epoprostenol </w:t>
      </w:r>
      <w:r w:rsidR="003B01AE">
        <w:t>n</w:t>
      </w:r>
      <w:r>
        <w:t xml:space="preserve">or iloprost </w:t>
      </w:r>
      <w:r w:rsidR="003B01AE">
        <w:t>are listed for PAH due to CHD.</w:t>
      </w:r>
    </w:p>
    <w:p w:rsidR="00841982" w:rsidRDefault="00841982" w:rsidP="00921D13">
      <w:pPr>
        <w:pStyle w:val="08Bulletsseriesofsentences"/>
      </w:pPr>
      <w:r w:rsidRPr="004A1EBF">
        <w:t xml:space="preserve">All PAH </w:t>
      </w:r>
      <w:r w:rsidR="00B15FF7">
        <w:t>clinical criteria</w:t>
      </w:r>
      <w:r w:rsidRPr="004A1EBF">
        <w:t xml:space="preserve"> </w:t>
      </w:r>
      <w:r w:rsidR="00B15FF7">
        <w:t xml:space="preserve">are silent regarding age group, in effect </w:t>
      </w:r>
      <w:r w:rsidRPr="004A1EBF">
        <w:t>allow</w:t>
      </w:r>
      <w:r w:rsidR="00B15FF7">
        <w:t>ing</w:t>
      </w:r>
      <w:r w:rsidRPr="004A1EBF">
        <w:t xml:space="preserve"> for treatment of children (i.e. under 18 years old)</w:t>
      </w:r>
      <w:r w:rsidR="00C6734D" w:rsidRPr="004A1EBF">
        <w:t xml:space="preserve">. </w:t>
      </w:r>
    </w:p>
    <w:p w:rsidR="00A16E23" w:rsidRDefault="00A16E23" w:rsidP="00921D13">
      <w:pPr>
        <w:pStyle w:val="08Bulletsseriesofsentences"/>
      </w:pPr>
      <w:r>
        <w:t>Since 2014 the current restrictions have referred to three subtypes as a group (</w:t>
      </w:r>
      <w:r w:rsidR="00D63371" w:rsidRPr="00D63371">
        <w:rPr>
          <w:rFonts w:eastAsiaTheme="minorEastAsia"/>
          <w:i/>
        </w:rPr>
        <w:t>B.4.5.3 Recent amendments to</w:t>
      </w:r>
      <w:r w:rsidR="00D63371">
        <w:rPr>
          <w:rFonts w:eastAsiaTheme="minorEastAsia"/>
        </w:rPr>
        <w:t xml:space="preserve"> PBS Restrictions</w:t>
      </w:r>
      <w:r>
        <w:t>), IPAH, anorexigen-induced PAH and hereditable PAH, to replace the older term “primary pulmonary hypertension”</w:t>
      </w:r>
    </w:p>
    <w:p w:rsidR="004F0200" w:rsidRPr="004A1EBF" w:rsidRDefault="004F0200" w:rsidP="00921D13">
      <w:pPr>
        <w:pStyle w:val="08Bulletsseriesofsentences"/>
      </w:pPr>
      <w:r w:rsidRPr="00841982">
        <w:t xml:space="preserve">A further subtype, ‘drug-induced PAH’ is specific to iloprost, and is </w:t>
      </w:r>
      <w:r>
        <w:t xml:space="preserve">separate </w:t>
      </w:r>
      <w:r w:rsidRPr="00841982">
        <w:t>to ‘anorexigen-induced PAH’</w:t>
      </w:r>
      <w:r>
        <w:t xml:space="preserve"> in the iloprost restriction</w:t>
      </w:r>
      <w:r w:rsidRPr="00841982">
        <w:t>. Th</w:t>
      </w:r>
      <w:r w:rsidR="00537AE2">
        <w:t>is enables</w:t>
      </w:r>
      <w:r w:rsidRPr="00841982">
        <w:t xml:space="preserve"> use of iloprost</w:t>
      </w:r>
      <w:r w:rsidR="000A182A">
        <w:t xml:space="preserve"> as first line treatment</w:t>
      </w:r>
      <w:r w:rsidRPr="00841982">
        <w:t xml:space="preserve"> in </w:t>
      </w:r>
      <w:r w:rsidR="00537AE2">
        <w:t>WHO FC</w:t>
      </w:r>
      <w:r w:rsidRPr="00841982">
        <w:t xml:space="preserve"> III patients with this </w:t>
      </w:r>
      <w:r>
        <w:t>subtyp</w:t>
      </w:r>
      <w:r w:rsidR="00537AE2">
        <w:t>e. Note below</w:t>
      </w:r>
      <w:r>
        <w:t xml:space="preserve"> that iloprost is the only PAH </w:t>
      </w:r>
      <w:r w:rsidR="00517C17">
        <w:t>medicine</w:t>
      </w:r>
      <w:r>
        <w:t xml:space="preserve"> that is TGA approved with clinical evidence </w:t>
      </w:r>
      <w:r w:rsidR="00537AE2">
        <w:t>for</w:t>
      </w:r>
      <w:r>
        <w:t xml:space="preserve"> </w:t>
      </w:r>
      <w:r w:rsidR="00537AE2">
        <w:t>drug-induced PAH</w:t>
      </w:r>
      <w:r w:rsidR="003B01AE">
        <w:t>.</w:t>
      </w:r>
    </w:p>
    <w:p w:rsidR="001F1180" w:rsidRDefault="001F1180" w:rsidP="00DE148E">
      <w:pPr>
        <w:pStyle w:val="BodyTextnospacebefore"/>
      </w:pPr>
      <w:r>
        <w:t xml:space="preserve">A grid showing current ARTG indications and PBS listings in terms of PAH subtype is given </w:t>
      </w:r>
      <w:r w:rsidRPr="00A50543">
        <w:t xml:space="preserve">in </w:t>
      </w:r>
      <w:r w:rsidR="00D63371">
        <w:t>Table 1.</w:t>
      </w:r>
      <w:r w:rsidR="00D63371">
        <w:rPr>
          <w:noProof/>
        </w:rPr>
        <w:t>16</w:t>
      </w:r>
      <w:r>
        <w:t xml:space="preserve"> (not taking WHO FC into account)</w:t>
      </w:r>
      <w:r w:rsidR="003B01AE">
        <w:t>.</w:t>
      </w:r>
    </w:p>
    <w:p w:rsidR="001F1180" w:rsidRDefault="001F1180" w:rsidP="00921D13">
      <w:pPr>
        <w:pStyle w:val="08Bulletsseriesofsentences"/>
      </w:pPr>
      <w:r w:rsidRPr="00A50543">
        <w:t>‘</w:t>
      </w:r>
      <w:r w:rsidRPr="00A50543">
        <w:rPr>
          <w:b/>
        </w:rPr>
        <w:sym w:font="Wingdings 2" w:char="F052"/>
      </w:r>
      <w:r w:rsidRPr="00A50543">
        <w:sym w:font="Wingdings 2" w:char="F0CB"/>
      </w:r>
      <w:r w:rsidRPr="00A50543">
        <w:t>’</w:t>
      </w:r>
      <w:r>
        <w:t xml:space="preserve"> shows medicines</w:t>
      </w:r>
      <w:r w:rsidRPr="00A50543">
        <w:t xml:space="preserve"> where the TGA indication matches the PBS restriction</w:t>
      </w:r>
      <w:r>
        <w:t xml:space="preserve">, noting that grey ticks indicate that the clinical evidence base is in a different </w:t>
      </w:r>
      <w:r w:rsidR="003F302E">
        <w:t>subtype</w:t>
      </w:r>
      <w:r>
        <w:t>;</w:t>
      </w:r>
    </w:p>
    <w:p w:rsidR="001F1180" w:rsidRDefault="001F1180" w:rsidP="00921D13">
      <w:pPr>
        <w:pStyle w:val="08Bulletsseriesofsentences"/>
      </w:pPr>
      <w:r>
        <w:t>‘</w:t>
      </w:r>
      <w:r w:rsidRPr="00A50543">
        <w:sym w:font="Wingdings 2" w:char="F0D2"/>
      </w:r>
      <w:r w:rsidRPr="00A50543">
        <w:sym w:font="Wingdings 2" w:char="F09B"/>
      </w:r>
      <w:r>
        <w:t>’ indicates where the medicine is neither registered nor PBS listed for that indication</w:t>
      </w:r>
      <w:r w:rsidR="003C17FA">
        <w:t xml:space="preserve">. </w:t>
      </w:r>
      <w:r>
        <w:t xml:space="preserve">This only applies to PAH-CHD (for ambrisentan monotherapy; iloprost and epoprostenol). By this measure, </w:t>
      </w:r>
      <w:r w:rsidR="0003499D">
        <w:t>congenital heart disease</w:t>
      </w:r>
      <w:r>
        <w:t xml:space="preserve"> patients have fewer treatment options compared with other subtypes;</w:t>
      </w:r>
    </w:p>
    <w:p w:rsidR="001F1180" w:rsidRPr="00A50543" w:rsidRDefault="001F1180" w:rsidP="00921D13">
      <w:pPr>
        <w:pStyle w:val="08Bulletsseriesofsentences"/>
      </w:pPr>
      <w:r w:rsidRPr="00A50543">
        <w:t>‘</w:t>
      </w:r>
      <w:r w:rsidRPr="00A50543">
        <w:sym w:font="Wingdings 2" w:char="F0D2"/>
      </w:r>
      <w:r w:rsidRPr="00A50543">
        <w:sym w:font="Wingdings 2" w:char="F0CB"/>
      </w:r>
      <w:r>
        <w:t xml:space="preserve">’ indicates that the indication is not registered but is PBS listed for that medicine. This applies to the majority of listings for drug induced PAH, and also iloprost for </w:t>
      </w:r>
      <w:r w:rsidR="004F0200">
        <w:t>heritable</w:t>
      </w:r>
      <w:r>
        <w:t xml:space="preserve"> PAH and ambrisentan monotherapy for PAH due to connective tissue disease</w:t>
      </w:r>
      <w:r w:rsidR="003C17FA">
        <w:t xml:space="preserve">. </w:t>
      </w:r>
    </w:p>
    <w:p w:rsidR="001F1180" w:rsidRPr="00BF244C" w:rsidRDefault="00F75B8B" w:rsidP="00F75B8B">
      <w:pPr>
        <w:pStyle w:val="Caption"/>
        <w:rPr>
          <w:rFonts w:cs="Arial"/>
          <w:szCs w:val="24"/>
        </w:rPr>
      </w:pPr>
      <w:bookmarkStart w:id="217" w:name="_Ref510793969"/>
      <w:bookmarkStart w:id="218" w:name="_Toc513107642"/>
      <w:r>
        <w:t>Table 1.</w:t>
      </w:r>
      <w:r w:rsidR="00D63371">
        <w:rPr>
          <w:noProof/>
        </w:rPr>
        <w:t>16</w:t>
      </w:r>
      <w:bookmarkEnd w:id="217"/>
      <w:r w:rsidRPr="00BF244C">
        <w:rPr>
          <w:rFonts w:cs="Arial"/>
          <w:szCs w:val="24"/>
        </w:rPr>
        <w:tab/>
        <w:t>Alignment of ARTG indications with PBS listings (not accounting for WHO FC)</w:t>
      </w:r>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Alignment of ARTG indications with PBS listings (not accounting for WHO FC)"/>
      </w:tblPr>
      <w:tblGrid>
        <w:gridCol w:w="2229"/>
        <w:gridCol w:w="1403"/>
        <w:gridCol w:w="1403"/>
        <w:gridCol w:w="1403"/>
        <w:gridCol w:w="1403"/>
        <w:gridCol w:w="1401"/>
      </w:tblGrid>
      <w:tr w:rsidR="001F1180" w:rsidRPr="00DE148E" w:rsidTr="00805124">
        <w:trPr>
          <w:tblHeader/>
        </w:trPr>
        <w:tc>
          <w:tcPr>
            <w:tcW w:w="1206" w:type="pct"/>
            <w:shd w:val="clear" w:color="auto" w:fill="BFBFBF" w:themeFill="background1" w:themeFillShade="BF"/>
            <w:vAlign w:val="center"/>
          </w:tcPr>
          <w:p w:rsidR="001F1180" w:rsidRPr="00DE148E" w:rsidRDefault="001F1180" w:rsidP="00DE148E">
            <w:pPr>
              <w:keepNext/>
              <w:spacing w:beforeLines="40" w:before="96" w:afterLines="40" w:after="96" w:line="240" w:lineRule="auto"/>
              <w:jc w:val="left"/>
              <w:rPr>
                <w:rFonts w:ascii="Arial" w:hAnsi="Arial" w:cs="Arial"/>
                <w:b/>
                <w:caps/>
                <w:color w:val="000000"/>
                <w:spacing w:val="5"/>
                <w:kern w:val="28"/>
                <w:sz w:val="20"/>
                <w:szCs w:val="20"/>
                <w:lang w:val="en-US"/>
              </w:rPr>
            </w:pPr>
            <w:r w:rsidRPr="00DE148E">
              <w:rPr>
                <w:rFonts w:ascii="Arial" w:hAnsi="Arial" w:cs="Arial"/>
                <w:b/>
                <w:sz w:val="20"/>
                <w:szCs w:val="20"/>
              </w:rPr>
              <w:t>Treatment</w:t>
            </w:r>
          </w:p>
        </w:tc>
        <w:tc>
          <w:tcPr>
            <w:tcW w:w="759" w:type="pct"/>
            <w:shd w:val="clear" w:color="auto" w:fill="BFBFBF" w:themeFill="background1" w:themeFillShade="BF"/>
            <w:vAlign w:val="center"/>
          </w:tcPr>
          <w:p w:rsidR="001F1180" w:rsidRPr="00DE148E" w:rsidRDefault="001F1180" w:rsidP="00DE148E">
            <w:pPr>
              <w:keepNext/>
              <w:spacing w:beforeLines="40" w:before="96" w:afterLines="40" w:after="96" w:line="240" w:lineRule="auto"/>
              <w:jc w:val="left"/>
              <w:rPr>
                <w:rFonts w:ascii="Arial" w:hAnsi="Arial" w:cs="Arial"/>
                <w:b/>
                <w:caps/>
                <w:color w:val="000000"/>
                <w:spacing w:val="5"/>
                <w:kern w:val="28"/>
                <w:sz w:val="20"/>
                <w:szCs w:val="20"/>
                <w:lang w:val="en-US"/>
              </w:rPr>
            </w:pPr>
            <w:r w:rsidRPr="00DE148E">
              <w:rPr>
                <w:rFonts w:ascii="Arial" w:hAnsi="Arial" w:cs="Arial"/>
                <w:b/>
                <w:sz w:val="20"/>
                <w:szCs w:val="20"/>
              </w:rPr>
              <w:t>IPAH</w:t>
            </w:r>
          </w:p>
        </w:tc>
        <w:tc>
          <w:tcPr>
            <w:tcW w:w="759" w:type="pct"/>
            <w:shd w:val="clear" w:color="auto" w:fill="BFBFBF" w:themeFill="background1" w:themeFillShade="BF"/>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t>HPAH</w:t>
            </w:r>
          </w:p>
        </w:tc>
        <w:tc>
          <w:tcPr>
            <w:tcW w:w="759" w:type="pct"/>
            <w:shd w:val="clear" w:color="auto" w:fill="BFBFBF" w:themeFill="background1" w:themeFillShade="BF"/>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t>PAH-CTD</w:t>
            </w:r>
          </w:p>
        </w:tc>
        <w:tc>
          <w:tcPr>
            <w:tcW w:w="759" w:type="pct"/>
            <w:shd w:val="clear" w:color="auto" w:fill="BFBFBF" w:themeFill="background1" w:themeFillShade="BF"/>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t>PAH-CHD</w:t>
            </w:r>
          </w:p>
        </w:tc>
        <w:tc>
          <w:tcPr>
            <w:tcW w:w="758" w:type="pct"/>
            <w:shd w:val="clear" w:color="auto" w:fill="BFBFBF" w:themeFill="background1" w:themeFillShade="BF"/>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t>PAH-DT</w:t>
            </w:r>
          </w:p>
        </w:tc>
      </w:tr>
      <w:tr w:rsidR="001F1180" w:rsidRPr="00DE148E" w:rsidTr="002575FC">
        <w:tc>
          <w:tcPr>
            <w:tcW w:w="1206" w:type="pct"/>
            <w:tcBorders>
              <w:bottom w:val="single" w:sz="4" w:space="0" w:color="auto"/>
            </w:tcBorders>
            <w:shd w:val="clear" w:color="auto" w:fill="auto"/>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t>Macitentan</w:t>
            </w:r>
          </w:p>
        </w:tc>
        <w:tc>
          <w:tcPr>
            <w:tcW w:w="759" w:type="pct"/>
            <w:tcBorders>
              <w:bottom w:val="single" w:sz="4" w:space="0" w:color="auto"/>
            </w:tcBorders>
            <w:shd w:val="clear" w:color="auto" w:fill="auto"/>
            <w:vAlign w:val="center"/>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single" w:sz="4" w:space="0" w:color="auto"/>
            </w:tcBorders>
            <w:vAlign w:val="center"/>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single" w:sz="4" w:space="0" w:color="auto"/>
            </w:tcBorders>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single" w:sz="4" w:space="0" w:color="auto"/>
            </w:tcBorders>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8" w:type="pct"/>
            <w:tcBorders>
              <w:bottom w:val="single" w:sz="4" w:space="0" w:color="auto"/>
            </w:tcBorders>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r>
      <w:tr w:rsidR="001F1180" w:rsidRPr="00DE148E" w:rsidTr="002575FC">
        <w:tc>
          <w:tcPr>
            <w:tcW w:w="1206" w:type="pct"/>
            <w:tcBorders>
              <w:bottom w:val="nil"/>
            </w:tcBorders>
            <w:shd w:val="clear" w:color="auto" w:fill="auto"/>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t>Ambrisentan: monotherapy</w:t>
            </w:r>
          </w:p>
        </w:tc>
        <w:tc>
          <w:tcPr>
            <w:tcW w:w="759" w:type="pct"/>
            <w:tcBorders>
              <w:bottom w:val="nil"/>
            </w:tcBorders>
            <w:shd w:val="clear" w:color="auto" w:fill="auto"/>
            <w:vAlign w:val="center"/>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nil"/>
            </w:tcBorders>
            <w:vAlign w:val="center"/>
          </w:tcPr>
          <w:p w:rsidR="001F1180" w:rsidRPr="00DE148E" w:rsidRDefault="003332C4" w:rsidP="00DE148E">
            <w:pPr>
              <w:keepNext/>
              <w:spacing w:beforeLines="40" w:before="96" w:afterLines="40" w:after="96" w:line="240" w:lineRule="auto"/>
              <w:jc w:val="left"/>
              <w:rPr>
                <w:rFonts w:ascii="Arial" w:hAnsi="Arial" w:cs="Arial"/>
                <w:b/>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c>
          <w:tcPr>
            <w:tcW w:w="759" w:type="pct"/>
            <w:tcBorders>
              <w:bottom w:val="nil"/>
            </w:tcBorders>
            <w:vAlign w:val="center"/>
          </w:tcPr>
          <w:p w:rsidR="001F1180" w:rsidRPr="00DE148E" w:rsidRDefault="003332C4" w:rsidP="00DE148E">
            <w:pPr>
              <w:keepNext/>
              <w:spacing w:beforeLines="40" w:before="96" w:afterLines="40" w:after="96" w:line="240" w:lineRule="auto"/>
              <w:jc w:val="left"/>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tcBorders>
              <w:bottom w:val="nil"/>
            </w:tcBorders>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9B"/>
            </w:r>
          </w:p>
        </w:tc>
        <w:tc>
          <w:tcPr>
            <w:tcW w:w="758" w:type="pct"/>
            <w:tcBorders>
              <w:bottom w:val="nil"/>
            </w:tcBorders>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r>
      <w:tr w:rsidR="001F1180" w:rsidRPr="00DE148E" w:rsidTr="002575FC">
        <w:tc>
          <w:tcPr>
            <w:tcW w:w="1206" w:type="pct"/>
            <w:tcBorders>
              <w:top w:val="nil"/>
            </w:tcBorders>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t xml:space="preserve">Ambrisentan: with </w:t>
            </w:r>
            <w:proofErr w:type="spellStart"/>
            <w:r w:rsidRPr="00DE148E">
              <w:rPr>
                <w:rFonts w:ascii="Arial" w:hAnsi="Arial" w:cs="Arial"/>
                <w:sz w:val="20"/>
                <w:szCs w:val="20"/>
              </w:rPr>
              <w:t>tadalafil</w:t>
            </w:r>
            <w:r w:rsidRPr="00DE148E">
              <w:rPr>
                <w:rFonts w:ascii="Arial" w:hAnsi="Arial" w:cs="Arial"/>
                <w:sz w:val="20"/>
                <w:szCs w:val="20"/>
                <w:vertAlign w:val="superscript"/>
              </w:rPr>
              <w:t>a</w:t>
            </w:r>
            <w:proofErr w:type="spellEnd"/>
          </w:p>
        </w:tc>
        <w:tc>
          <w:tcPr>
            <w:tcW w:w="759" w:type="pct"/>
            <w:tcBorders>
              <w:top w:val="nil"/>
            </w:tcBorders>
            <w:vAlign w:val="center"/>
          </w:tcPr>
          <w:p w:rsidR="001F1180" w:rsidRPr="00DE148E" w:rsidRDefault="001F1180" w:rsidP="00DE148E">
            <w:pPr>
              <w:keepNext/>
              <w:spacing w:beforeLines="40" w:before="96" w:afterLines="40" w:after="96" w:line="240" w:lineRule="auto"/>
              <w:jc w:val="left"/>
              <w:rPr>
                <w:rFonts w:ascii="Arial" w:hAnsi="Arial" w:cs="Arial"/>
                <w:b/>
                <w:caps/>
                <w:dstrike/>
                <w:color w:val="000000"/>
                <w:spacing w:val="5"/>
                <w:kern w:val="28"/>
                <w:sz w:val="20"/>
                <w:szCs w:val="20"/>
                <w:lang w:val="en-US"/>
              </w:rPr>
            </w:pPr>
            <w:r w:rsidRPr="00DE148E">
              <w:rPr>
                <w:rFonts w:ascii="Arial" w:hAnsi="Arial" w:cs="Arial"/>
                <w:b/>
                <w:dstrike/>
                <w:sz w:val="20"/>
                <w:szCs w:val="20"/>
              </w:rPr>
              <w:sym w:font="Wingdings 2" w:char="F052"/>
            </w:r>
          </w:p>
        </w:tc>
        <w:tc>
          <w:tcPr>
            <w:tcW w:w="759" w:type="pct"/>
            <w:tcBorders>
              <w:top w:val="nil"/>
            </w:tcBorders>
            <w:vAlign w:val="center"/>
          </w:tcPr>
          <w:p w:rsidR="001F1180" w:rsidRPr="00DE148E" w:rsidRDefault="001F1180" w:rsidP="00DE148E">
            <w:pPr>
              <w:keepNext/>
              <w:spacing w:beforeLines="40" w:before="96" w:afterLines="40" w:after="96" w:line="240" w:lineRule="auto"/>
              <w:jc w:val="left"/>
              <w:rPr>
                <w:rFonts w:ascii="Arial" w:hAnsi="Arial" w:cs="Arial"/>
                <w:b/>
                <w:dstrike/>
                <w:sz w:val="20"/>
                <w:szCs w:val="20"/>
              </w:rPr>
            </w:pPr>
            <w:r w:rsidRPr="00DE148E">
              <w:rPr>
                <w:rFonts w:ascii="Arial" w:hAnsi="Arial" w:cs="Arial"/>
                <w:b/>
                <w:dstrike/>
                <w:sz w:val="20"/>
                <w:szCs w:val="20"/>
              </w:rPr>
              <w:sym w:font="Wingdings 2" w:char="F052"/>
            </w:r>
          </w:p>
        </w:tc>
        <w:tc>
          <w:tcPr>
            <w:tcW w:w="759" w:type="pct"/>
            <w:tcBorders>
              <w:top w:val="nil"/>
            </w:tcBorders>
            <w:vAlign w:val="center"/>
          </w:tcPr>
          <w:p w:rsidR="001F1180" w:rsidRPr="00DE148E" w:rsidRDefault="001F1180" w:rsidP="00DE148E">
            <w:pPr>
              <w:keepNext/>
              <w:spacing w:beforeLines="40" w:before="96" w:afterLines="40" w:after="96" w:line="240" w:lineRule="auto"/>
              <w:jc w:val="left"/>
              <w:rPr>
                <w:rFonts w:ascii="Arial" w:hAnsi="Arial" w:cs="Arial"/>
                <w:b/>
                <w:dstrike/>
                <w:sz w:val="20"/>
                <w:szCs w:val="20"/>
              </w:rPr>
            </w:pPr>
            <w:r w:rsidRPr="00DE148E">
              <w:rPr>
                <w:rFonts w:ascii="Arial" w:hAnsi="Arial" w:cs="Arial"/>
                <w:b/>
                <w:dstrike/>
                <w:sz w:val="20"/>
                <w:szCs w:val="20"/>
              </w:rPr>
              <w:sym w:font="Wingdings 2" w:char="F052"/>
            </w:r>
          </w:p>
        </w:tc>
        <w:tc>
          <w:tcPr>
            <w:tcW w:w="759" w:type="pct"/>
            <w:tcBorders>
              <w:top w:val="nil"/>
            </w:tcBorders>
            <w:vAlign w:val="center"/>
          </w:tcPr>
          <w:p w:rsidR="001F1180" w:rsidRPr="00DE148E" w:rsidRDefault="001F1180" w:rsidP="00DE148E">
            <w:pPr>
              <w:keepNext/>
              <w:spacing w:beforeLines="40" w:before="96" w:afterLines="40" w:after="96" w:line="240" w:lineRule="auto"/>
              <w:jc w:val="left"/>
              <w:rPr>
                <w:rFonts w:ascii="Arial" w:hAnsi="Arial" w:cs="Arial"/>
                <w:b/>
                <w:dstrike/>
                <w:sz w:val="20"/>
                <w:szCs w:val="20"/>
              </w:rPr>
            </w:pPr>
            <w:r w:rsidRPr="00DE148E">
              <w:rPr>
                <w:rFonts w:ascii="Arial" w:hAnsi="Arial" w:cs="Arial"/>
                <w:b/>
                <w:dstrike/>
                <w:sz w:val="20"/>
                <w:szCs w:val="20"/>
              </w:rPr>
              <w:sym w:font="Wingdings 2" w:char="F052"/>
            </w:r>
          </w:p>
        </w:tc>
        <w:tc>
          <w:tcPr>
            <w:tcW w:w="758" w:type="pct"/>
            <w:tcBorders>
              <w:top w:val="nil"/>
            </w:tcBorders>
            <w:vAlign w:val="center"/>
          </w:tcPr>
          <w:p w:rsidR="001F1180" w:rsidRPr="00DE148E" w:rsidRDefault="001F1180" w:rsidP="00DE148E">
            <w:pPr>
              <w:keepNext/>
              <w:spacing w:beforeLines="40" w:before="96" w:afterLines="40" w:after="96" w:line="240" w:lineRule="auto"/>
              <w:jc w:val="left"/>
              <w:rPr>
                <w:rFonts w:ascii="Arial" w:hAnsi="Arial" w:cs="Arial"/>
                <w:b/>
                <w:dstrike/>
                <w:sz w:val="20"/>
                <w:szCs w:val="20"/>
              </w:rPr>
            </w:pPr>
            <w:r w:rsidRPr="00DE148E">
              <w:rPr>
                <w:rFonts w:ascii="Arial" w:hAnsi="Arial" w:cs="Arial"/>
                <w:b/>
                <w:dstrike/>
                <w:sz w:val="20"/>
                <w:szCs w:val="20"/>
              </w:rPr>
              <w:sym w:font="Wingdings 2" w:char="F052"/>
            </w:r>
          </w:p>
        </w:tc>
      </w:tr>
      <w:tr w:rsidR="001F1180" w:rsidRPr="00DE148E" w:rsidTr="002575FC">
        <w:tc>
          <w:tcPr>
            <w:tcW w:w="1206" w:type="pct"/>
            <w:shd w:val="clear" w:color="auto" w:fill="auto"/>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t>Bosentan</w:t>
            </w:r>
          </w:p>
        </w:tc>
        <w:tc>
          <w:tcPr>
            <w:tcW w:w="759" w:type="pct"/>
            <w:shd w:val="clear" w:color="auto" w:fill="auto"/>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8"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r>
      <w:tr w:rsidR="001F1180" w:rsidRPr="00DE148E" w:rsidTr="002575FC">
        <w:tc>
          <w:tcPr>
            <w:tcW w:w="1206"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proofErr w:type="spellStart"/>
            <w:r w:rsidRPr="00DE148E">
              <w:rPr>
                <w:rFonts w:ascii="Arial" w:hAnsi="Arial" w:cs="Arial"/>
                <w:sz w:val="20"/>
                <w:szCs w:val="20"/>
              </w:rPr>
              <w:t>Sildenafil</w:t>
            </w:r>
            <w:r w:rsidRPr="00DE148E">
              <w:rPr>
                <w:rFonts w:ascii="Arial" w:hAnsi="Arial" w:cs="Arial"/>
                <w:sz w:val="20"/>
                <w:szCs w:val="20"/>
                <w:vertAlign w:val="superscript"/>
              </w:rPr>
              <w:t>b</w:t>
            </w:r>
            <w:proofErr w:type="spellEnd"/>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b/>
                <w:caps/>
                <w:spacing w:val="5"/>
                <w:kern w:val="28"/>
                <w:sz w:val="20"/>
                <w:szCs w:val="20"/>
                <w:lang w:val="en-US"/>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9B"/>
            </w:r>
          </w:p>
        </w:tc>
        <w:tc>
          <w:tcPr>
            <w:tcW w:w="758" w:type="pct"/>
            <w:vAlign w:val="center"/>
          </w:tcPr>
          <w:p w:rsidR="001F1180" w:rsidRPr="00DE148E" w:rsidRDefault="001F1180" w:rsidP="00DE148E">
            <w:pPr>
              <w:keepNext/>
              <w:spacing w:beforeLines="40" w:before="96" w:afterLines="40" w:after="96" w:line="240" w:lineRule="auto"/>
              <w:jc w:val="left"/>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CB"/>
            </w:r>
          </w:p>
        </w:tc>
      </w:tr>
      <w:tr w:rsidR="001F1180" w:rsidRPr="00DE148E" w:rsidTr="002575FC">
        <w:tc>
          <w:tcPr>
            <w:tcW w:w="1206"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proofErr w:type="spellStart"/>
            <w:r w:rsidRPr="00DE148E">
              <w:rPr>
                <w:rFonts w:ascii="Arial" w:hAnsi="Arial" w:cs="Arial"/>
                <w:sz w:val="20"/>
                <w:szCs w:val="20"/>
              </w:rPr>
              <w:t>Tadalafil</w:t>
            </w:r>
            <w:r w:rsidRPr="00DE148E">
              <w:rPr>
                <w:rFonts w:ascii="Arial" w:hAnsi="Arial" w:cs="Arial"/>
                <w:sz w:val="20"/>
                <w:szCs w:val="20"/>
                <w:vertAlign w:val="superscript"/>
              </w:rPr>
              <w:t>b</w:t>
            </w:r>
            <w:proofErr w:type="spellEnd"/>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b/>
                <w:caps/>
                <w:spacing w:val="5"/>
                <w:kern w:val="28"/>
                <w:sz w:val="20"/>
                <w:szCs w:val="20"/>
                <w:lang w:val="en-US"/>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9B"/>
            </w:r>
          </w:p>
        </w:tc>
        <w:tc>
          <w:tcPr>
            <w:tcW w:w="758" w:type="pct"/>
            <w:vAlign w:val="center"/>
          </w:tcPr>
          <w:p w:rsidR="001F1180" w:rsidRPr="00DE148E" w:rsidRDefault="001F1180" w:rsidP="00DE148E">
            <w:pPr>
              <w:keepNext/>
              <w:spacing w:beforeLines="40" w:before="96" w:afterLines="40" w:after="96" w:line="240" w:lineRule="auto"/>
              <w:jc w:val="left"/>
              <w:rPr>
                <w:rFonts w:ascii="Arial" w:hAnsi="Arial" w:cs="Arial"/>
                <w:color w:val="A6A6A6" w:themeColor="background1" w:themeShade="A6"/>
                <w:sz w:val="20"/>
                <w:szCs w:val="20"/>
              </w:rPr>
            </w:pPr>
            <w:r w:rsidRPr="00DE148E">
              <w:rPr>
                <w:rFonts w:ascii="Arial" w:hAnsi="Arial" w:cs="Arial"/>
                <w:color w:val="A6A6A6" w:themeColor="background1" w:themeShade="A6"/>
                <w:sz w:val="20"/>
                <w:szCs w:val="20"/>
              </w:rPr>
              <w:sym w:font="Wingdings 2" w:char="F052"/>
            </w:r>
            <w:r w:rsidRPr="00DE148E">
              <w:rPr>
                <w:rFonts w:ascii="Arial" w:hAnsi="Arial" w:cs="Arial"/>
                <w:sz w:val="20"/>
                <w:szCs w:val="20"/>
              </w:rPr>
              <w:sym w:font="Wingdings 2" w:char="F0CB"/>
            </w:r>
          </w:p>
        </w:tc>
      </w:tr>
      <w:tr w:rsidR="001F1180" w:rsidRPr="00DE148E" w:rsidTr="002575FC">
        <w:tc>
          <w:tcPr>
            <w:tcW w:w="1206"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t xml:space="preserve">Riociguat </w:t>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b/>
                <w:caps/>
                <w:color w:val="000000"/>
                <w:spacing w:val="5"/>
                <w:kern w:val="28"/>
                <w:sz w:val="20"/>
                <w:szCs w:val="20"/>
                <w:lang w:val="en-US"/>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8"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r>
      <w:tr w:rsidR="001F1180" w:rsidRPr="00DE148E" w:rsidTr="002575FC">
        <w:tc>
          <w:tcPr>
            <w:tcW w:w="1206"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t>Iloprost</w:t>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c>
          <w:tcPr>
            <w:tcW w:w="759"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sym w:font="Wingdings 2" w:char="F0D2"/>
            </w:r>
            <w:r w:rsidRPr="00DE148E">
              <w:rPr>
                <w:rFonts w:ascii="Arial" w:hAnsi="Arial" w:cs="Arial"/>
                <w:sz w:val="20"/>
                <w:szCs w:val="20"/>
              </w:rPr>
              <w:sym w:font="Wingdings 2" w:char="F09B"/>
            </w:r>
          </w:p>
        </w:tc>
        <w:tc>
          <w:tcPr>
            <w:tcW w:w="758" w:type="pct"/>
            <w:vAlign w:val="center"/>
          </w:tcPr>
          <w:p w:rsidR="001F1180" w:rsidRPr="00DE148E" w:rsidRDefault="001F1180" w:rsidP="00DE148E">
            <w:pPr>
              <w:keepNext/>
              <w:spacing w:beforeLines="40" w:before="96" w:afterLines="40" w:after="96" w:line="240" w:lineRule="auto"/>
              <w:jc w:val="left"/>
              <w:rPr>
                <w:rFonts w:ascii="Arial" w:hAnsi="Arial" w:cs="Arial"/>
                <w:b/>
                <w:sz w:val="20"/>
                <w:szCs w:val="20"/>
              </w:rPr>
            </w:pPr>
            <w:r w:rsidRPr="00DE148E">
              <w:rPr>
                <w:rFonts w:ascii="Arial" w:hAnsi="Arial" w:cs="Arial"/>
                <w:b/>
                <w:sz w:val="20"/>
                <w:szCs w:val="20"/>
              </w:rPr>
              <w:sym w:font="Wingdings 2" w:char="F052"/>
            </w:r>
            <w:r w:rsidRPr="00DE148E">
              <w:rPr>
                <w:rFonts w:ascii="Arial" w:hAnsi="Arial" w:cs="Arial"/>
                <w:sz w:val="20"/>
                <w:szCs w:val="20"/>
              </w:rPr>
              <w:sym w:font="Wingdings 2" w:char="F0CB"/>
            </w:r>
          </w:p>
        </w:tc>
      </w:tr>
      <w:tr w:rsidR="001F1180" w:rsidRPr="00DE148E" w:rsidTr="002575FC">
        <w:tc>
          <w:tcPr>
            <w:tcW w:w="1206" w:type="pct"/>
            <w:vAlign w:val="center"/>
          </w:tcPr>
          <w:p w:rsidR="001F1180" w:rsidRPr="00DE148E" w:rsidRDefault="001F1180" w:rsidP="00DE148E">
            <w:pPr>
              <w:keepNext/>
              <w:spacing w:beforeLines="40" w:before="96" w:afterLines="40" w:after="96" w:line="240" w:lineRule="auto"/>
              <w:jc w:val="left"/>
              <w:rPr>
                <w:rFonts w:ascii="Arial" w:hAnsi="Arial" w:cs="Arial"/>
                <w:sz w:val="20"/>
                <w:szCs w:val="20"/>
              </w:rPr>
            </w:pPr>
            <w:r w:rsidRPr="00DE148E">
              <w:rPr>
                <w:rFonts w:ascii="Arial" w:hAnsi="Arial" w:cs="Arial"/>
                <w:sz w:val="20"/>
                <w:szCs w:val="20"/>
              </w:rPr>
              <w:t>Epoprostenol</w:t>
            </w:r>
          </w:p>
        </w:tc>
        <w:tc>
          <w:tcPr>
            <w:tcW w:w="759" w:type="pct"/>
            <w:vAlign w:val="center"/>
          </w:tcPr>
          <w:p w:rsidR="001F1180" w:rsidRPr="00DE148E" w:rsidRDefault="001F1180" w:rsidP="00DE148E">
            <w:pPr>
              <w:pStyle w:val="TableText"/>
              <w:keepNext/>
              <w:spacing w:beforeLines="40" w:before="96" w:afterLines="40" w:after="96"/>
              <w:rPr>
                <w:rFonts w:ascii="Arial" w:hAnsi="Arial"/>
                <w:b/>
                <w:caps/>
                <w:color w:val="000000"/>
                <w:spacing w:val="5"/>
                <w:kern w:val="28"/>
                <w:szCs w:val="20"/>
                <w:lang w:val="en-US"/>
              </w:rPr>
            </w:pPr>
            <w:r w:rsidRPr="00DE148E">
              <w:rPr>
                <w:rFonts w:ascii="Arial" w:hAnsi="Arial"/>
                <w:b/>
                <w:szCs w:val="20"/>
              </w:rPr>
              <w:sym w:font="Wingdings 2" w:char="F052"/>
            </w:r>
            <w:r w:rsidRPr="00DE148E">
              <w:rPr>
                <w:rFonts w:ascii="Arial" w:hAnsi="Arial"/>
                <w:szCs w:val="20"/>
              </w:rPr>
              <w:sym w:font="Wingdings 2" w:char="F0CB"/>
            </w:r>
          </w:p>
        </w:tc>
        <w:tc>
          <w:tcPr>
            <w:tcW w:w="759" w:type="pct"/>
            <w:vAlign w:val="center"/>
          </w:tcPr>
          <w:p w:rsidR="001F1180" w:rsidRPr="00DE148E" w:rsidRDefault="001F1180" w:rsidP="00DE148E">
            <w:pPr>
              <w:pStyle w:val="TableText"/>
              <w:keepNext/>
              <w:spacing w:beforeLines="40" w:before="96" w:afterLines="40" w:after="96"/>
              <w:rPr>
                <w:rFonts w:ascii="Arial" w:hAnsi="Arial"/>
                <w:b/>
                <w:szCs w:val="20"/>
              </w:rPr>
            </w:pPr>
            <w:r w:rsidRPr="00DE148E">
              <w:rPr>
                <w:rFonts w:ascii="Arial" w:hAnsi="Arial"/>
                <w:b/>
                <w:szCs w:val="20"/>
              </w:rPr>
              <w:sym w:font="Wingdings 2" w:char="F052"/>
            </w:r>
            <w:r w:rsidRPr="00DE148E">
              <w:rPr>
                <w:rFonts w:ascii="Arial" w:hAnsi="Arial"/>
                <w:szCs w:val="20"/>
              </w:rPr>
              <w:sym w:font="Wingdings 2" w:char="F0CB"/>
            </w:r>
          </w:p>
        </w:tc>
        <w:tc>
          <w:tcPr>
            <w:tcW w:w="759" w:type="pct"/>
            <w:vAlign w:val="center"/>
          </w:tcPr>
          <w:p w:rsidR="001F1180" w:rsidRPr="00DE148E" w:rsidRDefault="001F1180" w:rsidP="00DE148E">
            <w:pPr>
              <w:pStyle w:val="TableText"/>
              <w:keepNext/>
              <w:spacing w:beforeLines="40" w:before="96" w:afterLines="40" w:after="96"/>
              <w:rPr>
                <w:rFonts w:ascii="Arial" w:hAnsi="Arial"/>
                <w:b/>
                <w:szCs w:val="20"/>
              </w:rPr>
            </w:pPr>
            <w:r w:rsidRPr="00DE148E">
              <w:rPr>
                <w:rFonts w:ascii="Arial" w:hAnsi="Arial"/>
                <w:b/>
                <w:szCs w:val="20"/>
              </w:rPr>
              <w:sym w:font="Wingdings 2" w:char="F052"/>
            </w:r>
            <w:r w:rsidRPr="00DE148E">
              <w:rPr>
                <w:rFonts w:ascii="Arial" w:hAnsi="Arial"/>
                <w:szCs w:val="20"/>
              </w:rPr>
              <w:sym w:font="Wingdings 2" w:char="F0CB"/>
            </w:r>
          </w:p>
        </w:tc>
        <w:tc>
          <w:tcPr>
            <w:tcW w:w="759" w:type="pct"/>
            <w:vAlign w:val="center"/>
          </w:tcPr>
          <w:p w:rsidR="001F1180" w:rsidRPr="00DE148E" w:rsidRDefault="001F1180" w:rsidP="00DE148E">
            <w:pPr>
              <w:pStyle w:val="TableText"/>
              <w:keepNext/>
              <w:spacing w:beforeLines="40" w:before="96" w:afterLines="40" w:after="96"/>
              <w:rPr>
                <w:rFonts w:ascii="Arial" w:hAnsi="Arial"/>
                <w:szCs w:val="20"/>
              </w:rPr>
            </w:pPr>
            <w:r w:rsidRPr="00DE148E">
              <w:rPr>
                <w:rFonts w:ascii="Arial" w:hAnsi="Arial"/>
                <w:szCs w:val="20"/>
              </w:rPr>
              <w:sym w:font="Wingdings 2" w:char="F0D2"/>
            </w:r>
            <w:r w:rsidRPr="00DE148E">
              <w:rPr>
                <w:rFonts w:ascii="Arial" w:hAnsi="Arial"/>
                <w:szCs w:val="20"/>
              </w:rPr>
              <w:sym w:font="Wingdings 2" w:char="F09B"/>
            </w:r>
          </w:p>
        </w:tc>
        <w:tc>
          <w:tcPr>
            <w:tcW w:w="758" w:type="pct"/>
            <w:vAlign w:val="center"/>
          </w:tcPr>
          <w:p w:rsidR="001F1180" w:rsidRPr="00DE148E" w:rsidRDefault="001F1180" w:rsidP="00DE148E">
            <w:pPr>
              <w:pStyle w:val="TableText"/>
              <w:keepNext/>
              <w:spacing w:beforeLines="40" w:before="96" w:afterLines="40" w:after="96"/>
              <w:rPr>
                <w:rFonts w:ascii="Arial" w:hAnsi="Arial"/>
                <w:szCs w:val="20"/>
              </w:rPr>
            </w:pPr>
            <w:r w:rsidRPr="00DE148E">
              <w:rPr>
                <w:rFonts w:ascii="Arial" w:hAnsi="Arial"/>
                <w:szCs w:val="20"/>
              </w:rPr>
              <w:sym w:font="Wingdings 2" w:char="F0D2"/>
            </w:r>
            <w:r w:rsidRPr="00DE148E">
              <w:rPr>
                <w:rFonts w:ascii="Arial" w:hAnsi="Arial"/>
                <w:szCs w:val="20"/>
              </w:rPr>
              <w:sym w:font="Wingdings 2" w:char="F0CB"/>
            </w:r>
          </w:p>
        </w:tc>
      </w:tr>
    </w:tbl>
    <w:p w:rsidR="001F1180" w:rsidRPr="00DE148E" w:rsidRDefault="001F1180" w:rsidP="00121658">
      <w:pPr>
        <w:tabs>
          <w:tab w:val="left" w:pos="2600"/>
        </w:tabs>
        <w:spacing w:before="0" w:line="240" w:lineRule="auto"/>
        <w:jc w:val="left"/>
        <w:rPr>
          <w:rFonts w:ascii="Arial" w:hAnsi="Arial" w:cs="Arial"/>
          <w:sz w:val="16"/>
          <w:szCs w:val="16"/>
        </w:rPr>
      </w:pPr>
      <w:r w:rsidRPr="00DE148E">
        <w:rPr>
          <w:rFonts w:ascii="Arial" w:hAnsi="Arial" w:cs="Arial"/>
          <w:b/>
          <w:sz w:val="16"/>
          <w:szCs w:val="16"/>
        </w:rPr>
        <w:sym w:font="Wingdings 2" w:char="F052"/>
      </w:r>
      <w:r w:rsidRPr="00DE148E">
        <w:rPr>
          <w:rFonts w:ascii="Arial" w:hAnsi="Arial" w:cs="Arial"/>
          <w:sz w:val="16"/>
          <w:szCs w:val="16"/>
        </w:rPr>
        <w:t xml:space="preserve"> = ARTG registered indication; </w:t>
      </w:r>
      <w:r w:rsidRPr="00DE148E">
        <w:rPr>
          <w:rFonts w:ascii="Arial" w:hAnsi="Arial" w:cs="Arial"/>
          <w:sz w:val="16"/>
          <w:szCs w:val="16"/>
        </w:rPr>
        <w:sym w:font="Wingdings 2" w:char="F0D2"/>
      </w:r>
      <w:r w:rsidRPr="00DE148E">
        <w:rPr>
          <w:rFonts w:ascii="Arial" w:hAnsi="Arial" w:cs="Arial"/>
          <w:sz w:val="16"/>
          <w:szCs w:val="16"/>
        </w:rPr>
        <w:t xml:space="preserve"> = not an ARTG registered indication; </w:t>
      </w:r>
      <w:r w:rsidRPr="00DE148E">
        <w:rPr>
          <w:rFonts w:ascii="Arial" w:hAnsi="Arial" w:cs="Arial"/>
          <w:sz w:val="16"/>
          <w:szCs w:val="16"/>
        </w:rPr>
        <w:sym w:font="Wingdings 2" w:char="F0CB"/>
      </w:r>
      <w:r w:rsidRPr="00DE148E">
        <w:rPr>
          <w:rFonts w:ascii="Arial" w:hAnsi="Arial" w:cs="Arial"/>
          <w:sz w:val="16"/>
          <w:szCs w:val="16"/>
        </w:rPr>
        <w:t xml:space="preserve"> = PBS indication; </w:t>
      </w:r>
      <w:r w:rsidRPr="00DE148E">
        <w:rPr>
          <w:rFonts w:ascii="Arial" w:hAnsi="Arial" w:cs="Arial"/>
          <w:sz w:val="16"/>
          <w:szCs w:val="16"/>
        </w:rPr>
        <w:sym w:font="Wingdings 2" w:char="F09B"/>
      </w:r>
      <w:r w:rsidRPr="00DE148E">
        <w:rPr>
          <w:rFonts w:ascii="Arial" w:hAnsi="Arial" w:cs="Arial"/>
          <w:sz w:val="16"/>
          <w:szCs w:val="16"/>
        </w:rPr>
        <w:t xml:space="preserve"> = not PBS listed for this indication</w:t>
      </w:r>
    </w:p>
    <w:p w:rsidR="001F1180" w:rsidRPr="00DE148E" w:rsidRDefault="001F1180" w:rsidP="00121658">
      <w:pPr>
        <w:spacing w:before="0" w:line="240" w:lineRule="auto"/>
        <w:jc w:val="left"/>
        <w:rPr>
          <w:rFonts w:ascii="Arial" w:hAnsi="Arial" w:cs="Arial"/>
          <w:sz w:val="16"/>
          <w:szCs w:val="16"/>
        </w:rPr>
      </w:pPr>
      <w:proofErr w:type="gramStart"/>
      <w:r w:rsidRPr="00DE148E">
        <w:rPr>
          <w:rFonts w:ascii="Arial" w:hAnsi="Arial" w:cs="Arial"/>
          <w:sz w:val="16"/>
          <w:szCs w:val="16"/>
        </w:rPr>
        <w:t>a</w:t>
      </w:r>
      <w:proofErr w:type="gramEnd"/>
      <w:r w:rsidRPr="00DE148E">
        <w:rPr>
          <w:rFonts w:ascii="Arial" w:hAnsi="Arial" w:cs="Arial"/>
          <w:sz w:val="16"/>
          <w:szCs w:val="16"/>
        </w:rPr>
        <w:t xml:space="preserve">: Ambrisentan with </w:t>
      </w:r>
      <w:proofErr w:type="spellStart"/>
      <w:r w:rsidRPr="00DE148E">
        <w:rPr>
          <w:rFonts w:ascii="Arial" w:hAnsi="Arial" w:cs="Arial"/>
          <w:sz w:val="16"/>
          <w:szCs w:val="16"/>
        </w:rPr>
        <w:t>tadalafi</w:t>
      </w:r>
      <w:proofErr w:type="spellEnd"/>
      <w:r w:rsidRPr="00DE148E">
        <w:rPr>
          <w:rFonts w:ascii="Arial" w:hAnsi="Arial" w:cs="Arial"/>
          <w:sz w:val="16"/>
          <w:szCs w:val="16"/>
        </w:rPr>
        <w:t xml:space="preserve"> (strikethrough)l is not permitted on the PBS</w:t>
      </w:r>
    </w:p>
    <w:p w:rsidR="001F1180" w:rsidRPr="00DE148E" w:rsidRDefault="001F1180" w:rsidP="00121658">
      <w:pPr>
        <w:spacing w:before="0" w:line="240" w:lineRule="auto"/>
        <w:jc w:val="left"/>
        <w:rPr>
          <w:rFonts w:ascii="Arial" w:hAnsi="Arial" w:cs="Arial"/>
          <w:sz w:val="16"/>
          <w:szCs w:val="16"/>
        </w:rPr>
      </w:pPr>
      <w:proofErr w:type="gramStart"/>
      <w:r w:rsidRPr="00DE148E">
        <w:rPr>
          <w:rFonts w:ascii="Arial" w:hAnsi="Arial" w:cs="Arial"/>
          <w:sz w:val="16"/>
          <w:szCs w:val="16"/>
        </w:rPr>
        <w:t>b</w:t>
      </w:r>
      <w:proofErr w:type="gramEnd"/>
      <w:r w:rsidRPr="00DE148E">
        <w:rPr>
          <w:rFonts w:ascii="Arial" w:hAnsi="Arial" w:cs="Arial"/>
          <w:sz w:val="16"/>
          <w:szCs w:val="16"/>
        </w:rPr>
        <w:t>: Sildenafil and tadalafil are indicated for PAH in general (in grey) – efficacy shown only in IPAH and PAH-CTD (in black)</w:t>
      </w:r>
    </w:p>
    <w:p w:rsidR="001F1180" w:rsidRPr="00A9100A" w:rsidRDefault="001F1180" w:rsidP="00121658">
      <w:pPr>
        <w:spacing w:before="0" w:line="240" w:lineRule="auto"/>
        <w:jc w:val="left"/>
        <w:rPr>
          <w:rFonts w:ascii="Arial Narrow" w:hAnsi="Arial Narrow"/>
          <w:sz w:val="18"/>
        </w:rPr>
      </w:pPr>
    </w:p>
    <w:p w:rsidR="00CF3FEC" w:rsidRPr="00DE148E" w:rsidRDefault="00F84C04" w:rsidP="00121658">
      <w:pPr>
        <w:jc w:val="left"/>
        <w:rPr>
          <w:rFonts w:asciiTheme="minorHAnsi" w:hAnsiTheme="minorHAnsi"/>
        </w:rPr>
      </w:pPr>
      <w:r w:rsidRPr="00DE148E">
        <w:rPr>
          <w:rFonts w:asciiTheme="minorHAnsi" w:hAnsiTheme="minorHAnsi"/>
        </w:rPr>
        <w:t xml:space="preserve">Further details of the PAH restrictions are </w:t>
      </w:r>
      <w:r w:rsidR="00CF3FEC" w:rsidRPr="00DE148E">
        <w:rPr>
          <w:rFonts w:asciiTheme="minorHAnsi" w:hAnsiTheme="minorHAnsi"/>
        </w:rPr>
        <w:t xml:space="preserve">tabulated with comments in </w:t>
      </w:r>
      <w:r w:rsidR="00D63371" w:rsidRPr="00D63371">
        <w:rPr>
          <w:rFonts w:asciiTheme="minorHAnsi" w:hAnsiTheme="minorHAnsi"/>
        </w:rPr>
        <w:t xml:space="preserve">Appendix </w:t>
      </w:r>
      <w:proofErr w:type="gramStart"/>
      <w:r w:rsidR="00D63371" w:rsidRPr="00D63371">
        <w:rPr>
          <w:rFonts w:asciiTheme="minorHAnsi" w:hAnsiTheme="minorHAnsi"/>
          <w:noProof/>
        </w:rPr>
        <w:t>1.</w:t>
      </w:r>
      <w:r w:rsidR="00CF3FEC" w:rsidRPr="00DE148E">
        <w:rPr>
          <w:rFonts w:asciiTheme="minorHAnsi" w:hAnsiTheme="minorHAnsi"/>
        </w:rPr>
        <w:t>:</w:t>
      </w:r>
      <w:proofErr w:type="gramEnd"/>
    </w:p>
    <w:p w:rsidR="008D1B08" w:rsidRPr="00DE148E" w:rsidRDefault="00D63371" w:rsidP="00121658">
      <w:pPr>
        <w:jc w:val="left"/>
        <w:rPr>
          <w:rFonts w:asciiTheme="minorHAnsi" w:hAnsiTheme="minorHAnsi" w:cstheme="minorHAnsi"/>
        </w:rPr>
      </w:pPr>
      <w:r w:rsidRPr="00D63371">
        <w:rPr>
          <w:rFonts w:asciiTheme="minorHAnsi" w:hAnsiTheme="minorHAnsi" w:cstheme="minorHAnsi"/>
          <w:bCs/>
          <w:lang w:val="en-US"/>
        </w:rPr>
        <w:t>Table</w:t>
      </w:r>
      <w:r w:rsidRPr="00D63371">
        <w:rPr>
          <w:rFonts w:asciiTheme="minorHAnsi" w:hAnsiTheme="minorHAnsi" w:cstheme="minorHAnsi"/>
        </w:rPr>
        <w:t xml:space="preserve"> 1.22</w:t>
      </w:r>
      <w:r w:rsidRPr="00D63371">
        <w:rPr>
          <w:rFonts w:asciiTheme="minorHAnsi" w:hAnsiTheme="minorHAnsi" w:cstheme="minorHAnsi"/>
        </w:rPr>
        <w:tab/>
        <w:t xml:space="preserve">Clinical criteria and </w:t>
      </w:r>
      <w:r w:rsidRPr="00D63371">
        <w:rPr>
          <w:rFonts w:asciiTheme="minorHAnsi" w:hAnsiTheme="minorHAnsi" w:cstheme="minorHAnsi"/>
          <w:bCs/>
          <w:lang w:val="en-US"/>
        </w:rPr>
        <w:t xml:space="preserve">prescribing </w:t>
      </w:r>
      <w:r>
        <w:t>instructions common</w:t>
      </w:r>
      <w:r w:rsidRPr="00D63371">
        <w:rPr>
          <w:rFonts w:asciiTheme="minorHAnsi" w:hAnsiTheme="minorHAnsi" w:cstheme="minorHAnsi"/>
          <w:bCs/>
          <w:lang w:val="en-US"/>
        </w:rPr>
        <w:t xml:space="preserve"> to all PAH items</w:t>
      </w:r>
    </w:p>
    <w:p w:rsidR="008D1B08" w:rsidRPr="00DE148E" w:rsidRDefault="00D63371" w:rsidP="00121658">
      <w:pPr>
        <w:jc w:val="left"/>
        <w:rPr>
          <w:rFonts w:asciiTheme="minorHAnsi" w:hAnsiTheme="minorHAnsi" w:cstheme="minorHAnsi"/>
        </w:rPr>
      </w:pPr>
      <w:r w:rsidRPr="00D63371">
        <w:rPr>
          <w:rFonts w:asciiTheme="minorHAnsi" w:hAnsiTheme="minorHAnsi" w:cstheme="minorHAnsi"/>
          <w:bCs/>
          <w:lang w:val="en-US"/>
        </w:rPr>
        <w:t>Table</w:t>
      </w:r>
      <w:r w:rsidRPr="00D63371">
        <w:rPr>
          <w:rFonts w:asciiTheme="minorHAnsi" w:hAnsiTheme="minorHAnsi" w:cstheme="minorHAnsi"/>
        </w:rPr>
        <w:t xml:space="preserve"> 1.23</w:t>
      </w:r>
      <w:r w:rsidRPr="00D63371">
        <w:rPr>
          <w:rFonts w:asciiTheme="minorHAnsi" w:hAnsiTheme="minorHAnsi" w:cstheme="minorHAnsi"/>
        </w:rPr>
        <w:tab/>
        <w:t>PAH initial treatment:</w:t>
      </w:r>
      <w:r w:rsidRPr="00D63371">
        <w:rPr>
          <w:rFonts w:asciiTheme="minorHAnsi" w:hAnsiTheme="minorHAnsi" w:cstheme="minorHAnsi"/>
          <w:bCs/>
          <w:lang w:val="en-US"/>
        </w:rPr>
        <w:t xml:space="preserve"> clinical</w:t>
      </w:r>
      <w:r>
        <w:t xml:space="preserve"> criteria </w:t>
      </w:r>
      <w:r w:rsidRPr="00D63371">
        <w:rPr>
          <w:rFonts w:asciiTheme="minorHAnsi" w:hAnsiTheme="minorHAnsi" w:cstheme="minorHAnsi"/>
          <w:bCs/>
          <w:lang w:val="en-US"/>
        </w:rPr>
        <w:t>and prescribing instructions</w:t>
      </w:r>
    </w:p>
    <w:p w:rsidR="008D1B08" w:rsidRPr="00DE148E" w:rsidRDefault="00D63371" w:rsidP="00121658">
      <w:pPr>
        <w:jc w:val="left"/>
        <w:rPr>
          <w:rFonts w:asciiTheme="minorHAnsi" w:hAnsiTheme="minorHAnsi"/>
        </w:rPr>
      </w:pPr>
      <w:r w:rsidRPr="00D63371">
        <w:rPr>
          <w:rFonts w:asciiTheme="minorHAnsi" w:hAnsiTheme="minorHAnsi" w:cstheme="minorHAnsi"/>
          <w:bCs/>
          <w:lang w:val="en-US"/>
        </w:rPr>
        <w:t>Table</w:t>
      </w:r>
      <w:r w:rsidRPr="00D63371">
        <w:rPr>
          <w:rFonts w:asciiTheme="minorHAnsi" w:hAnsiTheme="minorHAnsi" w:cstheme="minorHAnsi"/>
        </w:rPr>
        <w:t xml:space="preserve"> 1.24</w:t>
      </w:r>
      <w:r w:rsidRPr="00D63371">
        <w:rPr>
          <w:rFonts w:asciiTheme="minorHAnsi" w:hAnsiTheme="minorHAnsi" w:cstheme="minorHAnsi"/>
        </w:rPr>
        <w:tab/>
        <w:t>PAH continuing treatment:</w:t>
      </w:r>
      <w:r w:rsidRPr="00D63371">
        <w:rPr>
          <w:rFonts w:asciiTheme="minorHAnsi" w:hAnsiTheme="minorHAnsi" w:cstheme="minorHAnsi"/>
          <w:bCs/>
          <w:lang w:val="en-US"/>
        </w:rPr>
        <w:t xml:space="preserve"> clinical</w:t>
      </w:r>
      <w:r>
        <w:t xml:space="preserve"> criteria </w:t>
      </w:r>
      <w:r w:rsidRPr="00D63371">
        <w:rPr>
          <w:rFonts w:asciiTheme="minorHAnsi" w:hAnsiTheme="minorHAnsi" w:cstheme="minorHAnsi"/>
          <w:bCs/>
          <w:lang w:val="en-US"/>
        </w:rPr>
        <w:t>and prescribing instructions</w:t>
      </w:r>
    </w:p>
    <w:p w:rsidR="008D1B08" w:rsidRPr="00DE148E" w:rsidRDefault="00D63371" w:rsidP="00121658">
      <w:pPr>
        <w:jc w:val="left"/>
        <w:rPr>
          <w:rFonts w:asciiTheme="minorHAnsi" w:hAnsiTheme="minorHAnsi"/>
        </w:rPr>
      </w:pPr>
      <w:r w:rsidRPr="00D63371">
        <w:rPr>
          <w:rFonts w:asciiTheme="minorHAnsi" w:hAnsiTheme="minorHAnsi" w:cstheme="minorHAnsi"/>
          <w:bCs/>
          <w:lang w:val="en-US"/>
        </w:rPr>
        <w:t>Table</w:t>
      </w:r>
      <w:r w:rsidRPr="00D63371">
        <w:rPr>
          <w:rFonts w:asciiTheme="minorHAnsi" w:hAnsiTheme="minorHAnsi" w:cstheme="minorHAnsi"/>
        </w:rPr>
        <w:t xml:space="preserve"> </w:t>
      </w:r>
      <w:proofErr w:type="gramStart"/>
      <w:r w:rsidRPr="00D63371">
        <w:rPr>
          <w:rFonts w:asciiTheme="minorHAnsi" w:hAnsiTheme="minorHAnsi" w:cstheme="minorHAnsi"/>
        </w:rPr>
        <w:t>1.25</w:t>
      </w:r>
      <w:r w:rsidRPr="00D63371">
        <w:rPr>
          <w:rFonts w:asciiTheme="minorHAnsi" w:hAnsiTheme="minorHAnsi" w:cstheme="minorHAnsi"/>
        </w:rPr>
        <w:tab/>
        <w:t>Administrative information in</w:t>
      </w:r>
      <w:proofErr w:type="gramEnd"/>
      <w:r w:rsidRPr="00D63371">
        <w:rPr>
          <w:rFonts w:asciiTheme="minorHAnsi" w:hAnsiTheme="minorHAnsi" w:cstheme="minorHAnsi"/>
        </w:rPr>
        <w:t xml:space="preserve"> </w:t>
      </w:r>
      <w:r w:rsidRPr="00D63371">
        <w:rPr>
          <w:rFonts w:asciiTheme="minorHAnsi" w:hAnsiTheme="minorHAnsi" w:cstheme="minorHAnsi"/>
          <w:bCs/>
          <w:lang w:val="en-US"/>
        </w:rPr>
        <w:t xml:space="preserve">PAH </w:t>
      </w:r>
      <w:r>
        <w:t>items</w:t>
      </w:r>
    </w:p>
    <w:p w:rsidR="000F5DA6" w:rsidRPr="00BB3BA9" w:rsidRDefault="000F5DA6" w:rsidP="00121658">
      <w:pPr>
        <w:pStyle w:val="Heading4"/>
        <w:jc w:val="left"/>
        <w:rPr>
          <w:rFonts w:eastAsiaTheme="minorEastAsia"/>
        </w:rPr>
      </w:pPr>
      <w:r>
        <w:rPr>
          <w:rFonts w:eastAsiaTheme="minorEastAsia"/>
        </w:rPr>
        <w:t>Architecture of current PAH items on the PBS</w:t>
      </w:r>
      <w:bookmarkEnd w:id="214"/>
      <w:bookmarkEnd w:id="215"/>
      <w:bookmarkEnd w:id="216"/>
    </w:p>
    <w:p w:rsidR="000F5DA6" w:rsidRPr="00841982" w:rsidRDefault="000F5DA6" w:rsidP="00DE148E">
      <w:pPr>
        <w:pStyle w:val="BodyTextnospacebefore"/>
      </w:pPr>
      <w:r w:rsidRPr="00841982">
        <w:t>All PAH drugs are listed under Section 100 of the Schedule as Highly Specialised Drugs – these are ‘hospital only’ items. PAH items are also ‘complex authority required’ (CAR), that involve application to the Department of Hum</w:t>
      </w:r>
      <w:r w:rsidR="00B15FF7">
        <w:t>an Services (DHS) Complex Drugs</w:t>
      </w:r>
      <w:r w:rsidR="009301E0">
        <w:t>.</w:t>
      </w:r>
    </w:p>
    <w:p w:rsidR="000F5DA6" w:rsidRPr="00841982" w:rsidRDefault="000F5DA6" w:rsidP="00DE148E">
      <w:pPr>
        <w:pStyle w:val="BodyTextnospacebefore"/>
      </w:pPr>
      <w:r w:rsidRPr="00841982">
        <w:t>Each restriction has core clinical criteria that must be satisfied for each patient, and requirements in prescribing instructions that prescribers must address in a written application which require a patient narra</w:t>
      </w:r>
      <w:r w:rsidR="009301E0">
        <w:t>tive and/or diagnostic results.</w:t>
      </w:r>
    </w:p>
    <w:p w:rsidR="000F5DA6" w:rsidRPr="00841982" w:rsidRDefault="000F5DA6" w:rsidP="00DE148E">
      <w:pPr>
        <w:pStyle w:val="BodyTextnospacebefore"/>
      </w:pPr>
      <w:r w:rsidRPr="00841982">
        <w:t>Complex written authorities are typically imposed on those PBS listings where some or all of the following issues apply:</w:t>
      </w:r>
    </w:p>
    <w:p w:rsidR="000F5DA6" w:rsidRPr="00841982" w:rsidRDefault="000F5DA6" w:rsidP="00921D13">
      <w:pPr>
        <w:pStyle w:val="08Bulletsseriesofsentences"/>
      </w:pPr>
      <w:r w:rsidRPr="00841982">
        <w:t xml:space="preserve">The medicine is new and clinical practice is still adapting to accommodate it; </w:t>
      </w:r>
    </w:p>
    <w:p w:rsidR="000F5DA6" w:rsidRPr="00841982" w:rsidRDefault="000F5DA6" w:rsidP="00921D13">
      <w:pPr>
        <w:pStyle w:val="08Bulletsseriesofsentences"/>
      </w:pPr>
      <w:r w:rsidRPr="00841982">
        <w:t>The medicine requires prescribing by specialists with particular experience or training in the patient group that not all specialists in that ar</w:t>
      </w:r>
      <w:r w:rsidR="009301E0">
        <w:t>ea may have;</w:t>
      </w:r>
    </w:p>
    <w:p w:rsidR="000F5DA6" w:rsidRPr="00841982" w:rsidRDefault="000F5DA6" w:rsidP="00921D13">
      <w:pPr>
        <w:pStyle w:val="08Bulletsseriesofsentences"/>
      </w:pPr>
      <w:r w:rsidRPr="00841982">
        <w:t>There is a high risk to the Commonwealth of use outside the patient group that PBAC considers to be cost-effective (</w:t>
      </w:r>
      <w:r w:rsidR="00BB6E67">
        <w:t>‘</w:t>
      </w:r>
      <w:r w:rsidRPr="00841982">
        <w:t>leakage</w:t>
      </w:r>
      <w:r w:rsidR="00BB6E67">
        <w:t>’</w:t>
      </w:r>
      <w:r w:rsidRPr="00841982">
        <w:t xml:space="preserve">); and </w:t>
      </w:r>
    </w:p>
    <w:p w:rsidR="000F5DA6" w:rsidRPr="00841982" w:rsidRDefault="000F5DA6" w:rsidP="00921D13">
      <w:pPr>
        <w:pStyle w:val="08Bulletsseriesofsentences"/>
      </w:pPr>
      <w:r w:rsidRPr="00841982">
        <w:t>The price of the drug is high (and listing is accompanied by a risk share agreement between the Sponsor and t</w:t>
      </w:r>
      <w:r w:rsidR="009301E0">
        <w:t>he Commonwealth).</w:t>
      </w:r>
    </w:p>
    <w:p w:rsidR="000F5DA6" w:rsidRPr="00841982" w:rsidRDefault="000F5DA6" w:rsidP="00DE148E">
      <w:pPr>
        <w:pStyle w:val="BodyTextnospacebefore"/>
      </w:pPr>
      <w:r w:rsidRPr="00841982">
        <w:t>Within each PBS item, separate restrictions are included for different purposes that cover initial treatment, switching, grandfathering, balance of supply (where the dispensed quantity has been insufficient), continuing treatment and cessation of treatment (to allow for dose reduction). There are in some cases further distinctions within each of those purposes; for example where initial patients fall into different PAH types or WHO Functional Class. A detailed break-down of items in terms of</w:t>
      </w:r>
      <w:r w:rsidR="00413730">
        <w:t xml:space="preserve"> these features is </w:t>
      </w:r>
      <w:r w:rsidR="00D63371">
        <w:t>Appendix 1.D</w:t>
      </w:r>
      <w:r w:rsidR="00D63371">
        <w:tab/>
        <w:t>Details of PAH restrictions</w:t>
      </w:r>
      <w:r w:rsidRPr="00841982">
        <w:t xml:space="preserve">. </w:t>
      </w:r>
    </w:p>
    <w:p w:rsidR="000F5DA6" w:rsidRPr="00841982" w:rsidRDefault="000F5DA6" w:rsidP="00DE148E">
      <w:pPr>
        <w:pStyle w:val="BodyTextnospacebefore"/>
      </w:pPr>
      <w:r w:rsidRPr="00841982">
        <w:t>‘Balance of supply’ and ‘subsequent continuing’ treatment applications can be made by telephone (‘telephone authorities’) but all ‘initial’ treatment and ‘first continuing’ treatment applications must be in writing</w:t>
      </w:r>
      <w:r w:rsidR="00C6734D">
        <w:t xml:space="preserve">. </w:t>
      </w:r>
    </w:p>
    <w:p w:rsidR="000F5DA6" w:rsidRPr="00841982" w:rsidRDefault="000F5DA6" w:rsidP="00DE148E">
      <w:pPr>
        <w:pStyle w:val="BodyTextnospacebefore"/>
      </w:pPr>
      <w:r w:rsidRPr="00841982">
        <w:t>The three types of PAH initial treatment items are for the following purposes (with the exception of epoprostenol):</w:t>
      </w:r>
    </w:p>
    <w:p w:rsidR="000F5DA6" w:rsidRPr="00841982" w:rsidRDefault="000F5DA6" w:rsidP="00921D13">
      <w:pPr>
        <w:pStyle w:val="08Bulletsseriesofsentences"/>
      </w:pPr>
      <w:r w:rsidRPr="00841982">
        <w:t>‘Initial 1’ that requires trial and failure of vasodilator treatment in Class III patients with mean right atrial pressure of 8 mmHg or less;</w:t>
      </w:r>
    </w:p>
    <w:p w:rsidR="000F5DA6" w:rsidRPr="00841982" w:rsidRDefault="000F5DA6" w:rsidP="00921D13">
      <w:pPr>
        <w:pStyle w:val="08Bulletsseriesofsentences"/>
      </w:pPr>
      <w:r w:rsidRPr="00841982">
        <w:t xml:space="preserve">‘Initial 2’ in which prior vasodilator treatment is not required, but only in Class III patients whose mean right atrial pressure is greater than 8 mmHg, or Class IV patients (where listed for </w:t>
      </w:r>
      <w:r w:rsidR="003B01AE">
        <w:t>that agent and indication), and</w:t>
      </w:r>
    </w:p>
    <w:p w:rsidR="000F5DA6" w:rsidRPr="00841982" w:rsidRDefault="000F5DA6" w:rsidP="00921D13">
      <w:pPr>
        <w:pStyle w:val="08Bulletsseriesofsentences"/>
      </w:pPr>
      <w:r w:rsidRPr="00841982">
        <w:t xml:space="preserve">‘Initial 2 or 3’ which provides for re-commencement or switching between </w:t>
      </w:r>
      <w:r w:rsidR="00F95235">
        <w:t>PAH medicines</w:t>
      </w:r>
      <w:r w:rsidRPr="00841982">
        <w:t xml:space="preserve"> (under certain circumstances only).</w:t>
      </w:r>
    </w:p>
    <w:p w:rsidR="00466E3F" w:rsidRDefault="00466E3F" w:rsidP="00CB0EC1">
      <w:pPr>
        <w:pStyle w:val="BodyTextnospacebefore"/>
      </w:pPr>
      <w:r w:rsidRPr="00466E3F">
        <w:t xml:space="preserve">At least one report in the medical literature refers to the “administrative and repeat testing burden” of the current PBS </w:t>
      </w:r>
      <w:r w:rsidRPr="00CB0EC1">
        <w:t>restrictions</w:t>
      </w:r>
      <w:r w:rsidRPr="00466E3F">
        <w:t>, but notes that the introduction of the ‘subsequent continuing’ restriction does reduce this (evidence of response no longer required to be provided in writing in patients who have demonstrated a response to initial and first continuing treatment)</w:t>
      </w:r>
      <w:r w:rsidR="009C556B" w:rsidRPr="009C556B">
        <w:rPr>
          <w:noProof/>
          <w:vertAlign w:val="superscript"/>
        </w:rPr>
        <w:t>13</w:t>
      </w:r>
      <w:r w:rsidRPr="00466E3F">
        <w:t>.</w:t>
      </w:r>
      <w:r w:rsidR="001266C7">
        <w:t xml:space="preserve"> </w:t>
      </w:r>
      <w:r w:rsidR="00751569">
        <w:t xml:space="preserve">Another </w:t>
      </w:r>
      <w:r w:rsidR="00D61274">
        <w:t xml:space="preserve">paper which reported the initial experience of the first </w:t>
      </w:r>
      <w:r w:rsidR="00D61274" w:rsidRPr="00D61274">
        <w:t xml:space="preserve">multi-disciplinary regional PAH </w:t>
      </w:r>
      <w:r w:rsidR="00A91328">
        <w:t xml:space="preserve">clinic </w:t>
      </w:r>
      <w:r w:rsidR="00D61274" w:rsidRPr="00D61274">
        <w:t>in Australia</w:t>
      </w:r>
      <w:r w:rsidR="00D61274">
        <w:t xml:space="preserve"> </w:t>
      </w:r>
      <w:r w:rsidR="00751569">
        <w:t>describes ‘submission of PBS-related paperwork’ as one of the key functions of the rheumatology nurse for their PAH clinic</w:t>
      </w:r>
      <w:r w:rsidR="009C556B" w:rsidRPr="009C556B">
        <w:rPr>
          <w:noProof/>
          <w:vertAlign w:val="superscript"/>
        </w:rPr>
        <w:t>38</w:t>
      </w:r>
      <w:r w:rsidR="00751569">
        <w:t>.</w:t>
      </w:r>
    </w:p>
    <w:p w:rsidR="000F5DA6" w:rsidRPr="0021791D" w:rsidRDefault="000F5DA6" w:rsidP="00DE148E">
      <w:pPr>
        <w:pStyle w:val="BodyTextnospacebefore"/>
      </w:pPr>
      <w:r w:rsidRPr="00841982">
        <w:t>All applications for complex drugs are handled by the DHS office responsible for Complex Drugs (located in Hobart) – both written and telephone applications.</w:t>
      </w:r>
      <w:r w:rsidRPr="0021791D">
        <w:t xml:space="preserve"> </w:t>
      </w:r>
      <w:r w:rsidR="0021791D" w:rsidRPr="0021791D">
        <w:t>DHS practices in administering these items were not within the scope of this review</w:t>
      </w:r>
      <w:r w:rsidR="00AC5B85">
        <w:t xml:space="preserve">. </w:t>
      </w:r>
    </w:p>
    <w:p w:rsidR="00B572F4" w:rsidRDefault="00B572F4" w:rsidP="00121658">
      <w:pPr>
        <w:pStyle w:val="Heading3"/>
        <w:jc w:val="left"/>
      </w:pPr>
      <w:bookmarkStart w:id="219" w:name="_Toc513107607"/>
      <w:r>
        <w:t>PAH therapy recommendations</w:t>
      </w:r>
      <w:bookmarkEnd w:id="219"/>
    </w:p>
    <w:p w:rsidR="00B15FF7" w:rsidRDefault="00B572F4" w:rsidP="00DE148E">
      <w:pPr>
        <w:pStyle w:val="BodyTextnospacebefore"/>
      </w:pPr>
      <w:r>
        <w:t xml:space="preserve">The PBS restriction requirements (in terms of therapy with </w:t>
      </w:r>
      <w:r w:rsidR="00F95235">
        <w:t>PAH medicines</w:t>
      </w:r>
      <w:r>
        <w:t xml:space="preserve">) are presented with </w:t>
      </w:r>
      <w:r w:rsidR="009C25F2">
        <w:t>commentary</w:t>
      </w:r>
      <w:r>
        <w:t xml:space="preserve"> in </w:t>
      </w:r>
      <w:r w:rsidR="00D63371">
        <w:t>Table 1.</w:t>
      </w:r>
      <w:r w:rsidR="00D63371">
        <w:rPr>
          <w:noProof/>
        </w:rPr>
        <w:t>17</w:t>
      </w:r>
      <w:r w:rsidR="003C17FA">
        <w:t xml:space="preserve">. </w:t>
      </w:r>
      <w:r>
        <w:t xml:space="preserve">Those specific to vasodilator therapy are in </w:t>
      </w:r>
      <w:r w:rsidR="00D63371">
        <w:t>Table 1.</w:t>
      </w:r>
      <w:r w:rsidR="00D63371">
        <w:rPr>
          <w:noProof/>
        </w:rPr>
        <w:t>18</w:t>
      </w:r>
      <w:r>
        <w:t xml:space="preserve">. </w:t>
      </w:r>
      <w:r w:rsidR="00922EA4">
        <w:t>Selected</w:t>
      </w:r>
      <w:r>
        <w:t xml:space="preserve"> issues are discussed further below</w:t>
      </w:r>
      <w:r w:rsidR="00364153">
        <w:t xml:space="preserve">. </w:t>
      </w:r>
      <w:bookmarkStart w:id="220" w:name="_Toc473291083"/>
      <w:bookmarkStart w:id="221" w:name="_Toc480371886"/>
      <w:bookmarkStart w:id="222" w:name="_Toc486514234"/>
      <w:r w:rsidR="00922EA4">
        <w:rPr>
          <w:rFonts w:cstheme="minorHAnsi"/>
        </w:rPr>
        <w:t>Restriction requirements and commentary regarding</w:t>
      </w:r>
      <w:r w:rsidR="00364153">
        <w:rPr>
          <w:rFonts w:cstheme="minorHAnsi"/>
        </w:rPr>
        <w:t xml:space="preserve"> diagnostic and monitoring criteria</w:t>
      </w:r>
      <w:r w:rsidR="00364153" w:rsidRPr="00FA749E">
        <w:rPr>
          <w:rFonts w:cstheme="minorHAnsi"/>
        </w:rPr>
        <w:t xml:space="preserve"> </w:t>
      </w:r>
      <w:r w:rsidR="00364153">
        <w:rPr>
          <w:rFonts w:cstheme="minorHAnsi"/>
        </w:rPr>
        <w:t xml:space="preserve">are in </w:t>
      </w:r>
      <w:r w:rsidR="00D63371">
        <w:t>Table 1.</w:t>
      </w:r>
      <w:r w:rsidR="00D63371">
        <w:rPr>
          <w:noProof/>
        </w:rPr>
        <w:t>19</w:t>
      </w:r>
      <w:r w:rsidR="00364153">
        <w:t xml:space="preserve">. </w:t>
      </w:r>
    </w:p>
    <w:p w:rsidR="00364153" w:rsidRPr="00A60F44" w:rsidRDefault="00364153" w:rsidP="00121658">
      <w:pPr>
        <w:jc w:val="left"/>
        <w:rPr>
          <w:rFonts w:asciiTheme="minorHAnsi" w:hAnsiTheme="minorHAnsi"/>
        </w:rPr>
      </w:pPr>
      <w:r w:rsidRPr="00A60F44">
        <w:rPr>
          <w:rFonts w:asciiTheme="minorHAnsi" w:hAnsiTheme="minorHAnsi"/>
        </w:rPr>
        <w:t xml:space="preserve">More complete text of the restriction elements is in the more detailed tables in </w:t>
      </w:r>
      <w:r w:rsidR="00D63371" w:rsidRPr="00D63371">
        <w:rPr>
          <w:rFonts w:asciiTheme="minorHAnsi" w:hAnsiTheme="minorHAnsi"/>
        </w:rPr>
        <w:t xml:space="preserve">Appendix </w:t>
      </w:r>
      <w:r w:rsidR="00D63371" w:rsidRPr="00D63371">
        <w:rPr>
          <w:rFonts w:asciiTheme="minorHAnsi" w:hAnsiTheme="minorHAnsi"/>
          <w:noProof/>
        </w:rPr>
        <w:t>1.D</w:t>
      </w:r>
      <w:r w:rsidR="00F275ED" w:rsidRPr="00A60F44">
        <w:rPr>
          <w:rFonts w:asciiTheme="minorHAnsi" w:hAnsiTheme="minorHAnsi"/>
        </w:rPr>
        <w:t xml:space="preserve"> </w:t>
      </w:r>
      <w:r w:rsidRPr="00A60F44">
        <w:rPr>
          <w:rFonts w:asciiTheme="minorHAnsi" w:hAnsiTheme="minorHAnsi"/>
        </w:rPr>
        <w:t>(</w:t>
      </w:r>
      <w:r w:rsidR="00D63371" w:rsidRPr="00D63371">
        <w:rPr>
          <w:rFonts w:asciiTheme="minorHAnsi" w:hAnsiTheme="minorHAnsi"/>
        </w:rPr>
        <w:t>Table 1.22</w:t>
      </w:r>
      <w:r w:rsidRPr="00A60F44">
        <w:rPr>
          <w:rFonts w:asciiTheme="minorHAnsi" w:hAnsiTheme="minorHAnsi"/>
        </w:rPr>
        <w:t xml:space="preserve">; </w:t>
      </w:r>
      <w:r w:rsidR="00D63371" w:rsidRPr="00D63371">
        <w:rPr>
          <w:rFonts w:asciiTheme="minorHAnsi" w:hAnsiTheme="minorHAnsi"/>
        </w:rPr>
        <w:t>Table 1.23</w:t>
      </w:r>
      <w:r w:rsidRPr="00A60F44">
        <w:rPr>
          <w:rFonts w:asciiTheme="minorHAnsi" w:hAnsiTheme="minorHAnsi"/>
        </w:rPr>
        <w:t xml:space="preserve">; </w:t>
      </w:r>
      <w:r w:rsidR="00D63371" w:rsidRPr="00D63371">
        <w:rPr>
          <w:rFonts w:asciiTheme="minorHAnsi" w:hAnsiTheme="minorHAnsi"/>
        </w:rPr>
        <w:t>Table 1.24</w:t>
      </w:r>
      <w:r w:rsidRPr="00A60F44">
        <w:rPr>
          <w:rFonts w:asciiTheme="minorHAnsi" w:hAnsiTheme="minorHAnsi"/>
        </w:rPr>
        <w:t xml:space="preserve">; </w:t>
      </w:r>
      <w:r w:rsidR="00D63371" w:rsidRPr="00D63371">
        <w:rPr>
          <w:rFonts w:asciiTheme="minorHAnsi" w:hAnsiTheme="minorHAnsi"/>
        </w:rPr>
        <w:t>Table 1.25</w:t>
      </w:r>
      <w:r w:rsidRPr="00A60F44">
        <w:rPr>
          <w:rFonts w:asciiTheme="minorHAnsi" w:hAnsiTheme="minorHAnsi"/>
        </w:rPr>
        <w:t>), along with a number of minor co</w:t>
      </w:r>
      <w:r w:rsidR="009C25F2" w:rsidRPr="00A60F44">
        <w:rPr>
          <w:rFonts w:asciiTheme="minorHAnsi" w:hAnsiTheme="minorHAnsi"/>
        </w:rPr>
        <w:t>mments not included herein</w:t>
      </w:r>
      <w:r w:rsidRPr="00A60F44">
        <w:rPr>
          <w:rFonts w:asciiTheme="minorHAnsi" w:hAnsiTheme="minorHAnsi"/>
        </w:rPr>
        <w:t xml:space="preserve">. </w:t>
      </w:r>
    </w:p>
    <w:p w:rsidR="00160D16" w:rsidRDefault="00160D16" w:rsidP="00121658">
      <w:pPr>
        <w:pStyle w:val="Heading4"/>
        <w:jc w:val="left"/>
        <w:rPr>
          <w:rFonts w:eastAsiaTheme="minorEastAsia"/>
          <w:sz w:val="28"/>
          <w:szCs w:val="22"/>
          <w:lang w:eastAsia="en-AU"/>
        </w:rPr>
      </w:pPr>
      <w:bookmarkStart w:id="223" w:name="_Ref506373350"/>
      <w:r>
        <w:rPr>
          <w:rFonts w:eastAsiaTheme="minorEastAsia"/>
        </w:rPr>
        <w:t xml:space="preserve">Treatment of patients with </w:t>
      </w:r>
      <w:r w:rsidR="00F95235">
        <w:rPr>
          <w:rFonts w:eastAsiaTheme="minorEastAsia"/>
        </w:rPr>
        <w:t>PAH medicines</w:t>
      </w:r>
      <w:r>
        <w:rPr>
          <w:rFonts w:eastAsiaTheme="minorEastAsia"/>
        </w:rPr>
        <w:t xml:space="preserve"> according to WHO FC status</w:t>
      </w:r>
      <w:bookmarkEnd w:id="223"/>
    </w:p>
    <w:p w:rsidR="00160D16" w:rsidRPr="00DE148E" w:rsidRDefault="00160D16" w:rsidP="00121658">
      <w:pPr>
        <w:pStyle w:val="Heading5"/>
        <w:jc w:val="left"/>
        <w:rPr>
          <w:rFonts w:asciiTheme="minorHAnsi" w:hAnsiTheme="minorHAnsi"/>
        </w:rPr>
      </w:pPr>
      <w:r w:rsidRPr="00DE148E">
        <w:rPr>
          <w:rFonts w:asciiTheme="minorHAnsi" w:hAnsiTheme="minorHAnsi"/>
        </w:rPr>
        <w:t>Current PBS requirement</w:t>
      </w:r>
    </w:p>
    <w:p w:rsidR="00160D16" w:rsidRPr="00DE148E" w:rsidRDefault="00160D16" w:rsidP="00121658">
      <w:pPr>
        <w:jc w:val="left"/>
        <w:rPr>
          <w:rFonts w:asciiTheme="minorHAnsi" w:hAnsiTheme="minorHAnsi"/>
        </w:rPr>
      </w:pPr>
      <w:r w:rsidRPr="00DE148E">
        <w:rPr>
          <w:rFonts w:asciiTheme="minorHAnsi" w:hAnsiTheme="minorHAnsi"/>
        </w:rPr>
        <w:t>The current PAH restrictions are subject to the following clinical criteria:</w:t>
      </w:r>
    </w:p>
    <w:p w:rsidR="00160D16" w:rsidRPr="00DE148E" w:rsidRDefault="00160D16" w:rsidP="00121658">
      <w:pPr>
        <w:jc w:val="left"/>
        <w:rPr>
          <w:rFonts w:asciiTheme="minorHAnsi" w:hAnsiTheme="minorHAnsi"/>
        </w:rPr>
      </w:pPr>
      <w:r w:rsidRPr="00DE148E">
        <w:rPr>
          <w:rFonts w:asciiTheme="minorHAnsi" w:hAnsiTheme="minorHAnsi"/>
        </w:rPr>
        <w:t>Patient must have WHO Functional Class III, OR</w:t>
      </w:r>
      <w:r w:rsidR="00E777EE" w:rsidRPr="00DE148E">
        <w:rPr>
          <w:rFonts w:asciiTheme="minorHAnsi" w:hAnsiTheme="minorHAnsi"/>
        </w:rPr>
        <w:t>;</w:t>
      </w:r>
    </w:p>
    <w:p w:rsidR="00160D16" w:rsidRPr="00DE148E" w:rsidRDefault="00160D16" w:rsidP="00121658">
      <w:pPr>
        <w:jc w:val="left"/>
        <w:rPr>
          <w:rFonts w:asciiTheme="minorHAnsi" w:hAnsiTheme="minorHAnsi"/>
        </w:rPr>
      </w:pPr>
      <w:r w:rsidRPr="00DE148E">
        <w:rPr>
          <w:rFonts w:asciiTheme="minorHAnsi" w:hAnsiTheme="minorHAnsi"/>
        </w:rPr>
        <w:t>Patient must have WHO Functional Class IV</w:t>
      </w:r>
    </w:p>
    <w:p w:rsidR="00160D16" w:rsidRPr="00DE148E" w:rsidRDefault="00160D16" w:rsidP="00121658">
      <w:pPr>
        <w:jc w:val="left"/>
        <w:rPr>
          <w:rFonts w:asciiTheme="minorHAnsi" w:hAnsiTheme="minorHAnsi"/>
        </w:rPr>
      </w:pPr>
      <w:r w:rsidRPr="00DE148E">
        <w:rPr>
          <w:rFonts w:asciiTheme="minorHAnsi" w:hAnsiTheme="minorHAnsi"/>
        </w:rPr>
        <w:t>In addition</w:t>
      </w:r>
      <w:r w:rsidR="00E777EE" w:rsidRPr="00DE148E">
        <w:rPr>
          <w:rFonts w:asciiTheme="minorHAnsi" w:hAnsiTheme="minorHAnsi"/>
        </w:rPr>
        <w:t>, different PAH items reflect these principles</w:t>
      </w:r>
      <w:r w:rsidRPr="00DE148E">
        <w:rPr>
          <w:rFonts w:asciiTheme="minorHAnsi" w:hAnsiTheme="minorHAnsi"/>
        </w:rPr>
        <w:t>:</w:t>
      </w:r>
    </w:p>
    <w:p w:rsidR="00160D16" w:rsidRDefault="00AF191D" w:rsidP="00921D13">
      <w:pPr>
        <w:pStyle w:val="08Bulletsseriesofsentences"/>
      </w:pPr>
      <w:r>
        <w:t>PDE</w:t>
      </w:r>
      <w:r>
        <w:noBreakHyphen/>
        <w:t>5</w:t>
      </w:r>
      <w:r w:rsidR="00160D16">
        <w:t xml:space="preserve"> inhibitor restrictions </w:t>
      </w:r>
      <w:r w:rsidR="009E0205">
        <w:t>are for WHO FC III only, consistent with TGA status</w:t>
      </w:r>
      <w:r w:rsidR="003A138E">
        <w:t>.</w:t>
      </w:r>
    </w:p>
    <w:p w:rsidR="00160D16" w:rsidRDefault="00160D16" w:rsidP="00921D13">
      <w:pPr>
        <w:pStyle w:val="08Bulletsseriesofsentences"/>
      </w:pPr>
      <w:r>
        <w:t>Epoprostenol is listed first line for WHO FC IV and second line for WHO FC III</w:t>
      </w:r>
      <w:r w:rsidR="003A138E">
        <w:t>.</w:t>
      </w:r>
      <w:r>
        <w:t xml:space="preserve"> </w:t>
      </w:r>
    </w:p>
    <w:p w:rsidR="00160D16" w:rsidRDefault="00160D16" w:rsidP="00921D13">
      <w:pPr>
        <w:pStyle w:val="08Bulletsseriesofsentences"/>
      </w:pPr>
      <w:r>
        <w:t>Iloprost is listed to treat drug-induced PAH in WHO FC III patients, other indications are for WHO FC IV patients</w:t>
      </w:r>
      <w:r w:rsidR="003A138E">
        <w:t>.</w:t>
      </w:r>
    </w:p>
    <w:p w:rsidR="00160D16" w:rsidRPr="00E03052" w:rsidRDefault="00160D16" w:rsidP="00121658">
      <w:pPr>
        <w:pStyle w:val="Heading5"/>
        <w:numPr>
          <w:ilvl w:val="0"/>
          <w:numId w:val="0"/>
        </w:numPr>
        <w:jc w:val="left"/>
        <w:rPr>
          <w:rFonts w:asciiTheme="minorHAnsi" w:hAnsiTheme="minorHAnsi"/>
        </w:rPr>
      </w:pPr>
      <w:r w:rsidRPr="00E03052">
        <w:rPr>
          <w:rFonts w:asciiTheme="minorHAnsi" w:hAnsiTheme="minorHAnsi"/>
        </w:rPr>
        <w:t>Guideline recommendations</w:t>
      </w:r>
    </w:p>
    <w:p w:rsidR="00160D16" w:rsidRDefault="00160D16" w:rsidP="00E03052">
      <w:pPr>
        <w:pStyle w:val="BodyTextnospacebefore"/>
      </w:pPr>
      <w:r>
        <w:t xml:space="preserve">Current guidelines recommend that treatment of patients who have WHO FC II disease with oral </w:t>
      </w:r>
      <w:r w:rsidR="00F95235">
        <w:t>PAH medicines</w:t>
      </w:r>
      <w:r>
        <w:t xml:space="preserve"> is recommended as standard of care. Those who are eligible to receive high dose CCBs are only a small subset of PAH patients. Also:</w:t>
      </w:r>
    </w:p>
    <w:p w:rsidR="00160D16" w:rsidRDefault="00160D16" w:rsidP="00921D13">
      <w:pPr>
        <w:pStyle w:val="08Bulletsseriesofsentences"/>
      </w:pPr>
      <w:r>
        <w:t xml:space="preserve">Oral </w:t>
      </w:r>
      <w:r w:rsidR="00F95235">
        <w:t>PAH medicines</w:t>
      </w:r>
      <w:r>
        <w:t xml:space="preserve"> should be used in patients with WHO functional Class II disease. This is the standard of care in these patients. </w:t>
      </w:r>
    </w:p>
    <w:p w:rsidR="00160D16" w:rsidRDefault="00160D16" w:rsidP="00921D13">
      <w:pPr>
        <w:pStyle w:val="08Bulletsseriesofsentences"/>
      </w:pPr>
      <w:r>
        <w:t xml:space="preserve">In line with the registered clinical indications, prostacyclin analogues (prostanoids) are not recommended for the treatment of WHO FC II </w:t>
      </w:r>
      <w:proofErr w:type="gramStart"/>
      <w:r>
        <w:t>patients,</w:t>
      </w:r>
      <w:proofErr w:type="gramEnd"/>
      <w:r>
        <w:t xml:space="preserve"> and typically not for patients with WHO FC III status in the absence of high risk factors. </w:t>
      </w:r>
      <w:r w:rsidR="00E777EE">
        <w:t>However, patients with advanced PAH or presence high risk factors should be treated with treatment including a prostanoid</w:t>
      </w:r>
      <w:r w:rsidR="00A71B36">
        <w:t>, without reference to line of therapy</w:t>
      </w:r>
      <w:r w:rsidR="003A138E">
        <w:t>.</w:t>
      </w:r>
    </w:p>
    <w:p w:rsidR="00160D16" w:rsidRPr="00FA749E" w:rsidRDefault="00AF191D" w:rsidP="00921D13">
      <w:pPr>
        <w:pStyle w:val="08Bulletsseriesofsentences"/>
      </w:pPr>
      <w:r>
        <w:t>PDE</w:t>
      </w:r>
      <w:r>
        <w:noBreakHyphen/>
        <w:t>5</w:t>
      </w:r>
      <w:r w:rsidR="00160D16">
        <w:t xml:space="preserve"> inhibitors are recommended for patients with WHO FC IV disease but the evidence base is weaker</w:t>
      </w:r>
    </w:p>
    <w:p w:rsidR="00574067" w:rsidRPr="00E03052" w:rsidRDefault="00574067" w:rsidP="00121658">
      <w:pPr>
        <w:pStyle w:val="Heading4"/>
        <w:jc w:val="left"/>
        <w:rPr>
          <w:rFonts w:eastAsiaTheme="minorEastAsia"/>
          <w:sz w:val="28"/>
          <w:szCs w:val="22"/>
          <w:lang w:eastAsia="en-AU"/>
        </w:rPr>
      </w:pPr>
      <w:bookmarkStart w:id="224" w:name="_Ref506293220"/>
      <w:bookmarkEnd w:id="220"/>
      <w:bookmarkEnd w:id="221"/>
      <w:bookmarkEnd w:id="222"/>
      <w:r w:rsidRPr="00E03052">
        <w:rPr>
          <w:rFonts w:eastAsiaTheme="minorEastAsia"/>
        </w:rPr>
        <w:t xml:space="preserve">Use of </w:t>
      </w:r>
      <w:r w:rsidR="00F95235" w:rsidRPr="00E03052">
        <w:rPr>
          <w:rFonts w:eastAsiaTheme="minorEastAsia"/>
        </w:rPr>
        <w:t>PAH medicines</w:t>
      </w:r>
      <w:r w:rsidRPr="00E03052">
        <w:rPr>
          <w:rFonts w:eastAsiaTheme="minorEastAsia"/>
        </w:rPr>
        <w:t xml:space="preserve"> in combination</w:t>
      </w:r>
      <w:bookmarkEnd w:id="224"/>
      <w:r w:rsidRPr="00E03052">
        <w:rPr>
          <w:rFonts w:eastAsiaTheme="minorEastAsia"/>
        </w:rPr>
        <w:t xml:space="preserve"> </w:t>
      </w:r>
    </w:p>
    <w:p w:rsidR="00574067" w:rsidRPr="00E03052" w:rsidRDefault="00574067" w:rsidP="00121658">
      <w:pPr>
        <w:pStyle w:val="Heading5"/>
        <w:jc w:val="left"/>
        <w:rPr>
          <w:rFonts w:asciiTheme="minorHAnsi" w:hAnsiTheme="minorHAnsi"/>
        </w:rPr>
      </w:pPr>
      <w:r w:rsidRPr="00E03052">
        <w:rPr>
          <w:rFonts w:asciiTheme="minorHAnsi" w:hAnsiTheme="minorHAnsi"/>
        </w:rPr>
        <w:t>Current PBS requirement</w:t>
      </w:r>
    </w:p>
    <w:p w:rsidR="00574067" w:rsidRDefault="00574067" w:rsidP="00E03052">
      <w:pPr>
        <w:pStyle w:val="BodyTextnospacebefore"/>
      </w:pPr>
      <w:r>
        <w:t xml:space="preserve">The current PBS restrictions specify that </w:t>
      </w:r>
      <w:r w:rsidRPr="00574067">
        <w:t>treatment must be the sole PBS-subsidised PAH agent for this condition</w:t>
      </w:r>
      <w:r w:rsidR="00496849">
        <w:t xml:space="preserve">. </w:t>
      </w:r>
      <w:r w:rsidR="00A71B36">
        <w:t>T</w:t>
      </w:r>
      <w:r w:rsidRPr="00574067">
        <w:t xml:space="preserve">his is distinct from ‘as monotherapy’, which appears in PBS restrictions for other medicines (and precludes any co-administration at all). </w:t>
      </w:r>
    </w:p>
    <w:p w:rsidR="00574067" w:rsidRPr="004F0200" w:rsidRDefault="00574067" w:rsidP="00E03052">
      <w:pPr>
        <w:pStyle w:val="BodyTextnospacebefore"/>
      </w:pPr>
      <w:r w:rsidRPr="00574067">
        <w:t>Patients who fail to demonstrate a response</w:t>
      </w:r>
      <w:r w:rsidR="009E0205">
        <w:t xml:space="preserve"> </w:t>
      </w:r>
      <w:r w:rsidRPr="00574067">
        <w:t xml:space="preserve">must cease therapy with </w:t>
      </w:r>
      <w:r>
        <w:t>that</w:t>
      </w:r>
      <w:r w:rsidRPr="00574067">
        <w:t xml:space="preserve"> </w:t>
      </w:r>
      <w:r>
        <w:t>medicine</w:t>
      </w:r>
      <w:r w:rsidRPr="00574067">
        <w:t>.</w:t>
      </w:r>
    </w:p>
    <w:p w:rsidR="00574067" w:rsidRPr="00E03052" w:rsidRDefault="00574067" w:rsidP="00121658">
      <w:pPr>
        <w:pStyle w:val="Heading5"/>
        <w:jc w:val="left"/>
        <w:rPr>
          <w:rFonts w:asciiTheme="minorHAnsi" w:hAnsiTheme="minorHAnsi"/>
        </w:rPr>
      </w:pPr>
      <w:r w:rsidRPr="00E03052">
        <w:rPr>
          <w:rFonts w:asciiTheme="minorHAnsi" w:hAnsiTheme="minorHAnsi"/>
        </w:rPr>
        <w:t>Guideline recommendations</w:t>
      </w:r>
    </w:p>
    <w:p w:rsidR="00574067" w:rsidRPr="00574067" w:rsidRDefault="00574067" w:rsidP="00E03052">
      <w:pPr>
        <w:pStyle w:val="BodyTextnospacebefore"/>
      </w:pPr>
      <w:r>
        <w:t>M</w:t>
      </w:r>
      <w:r w:rsidRPr="00574067">
        <w:t xml:space="preserve">onotherapy remains indicated for treatment naïve </w:t>
      </w:r>
      <w:r>
        <w:t xml:space="preserve">PAH </w:t>
      </w:r>
      <w:r w:rsidRPr="00574067">
        <w:t xml:space="preserve">patients, with the exception of certain patients who may benefit from initial combination treatment, primarily those with more advanced PAH or with signs of poor prognosis. </w:t>
      </w:r>
    </w:p>
    <w:p w:rsidR="00574067" w:rsidRPr="00574067" w:rsidRDefault="00574067" w:rsidP="00E03052">
      <w:pPr>
        <w:pStyle w:val="BodyTextnospacebefore"/>
      </w:pPr>
      <w:r>
        <w:t>S</w:t>
      </w:r>
      <w:r w:rsidRPr="00574067">
        <w:t>equential combination the</w:t>
      </w:r>
      <w:r w:rsidRPr="00EA6CB2">
        <w:t>r</w:t>
      </w:r>
      <w:r w:rsidRPr="00574067">
        <w:t>apy</w:t>
      </w:r>
      <w:r>
        <w:t xml:space="preserve"> is recommended</w:t>
      </w:r>
      <w:r w:rsidRPr="00574067">
        <w:t xml:space="preserve"> as standard of care in patients already on </w:t>
      </w:r>
      <w:r w:rsidR="00F95235">
        <w:t>PAH medicines</w:t>
      </w:r>
      <w:r w:rsidRPr="00574067">
        <w:t xml:space="preserve"> but who are failing to meet their therapeutic targets </w:t>
      </w:r>
      <w:r w:rsidR="00C40AC4">
        <w:t>or those who have poor prognos</w:t>
      </w:r>
      <w:r w:rsidRPr="00574067">
        <w:t xml:space="preserve">tic / high risk factors. </w:t>
      </w:r>
      <w:r>
        <w:t xml:space="preserve">Use is recommended of up to three </w:t>
      </w:r>
      <w:r w:rsidR="00517C17">
        <w:t>PAH medicines</w:t>
      </w:r>
      <w:r>
        <w:t>, each from a different drug class</w:t>
      </w:r>
      <w:r w:rsidR="00496849">
        <w:t xml:space="preserve">. </w:t>
      </w:r>
      <w:r>
        <w:t>This suggests patients who fail to respond should continue the current treatment, in contrast with the current requirement to cease therapy with that medicine</w:t>
      </w:r>
      <w:r w:rsidR="00496849">
        <w:t xml:space="preserve">. </w:t>
      </w:r>
    </w:p>
    <w:p w:rsidR="00D63371" w:rsidRPr="00DE148E" w:rsidRDefault="00574067" w:rsidP="00DE148E">
      <w:pPr>
        <w:pStyle w:val="BodyTextnospacebefore"/>
        <w:rPr>
          <w:b/>
        </w:rPr>
      </w:pPr>
      <w:r w:rsidRPr="00574067">
        <w:t xml:space="preserve">Current TGA indications for combination therapy, contraindications and a discussion of potential drug interactions between </w:t>
      </w:r>
      <w:r w:rsidR="00F95235">
        <w:t>PAH medicines</w:t>
      </w:r>
      <w:r w:rsidRPr="00574067">
        <w:t xml:space="preserve"> are in </w:t>
      </w:r>
      <w:r w:rsidR="00D63371" w:rsidRPr="00DE148E">
        <w:rPr>
          <w:b/>
        </w:rPr>
        <w:t>Information in the PI regarding combination use of PAH medicines</w:t>
      </w:r>
    </w:p>
    <w:p w:rsidR="00724899" w:rsidRPr="002F01AD" w:rsidRDefault="00724899" w:rsidP="00E03052">
      <w:pPr>
        <w:pStyle w:val="BodyTextnospacebefore"/>
        <w:rPr>
          <w:color w:val="BFBFBF" w:themeColor="background1" w:themeShade="BF"/>
        </w:rPr>
      </w:pPr>
      <w:bookmarkStart w:id="225" w:name="_Toc503811595"/>
      <w:bookmarkStart w:id="226" w:name="_Toc503800643"/>
      <w:bookmarkStart w:id="227" w:name="_Ref503662956"/>
      <w:r w:rsidRPr="002F01AD">
        <w:rPr>
          <w:color w:val="BFBFBF" w:themeColor="background1" w:themeShade="BF"/>
        </w:rPr>
        <w:t xml:space="preserve"> </w:t>
      </w:r>
    </w:p>
    <w:p w:rsidR="00724899" w:rsidRPr="002F01AD" w:rsidRDefault="00724899" w:rsidP="00121658">
      <w:pPr>
        <w:pStyle w:val="Caption"/>
        <w:ind w:left="0"/>
        <w:jc w:val="left"/>
        <w:rPr>
          <w:color w:val="BFBFBF" w:themeColor="background1" w:themeShade="BF"/>
        </w:rPr>
        <w:sectPr w:rsidR="00724899" w:rsidRPr="002F01AD" w:rsidSect="00724899">
          <w:footnotePr>
            <w:numFmt w:val="chicago"/>
          </w:footnotePr>
          <w:pgSz w:w="11906" w:h="16838"/>
          <w:pgMar w:top="1440" w:right="1440" w:bottom="1440" w:left="1440" w:header="708" w:footer="708" w:gutter="0"/>
          <w:cols w:space="708"/>
          <w:titlePg/>
          <w:docGrid w:linePitch="360"/>
        </w:sectPr>
      </w:pPr>
    </w:p>
    <w:p w:rsidR="00724899" w:rsidRDefault="00F75B8B" w:rsidP="00F75B8B">
      <w:pPr>
        <w:pStyle w:val="Caption"/>
      </w:pPr>
      <w:bookmarkStart w:id="228" w:name="_Ref510796052"/>
      <w:bookmarkStart w:id="229" w:name="_Toc513107643"/>
      <w:r>
        <w:t>Table 1.</w:t>
      </w:r>
      <w:r w:rsidR="00D63371">
        <w:rPr>
          <w:noProof/>
        </w:rPr>
        <w:t>17</w:t>
      </w:r>
      <w:bookmarkEnd w:id="228"/>
      <w:r>
        <w:rPr>
          <w:noProof/>
        </w:rPr>
        <w:tab/>
      </w:r>
      <w:r>
        <w:t>Restriction criteria considered in this review</w:t>
      </w:r>
      <w:bookmarkEnd w:id="229"/>
    </w:p>
    <w:tbl>
      <w:tblPr>
        <w:tblStyle w:val="TableGrid7"/>
        <w:tblpPr w:leftFromText="180" w:rightFromText="180" w:vertAnchor="text" w:tblpY="1"/>
        <w:tblOverlap w:val="never"/>
        <w:tblW w:w="0" w:type="auto"/>
        <w:tblLook w:val="04A0" w:firstRow="1" w:lastRow="0" w:firstColumn="1" w:lastColumn="0" w:noHBand="0" w:noVBand="1"/>
        <w:tblCaption w:val="Restriction criteria considered in this review"/>
      </w:tblPr>
      <w:tblGrid>
        <w:gridCol w:w="3725"/>
        <w:gridCol w:w="2006"/>
        <w:gridCol w:w="8443"/>
      </w:tblGrid>
      <w:tr w:rsidR="00737515" w:rsidRPr="00737515" w:rsidTr="00B61227">
        <w:trPr>
          <w:cantSplit/>
          <w:tblHeader/>
        </w:trPr>
        <w:tc>
          <w:tcPr>
            <w:tcW w:w="3794" w:type="dxa"/>
            <w:shd w:val="clear" w:color="auto" w:fill="A6A6A6" w:themeFill="background1" w:themeFillShade="A6"/>
          </w:tcPr>
          <w:p w:rsidR="00737515" w:rsidRPr="00597CA4" w:rsidRDefault="00737515" w:rsidP="00597CA4">
            <w:pPr>
              <w:tabs>
                <w:tab w:val="left" w:pos="507"/>
              </w:tabs>
              <w:spacing w:before="40" w:afterLines="40" w:after="96" w:line="240" w:lineRule="auto"/>
              <w:jc w:val="left"/>
              <w:rPr>
                <w:rFonts w:ascii="Arial" w:hAnsi="Arial" w:cs="Arial"/>
                <w:b/>
                <w:sz w:val="20"/>
                <w:szCs w:val="20"/>
              </w:rPr>
            </w:pPr>
            <w:r w:rsidRPr="00597CA4">
              <w:rPr>
                <w:rFonts w:ascii="Arial" w:hAnsi="Arial" w:cs="Arial"/>
                <w:b/>
                <w:sz w:val="20"/>
                <w:szCs w:val="20"/>
              </w:rPr>
              <w:t>Clinical Criteria or Prescribing Instruction</w:t>
            </w:r>
          </w:p>
        </w:tc>
        <w:tc>
          <w:tcPr>
            <w:tcW w:w="1701" w:type="dxa"/>
            <w:shd w:val="clear" w:color="auto" w:fill="A6A6A6" w:themeFill="background1" w:themeFillShade="A6"/>
          </w:tcPr>
          <w:p w:rsidR="00737515" w:rsidRPr="00597CA4" w:rsidRDefault="00737515" w:rsidP="00597CA4">
            <w:pPr>
              <w:spacing w:before="40" w:afterLines="40" w:after="96" w:line="240" w:lineRule="auto"/>
              <w:jc w:val="left"/>
              <w:rPr>
                <w:rFonts w:ascii="Arial" w:hAnsi="Arial" w:cs="Arial"/>
                <w:b/>
                <w:sz w:val="20"/>
                <w:szCs w:val="20"/>
              </w:rPr>
            </w:pPr>
            <w:r w:rsidRPr="00597CA4">
              <w:rPr>
                <w:rFonts w:ascii="Arial" w:hAnsi="Arial" w:cs="Arial"/>
                <w:b/>
                <w:sz w:val="20"/>
                <w:szCs w:val="20"/>
              </w:rPr>
              <w:t>Guideline Recommendations</w:t>
            </w:r>
          </w:p>
        </w:tc>
        <w:tc>
          <w:tcPr>
            <w:tcW w:w="8679" w:type="dxa"/>
            <w:shd w:val="clear" w:color="auto" w:fill="A6A6A6" w:themeFill="background1" w:themeFillShade="A6"/>
          </w:tcPr>
          <w:p w:rsidR="00737515" w:rsidRPr="00597CA4" w:rsidRDefault="00737515" w:rsidP="00597CA4">
            <w:pPr>
              <w:spacing w:before="40" w:afterLines="40" w:after="96" w:line="240" w:lineRule="auto"/>
              <w:jc w:val="left"/>
              <w:rPr>
                <w:rFonts w:ascii="Arial" w:hAnsi="Arial" w:cs="Arial"/>
                <w:b/>
                <w:sz w:val="20"/>
                <w:szCs w:val="20"/>
              </w:rPr>
            </w:pPr>
            <w:r w:rsidRPr="00597CA4">
              <w:rPr>
                <w:rFonts w:ascii="Arial" w:hAnsi="Arial" w:cs="Arial"/>
                <w:b/>
                <w:sz w:val="20"/>
                <w:szCs w:val="20"/>
              </w:rPr>
              <w:t>Consistent with Guidelines?</w:t>
            </w:r>
          </w:p>
        </w:tc>
      </w:tr>
      <w:tr w:rsidR="003F302E" w:rsidRPr="002F3393" w:rsidTr="00ED574F">
        <w:trPr>
          <w:cantSplit/>
        </w:trPr>
        <w:tc>
          <w:tcPr>
            <w:tcW w:w="3794" w:type="dxa"/>
            <w:shd w:val="clear" w:color="auto" w:fill="auto"/>
          </w:tcPr>
          <w:p w:rsidR="00BB276C" w:rsidRPr="00597CA4" w:rsidRDefault="00CD2967" w:rsidP="00597CA4">
            <w:pPr>
              <w:tabs>
                <w:tab w:val="left" w:pos="507"/>
              </w:tabs>
              <w:spacing w:before="40" w:afterLines="40" w:after="96" w:line="240" w:lineRule="auto"/>
              <w:jc w:val="left"/>
              <w:rPr>
                <w:rFonts w:ascii="Arial" w:hAnsi="Arial" w:cs="Arial"/>
                <w:sz w:val="20"/>
                <w:szCs w:val="20"/>
              </w:rPr>
            </w:pPr>
            <w:r w:rsidRPr="00597CA4">
              <w:rPr>
                <w:rFonts w:ascii="Arial" w:hAnsi="Arial" w:cs="Arial"/>
                <w:sz w:val="20"/>
                <w:szCs w:val="20"/>
              </w:rPr>
              <w:t>The</w:t>
            </w:r>
            <w:r w:rsidR="00BB276C" w:rsidRPr="00597CA4">
              <w:rPr>
                <w:rFonts w:ascii="Arial" w:hAnsi="Arial" w:cs="Arial"/>
                <w:sz w:val="20"/>
                <w:szCs w:val="20"/>
              </w:rPr>
              <w:t xml:space="preserve"> PAH restriction</w:t>
            </w:r>
            <w:r w:rsidRPr="00597CA4">
              <w:rPr>
                <w:rFonts w:ascii="Arial" w:hAnsi="Arial" w:cs="Arial"/>
                <w:sz w:val="20"/>
                <w:szCs w:val="20"/>
              </w:rPr>
              <w:t>s cover the subsidised conditions as follows</w:t>
            </w:r>
            <w:r w:rsidR="00BB276C" w:rsidRPr="00597CA4">
              <w:rPr>
                <w:rFonts w:ascii="Arial" w:hAnsi="Arial" w:cs="Arial"/>
                <w:sz w:val="20"/>
                <w:szCs w:val="20"/>
              </w:rPr>
              <w:t>:</w:t>
            </w:r>
          </w:p>
          <w:p w:rsidR="00BB276C" w:rsidRPr="00597CA4" w:rsidRDefault="00BB276C" w:rsidP="00807704">
            <w:pPr>
              <w:pStyle w:val="ListParagraph"/>
              <w:numPr>
                <w:ilvl w:val="0"/>
                <w:numId w:val="19"/>
              </w:numPr>
              <w:tabs>
                <w:tab w:val="left" w:pos="507"/>
              </w:tabs>
              <w:spacing w:before="40" w:afterLines="40" w:after="96" w:line="240" w:lineRule="auto"/>
              <w:ind w:left="0"/>
              <w:jc w:val="left"/>
              <w:rPr>
                <w:rFonts w:ascii="Arial" w:hAnsi="Arial" w:cs="Arial"/>
                <w:sz w:val="20"/>
                <w:szCs w:val="20"/>
              </w:rPr>
            </w:pPr>
            <w:r w:rsidRPr="00597CA4">
              <w:rPr>
                <w:rFonts w:ascii="Arial" w:hAnsi="Arial" w:cs="Arial"/>
                <w:sz w:val="20"/>
                <w:szCs w:val="20"/>
              </w:rPr>
              <w:t>IPAH</w:t>
            </w:r>
          </w:p>
          <w:p w:rsidR="00BB276C" w:rsidRPr="00597CA4" w:rsidRDefault="00BB276C" w:rsidP="00807704">
            <w:pPr>
              <w:pStyle w:val="ListParagraph"/>
              <w:numPr>
                <w:ilvl w:val="0"/>
                <w:numId w:val="19"/>
              </w:numPr>
              <w:tabs>
                <w:tab w:val="left" w:pos="507"/>
              </w:tabs>
              <w:spacing w:before="40" w:afterLines="40" w:after="96" w:line="240" w:lineRule="auto"/>
              <w:ind w:left="0"/>
              <w:jc w:val="left"/>
              <w:rPr>
                <w:rFonts w:ascii="Arial" w:hAnsi="Arial" w:cs="Arial"/>
                <w:sz w:val="20"/>
                <w:szCs w:val="20"/>
              </w:rPr>
            </w:pPr>
            <w:r w:rsidRPr="00597CA4">
              <w:rPr>
                <w:rFonts w:ascii="Arial" w:hAnsi="Arial" w:cs="Arial"/>
                <w:sz w:val="20"/>
                <w:szCs w:val="20"/>
              </w:rPr>
              <w:t>Anorexigen-induced PAH</w:t>
            </w:r>
          </w:p>
          <w:p w:rsidR="00BB276C" w:rsidRPr="00597CA4" w:rsidRDefault="00BB276C" w:rsidP="00807704">
            <w:pPr>
              <w:pStyle w:val="ListParagraph"/>
              <w:numPr>
                <w:ilvl w:val="0"/>
                <w:numId w:val="19"/>
              </w:numPr>
              <w:tabs>
                <w:tab w:val="left" w:pos="507"/>
              </w:tabs>
              <w:spacing w:before="40" w:afterLines="40" w:after="96" w:line="240" w:lineRule="auto"/>
              <w:ind w:left="0"/>
              <w:jc w:val="left"/>
              <w:rPr>
                <w:rFonts w:ascii="Arial" w:hAnsi="Arial" w:cs="Arial"/>
                <w:sz w:val="20"/>
                <w:szCs w:val="20"/>
              </w:rPr>
            </w:pPr>
            <w:r w:rsidRPr="00597CA4">
              <w:rPr>
                <w:rFonts w:ascii="Arial" w:hAnsi="Arial" w:cs="Arial"/>
                <w:sz w:val="20"/>
                <w:szCs w:val="20"/>
              </w:rPr>
              <w:t>Hereditable PAH</w:t>
            </w:r>
          </w:p>
          <w:p w:rsidR="00BB276C" w:rsidRPr="00597CA4" w:rsidRDefault="00BB276C" w:rsidP="00807704">
            <w:pPr>
              <w:pStyle w:val="ListParagraph"/>
              <w:numPr>
                <w:ilvl w:val="0"/>
                <w:numId w:val="19"/>
              </w:numPr>
              <w:tabs>
                <w:tab w:val="left" w:pos="507"/>
              </w:tabs>
              <w:spacing w:before="40" w:afterLines="40" w:after="96" w:line="240" w:lineRule="auto"/>
              <w:ind w:left="0"/>
              <w:jc w:val="left"/>
              <w:rPr>
                <w:rFonts w:ascii="Arial" w:hAnsi="Arial" w:cs="Arial"/>
                <w:sz w:val="20"/>
                <w:szCs w:val="20"/>
              </w:rPr>
            </w:pPr>
            <w:r w:rsidRPr="00597CA4">
              <w:rPr>
                <w:rFonts w:ascii="Arial" w:hAnsi="Arial" w:cs="Arial"/>
                <w:sz w:val="20"/>
                <w:szCs w:val="20"/>
              </w:rPr>
              <w:t>Drug-induced PAH</w:t>
            </w:r>
          </w:p>
          <w:p w:rsidR="00BB276C" w:rsidRPr="00597CA4" w:rsidRDefault="00BB276C" w:rsidP="00807704">
            <w:pPr>
              <w:pStyle w:val="ListParagraph"/>
              <w:numPr>
                <w:ilvl w:val="0"/>
                <w:numId w:val="19"/>
              </w:numPr>
              <w:tabs>
                <w:tab w:val="left" w:pos="507"/>
              </w:tabs>
              <w:spacing w:before="40" w:afterLines="40" w:after="96" w:line="240" w:lineRule="auto"/>
              <w:ind w:left="0"/>
              <w:jc w:val="left"/>
              <w:rPr>
                <w:rFonts w:ascii="Arial" w:hAnsi="Arial" w:cs="Arial"/>
                <w:sz w:val="20"/>
                <w:szCs w:val="20"/>
              </w:rPr>
            </w:pPr>
            <w:r w:rsidRPr="00597CA4">
              <w:rPr>
                <w:rFonts w:ascii="Arial" w:hAnsi="Arial" w:cs="Arial"/>
                <w:sz w:val="20"/>
                <w:szCs w:val="20"/>
              </w:rPr>
              <w:t>PAH secondary to connective tissue disease including scleroderma</w:t>
            </w:r>
          </w:p>
          <w:p w:rsidR="003F302E" w:rsidRPr="00597CA4" w:rsidRDefault="00BB276C" w:rsidP="00807704">
            <w:pPr>
              <w:pStyle w:val="ListParagraph"/>
              <w:numPr>
                <w:ilvl w:val="0"/>
                <w:numId w:val="19"/>
              </w:numPr>
              <w:tabs>
                <w:tab w:val="left" w:pos="507"/>
              </w:tabs>
              <w:spacing w:before="40" w:afterLines="40" w:after="96" w:line="240" w:lineRule="auto"/>
              <w:ind w:left="0"/>
              <w:jc w:val="left"/>
              <w:rPr>
                <w:rFonts w:ascii="Arial" w:hAnsi="Arial" w:cs="Arial"/>
                <w:sz w:val="20"/>
                <w:szCs w:val="20"/>
              </w:rPr>
            </w:pPr>
            <w:r w:rsidRPr="00597CA4">
              <w:rPr>
                <w:rFonts w:ascii="Arial" w:hAnsi="Arial" w:cs="Arial"/>
                <w:sz w:val="20"/>
                <w:szCs w:val="20"/>
              </w:rPr>
              <w:t xml:space="preserve">PAH associated with a congenital systemic-to-pulmonary shunt (including </w:t>
            </w:r>
            <w:proofErr w:type="spellStart"/>
            <w:r w:rsidRPr="00597CA4">
              <w:rPr>
                <w:rFonts w:ascii="Arial" w:hAnsi="Arial" w:cs="Arial"/>
                <w:sz w:val="20"/>
                <w:szCs w:val="20"/>
              </w:rPr>
              <w:t>Eisenmenger's</w:t>
            </w:r>
            <w:proofErr w:type="spellEnd"/>
            <w:r w:rsidRPr="00597CA4">
              <w:rPr>
                <w:rFonts w:ascii="Arial" w:hAnsi="Arial" w:cs="Arial"/>
                <w:sz w:val="20"/>
                <w:szCs w:val="20"/>
              </w:rPr>
              <w:t xml:space="preserve"> physiology)</w:t>
            </w:r>
          </w:p>
        </w:tc>
        <w:tc>
          <w:tcPr>
            <w:tcW w:w="1701" w:type="dxa"/>
            <w:shd w:val="clear" w:color="auto" w:fill="auto"/>
          </w:tcPr>
          <w:p w:rsidR="003F302E" w:rsidRPr="00597CA4" w:rsidRDefault="003F302E" w:rsidP="00597CA4">
            <w:pPr>
              <w:spacing w:before="40" w:afterLines="40" w:after="96" w:line="240" w:lineRule="auto"/>
              <w:jc w:val="left"/>
              <w:rPr>
                <w:rFonts w:ascii="Arial" w:hAnsi="Arial" w:cs="Arial"/>
                <w:i/>
                <w:sz w:val="20"/>
                <w:szCs w:val="20"/>
              </w:rPr>
            </w:pPr>
            <w:r w:rsidRPr="00597CA4">
              <w:rPr>
                <w:rFonts w:ascii="Arial" w:hAnsi="Arial" w:cs="Arial"/>
                <w:sz w:val="20"/>
                <w:szCs w:val="20"/>
              </w:rPr>
              <w:t xml:space="preserve">Discussed in </w:t>
            </w:r>
            <w:r w:rsidR="00D63371" w:rsidRPr="00D63371">
              <w:rPr>
                <w:rFonts w:ascii="Arial" w:hAnsi="Arial" w:cs="Arial"/>
                <w:i/>
                <w:sz w:val="20"/>
              </w:rPr>
              <w:t>PAH treatment algorithm</w:t>
            </w:r>
          </w:p>
        </w:tc>
        <w:tc>
          <w:tcPr>
            <w:tcW w:w="8679" w:type="dxa"/>
            <w:shd w:val="clear" w:color="auto" w:fill="auto"/>
          </w:tcPr>
          <w:p w:rsidR="003F302E" w:rsidRPr="00597CA4" w:rsidRDefault="00B15FF7" w:rsidP="00597CA4">
            <w:pPr>
              <w:spacing w:before="40" w:afterLines="40" w:after="96" w:line="240" w:lineRule="auto"/>
              <w:jc w:val="left"/>
              <w:rPr>
                <w:rFonts w:ascii="Arial" w:hAnsi="Arial" w:cs="Arial"/>
                <w:sz w:val="20"/>
                <w:szCs w:val="20"/>
              </w:rPr>
            </w:pPr>
            <w:r w:rsidRPr="00597CA4">
              <w:rPr>
                <w:rFonts w:ascii="Arial" w:hAnsi="Arial" w:cs="Arial"/>
                <w:sz w:val="20"/>
                <w:szCs w:val="20"/>
              </w:rPr>
              <w:t>Yes</w:t>
            </w:r>
            <w:r w:rsidR="00ED574F" w:rsidRPr="00597CA4">
              <w:rPr>
                <w:rFonts w:ascii="Arial" w:hAnsi="Arial" w:cs="Arial"/>
                <w:sz w:val="20"/>
                <w:szCs w:val="20"/>
              </w:rPr>
              <w:t xml:space="preserve"> or partially</w:t>
            </w:r>
            <w:r w:rsidRPr="00597CA4">
              <w:rPr>
                <w:rFonts w:ascii="Arial" w:hAnsi="Arial" w:cs="Arial"/>
                <w:sz w:val="20"/>
                <w:szCs w:val="20"/>
              </w:rPr>
              <w:t xml:space="preserve">. </w:t>
            </w:r>
            <w:r w:rsidR="003F302E" w:rsidRPr="00597CA4">
              <w:rPr>
                <w:rFonts w:ascii="Arial" w:hAnsi="Arial" w:cs="Arial"/>
                <w:sz w:val="20"/>
                <w:szCs w:val="20"/>
              </w:rPr>
              <w:t xml:space="preserve">All the PAH subtypes or aetiologies eligible for PBS funded treatment fall within Group 1 of the WHO classification, with the exception of PAH associated with schistosomiasis, HIV infection or portal hypertension which are not covered as the PBAC has not considered </w:t>
            </w:r>
            <w:r w:rsidR="00102020" w:rsidRPr="00597CA4">
              <w:rPr>
                <w:rFonts w:ascii="Arial" w:hAnsi="Arial" w:cs="Arial"/>
                <w:sz w:val="20"/>
                <w:szCs w:val="20"/>
              </w:rPr>
              <w:t>submissions</w:t>
            </w:r>
            <w:r w:rsidR="003F302E" w:rsidRPr="00597CA4">
              <w:rPr>
                <w:rFonts w:ascii="Arial" w:hAnsi="Arial" w:cs="Arial"/>
                <w:sz w:val="20"/>
                <w:szCs w:val="20"/>
              </w:rPr>
              <w:t xml:space="preserve"> for these subtypes. </w:t>
            </w:r>
            <w:r w:rsidR="00CD2967" w:rsidRPr="00597CA4">
              <w:rPr>
                <w:rFonts w:ascii="Arial" w:hAnsi="Arial" w:cs="Arial"/>
                <w:sz w:val="20"/>
                <w:szCs w:val="20"/>
              </w:rPr>
              <w:t xml:space="preserve"> </w:t>
            </w:r>
          </w:p>
          <w:p w:rsidR="001F4168" w:rsidRPr="00597CA4" w:rsidRDefault="001F4168" w:rsidP="00597CA4">
            <w:pPr>
              <w:spacing w:before="40" w:afterLines="40" w:after="96" w:line="240" w:lineRule="auto"/>
              <w:jc w:val="left"/>
              <w:rPr>
                <w:rFonts w:ascii="Arial" w:hAnsi="Arial" w:cs="Arial"/>
                <w:sz w:val="20"/>
                <w:szCs w:val="20"/>
              </w:rPr>
            </w:pPr>
            <w:r w:rsidRPr="00597CA4">
              <w:rPr>
                <w:rFonts w:ascii="Arial" w:hAnsi="Arial" w:cs="Arial"/>
                <w:sz w:val="20"/>
                <w:szCs w:val="20"/>
              </w:rPr>
              <w:t xml:space="preserve">Treatment recommendations for all Group 1 conditions are broadly similar with regard to choice of </w:t>
            </w:r>
            <w:r w:rsidR="00F95235" w:rsidRPr="00597CA4">
              <w:rPr>
                <w:rFonts w:ascii="Arial" w:hAnsi="Arial" w:cs="Arial"/>
                <w:sz w:val="20"/>
                <w:szCs w:val="20"/>
              </w:rPr>
              <w:t>PAH medicines</w:t>
            </w:r>
            <w:r w:rsidRPr="00597CA4">
              <w:rPr>
                <w:rFonts w:ascii="Arial" w:hAnsi="Arial" w:cs="Arial"/>
                <w:sz w:val="20"/>
                <w:szCs w:val="20"/>
              </w:rPr>
              <w:t xml:space="preserve"> including PAH due to HIV or portal hypertension</w:t>
            </w:r>
            <w:r w:rsidR="003C17FA" w:rsidRPr="00597CA4">
              <w:rPr>
                <w:rFonts w:ascii="Arial" w:hAnsi="Arial" w:cs="Arial"/>
                <w:sz w:val="20"/>
                <w:szCs w:val="20"/>
              </w:rPr>
              <w:t xml:space="preserve">. </w:t>
            </w:r>
            <w:r w:rsidRPr="00597CA4">
              <w:rPr>
                <w:rFonts w:ascii="Arial" w:hAnsi="Arial" w:cs="Arial"/>
                <w:sz w:val="20"/>
                <w:szCs w:val="20"/>
              </w:rPr>
              <w:t>Schistosomiasis does not occur in Australia except in travellers returning from incident areas such as Brazil</w:t>
            </w:r>
            <w:r w:rsidR="003C17FA" w:rsidRPr="00597CA4">
              <w:rPr>
                <w:rFonts w:ascii="Arial" w:hAnsi="Arial" w:cs="Arial"/>
                <w:sz w:val="20"/>
                <w:szCs w:val="20"/>
              </w:rPr>
              <w:t xml:space="preserve">. </w:t>
            </w:r>
          </w:p>
          <w:p w:rsidR="00BB276C" w:rsidRPr="00597CA4" w:rsidRDefault="00E777EE" w:rsidP="00597CA4">
            <w:pPr>
              <w:spacing w:before="40" w:afterLines="40" w:after="96" w:line="240" w:lineRule="auto"/>
              <w:jc w:val="left"/>
              <w:rPr>
                <w:rFonts w:ascii="Arial" w:hAnsi="Arial" w:cs="Arial"/>
                <w:sz w:val="20"/>
                <w:szCs w:val="20"/>
              </w:rPr>
            </w:pPr>
            <w:r w:rsidRPr="00597CA4">
              <w:rPr>
                <w:rFonts w:ascii="Arial" w:hAnsi="Arial" w:cs="Arial"/>
                <w:sz w:val="20"/>
              </w:rPr>
              <w:t>See separate comments regarding current</w:t>
            </w:r>
            <w:r w:rsidRPr="00597CA4">
              <w:rPr>
                <w:rFonts w:ascii="Arial" w:hAnsi="Arial" w:cs="Arial"/>
                <w:i/>
                <w:sz w:val="20"/>
              </w:rPr>
              <w:t xml:space="preserve"> </w:t>
            </w:r>
            <w:r w:rsidR="00D63371" w:rsidRPr="00D63371">
              <w:rPr>
                <w:rFonts w:ascii="Arial" w:hAnsi="Arial" w:cs="Arial"/>
                <w:i/>
                <w:sz w:val="20"/>
              </w:rPr>
              <w:t>PAH classification and terminology</w:t>
            </w:r>
            <w:r w:rsidRPr="00597CA4">
              <w:rPr>
                <w:rFonts w:ascii="Arial" w:hAnsi="Arial" w:cs="Arial"/>
                <w:i/>
                <w:sz w:val="20"/>
              </w:rPr>
              <w:t>.</w:t>
            </w:r>
          </w:p>
        </w:tc>
      </w:tr>
      <w:tr w:rsidR="00B15FF7" w:rsidRPr="002F3393" w:rsidTr="00ED574F">
        <w:trPr>
          <w:tblHeader/>
        </w:trPr>
        <w:tc>
          <w:tcPr>
            <w:tcW w:w="3794" w:type="dxa"/>
            <w:shd w:val="clear" w:color="auto" w:fill="auto"/>
          </w:tcPr>
          <w:p w:rsidR="00B15FF7" w:rsidRPr="00597CA4" w:rsidRDefault="00537AE2" w:rsidP="00597CA4">
            <w:pPr>
              <w:tabs>
                <w:tab w:val="left" w:pos="507"/>
              </w:tabs>
              <w:spacing w:before="40" w:afterLines="40" w:after="96" w:line="240" w:lineRule="auto"/>
              <w:jc w:val="left"/>
              <w:rPr>
                <w:rFonts w:ascii="Arial" w:hAnsi="Arial" w:cs="Arial"/>
                <w:sz w:val="20"/>
                <w:szCs w:val="20"/>
              </w:rPr>
            </w:pPr>
            <w:r w:rsidRPr="00597CA4">
              <w:rPr>
                <w:rFonts w:ascii="Arial" w:hAnsi="Arial" w:cs="Arial"/>
                <w:sz w:val="20"/>
                <w:szCs w:val="20"/>
              </w:rPr>
              <w:t>[</w:t>
            </w:r>
            <w:r w:rsidR="00B15FF7" w:rsidRPr="00597CA4">
              <w:rPr>
                <w:rFonts w:ascii="Arial" w:hAnsi="Arial" w:cs="Arial"/>
                <w:sz w:val="20"/>
                <w:szCs w:val="20"/>
              </w:rPr>
              <w:t>Clinical criteria no longer specify adults or any age group restrictions</w:t>
            </w:r>
            <w:r w:rsidRPr="00597CA4">
              <w:rPr>
                <w:rFonts w:ascii="Arial" w:hAnsi="Arial" w:cs="Arial"/>
                <w:sz w:val="20"/>
                <w:szCs w:val="20"/>
              </w:rPr>
              <w:t>]</w:t>
            </w:r>
          </w:p>
        </w:tc>
        <w:tc>
          <w:tcPr>
            <w:tcW w:w="1701" w:type="dxa"/>
            <w:shd w:val="clear" w:color="auto" w:fill="auto"/>
          </w:tcPr>
          <w:p w:rsidR="00B15FF7" w:rsidRPr="00597CA4" w:rsidRDefault="00B15FF7" w:rsidP="00597CA4">
            <w:pPr>
              <w:spacing w:before="40" w:afterLines="40" w:after="96" w:line="240" w:lineRule="auto"/>
              <w:jc w:val="left"/>
              <w:rPr>
                <w:rFonts w:ascii="Arial" w:hAnsi="Arial" w:cs="Arial"/>
                <w:sz w:val="20"/>
                <w:szCs w:val="20"/>
              </w:rPr>
            </w:pPr>
            <w:r w:rsidRPr="00597CA4">
              <w:rPr>
                <w:rFonts w:ascii="Arial" w:hAnsi="Arial" w:cs="Arial"/>
                <w:sz w:val="20"/>
                <w:szCs w:val="20"/>
              </w:rPr>
              <w:t xml:space="preserve">See </w:t>
            </w:r>
            <w:r w:rsidR="00D63371" w:rsidRPr="00D63371">
              <w:rPr>
                <w:rFonts w:ascii="Arial" w:hAnsi="Arial" w:cs="Arial"/>
                <w:i/>
                <w:sz w:val="20"/>
                <w:szCs w:val="20"/>
              </w:rPr>
              <w:t>Paediatric use</w:t>
            </w:r>
            <w:r w:rsidR="00CC7275" w:rsidRPr="00597CA4">
              <w:rPr>
                <w:rFonts w:ascii="Arial" w:hAnsi="Arial" w:cs="Arial"/>
                <w:sz w:val="20"/>
                <w:szCs w:val="20"/>
              </w:rPr>
              <w:t>.</w:t>
            </w:r>
          </w:p>
        </w:tc>
        <w:tc>
          <w:tcPr>
            <w:tcW w:w="8679" w:type="dxa"/>
            <w:shd w:val="clear" w:color="auto" w:fill="auto"/>
          </w:tcPr>
          <w:p w:rsidR="00B15FF7" w:rsidRPr="00597CA4" w:rsidRDefault="00B15FF7" w:rsidP="00597CA4">
            <w:pPr>
              <w:spacing w:before="40" w:afterLines="40" w:after="96" w:line="240" w:lineRule="auto"/>
              <w:jc w:val="left"/>
              <w:rPr>
                <w:rFonts w:ascii="Arial" w:hAnsi="Arial" w:cs="Arial"/>
                <w:sz w:val="20"/>
                <w:szCs w:val="20"/>
              </w:rPr>
            </w:pPr>
            <w:r w:rsidRPr="00597CA4">
              <w:rPr>
                <w:rFonts w:ascii="Arial" w:hAnsi="Arial" w:cs="Arial"/>
                <w:sz w:val="20"/>
                <w:szCs w:val="20"/>
              </w:rPr>
              <w:t>Yes</w:t>
            </w:r>
            <w:r w:rsidR="00331C53" w:rsidRPr="00597CA4">
              <w:rPr>
                <w:rFonts w:ascii="Arial" w:hAnsi="Arial" w:cs="Arial"/>
                <w:sz w:val="20"/>
                <w:szCs w:val="20"/>
              </w:rPr>
              <w:t>, though no age-appropriate pharmaceutical forms or dosage strengths are listed for young children</w:t>
            </w:r>
            <w:r w:rsidRPr="00597CA4">
              <w:rPr>
                <w:rFonts w:ascii="Arial" w:hAnsi="Arial" w:cs="Arial"/>
                <w:sz w:val="20"/>
                <w:szCs w:val="20"/>
              </w:rPr>
              <w:t xml:space="preserve">. </w:t>
            </w:r>
            <w:r w:rsidR="00331C53" w:rsidRPr="00597CA4">
              <w:rPr>
                <w:rFonts w:ascii="Arial" w:hAnsi="Arial" w:cs="Arial"/>
                <w:sz w:val="20"/>
                <w:szCs w:val="20"/>
              </w:rPr>
              <w:t xml:space="preserve">See </w:t>
            </w:r>
            <w:r w:rsidR="00D63371" w:rsidRPr="00D63371">
              <w:rPr>
                <w:rFonts w:ascii="Arial" w:hAnsi="Arial" w:cs="Arial"/>
                <w:i/>
                <w:sz w:val="20"/>
                <w:szCs w:val="20"/>
              </w:rPr>
              <w:t>Paediatric use</w:t>
            </w:r>
            <w:r w:rsidR="00331C53" w:rsidRPr="00597CA4">
              <w:rPr>
                <w:rFonts w:ascii="Arial" w:hAnsi="Arial" w:cs="Arial"/>
                <w:sz w:val="20"/>
                <w:szCs w:val="20"/>
              </w:rPr>
              <w:t>.</w:t>
            </w:r>
          </w:p>
        </w:tc>
      </w:tr>
      <w:tr w:rsidR="008E2EAB" w:rsidRPr="002F3393" w:rsidTr="00ED574F">
        <w:tc>
          <w:tcPr>
            <w:tcW w:w="3794" w:type="dxa"/>
          </w:tcPr>
          <w:p w:rsidR="008E2EAB" w:rsidRPr="00597CA4" w:rsidRDefault="008E2EAB" w:rsidP="00597CA4">
            <w:pPr>
              <w:tabs>
                <w:tab w:val="left" w:pos="507"/>
              </w:tabs>
              <w:spacing w:before="40" w:afterLines="40" w:after="96" w:line="240" w:lineRule="auto"/>
              <w:jc w:val="left"/>
              <w:rPr>
                <w:rFonts w:ascii="Arial" w:hAnsi="Arial" w:cs="Arial"/>
                <w:sz w:val="20"/>
                <w:szCs w:val="20"/>
              </w:rPr>
            </w:pPr>
            <w:r w:rsidRPr="00597CA4">
              <w:rPr>
                <w:rFonts w:ascii="Arial" w:hAnsi="Arial" w:cs="Arial"/>
                <w:sz w:val="20"/>
                <w:szCs w:val="20"/>
              </w:rPr>
              <w:t>Patient must have WHO Functional Class III [PAH subtypes], OR</w:t>
            </w:r>
          </w:p>
          <w:p w:rsidR="00537AE2" w:rsidRPr="00597CA4" w:rsidRDefault="008E2EAB" w:rsidP="00597CA4">
            <w:pPr>
              <w:tabs>
                <w:tab w:val="left" w:pos="507"/>
              </w:tabs>
              <w:spacing w:before="40" w:afterLines="40" w:after="96" w:line="240" w:lineRule="auto"/>
              <w:jc w:val="left"/>
              <w:rPr>
                <w:rFonts w:ascii="Arial" w:hAnsi="Arial" w:cs="Arial"/>
                <w:sz w:val="20"/>
                <w:szCs w:val="20"/>
              </w:rPr>
            </w:pPr>
            <w:r w:rsidRPr="00597CA4">
              <w:rPr>
                <w:rFonts w:ascii="Arial" w:hAnsi="Arial" w:cs="Arial"/>
                <w:sz w:val="20"/>
                <w:szCs w:val="20"/>
              </w:rPr>
              <w:t>Patient must have WHO Functional Class IV [PAH subtypes]</w:t>
            </w:r>
          </w:p>
        </w:tc>
        <w:tc>
          <w:tcPr>
            <w:tcW w:w="1701" w:type="dxa"/>
          </w:tcPr>
          <w:p w:rsidR="008E2EAB" w:rsidRPr="009F0D29" w:rsidRDefault="004F0200" w:rsidP="009F0D29">
            <w:pPr>
              <w:spacing w:before="40" w:afterLines="40" w:after="96" w:line="240" w:lineRule="auto"/>
              <w:jc w:val="left"/>
              <w:rPr>
                <w:rFonts w:ascii="Arial" w:hAnsi="Arial" w:cs="Arial"/>
                <w:sz w:val="20"/>
                <w:szCs w:val="20"/>
              </w:rPr>
            </w:pPr>
            <w:r w:rsidRPr="009F0D29">
              <w:rPr>
                <w:rFonts w:ascii="Arial" w:hAnsi="Arial" w:cs="Arial"/>
                <w:sz w:val="20"/>
                <w:szCs w:val="20"/>
              </w:rPr>
              <w:t xml:space="preserve">See </w:t>
            </w:r>
            <w:r w:rsidR="00D63371" w:rsidRPr="00D63371">
              <w:rPr>
                <w:rFonts w:ascii="Arial" w:hAnsi="Arial" w:cs="Arial"/>
                <w:sz w:val="20"/>
                <w:szCs w:val="20"/>
              </w:rPr>
              <w:t xml:space="preserve">Table 1.7 </w:t>
            </w:r>
            <w:r w:rsidR="00D63371" w:rsidRPr="00D63371">
              <w:rPr>
                <w:rFonts w:ascii="Arial" w:hAnsi="Arial" w:cs="Arial"/>
                <w:sz w:val="20"/>
                <w:szCs w:val="20"/>
              </w:rPr>
              <w:tab/>
              <w:t>Guideline recommendations supporting the therapy pathways</w:t>
            </w:r>
            <w:r w:rsidR="009F0D29" w:rsidRPr="009F0D29">
              <w:rPr>
                <w:rFonts w:ascii="Arial" w:hAnsi="Arial" w:cs="Arial"/>
                <w:sz w:val="20"/>
                <w:szCs w:val="20"/>
              </w:rPr>
              <w:t>.</w:t>
            </w:r>
          </w:p>
        </w:tc>
        <w:tc>
          <w:tcPr>
            <w:tcW w:w="8679" w:type="dxa"/>
          </w:tcPr>
          <w:p w:rsidR="00160D16" w:rsidRPr="00597CA4" w:rsidRDefault="008E2EAB" w:rsidP="00597CA4">
            <w:pPr>
              <w:spacing w:before="40" w:afterLines="40" w:after="96" w:line="240" w:lineRule="auto"/>
              <w:jc w:val="left"/>
              <w:rPr>
                <w:rFonts w:ascii="Arial" w:hAnsi="Arial" w:cs="Arial"/>
                <w:sz w:val="20"/>
                <w:szCs w:val="20"/>
              </w:rPr>
            </w:pPr>
            <w:r w:rsidRPr="00597CA4">
              <w:rPr>
                <w:rFonts w:ascii="Arial" w:hAnsi="Arial" w:cs="Arial"/>
                <w:sz w:val="20"/>
                <w:szCs w:val="20"/>
              </w:rPr>
              <w:t>No.</w:t>
            </w:r>
            <w:r w:rsidR="00E777EE" w:rsidRPr="00597CA4">
              <w:rPr>
                <w:rFonts w:ascii="Arial" w:hAnsi="Arial" w:cs="Arial"/>
                <w:sz w:val="20"/>
                <w:szCs w:val="20"/>
              </w:rPr>
              <w:t xml:space="preserve"> See </w:t>
            </w:r>
            <w:r w:rsidR="00D63371" w:rsidRPr="00D63371">
              <w:rPr>
                <w:rFonts w:ascii="Arial" w:hAnsi="Arial" w:cs="Arial"/>
                <w:i/>
                <w:sz w:val="20"/>
                <w:szCs w:val="20"/>
              </w:rPr>
              <w:t>Treatment of patients with PAH medicines according to WHO FC status</w:t>
            </w:r>
          </w:p>
        </w:tc>
      </w:tr>
      <w:tr w:rsidR="004F0200" w:rsidRPr="002F3393" w:rsidTr="00ED574F">
        <w:tc>
          <w:tcPr>
            <w:tcW w:w="3794" w:type="dxa"/>
          </w:tcPr>
          <w:p w:rsidR="00574067" w:rsidRPr="00597CA4" w:rsidRDefault="004F0200" w:rsidP="00597CA4">
            <w:pPr>
              <w:tabs>
                <w:tab w:val="left" w:pos="507"/>
              </w:tabs>
              <w:spacing w:before="40" w:afterLines="40" w:after="96" w:line="240" w:lineRule="auto"/>
              <w:jc w:val="left"/>
              <w:rPr>
                <w:rFonts w:ascii="Arial" w:hAnsi="Arial" w:cs="Arial"/>
                <w:sz w:val="20"/>
                <w:szCs w:val="20"/>
              </w:rPr>
            </w:pPr>
            <w:r w:rsidRPr="00597CA4">
              <w:rPr>
                <w:rFonts w:ascii="Arial" w:hAnsi="Arial" w:cs="Arial"/>
                <w:sz w:val="20"/>
                <w:szCs w:val="20"/>
              </w:rPr>
              <w:t>The treatment must be the sole PBS-subsidised PAH agent for this condition</w:t>
            </w:r>
          </w:p>
        </w:tc>
        <w:tc>
          <w:tcPr>
            <w:tcW w:w="1701" w:type="dxa"/>
          </w:tcPr>
          <w:p w:rsidR="004F0200" w:rsidRPr="009F0D29" w:rsidRDefault="004F0200" w:rsidP="009F0D29">
            <w:pPr>
              <w:spacing w:before="40" w:afterLines="40" w:after="96" w:line="240" w:lineRule="auto"/>
              <w:jc w:val="left"/>
              <w:rPr>
                <w:rFonts w:ascii="Arial" w:hAnsi="Arial" w:cs="Arial"/>
                <w:sz w:val="20"/>
                <w:szCs w:val="20"/>
              </w:rPr>
            </w:pPr>
            <w:r w:rsidRPr="009F0D29">
              <w:rPr>
                <w:rFonts w:ascii="Arial" w:hAnsi="Arial" w:cs="Arial"/>
                <w:sz w:val="20"/>
                <w:szCs w:val="20"/>
              </w:rPr>
              <w:t xml:space="preserve">See </w:t>
            </w:r>
            <w:r w:rsidR="00D63371" w:rsidRPr="00D63371">
              <w:rPr>
                <w:rFonts w:ascii="Arial" w:hAnsi="Arial" w:cs="Arial"/>
                <w:sz w:val="20"/>
                <w:szCs w:val="20"/>
              </w:rPr>
              <w:t>Table 1.7</w:t>
            </w:r>
            <w:r w:rsidR="009F0D29" w:rsidRPr="009F0D29">
              <w:rPr>
                <w:rFonts w:ascii="Arial" w:hAnsi="Arial" w:cs="Arial"/>
                <w:sz w:val="20"/>
                <w:szCs w:val="20"/>
              </w:rPr>
              <w:t>.</w:t>
            </w:r>
          </w:p>
        </w:tc>
        <w:tc>
          <w:tcPr>
            <w:tcW w:w="8679" w:type="dxa"/>
          </w:tcPr>
          <w:p w:rsidR="003F302E" w:rsidRPr="00597CA4" w:rsidRDefault="004F0200" w:rsidP="00597CA4">
            <w:pPr>
              <w:spacing w:before="40" w:afterLines="40" w:after="96" w:line="240" w:lineRule="auto"/>
              <w:jc w:val="left"/>
              <w:rPr>
                <w:rFonts w:ascii="Arial" w:hAnsi="Arial" w:cs="Arial"/>
                <w:sz w:val="20"/>
                <w:szCs w:val="20"/>
              </w:rPr>
            </w:pPr>
            <w:r w:rsidRPr="00597CA4">
              <w:rPr>
                <w:rFonts w:ascii="Arial" w:hAnsi="Arial" w:cs="Arial"/>
                <w:sz w:val="20"/>
                <w:szCs w:val="20"/>
              </w:rPr>
              <w:t>No</w:t>
            </w:r>
            <w:r w:rsidR="00496849" w:rsidRPr="00597CA4">
              <w:rPr>
                <w:rFonts w:ascii="Arial" w:hAnsi="Arial" w:cs="Arial"/>
                <w:sz w:val="20"/>
                <w:szCs w:val="20"/>
              </w:rPr>
              <w:t xml:space="preserve">. </w:t>
            </w:r>
            <w:r w:rsidR="00574067" w:rsidRPr="00597CA4">
              <w:rPr>
                <w:rFonts w:ascii="Arial" w:hAnsi="Arial" w:cs="Arial"/>
                <w:sz w:val="20"/>
                <w:szCs w:val="20"/>
              </w:rPr>
              <w:t xml:space="preserve">See </w:t>
            </w:r>
            <w:r w:rsidR="00D63371" w:rsidRPr="00D63371">
              <w:rPr>
                <w:rFonts w:ascii="Arial" w:hAnsi="Arial" w:cs="Arial"/>
                <w:i/>
                <w:sz w:val="20"/>
                <w:szCs w:val="20"/>
              </w:rPr>
              <w:t>Use of PAH medicines in combination</w:t>
            </w:r>
          </w:p>
        </w:tc>
      </w:tr>
      <w:tr w:rsidR="00BB276C" w:rsidRPr="002F3393" w:rsidTr="00ED574F">
        <w:tc>
          <w:tcPr>
            <w:tcW w:w="3794" w:type="dxa"/>
          </w:tcPr>
          <w:p w:rsidR="00BB276C" w:rsidRPr="00597CA4" w:rsidRDefault="00BB276C" w:rsidP="00597CA4">
            <w:pPr>
              <w:tabs>
                <w:tab w:val="left" w:pos="507"/>
              </w:tabs>
              <w:spacing w:before="40" w:afterLines="40" w:after="96" w:line="240" w:lineRule="auto"/>
              <w:jc w:val="left"/>
              <w:rPr>
                <w:rFonts w:ascii="Arial" w:hAnsi="Arial" w:cs="Arial"/>
                <w:sz w:val="20"/>
                <w:szCs w:val="20"/>
              </w:rPr>
            </w:pPr>
            <w:r w:rsidRPr="00597CA4">
              <w:rPr>
                <w:rFonts w:ascii="Arial" w:hAnsi="Arial" w:cs="Arial"/>
                <w:sz w:val="20"/>
                <w:szCs w:val="20"/>
              </w:rPr>
              <w:t>Patients who fail to demonstrate a response to PBS-subsidised treatment with this agent at the time where an assessment is required must cease PBS-subsidised therapy with this agent.</w:t>
            </w:r>
          </w:p>
        </w:tc>
        <w:tc>
          <w:tcPr>
            <w:tcW w:w="1701" w:type="dxa"/>
          </w:tcPr>
          <w:p w:rsidR="00BB276C" w:rsidRPr="009F0D29" w:rsidRDefault="00BB276C" w:rsidP="009F0D29">
            <w:pPr>
              <w:spacing w:before="40" w:afterLines="40" w:after="96" w:line="240" w:lineRule="auto"/>
              <w:jc w:val="left"/>
              <w:rPr>
                <w:rFonts w:ascii="Arial" w:hAnsi="Arial" w:cs="Arial"/>
                <w:sz w:val="20"/>
                <w:szCs w:val="20"/>
              </w:rPr>
            </w:pPr>
            <w:r w:rsidRPr="009F0D29">
              <w:rPr>
                <w:rFonts w:ascii="Arial" w:hAnsi="Arial" w:cs="Arial"/>
                <w:sz w:val="20"/>
                <w:szCs w:val="20"/>
              </w:rPr>
              <w:t xml:space="preserve">See </w:t>
            </w:r>
            <w:r w:rsidR="00D63371" w:rsidRPr="00D63371">
              <w:rPr>
                <w:rFonts w:ascii="Arial" w:hAnsi="Arial" w:cs="Arial"/>
                <w:sz w:val="20"/>
                <w:szCs w:val="20"/>
              </w:rPr>
              <w:t>Table 1.7</w:t>
            </w:r>
            <w:r w:rsidR="009F0D29" w:rsidRPr="009F0D29">
              <w:rPr>
                <w:rFonts w:ascii="Arial" w:hAnsi="Arial" w:cs="Arial"/>
                <w:sz w:val="20"/>
                <w:szCs w:val="20"/>
              </w:rPr>
              <w:t>.</w:t>
            </w:r>
          </w:p>
        </w:tc>
        <w:tc>
          <w:tcPr>
            <w:tcW w:w="8679" w:type="dxa"/>
          </w:tcPr>
          <w:p w:rsidR="00BB276C" w:rsidRPr="00597CA4" w:rsidRDefault="00B15FF7" w:rsidP="00597CA4">
            <w:pPr>
              <w:spacing w:before="40" w:afterLines="40" w:after="96" w:line="240" w:lineRule="auto"/>
              <w:jc w:val="left"/>
              <w:rPr>
                <w:rFonts w:ascii="Arial" w:hAnsi="Arial" w:cs="Arial"/>
                <w:sz w:val="20"/>
                <w:szCs w:val="20"/>
              </w:rPr>
            </w:pPr>
            <w:r w:rsidRPr="00597CA4">
              <w:rPr>
                <w:rFonts w:ascii="Arial" w:hAnsi="Arial" w:cs="Arial"/>
                <w:sz w:val="20"/>
                <w:szCs w:val="20"/>
              </w:rPr>
              <w:t>No</w:t>
            </w:r>
            <w:r w:rsidR="00496849" w:rsidRPr="00597CA4">
              <w:rPr>
                <w:rFonts w:ascii="Arial" w:hAnsi="Arial" w:cs="Arial"/>
                <w:sz w:val="20"/>
                <w:szCs w:val="20"/>
              </w:rPr>
              <w:t xml:space="preserve">. </w:t>
            </w:r>
            <w:r w:rsidR="00574067" w:rsidRPr="00597CA4">
              <w:rPr>
                <w:rFonts w:ascii="Arial" w:hAnsi="Arial" w:cs="Arial"/>
                <w:sz w:val="20"/>
                <w:szCs w:val="20"/>
              </w:rPr>
              <w:t xml:space="preserve">See </w:t>
            </w:r>
            <w:r w:rsidR="00D63371" w:rsidRPr="00D63371">
              <w:rPr>
                <w:rFonts w:ascii="Arial" w:hAnsi="Arial" w:cs="Arial"/>
                <w:i/>
                <w:sz w:val="20"/>
                <w:szCs w:val="20"/>
              </w:rPr>
              <w:t>Use of PAH medicines in combination</w:t>
            </w:r>
          </w:p>
        </w:tc>
      </w:tr>
      <w:tr w:rsidR="00BB276C" w:rsidRPr="002F3393" w:rsidTr="00ED574F">
        <w:trPr>
          <w:cantSplit/>
        </w:trPr>
        <w:tc>
          <w:tcPr>
            <w:tcW w:w="3794" w:type="dxa"/>
          </w:tcPr>
          <w:p w:rsidR="00BB276C" w:rsidRPr="00597CA4" w:rsidRDefault="00BB276C" w:rsidP="00597CA4">
            <w:pPr>
              <w:tabs>
                <w:tab w:val="left" w:pos="507"/>
              </w:tabs>
              <w:spacing w:before="40" w:afterLines="40" w:after="96" w:line="240" w:lineRule="auto"/>
              <w:jc w:val="left"/>
              <w:rPr>
                <w:rFonts w:ascii="Arial" w:hAnsi="Arial" w:cs="Arial"/>
                <w:sz w:val="20"/>
                <w:szCs w:val="20"/>
              </w:rPr>
            </w:pPr>
            <w:r w:rsidRPr="00597CA4">
              <w:rPr>
                <w:rFonts w:ascii="Arial" w:hAnsi="Arial" w:cs="Arial"/>
                <w:sz w:val="20"/>
                <w:szCs w:val="20"/>
              </w:rPr>
              <w:t>The maximum quantity authorised will be limited to provide sufficient supply for 1 month of treatment, based on the dosage recommendations in the Therapeutic Goods Administration (TGA) approved Product Information.</w:t>
            </w:r>
          </w:p>
          <w:p w:rsidR="00BB276C" w:rsidRPr="00597CA4" w:rsidRDefault="00BB276C" w:rsidP="00597CA4">
            <w:pPr>
              <w:tabs>
                <w:tab w:val="left" w:pos="507"/>
              </w:tabs>
              <w:spacing w:before="40" w:afterLines="40" w:after="96" w:line="240" w:lineRule="auto"/>
              <w:jc w:val="left"/>
              <w:rPr>
                <w:rFonts w:ascii="Arial" w:hAnsi="Arial" w:cs="Arial"/>
                <w:sz w:val="20"/>
                <w:szCs w:val="20"/>
              </w:rPr>
            </w:pPr>
            <w:r w:rsidRPr="00597CA4">
              <w:rPr>
                <w:rFonts w:ascii="Arial" w:hAnsi="Arial" w:cs="Arial"/>
                <w:sz w:val="20"/>
                <w:szCs w:val="20"/>
              </w:rPr>
              <w:t>A maximum of 5 repeats will be authorised.</w:t>
            </w:r>
          </w:p>
        </w:tc>
        <w:tc>
          <w:tcPr>
            <w:tcW w:w="1701" w:type="dxa"/>
          </w:tcPr>
          <w:p w:rsidR="00BB276C" w:rsidRPr="00597CA4" w:rsidRDefault="00BB276C" w:rsidP="00597CA4">
            <w:pPr>
              <w:spacing w:before="40" w:afterLines="40" w:after="96" w:line="240" w:lineRule="auto"/>
              <w:jc w:val="left"/>
              <w:rPr>
                <w:rFonts w:ascii="Arial" w:hAnsi="Arial" w:cs="Arial"/>
                <w:sz w:val="20"/>
                <w:szCs w:val="20"/>
              </w:rPr>
            </w:pPr>
            <w:r w:rsidRPr="00597CA4">
              <w:rPr>
                <w:rFonts w:ascii="Arial" w:hAnsi="Arial" w:cs="Arial"/>
                <w:sz w:val="20"/>
                <w:szCs w:val="20"/>
              </w:rPr>
              <w:t>‒</w:t>
            </w:r>
          </w:p>
        </w:tc>
        <w:tc>
          <w:tcPr>
            <w:tcW w:w="8679" w:type="dxa"/>
          </w:tcPr>
          <w:p w:rsidR="00357D64" w:rsidRDefault="00B15FF7" w:rsidP="00357D64">
            <w:pPr>
              <w:spacing w:before="40" w:afterLines="40" w:after="96" w:line="240" w:lineRule="auto"/>
              <w:jc w:val="left"/>
              <w:rPr>
                <w:rFonts w:ascii="Arial" w:hAnsi="Arial" w:cs="Arial"/>
                <w:b/>
                <w:sz w:val="20"/>
                <w:szCs w:val="20"/>
              </w:rPr>
            </w:pPr>
            <w:r w:rsidRPr="00597CA4">
              <w:rPr>
                <w:rFonts w:ascii="Arial" w:hAnsi="Arial" w:cs="Arial"/>
                <w:sz w:val="20"/>
                <w:szCs w:val="20"/>
              </w:rPr>
              <w:t xml:space="preserve">Comment: </w:t>
            </w:r>
            <w:r w:rsidR="00BB276C" w:rsidRPr="00597CA4">
              <w:rPr>
                <w:rFonts w:ascii="Arial" w:hAnsi="Arial" w:cs="Arial"/>
                <w:sz w:val="20"/>
                <w:szCs w:val="20"/>
              </w:rPr>
              <w:t xml:space="preserve">As with most PBS listings for chronic conditions, each PAH authority application is intended to provide six months’ treatment, that is, a maximum quantity of one month’s supply per script plus five repeats. The PAH listings include a statement that one month’s treatment must be defined according to the information in the approved TGA Product Information. Normally this would be left to prescribers to manage in the course of clinical practice. It is not stated how this should be defined for PAH items that allow for (or are silent on) paediatric use but where the PI only provides dosing information for adults. In cases where the proposed amount is insufficient, prescribers must use a balance of supply item to prescribe the remainder to make up the total for a 6 month course. Many of the </w:t>
            </w:r>
            <w:r w:rsidR="00F95235" w:rsidRPr="00597CA4">
              <w:rPr>
                <w:rFonts w:ascii="Arial" w:hAnsi="Arial" w:cs="Arial"/>
                <w:sz w:val="20"/>
                <w:szCs w:val="20"/>
              </w:rPr>
              <w:t>PAH medicines</w:t>
            </w:r>
            <w:r w:rsidR="00BB276C" w:rsidRPr="00597CA4">
              <w:rPr>
                <w:rFonts w:ascii="Arial" w:hAnsi="Arial" w:cs="Arial"/>
                <w:sz w:val="20"/>
                <w:szCs w:val="20"/>
              </w:rPr>
              <w:t xml:space="preserve"> require dose adjustment or dose titration, but it is not known whether this leads to repeated use of the balance of supply items in practice. </w:t>
            </w:r>
          </w:p>
          <w:p w:rsidR="00D63371" w:rsidRPr="00D63371" w:rsidRDefault="00B15FF7" w:rsidP="00D63371">
            <w:pPr>
              <w:spacing w:before="40" w:afterLines="40" w:after="96" w:line="240" w:lineRule="auto"/>
              <w:rPr>
                <w:rFonts w:ascii="Arial" w:hAnsi="Arial" w:cs="Arial"/>
                <w:i/>
                <w:sz w:val="20"/>
                <w:szCs w:val="20"/>
              </w:rPr>
            </w:pPr>
            <w:r w:rsidRPr="00597CA4">
              <w:rPr>
                <w:rFonts w:ascii="Arial" w:hAnsi="Arial" w:cs="Arial"/>
                <w:sz w:val="20"/>
                <w:szCs w:val="20"/>
              </w:rPr>
              <w:t xml:space="preserve">The guidelines make almost no dosing recommendations, with the exception of those discussed in the text regarding sildenafil </w:t>
            </w:r>
            <w:r w:rsidR="00CC7275" w:rsidRPr="00597CA4">
              <w:rPr>
                <w:rFonts w:ascii="Arial" w:hAnsi="Arial" w:cs="Arial"/>
                <w:sz w:val="20"/>
                <w:szCs w:val="20"/>
              </w:rPr>
              <w:t xml:space="preserve">– see </w:t>
            </w:r>
            <w:r w:rsidR="00D63371" w:rsidRPr="00D63371">
              <w:rPr>
                <w:rFonts w:ascii="Arial" w:eastAsia="Calibri" w:hAnsi="Arial" w:cs="Arial"/>
                <w:i/>
                <w:sz w:val="20"/>
                <w:szCs w:val="20"/>
              </w:rPr>
              <w:t>Dosage</w:t>
            </w:r>
          </w:p>
          <w:p w:rsidR="00D63371" w:rsidRPr="00D63371" w:rsidRDefault="00D63371" w:rsidP="00D63371">
            <w:pPr>
              <w:spacing w:before="40" w:afterLines="40" w:after="96" w:line="240" w:lineRule="auto"/>
              <w:rPr>
                <w:rFonts w:ascii="Arial" w:hAnsi="Arial" w:cs="Arial"/>
              </w:rPr>
            </w:pPr>
            <w:r w:rsidRPr="00D63371">
              <w:rPr>
                <w:rFonts w:ascii="Arial" w:eastAsia="Calibri" w:hAnsi="Arial" w:cs="Arial"/>
                <w:i/>
                <w:sz w:val="20"/>
                <w:szCs w:val="20"/>
              </w:rPr>
              <w:t>Current PBS requirement</w:t>
            </w:r>
          </w:p>
          <w:p w:rsidR="00D63371" w:rsidRPr="00D63371" w:rsidRDefault="00D63371" w:rsidP="00D63371">
            <w:pPr>
              <w:spacing w:before="40" w:afterLines="40" w:after="96" w:line="240" w:lineRule="auto"/>
              <w:rPr>
                <w:rFonts w:ascii="Arial" w:hAnsi="Arial" w:cs="Arial"/>
                <w:sz w:val="20"/>
                <w:szCs w:val="20"/>
              </w:rPr>
            </w:pPr>
            <w:r w:rsidRPr="00D63371">
              <w:rPr>
                <w:rFonts w:ascii="Arial" w:hAnsi="Arial" w:cs="Arial"/>
                <w:sz w:val="20"/>
                <w:szCs w:val="20"/>
              </w:rPr>
              <w:t>The current PBS restrictions specify that doses to inform maximum quantities for prescribing are limited to the recommended dose in the approved PI.</w:t>
            </w:r>
          </w:p>
          <w:p w:rsidR="00D63371" w:rsidRPr="00D63371" w:rsidRDefault="00D63371" w:rsidP="00D63371">
            <w:pPr>
              <w:spacing w:before="40" w:afterLines="40" w:after="96" w:line="240" w:lineRule="auto"/>
              <w:rPr>
                <w:rFonts w:ascii="Arial" w:hAnsi="Arial" w:cs="Arial"/>
                <w:sz w:val="20"/>
                <w:szCs w:val="20"/>
              </w:rPr>
            </w:pPr>
            <w:r w:rsidRPr="00D63371">
              <w:rPr>
                <w:rFonts w:ascii="Arial" w:eastAsia="Calibri" w:hAnsi="Arial" w:cs="Arial"/>
                <w:sz w:val="20"/>
                <w:szCs w:val="20"/>
                <w:u w:val="single"/>
              </w:rPr>
              <w:t>Guideline recommendations</w:t>
            </w:r>
          </w:p>
          <w:p w:rsidR="00D63371" w:rsidRPr="00D63371" w:rsidRDefault="00D63371" w:rsidP="00D63371">
            <w:pPr>
              <w:spacing w:before="40" w:afterLines="40" w:after="96" w:line="240" w:lineRule="auto"/>
              <w:rPr>
                <w:rFonts w:ascii="Arial" w:hAnsi="Arial" w:cs="Arial"/>
                <w:sz w:val="20"/>
                <w:szCs w:val="20"/>
              </w:rPr>
            </w:pPr>
            <w:r w:rsidRPr="00D63371">
              <w:rPr>
                <w:rFonts w:ascii="Arial" w:hAnsi="Arial" w:cs="Arial"/>
                <w:sz w:val="20"/>
                <w:szCs w:val="20"/>
              </w:rPr>
              <w:t xml:space="preserve">The majority of guideline recommendations are to do with choice of agent rather than the dose. The ESC/ERS guideline reports doses that are approved by regulators or that have been effective in clinical trials, but </w:t>
            </w:r>
            <w:proofErr w:type="gramStart"/>
            <w:r w:rsidRPr="00D63371">
              <w:rPr>
                <w:rFonts w:ascii="Arial" w:hAnsi="Arial" w:cs="Arial"/>
                <w:sz w:val="20"/>
                <w:szCs w:val="20"/>
              </w:rPr>
              <w:t>makes</w:t>
            </w:r>
            <w:proofErr w:type="gramEnd"/>
            <w:r w:rsidRPr="00D63371">
              <w:rPr>
                <w:rFonts w:ascii="Arial" w:hAnsi="Arial" w:cs="Arial"/>
                <w:sz w:val="20"/>
                <w:szCs w:val="20"/>
              </w:rPr>
              <w:t xml:space="preserve"> no dosing or dose adjustment recommendations aside from those regarding use of sildenafil in children.</w:t>
            </w:r>
          </w:p>
          <w:p w:rsidR="00D63371" w:rsidRPr="00D63371" w:rsidRDefault="00D63371" w:rsidP="00D63371">
            <w:pPr>
              <w:spacing w:before="40" w:afterLines="40" w:after="96" w:line="240" w:lineRule="auto"/>
              <w:rPr>
                <w:rFonts w:ascii="Arial" w:hAnsi="Arial" w:cs="Arial"/>
                <w:sz w:val="20"/>
                <w:szCs w:val="20"/>
              </w:rPr>
            </w:pPr>
            <w:r w:rsidRPr="00D63371">
              <w:rPr>
                <w:rFonts w:ascii="Arial" w:hAnsi="Arial" w:cs="Arial"/>
                <w:sz w:val="20"/>
                <w:szCs w:val="20"/>
              </w:rPr>
              <w:t xml:space="preserve">The CHEST guideline19 also makes few comments with respect to dose adjustments – the only one of note relates to sildenafil in adults (below). </w:t>
            </w:r>
          </w:p>
          <w:p w:rsidR="00B15FF7" w:rsidRPr="00597CA4" w:rsidRDefault="00D63371" w:rsidP="00597CA4">
            <w:pPr>
              <w:spacing w:before="40" w:afterLines="40" w:after="96" w:line="240" w:lineRule="auto"/>
              <w:jc w:val="left"/>
              <w:rPr>
                <w:rFonts w:ascii="Arial" w:hAnsi="Arial" w:cs="Arial"/>
                <w:sz w:val="20"/>
                <w:szCs w:val="20"/>
              </w:rPr>
            </w:pPr>
            <w:r w:rsidRPr="00D63371">
              <w:rPr>
                <w:rFonts w:ascii="Arial" w:hAnsi="Arial" w:cs="Arial"/>
                <w:sz w:val="20"/>
                <w:szCs w:val="20"/>
              </w:rPr>
              <w:t>Note regarding sildenafil dosage</w:t>
            </w:r>
            <w:r w:rsidR="00CC7275" w:rsidRPr="00597CA4">
              <w:rPr>
                <w:rFonts w:ascii="Arial" w:hAnsi="Arial" w:cs="Arial"/>
                <w:sz w:val="20"/>
                <w:szCs w:val="20"/>
              </w:rPr>
              <w:t xml:space="preserve"> (adults) and </w:t>
            </w:r>
            <w:r w:rsidRPr="00D63371">
              <w:rPr>
                <w:rFonts w:ascii="Arial" w:hAnsi="Arial" w:cs="Arial"/>
                <w:i/>
                <w:sz w:val="20"/>
                <w:szCs w:val="20"/>
              </w:rPr>
              <w:t>Use of sildenafil for PAH in children</w:t>
            </w:r>
            <w:r w:rsidR="00CC7275" w:rsidRPr="00597CA4">
              <w:rPr>
                <w:rFonts w:ascii="Arial" w:hAnsi="Arial" w:cs="Arial"/>
                <w:sz w:val="20"/>
                <w:szCs w:val="20"/>
              </w:rPr>
              <w:t xml:space="preserve"> (children)</w:t>
            </w:r>
          </w:p>
        </w:tc>
      </w:tr>
      <w:tr w:rsidR="004F0200" w:rsidRPr="002F3393" w:rsidTr="00ED574F">
        <w:tc>
          <w:tcPr>
            <w:tcW w:w="3794" w:type="dxa"/>
          </w:tcPr>
          <w:p w:rsidR="004F0200" w:rsidRPr="00597CA4" w:rsidRDefault="004F0200" w:rsidP="00597CA4">
            <w:pPr>
              <w:tabs>
                <w:tab w:val="left" w:pos="507"/>
              </w:tabs>
              <w:spacing w:before="40" w:afterLines="40" w:after="96" w:line="240" w:lineRule="auto"/>
              <w:jc w:val="left"/>
              <w:rPr>
                <w:rFonts w:ascii="Arial" w:hAnsi="Arial" w:cs="Arial"/>
                <w:sz w:val="20"/>
                <w:szCs w:val="20"/>
              </w:rPr>
            </w:pPr>
            <w:r w:rsidRPr="00597CA4">
              <w:rPr>
                <w:rFonts w:ascii="Arial" w:hAnsi="Arial" w:cs="Arial"/>
                <w:sz w:val="20"/>
                <w:szCs w:val="20"/>
              </w:rPr>
              <w:t>PAH agents are not PBS-subsidised for patients with pulmonary hypertension secondary to interstitial lung disease associated with connective tissue disease, where the total lung capacity is less than 70% of predicted.</w:t>
            </w:r>
          </w:p>
        </w:tc>
        <w:tc>
          <w:tcPr>
            <w:tcW w:w="1701" w:type="dxa"/>
          </w:tcPr>
          <w:p w:rsidR="004F0200" w:rsidRPr="00597CA4" w:rsidRDefault="004F0200" w:rsidP="00597CA4">
            <w:pPr>
              <w:spacing w:before="40" w:afterLines="40" w:after="96" w:line="240" w:lineRule="auto"/>
              <w:jc w:val="left"/>
              <w:rPr>
                <w:rFonts w:ascii="Arial" w:hAnsi="Arial" w:cs="Arial"/>
                <w:sz w:val="20"/>
                <w:szCs w:val="20"/>
              </w:rPr>
            </w:pPr>
            <w:r w:rsidRPr="00597CA4">
              <w:rPr>
                <w:rFonts w:ascii="Arial" w:hAnsi="Arial" w:cs="Arial"/>
                <w:sz w:val="20"/>
                <w:szCs w:val="20"/>
              </w:rPr>
              <w:t>‒</w:t>
            </w:r>
          </w:p>
        </w:tc>
        <w:tc>
          <w:tcPr>
            <w:tcW w:w="8679" w:type="dxa"/>
          </w:tcPr>
          <w:p w:rsidR="001F4168" w:rsidRPr="00597CA4" w:rsidRDefault="004F0200" w:rsidP="00597CA4">
            <w:pPr>
              <w:spacing w:before="40" w:afterLines="40" w:after="96" w:line="240" w:lineRule="auto"/>
              <w:jc w:val="left"/>
              <w:rPr>
                <w:rFonts w:ascii="Arial" w:hAnsi="Arial" w:cs="Arial"/>
                <w:sz w:val="20"/>
                <w:szCs w:val="20"/>
              </w:rPr>
            </w:pPr>
            <w:r w:rsidRPr="00597CA4">
              <w:rPr>
                <w:rFonts w:ascii="Arial" w:hAnsi="Arial" w:cs="Arial"/>
                <w:sz w:val="20"/>
                <w:szCs w:val="20"/>
              </w:rPr>
              <w:t xml:space="preserve">Yes, however, it is not clear why this but </w:t>
            </w:r>
            <w:proofErr w:type="spellStart"/>
            <w:r w:rsidRPr="00597CA4">
              <w:rPr>
                <w:rFonts w:ascii="Arial" w:hAnsi="Arial" w:cs="Arial"/>
                <w:sz w:val="20"/>
                <w:szCs w:val="20"/>
              </w:rPr>
              <w:t>not</w:t>
            </w:r>
            <w:proofErr w:type="spellEnd"/>
            <w:r w:rsidRPr="00597CA4">
              <w:rPr>
                <w:rFonts w:ascii="Arial" w:hAnsi="Arial" w:cs="Arial"/>
                <w:sz w:val="20"/>
                <w:szCs w:val="20"/>
              </w:rPr>
              <w:t xml:space="preserve"> other ‘non-Group 1’ PH conditions are included in this note. </w:t>
            </w:r>
          </w:p>
          <w:p w:rsidR="004F0200" w:rsidRDefault="001F4168" w:rsidP="00357D64">
            <w:pPr>
              <w:spacing w:before="40" w:afterLines="40" w:after="96" w:line="240" w:lineRule="auto"/>
              <w:jc w:val="left"/>
              <w:rPr>
                <w:rFonts w:ascii="Arial" w:hAnsi="Arial" w:cs="Arial"/>
                <w:sz w:val="20"/>
                <w:szCs w:val="20"/>
              </w:rPr>
            </w:pPr>
            <w:r w:rsidRPr="00597CA4">
              <w:rPr>
                <w:rFonts w:ascii="Arial" w:hAnsi="Arial" w:cs="Arial"/>
                <w:sz w:val="20"/>
                <w:szCs w:val="20"/>
              </w:rPr>
              <w:t xml:space="preserve">PH due to interstitial lung disease is a WHO Group 3 condition. It is one of a number of conditions, such as CTEPH, PPHN or PH due to left heart disease, for which treatment recommendations are different to those for WHO Group 1 causes of PAH. No other conditions are included in this restriction note. </w:t>
            </w:r>
            <w:r w:rsidR="004F0200" w:rsidRPr="00597CA4">
              <w:rPr>
                <w:rFonts w:ascii="Arial" w:hAnsi="Arial" w:cs="Arial"/>
                <w:sz w:val="20"/>
                <w:szCs w:val="20"/>
              </w:rPr>
              <w:t>This statement dates from the original March 2004 listing of bosentan</w:t>
            </w:r>
            <w:r w:rsidR="00357D64">
              <w:rPr>
                <w:rFonts w:ascii="Arial" w:hAnsi="Arial" w:cs="Arial"/>
                <w:sz w:val="20"/>
                <w:szCs w:val="20"/>
              </w:rPr>
              <w:t>.</w:t>
            </w:r>
          </w:p>
          <w:p w:rsidR="00357D64" w:rsidRPr="00597CA4" w:rsidRDefault="00357D64" w:rsidP="00357D64">
            <w:pPr>
              <w:spacing w:before="40" w:afterLines="40" w:after="96" w:line="240" w:lineRule="auto"/>
              <w:jc w:val="left"/>
              <w:rPr>
                <w:rFonts w:ascii="Arial" w:hAnsi="Arial" w:cs="Arial"/>
                <w:sz w:val="20"/>
                <w:szCs w:val="20"/>
              </w:rPr>
            </w:pPr>
          </w:p>
        </w:tc>
      </w:tr>
    </w:tbl>
    <w:p w:rsidR="001F4168" w:rsidRDefault="001F4168" w:rsidP="00121658">
      <w:pPr>
        <w:spacing w:before="0" w:line="240" w:lineRule="auto"/>
        <w:jc w:val="left"/>
        <w:rPr>
          <w:sz w:val="8"/>
          <w:szCs w:val="16"/>
        </w:rPr>
      </w:pPr>
      <w:r>
        <w:rPr>
          <w:sz w:val="8"/>
          <w:szCs w:val="16"/>
        </w:rPr>
        <w:br w:type="page"/>
      </w:r>
    </w:p>
    <w:p w:rsidR="001F4168" w:rsidRDefault="00F75B8B" w:rsidP="00F75B8B">
      <w:pPr>
        <w:pStyle w:val="Caption"/>
      </w:pPr>
      <w:bookmarkStart w:id="230" w:name="_Ref510796067"/>
      <w:bookmarkStart w:id="231" w:name="_Toc513107644"/>
      <w:r>
        <w:t>Table 1.</w:t>
      </w:r>
      <w:r w:rsidR="00D63371">
        <w:rPr>
          <w:noProof/>
        </w:rPr>
        <w:t>18</w:t>
      </w:r>
      <w:bookmarkEnd w:id="230"/>
      <w:r>
        <w:tab/>
        <w:t>PBS criteria for vasodilator therapy</w:t>
      </w:r>
      <w:bookmarkEnd w:id="231"/>
    </w:p>
    <w:tbl>
      <w:tblPr>
        <w:tblStyle w:val="TableGrid7"/>
        <w:tblpPr w:leftFromText="180" w:rightFromText="180" w:vertAnchor="text" w:tblpY="1"/>
        <w:tblOverlap w:val="never"/>
        <w:tblW w:w="0" w:type="auto"/>
        <w:tblLook w:val="04A0" w:firstRow="1" w:lastRow="0" w:firstColumn="1" w:lastColumn="0" w:noHBand="0" w:noVBand="1"/>
        <w:tblCaption w:val="PBS criteria for vasodilator therapy"/>
      </w:tblPr>
      <w:tblGrid>
        <w:gridCol w:w="5915"/>
        <w:gridCol w:w="2006"/>
        <w:gridCol w:w="6253"/>
      </w:tblGrid>
      <w:tr w:rsidR="001F4168" w:rsidRPr="00597CA4" w:rsidTr="00B572F4">
        <w:trPr>
          <w:tblHeader/>
        </w:trPr>
        <w:tc>
          <w:tcPr>
            <w:tcW w:w="6062" w:type="dxa"/>
            <w:shd w:val="clear" w:color="auto" w:fill="BFBFBF" w:themeFill="background1" w:themeFillShade="BF"/>
          </w:tcPr>
          <w:p w:rsidR="001F4168" w:rsidRPr="00597CA4" w:rsidRDefault="001F4168" w:rsidP="00597CA4">
            <w:pPr>
              <w:tabs>
                <w:tab w:val="left" w:pos="507"/>
              </w:tabs>
              <w:spacing w:beforeLines="40" w:before="96" w:after="40" w:line="240" w:lineRule="auto"/>
              <w:jc w:val="left"/>
              <w:rPr>
                <w:rFonts w:ascii="Arial" w:hAnsi="Arial" w:cs="Arial"/>
                <w:b/>
                <w:sz w:val="20"/>
                <w:szCs w:val="20"/>
              </w:rPr>
            </w:pPr>
            <w:r w:rsidRPr="00597CA4">
              <w:rPr>
                <w:rFonts w:ascii="Arial" w:hAnsi="Arial" w:cs="Arial"/>
                <w:b/>
                <w:sz w:val="20"/>
                <w:szCs w:val="20"/>
              </w:rPr>
              <w:t>Clinical or Prescribing Instruction</w:t>
            </w:r>
          </w:p>
        </w:tc>
        <w:tc>
          <w:tcPr>
            <w:tcW w:w="1701" w:type="dxa"/>
            <w:shd w:val="clear" w:color="auto" w:fill="BFBFBF" w:themeFill="background1" w:themeFillShade="BF"/>
          </w:tcPr>
          <w:p w:rsidR="001F4168" w:rsidRPr="00597CA4" w:rsidRDefault="001F4168" w:rsidP="00597CA4">
            <w:pPr>
              <w:spacing w:beforeLines="40" w:before="96" w:after="40" w:line="240" w:lineRule="auto"/>
              <w:jc w:val="left"/>
              <w:rPr>
                <w:rFonts w:ascii="Arial" w:hAnsi="Arial" w:cs="Arial"/>
                <w:b/>
                <w:sz w:val="20"/>
                <w:szCs w:val="20"/>
              </w:rPr>
            </w:pPr>
            <w:r w:rsidRPr="00597CA4">
              <w:rPr>
                <w:rFonts w:ascii="Arial" w:hAnsi="Arial" w:cs="Arial"/>
                <w:b/>
                <w:sz w:val="20"/>
                <w:szCs w:val="20"/>
              </w:rPr>
              <w:t>Guideline Recommendations</w:t>
            </w:r>
          </w:p>
        </w:tc>
        <w:tc>
          <w:tcPr>
            <w:tcW w:w="6411" w:type="dxa"/>
            <w:shd w:val="clear" w:color="auto" w:fill="BFBFBF" w:themeFill="background1" w:themeFillShade="BF"/>
          </w:tcPr>
          <w:p w:rsidR="001F4168" w:rsidRPr="00597CA4" w:rsidRDefault="001F4168" w:rsidP="00597CA4">
            <w:pPr>
              <w:spacing w:beforeLines="40" w:before="96" w:after="40" w:line="240" w:lineRule="auto"/>
              <w:jc w:val="left"/>
              <w:rPr>
                <w:rFonts w:ascii="Arial" w:hAnsi="Arial" w:cs="Arial"/>
                <w:b/>
                <w:sz w:val="20"/>
                <w:szCs w:val="20"/>
              </w:rPr>
            </w:pPr>
            <w:r w:rsidRPr="00597CA4">
              <w:rPr>
                <w:rFonts w:ascii="Arial" w:hAnsi="Arial" w:cs="Arial"/>
                <w:b/>
                <w:sz w:val="20"/>
                <w:szCs w:val="20"/>
              </w:rPr>
              <w:t>Consistent with Guidelines?</w:t>
            </w:r>
          </w:p>
        </w:tc>
      </w:tr>
      <w:tr w:rsidR="001F4168" w:rsidRPr="00597CA4" w:rsidTr="00B572F4">
        <w:tc>
          <w:tcPr>
            <w:tcW w:w="6062" w:type="dxa"/>
          </w:tcPr>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Initial 1: Patient must have a mean right atrial pressure of 8 mmHg or less as measured by right heart catheterisation (RHC);OR</w:t>
            </w:r>
          </w:p>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Patient must have right ventricular function assessed by echocardiography (ECHO) where a RHC cannot be performed on clinical grounds</w:t>
            </w:r>
          </w:p>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Initial 2: Patient must have a mean right atrial pressure of greater than 8 mmHg, as measured by right heart catheterisation (RHC) OR</w:t>
            </w:r>
          </w:p>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 xml:space="preserve">Patient must have WHO Functional Class III [PAH sub-type] with right ventricular function assessed by echocardiography (ECHO) where a RHC cannot be performed on clinical grounds; </w:t>
            </w:r>
          </w:p>
        </w:tc>
        <w:tc>
          <w:tcPr>
            <w:tcW w:w="1701" w:type="dxa"/>
          </w:tcPr>
          <w:p w:rsidR="001F4168" w:rsidRPr="009F0D29" w:rsidRDefault="001F4168" w:rsidP="009F0D29">
            <w:pPr>
              <w:spacing w:beforeLines="40" w:before="96" w:after="40" w:line="240" w:lineRule="auto"/>
              <w:jc w:val="left"/>
              <w:rPr>
                <w:rFonts w:ascii="Arial" w:hAnsi="Arial" w:cs="Arial"/>
                <w:sz w:val="20"/>
                <w:szCs w:val="20"/>
              </w:rPr>
            </w:pPr>
            <w:r w:rsidRPr="009F0D29">
              <w:rPr>
                <w:rFonts w:ascii="Arial" w:hAnsi="Arial" w:cs="Arial"/>
                <w:sz w:val="20"/>
                <w:szCs w:val="20"/>
              </w:rPr>
              <w:t xml:space="preserve">Guideline recommendations in </w:t>
            </w:r>
            <w:r w:rsidR="00D63371" w:rsidRPr="00D63371">
              <w:rPr>
                <w:rFonts w:ascii="Arial" w:hAnsi="Arial" w:cs="Arial"/>
                <w:sz w:val="20"/>
                <w:szCs w:val="20"/>
              </w:rPr>
              <w:t>Table 1.8</w:t>
            </w:r>
            <w:r w:rsidR="009B04B1">
              <w:rPr>
                <w:rFonts w:ascii="Arial" w:hAnsi="Arial" w:cs="Arial"/>
                <w:sz w:val="20"/>
                <w:szCs w:val="20"/>
              </w:rPr>
              <w:t>.</w:t>
            </w:r>
          </w:p>
        </w:tc>
        <w:tc>
          <w:tcPr>
            <w:tcW w:w="6411" w:type="dxa"/>
          </w:tcPr>
          <w:p w:rsidR="001F4168" w:rsidRPr="00597CA4" w:rsidRDefault="001F4168" w:rsidP="00597CA4">
            <w:pPr>
              <w:spacing w:beforeLines="40" w:before="96" w:after="40" w:line="240" w:lineRule="auto"/>
              <w:jc w:val="left"/>
              <w:rPr>
                <w:rFonts w:ascii="Arial" w:hAnsi="Arial" w:cs="Arial"/>
                <w:sz w:val="20"/>
                <w:szCs w:val="20"/>
              </w:rPr>
            </w:pPr>
            <w:r w:rsidRPr="00597CA4">
              <w:rPr>
                <w:rFonts w:ascii="Arial" w:hAnsi="Arial" w:cs="Arial"/>
                <w:sz w:val="20"/>
                <w:szCs w:val="20"/>
              </w:rPr>
              <w:t xml:space="preserve">No. The 8mmHg RAP by RHC is being used as an eligibility criterion for vasodilators – this is not recommended. The 8mmHg threshold in the PBS restrictions is one of a range of clinical features of low risk patients (the normal range is 1-6 mmHg). Though only in WHO FC I or II PAH would this be consistent with an assessment of low risk (the PBS restrictions cite this value in reference to WHO FC III patients). The </w:t>
            </w:r>
            <w:proofErr w:type="spellStart"/>
            <w:r w:rsidRPr="00597CA4">
              <w:rPr>
                <w:rFonts w:ascii="Arial" w:hAnsi="Arial" w:cs="Arial"/>
                <w:sz w:val="20"/>
                <w:szCs w:val="20"/>
              </w:rPr>
              <w:t>mRAP</w:t>
            </w:r>
            <w:proofErr w:type="spellEnd"/>
            <w:r w:rsidRPr="00597CA4">
              <w:rPr>
                <w:rFonts w:ascii="Arial" w:hAnsi="Arial" w:cs="Arial"/>
                <w:sz w:val="20"/>
                <w:szCs w:val="20"/>
              </w:rPr>
              <w:t xml:space="preserve"> of any value is not recommended as a sole basis for making any treatment decisions and it is not a criterion for determining whether CCBs are indicated. </w:t>
            </w:r>
          </w:p>
          <w:p w:rsidR="001F4168" w:rsidRPr="00597CA4" w:rsidRDefault="001F4168" w:rsidP="00597CA4">
            <w:pPr>
              <w:spacing w:beforeLines="40" w:before="96" w:after="40" w:line="240" w:lineRule="auto"/>
              <w:jc w:val="left"/>
              <w:rPr>
                <w:rFonts w:ascii="Arial" w:hAnsi="Arial" w:cs="Arial"/>
                <w:sz w:val="20"/>
                <w:szCs w:val="20"/>
              </w:rPr>
            </w:pPr>
            <w:r w:rsidRPr="00597CA4">
              <w:rPr>
                <w:rFonts w:ascii="Arial" w:hAnsi="Arial" w:cs="Arial"/>
                <w:sz w:val="20"/>
                <w:szCs w:val="20"/>
              </w:rPr>
              <w:t xml:space="preserve">The alternative measure specified is the assessment of right ventricular function by echocardiography. Neither of these </w:t>
            </w:r>
            <w:r w:rsidR="00ED574F" w:rsidRPr="00597CA4">
              <w:rPr>
                <w:rFonts w:ascii="Arial" w:hAnsi="Arial" w:cs="Arial"/>
                <w:sz w:val="20"/>
                <w:szCs w:val="20"/>
              </w:rPr>
              <w:t>criteria</w:t>
            </w:r>
            <w:r w:rsidRPr="00597CA4">
              <w:rPr>
                <w:rFonts w:ascii="Arial" w:hAnsi="Arial" w:cs="Arial"/>
                <w:sz w:val="20"/>
                <w:szCs w:val="20"/>
              </w:rPr>
              <w:t xml:space="preserve"> </w:t>
            </w:r>
            <w:proofErr w:type="gramStart"/>
            <w:r w:rsidRPr="00597CA4">
              <w:rPr>
                <w:rFonts w:ascii="Arial" w:hAnsi="Arial" w:cs="Arial"/>
                <w:sz w:val="20"/>
                <w:szCs w:val="20"/>
              </w:rPr>
              <w:t>are</w:t>
            </w:r>
            <w:proofErr w:type="gramEnd"/>
            <w:r w:rsidRPr="00597CA4">
              <w:rPr>
                <w:rFonts w:ascii="Arial" w:hAnsi="Arial" w:cs="Arial"/>
                <w:sz w:val="20"/>
                <w:szCs w:val="20"/>
              </w:rPr>
              <w:t xml:space="preserve"> </w:t>
            </w:r>
            <w:r w:rsidR="00ED574F" w:rsidRPr="00597CA4">
              <w:rPr>
                <w:rFonts w:ascii="Arial" w:hAnsi="Arial" w:cs="Arial"/>
                <w:sz w:val="20"/>
                <w:szCs w:val="20"/>
              </w:rPr>
              <w:t>recommended</w:t>
            </w:r>
            <w:r w:rsidRPr="00597CA4">
              <w:rPr>
                <w:rFonts w:ascii="Arial" w:hAnsi="Arial" w:cs="Arial"/>
                <w:sz w:val="20"/>
                <w:szCs w:val="20"/>
              </w:rPr>
              <w:t xml:space="preserve"> to determine eligibility for vasodilator therapy. </w:t>
            </w:r>
          </w:p>
        </w:tc>
      </w:tr>
      <w:tr w:rsidR="001F4168" w:rsidRPr="00597CA4" w:rsidTr="00B572F4">
        <w:tc>
          <w:tcPr>
            <w:tcW w:w="6062" w:type="dxa"/>
          </w:tcPr>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Response to prior vasodilator treatment is defined as follows:</w:t>
            </w:r>
          </w:p>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For patients with 2 or more baseline tests, response to treatment is defined as 2 or more tests demonstrating stability or improvement of disease, as assessed by a physician from a designated hospital.</w:t>
            </w:r>
          </w:p>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For patients with a RHC composite assessment alone at baseline, response to treatment is defined as a RHC result demonstrating stability or improvement of disease, as assessed by a physician from a designated hospital.</w:t>
            </w:r>
          </w:p>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For patients with an ECHO composite assessment alone at baseline, response to treatment is defined as an ECHO result demonstrating stability or improvement of disease, as assessed by a physician from a designated hospital.</w:t>
            </w:r>
          </w:p>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 xml:space="preserve">For patients aged less than 18 years, response to treatment is defined as at least one of the baseline tests demonstrating stability or improvement of disease, as assessed by a physician from a designated hospital. </w:t>
            </w:r>
          </w:p>
        </w:tc>
        <w:tc>
          <w:tcPr>
            <w:tcW w:w="1701" w:type="dxa"/>
          </w:tcPr>
          <w:p w:rsidR="001F4168" w:rsidRPr="009F0D29" w:rsidRDefault="001F4168" w:rsidP="009F0D29">
            <w:pPr>
              <w:spacing w:beforeLines="40" w:before="96" w:after="40" w:line="240" w:lineRule="auto"/>
              <w:jc w:val="left"/>
              <w:rPr>
                <w:rFonts w:ascii="Arial" w:hAnsi="Arial" w:cs="Arial"/>
                <w:sz w:val="20"/>
                <w:szCs w:val="20"/>
              </w:rPr>
            </w:pPr>
            <w:r w:rsidRPr="009F0D29">
              <w:rPr>
                <w:rFonts w:ascii="Arial" w:hAnsi="Arial" w:cs="Arial"/>
                <w:sz w:val="20"/>
                <w:szCs w:val="20"/>
              </w:rPr>
              <w:t xml:space="preserve">Guideline recommendations in </w:t>
            </w:r>
            <w:r w:rsidR="00D63371" w:rsidRPr="00D63371">
              <w:rPr>
                <w:rFonts w:ascii="Arial" w:hAnsi="Arial" w:cs="Arial"/>
                <w:sz w:val="20"/>
                <w:szCs w:val="20"/>
              </w:rPr>
              <w:t>Table 1.8</w:t>
            </w:r>
            <w:r w:rsidR="009B04B1">
              <w:rPr>
                <w:rFonts w:ascii="Arial" w:hAnsi="Arial" w:cs="Arial"/>
                <w:sz w:val="20"/>
                <w:szCs w:val="20"/>
              </w:rPr>
              <w:t>.</w:t>
            </w:r>
          </w:p>
        </w:tc>
        <w:tc>
          <w:tcPr>
            <w:tcW w:w="6411" w:type="dxa"/>
          </w:tcPr>
          <w:p w:rsidR="001F4168" w:rsidRPr="00597CA4" w:rsidRDefault="001F4168" w:rsidP="00597CA4">
            <w:pPr>
              <w:spacing w:beforeLines="40" w:before="96" w:after="40" w:line="240" w:lineRule="auto"/>
              <w:jc w:val="left"/>
              <w:rPr>
                <w:rFonts w:ascii="Arial" w:hAnsi="Arial" w:cs="Arial"/>
                <w:sz w:val="20"/>
                <w:szCs w:val="20"/>
              </w:rPr>
            </w:pPr>
            <w:r w:rsidRPr="00597CA4">
              <w:rPr>
                <w:rFonts w:ascii="Arial" w:hAnsi="Arial" w:cs="Arial"/>
                <w:sz w:val="20"/>
                <w:szCs w:val="20"/>
              </w:rPr>
              <w:t xml:space="preserve">Partially. These are the same criteria as definition of a response to PAH agent. </w:t>
            </w:r>
          </w:p>
          <w:p w:rsidR="00BB276C" w:rsidRPr="00597CA4" w:rsidRDefault="00BB276C" w:rsidP="00597CA4">
            <w:pPr>
              <w:spacing w:beforeLines="40" w:before="96" w:after="40" w:line="240" w:lineRule="auto"/>
              <w:jc w:val="left"/>
              <w:rPr>
                <w:rFonts w:ascii="Arial" w:hAnsi="Arial" w:cs="Arial"/>
                <w:sz w:val="20"/>
                <w:szCs w:val="20"/>
              </w:rPr>
            </w:pPr>
            <w:r w:rsidRPr="00597CA4">
              <w:rPr>
                <w:rFonts w:ascii="Arial" w:hAnsi="Arial" w:cs="Arial"/>
                <w:sz w:val="20"/>
                <w:szCs w:val="20"/>
              </w:rPr>
              <w:t>Assessment of response would not be limited to RHC, but would include monitoring parameters given in</w:t>
            </w:r>
            <w:r w:rsidRPr="009B04B1">
              <w:rPr>
                <w:rFonts w:ascii="Arial" w:hAnsi="Arial" w:cs="Arial"/>
                <w:sz w:val="20"/>
                <w:szCs w:val="20"/>
              </w:rPr>
              <w:t xml:space="preserve"> </w:t>
            </w:r>
            <w:r w:rsidR="00D63371" w:rsidRPr="00D63371">
              <w:rPr>
                <w:rFonts w:ascii="Arial" w:hAnsi="Arial" w:cs="Arial"/>
                <w:sz w:val="20"/>
                <w:szCs w:val="20"/>
              </w:rPr>
              <w:t>Table 1.8</w:t>
            </w:r>
            <w:r w:rsidRPr="00597CA4">
              <w:rPr>
                <w:rFonts w:ascii="Arial" w:hAnsi="Arial" w:cs="Arial"/>
                <w:sz w:val="20"/>
                <w:szCs w:val="20"/>
              </w:rPr>
              <w:t>. Patients without RHC at baseline would not be eligible to receive vasodilators as RHC is required to administer the acute vasoreactivity test to establish if patients are likely to respond to CCBs</w:t>
            </w:r>
            <w:r w:rsidR="003C17FA" w:rsidRPr="00597CA4">
              <w:rPr>
                <w:rFonts w:ascii="Arial" w:hAnsi="Arial" w:cs="Arial"/>
                <w:sz w:val="20"/>
                <w:szCs w:val="20"/>
              </w:rPr>
              <w:t xml:space="preserve">. </w:t>
            </w:r>
          </w:p>
          <w:p w:rsidR="00BB276C" w:rsidRPr="00597CA4" w:rsidRDefault="00BB276C" w:rsidP="00597CA4">
            <w:pPr>
              <w:spacing w:beforeLines="40" w:before="96" w:after="40" w:line="240" w:lineRule="auto"/>
              <w:jc w:val="left"/>
              <w:rPr>
                <w:rFonts w:ascii="Arial" w:hAnsi="Arial" w:cs="Arial"/>
                <w:sz w:val="20"/>
                <w:szCs w:val="20"/>
              </w:rPr>
            </w:pPr>
            <w:r w:rsidRPr="00597CA4">
              <w:rPr>
                <w:rFonts w:ascii="Arial" w:hAnsi="Arial" w:cs="Arial"/>
                <w:sz w:val="20"/>
                <w:szCs w:val="20"/>
              </w:rPr>
              <w:t xml:space="preserve">However, </w:t>
            </w:r>
            <w:r w:rsidR="00B15FF7" w:rsidRPr="00597CA4">
              <w:rPr>
                <w:rFonts w:ascii="Arial" w:hAnsi="Arial" w:cs="Arial"/>
                <w:sz w:val="20"/>
                <w:szCs w:val="20"/>
              </w:rPr>
              <w:t xml:space="preserve">somewhat </w:t>
            </w:r>
            <w:r w:rsidRPr="00597CA4">
              <w:rPr>
                <w:rFonts w:ascii="Arial" w:hAnsi="Arial" w:cs="Arial"/>
                <w:sz w:val="20"/>
                <w:szCs w:val="20"/>
              </w:rPr>
              <w:t>different criteria apply for high dose CCBs</w:t>
            </w:r>
            <w:r w:rsidR="003C17FA" w:rsidRPr="00597CA4">
              <w:rPr>
                <w:rFonts w:ascii="Arial" w:hAnsi="Arial" w:cs="Arial"/>
                <w:sz w:val="20"/>
                <w:szCs w:val="20"/>
              </w:rPr>
              <w:t xml:space="preserve">. </w:t>
            </w:r>
            <w:r w:rsidRPr="00597CA4">
              <w:rPr>
                <w:rFonts w:ascii="Arial" w:hAnsi="Arial" w:cs="Arial"/>
                <w:sz w:val="20"/>
                <w:szCs w:val="20"/>
              </w:rPr>
              <w:t>Patient should demonstrate near normalisation of symptoms</w:t>
            </w:r>
            <w:r w:rsidR="003C17FA" w:rsidRPr="00597CA4">
              <w:rPr>
                <w:rFonts w:ascii="Arial" w:hAnsi="Arial" w:cs="Arial"/>
                <w:sz w:val="20"/>
                <w:szCs w:val="20"/>
              </w:rPr>
              <w:t xml:space="preserve">. </w:t>
            </w:r>
          </w:p>
        </w:tc>
      </w:tr>
      <w:tr w:rsidR="001F4168" w:rsidRPr="00597CA4" w:rsidTr="00B572F4">
        <w:tc>
          <w:tcPr>
            <w:tcW w:w="6062" w:type="dxa"/>
          </w:tcPr>
          <w:p w:rsidR="001F4168" w:rsidRPr="009F0D29" w:rsidRDefault="001F4168" w:rsidP="00597CA4">
            <w:pPr>
              <w:tabs>
                <w:tab w:val="left" w:pos="507"/>
              </w:tabs>
              <w:spacing w:beforeLines="40" w:before="96" w:after="40" w:line="240" w:lineRule="auto"/>
              <w:jc w:val="left"/>
              <w:rPr>
                <w:rFonts w:ascii="Arial" w:hAnsi="Arial" w:cs="Arial"/>
                <w:sz w:val="20"/>
                <w:szCs w:val="20"/>
              </w:rPr>
            </w:pPr>
            <w:r w:rsidRPr="009F0D29">
              <w:rPr>
                <w:rFonts w:ascii="Arial" w:hAnsi="Arial" w:cs="Arial"/>
                <w:sz w:val="20"/>
                <w:szCs w:val="20"/>
              </w:rPr>
              <w:t xml:space="preserve">Patient must have failed to respond to 6 or more weeks of appropriate vasodilator treatment unless intolerance or a contraindication to such treatment exists. </w:t>
            </w:r>
          </w:p>
        </w:tc>
        <w:tc>
          <w:tcPr>
            <w:tcW w:w="1701" w:type="dxa"/>
          </w:tcPr>
          <w:p w:rsidR="001F4168" w:rsidRPr="009F0D29" w:rsidRDefault="009F0D29" w:rsidP="009F0D29">
            <w:pPr>
              <w:spacing w:beforeLines="40" w:before="96" w:after="40" w:line="240" w:lineRule="auto"/>
              <w:jc w:val="left"/>
              <w:rPr>
                <w:rFonts w:ascii="Arial" w:hAnsi="Arial" w:cs="Arial"/>
                <w:sz w:val="20"/>
                <w:szCs w:val="20"/>
              </w:rPr>
            </w:pPr>
            <w:r w:rsidRPr="009F0D29">
              <w:rPr>
                <w:rFonts w:ascii="Arial" w:hAnsi="Arial" w:cs="Arial"/>
                <w:sz w:val="20"/>
                <w:szCs w:val="20"/>
              </w:rPr>
              <w:t>See</w:t>
            </w:r>
            <w:r>
              <w:rPr>
                <w:rFonts w:ascii="Arial" w:hAnsi="Arial" w:cs="Arial"/>
                <w:sz w:val="20"/>
                <w:szCs w:val="20"/>
              </w:rPr>
              <w:t xml:space="preserve"> </w:t>
            </w:r>
            <w:r w:rsidR="00D63371" w:rsidRPr="00D63371">
              <w:rPr>
                <w:rFonts w:ascii="Arial" w:hAnsi="Arial" w:cs="Arial"/>
                <w:sz w:val="20"/>
                <w:szCs w:val="20"/>
              </w:rPr>
              <w:t>Table 1.8</w:t>
            </w:r>
            <w:r w:rsidR="009B04B1">
              <w:rPr>
                <w:rFonts w:ascii="Arial" w:hAnsi="Arial" w:cs="Arial"/>
                <w:sz w:val="20"/>
                <w:szCs w:val="20"/>
              </w:rPr>
              <w:t>.</w:t>
            </w:r>
          </w:p>
        </w:tc>
        <w:tc>
          <w:tcPr>
            <w:tcW w:w="6411" w:type="dxa"/>
          </w:tcPr>
          <w:p w:rsidR="001F4168" w:rsidRPr="00597CA4" w:rsidRDefault="001F4168" w:rsidP="00597CA4">
            <w:pPr>
              <w:spacing w:beforeLines="40" w:before="96" w:after="40" w:line="240" w:lineRule="auto"/>
              <w:jc w:val="left"/>
              <w:rPr>
                <w:rFonts w:ascii="Arial" w:hAnsi="Arial" w:cs="Arial"/>
                <w:sz w:val="20"/>
                <w:szCs w:val="20"/>
              </w:rPr>
            </w:pPr>
            <w:r w:rsidRPr="00597CA4">
              <w:rPr>
                <w:rFonts w:ascii="Arial" w:hAnsi="Arial" w:cs="Arial"/>
                <w:sz w:val="20"/>
                <w:szCs w:val="20"/>
              </w:rPr>
              <w:t>No</w:t>
            </w:r>
            <w:r w:rsidR="00B15FF7" w:rsidRPr="00597CA4">
              <w:rPr>
                <w:rFonts w:ascii="Arial" w:hAnsi="Arial" w:cs="Arial"/>
                <w:sz w:val="20"/>
                <w:szCs w:val="20"/>
              </w:rPr>
              <w:t>/unclear</w:t>
            </w:r>
            <w:r w:rsidRPr="00597CA4">
              <w:rPr>
                <w:rFonts w:ascii="Arial" w:hAnsi="Arial" w:cs="Arial"/>
                <w:sz w:val="20"/>
                <w:szCs w:val="20"/>
              </w:rPr>
              <w:t xml:space="preserve">. The ESC/ERS guideline recommends complete re-assessment at 3-6 months. </w:t>
            </w:r>
            <w:r w:rsidR="00B15FF7" w:rsidRPr="00597CA4">
              <w:rPr>
                <w:rFonts w:ascii="Arial" w:hAnsi="Arial" w:cs="Arial"/>
                <w:sz w:val="20"/>
                <w:szCs w:val="20"/>
              </w:rPr>
              <w:t>If</w:t>
            </w:r>
            <w:r w:rsidRPr="00597CA4">
              <w:rPr>
                <w:rFonts w:ascii="Arial" w:hAnsi="Arial" w:cs="Arial"/>
                <w:sz w:val="20"/>
                <w:szCs w:val="20"/>
              </w:rPr>
              <w:t xml:space="preserve"> the purpose of this vasodilator trial is solely to rule out CCBs and </w:t>
            </w:r>
            <w:proofErr w:type="gramStart"/>
            <w:r w:rsidRPr="00597CA4">
              <w:rPr>
                <w:rFonts w:ascii="Arial" w:hAnsi="Arial" w:cs="Arial"/>
                <w:sz w:val="20"/>
                <w:szCs w:val="20"/>
              </w:rPr>
              <w:t>proceed</w:t>
            </w:r>
            <w:proofErr w:type="gramEnd"/>
            <w:r w:rsidRPr="00597CA4">
              <w:rPr>
                <w:rFonts w:ascii="Arial" w:hAnsi="Arial" w:cs="Arial"/>
                <w:sz w:val="20"/>
                <w:szCs w:val="20"/>
              </w:rPr>
              <w:t xml:space="preserve"> to </w:t>
            </w:r>
            <w:r w:rsidR="00F95235" w:rsidRPr="00597CA4">
              <w:rPr>
                <w:rFonts w:ascii="Arial" w:hAnsi="Arial" w:cs="Arial"/>
                <w:sz w:val="20"/>
                <w:szCs w:val="20"/>
              </w:rPr>
              <w:t>PAH medicines</w:t>
            </w:r>
            <w:r w:rsidRPr="00597CA4">
              <w:rPr>
                <w:rFonts w:ascii="Arial" w:hAnsi="Arial" w:cs="Arial"/>
                <w:sz w:val="20"/>
                <w:szCs w:val="20"/>
              </w:rPr>
              <w:t>, 6 weeks may not be adequate</w:t>
            </w:r>
            <w:r w:rsidR="003C17FA" w:rsidRPr="00597CA4">
              <w:rPr>
                <w:rFonts w:ascii="Arial" w:hAnsi="Arial" w:cs="Arial"/>
                <w:sz w:val="20"/>
                <w:szCs w:val="20"/>
              </w:rPr>
              <w:t xml:space="preserve">. </w:t>
            </w:r>
          </w:p>
        </w:tc>
      </w:tr>
      <w:tr w:rsidR="001F4168" w:rsidRPr="00597CA4" w:rsidTr="00B572F4">
        <w:tc>
          <w:tcPr>
            <w:tcW w:w="6062" w:type="dxa"/>
          </w:tcPr>
          <w:p w:rsidR="001F4168" w:rsidRPr="00597CA4" w:rsidRDefault="001F4168" w:rsidP="00597CA4">
            <w:pPr>
              <w:tabs>
                <w:tab w:val="left" w:pos="507"/>
              </w:tabs>
              <w:spacing w:beforeLines="40" w:before="96" w:after="40" w:line="240" w:lineRule="auto"/>
              <w:jc w:val="left"/>
              <w:rPr>
                <w:rFonts w:ascii="Arial" w:hAnsi="Arial" w:cs="Arial"/>
                <w:sz w:val="20"/>
                <w:szCs w:val="20"/>
              </w:rPr>
            </w:pPr>
            <w:r w:rsidRPr="00597CA4">
              <w:rPr>
                <w:rFonts w:ascii="Arial" w:hAnsi="Arial" w:cs="Arial"/>
                <w:sz w:val="20"/>
                <w:szCs w:val="20"/>
              </w:rPr>
              <w:t xml:space="preserve">Details of prior vasodilator treatment, including the dose and duration of treatment, must be provided at the time of application. Where the patient has an adverse event to a vasodilator or where vasodilator treatment is contraindicated, details of the nature of the adverse event or contraindication according to the Therapeutic Goods Administration (TGA) approved Product Information must also be provided with the application. </w:t>
            </w:r>
          </w:p>
        </w:tc>
        <w:tc>
          <w:tcPr>
            <w:tcW w:w="1701" w:type="dxa"/>
          </w:tcPr>
          <w:p w:rsidR="001F4168" w:rsidRPr="00597CA4" w:rsidRDefault="001F4168" w:rsidP="00597CA4">
            <w:pPr>
              <w:spacing w:beforeLines="40" w:before="96" w:after="40" w:line="240" w:lineRule="auto"/>
              <w:jc w:val="left"/>
              <w:rPr>
                <w:rFonts w:ascii="Arial" w:hAnsi="Arial" w:cs="Arial"/>
                <w:sz w:val="20"/>
                <w:szCs w:val="20"/>
              </w:rPr>
            </w:pPr>
            <w:r w:rsidRPr="00597CA4">
              <w:rPr>
                <w:rFonts w:ascii="Arial" w:hAnsi="Arial" w:cs="Arial"/>
                <w:sz w:val="20"/>
                <w:szCs w:val="20"/>
              </w:rPr>
              <w:t>‒</w:t>
            </w:r>
          </w:p>
        </w:tc>
        <w:tc>
          <w:tcPr>
            <w:tcW w:w="6411" w:type="dxa"/>
          </w:tcPr>
          <w:p w:rsidR="001F4168" w:rsidRPr="00597CA4" w:rsidRDefault="001F4168" w:rsidP="00597CA4">
            <w:pPr>
              <w:spacing w:beforeLines="40" w:before="96" w:after="40" w:line="240" w:lineRule="auto"/>
              <w:jc w:val="left"/>
              <w:rPr>
                <w:rFonts w:ascii="Arial" w:hAnsi="Arial" w:cs="Arial"/>
                <w:sz w:val="20"/>
                <w:szCs w:val="20"/>
              </w:rPr>
            </w:pPr>
            <w:r w:rsidRPr="00597CA4">
              <w:rPr>
                <w:rFonts w:ascii="Arial" w:hAnsi="Arial" w:cs="Arial"/>
                <w:sz w:val="20"/>
                <w:szCs w:val="20"/>
              </w:rPr>
              <w:t xml:space="preserve">No. It is not clear what criteria the dose and duration reported here would be measured against. </w:t>
            </w:r>
          </w:p>
          <w:p w:rsidR="001F4168" w:rsidRPr="00597CA4" w:rsidRDefault="001F4168" w:rsidP="00597CA4">
            <w:pPr>
              <w:spacing w:beforeLines="40" w:before="96" w:after="40" w:line="240" w:lineRule="auto"/>
              <w:jc w:val="left"/>
              <w:rPr>
                <w:rFonts w:ascii="Arial" w:hAnsi="Arial" w:cs="Arial"/>
                <w:sz w:val="20"/>
                <w:szCs w:val="20"/>
              </w:rPr>
            </w:pPr>
            <w:r w:rsidRPr="00597CA4">
              <w:rPr>
                <w:rFonts w:ascii="Arial" w:hAnsi="Arial" w:cs="Arial"/>
                <w:sz w:val="20"/>
                <w:szCs w:val="20"/>
              </w:rPr>
              <w:t xml:space="preserve">This is off-label use for CCBs. The TGA Product Information does not cover adverse events or contraindications relevant to high dose CCB treatment for PAH (though it is likely to be overlapping with those for lower dose therapy for angina or heart failure). Contraindications may exist that would not be outlined in the current PI. </w:t>
            </w:r>
          </w:p>
        </w:tc>
      </w:tr>
    </w:tbl>
    <w:p w:rsidR="00724899" w:rsidRPr="00597CA4" w:rsidRDefault="00724899" w:rsidP="00597CA4">
      <w:pPr>
        <w:spacing w:beforeLines="40" w:before="96" w:after="40"/>
        <w:jc w:val="left"/>
        <w:rPr>
          <w:rFonts w:ascii="Arial" w:hAnsi="Arial" w:cs="Arial"/>
        </w:rPr>
      </w:pPr>
    </w:p>
    <w:p w:rsidR="00724899" w:rsidRDefault="00724899" w:rsidP="00121658">
      <w:pPr>
        <w:jc w:val="left"/>
        <w:sectPr w:rsidR="00724899" w:rsidSect="00724899">
          <w:footnotePr>
            <w:numFmt w:val="chicago"/>
          </w:footnotePr>
          <w:pgSz w:w="16838" w:h="11906" w:orient="landscape"/>
          <w:pgMar w:top="1440" w:right="1440" w:bottom="1440" w:left="1440" w:header="708" w:footer="708" w:gutter="0"/>
          <w:cols w:space="708"/>
          <w:titlePg/>
          <w:docGrid w:linePitch="360"/>
        </w:sectPr>
      </w:pPr>
    </w:p>
    <w:p w:rsidR="00027324" w:rsidRDefault="00027324" w:rsidP="00121658">
      <w:pPr>
        <w:pStyle w:val="Heading4"/>
        <w:jc w:val="left"/>
        <w:rPr>
          <w:rFonts w:eastAsiaTheme="minorEastAsia"/>
          <w:sz w:val="28"/>
          <w:szCs w:val="22"/>
          <w:lang w:eastAsia="en-AU"/>
        </w:rPr>
      </w:pPr>
      <w:bookmarkStart w:id="232" w:name="_Toc503800648"/>
      <w:bookmarkStart w:id="233" w:name="_Toc503811600"/>
      <w:bookmarkStart w:id="234" w:name="_Ref506191462"/>
      <w:bookmarkStart w:id="235" w:name="_Ref506480391"/>
      <w:bookmarkStart w:id="236" w:name="_Ref506191304"/>
      <w:bookmarkEnd w:id="225"/>
      <w:bookmarkEnd w:id="226"/>
      <w:bookmarkEnd w:id="227"/>
      <w:r>
        <w:rPr>
          <w:rFonts w:eastAsiaTheme="minorEastAsia"/>
        </w:rPr>
        <w:t>Dosage</w:t>
      </w:r>
    </w:p>
    <w:p w:rsidR="00027324" w:rsidRPr="00597CA4" w:rsidRDefault="00027324" w:rsidP="00121658">
      <w:pPr>
        <w:pStyle w:val="Heading5"/>
        <w:jc w:val="left"/>
        <w:rPr>
          <w:rFonts w:asciiTheme="minorHAnsi" w:hAnsiTheme="minorHAnsi"/>
        </w:rPr>
      </w:pPr>
      <w:r w:rsidRPr="00597CA4">
        <w:rPr>
          <w:rFonts w:asciiTheme="minorHAnsi" w:hAnsiTheme="minorHAnsi"/>
        </w:rPr>
        <w:t>Current PBS requirement</w:t>
      </w:r>
    </w:p>
    <w:p w:rsidR="00027324" w:rsidRDefault="00027324" w:rsidP="00597CA4">
      <w:pPr>
        <w:pStyle w:val="BodyTextnospacebefore"/>
      </w:pPr>
      <w:r>
        <w:t>The current PBS restrictions specify that doses to inform maximum quantities for prescribing are limited to the recommended dose in the approved PI.</w:t>
      </w:r>
    </w:p>
    <w:p w:rsidR="00027324" w:rsidRPr="00597CA4" w:rsidRDefault="00027324" w:rsidP="00121658">
      <w:pPr>
        <w:pStyle w:val="Heading5"/>
        <w:jc w:val="left"/>
        <w:rPr>
          <w:rFonts w:asciiTheme="minorHAnsi" w:hAnsiTheme="minorHAnsi"/>
        </w:rPr>
      </w:pPr>
      <w:r w:rsidRPr="00597CA4">
        <w:rPr>
          <w:rFonts w:asciiTheme="minorHAnsi" w:hAnsiTheme="minorHAnsi"/>
        </w:rPr>
        <w:t>Guideline recommendations</w:t>
      </w:r>
    </w:p>
    <w:p w:rsidR="00027324" w:rsidRDefault="00027324" w:rsidP="00597CA4">
      <w:pPr>
        <w:pStyle w:val="BodyTextnospacebefore"/>
      </w:pPr>
      <w:r>
        <w:t xml:space="preserve">The majority of guideline recommendations are to do with choice of agent rather than the dose. The ESC/ERS guideline reports doses that are approved by regulators or that have been effective in clinical trials, but </w:t>
      </w:r>
      <w:proofErr w:type="gramStart"/>
      <w:r>
        <w:t>makes</w:t>
      </w:r>
      <w:proofErr w:type="gramEnd"/>
      <w:r>
        <w:t xml:space="preserve"> no dosing or dose adjustment recommendations aside from those regarding use of sildenafil in children.</w:t>
      </w:r>
    </w:p>
    <w:p w:rsidR="00027324" w:rsidRPr="004F0200" w:rsidRDefault="00027324" w:rsidP="00597CA4">
      <w:pPr>
        <w:pStyle w:val="BodyTextnospacebefore"/>
      </w:pPr>
      <w:r w:rsidRPr="009D06BA">
        <w:t>The CHEST guideline</w:t>
      </w:r>
      <w:r w:rsidR="009C556B" w:rsidRPr="009C556B">
        <w:rPr>
          <w:rFonts w:cstheme="minorHAnsi"/>
          <w:noProof/>
          <w:vertAlign w:val="superscript"/>
        </w:rPr>
        <w:t>19</w:t>
      </w:r>
      <w:r w:rsidRPr="009D06BA">
        <w:t xml:space="preserve"> </w:t>
      </w:r>
      <w:r>
        <w:t xml:space="preserve">also </w:t>
      </w:r>
      <w:r w:rsidRPr="009D06BA">
        <w:t xml:space="preserve">makes </w:t>
      </w:r>
      <w:r>
        <w:t>few</w:t>
      </w:r>
      <w:r w:rsidRPr="009D06BA">
        <w:t xml:space="preserve"> </w:t>
      </w:r>
      <w:r>
        <w:t>comments</w:t>
      </w:r>
      <w:r w:rsidRPr="009D06BA">
        <w:t xml:space="preserve"> with respect to dose adjustments</w:t>
      </w:r>
      <w:r>
        <w:t xml:space="preserve"> – the only one of note relates to sildenafil in adults (below). </w:t>
      </w:r>
    </w:p>
    <w:p w:rsidR="00B15FF7" w:rsidRPr="00597CA4" w:rsidRDefault="00B15FF7" w:rsidP="00121658">
      <w:pPr>
        <w:pStyle w:val="Heading5"/>
        <w:jc w:val="left"/>
        <w:rPr>
          <w:rFonts w:asciiTheme="minorHAnsi" w:eastAsiaTheme="minorEastAsia" w:hAnsiTheme="minorHAnsi"/>
          <w:i/>
        </w:rPr>
      </w:pPr>
      <w:r w:rsidRPr="00597CA4">
        <w:rPr>
          <w:rFonts w:asciiTheme="minorHAnsi" w:eastAsiaTheme="minorEastAsia" w:hAnsiTheme="minorHAnsi"/>
        </w:rPr>
        <w:t>Note regarding sildenafil dosage</w:t>
      </w:r>
      <w:bookmarkEnd w:id="232"/>
      <w:bookmarkEnd w:id="233"/>
      <w:bookmarkEnd w:id="234"/>
      <w:bookmarkEnd w:id="235"/>
    </w:p>
    <w:p w:rsidR="00B15FF7" w:rsidRPr="004471BA" w:rsidRDefault="00B15FF7" w:rsidP="00597CA4">
      <w:pPr>
        <w:pStyle w:val="BodyTextnospacebefore"/>
      </w:pPr>
      <w:r w:rsidRPr="004471BA">
        <w:t xml:space="preserve">The sildenafil PI features clinical data from a number of studies where doses of 80mg or more were administered to patients. Sildenafil is being used overseas at doses in adults beyond the approved recommended dose (20mg </w:t>
      </w:r>
      <w:r w:rsidR="0027496F">
        <w:t>three times a day (</w:t>
      </w:r>
      <w:proofErr w:type="spellStart"/>
      <w:r w:rsidR="0027496F">
        <w:t>tid</w:t>
      </w:r>
      <w:proofErr w:type="spellEnd"/>
      <w:r w:rsidR="0027496F">
        <w:t>)</w:t>
      </w:r>
      <w:r w:rsidRPr="004471BA">
        <w:t xml:space="preserve">) and it is likely that doses up to 100mg </w:t>
      </w:r>
      <w:proofErr w:type="spellStart"/>
      <w:r w:rsidR="0027496F">
        <w:t>tid</w:t>
      </w:r>
      <w:proofErr w:type="spellEnd"/>
      <w:r w:rsidRPr="004471BA">
        <w:t xml:space="preserve"> are being prescribed for PAH in Australia. </w:t>
      </w:r>
    </w:p>
    <w:p w:rsidR="00B15FF7" w:rsidRPr="004471BA" w:rsidRDefault="00B15FF7" w:rsidP="00597CA4">
      <w:pPr>
        <w:pStyle w:val="BodyTextnospacebefore"/>
      </w:pPr>
      <w:r w:rsidRPr="004471BA">
        <w:t xml:space="preserve">In the UK, the NHS Commissioning guidance </w:t>
      </w:r>
      <w:r>
        <w:t xml:space="preserve">in the guidelines search (see </w:t>
      </w:r>
      <w:r w:rsidR="00D63371" w:rsidRPr="00D63371">
        <w:rPr>
          <w:i/>
        </w:rPr>
        <w:t>Guidelines</w:t>
      </w:r>
      <w:r>
        <w:t xml:space="preserve">) </w:t>
      </w:r>
      <w:r w:rsidRPr="004471BA">
        <w:t>states that the following doses will be funded for sildenafil in patients with PH:</w:t>
      </w:r>
    </w:p>
    <w:p w:rsidR="00B15FF7" w:rsidRPr="005309C6" w:rsidRDefault="00B15FF7" w:rsidP="00807704">
      <w:pPr>
        <w:pStyle w:val="ListParagraph"/>
        <w:numPr>
          <w:ilvl w:val="0"/>
          <w:numId w:val="14"/>
        </w:numPr>
        <w:spacing w:before="0" w:after="200" w:line="240" w:lineRule="auto"/>
        <w:ind w:left="0" w:firstLine="0"/>
        <w:jc w:val="left"/>
        <w:rPr>
          <w:rFonts w:asciiTheme="minorHAnsi" w:hAnsiTheme="minorHAnsi"/>
          <w:i/>
        </w:rPr>
      </w:pPr>
      <w:r w:rsidRPr="005309C6">
        <w:rPr>
          <w:rFonts w:asciiTheme="minorHAnsi" w:hAnsiTheme="minorHAnsi"/>
          <w:i/>
        </w:rPr>
        <w:t xml:space="preserve">As Viagra tablets (unlicensed indication): for dose escalation 25-100mg </w:t>
      </w:r>
      <w:proofErr w:type="spellStart"/>
      <w:r w:rsidR="0027496F" w:rsidRPr="005309C6">
        <w:rPr>
          <w:rFonts w:asciiTheme="minorHAnsi" w:hAnsiTheme="minorHAnsi"/>
          <w:i/>
        </w:rPr>
        <w:t>tid</w:t>
      </w:r>
      <w:proofErr w:type="spellEnd"/>
    </w:p>
    <w:p w:rsidR="00B15FF7" w:rsidRPr="005309C6" w:rsidRDefault="00B15FF7" w:rsidP="00807704">
      <w:pPr>
        <w:pStyle w:val="ListParagraph"/>
        <w:numPr>
          <w:ilvl w:val="0"/>
          <w:numId w:val="14"/>
        </w:numPr>
        <w:spacing w:before="0" w:after="200" w:line="240" w:lineRule="auto"/>
        <w:ind w:left="0" w:firstLine="0"/>
        <w:jc w:val="left"/>
        <w:rPr>
          <w:rFonts w:asciiTheme="minorHAnsi" w:hAnsiTheme="minorHAnsi"/>
          <w:i/>
        </w:rPr>
      </w:pPr>
      <w:r w:rsidRPr="005309C6">
        <w:rPr>
          <w:rFonts w:asciiTheme="minorHAnsi" w:hAnsiTheme="minorHAnsi"/>
          <w:i/>
        </w:rPr>
        <w:t xml:space="preserve">As </w:t>
      </w:r>
      <w:proofErr w:type="spellStart"/>
      <w:r w:rsidR="00060C26" w:rsidRPr="005309C6">
        <w:rPr>
          <w:rFonts w:asciiTheme="minorHAnsi" w:hAnsiTheme="minorHAnsi"/>
          <w:i/>
        </w:rPr>
        <w:t>Revatio</w:t>
      </w:r>
      <w:proofErr w:type="spellEnd"/>
      <w:r w:rsidR="00252749" w:rsidRPr="005309C6">
        <w:rPr>
          <w:rFonts w:asciiTheme="minorHAnsi" w:hAnsiTheme="minorHAnsi"/>
          <w:i/>
          <w:vertAlign w:val="superscript"/>
        </w:rPr>
        <w:t>®</w:t>
      </w:r>
      <w:r w:rsidRPr="005309C6">
        <w:rPr>
          <w:rFonts w:asciiTheme="minorHAnsi" w:hAnsiTheme="minorHAnsi"/>
          <w:i/>
        </w:rPr>
        <w:t xml:space="preserve"> tablets: for use only at licensed dose of 20mg </w:t>
      </w:r>
      <w:proofErr w:type="spellStart"/>
      <w:r w:rsidR="0027496F" w:rsidRPr="005309C6">
        <w:rPr>
          <w:rFonts w:asciiTheme="minorHAnsi" w:hAnsiTheme="minorHAnsi"/>
          <w:i/>
        </w:rPr>
        <w:t>tid</w:t>
      </w:r>
      <w:proofErr w:type="spellEnd"/>
    </w:p>
    <w:p w:rsidR="00B15FF7" w:rsidRDefault="00B15FF7" w:rsidP="005309C6">
      <w:pPr>
        <w:pStyle w:val="BodyTextnospacebefore"/>
      </w:pPr>
      <w:r w:rsidRPr="004471BA">
        <w:t xml:space="preserve">The CADTH made a similar observation in its 2015 report, that clinicians in Canada would start with 20mg </w:t>
      </w:r>
      <w:proofErr w:type="spellStart"/>
      <w:r w:rsidR="0027496F">
        <w:t>tid</w:t>
      </w:r>
      <w:proofErr w:type="spellEnd"/>
      <w:r w:rsidRPr="004471BA">
        <w:t xml:space="preserve"> but increase the dose </w:t>
      </w:r>
      <w:r>
        <w:t xml:space="preserve">to 80mg </w:t>
      </w:r>
      <w:proofErr w:type="spellStart"/>
      <w:r w:rsidR="0027496F">
        <w:t>tid</w:t>
      </w:r>
      <w:proofErr w:type="spellEnd"/>
      <w:r>
        <w:t xml:space="preserve"> or more in practice</w:t>
      </w:r>
      <w:r w:rsidR="009C556B" w:rsidRPr="009C556B">
        <w:rPr>
          <w:noProof/>
          <w:vertAlign w:val="superscript"/>
        </w:rPr>
        <w:t>25</w:t>
      </w:r>
      <w:r>
        <w:t xml:space="preserve">. </w:t>
      </w:r>
    </w:p>
    <w:p w:rsidR="00B15FF7" w:rsidRDefault="00B15FF7" w:rsidP="005309C6">
      <w:pPr>
        <w:pStyle w:val="BodyTextnospacebefore"/>
      </w:pPr>
      <w:r w:rsidRPr="004471BA">
        <w:t xml:space="preserve">The Australian PI states that </w:t>
      </w:r>
      <w:r w:rsidRPr="004471BA">
        <w:rPr>
          <w:i/>
        </w:rPr>
        <w:t xml:space="preserve">“no greater efficacy was achieved [in clinical trials] with doses higher than 20 mg </w:t>
      </w:r>
      <w:proofErr w:type="spellStart"/>
      <w:r w:rsidR="0027496F">
        <w:rPr>
          <w:i/>
        </w:rPr>
        <w:t>tid</w:t>
      </w:r>
      <w:proofErr w:type="spellEnd"/>
      <w:r w:rsidRPr="004471BA">
        <w:rPr>
          <w:i/>
        </w:rPr>
        <w:t>.”</w:t>
      </w:r>
      <w:r w:rsidRPr="004471BA">
        <w:t xml:space="preserve"> Sildenafil is frequently described in the PAH literature as having a comparatively mild toxicity profile, but it is unknown if this would apply to long-term dosing at high levels</w:t>
      </w:r>
      <w:r>
        <w:t>. The ESC/ERS guideline</w:t>
      </w:r>
      <w:r w:rsidR="009C556B" w:rsidRPr="00DC475B">
        <w:rPr>
          <w:noProof/>
          <w:vertAlign w:val="superscript"/>
        </w:rPr>
        <w:t>8</w:t>
      </w:r>
      <w:r>
        <w:t xml:space="preserve"> contains</w:t>
      </w:r>
      <w:r w:rsidRPr="004471BA">
        <w:t xml:space="preserve"> no recommendations regarding doses higher </w:t>
      </w:r>
      <w:r w:rsidRPr="009D06BA">
        <w:t xml:space="preserve">than 20mg </w:t>
      </w:r>
      <w:proofErr w:type="spellStart"/>
      <w:r w:rsidR="0027496F">
        <w:t>tid</w:t>
      </w:r>
      <w:proofErr w:type="spellEnd"/>
      <w:r w:rsidRPr="009D06BA">
        <w:t xml:space="preserve"> </w:t>
      </w:r>
      <w:proofErr w:type="gramStart"/>
      <w:r w:rsidRPr="009D06BA">
        <w:t>however,</w:t>
      </w:r>
      <w:proofErr w:type="gramEnd"/>
      <w:r w:rsidRPr="009D06BA">
        <w:t xml:space="preserve"> the CHEST guideline</w:t>
      </w:r>
      <w:r w:rsidR="009C556B" w:rsidRPr="009C556B">
        <w:rPr>
          <w:rFonts w:cstheme="minorHAnsi"/>
          <w:noProof/>
          <w:vertAlign w:val="superscript"/>
        </w:rPr>
        <w:t>19</w:t>
      </w:r>
      <w:r w:rsidRPr="009D06BA">
        <w:t xml:space="preserve"> does suggest exploring higher dose</w:t>
      </w:r>
      <w:r>
        <w:t>s:</w:t>
      </w:r>
    </w:p>
    <w:p w:rsidR="00B15FF7" w:rsidRPr="005309C6" w:rsidRDefault="00B15FF7" w:rsidP="00121658">
      <w:pPr>
        <w:jc w:val="left"/>
        <w:rPr>
          <w:rFonts w:asciiTheme="minorHAnsi" w:hAnsiTheme="minorHAnsi"/>
          <w:i/>
        </w:rPr>
      </w:pPr>
      <w:r w:rsidRPr="005309C6">
        <w:rPr>
          <w:rFonts w:asciiTheme="minorHAnsi" w:hAnsiTheme="minorHAnsi"/>
          <w:i/>
        </w:rPr>
        <w:t>“[T]</w:t>
      </w:r>
      <w:proofErr w:type="spellStart"/>
      <w:r w:rsidRPr="005309C6">
        <w:rPr>
          <w:rFonts w:asciiTheme="minorHAnsi" w:hAnsiTheme="minorHAnsi"/>
          <w:i/>
        </w:rPr>
        <w:t>itration</w:t>
      </w:r>
      <w:proofErr w:type="spellEnd"/>
      <w:r w:rsidRPr="005309C6">
        <w:rPr>
          <w:rFonts w:asciiTheme="minorHAnsi" w:hAnsiTheme="minorHAnsi"/>
          <w:i/>
        </w:rPr>
        <w:t xml:space="preserve"> of therapy up to 80 mg </w:t>
      </w:r>
      <w:proofErr w:type="spellStart"/>
      <w:r w:rsidRPr="005309C6">
        <w:rPr>
          <w:rFonts w:asciiTheme="minorHAnsi" w:hAnsiTheme="minorHAnsi"/>
          <w:i/>
        </w:rPr>
        <w:t>tid</w:t>
      </w:r>
      <w:proofErr w:type="spellEnd"/>
      <w:r w:rsidRPr="005309C6">
        <w:rPr>
          <w:rFonts w:asciiTheme="minorHAnsi" w:hAnsiTheme="minorHAnsi"/>
          <w:i/>
        </w:rPr>
        <w:t xml:space="preserve"> has been done in clinical trials and a dose response in hemodynamic response has been noted. In patients who fail to demonstrate and maintain an adequate clinical response to 20mg sildenafil </w:t>
      </w:r>
      <w:proofErr w:type="spellStart"/>
      <w:r w:rsidRPr="005309C6">
        <w:rPr>
          <w:rFonts w:asciiTheme="minorHAnsi" w:hAnsiTheme="minorHAnsi"/>
          <w:i/>
        </w:rPr>
        <w:t>tid</w:t>
      </w:r>
      <w:proofErr w:type="spellEnd"/>
      <w:r w:rsidRPr="005309C6">
        <w:rPr>
          <w:rFonts w:asciiTheme="minorHAnsi" w:hAnsiTheme="minorHAnsi"/>
          <w:i/>
        </w:rPr>
        <w:t xml:space="preserve">, we recommend consideration of increasing the dose in 20 mg increments to a maximum of 80 mg </w:t>
      </w:r>
      <w:proofErr w:type="spellStart"/>
      <w:r w:rsidRPr="005309C6">
        <w:rPr>
          <w:rFonts w:asciiTheme="minorHAnsi" w:hAnsiTheme="minorHAnsi"/>
          <w:i/>
        </w:rPr>
        <w:t>tid</w:t>
      </w:r>
      <w:proofErr w:type="spellEnd"/>
      <w:r w:rsidRPr="005309C6">
        <w:rPr>
          <w:rFonts w:asciiTheme="minorHAnsi" w:hAnsiTheme="minorHAnsi"/>
          <w:i/>
        </w:rPr>
        <w:t xml:space="preserve"> or adding another agent”.</w:t>
      </w:r>
    </w:p>
    <w:p w:rsidR="00B92C85" w:rsidRDefault="00533AB0" w:rsidP="00121658">
      <w:pPr>
        <w:pStyle w:val="Heading4"/>
        <w:jc w:val="left"/>
        <w:rPr>
          <w:rFonts w:eastAsiaTheme="minorEastAsia"/>
          <w:sz w:val="28"/>
          <w:szCs w:val="22"/>
          <w:lang w:eastAsia="en-AU"/>
        </w:rPr>
      </w:pPr>
      <w:bookmarkStart w:id="237" w:name="_Ref506294993"/>
      <w:r>
        <w:rPr>
          <w:rFonts w:eastAsiaTheme="minorEastAsia"/>
        </w:rPr>
        <w:t>Paediatric use</w:t>
      </w:r>
      <w:bookmarkEnd w:id="236"/>
      <w:bookmarkEnd w:id="237"/>
    </w:p>
    <w:p w:rsidR="00DC0C4C" w:rsidRDefault="00DC0C4C" w:rsidP="00121658">
      <w:pPr>
        <w:pStyle w:val="Heading5"/>
        <w:jc w:val="left"/>
      </w:pPr>
      <w:r>
        <w:t>Current PBS requirement</w:t>
      </w:r>
    </w:p>
    <w:p w:rsidR="00533AB0" w:rsidRPr="00A60F44" w:rsidRDefault="00533AB0" w:rsidP="00121658">
      <w:pPr>
        <w:jc w:val="left"/>
        <w:rPr>
          <w:rFonts w:asciiTheme="minorHAnsi" w:hAnsiTheme="minorHAnsi"/>
          <w:szCs w:val="22"/>
          <w:lang w:eastAsia="en-AU"/>
        </w:rPr>
      </w:pPr>
      <w:r w:rsidRPr="00A60F44">
        <w:rPr>
          <w:rFonts w:asciiTheme="minorHAnsi" w:hAnsiTheme="minorHAnsi"/>
        </w:rPr>
        <w:t>All the current PBS restrictions provide for treatment of paediatric patients</w:t>
      </w:r>
      <w:r w:rsidR="003C17FA" w:rsidRPr="00A60F44">
        <w:rPr>
          <w:rFonts w:asciiTheme="minorHAnsi" w:hAnsiTheme="minorHAnsi"/>
        </w:rPr>
        <w:t xml:space="preserve">. </w:t>
      </w:r>
      <w:r w:rsidR="004F0200" w:rsidRPr="00A60F44">
        <w:rPr>
          <w:rFonts w:asciiTheme="minorHAnsi" w:hAnsiTheme="minorHAnsi"/>
        </w:rPr>
        <w:t>T</w:t>
      </w:r>
      <w:r w:rsidR="004A1EBF" w:rsidRPr="00A60F44">
        <w:rPr>
          <w:rFonts w:asciiTheme="minorHAnsi" w:hAnsiTheme="minorHAnsi"/>
        </w:rPr>
        <w:t xml:space="preserve">he clinical criteria </w:t>
      </w:r>
      <w:r w:rsidR="004F0200" w:rsidRPr="00A60F44">
        <w:rPr>
          <w:rFonts w:asciiTheme="minorHAnsi" w:hAnsiTheme="minorHAnsi"/>
        </w:rPr>
        <w:t>are silent on the age group and though adults were specified in some items in the past, this has since been removed. Further, t</w:t>
      </w:r>
      <w:r w:rsidR="004A1EBF" w:rsidRPr="00A60F44">
        <w:rPr>
          <w:rFonts w:asciiTheme="minorHAnsi" w:hAnsiTheme="minorHAnsi"/>
        </w:rPr>
        <w:t xml:space="preserve">he definition of response to treatment for all </w:t>
      </w:r>
      <w:r w:rsidR="00F95235" w:rsidRPr="00A60F44">
        <w:rPr>
          <w:rFonts w:asciiTheme="minorHAnsi" w:hAnsiTheme="minorHAnsi"/>
        </w:rPr>
        <w:t>PAH medicines</w:t>
      </w:r>
      <w:r w:rsidR="004A1EBF" w:rsidRPr="00A60F44">
        <w:rPr>
          <w:rFonts w:asciiTheme="minorHAnsi" w:hAnsiTheme="minorHAnsi"/>
        </w:rPr>
        <w:t xml:space="preserve"> listed provides criteria specific to patients </w:t>
      </w:r>
      <w:proofErr w:type="gramStart"/>
      <w:r w:rsidR="004A1EBF" w:rsidRPr="00A60F44">
        <w:rPr>
          <w:rFonts w:asciiTheme="minorHAnsi" w:hAnsiTheme="minorHAnsi"/>
        </w:rPr>
        <w:t>under</w:t>
      </w:r>
      <w:proofErr w:type="gramEnd"/>
      <w:r w:rsidR="004A1EBF" w:rsidRPr="00A60F44">
        <w:rPr>
          <w:rFonts w:asciiTheme="minorHAnsi" w:hAnsiTheme="minorHAnsi"/>
        </w:rPr>
        <w:t xml:space="preserve"> 18 years</w:t>
      </w:r>
      <w:r w:rsidR="003C17FA" w:rsidRPr="00A60F44">
        <w:rPr>
          <w:rFonts w:asciiTheme="minorHAnsi" w:hAnsiTheme="minorHAnsi"/>
        </w:rPr>
        <w:t xml:space="preserve">. </w:t>
      </w:r>
    </w:p>
    <w:p w:rsidR="00644365" w:rsidRPr="00A60F44" w:rsidRDefault="00644365" w:rsidP="00121658">
      <w:pPr>
        <w:jc w:val="left"/>
        <w:rPr>
          <w:rFonts w:asciiTheme="minorHAnsi" w:hAnsiTheme="minorHAnsi"/>
        </w:rPr>
      </w:pPr>
      <w:r w:rsidRPr="00A60F44">
        <w:rPr>
          <w:rFonts w:asciiTheme="minorHAnsi" w:hAnsiTheme="minorHAnsi"/>
        </w:rPr>
        <w:t>At least some of the PBS restrictions refer to dosing and adverse events criteria in the PI of relevant PAH medicines. With the exception of bosentan it is not clear that the PIs would reflect the correct information for children</w:t>
      </w:r>
      <w:r w:rsidR="00AC5B85" w:rsidRPr="00A60F44">
        <w:rPr>
          <w:rFonts w:asciiTheme="minorHAnsi" w:hAnsiTheme="minorHAnsi"/>
        </w:rPr>
        <w:t xml:space="preserve">. </w:t>
      </w:r>
    </w:p>
    <w:p w:rsidR="00644365" w:rsidRDefault="00644365" w:rsidP="00121658">
      <w:pPr>
        <w:pStyle w:val="Heading5"/>
        <w:jc w:val="left"/>
      </w:pPr>
      <w:r>
        <w:t>Guideline recommendations</w:t>
      </w:r>
    </w:p>
    <w:p w:rsidR="00644365" w:rsidRPr="005309C6" w:rsidRDefault="009A7B6B" w:rsidP="005309C6">
      <w:pPr>
        <w:pStyle w:val="BodyTextnospacebefore"/>
        <w:rPr>
          <w:i/>
        </w:rPr>
      </w:pPr>
      <w:r>
        <w:t xml:space="preserve">The ESC/ERS Guideline states that: </w:t>
      </w:r>
      <w:r w:rsidR="00A31A28" w:rsidRPr="005309C6">
        <w:rPr>
          <w:i/>
        </w:rPr>
        <w:t>Sildenafil has shown efficacy and has been approved in Europe for children 1–17 years of age. Increased mortality using high doses has raised concerns; therefore high doses should not be used in children (high individual doses of sildenafil on a three daily dosing not recommended:</w:t>
      </w:r>
      <w:r w:rsidRPr="005309C6">
        <w:rPr>
          <w:i/>
        </w:rPr>
        <w:t xml:space="preserve"> </w:t>
      </w:r>
      <w:r w:rsidR="00A31A28" w:rsidRPr="005309C6">
        <w:rPr>
          <w:i/>
        </w:rPr>
        <w:t>10 mg/dose with a bodyweight of 8–20 kg,</w:t>
      </w:r>
      <w:r w:rsidRPr="005309C6">
        <w:rPr>
          <w:i/>
        </w:rPr>
        <w:t xml:space="preserve"> </w:t>
      </w:r>
      <w:r w:rsidR="00A31A28" w:rsidRPr="005309C6">
        <w:rPr>
          <w:i/>
        </w:rPr>
        <w:t>20 mg/dose in children with a bodyweight &gt;</w:t>
      </w:r>
      <w:r w:rsidRPr="005309C6">
        <w:rPr>
          <w:i/>
        </w:rPr>
        <w:t xml:space="preserve">20 kg or </w:t>
      </w:r>
      <w:r w:rsidR="00A31A28" w:rsidRPr="005309C6">
        <w:rPr>
          <w:i/>
        </w:rPr>
        <w:t>1 mg/kg/dose in infants and small children)</w:t>
      </w:r>
      <w:r w:rsidR="003C17FA" w:rsidRPr="005309C6">
        <w:rPr>
          <w:i/>
        </w:rPr>
        <w:t xml:space="preserve">. </w:t>
      </w:r>
    </w:p>
    <w:p w:rsidR="0061278C" w:rsidRPr="0061278C" w:rsidRDefault="0061278C" w:rsidP="005309C6">
      <w:pPr>
        <w:pStyle w:val="BodyTextnospacebefore"/>
      </w:pPr>
      <w:r w:rsidRPr="00B15FF7">
        <w:t xml:space="preserve">The CHEST Guideline states that it makes no recommendations for children, </w:t>
      </w:r>
      <w:proofErr w:type="spellStart"/>
      <w:r w:rsidRPr="00B15FF7">
        <w:t>referring</w:t>
      </w:r>
      <w:proofErr w:type="spellEnd"/>
      <w:r w:rsidRPr="00B15FF7">
        <w:t xml:space="preserve"> instead to the Ivy et al., guideline</w:t>
      </w:r>
      <w:r w:rsidR="009C556B" w:rsidRPr="009C556B">
        <w:rPr>
          <w:noProof/>
          <w:vertAlign w:val="superscript"/>
        </w:rPr>
        <w:t>23</w:t>
      </w:r>
      <w:r w:rsidR="003C17FA">
        <w:t xml:space="preserve">. </w:t>
      </w:r>
    </w:p>
    <w:p w:rsidR="00422204" w:rsidRPr="005309C6" w:rsidRDefault="00422204" w:rsidP="00121658">
      <w:pPr>
        <w:pStyle w:val="Heading5"/>
        <w:jc w:val="left"/>
        <w:rPr>
          <w:rFonts w:asciiTheme="minorHAnsi" w:hAnsiTheme="minorHAnsi"/>
        </w:rPr>
      </w:pPr>
      <w:r w:rsidRPr="005309C6">
        <w:rPr>
          <w:rFonts w:asciiTheme="minorHAnsi" w:hAnsiTheme="minorHAnsi"/>
        </w:rPr>
        <w:t>Pharmaceutical forms</w:t>
      </w:r>
    </w:p>
    <w:p w:rsidR="00533AB0" w:rsidRPr="00533AB0" w:rsidRDefault="00F95235" w:rsidP="005309C6">
      <w:pPr>
        <w:pStyle w:val="BodyTextnospacebefore"/>
      </w:pPr>
      <w:r>
        <w:t>PAH medicines</w:t>
      </w:r>
      <w:r w:rsidR="00422204">
        <w:t xml:space="preserve"> that are</w:t>
      </w:r>
      <w:r w:rsidR="00533AB0" w:rsidRPr="00533AB0">
        <w:t xml:space="preserve"> available as tablets</w:t>
      </w:r>
      <w:r w:rsidR="00ED574F">
        <w:t xml:space="preserve"> (</w:t>
      </w:r>
      <w:r w:rsidR="00ED574F" w:rsidRPr="00422204">
        <w:t xml:space="preserve">ERAs, </w:t>
      </w:r>
      <w:r w:rsidR="00ED574F">
        <w:t>PDE</w:t>
      </w:r>
      <w:r w:rsidR="00ED574F">
        <w:noBreakHyphen/>
        <w:t>5</w:t>
      </w:r>
      <w:r w:rsidR="00ED574F" w:rsidRPr="00422204">
        <w:t xml:space="preserve"> inhibitors</w:t>
      </w:r>
      <w:r w:rsidR="00ED574F">
        <w:t xml:space="preserve"> and riociguat (also selexipag))</w:t>
      </w:r>
      <w:r w:rsidR="00533AB0" w:rsidRPr="00533AB0">
        <w:t xml:space="preserve"> would need to be compounded by the pharmacist for children unable to swallow </w:t>
      </w:r>
      <w:r w:rsidR="00ED574F">
        <w:t>a</w:t>
      </w:r>
      <w:r w:rsidR="00533AB0" w:rsidRPr="00533AB0">
        <w:t xml:space="preserve"> tablet</w:t>
      </w:r>
      <w:r w:rsidR="00ED574F">
        <w:t xml:space="preserve"> or where appropriate low-dose strengths are unavailable</w:t>
      </w:r>
      <w:r w:rsidR="00AC5B85">
        <w:t xml:space="preserve">. </w:t>
      </w:r>
      <w:r w:rsidR="00533AB0" w:rsidRPr="00533AB0">
        <w:t xml:space="preserve">Compounded medicines are not eligible for PBS subsidy and must be obtained on a private script (or through schemes that may be available through treating hospitals). Few community pharmacies offer compounding and for those that do, the typical cost per script for a compounded oral suspension </w:t>
      </w:r>
      <w:r w:rsidR="00ED574F">
        <w:t>can be</w:t>
      </w:r>
      <w:r w:rsidR="00533AB0" w:rsidRPr="00533AB0">
        <w:t xml:space="preserve"> $70-$90 per script.</w:t>
      </w:r>
    </w:p>
    <w:p w:rsidR="00533AB0" w:rsidRPr="00A60F44" w:rsidRDefault="00533AB0" w:rsidP="00121658">
      <w:pPr>
        <w:jc w:val="left"/>
        <w:rPr>
          <w:rFonts w:asciiTheme="minorHAnsi" w:hAnsiTheme="minorHAnsi"/>
        </w:rPr>
      </w:pPr>
      <w:r w:rsidRPr="00A60F44">
        <w:rPr>
          <w:rFonts w:asciiTheme="minorHAnsi" w:hAnsiTheme="minorHAnsi"/>
        </w:rPr>
        <w:t>Private scripts do not contribute to safety net thresholds nor are they eligible for concessions. Alternatively,</w:t>
      </w:r>
      <w:r w:rsidR="00590373" w:rsidRPr="00A60F44">
        <w:rPr>
          <w:rFonts w:asciiTheme="minorHAnsi" w:hAnsiTheme="minorHAnsi"/>
        </w:rPr>
        <w:t xml:space="preserve"> </w:t>
      </w:r>
      <w:r w:rsidRPr="00A60F44">
        <w:rPr>
          <w:rFonts w:asciiTheme="minorHAnsi" w:hAnsiTheme="minorHAnsi"/>
        </w:rPr>
        <w:t xml:space="preserve">the PBS-subsidised tablets </w:t>
      </w:r>
      <w:r w:rsidR="00ED574F" w:rsidRPr="00A60F44">
        <w:rPr>
          <w:rFonts w:asciiTheme="minorHAnsi" w:hAnsiTheme="minorHAnsi"/>
        </w:rPr>
        <w:t>may</w:t>
      </w:r>
      <w:r w:rsidRPr="00A60F44">
        <w:rPr>
          <w:rFonts w:asciiTheme="minorHAnsi" w:hAnsiTheme="minorHAnsi"/>
        </w:rPr>
        <w:t xml:space="preserve"> be crushed and suspended for each dose by the patient’s carer</w:t>
      </w:r>
      <w:r w:rsidR="004F0200" w:rsidRPr="00A60F44">
        <w:rPr>
          <w:rFonts w:asciiTheme="minorHAnsi" w:hAnsiTheme="minorHAnsi"/>
        </w:rPr>
        <w:t xml:space="preserve"> (if </w:t>
      </w:r>
      <w:proofErr w:type="gramStart"/>
      <w:r w:rsidR="004F0200" w:rsidRPr="00A60F44">
        <w:rPr>
          <w:rFonts w:asciiTheme="minorHAnsi" w:hAnsiTheme="minorHAnsi"/>
        </w:rPr>
        <w:t>an age</w:t>
      </w:r>
      <w:proofErr w:type="gramEnd"/>
      <w:r w:rsidR="004F0200" w:rsidRPr="00A60F44">
        <w:rPr>
          <w:rFonts w:asciiTheme="minorHAnsi" w:hAnsiTheme="minorHAnsi"/>
        </w:rPr>
        <w:t>-</w:t>
      </w:r>
      <w:r w:rsidR="00C40AC4" w:rsidRPr="00A60F44">
        <w:rPr>
          <w:rFonts w:asciiTheme="minorHAnsi" w:hAnsiTheme="minorHAnsi"/>
        </w:rPr>
        <w:t>appropriate</w:t>
      </w:r>
      <w:r w:rsidR="004F0200" w:rsidRPr="00A60F44">
        <w:rPr>
          <w:rFonts w:asciiTheme="minorHAnsi" w:hAnsiTheme="minorHAnsi"/>
        </w:rPr>
        <w:t xml:space="preserve"> tablet strength is available)</w:t>
      </w:r>
      <w:r w:rsidR="00AC5B85" w:rsidRPr="00A60F44">
        <w:rPr>
          <w:rFonts w:asciiTheme="minorHAnsi" w:hAnsiTheme="minorHAnsi"/>
        </w:rPr>
        <w:t xml:space="preserve">. </w:t>
      </w:r>
    </w:p>
    <w:p w:rsidR="00422204" w:rsidRPr="00A60F44" w:rsidRDefault="00422204" w:rsidP="005309C6">
      <w:pPr>
        <w:pStyle w:val="BodyTextnospacebefore"/>
      </w:pPr>
      <w:r w:rsidRPr="00A60F44">
        <w:t>Pharmaceutical forms suitable for paediatric administration that are available overseas, such as oral solutions, are not on the market in Australia</w:t>
      </w:r>
      <w:r w:rsidR="00AC5B85" w:rsidRPr="00A60F44">
        <w:t xml:space="preserve">. </w:t>
      </w:r>
      <w:r w:rsidRPr="00A60F44">
        <w:t xml:space="preserve">Product information for Europe and the USA show that, in both regions, sildenafil is available as powder for oral suspension and bosentan is available as a dispersible tablet. The bosentan dispersible tablet is a lower strength 32mg tablet that is also </w:t>
      </w:r>
      <w:r w:rsidR="000E442A" w:rsidRPr="00A60F44">
        <w:t>‘</w:t>
      </w:r>
      <w:proofErr w:type="spellStart"/>
      <w:r w:rsidRPr="00A60F44">
        <w:t>quadrisectable</w:t>
      </w:r>
      <w:proofErr w:type="spellEnd"/>
      <w:r w:rsidR="000E442A" w:rsidRPr="00A60F44">
        <w:t>’</w:t>
      </w:r>
      <w:r w:rsidRPr="00A60F44">
        <w:t xml:space="preserve"> into 8mg portions to enable dosing of young children with a correspondingly small body weight. </w:t>
      </w:r>
    </w:p>
    <w:p w:rsidR="00644365" w:rsidRPr="005309C6" w:rsidRDefault="00644365" w:rsidP="00121658">
      <w:pPr>
        <w:pStyle w:val="Heading5"/>
        <w:jc w:val="left"/>
        <w:rPr>
          <w:rFonts w:asciiTheme="minorHAnsi" w:hAnsiTheme="minorHAnsi"/>
        </w:rPr>
      </w:pPr>
      <w:r w:rsidRPr="005309C6">
        <w:rPr>
          <w:rFonts w:asciiTheme="minorHAnsi" w:hAnsiTheme="minorHAnsi"/>
        </w:rPr>
        <w:t>Other PI statements regarding children</w:t>
      </w:r>
    </w:p>
    <w:p w:rsidR="00644365" w:rsidRPr="00422204" w:rsidRDefault="00644365" w:rsidP="005309C6">
      <w:pPr>
        <w:pStyle w:val="BodyTextnospacebefore"/>
      </w:pPr>
      <w:r w:rsidRPr="00422204">
        <w:t xml:space="preserve">The current Australian PI for riociguat states that it has not been studied in children and is therefore not recommended. The European Public Assessment Report (EPAR, 23 January 2014) goes further, and comments that effects of riociguat on bone growth have been observed in both mouse and rat toxicology studies. The EPAR advises </w:t>
      </w:r>
      <w:r w:rsidRPr="00422204">
        <w:rPr>
          <w:i/>
        </w:rPr>
        <w:t>“The implications of the adverse effects on bone encountered in growing rats on paediatric patients in whom the epiphysis is not yet closed are not clear. Until more is known, the use of riociguat in children and in growing adolescents should be avoided”</w:t>
      </w:r>
      <w:r w:rsidRPr="00422204">
        <w:t>.</w:t>
      </w:r>
    </w:p>
    <w:p w:rsidR="00590373" w:rsidRPr="005309C6" w:rsidRDefault="00422204" w:rsidP="00121658">
      <w:pPr>
        <w:pStyle w:val="Heading5"/>
        <w:jc w:val="left"/>
        <w:rPr>
          <w:rFonts w:asciiTheme="minorHAnsi" w:hAnsiTheme="minorHAnsi"/>
        </w:rPr>
      </w:pPr>
      <w:bookmarkStart w:id="238" w:name="_Ref506191464"/>
      <w:r w:rsidRPr="005309C6">
        <w:rPr>
          <w:rFonts w:asciiTheme="minorHAnsi" w:hAnsiTheme="minorHAnsi"/>
        </w:rPr>
        <w:t>Use of sildenafil</w:t>
      </w:r>
      <w:r w:rsidR="00590373" w:rsidRPr="005309C6">
        <w:rPr>
          <w:rFonts w:asciiTheme="minorHAnsi" w:hAnsiTheme="minorHAnsi"/>
        </w:rPr>
        <w:t xml:space="preserve"> for PAH in children</w:t>
      </w:r>
      <w:bookmarkEnd w:id="238"/>
    </w:p>
    <w:p w:rsidR="00644365" w:rsidRDefault="00644365" w:rsidP="005309C6">
      <w:pPr>
        <w:pStyle w:val="BodyTextnospacebefore"/>
      </w:pPr>
      <w:r>
        <w:t xml:space="preserve">During preparation of this report it became evident there </w:t>
      </w:r>
      <w:r w:rsidR="004F0200">
        <w:t xml:space="preserve">is </w:t>
      </w:r>
      <w:r w:rsidR="00422204" w:rsidRPr="00422204">
        <w:t xml:space="preserve">a large </w:t>
      </w:r>
      <w:r>
        <w:t>volume</w:t>
      </w:r>
      <w:r w:rsidR="00422204" w:rsidRPr="00422204">
        <w:t xml:space="preserve"> of </w:t>
      </w:r>
      <w:r>
        <w:t>published literature</w:t>
      </w:r>
      <w:r w:rsidR="00422204" w:rsidRPr="00422204">
        <w:t xml:space="preserve"> regarding use of sildenafil in children with PAH</w:t>
      </w:r>
      <w:r w:rsidR="00AC5B85">
        <w:t xml:space="preserve">. </w:t>
      </w:r>
    </w:p>
    <w:p w:rsidR="005309C6" w:rsidRPr="00422204" w:rsidRDefault="00422204" w:rsidP="00807704">
      <w:pPr>
        <w:pStyle w:val="BodyTextnospacebefore"/>
      </w:pPr>
      <w:r>
        <w:t>In 2011 Pfizer sought to extend the indication for sildenafil to include children (1-17 years) and made applications to the TGA</w:t>
      </w:r>
      <w:r w:rsidR="009C556B" w:rsidRPr="009C556B">
        <w:rPr>
          <w:noProof/>
          <w:vertAlign w:val="superscript"/>
        </w:rPr>
        <w:t>39</w:t>
      </w:r>
      <w:r w:rsidR="005309C6">
        <w:t xml:space="preserve"> and regulatory authorities overseas. </w:t>
      </w:r>
    </w:p>
    <w:p w:rsidR="005309C6" w:rsidRPr="00422204" w:rsidRDefault="005309C6" w:rsidP="005309C6">
      <w:pPr>
        <w:pStyle w:val="BodyTextnospacebefore"/>
      </w:pPr>
      <w:r w:rsidRPr="00422204">
        <w:t>Pfizer</w:t>
      </w:r>
      <w:r>
        <w:t>’s application to the TGA</w:t>
      </w:r>
      <w:r w:rsidRPr="00422204">
        <w:t xml:space="preserve"> proposed extemporaneous compounding of a 10mg/mL oral solution for children unable to swallow a tablet, prepared from 62x20mg </w:t>
      </w:r>
      <w:proofErr w:type="spellStart"/>
      <w:r>
        <w:t>Revatio</w:t>
      </w:r>
      <w:proofErr w:type="spellEnd"/>
      <w:r>
        <w:rPr>
          <w:vertAlign w:val="superscript"/>
        </w:rPr>
        <w:t>®</w:t>
      </w:r>
      <w:r w:rsidRPr="00422204">
        <w:t xml:space="preserve"> tablets (the </w:t>
      </w:r>
      <w:proofErr w:type="spellStart"/>
      <w:r w:rsidRPr="00422204">
        <w:t>AusPAR</w:t>
      </w:r>
      <w:proofErr w:type="spellEnd"/>
      <w:r w:rsidRPr="00422204">
        <w:t xml:space="preserve"> notes that the same solution could also be prepared using only 12x100mg Viagra tablets)</w:t>
      </w:r>
      <w:r>
        <w:t xml:space="preserve">. </w:t>
      </w:r>
      <w:r w:rsidRPr="00422204">
        <w:t xml:space="preserve">The application was subsequently withdrawn and </w:t>
      </w:r>
      <w:proofErr w:type="spellStart"/>
      <w:r>
        <w:t>Revatio</w:t>
      </w:r>
      <w:proofErr w:type="spellEnd"/>
      <w:r>
        <w:rPr>
          <w:vertAlign w:val="superscript"/>
        </w:rPr>
        <w:t>®</w:t>
      </w:r>
      <w:r w:rsidRPr="00422204">
        <w:t xml:space="preserve"> remains approved for use only in adults in Australia</w:t>
      </w:r>
      <w:r>
        <w:t xml:space="preserve">. </w:t>
      </w:r>
    </w:p>
    <w:p w:rsidR="005309C6" w:rsidRPr="00422204" w:rsidRDefault="005309C6" w:rsidP="005309C6">
      <w:pPr>
        <w:pStyle w:val="BodyTextnospacebefore"/>
      </w:pPr>
      <w:r w:rsidRPr="00422204">
        <w:t>Pfizer</w:t>
      </w:r>
      <w:r>
        <w:t>’s</w:t>
      </w:r>
      <w:r w:rsidRPr="00422204">
        <w:t xml:space="preserve"> application to the US Food and Drug Administration (FDA)</w:t>
      </w:r>
      <w:r>
        <w:t xml:space="preserve"> was for a similar indication but different</w:t>
      </w:r>
      <w:r w:rsidRPr="00422204">
        <w:t xml:space="preserve"> oral dosage form</w:t>
      </w:r>
      <w:r>
        <w:t xml:space="preserve">. </w:t>
      </w:r>
      <w:r w:rsidRPr="00422204">
        <w:t xml:space="preserve">Three paediatric clinical trials including one open label extension study have been performed to investigate sildenafil (as </w:t>
      </w:r>
      <w:proofErr w:type="spellStart"/>
      <w:r>
        <w:t>Revatio</w:t>
      </w:r>
      <w:proofErr w:type="spellEnd"/>
      <w:r>
        <w:rPr>
          <w:vertAlign w:val="superscript"/>
        </w:rPr>
        <w:t>®</w:t>
      </w:r>
      <w:r w:rsidRPr="00422204">
        <w:t>) in children with PAH</w:t>
      </w:r>
      <w:r>
        <w:t xml:space="preserve">. </w:t>
      </w:r>
      <w:r w:rsidRPr="00422204">
        <w:t>These studies found a trend toward increased risk of mortality in children</w:t>
      </w:r>
      <w:r>
        <w:t xml:space="preserve">. </w:t>
      </w:r>
      <w:r w:rsidRPr="00422204">
        <w:t>In addition, this trend was dose-related and associated with long-term use</w:t>
      </w:r>
      <w:r>
        <w:t xml:space="preserve">. </w:t>
      </w:r>
      <w:r w:rsidRPr="00422204">
        <w:t>There was also a suggestion that doses without the risk of these consequences may not be clinically effective</w:t>
      </w:r>
      <w:r>
        <w:t xml:space="preserve">. </w:t>
      </w:r>
      <w:r w:rsidRPr="00422204">
        <w:t>In 2012 the FDA issued a safety warning in relation to this finding</w:t>
      </w:r>
      <w:r w:rsidR="009C556B" w:rsidRPr="009C556B">
        <w:rPr>
          <w:noProof/>
          <w:vertAlign w:val="superscript"/>
        </w:rPr>
        <w:t>40</w:t>
      </w:r>
      <w:r w:rsidRPr="00422204">
        <w:t xml:space="preserve"> and required warnings to be included in the Product Label with clinical trial data in the Prescribing Information (equivalent to the Product Information)</w:t>
      </w:r>
      <w:r>
        <w:t xml:space="preserve">. </w:t>
      </w:r>
      <w:r w:rsidRPr="00422204">
        <w:t xml:space="preserve">The FDA initiated a full safety and clinical review which it referred to its </w:t>
      </w:r>
      <w:proofErr w:type="spellStart"/>
      <w:r w:rsidRPr="00422204">
        <w:t>Pediatric</w:t>
      </w:r>
      <w:proofErr w:type="spellEnd"/>
      <w:r w:rsidRPr="00422204">
        <w:t xml:space="preserve"> Advisory </w:t>
      </w:r>
      <w:r w:rsidRPr="005309C6">
        <w:t>Committee</w:t>
      </w:r>
      <w:r w:rsidRPr="00422204">
        <w:t xml:space="preserve"> (meeting of 24 March 2015)</w:t>
      </w:r>
      <w:r w:rsidR="009C556B" w:rsidRPr="009C556B">
        <w:rPr>
          <w:noProof/>
          <w:vertAlign w:val="superscript"/>
        </w:rPr>
        <w:t>41</w:t>
      </w:r>
      <w:r>
        <w:t xml:space="preserve">. </w:t>
      </w:r>
      <w:r w:rsidRPr="00422204">
        <w:t xml:space="preserve">The outcome of this review is that paediatric powder for oral solution remains approved but the extension of indication is not. </w:t>
      </w:r>
    </w:p>
    <w:p w:rsidR="005309C6" w:rsidRPr="00422204" w:rsidRDefault="005309C6" w:rsidP="005309C6">
      <w:pPr>
        <w:pStyle w:val="BodyTextnospacebefore"/>
      </w:pPr>
      <w:r w:rsidRPr="00422204">
        <w:t xml:space="preserve">The current US Product Label states “Increased mortality with increasing doses in </w:t>
      </w:r>
      <w:proofErr w:type="spellStart"/>
      <w:r w:rsidRPr="00422204">
        <w:t>pediatric</w:t>
      </w:r>
      <w:proofErr w:type="spellEnd"/>
      <w:r w:rsidRPr="00422204">
        <w:t xml:space="preserve"> patients. Not recommended for use in </w:t>
      </w:r>
      <w:proofErr w:type="spellStart"/>
      <w:r w:rsidRPr="00422204">
        <w:t>pediatric</w:t>
      </w:r>
      <w:proofErr w:type="spellEnd"/>
      <w:r w:rsidRPr="00422204">
        <w:t xml:space="preserve"> patients.” The FDA has since defended its decision, stating that “health care professionals must consider whether the benefits of treatment with the drug are likely to outweigh its potential risks for each patient.”</w:t>
      </w:r>
      <w:r w:rsidR="009C556B" w:rsidRPr="009C556B">
        <w:rPr>
          <w:noProof/>
          <w:vertAlign w:val="superscript"/>
        </w:rPr>
        <w:t>42</w:t>
      </w:r>
    </w:p>
    <w:p w:rsidR="00590373" w:rsidRPr="00422204" w:rsidRDefault="00590373" w:rsidP="005309C6">
      <w:pPr>
        <w:pStyle w:val="BodyTextnospacebefore"/>
      </w:pPr>
      <w:r w:rsidRPr="00422204">
        <w:t>In Europe, the EMA took a different view and approved sildenafil for PAH in children</w:t>
      </w:r>
      <w:r w:rsidR="00AC5B85">
        <w:t xml:space="preserve">. </w:t>
      </w:r>
      <w:r w:rsidRPr="00422204">
        <w:t xml:space="preserve">The recommended dose in </w:t>
      </w:r>
      <w:r w:rsidRPr="005309C6">
        <w:t>children</w:t>
      </w:r>
      <w:r w:rsidRPr="00422204">
        <w:t xml:space="preserve"> weighing ≤ 20kg is 10mg </w:t>
      </w:r>
      <w:proofErr w:type="spellStart"/>
      <w:r w:rsidR="0027496F">
        <w:t>tid</w:t>
      </w:r>
      <w:proofErr w:type="spellEnd"/>
      <w:r w:rsidRPr="00422204">
        <w:t xml:space="preserve"> and for patients &gt; 20kg</w:t>
      </w:r>
      <w:r w:rsidR="00422204">
        <w:t xml:space="preserve"> it</w:t>
      </w:r>
      <w:r w:rsidRPr="00422204">
        <w:t xml:space="preserve"> is 20mg </w:t>
      </w:r>
      <w:proofErr w:type="spellStart"/>
      <w:r w:rsidR="0027496F">
        <w:t>tid</w:t>
      </w:r>
      <w:proofErr w:type="spellEnd"/>
      <w:r w:rsidRPr="00422204">
        <w:t xml:space="preserve"> (the same as the adult dose). The </w:t>
      </w:r>
      <w:proofErr w:type="spellStart"/>
      <w:r w:rsidRPr="00422204">
        <w:t>SmPC</w:t>
      </w:r>
      <w:proofErr w:type="spellEnd"/>
      <w:r w:rsidRPr="00422204">
        <w:t xml:space="preserve"> </w:t>
      </w:r>
      <w:r w:rsidR="00422204">
        <w:t>notes the mortality risk and warns that</w:t>
      </w:r>
      <w:r w:rsidRPr="00422204">
        <w:t xml:space="preserve"> higher doses should not be used</w:t>
      </w:r>
      <w:r w:rsidR="00AC5B85">
        <w:t xml:space="preserve">. </w:t>
      </w:r>
      <w:r w:rsidR="00846A5B">
        <w:t>Equivalent information is not contained in the Australian PI</w:t>
      </w:r>
      <w:r w:rsidR="003C17FA">
        <w:t xml:space="preserve">. </w:t>
      </w:r>
    </w:p>
    <w:p w:rsidR="00590373" w:rsidRPr="00422204" w:rsidRDefault="00590373" w:rsidP="005309C6">
      <w:pPr>
        <w:pStyle w:val="BodyTextnospacebefore"/>
      </w:pPr>
      <w:r w:rsidRPr="00422204">
        <w:t xml:space="preserve">On a related point, Pfizer submitted to the EMA two clinical trials performed in children with its IV sildenafil formulation (one in children post-surgery with heart defects and </w:t>
      </w:r>
      <w:r w:rsidR="00422204">
        <w:t>a second in neonates with PPHN)</w:t>
      </w:r>
      <w:r w:rsidR="009C556B" w:rsidRPr="009C556B">
        <w:rPr>
          <w:noProof/>
          <w:vertAlign w:val="superscript"/>
        </w:rPr>
        <w:t>43</w:t>
      </w:r>
      <w:r w:rsidR="00AC5B85">
        <w:t xml:space="preserve">. </w:t>
      </w:r>
      <w:r w:rsidR="00422204">
        <w:t>A</w:t>
      </w:r>
      <w:r w:rsidRPr="00422204">
        <w:t>s the clinical data are in the public domain</w:t>
      </w:r>
      <w:r w:rsidR="00422204">
        <w:t xml:space="preserve"> and the IV form is now registered in Australia</w:t>
      </w:r>
      <w:r w:rsidRPr="00422204">
        <w:t xml:space="preserve">, it is possible that IV sildenafil would be used off-label for these indications. </w:t>
      </w:r>
    </w:p>
    <w:p w:rsidR="00B92C85" w:rsidRDefault="00B92C85" w:rsidP="00121658">
      <w:pPr>
        <w:pStyle w:val="Heading4"/>
        <w:jc w:val="left"/>
        <w:rPr>
          <w:rFonts w:eastAsiaTheme="minorEastAsia"/>
          <w:sz w:val="28"/>
          <w:szCs w:val="22"/>
          <w:lang w:eastAsia="en-AU"/>
        </w:rPr>
      </w:pPr>
      <w:r>
        <w:rPr>
          <w:rFonts w:eastAsiaTheme="minorEastAsia"/>
        </w:rPr>
        <w:t>Prior vasodilator therapy</w:t>
      </w:r>
    </w:p>
    <w:p w:rsidR="00CD0B52" w:rsidRDefault="00CD0B52" w:rsidP="00121658">
      <w:pPr>
        <w:pStyle w:val="Heading5"/>
        <w:jc w:val="left"/>
      </w:pPr>
      <w:r>
        <w:t xml:space="preserve">Current PBS </w:t>
      </w:r>
      <w:r w:rsidRPr="00807704">
        <w:rPr>
          <w:rFonts w:asciiTheme="minorHAnsi" w:hAnsiTheme="minorHAnsi"/>
        </w:rPr>
        <w:t>requirement</w:t>
      </w:r>
    </w:p>
    <w:p w:rsidR="001555D2" w:rsidRPr="001F4168" w:rsidRDefault="00183C38" w:rsidP="005309C6">
      <w:pPr>
        <w:pStyle w:val="BodyTextnospacebefore"/>
        <w:rPr>
          <w:b/>
          <w:szCs w:val="22"/>
          <w:lang w:eastAsia="en-AU"/>
        </w:rPr>
      </w:pPr>
      <w:r>
        <w:t>T</w:t>
      </w:r>
      <w:r w:rsidR="001555D2" w:rsidRPr="001555D2">
        <w:t xml:space="preserve">he current </w:t>
      </w:r>
      <w:r w:rsidR="00271DD9">
        <w:t>PAH</w:t>
      </w:r>
      <w:r w:rsidR="001555D2" w:rsidRPr="001555D2">
        <w:t xml:space="preserve"> restrictions </w:t>
      </w:r>
      <w:r w:rsidR="001F4168">
        <w:t>(</w:t>
      </w:r>
      <w:r w:rsidR="00D63371">
        <w:t>Table 1.</w:t>
      </w:r>
      <w:r w:rsidR="00D63371">
        <w:rPr>
          <w:noProof/>
        </w:rPr>
        <w:t>18</w:t>
      </w:r>
      <w:r w:rsidR="001F4168">
        <w:t xml:space="preserve">) </w:t>
      </w:r>
      <w:r w:rsidR="001555D2" w:rsidRPr="001555D2">
        <w:t xml:space="preserve">require a trial and failure of vasodilator therapy prior to commencement on </w:t>
      </w:r>
      <w:r w:rsidR="00F95235">
        <w:t>PAH medicines</w:t>
      </w:r>
      <w:r w:rsidR="001555D2" w:rsidRPr="001555D2">
        <w:t xml:space="preserve"> in all WHO FC III patients whose mean right atr</w:t>
      </w:r>
      <w:r w:rsidR="004F0200">
        <w:t>ial pressure (</w:t>
      </w:r>
      <w:proofErr w:type="spellStart"/>
      <w:r w:rsidR="004F0200">
        <w:t>mRAP</w:t>
      </w:r>
      <w:proofErr w:type="spellEnd"/>
      <w:r w:rsidR="004F0200">
        <w:t>) by RHC is 8</w:t>
      </w:r>
      <w:r w:rsidR="001555D2" w:rsidRPr="001555D2">
        <w:t>mm</w:t>
      </w:r>
      <w:r w:rsidR="004F0200">
        <w:t xml:space="preserve"> </w:t>
      </w:r>
      <w:r w:rsidR="001555D2" w:rsidRPr="001555D2">
        <w:t xml:space="preserve">Hg or less. This is </w:t>
      </w:r>
      <w:r w:rsidR="00A84C7F">
        <w:t>not required for access to PBS</w:t>
      </w:r>
      <w:r w:rsidR="001555D2" w:rsidRPr="001555D2">
        <w:t xml:space="preserve"> epoprostenol, but applies to iloprost (drug-induced PAH only) and the oral </w:t>
      </w:r>
      <w:r w:rsidR="00F95235">
        <w:t>PAH medicines</w:t>
      </w:r>
      <w:r w:rsidR="001555D2" w:rsidRPr="001555D2">
        <w:t xml:space="preserve"> (</w:t>
      </w:r>
      <w:r w:rsidR="00A84C7F">
        <w:t xml:space="preserve">for </w:t>
      </w:r>
      <w:r w:rsidR="001555D2" w:rsidRPr="001555D2">
        <w:t>all PAH subtypes except PAH</w:t>
      </w:r>
      <w:r w:rsidR="0003499D">
        <w:t>-</w:t>
      </w:r>
      <w:r w:rsidR="001555D2" w:rsidRPr="001555D2">
        <w:t xml:space="preserve">CHD). </w:t>
      </w:r>
      <w:r w:rsidR="008A77C6">
        <w:t xml:space="preserve">This requirement does not apply to patients with WHO FC IV disease, or those exceeding the </w:t>
      </w:r>
      <w:proofErr w:type="spellStart"/>
      <w:r w:rsidR="008A77C6">
        <w:t>mRAP</w:t>
      </w:r>
      <w:proofErr w:type="spellEnd"/>
      <w:r w:rsidR="008A77C6">
        <w:t xml:space="preserve"> threshold</w:t>
      </w:r>
      <w:r w:rsidR="00AC5B85">
        <w:t xml:space="preserve">. </w:t>
      </w:r>
      <w:r w:rsidR="001F4168">
        <w:t xml:space="preserve">The 2015 DUSC review noted that PHSANZ has previously queried this value as a criterion for CCBs treatment. Further comments are in </w:t>
      </w:r>
      <w:r w:rsidR="00D63371">
        <w:t>Table 1.</w:t>
      </w:r>
      <w:r w:rsidR="00D63371">
        <w:rPr>
          <w:noProof/>
        </w:rPr>
        <w:t>18</w:t>
      </w:r>
      <w:r w:rsidR="003C17FA">
        <w:t xml:space="preserve">. </w:t>
      </w:r>
    </w:p>
    <w:p w:rsidR="001F4168" w:rsidRDefault="001F4168" w:rsidP="005309C6">
      <w:pPr>
        <w:pStyle w:val="BodyTextnospacebefore"/>
      </w:pPr>
      <w:r>
        <w:t xml:space="preserve">Since the requirement for a trial of vasodilators was first introduced (with the listing of bosentan in March 2004), the clinical place for both CCBs and </w:t>
      </w:r>
      <w:r w:rsidR="00F95235">
        <w:t>PAH medicines</w:t>
      </w:r>
      <w:r>
        <w:t xml:space="preserve"> has changed. High dose CCB therapy is indicated only in a limited patient subset due to safety concerns whereas oral </w:t>
      </w:r>
      <w:r w:rsidR="00F95235">
        <w:t>PAH medicines</w:t>
      </w:r>
      <w:r>
        <w:t xml:space="preserve"> have become the mainstay of clinical practice. </w:t>
      </w:r>
    </w:p>
    <w:p w:rsidR="00CD0B52" w:rsidRPr="005309C6" w:rsidRDefault="00CD0B52" w:rsidP="00121658">
      <w:pPr>
        <w:pStyle w:val="Heading5"/>
        <w:jc w:val="left"/>
        <w:rPr>
          <w:rFonts w:asciiTheme="minorHAnsi" w:hAnsiTheme="minorHAnsi"/>
        </w:rPr>
      </w:pPr>
      <w:r w:rsidRPr="005309C6">
        <w:rPr>
          <w:rFonts w:asciiTheme="minorHAnsi" w:hAnsiTheme="minorHAnsi"/>
        </w:rPr>
        <w:t>Guideline recommendations</w:t>
      </w:r>
    </w:p>
    <w:p w:rsidR="001F4168" w:rsidRDefault="001F4168" w:rsidP="005309C6">
      <w:pPr>
        <w:pStyle w:val="BodyTextnospacebefore"/>
      </w:pPr>
      <w:r>
        <w:t xml:space="preserve">According to guidelines reviewed, high dose CCB treatment is indicated for WHO FC II or lower risk WHO FC III patients with IPAH, heritable PAH </w:t>
      </w:r>
      <w:r w:rsidR="009B04B1">
        <w:t xml:space="preserve">(HPAH) and drug-induced PAH (see </w:t>
      </w:r>
      <w:r w:rsidR="00D63371">
        <w:t>Table 1.</w:t>
      </w:r>
      <w:r w:rsidR="00D63371">
        <w:rPr>
          <w:noProof/>
        </w:rPr>
        <w:t>8</w:t>
      </w:r>
      <w:r>
        <w:t xml:space="preserve">). </w:t>
      </w:r>
      <w:r w:rsidR="00CD0B52">
        <w:t xml:space="preserve">Recommendations were limited to only three drugs, diltiazem, </w:t>
      </w:r>
      <w:proofErr w:type="spellStart"/>
      <w:r w:rsidR="00CD0B52">
        <w:t>nifedipine</w:t>
      </w:r>
      <w:proofErr w:type="spellEnd"/>
      <w:r w:rsidR="00CD0B52">
        <w:t xml:space="preserve"> and amlodipine, and did not extend to </w:t>
      </w:r>
      <w:r w:rsidR="001266C7">
        <w:t xml:space="preserve">any other CCBs. </w:t>
      </w:r>
      <w:r>
        <w:t xml:space="preserve">Patients with the suitable PAH subtypes that are likely to benefit from CCBs must be assessed by acute vasoreactivity testing. CCBs should not be used in the absence of a demonstrated positive result to acute vasoreactivity challenge. Patients with no positive vasoreactivity test, those with other types of PAH, and in higher risk categories, should be commenced on targeted PAH </w:t>
      </w:r>
      <w:r w:rsidR="00BB276C">
        <w:t>medicines</w:t>
      </w:r>
      <w:r>
        <w:t xml:space="preserve">. </w:t>
      </w:r>
    </w:p>
    <w:p w:rsidR="001F4168" w:rsidRDefault="001F4168" w:rsidP="005309C6">
      <w:pPr>
        <w:pStyle w:val="BodyTextnospacebefore"/>
      </w:pPr>
      <w:r>
        <w:t>The ESC / ERS guideline</w:t>
      </w:r>
      <w:r w:rsidR="009C556B" w:rsidRPr="00DC475B">
        <w:rPr>
          <w:noProof/>
          <w:vertAlign w:val="superscript"/>
        </w:rPr>
        <w:t>8</w:t>
      </w:r>
      <w:r>
        <w:t xml:space="preserve"> observes that in all other forms of PAH, vasoreactivity results can be misleading, responders are rare and that only one in ten IPAH </w:t>
      </w:r>
      <w:proofErr w:type="gramStart"/>
      <w:r>
        <w:t>patients</w:t>
      </w:r>
      <w:proofErr w:type="gramEnd"/>
      <w:r>
        <w:t xml:space="preserve"> are likely to benefit from CCB treatment. It stated further that CCBs were not appropriate for patients with </w:t>
      </w:r>
      <w:proofErr w:type="spellStart"/>
      <w:r>
        <w:t>Eisenmenger’s</w:t>
      </w:r>
      <w:proofErr w:type="spellEnd"/>
      <w:r>
        <w:t xml:space="preserve"> physiology</w:t>
      </w:r>
      <w:r w:rsidR="003C17FA">
        <w:t xml:space="preserve">. </w:t>
      </w:r>
      <w:r>
        <w:t xml:space="preserve">No guidelines recommend CCBs for PAH-CTD. </w:t>
      </w:r>
    </w:p>
    <w:p w:rsidR="001F4168" w:rsidRDefault="001F4168" w:rsidP="005309C6">
      <w:pPr>
        <w:pStyle w:val="BodyTextnospacebefore"/>
      </w:pPr>
      <w:r>
        <w:t>There is a risk of hypotensive adverse events from high dose CCBs in unsuitable patients. The severity of potential hypotensive effects on the one hand and the lack of benefit in unsuitable patients on the other has led to strongly worded guideline recommendations on the circumstances in which CCBs are indicated, due to the risks to patient safety (</w:t>
      </w:r>
      <w:r w:rsidR="00D63371">
        <w:t>Table 1.</w:t>
      </w:r>
      <w:r w:rsidR="00D63371">
        <w:rPr>
          <w:noProof/>
        </w:rPr>
        <w:t>7</w:t>
      </w:r>
      <w:r>
        <w:t xml:space="preserve">). Further details including contraindications to CCBs and also to vasoreactivity testing, haemodynamic definition of response are in </w:t>
      </w:r>
      <w:r w:rsidR="004937E8">
        <w:t>Table 1.7</w:t>
      </w:r>
      <w:r w:rsidR="003C17FA">
        <w:t xml:space="preserve">. </w:t>
      </w:r>
    </w:p>
    <w:p w:rsidR="001F4168" w:rsidRPr="005309C6" w:rsidRDefault="001F4168" w:rsidP="00121658">
      <w:pPr>
        <w:pStyle w:val="Heading5"/>
        <w:jc w:val="left"/>
        <w:rPr>
          <w:rFonts w:asciiTheme="minorHAnsi" w:hAnsiTheme="minorHAnsi"/>
        </w:rPr>
      </w:pPr>
      <w:r w:rsidRPr="005309C6">
        <w:rPr>
          <w:rFonts w:asciiTheme="minorHAnsi" w:hAnsiTheme="minorHAnsi"/>
        </w:rPr>
        <w:t>Pricing context</w:t>
      </w:r>
    </w:p>
    <w:p w:rsidR="001F4168" w:rsidRPr="008A77C6" w:rsidRDefault="001F4168" w:rsidP="00807704">
      <w:pPr>
        <w:pStyle w:val="BodyTextnospacebefore"/>
      </w:pPr>
      <w:proofErr w:type="spellStart"/>
      <w:r w:rsidRPr="008A77C6">
        <w:t>Dihydropyridine</w:t>
      </w:r>
      <w:proofErr w:type="spellEnd"/>
      <w:r w:rsidRPr="008A77C6">
        <w:t xml:space="preserve"> CCBs (</w:t>
      </w:r>
      <w:proofErr w:type="spellStart"/>
      <w:r w:rsidRPr="008A77C6">
        <w:t>felodipine</w:t>
      </w:r>
      <w:proofErr w:type="spellEnd"/>
      <w:r w:rsidRPr="008A77C6">
        <w:t xml:space="preserve">, </w:t>
      </w:r>
      <w:proofErr w:type="spellStart"/>
      <w:r w:rsidRPr="008A77C6">
        <w:t>lercanidipine</w:t>
      </w:r>
      <w:proofErr w:type="spellEnd"/>
      <w:r w:rsidRPr="008A77C6">
        <w:t xml:space="preserve">, </w:t>
      </w:r>
      <w:proofErr w:type="spellStart"/>
      <w:r w:rsidRPr="008A77C6">
        <w:t>nifedipine</w:t>
      </w:r>
      <w:proofErr w:type="spellEnd"/>
      <w:r w:rsidRPr="008A77C6">
        <w:t xml:space="preserve">, amlodipine), and the </w:t>
      </w:r>
      <w:proofErr w:type="spellStart"/>
      <w:r w:rsidRPr="008A77C6">
        <w:t>benzothiazapine</w:t>
      </w:r>
      <w:proofErr w:type="spellEnd"/>
      <w:r w:rsidRPr="008A77C6">
        <w:t xml:space="preserve"> drug diltiazem, are unrestricted benefits with a DPMQ per script (for approximately one month’s treatment) that is well under the current patient co-payment threshold of $39.50 (as of 1 January 2018)</w:t>
      </w:r>
      <w:r>
        <w:t xml:space="preserve">. </w:t>
      </w:r>
    </w:p>
    <w:p w:rsidR="002575FC" w:rsidRDefault="001F4168" w:rsidP="005309C6">
      <w:pPr>
        <w:pStyle w:val="BodyTextnospacebefore"/>
      </w:pPr>
      <w:r w:rsidRPr="008A77C6">
        <w:t>At the time that the first PAH drug bosentan was listed on the PBS in March 2004, CCBs were already listed as unrestricted benefit</w:t>
      </w:r>
      <w:r>
        <w:t>s</w:t>
      </w:r>
      <w:r w:rsidRPr="008A77C6">
        <w:t xml:space="preserve">, and </w:t>
      </w:r>
      <w:proofErr w:type="spellStart"/>
      <w:r w:rsidRPr="008A77C6">
        <w:t>dihydropyridine</w:t>
      </w:r>
      <w:proofErr w:type="spellEnd"/>
      <w:r w:rsidRPr="008A77C6">
        <w:t xml:space="preserve"> derivatives were priced as a therapeutic group (that is, the price was set by the lowest price medicine in the group based on the Therapeutic Group Premium Policy)</w:t>
      </w:r>
      <w:r>
        <w:t xml:space="preserve">. </w:t>
      </w:r>
      <w:r w:rsidRPr="008A77C6">
        <w:t>Although these medicines were marginally more expensive in March 2004 than their present day listings, the</w:t>
      </w:r>
      <w:r>
        <w:t xml:space="preserve">se CCBs </w:t>
      </w:r>
      <w:r w:rsidRPr="008A77C6">
        <w:t>still cost no more than $40 per script at that time</w:t>
      </w:r>
      <w:r>
        <w:t xml:space="preserve">. </w:t>
      </w:r>
      <w:r w:rsidRPr="008A77C6">
        <w:t>In contrast, when it was first listed in 2004 the DPMQ for bosentan was $4035</w:t>
      </w:r>
      <w:r>
        <w:t xml:space="preserve">. </w:t>
      </w:r>
      <w:proofErr w:type="gramStart"/>
      <w:r>
        <w:t xml:space="preserve">DPMQs for PAH medicines </w:t>
      </w:r>
      <w:r w:rsidR="00CD0B52">
        <w:t xml:space="preserve">(current at December 2017) </w:t>
      </w:r>
      <w:r>
        <w:t>are given in</w:t>
      </w:r>
      <w:r w:rsidR="00F275ED">
        <w:t xml:space="preserve"> </w:t>
      </w:r>
      <w:r w:rsidR="00D63371">
        <w:t>Appendix 1.</w:t>
      </w:r>
      <w:r w:rsidR="00B37363">
        <w:t>B</w:t>
      </w:r>
      <w:r>
        <w:t xml:space="preserve">, </w:t>
      </w:r>
      <w:r w:rsidR="00D63371" w:rsidRPr="002D2A0A">
        <w:t>Table B.</w:t>
      </w:r>
      <w:r w:rsidR="00D63371">
        <w:rPr>
          <w:noProof/>
        </w:rPr>
        <w:t>9</w:t>
      </w:r>
      <w:r>
        <w:t>.</w:t>
      </w:r>
      <w:proofErr w:type="gramEnd"/>
      <w:r>
        <w:t xml:space="preserve"> </w:t>
      </w:r>
    </w:p>
    <w:p w:rsidR="00AD4E55" w:rsidRPr="001A0F96" w:rsidRDefault="00AD4E55" w:rsidP="005309C6">
      <w:pPr>
        <w:pStyle w:val="BodyTextnospacebefore"/>
      </w:pPr>
      <w:r w:rsidRPr="001A0F96">
        <w:t xml:space="preserve">There have previously been Special Pricing Arrangements in place for several of the PAH medicines including bosentan and ambrisentan, however </w:t>
      </w:r>
      <w:r>
        <w:t>currently</w:t>
      </w:r>
      <w:r w:rsidRPr="001A0F96">
        <w:t xml:space="preserve"> only iloprost continues to have a Special Pricing Arrangement. </w:t>
      </w:r>
      <w:r w:rsidRPr="00B2642B">
        <w:t xml:space="preserve">The main reason for the Commonwealth to enter into a </w:t>
      </w:r>
      <w:r w:rsidRPr="00E01B82">
        <w:t>Special Pricing Arrangement</w:t>
      </w:r>
      <w:r w:rsidRPr="00B2642B">
        <w:t xml:space="preserve"> for the supply of a medicine is so that Australia is able to have access to medicines at a lower cost-effective price without affecting the price for the product in other markets</w:t>
      </w:r>
      <w:r>
        <w:t xml:space="preserve"> resulting in a</w:t>
      </w:r>
      <w:r w:rsidRPr="001A0F96">
        <w:t xml:space="preserve"> ‘published’ versus ‘effective’ pricing component. The difference between the published price in the Schedule of Pharmaceutical Benefits and the price actually paid by the Commonwealth (the ‘effective’ price), is managed through a rebate arrangement. </w:t>
      </w:r>
    </w:p>
    <w:p w:rsidR="00AD4E55" w:rsidRPr="001A0F96" w:rsidRDefault="00AD4E55" w:rsidP="00121658">
      <w:pPr>
        <w:spacing w:before="0" w:after="150" w:line="300" w:lineRule="atLeast"/>
        <w:jc w:val="left"/>
      </w:pPr>
    </w:p>
    <w:p w:rsidR="00AD4E55" w:rsidRDefault="00AD4E55" w:rsidP="00121658">
      <w:pPr>
        <w:jc w:val="left"/>
        <w:sectPr w:rsidR="00AD4E55" w:rsidSect="00120684">
          <w:headerReference w:type="even" r:id="rId37"/>
          <w:headerReference w:type="default" r:id="rId38"/>
          <w:footerReference w:type="default" r:id="rId39"/>
          <w:headerReference w:type="first" r:id="rId40"/>
          <w:footerReference w:type="first" r:id="rId41"/>
          <w:footnotePr>
            <w:numFmt w:val="chicago"/>
          </w:footnotePr>
          <w:endnotePr>
            <w:numFmt w:val="decimal"/>
          </w:endnotePr>
          <w:pgSz w:w="11906" w:h="16838"/>
          <w:pgMar w:top="1440" w:right="1440" w:bottom="1440" w:left="1440" w:header="708" w:footer="708" w:gutter="0"/>
          <w:cols w:space="708"/>
          <w:titlePg/>
          <w:docGrid w:linePitch="360"/>
        </w:sectPr>
      </w:pPr>
    </w:p>
    <w:p w:rsidR="001F4168" w:rsidRDefault="00F75B8B" w:rsidP="000B7685">
      <w:pPr>
        <w:pStyle w:val="Caption"/>
        <w:ind w:left="0" w:firstLine="0"/>
        <w:jc w:val="left"/>
      </w:pPr>
      <w:bookmarkStart w:id="239" w:name="_Ref510796093"/>
      <w:bookmarkStart w:id="240" w:name="_Ref508901511"/>
      <w:bookmarkStart w:id="241" w:name="_Toc513107645"/>
      <w:r>
        <w:t>Table 1.</w:t>
      </w:r>
      <w:r w:rsidR="00D63371">
        <w:rPr>
          <w:noProof/>
        </w:rPr>
        <w:t>19</w:t>
      </w:r>
      <w:bookmarkEnd w:id="239"/>
      <w:r w:rsidRPr="00F75B8B">
        <w:t xml:space="preserve"> </w:t>
      </w:r>
      <w:r>
        <w:tab/>
        <w:t>Restriction criteria for diagnostic tests and monitoring considered in this review</w:t>
      </w:r>
      <w:bookmarkEnd w:id="240"/>
      <w:bookmarkEnd w:id="241"/>
    </w:p>
    <w:tbl>
      <w:tblPr>
        <w:tblStyle w:val="TableGrid7"/>
        <w:tblpPr w:leftFromText="180" w:rightFromText="180" w:vertAnchor="text" w:tblpY="1"/>
        <w:tblOverlap w:val="never"/>
        <w:tblW w:w="0" w:type="auto"/>
        <w:tblLook w:val="04A0" w:firstRow="1" w:lastRow="0" w:firstColumn="1" w:lastColumn="0" w:noHBand="0" w:noVBand="1"/>
        <w:tblCaption w:val="Restriction criteria for diagnostic tests and monitoring considered in this review"/>
      </w:tblPr>
      <w:tblGrid>
        <w:gridCol w:w="4496"/>
        <w:gridCol w:w="2006"/>
        <w:gridCol w:w="7672"/>
      </w:tblGrid>
      <w:tr w:rsidR="00D567B3" w:rsidRPr="002F3393" w:rsidTr="00E2645F">
        <w:trPr>
          <w:cantSplit/>
          <w:tblHeader/>
        </w:trPr>
        <w:tc>
          <w:tcPr>
            <w:tcW w:w="4503" w:type="dxa"/>
            <w:shd w:val="clear" w:color="auto" w:fill="BFBFBF" w:themeFill="background1" w:themeFillShade="BF"/>
          </w:tcPr>
          <w:p w:rsidR="001F4168" w:rsidRPr="005309C6" w:rsidRDefault="001F4168" w:rsidP="005309C6">
            <w:pPr>
              <w:tabs>
                <w:tab w:val="left" w:pos="507"/>
              </w:tabs>
              <w:spacing w:beforeLines="40" w:before="96" w:afterLines="40" w:after="96" w:line="240" w:lineRule="auto"/>
              <w:jc w:val="left"/>
              <w:rPr>
                <w:rFonts w:ascii="Arial" w:hAnsi="Arial" w:cs="Arial"/>
                <w:b/>
                <w:sz w:val="20"/>
                <w:szCs w:val="20"/>
              </w:rPr>
            </w:pPr>
            <w:r w:rsidRPr="005309C6">
              <w:rPr>
                <w:rFonts w:ascii="Arial" w:hAnsi="Arial" w:cs="Arial"/>
                <w:b/>
                <w:sz w:val="20"/>
                <w:szCs w:val="20"/>
              </w:rPr>
              <w:t>Clinical or Prescribing Instruction</w:t>
            </w:r>
          </w:p>
        </w:tc>
        <w:tc>
          <w:tcPr>
            <w:tcW w:w="1984" w:type="dxa"/>
            <w:shd w:val="clear" w:color="auto" w:fill="BFBFBF" w:themeFill="background1" w:themeFillShade="BF"/>
          </w:tcPr>
          <w:p w:rsidR="001F4168" w:rsidRPr="005309C6" w:rsidRDefault="00FE35DA" w:rsidP="005309C6">
            <w:pPr>
              <w:spacing w:beforeLines="40" w:before="96" w:afterLines="40" w:after="96" w:line="240" w:lineRule="auto"/>
              <w:jc w:val="left"/>
              <w:rPr>
                <w:rFonts w:ascii="Arial" w:hAnsi="Arial" w:cs="Arial"/>
                <w:b/>
                <w:sz w:val="20"/>
                <w:szCs w:val="20"/>
              </w:rPr>
            </w:pPr>
            <w:r w:rsidRPr="005309C6">
              <w:rPr>
                <w:rFonts w:ascii="Arial" w:hAnsi="Arial" w:cs="Arial"/>
                <w:b/>
                <w:sz w:val="20"/>
                <w:szCs w:val="20"/>
              </w:rPr>
              <w:t>Guideline Recommendations</w:t>
            </w:r>
          </w:p>
        </w:tc>
        <w:tc>
          <w:tcPr>
            <w:tcW w:w="7687" w:type="dxa"/>
            <w:shd w:val="clear" w:color="auto" w:fill="BFBFBF" w:themeFill="background1" w:themeFillShade="BF"/>
          </w:tcPr>
          <w:p w:rsidR="001F4168" w:rsidRPr="005309C6" w:rsidRDefault="001F4168" w:rsidP="005309C6">
            <w:pPr>
              <w:spacing w:beforeLines="40" w:before="96" w:afterLines="40" w:after="96" w:line="240" w:lineRule="auto"/>
              <w:jc w:val="left"/>
              <w:rPr>
                <w:rFonts w:ascii="Arial" w:hAnsi="Arial" w:cs="Arial"/>
                <w:b/>
                <w:sz w:val="20"/>
                <w:szCs w:val="20"/>
              </w:rPr>
            </w:pPr>
            <w:r w:rsidRPr="005309C6">
              <w:rPr>
                <w:rFonts w:ascii="Arial" w:hAnsi="Arial" w:cs="Arial"/>
                <w:b/>
                <w:sz w:val="20"/>
                <w:szCs w:val="20"/>
              </w:rPr>
              <w:t>Consistent with Guidelines?</w:t>
            </w:r>
          </w:p>
        </w:tc>
      </w:tr>
      <w:tr w:rsidR="00632C95" w:rsidRPr="002F3393" w:rsidTr="00574067">
        <w:tc>
          <w:tcPr>
            <w:tcW w:w="4503" w:type="dxa"/>
          </w:tcPr>
          <w:p w:rsidR="00FE35DA" w:rsidRPr="005309C6" w:rsidRDefault="00632C95"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[PAH sub-type] defined as follows: </w:t>
            </w:r>
          </w:p>
          <w:p w:rsidR="00FE35DA" w:rsidRPr="005309C6" w:rsidRDefault="00632C95"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w:t>
            </w:r>
            <w:proofErr w:type="spellStart"/>
            <w:r w:rsidRPr="005309C6">
              <w:rPr>
                <w:rFonts w:ascii="Arial" w:hAnsi="Arial" w:cs="Arial"/>
                <w:sz w:val="20"/>
                <w:szCs w:val="20"/>
              </w:rPr>
              <w:t>i</w:t>
            </w:r>
            <w:proofErr w:type="spellEnd"/>
            <w:r w:rsidRPr="005309C6">
              <w:rPr>
                <w:rFonts w:ascii="Arial" w:hAnsi="Arial" w:cs="Arial"/>
                <w:sz w:val="20"/>
                <w:szCs w:val="20"/>
              </w:rPr>
              <w:t xml:space="preserve">) </w:t>
            </w:r>
            <w:r w:rsidR="00FE35DA" w:rsidRPr="005309C6">
              <w:rPr>
                <w:rFonts w:ascii="Arial" w:hAnsi="Arial" w:cs="Arial"/>
                <w:sz w:val="20"/>
                <w:szCs w:val="20"/>
              </w:rPr>
              <w:t>mean pulmonary artery pressure (</w:t>
            </w:r>
            <w:proofErr w:type="spellStart"/>
            <w:r w:rsidR="00FE35DA" w:rsidRPr="005309C6">
              <w:rPr>
                <w:rFonts w:ascii="Arial" w:hAnsi="Arial" w:cs="Arial"/>
                <w:sz w:val="20"/>
                <w:szCs w:val="20"/>
              </w:rPr>
              <w:t>mPAP</w:t>
            </w:r>
            <w:proofErr w:type="spellEnd"/>
            <w:r w:rsidR="00FE35DA" w:rsidRPr="005309C6">
              <w:rPr>
                <w:rFonts w:ascii="Arial" w:hAnsi="Arial" w:cs="Arial"/>
                <w:sz w:val="20"/>
                <w:szCs w:val="20"/>
              </w:rPr>
              <w:t xml:space="preserve">) greater than 25 mmHg at rest and pulmonary artery wedge pressure (PAWP) less than 15 mmHg; </w:t>
            </w:r>
          </w:p>
        </w:tc>
        <w:tc>
          <w:tcPr>
            <w:tcW w:w="1984" w:type="dxa"/>
          </w:tcPr>
          <w:p w:rsidR="00FE35DA" w:rsidRPr="00B37363" w:rsidRDefault="00BA2DBB" w:rsidP="00B37363">
            <w:pPr>
              <w:spacing w:beforeLines="40" w:before="96" w:afterLines="40" w:after="96" w:line="240" w:lineRule="auto"/>
              <w:jc w:val="left"/>
              <w:rPr>
                <w:rFonts w:ascii="Arial" w:hAnsi="Arial" w:cs="Arial"/>
                <w:sz w:val="20"/>
                <w:szCs w:val="20"/>
              </w:rPr>
            </w:pPr>
            <w:r w:rsidRPr="00B37363">
              <w:rPr>
                <w:rFonts w:ascii="Arial" w:hAnsi="Arial" w:cs="Arial"/>
                <w:sz w:val="20"/>
                <w:szCs w:val="20"/>
              </w:rPr>
              <w:t xml:space="preserve">See PAH haemodynamic definition in </w:t>
            </w:r>
            <w:r w:rsidR="00D63371" w:rsidRPr="00D63371">
              <w:rPr>
                <w:rFonts w:ascii="Arial" w:hAnsi="Arial" w:cs="Arial"/>
                <w:sz w:val="20"/>
                <w:szCs w:val="20"/>
              </w:rPr>
              <w:t>Table 1.9</w:t>
            </w:r>
            <w:r w:rsidR="00B37363">
              <w:rPr>
                <w:rFonts w:ascii="Arial" w:hAnsi="Arial" w:cs="Arial"/>
                <w:sz w:val="20"/>
                <w:szCs w:val="20"/>
              </w:rPr>
              <w:t>.</w:t>
            </w:r>
            <w:r w:rsidRPr="00B37363">
              <w:rPr>
                <w:rFonts w:ascii="Arial" w:hAnsi="Arial" w:cs="Arial"/>
                <w:sz w:val="20"/>
                <w:szCs w:val="20"/>
              </w:rPr>
              <w:t xml:space="preserve"> </w:t>
            </w:r>
          </w:p>
        </w:tc>
        <w:tc>
          <w:tcPr>
            <w:tcW w:w="7687" w:type="dxa"/>
          </w:tcPr>
          <w:p w:rsidR="00FE35DA" w:rsidRPr="005309C6" w:rsidRDefault="00FE35DA"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Yes – this reflects the current haemodynamic definition for PAH diagnosis and has been recently updated</w:t>
            </w:r>
            <w:r w:rsidR="00AF365F" w:rsidRPr="005309C6">
              <w:rPr>
                <w:rFonts w:ascii="Arial" w:hAnsi="Arial" w:cs="Arial"/>
                <w:sz w:val="20"/>
                <w:szCs w:val="20"/>
              </w:rPr>
              <w:t xml:space="preserve"> (see </w:t>
            </w:r>
            <w:r w:rsidR="00D63371" w:rsidRPr="00D63371">
              <w:rPr>
                <w:rFonts w:ascii="Arial" w:hAnsi="Arial" w:cs="Arial"/>
                <w:i/>
                <w:sz w:val="20"/>
                <w:szCs w:val="20"/>
              </w:rPr>
              <w:t>B.4.5.3 Recent amendments to</w:t>
            </w:r>
            <w:r w:rsidR="00D63371" w:rsidRPr="00D63371">
              <w:rPr>
                <w:rFonts w:ascii="Arial" w:hAnsi="Arial" w:cs="Arial"/>
                <w:sz w:val="20"/>
                <w:szCs w:val="20"/>
              </w:rPr>
              <w:t xml:space="preserve"> PBS Restrictions</w:t>
            </w:r>
            <w:r w:rsidR="00AF365F" w:rsidRPr="005309C6">
              <w:rPr>
                <w:rFonts w:ascii="Arial" w:hAnsi="Arial" w:cs="Arial"/>
                <w:sz w:val="20"/>
                <w:szCs w:val="20"/>
              </w:rPr>
              <w:t>)</w:t>
            </w:r>
            <w:r w:rsidRPr="005309C6">
              <w:rPr>
                <w:rFonts w:ascii="Arial" w:hAnsi="Arial" w:cs="Arial"/>
                <w:sz w:val="20"/>
                <w:szCs w:val="20"/>
              </w:rPr>
              <w:t xml:space="preserve">. </w:t>
            </w:r>
          </w:p>
        </w:tc>
      </w:tr>
      <w:tr w:rsidR="00B15FF7" w:rsidRPr="002F3393" w:rsidTr="00574067">
        <w:tc>
          <w:tcPr>
            <w:tcW w:w="4503" w:type="dxa"/>
          </w:tcPr>
          <w:p w:rsidR="00632C95" w:rsidRPr="005309C6" w:rsidRDefault="00632C95"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[PAH sub-type] defined as follows: </w:t>
            </w:r>
          </w:p>
          <w:p w:rsidR="00632C95" w:rsidRPr="005309C6" w:rsidRDefault="00632C95"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(ii) </w:t>
            </w:r>
            <w:proofErr w:type="gramStart"/>
            <w:r w:rsidRPr="005309C6">
              <w:rPr>
                <w:rFonts w:ascii="Arial" w:hAnsi="Arial" w:cs="Arial"/>
                <w:sz w:val="20"/>
                <w:szCs w:val="20"/>
              </w:rPr>
              <w:t>where</w:t>
            </w:r>
            <w:proofErr w:type="gramEnd"/>
            <w:r w:rsidRPr="005309C6">
              <w:rPr>
                <w:rFonts w:ascii="Arial" w:hAnsi="Arial" w:cs="Arial"/>
                <w:sz w:val="20"/>
                <w:szCs w:val="20"/>
              </w:rPr>
              <w:t xml:space="preserve"> a right heart catheter (RHC) cannot be performed on clinical grounds, right ventricular systolic pressure (RVSP), assessed by echocardiography (ECHO), greater than 40 mmHg, with normal left ventricular function. </w:t>
            </w:r>
          </w:p>
        </w:tc>
        <w:tc>
          <w:tcPr>
            <w:tcW w:w="1984" w:type="dxa"/>
          </w:tcPr>
          <w:p w:rsidR="00632C95" w:rsidRPr="00B37363" w:rsidRDefault="00632C95" w:rsidP="00B37363">
            <w:pPr>
              <w:spacing w:beforeLines="40" w:before="96" w:afterLines="40" w:after="96" w:line="240" w:lineRule="auto"/>
              <w:jc w:val="left"/>
              <w:rPr>
                <w:rFonts w:ascii="Arial" w:hAnsi="Arial" w:cs="Arial"/>
                <w:sz w:val="20"/>
                <w:szCs w:val="20"/>
              </w:rPr>
            </w:pPr>
            <w:r w:rsidRPr="00B37363">
              <w:rPr>
                <w:rFonts w:ascii="Arial" w:hAnsi="Arial" w:cs="Arial"/>
                <w:sz w:val="20"/>
                <w:szCs w:val="20"/>
              </w:rPr>
              <w:t>See PAH haemodynamic definition; RHC contra</w:t>
            </w:r>
            <w:r w:rsidR="00D567B3" w:rsidRPr="00B37363">
              <w:rPr>
                <w:rFonts w:ascii="Arial" w:hAnsi="Arial" w:cs="Arial"/>
                <w:sz w:val="20"/>
                <w:szCs w:val="20"/>
              </w:rPr>
              <w:t>-</w:t>
            </w:r>
            <w:r w:rsidRPr="00B37363">
              <w:rPr>
                <w:rFonts w:ascii="Arial" w:hAnsi="Arial" w:cs="Arial"/>
                <w:sz w:val="20"/>
                <w:szCs w:val="20"/>
              </w:rPr>
              <w:t xml:space="preserve">indications and Clinical features suggestive of PAH in </w:t>
            </w:r>
            <w:r w:rsidR="00D63371" w:rsidRPr="00D63371">
              <w:rPr>
                <w:rFonts w:ascii="Arial" w:hAnsi="Arial" w:cs="Arial"/>
                <w:sz w:val="20"/>
                <w:szCs w:val="20"/>
              </w:rPr>
              <w:t>Table 1.9</w:t>
            </w:r>
            <w:r w:rsidR="00B37363">
              <w:rPr>
                <w:rFonts w:ascii="Arial" w:hAnsi="Arial" w:cs="Arial"/>
                <w:sz w:val="20"/>
                <w:szCs w:val="20"/>
              </w:rPr>
              <w:t>.</w:t>
            </w:r>
          </w:p>
        </w:tc>
        <w:tc>
          <w:tcPr>
            <w:tcW w:w="7687" w:type="dxa"/>
          </w:tcPr>
          <w:p w:rsidR="003C17FA" w:rsidRPr="005309C6" w:rsidRDefault="00632C95"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No. It is unlikely that the echocardiographic criterion (ii) is current</w:t>
            </w:r>
            <w:r w:rsidR="00496849" w:rsidRPr="005309C6">
              <w:rPr>
                <w:rFonts w:ascii="Arial" w:hAnsi="Arial" w:cs="Arial"/>
                <w:sz w:val="20"/>
                <w:szCs w:val="20"/>
              </w:rPr>
              <w:t>.</w:t>
            </w:r>
          </w:p>
          <w:p w:rsidR="00632C95" w:rsidRPr="005309C6" w:rsidRDefault="00632C95" w:rsidP="005A13E2">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The current guidelines recommend measurement of peak TRV as the key </w:t>
            </w:r>
            <w:r w:rsidR="00C40AC4" w:rsidRPr="005309C6">
              <w:rPr>
                <w:rFonts w:ascii="Arial" w:hAnsi="Arial" w:cs="Arial"/>
                <w:sz w:val="20"/>
                <w:szCs w:val="20"/>
              </w:rPr>
              <w:t>echo</w:t>
            </w:r>
            <w:r w:rsidRPr="005309C6">
              <w:rPr>
                <w:rFonts w:ascii="Arial" w:hAnsi="Arial" w:cs="Arial"/>
                <w:sz w:val="20"/>
                <w:szCs w:val="20"/>
              </w:rPr>
              <w:t xml:space="preserve">cardiographic variable predictive of PAH. If RHC is contraindicated, clinical features suggestive of PAH </w:t>
            </w:r>
            <w:r w:rsidR="003C17FA" w:rsidRPr="005309C6">
              <w:rPr>
                <w:rFonts w:ascii="Arial" w:hAnsi="Arial" w:cs="Arial"/>
                <w:sz w:val="20"/>
                <w:szCs w:val="20"/>
              </w:rPr>
              <w:t>on echocardiography</w:t>
            </w:r>
            <w:r w:rsidRPr="005309C6">
              <w:rPr>
                <w:rFonts w:ascii="Arial" w:hAnsi="Arial" w:cs="Arial"/>
                <w:sz w:val="20"/>
                <w:szCs w:val="20"/>
              </w:rPr>
              <w:t xml:space="preserve"> are given in </w:t>
            </w:r>
            <w:r w:rsidR="00D63371" w:rsidRPr="00D63371">
              <w:rPr>
                <w:rFonts w:ascii="Arial" w:hAnsi="Arial" w:cs="Arial"/>
                <w:sz w:val="20"/>
                <w:szCs w:val="20"/>
              </w:rPr>
              <w:t>Table 1.9</w:t>
            </w:r>
            <w:r w:rsidR="00D63371" w:rsidRPr="00F75B8B">
              <w:t xml:space="preserve"> </w:t>
            </w:r>
            <w:r w:rsidR="00D63371">
              <w:tab/>
              <w:t>Guideline diagnostic recommendations for PAH</w:t>
            </w:r>
            <w:r w:rsidR="003D386D" w:rsidRPr="005309C6">
              <w:rPr>
                <w:rFonts w:ascii="Arial" w:hAnsi="Arial" w:cs="Arial"/>
                <w:sz w:val="20"/>
                <w:szCs w:val="20"/>
              </w:rPr>
              <w:t xml:space="preserve"> </w:t>
            </w:r>
            <w:r w:rsidRPr="005309C6">
              <w:rPr>
                <w:rFonts w:ascii="Arial" w:hAnsi="Arial" w:cs="Arial"/>
                <w:sz w:val="20"/>
                <w:szCs w:val="20"/>
              </w:rPr>
              <w:t xml:space="preserve">and while a number of similar parameters are cited, RVSP is not </w:t>
            </w:r>
            <w:r w:rsidR="003C17FA" w:rsidRPr="005309C6">
              <w:rPr>
                <w:rFonts w:ascii="Arial" w:hAnsi="Arial" w:cs="Arial"/>
                <w:sz w:val="20"/>
                <w:szCs w:val="20"/>
              </w:rPr>
              <w:t xml:space="preserve">among </w:t>
            </w:r>
            <w:r w:rsidRPr="005309C6">
              <w:rPr>
                <w:rFonts w:ascii="Arial" w:hAnsi="Arial" w:cs="Arial"/>
                <w:sz w:val="20"/>
                <w:szCs w:val="20"/>
              </w:rPr>
              <w:t>them</w:t>
            </w:r>
            <w:r w:rsidR="003C17FA" w:rsidRPr="005309C6">
              <w:rPr>
                <w:rFonts w:ascii="Arial" w:hAnsi="Arial" w:cs="Arial"/>
                <w:sz w:val="20"/>
                <w:szCs w:val="20"/>
              </w:rPr>
              <w:t xml:space="preserve">. </w:t>
            </w:r>
          </w:p>
        </w:tc>
      </w:tr>
      <w:tr w:rsidR="00B15FF7" w:rsidRPr="002F3393" w:rsidTr="00574067">
        <w:tc>
          <w:tcPr>
            <w:tcW w:w="4503" w:type="dxa"/>
          </w:tcPr>
          <w:p w:rsidR="00B15FF7" w:rsidRPr="005309C6" w:rsidRDefault="00B15FF7"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The restrictions no longer </w:t>
            </w:r>
            <w:r w:rsidR="003C17FA" w:rsidRPr="005309C6">
              <w:rPr>
                <w:rFonts w:ascii="Arial" w:hAnsi="Arial" w:cs="Arial"/>
                <w:sz w:val="20"/>
                <w:szCs w:val="20"/>
              </w:rPr>
              <w:t>require</w:t>
            </w:r>
            <w:r w:rsidRPr="005309C6">
              <w:rPr>
                <w:rFonts w:ascii="Arial" w:hAnsi="Arial" w:cs="Arial"/>
                <w:sz w:val="20"/>
                <w:szCs w:val="20"/>
              </w:rPr>
              <w:t xml:space="preserve"> </w:t>
            </w:r>
            <w:proofErr w:type="spellStart"/>
            <w:r w:rsidRPr="005309C6">
              <w:rPr>
                <w:rFonts w:ascii="Arial" w:hAnsi="Arial" w:cs="Arial"/>
                <w:sz w:val="20"/>
                <w:szCs w:val="20"/>
              </w:rPr>
              <w:t>mPAP</w:t>
            </w:r>
            <w:proofErr w:type="spellEnd"/>
            <w:r w:rsidRPr="005309C6">
              <w:rPr>
                <w:rFonts w:ascii="Arial" w:hAnsi="Arial" w:cs="Arial"/>
                <w:sz w:val="20"/>
                <w:szCs w:val="20"/>
              </w:rPr>
              <w:t xml:space="preserve"> obtained during exercise</w:t>
            </w:r>
          </w:p>
        </w:tc>
        <w:tc>
          <w:tcPr>
            <w:tcW w:w="1984" w:type="dxa"/>
          </w:tcPr>
          <w:p w:rsidR="00B15FF7" w:rsidRPr="005309C6" w:rsidRDefault="00B15FF7"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w:t>
            </w:r>
          </w:p>
        </w:tc>
        <w:tc>
          <w:tcPr>
            <w:tcW w:w="7687" w:type="dxa"/>
          </w:tcPr>
          <w:p w:rsidR="00B15FF7" w:rsidRPr="005309C6" w:rsidRDefault="00B15FF7"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Yes. This has recently been removed from the PAH restrictions</w:t>
            </w:r>
            <w:r w:rsidR="00AF365F" w:rsidRPr="005309C6">
              <w:rPr>
                <w:rFonts w:ascii="Arial" w:hAnsi="Arial" w:cs="Arial"/>
                <w:sz w:val="20"/>
                <w:szCs w:val="20"/>
              </w:rPr>
              <w:t xml:space="preserve"> (see </w:t>
            </w:r>
            <w:r w:rsidR="00D63371" w:rsidRPr="00D63371">
              <w:rPr>
                <w:rFonts w:ascii="Arial" w:hAnsi="Arial" w:cs="Arial"/>
                <w:i/>
                <w:sz w:val="20"/>
                <w:szCs w:val="20"/>
              </w:rPr>
              <w:t>B.4.5.3 Recent amendments to</w:t>
            </w:r>
            <w:r w:rsidR="00D63371" w:rsidRPr="00D63371">
              <w:rPr>
                <w:rFonts w:ascii="Arial" w:hAnsi="Arial" w:cs="Arial"/>
                <w:sz w:val="20"/>
                <w:szCs w:val="20"/>
              </w:rPr>
              <w:t xml:space="preserve"> PBS Restrictions</w:t>
            </w:r>
            <w:r w:rsidR="00AF365F" w:rsidRPr="005309C6">
              <w:rPr>
                <w:rFonts w:ascii="Arial" w:hAnsi="Arial" w:cs="Arial"/>
                <w:sz w:val="20"/>
                <w:szCs w:val="20"/>
              </w:rPr>
              <w:t>)</w:t>
            </w:r>
            <w:r w:rsidRPr="005309C6">
              <w:rPr>
                <w:rFonts w:ascii="Arial" w:hAnsi="Arial" w:cs="Arial"/>
                <w:sz w:val="20"/>
                <w:szCs w:val="20"/>
              </w:rPr>
              <w:t xml:space="preserve">. This reflects a corresponding move away from exercise testing in the guidelines. </w:t>
            </w:r>
          </w:p>
        </w:tc>
      </w:tr>
      <w:tr w:rsidR="00D567B3" w:rsidRPr="002F3393" w:rsidTr="00574067">
        <w:tc>
          <w:tcPr>
            <w:tcW w:w="4503" w:type="dxa"/>
          </w:tcPr>
          <w:p w:rsidR="00497F9C" w:rsidRPr="005309C6" w:rsidRDefault="00497F9C"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Test requirements to establish baseline for initiation of treatment are as follows:</w:t>
            </w:r>
          </w:p>
          <w:p w:rsidR="00497F9C" w:rsidRPr="005309C6" w:rsidRDefault="00497F9C" w:rsidP="00807704">
            <w:pPr>
              <w:pStyle w:val="ListParagraph"/>
              <w:numPr>
                <w:ilvl w:val="0"/>
                <w:numId w:val="18"/>
              </w:numPr>
              <w:spacing w:beforeLines="40" w:before="96" w:afterLines="40" w:after="96" w:line="240" w:lineRule="auto"/>
              <w:ind w:left="0" w:firstLine="0"/>
              <w:jc w:val="left"/>
              <w:rPr>
                <w:rFonts w:ascii="Arial" w:hAnsi="Arial" w:cs="Arial"/>
                <w:sz w:val="20"/>
                <w:szCs w:val="20"/>
              </w:rPr>
            </w:pPr>
            <w:r w:rsidRPr="005309C6">
              <w:rPr>
                <w:rFonts w:ascii="Arial" w:hAnsi="Arial" w:cs="Arial"/>
                <w:sz w:val="20"/>
                <w:szCs w:val="20"/>
              </w:rPr>
              <w:t>A right heart catheter (RHC) composite assessment</w:t>
            </w:r>
          </w:p>
          <w:p w:rsidR="00497F9C" w:rsidRPr="005309C6" w:rsidRDefault="00497F9C" w:rsidP="00807704">
            <w:pPr>
              <w:pStyle w:val="ListParagraph"/>
              <w:numPr>
                <w:ilvl w:val="0"/>
                <w:numId w:val="18"/>
              </w:numPr>
              <w:spacing w:beforeLines="40" w:before="96" w:afterLines="40" w:after="96" w:line="240" w:lineRule="auto"/>
              <w:ind w:left="0" w:firstLine="0"/>
              <w:jc w:val="left"/>
              <w:rPr>
                <w:rFonts w:ascii="Arial" w:hAnsi="Arial" w:cs="Arial"/>
                <w:sz w:val="20"/>
                <w:szCs w:val="20"/>
              </w:rPr>
            </w:pPr>
            <w:r w:rsidRPr="005309C6">
              <w:rPr>
                <w:rFonts w:ascii="Arial" w:hAnsi="Arial" w:cs="Arial"/>
                <w:sz w:val="20"/>
                <w:szCs w:val="20"/>
              </w:rPr>
              <w:t>An echocardiograph (ECHO) composite assessment,</w:t>
            </w:r>
          </w:p>
          <w:p w:rsidR="00497F9C" w:rsidRPr="005309C6" w:rsidRDefault="00497F9C" w:rsidP="00807704">
            <w:pPr>
              <w:pStyle w:val="ListParagraph"/>
              <w:numPr>
                <w:ilvl w:val="0"/>
                <w:numId w:val="18"/>
              </w:numPr>
              <w:spacing w:beforeLines="40" w:before="96" w:afterLines="40" w:after="96" w:line="240" w:lineRule="auto"/>
              <w:ind w:left="0" w:firstLine="0"/>
              <w:jc w:val="left"/>
              <w:rPr>
                <w:rFonts w:ascii="Arial" w:hAnsi="Arial" w:cs="Arial"/>
                <w:sz w:val="20"/>
                <w:szCs w:val="20"/>
              </w:rPr>
            </w:pPr>
            <w:r w:rsidRPr="005309C6">
              <w:rPr>
                <w:rFonts w:ascii="Arial" w:hAnsi="Arial" w:cs="Arial"/>
                <w:sz w:val="20"/>
                <w:szCs w:val="20"/>
              </w:rPr>
              <w:t>A 6 minute walk test (6MWT)</w:t>
            </w:r>
          </w:p>
        </w:tc>
        <w:tc>
          <w:tcPr>
            <w:tcW w:w="1984" w:type="dxa"/>
          </w:tcPr>
          <w:p w:rsidR="00497F9C" w:rsidRPr="00B37363" w:rsidRDefault="00632C95" w:rsidP="00D5265F">
            <w:pPr>
              <w:spacing w:beforeLines="40" w:before="96" w:afterLines="40" w:after="96" w:line="240" w:lineRule="auto"/>
              <w:jc w:val="left"/>
              <w:rPr>
                <w:rFonts w:ascii="Arial" w:hAnsi="Arial" w:cs="Arial"/>
                <w:sz w:val="20"/>
                <w:szCs w:val="20"/>
              </w:rPr>
            </w:pPr>
            <w:r w:rsidRPr="00D5265F">
              <w:rPr>
                <w:rFonts w:ascii="Arial" w:hAnsi="Arial" w:cs="Arial"/>
                <w:sz w:val="20"/>
                <w:szCs w:val="20"/>
              </w:rPr>
              <w:t xml:space="preserve">See </w:t>
            </w:r>
            <w:r w:rsidR="00D63371" w:rsidRPr="00D63371">
              <w:rPr>
                <w:rFonts w:ascii="Arial" w:hAnsi="Arial" w:cs="Arial"/>
                <w:sz w:val="20"/>
                <w:szCs w:val="20"/>
              </w:rPr>
              <w:t>Table 1.10</w:t>
            </w:r>
            <w:r w:rsidR="00B37363">
              <w:rPr>
                <w:rFonts w:ascii="Arial" w:hAnsi="Arial" w:cs="Arial"/>
                <w:sz w:val="20"/>
                <w:szCs w:val="20"/>
              </w:rPr>
              <w:t>.</w:t>
            </w:r>
          </w:p>
        </w:tc>
        <w:tc>
          <w:tcPr>
            <w:tcW w:w="7687" w:type="dxa"/>
          </w:tcPr>
          <w:p w:rsidR="00632C95" w:rsidRPr="005309C6" w:rsidRDefault="00632C95"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Partially. RHC is the gold standard for diagnosis and is essential for diagnosis and baseline characteristics. </w:t>
            </w:r>
          </w:p>
          <w:p w:rsidR="00632C95" w:rsidRPr="005309C6" w:rsidRDefault="00632C95"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If RHC results are available, evidence of echocardiography may not</w:t>
            </w:r>
            <w:r w:rsidR="00C40AC4" w:rsidRPr="005309C6">
              <w:rPr>
                <w:rFonts w:ascii="Arial" w:hAnsi="Arial" w:cs="Arial"/>
                <w:sz w:val="20"/>
                <w:szCs w:val="20"/>
              </w:rPr>
              <w:t xml:space="preserve"> be</w:t>
            </w:r>
            <w:r w:rsidRPr="005309C6">
              <w:rPr>
                <w:rFonts w:ascii="Arial" w:hAnsi="Arial" w:cs="Arial"/>
                <w:sz w:val="20"/>
                <w:szCs w:val="20"/>
              </w:rPr>
              <w:t xml:space="preserve"> required as it should also have been as part of the work-up for RHC</w:t>
            </w:r>
            <w:r w:rsidR="003C17FA" w:rsidRPr="005309C6">
              <w:rPr>
                <w:rFonts w:ascii="Arial" w:hAnsi="Arial" w:cs="Arial"/>
                <w:sz w:val="20"/>
                <w:szCs w:val="20"/>
              </w:rPr>
              <w:t xml:space="preserve">. </w:t>
            </w:r>
          </w:p>
          <w:p w:rsidR="00497F9C" w:rsidRPr="005309C6" w:rsidRDefault="00632C95"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The 6MWD criterion reflects the use of this measure as an endpoint for clinical trials in PAH but this parameter is not diagnostic of PAH</w:t>
            </w:r>
            <w:r w:rsidR="000E773E" w:rsidRPr="005309C6">
              <w:rPr>
                <w:rFonts w:ascii="Arial" w:hAnsi="Arial" w:cs="Arial"/>
                <w:sz w:val="20"/>
                <w:szCs w:val="20"/>
              </w:rPr>
              <w:t xml:space="preserve"> and is only one of a panel of baseline assessments</w:t>
            </w:r>
            <w:r w:rsidR="003C17FA" w:rsidRPr="005309C6">
              <w:rPr>
                <w:rFonts w:ascii="Arial" w:hAnsi="Arial" w:cs="Arial"/>
                <w:sz w:val="20"/>
                <w:szCs w:val="20"/>
              </w:rPr>
              <w:t xml:space="preserve">. </w:t>
            </w:r>
            <w:r w:rsidRPr="005309C6">
              <w:rPr>
                <w:rFonts w:ascii="Arial" w:hAnsi="Arial" w:cs="Arial"/>
                <w:sz w:val="20"/>
                <w:szCs w:val="20"/>
              </w:rPr>
              <w:t>This parameter is not considered prognostic in</w:t>
            </w:r>
            <w:r w:rsidR="000640EA" w:rsidRPr="005309C6">
              <w:rPr>
                <w:rFonts w:ascii="Arial" w:hAnsi="Arial" w:cs="Arial"/>
                <w:sz w:val="20"/>
                <w:szCs w:val="20"/>
              </w:rPr>
              <w:t xml:space="preserve"> children, though it may prove</w:t>
            </w:r>
            <w:r w:rsidRPr="005309C6">
              <w:rPr>
                <w:rFonts w:ascii="Arial" w:hAnsi="Arial" w:cs="Arial"/>
                <w:sz w:val="20"/>
                <w:szCs w:val="20"/>
              </w:rPr>
              <w:t xml:space="preserve"> informative for monitoring of exercise capacity in some children. Also discussed in </w:t>
            </w:r>
            <w:r w:rsidR="00751CE1" w:rsidRPr="005309C6">
              <w:rPr>
                <w:rFonts w:ascii="Arial" w:hAnsi="Arial" w:cs="Arial"/>
                <w:sz w:val="20"/>
                <w:szCs w:val="20"/>
              </w:rPr>
              <w:t xml:space="preserve">main text.  </w:t>
            </w:r>
          </w:p>
        </w:tc>
      </w:tr>
      <w:tr w:rsidR="00632C95" w:rsidRPr="00A92819" w:rsidTr="00922EA4">
        <w:trPr>
          <w:cantSplit/>
        </w:trPr>
        <w:tc>
          <w:tcPr>
            <w:tcW w:w="4503" w:type="dxa"/>
          </w:tcPr>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Where it is not possible to perform all 3 tests above on clinical grounds, the following list outlines the preferred test combination, in descending order, for the purposes of initiation of PBS-subsidised treatment:</w:t>
            </w:r>
          </w:p>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(1) RHC plus ECHO composite assessments;</w:t>
            </w:r>
          </w:p>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(2) RHC composite assessment plus 6MWT;</w:t>
            </w:r>
          </w:p>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(3) RHC composite assessment only.</w:t>
            </w:r>
          </w:p>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In circumstances where a RHC cannot be performed on clinical grounds, applications may be submitted for consideration based on the results of the following test combinations, which are listed in descending order of preference:</w:t>
            </w:r>
          </w:p>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(1) ECHO composite assessment plus 6MWT;</w:t>
            </w:r>
          </w:p>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(2) ECHO composite assessment only.</w:t>
            </w:r>
          </w:p>
          <w:p w:rsidR="00497F9C" w:rsidRPr="005309C6" w:rsidRDefault="00497F9C"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Where fewer than 3 tests are able to be performed on clinical grounds, a patient specific reason outlining why the particular test(s) could not be conducted must be provided with the authority application. </w:t>
            </w:r>
          </w:p>
        </w:tc>
        <w:tc>
          <w:tcPr>
            <w:tcW w:w="1984" w:type="dxa"/>
          </w:tcPr>
          <w:p w:rsidR="00497F9C" w:rsidRPr="005309C6" w:rsidRDefault="00632C95" w:rsidP="00D5265F">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See RHC contraindications and Clinical features suggestive of PAH in </w:t>
            </w:r>
            <w:r w:rsidR="00D63371" w:rsidRPr="00D63371">
              <w:rPr>
                <w:rFonts w:ascii="Arial" w:hAnsi="Arial" w:cs="Arial"/>
                <w:sz w:val="20"/>
                <w:szCs w:val="20"/>
              </w:rPr>
              <w:t>Table 1.9</w:t>
            </w:r>
            <w:r w:rsidR="00D5265F">
              <w:rPr>
                <w:rFonts w:ascii="Arial" w:hAnsi="Arial" w:cs="Arial"/>
                <w:sz w:val="20"/>
                <w:szCs w:val="20"/>
              </w:rPr>
              <w:t>.</w:t>
            </w:r>
          </w:p>
        </w:tc>
        <w:tc>
          <w:tcPr>
            <w:tcW w:w="7687" w:type="dxa"/>
          </w:tcPr>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No. Echocardiography should be performed prior to RHC th</w:t>
            </w:r>
            <w:r w:rsidR="00632C95" w:rsidRPr="005309C6">
              <w:rPr>
                <w:rFonts w:ascii="Arial" w:hAnsi="Arial" w:cs="Arial"/>
                <w:sz w:val="20"/>
                <w:szCs w:val="20"/>
              </w:rPr>
              <w:t xml:space="preserve">us availability of RHC without echocardiography </w:t>
            </w:r>
            <w:r w:rsidRPr="005309C6">
              <w:rPr>
                <w:rFonts w:ascii="Arial" w:hAnsi="Arial" w:cs="Arial"/>
                <w:sz w:val="20"/>
                <w:szCs w:val="20"/>
              </w:rPr>
              <w:t xml:space="preserve">would be unusual. Given that ECHO is a </w:t>
            </w:r>
            <w:r w:rsidR="002F0F70" w:rsidRPr="005309C6">
              <w:rPr>
                <w:rFonts w:ascii="Arial" w:hAnsi="Arial" w:cs="Arial"/>
                <w:sz w:val="20"/>
                <w:szCs w:val="20"/>
              </w:rPr>
              <w:t>non-invasive</w:t>
            </w:r>
            <w:r w:rsidRPr="005309C6">
              <w:rPr>
                <w:rFonts w:ascii="Arial" w:hAnsi="Arial" w:cs="Arial"/>
                <w:sz w:val="20"/>
                <w:szCs w:val="20"/>
              </w:rPr>
              <w:t xml:space="preserve"> imaging test conducted at rest there are relatively few obstacles to conducting this in a PAH patient. </w:t>
            </w:r>
          </w:p>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These requirements remain largely unchanged from their first appearance with the listing of bosentan in March 2004. </w:t>
            </w:r>
          </w:p>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RHC is considered essential for diagnosis of PAH</w:t>
            </w:r>
            <w:r w:rsidR="003C17FA" w:rsidRPr="005309C6">
              <w:rPr>
                <w:rFonts w:ascii="Arial" w:hAnsi="Arial" w:cs="Arial"/>
                <w:sz w:val="20"/>
                <w:szCs w:val="20"/>
              </w:rPr>
              <w:t xml:space="preserve"> (based on reading of the guidelines)</w:t>
            </w:r>
            <w:r w:rsidRPr="005309C6">
              <w:rPr>
                <w:rFonts w:ascii="Arial" w:hAnsi="Arial" w:cs="Arial"/>
                <w:sz w:val="20"/>
                <w:szCs w:val="20"/>
              </w:rPr>
              <w:t>, there are some contraindications but it is unlikely that many patients will be diagnosed without RHC</w:t>
            </w:r>
            <w:r w:rsidR="003C17FA" w:rsidRPr="005309C6">
              <w:rPr>
                <w:rFonts w:ascii="Arial" w:hAnsi="Arial" w:cs="Arial"/>
                <w:sz w:val="20"/>
                <w:szCs w:val="20"/>
              </w:rPr>
              <w:t xml:space="preserve">. </w:t>
            </w:r>
            <w:r w:rsidR="00632C95" w:rsidRPr="005309C6">
              <w:rPr>
                <w:rFonts w:ascii="Arial" w:hAnsi="Arial" w:cs="Arial"/>
                <w:sz w:val="20"/>
                <w:szCs w:val="20"/>
              </w:rPr>
              <w:t xml:space="preserve">If RHC is contraindicated however, clinical features suggestive of PAH </w:t>
            </w:r>
            <w:r w:rsidR="003C17FA" w:rsidRPr="005309C6">
              <w:rPr>
                <w:rFonts w:ascii="Arial" w:hAnsi="Arial" w:cs="Arial"/>
                <w:sz w:val="20"/>
                <w:szCs w:val="20"/>
              </w:rPr>
              <w:t>on echocardiography</w:t>
            </w:r>
            <w:r w:rsidR="00632C95" w:rsidRPr="005309C6">
              <w:rPr>
                <w:rFonts w:ascii="Arial" w:hAnsi="Arial" w:cs="Arial"/>
                <w:sz w:val="20"/>
                <w:szCs w:val="20"/>
              </w:rPr>
              <w:t xml:space="preserve"> are given in </w:t>
            </w:r>
            <w:r w:rsidR="00D63371" w:rsidRPr="00D63371">
              <w:rPr>
                <w:rFonts w:ascii="Arial" w:hAnsi="Arial" w:cs="Arial"/>
                <w:sz w:val="20"/>
                <w:szCs w:val="20"/>
              </w:rPr>
              <w:t>Table 1.9</w:t>
            </w:r>
            <w:r w:rsidR="00D63371" w:rsidRPr="00F75B8B">
              <w:t xml:space="preserve"> </w:t>
            </w:r>
            <w:r w:rsidR="00D63371">
              <w:tab/>
              <w:t>Guideline diagnostic recommendations for PAH</w:t>
            </w:r>
            <w:r w:rsidR="003C17FA" w:rsidRPr="005309C6">
              <w:rPr>
                <w:rFonts w:ascii="Arial" w:hAnsi="Arial" w:cs="Arial"/>
                <w:sz w:val="20"/>
                <w:szCs w:val="20"/>
              </w:rPr>
              <w:t xml:space="preserve">. </w:t>
            </w:r>
          </w:p>
          <w:p w:rsidR="00497F9C" w:rsidRPr="005309C6" w:rsidRDefault="00632C95"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See comments above regarding 6MWD – </w:t>
            </w:r>
            <w:r w:rsidR="003C17FA" w:rsidRPr="005309C6">
              <w:rPr>
                <w:rFonts w:ascii="Arial" w:hAnsi="Arial" w:cs="Arial"/>
                <w:sz w:val="20"/>
                <w:szCs w:val="20"/>
              </w:rPr>
              <w:t xml:space="preserve">see also </w:t>
            </w:r>
            <w:r w:rsidR="00751CE1" w:rsidRPr="005309C6">
              <w:rPr>
                <w:rFonts w:ascii="Arial" w:hAnsi="Arial" w:cs="Arial"/>
                <w:sz w:val="20"/>
                <w:szCs w:val="20"/>
              </w:rPr>
              <w:t>main text.</w:t>
            </w:r>
          </w:p>
          <w:p w:rsidR="00497F9C" w:rsidRPr="005309C6" w:rsidRDefault="00497F9C" w:rsidP="005309C6">
            <w:pPr>
              <w:spacing w:beforeLines="40" w:before="96" w:afterLines="40" w:after="96" w:line="240" w:lineRule="auto"/>
              <w:jc w:val="left"/>
              <w:rPr>
                <w:rFonts w:ascii="Arial" w:hAnsi="Arial" w:cs="Arial"/>
                <w:sz w:val="20"/>
                <w:szCs w:val="20"/>
              </w:rPr>
            </w:pPr>
          </w:p>
        </w:tc>
      </w:tr>
      <w:tr w:rsidR="00D567B3" w:rsidRPr="008E2EAB" w:rsidTr="00574067">
        <w:tc>
          <w:tcPr>
            <w:tcW w:w="4503" w:type="dxa"/>
          </w:tcPr>
          <w:p w:rsidR="00497F9C" w:rsidRPr="005309C6" w:rsidRDefault="00497F9C"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Patient must have been assessed […] to have achieved a response to the PBS-subsidised initial course of treatment</w:t>
            </w:r>
          </w:p>
        </w:tc>
        <w:tc>
          <w:tcPr>
            <w:tcW w:w="1984" w:type="dxa"/>
          </w:tcPr>
          <w:p w:rsidR="00497F9C" w:rsidRPr="005309C6" w:rsidRDefault="00497F9C" w:rsidP="00B37363">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See </w:t>
            </w:r>
            <w:r w:rsidR="00D63371" w:rsidRPr="00D63371">
              <w:rPr>
                <w:rFonts w:ascii="Arial" w:hAnsi="Arial" w:cs="Arial"/>
                <w:sz w:val="20"/>
                <w:szCs w:val="20"/>
              </w:rPr>
              <w:t>Table 1.9</w:t>
            </w:r>
            <w:r w:rsidR="00B37363" w:rsidRPr="00D5265F">
              <w:rPr>
                <w:rFonts w:ascii="Arial" w:hAnsi="Arial" w:cs="Arial"/>
                <w:sz w:val="20"/>
                <w:szCs w:val="20"/>
              </w:rPr>
              <w:t xml:space="preserve"> </w:t>
            </w:r>
            <w:r w:rsidRPr="00D5265F">
              <w:rPr>
                <w:rFonts w:ascii="Arial" w:hAnsi="Arial" w:cs="Arial"/>
                <w:sz w:val="20"/>
                <w:szCs w:val="20"/>
              </w:rPr>
              <w:t xml:space="preserve">and specifically frequency of assessments in </w:t>
            </w:r>
            <w:r w:rsidR="00D63371" w:rsidRPr="00D63371">
              <w:rPr>
                <w:rFonts w:ascii="Arial" w:hAnsi="Arial" w:cs="Arial"/>
                <w:sz w:val="20"/>
                <w:szCs w:val="20"/>
              </w:rPr>
              <w:t>Table 1.13</w:t>
            </w:r>
            <w:r w:rsidR="00D5265F">
              <w:rPr>
                <w:rFonts w:ascii="Arial" w:hAnsi="Arial" w:cs="Arial"/>
                <w:sz w:val="20"/>
                <w:szCs w:val="20"/>
              </w:rPr>
              <w:t>.</w:t>
            </w:r>
          </w:p>
        </w:tc>
        <w:tc>
          <w:tcPr>
            <w:tcW w:w="7687" w:type="dxa"/>
          </w:tcPr>
          <w:p w:rsidR="00497F9C" w:rsidRPr="005309C6" w:rsidRDefault="00497F9C" w:rsidP="008573E5">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The need for a response – yes, but the timing of evaluation – unclear. Response evaluation is driven by the 6-month </w:t>
            </w:r>
            <w:r w:rsidR="003C17FA" w:rsidRPr="005309C6">
              <w:rPr>
                <w:rFonts w:ascii="Arial" w:hAnsi="Arial" w:cs="Arial"/>
                <w:sz w:val="20"/>
                <w:szCs w:val="20"/>
              </w:rPr>
              <w:t>duration of treatment for each a</w:t>
            </w:r>
            <w:r w:rsidRPr="005309C6">
              <w:rPr>
                <w:rFonts w:ascii="Arial" w:hAnsi="Arial" w:cs="Arial"/>
                <w:sz w:val="20"/>
                <w:szCs w:val="20"/>
              </w:rPr>
              <w:t>uthority</w:t>
            </w:r>
            <w:r w:rsidR="003C17FA" w:rsidRPr="005309C6">
              <w:rPr>
                <w:rFonts w:ascii="Arial" w:hAnsi="Arial" w:cs="Arial"/>
                <w:sz w:val="20"/>
                <w:szCs w:val="20"/>
              </w:rPr>
              <w:t xml:space="preserve"> application</w:t>
            </w:r>
            <w:r w:rsidRPr="005309C6">
              <w:rPr>
                <w:rFonts w:ascii="Arial" w:hAnsi="Arial" w:cs="Arial"/>
                <w:sz w:val="20"/>
                <w:szCs w:val="20"/>
              </w:rPr>
              <w:t xml:space="preserve">, rather than by clinical need. Dose titration, monitoring, differing therapy goals and long lead times for outpatient clinic appointments may make this </w:t>
            </w:r>
            <w:r w:rsidR="003C17FA" w:rsidRPr="005309C6">
              <w:rPr>
                <w:rFonts w:ascii="Arial" w:hAnsi="Arial" w:cs="Arial"/>
                <w:sz w:val="20"/>
                <w:szCs w:val="20"/>
              </w:rPr>
              <w:t>difficult to achieve for some patients</w:t>
            </w:r>
            <w:r w:rsidRPr="005309C6">
              <w:rPr>
                <w:rFonts w:ascii="Arial" w:hAnsi="Arial" w:cs="Arial"/>
                <w:sz w:val="20"/>
                <w:szCs w:val="20"/>
              </w:rPr>
              <w:t xml:space="preserve">. </w:t>
            </w:r>
          </w:p>
        </w:tc>
      </w:tr>
      <w:tr w:rsidR="00632C95" w:rsidRPr="002F3393" w:rsidTr="00574067">
        <w:tc>
          <w:tcPr>
            <w:tcW w:w="4503" w:type="dxa"/>
          </w:tcPr>
          <w:p w:rsidR="00497F9C" w:rsidRPr="005309C6" w:rsidRDefault="00497F9C"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Response to a PAH agent is defined as follows:</w:t>
            </w:r>
          </w:p>
          <w:p w:rsidR="00497F9C" w:rsidRPr="005309C6" w:rsidRDefault="00497F9C"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For patients with two or more baseline tests, response to treatment is defined as two or more tests demonstrating stability or improvement of disease, as assessed by a physician from a designated hospital.</w:t>
            </w:r>
          </w:p>
          <w:p w:rsidR="00497F9C" w:rsidRPr="005309C6" w:rsidRDefault="00497F9C"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For patients with a RHC composite assessment alone at baseline, response to treatment is defined as a RHC result demonstrating stability or improvement of disease, as assessed by a physician from a designated hospital.</w:t>
            </w:r>
          </w:p>
          <w:p w:rsidR="00497F9C" w:rsidRPr="005309C6" w:rsidRDefault="00497F9C"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For patients with an ECHO composite assessment alone at baseline, response to treatment is defined as an ECHO result demonstrating stability or improvement of disease, as assessed by a physician from a designated hospital.</w:t>
            </w:r>
          </w:p>
          <w:p w:rsidR="00497F9C" w:rsidRPr="005309C6" w:rsidRDefault="00497F9C"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For patients aged less than 18 years, response to treatment is defined as at least one of the baseline tests demonstrating stability or improvement of disease, as assessed by a physician from a designated hospital. </w:t>
            </w:r>
          </w:p>
        </w:tc>
        <w:tc>
          <w:tcPr>
            <w:tcW w:w="1984" w:type="dxa"/>
          </w:tcPr>
          <w:p w:rsidR="00497F9C" w:rsidRPr="005309C6" w:rsidRDefault="00497F9C" w:rsidP="00D5265F">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See recommendations </w:t>
            </w:r>
            <w:r w:rsidRPr="00D5265F">
              <w:rPr>
                <w:rFonts w:ascii="Arial" w:hAnsi="Arial" w:cs="Arial"/>
                <w:sz w:val="20"/>
                <w:szCs w:val="20"/>
              </w:rPr>
              <w:t xml:space="preserve">in </w:t>
            </w:r>
            <w:r w:rsidR="00D63371" w:rsidRPr="00D63371">
              <w:rPr>
                <w:rFonts w:ascii="Arial" w:hAnsi="Arial" w:cs="Arial"/>
                <w:sz w:val="20"/>
                <w:szCs w:val="20"/>
              </w:rPr>
              <w:t>Table 1.10</w:t>
            </w:r>
            <w:r w:rsidR="00D5265F" w:rsidRPr="00D5265F">
              <w:rPr>
                <w:rFonts w:ascii="Arial" w:hAnsi="Arial" w:cs="Arial"/>
                <w:sz w:val="20"/>
                <w:szCs w:val="20"/>
              </w:rPr>
              <w:t>.</w:t>
            </w:r>
          </w:p>
        </w:tc>
        <w:tc>
          <w:tcPr>
            <w:tcW w:w="7687" w:type="dxa"/>
          </w:tcPr>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Partially. Assessment of response would not be limited to RHC, but would include monitoring parameters given in </w:t>
            </w:r>
            <w:r w:rsidR="00D63371" w:rsidRPr="00D63371">
              <w:rPr>
                <w:rFonts w:ascii="Arial" w:hAnsi="Arial" w:cs="Arial"/>
                <w:sz w:val="20"/>
                <w:szCs w:val="20"/>
              </w:rPr>
              <w:t>Table 1.12</w:t>
            </w:r>
            <w:r w:rsidRPr="006314DA">
              <w:rPr>
                <w:rFonts w:ascii="Arial" w:hAnsi="Arial" w:cs="Arial"/>
                <w:sz w:val="20"/>
                <w:szCs w:val="20"/>
              </w:rPr>
              <w:t>.</w:t>
            </w:r>
            <w:r w:rsidRPr="005309C6">
              <w:rPr>
                <w:rFonts w:ascii="Arial" w:hAnsi="Arial" w:cs="Arial"/>
                <w:sz w:val="20"/>
                <w:szCs w:val="20"/>
              </w:rPr>
              <w:t xml:space="preserve"> </w:t>
            </w:r>
            <w:r w:rsidR="000E773E" w:rsidRPr="005309C6">
              <w:rPr>
                <w:rFonts w:ascii="Arial" w:hAnsi="Arial" w:cs="Arial"/>
                <w:sz w:val="20"/>
                <w:szCs w:val="20"/>
              </w:rPr>
              <w:t xml:space="preserve">See above comments about relationship between RHC and echocardiography. </w:t>
            </w:r>
          </w:p>
          <w:p w:rsidR="00497F9C" w:rsidRPr="005309C6" w:rsidRDefault="00497F9C" w:rsidP="005309C6">
            <w:pPr>
              <w:spacing w:beforeLines="40" w:before="96" w:afterLines="40" w:after="96" w:line="240" w:lineRule="auto"/>
              <w:jc w:val="left"/>
              <w:rPr>
                <w:rFonts w:ascii="Arial" w:hAnsi="Arial" w:cs="Arial"/>
                <w:sz w:val="20"/>
                <w:szCs w:val="20"/>
              </w:rPr>
            </w:pPr>
          </w:p>
          <w:p w:rsidR="00497F9C" w:rsidRPr="005309C6" w:rsidRDefault="00497F9C"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The requirements for demonstration of a response have a certain logic (if 2 baseline tests, then 2 tests to show response; if RHC baseline only, then RHC only to show response </w:t>
            </w:r>
            <w:proofErr w:type="spellStart"/>
            <w:r w:rsidRPr="005309C6">
              <w:rPr>
                <w:rFonts w:ascii="Arial" w:hAnsi="Arial" w:cs="Arial"/>
                <w:sz w:val="20"/>
                <w:szCs w:val="20"/>
              </w:rPr>
              <w:t>etc</w:t>
            </w:r>
            <w:proofErr w:type="spellEnd"/>
            <w:r w:rsidRPr="005309C6">
              <w:rPr>
                <w:rFonts w:ascii="Arial" w:hAnsi="Arial" w:cs="Arial"/>
                <w:sz w:val="20"/>
                <w:szCs w:val="20"/>
              </w:rPr>
              <w:t>), but these</w:t>
            </w:r>
            <w:r w:rsidR="003C17FA" w:rsidRPr="005309C6">
              <w:rPr>
                <w:rFonts w:ascii="Arial" w:hAnsi="Arial" w:cs="Arial"/>
                <w:sz w:val="20"/>
                <w:szCs w:val="20"/>
              </w:rPr>
              <w:t xml:space="preserve"> have no basis in the available</w:t>
            </w:r>
            <w:r w:rsidRPr="005309C6">
              <w:rPr>
                <w:rFonts w:ascii="Arial" w:hAnsi="Arial" w:cs="Arial"/>
                <w:sz w:val="20"/>
                <w:szCs w:val="20"/>
              </w:rPr>
              <w:t xml:space="preserve"> PAH guidelines. </w:t>
            </w:r>
            <w:r w:rsidR="003C17FA" w:rsidRPr="005309C6">
              <w:rPr>
                <w:rFonts w:ascii="Arial" w:hAnsi="Arial" w:cs="Arial"/>
                <w:sz w:val="20"/>
                <w:szCs w:val="20"/>
              </w:rPr>
              <w:t>It would useful to understand from treating specialists whether</w:t>
            </w:r>
            <w:r w:rsidRPr="005309C6">
              <w:rPr>
                <w:rFonts w:ascii="Arial" w:hAnsi="Arial" w:cs="Arial"/>
                <w:sz w:val="20"/>
                <w:szCs w:val="20"/>
              </w:rPr>
              <w:t xml:space="preserve"> certain tests are </w:t>
            </w:r>
            <w:r w:rsidR="00C40AC4" w:rsidRPr="005309C6">
              <w:rPr>
                <w:rFonts w:ascii="Arial" w:hAnsi="Arial" w:cs="Arial"/>
                <w:sz w:val="20"/>
                <w:szCs w:val="20"/>
              </w:rPr>
              <w:t xml:space="preserve">ever </w:t>
            </w:r>
            <w:r w:rsidRPr="005309C6">
              <w:rPr>
                <w:rFonts w:ascii="Arial" w:hAnsi="Arial" w:cs="Arial"/>
                <w:sz w:val="20"/>
                <w:szCs w:val="20"/>
              </w:rPr>
              <w:t xml:space="preserve">unavailable or unsuitable for specific patients </w:t>
            </w:r>
            <w:r w:rsidR="003C17FA" w:rsidRPr="005309C6">
              <w:rPr>
                <w:rFonts w:ascii="Arial" w:hAnsi="Arial" w:cs="Arial"/>
                <w:sz w:val="20"/>
                <w:szCs w:val="20"/>
              </w:rPr>
              <w:t>in light of</w:t>
            </w:r>
            <w:r w:rsidRPr="005309C6">
              <w:rPr>
                <w:rFonts w:ascii="Arial" w:hAnsi="Arial" w:cs="Arial"/>
                <w:sz w:val="20"/>
                <w:szCs w:val="20"/>
              </w:rPr>
              <w:t xml:space="preserve"> the imperative to assess response in time to make the next authority application.</w:t>
            </w:r>
          </w:p>
        </w:tc>
      </w:tr>
      <w:tr w:rsidR="00632C95" w:rsidRPr="002F3393" w:rsidTr="00574067">
        <w:tc>
          <w:tcPr>
            <w:tcW w:w="4503" w:type="dxa"/>
          </w:tcPr>
          <w:p w:rsidR="00632C95" w:rsidRPr="005309C6" w:rsidRDefault="00632C95" w:rsidP="005309C6">
            <w:pPr>
              <w:tabs>
                <w:tab w:val="left" w:pos="507"/>
              </w:tabs>
              <w:spacing w:beforeLines="40" w:before="96" w:afterLines="40" w:after="96" w:line="240" w:lineRule="auto"/>
              <w:jc w:val="left"/>
              <w:rPr>
                <w:rFonts w:ascii="Arial" w:hAnsi="Arial" w:cs="Arial"/>
                <w:sz w:val="20"/>
                <w:szCs w:val="20"/>
              </w:rPr>
            </w:pPr>
            <w:r w:rsidRPr="005309C6">
              <w:rPr>
                <w:rFonts w:ascii="Arial" w:hAnsi="Arial" w:cs="Arial"/>
                <w:sz w:val="20"/>
                <w:szCs w:val="20"/>
              </w:rPr>
              <w:t>Patient must have been assessed by a physician at a designated hospital</w:t>
            </w:r>
          </w:p>
        </w:tc>
        <w:tc>
          <w:tcPr>
            <w:tcW w:w="1984" w:type="dxa"/>
          </w:tcPr>
          <w:p w:rsidR="00632C95" w:rsidRPr="005309C6" w:rsidRDefault="00E54AF3"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See discussion in </w:t>
            </w:r>
            <w:r w:rsidR="00D63371" w:rsidRPr="00D63371">
              <w:rPr>
                <w:rFonts w:ascii="Arial" w:hAnsi="Arial" w:cs="Arial"/>
                <w:i/>
                <w:sz w:val="20"/>
                <w:szCs w:val="20"/>
              </w:rPr>
              <w:t>Treatment setting and PAH treatment centres</w:t>
            </w:r>
          </w:p>
        </w:tc>
        <w:tc>
          <w:tcPr>
            <w:tcW w:w="7687" w:type="dxa"/>
          </w:tcPr>
          <w:p w:rsidR="00632C95" w:rsidRPr="005309C6" w:rsidRDefault="00632C95" w:rsidP="005309C6">
            <w:pPr>
              <w:spacing w:beforeLines="40" w:before="96" w:afterLines="40" w:after="96" w:line="240" w:lineRule="auto"/>
              <w:jc w:val="left"/>
              <w:rPr>
                <w:rFonts w:ascii="Arial" w:hAnsi="Arial" w:cs="Arial"/>
                <w:sz w:val="20"/>
                <w:szCs w:val="20"/>
              </w:rPr>
            </w:pPr>
            <w:r w:rsidRPr="005309C6">
              <w:rPr>
                <w:rFonts w:ascii="Arial" w:hAnsi="Arial" w:cs="Arial"/>
                <w:sz w:val="20"/>
                <w:szCs w:val="20"/>
              </w:rPr>
              <w:t xml:space="preserve">Unclear. The large number of centres in the list of designated hospitals (and submission from PHSANZ to this review) suggests many centres are likely to be unable to meet guideline requirements in terms of numbers of PAH patients treated to meet a ‘critical mass’ of PAH expertise. The </w:t>
            </w:r>
            <w:proofErr w:type="gramStart"/>
            <w:r w:rsidRPr="005309C6">
              <w:rPr>
                <w:rFonts w:ascii="Arial" w:hAnsi="Arial" w:cs="Arial"/>
                <w:sz w:val="20"/>
                <w:szCs w:val="20"/>
              </w:rPr>
              <w:t>number of patients seen at each centre were</w:t>
            </w:r>
            <w:proofErr w:type="gramEnd"/>
            <w:r w:rsidRPr="005309C6">
              <w:rPr>
                <w:rFonts w:ascii="Arial" w:hAnsi="Arial" w:cs="Arial"/>
                <w:sz w:val="20"/>
                <w:szCs w:val="20"/>
              </w:rPr>
              <w:t xml:space="preserve"> not available for this review.</w:t>
            </w:r>
          </w:p>
        </w:tc>
      </w:tr>
    </w:tbl>
    <w:p w:rsidR="00711D76" w:rsidRPr="005309C6" w:rsidRDefault="001F4168" w:rsidP="00121658">
      <w:pPr>
        <w:pStyle w:val="Tablenote"/>
        <w:rPr>
          <w:rFonts w:ascii="Arial" w:hAnsi="Arial" w:cs="Arial"/>
        </w:rPr>
      </w:pPr>
      <w:r w:rsidRPr="005309C6">
        <w:rPr>
          <w:rFonts w:ascii="Arial" w:hAnsi="Arial" w:cs="Arial"/>
        </w:rPr>
        <w:t>Source: Table compiled for this review</w:t>
      </w:r>
    </w:p>
    <w:p w:rsidR="00711D76" w:rsidRDefault="00711D76" w:rsidP="00121658">
      <w:pPr>
        <w:jc w:val="left"/>
        <w:sectPr w:rsidR="00711D76" w:rsidSect="00711D76">
          <w:footnotePr>
            <w:numFmt w:val="chicago"/>
          </w:footnotePr>
          <w:pgSz w:w="16838" w:h="11906" w:orient="landscape"/>
          <w:pgMar w:top="1440" w:right="1440" w:bottom="1440" w:left="1440" w:header="708" w:footer="708" w:gutter="0"/>
          <w:cols w:space="708"/>
          <w:titlePg/>
          <w:docGrid w:linePitch="360"/>
        </w:sectPr>
      </w:pPr>
    </w:p>
    <w:p w:rsidR="00533AB0" w:rsidRDefault="00533AB0" w:rsidP="00121658">
      <w:pPr>
        <w:pStyle w:val="Heading3"/>
        <w:jc w:val="left"/>
      </w:pPr>
      <w:bookmarkStart w:id="242" w:name="_Toc513107608"/>
      <w:r>
        <w:t>PAH diagnostic and monitoring recommendations</w:t>
      </w:r>
      <w:bookmarkEnd w:id="242"/>
    </w:p>
    <w:p w:rsidR="00533AB0" w:rsidRDefault="00533AB0" w:rsidP="00121658">
      <w:pPr>
        <w:pStyle w:val="Heading4"/>
        <w:jc w:val="left"/>
        <w:rPr>
          <w:rFonts w:eastAsiaTheme="minorEastAsia"/>
          <w:sz w:val="28"/>
          <w:szCs w:val="22"/>
          <w:lang w:eastAsia="en-AU"/>
        </w:rPr>
      </w:pPr>
      <w:bookmarkStart w:id="243" w:name="_Toc503811612"/>
      <w:bookmarkStart w:id="244" w:name="_Toc503800659"/>
      <w:r>
        <w:rPr>
          <w:rFonts w:eastAsiaTheme="minorEastAsia"/>
        </w:rPr>
        <w:t>Haemodynamic criteria, definition of response and monitoring requirements</w:t>
      </w:r>
      <w:bookmarkEnd w:id="243"/>
      <w:bookmarkEnd w:id="244"/>
    </w:p>
    <w:p w:rsidR="003C17FA" w:rsidRDefault="003C17FA" w:rsidP="00121658">
      <w:pPr>
        <w:pStyle w:val="Heading5"/>
        <w:jc w:val="left"/>
      </w:pPr>
      <w:r>
        <w:t>Current PBS requirement</w:t>
      </w:r>
    </w:p>
    <w:p w:rsidR="00C0071D" w:rsidRDefault="003C17FA" w:rsidP="005211F4">
      <w:pPr>
        <w:pStyle w:val="BodyTextnospacebefore"/>
      </w:pPr>
      <w:r>
        <w:t xml:space="preserve">Current diagnostic and monitoring criteria in the PBS restrictions are given in </w:t>
      </w:r>
      <w:r w:rsidR="00D63371">
        <w:t>Table 1.</w:t>
      </w:r>
      <w:r w:rsidR="00D63371">
        <w:rPr>
          <w:noProof/>
        </w:rPr>
        <w:t>19</w:t>
      </w:r>
      <w:r>
        <w:t xml:space="preserve"> along with comments regarding their currency compared with the guidelines. </w:t>
      </w:r>
      <w:r w:rsidR="00C0071D">
        <w:t>Key issues are discussed below – a small number of relatively minor issues are covered in the table alone</w:t>
      </w:r>
      <w:r w:rsidR="00496849">
        <w:t xml:space="preserve">. </w:t>
      </w:r>
    </w:p>
    <w:p w:rsidR="003C17FA" w:rsidRDefault="00C0071D" w:rsidP="005211F4">
      <w:pPr>
        <w:pStyle w:val="BodyTextnospacebefore"/>
      </w:pPr>
      <w:r>
        <w:t>Diagnostic recommendations</w:t>
      </w:r>
      <w:r w:rsidR="003C17FA">
        <w:t xml:space="preserve"> for</w:t>
      </w:r>
      <w:r>
        <w:t xml:space="preserve"> eligibility to receive</w:t>
      </w:r>
      <w:r w:rsidR="003C17FA">
        <w:t xml:space="preserve"> vasodilator therapy have been considered </w:t>
      </w:r>
      <w:r>
        <w:t xml:space="preserve">above, </w:t>
      </w:r>
      <w:r w:rsidR="003C17FA">
        <w:t>along with the treatment recommendations</w:t>
      </w:r>
      <w:r>
        <w:t xml:space="preserve"> for CCBs</w:t>
      </w:r>
      <w:r w:rsidR="003C17FA">
        <w:t xml:space="preserve"> (</w:t>
      </w:r>
      <w:r w:rsidR="00D63371">
        <w:t>Table 1.</w:t>
      </w:r>
      <w:r w:rsidR="00D63371">
        <w:rPr>
          <w:noProof/>
        </w:rPr>
        <w:t>18</w:t>
      </w:r>
      <w:r w:rsidR="003C17FA">
        <w:t xml:space="preserve">). </w:t>
      </w:r>
    </w:p>
    <w:p w:rsidR="003C17FA" w:rsidRPr="005211F4" w:rsidRDefault="003C17FA" w:rsidP="00121658">
      <w:pPr>
        <w:pStyle w:val="Heading5"/>
        <w:jc w:val="left"/>
        <w:rPr>
          <w:rFonts w:asciiTheme="minorHAnsi" w:hAnsiTheme="minorHAnsi"/>
        </w:rPr>
      </w:pPr>
      <w:r w:rsidRPr="005211F4">
        <w:rPr>
          <w:rFonts w:asciiTheme="minorHAnsi" w:hAnsiTheme="minorHAnsi"/>
        </w:rPr>
        <w:t>Guideline Recommendations</w:t>
      </w:r>
    </w:p>
    <w:p w:rsidR="003C17FA" w:rsidRDefault="003C17FA" w:rsidP="005211F4">
      <w:pPr>
        <w:pStyle w:val="BodyTextnospacebefore"/>
      </w:pPr>
      <w:r>
        <w:t>Guideline recommendations for diagnosis of PAH (</w:t>
      </w:r>
      <w:r w:rsidR="00D63371">
        <w:t>Table 1.</w:t>
      </w:r>
      <w:r w:rsidR="00D63371">
        <w:rPr>
          <w:noProof/>
        </w:rPr>
        <w:t>9</w:t>
      </w:r>
      <w:r>
        <w:t>) and monitoring of patients (</w:t>
      </w:r>
      <w:r w:rsidR="00D63371">
        <w:t>Table 1.</w:t>
      </w:r>
      <w:r w:rsidR="00D63371">
        <w:rPr>
          <w:noProof/>
        </w:rPr>
        <w:t>10</w:t>
      </w:r>
      <w:r>
        <w:t>) have been cross-reference</w:t>
      </w:r>
      <w:r w:rsidR="00C40AC4">
        <w:t>d</w:t>
      </w:r>
      <w:r>
        <w:t xml:space="preserve"> in the tables with the PBS restriction requirements. </w:t>
      </w:r>
    </w:p>
    <w:p w:rsidR="00533AB0" w:rsidRPr="00533AB0" w:rsidRDefault="00533AB0" w:rsidP="005211F4">
      <w:pPr>
        <w:pStyle w:val="BodyTextnospacebefore"/>
        <w:rPr>
          <w:rFonts w:eastAsiaTheme="minorHAnsi"/>
        </w:rPr>
      </w:pPr>
      <w:r w:rsidRPr="00533AB0">
        <w:t>The PAH restrictions contain diagnostic requirements that must be satisfied either to meet the definition of PAH, or the definition of response to treatment</w:t>
      </w:r>
      <w:r w:rsidR="00AC5B85">
        <w:t xml:space="preserve">. </w:t>
      </w:r>
      <w:r w:rsidR="00CA51FC">
        <w:t>A number of these</w:t>
      </w:r>
      <w:r w:rsidRPr="00533AB0">
        <w:t xml:space="preserve"> date </w:t>
      </w:r>
      <w:r w:rsidR="00C0071D">
        <w:t>from</w:t>
      </w:r>
      <w:r w:rsidRPr="00533AB0">
        <w:t xml:space="preserve"> the original listing of bosentan in March 2004</w:t>
      </w:r>
      <w:r w:rsidR="00183C38">
        <w:t>. S</w:t>
      </w:r>
      <w:r w:rsidRPr="00533AB0">
        <w:t>ome key values and terms have been updated in r</w:t>
      </w:r>
      <w:r w:rsidR="00183C38">
        <w:t>esponse to requests from PHSANZ;</w:t>
      </w:r>
      <w:r w:rsidRPr="00533AB0">
        <w:t xml:space="preserve"> others are unchanged since 2004</w:t>
      </w:r>
      <w:r w:rsidR="00AC5B85">
        <w:t xml:space="preserve">. </w:t>
      </w:r>
    </w:p>
    <w:p w:rsidR="00533AB0" w:rsidRPr="00533AB0" w:rsidRDefault="00533AB0" w:rsidP="005211F4">
      <w:pPr>
        <w:pStyle w:val="BodyTextnospacebefore"/>
      </w:pPr>
      <w:r w:rsidRPr="00381D5D">
        <w:t>A</w:t>
      </w:r>
      <w:r w:rsidR="00183C38" w:rsidRPr="00381D5D">
        <w:t xml:space="preserve"> </w:t>
      </w:r>
      <w:r w:rsidRPr="00381D5D">
        <w:t>minimum set of criteria</w:t>
      </w:r>
      <w:r w:rsidR="00B15FF7" w:rsidRPr="00381D5D">
        <w:t xml:space="preserve"> to determine treatment decisions (based on a synthesis of the guideline recommendations)</w:t>
      </w:r>
      <w:r w:rsidR="00027324" w:rsidRPr="00381D5D">
        <w:t xml:space="preserve"> is presented in the synthesis section</w:t>
      </w:r>
      <w:r w:rsidR="00C0071D" w:rsidRPr="00381D5D">
        <w:t>, noting that these are somewhat different to the three key tests required for access to PBS medicines</w:t>
      </w:r>
      <w:r w:rsidR="00496849" w:rsidRPr="00381D5D">
        <w:t>.</w:t>
      </w:r>
      <w:r w:rsidR="00496849">
        <w:t xml:space="preserve"> </w:t>
      </w:r>
    </w:p>
    <w:p w:rsidR="003C17FA" w:rsidRPr="005211F4" w:rsidRDefault="003C17FA" w:rsidP="00121658">
      <w:pPr>
        <w:pStyle w:val="Heading5"/>
        <w:jc w:val="left"/>
        <w:rPr>
          <w:rFonts w:asciiTheme="minorHAnsi" w:hAnsiTheme="minorHAnsi"/>
        </w:rPr>
      </w:pPr>
      <w:r w:rsidRPr="005211F4">
        <w:rPr>
          <w:rFonts w:asciiTheme="minorHAnsi" w:hAnsiTheme="minorHAnsi"/>
        </w:rPr>
        <w:t>Role of RHC and Echocardiography in PAH diagnosis</w:t>
      </w:r>
    </w:p>
    <w:p w:rsidR="002E4B66" w:rsidRPr="00533AB0" w:rsidRDefault="002E4B66" w:rsidP="005211F4">
      <w:pPr>
        <w:pStyle w:val="BodyTextnospacebefore"/>
      </w:pPr>
      <w:r w:rsidRPr="00F53D1B">
        <w:t>The guideline</w:t>
      </w:r>
      <w:r>
        <w:t>s</w:t>
      </w:r>
      <w:r w:rsidRPr="00F53D1B">
        <w:t xml:space="preserve"> recommend echocardiography, prior to RHC to establish a likelihood of PAH based on </w:t>
      </w:r>
      <w:r>
        <w:t>TRV</w:t>
      </w:r>
      <w:r w:rsidRPr="00F53D1B">
        <w:t xml:space="preserve"> and other factors suggestive of PAH</w:t>
      </w:r>
      <w:r>
        <w:t xml:space="preserve"> (</w:t>
      </w:r>
      <w:r w:rsidR="00D63371">
        <w:t>Table 1.</w:t>
      </w:r>
      <w:r w:rsidR="00D63371">
        <w:rPr>
          <w:noProof/>
        </w:rPr>
        <w:t>9</w:t>
      </w:r>
      <w:r w:rsidR="0014637C">
        <w:t>).</w:t>
      </w:r>
      <w:r>
        <w:t xml:space="preserve"> </w:t>
      </w:r>
      <w:r w:rsidR="0014637C">
        <w:t>It is</w:t>
      </w:r>
      <w:r w:rsidR="0014637C" w:rsidRPr="00533AB0">
        <w:t xml:space="preserve"> unlikely that RHC would be performed without first</w:t>
      </w:r>
      <w:r w:rsidR="0014637C">
        <w:t xml:space="preserve"> administering an echocardiograph</w:t>
      </w:r>
      <w:r w:rsidR="0014637C" w:rsidRPr="00533AB0">
        <w:t xml:space="preserve"> as an essential preliminary test to establish </w:t>
      </w:r>
      <w:r w:rsidR="0014637C">
        <w:t>whether RHC should be performed</w:t>
      </w:r>
      <w:r w:rsidR="0014637C" w:rsidRPr="00533AB0">
        <w:t xml:space="preserve"> and to determine parameters for measurement during RHC</w:t>
      </w:r>
      <w:r w:rsidR="0014637C">
        <w:t xml:space="preserve">. </w:t>
      </w:r>
      <w:r w:rsidRPr="00F53D1B">
        <w:t>RHC is then definitive for the diagnosis</w:t>
      </w:r>
      <w:r>
        <w:t xml:space="preserve"> and is used to measure a number of parameters in addition to the measuremen</w:t>
      </w:r>
      <w:r w:rsidR="002D7AC6">
        <w:t>t of PAP (such as mixed venous oxygen saturation</w:t>
      </w:r>
      <w:r w:rsidR="0003499D">
        <w:t xml:space="preserve"> (</w:t>
      </w:r>
      <w:r w:rsidR="0003499D" w:rsidRPr="0003499D">
        <w:rPr>
          <w:rFonts w:cs="Arial"/>
          <w:color w:val="000000"/>
          <w:szCs w:val="20"/>
        </w:rPr>
        <w:t>SvO</w:t>
      </w:r>
      <w:r w:rsidR="0003499D" w:rsidRPr="0003499D">
        <w:rPr>
          <w:rFonts w:cs="Arial"/>
          <w:color w:val="000000"/>
          <w:szCs w:val="20"/>
          <w:vertAlign w:val="subscript"/>
        </w:rPr>
        <w:t>2</w:t>
      </w:r>
      <w:r w:rsidR="0003499D">
        <w:t>)</w:t>
      </w:r>
      <w:r>
        <w:t>, cardiac output</w:t>
      </w:r>
      <w:r w:rsidR="0003499D">
        <w:t>,</w:t>
      </w:r>
      <w:r w:rsidR="0014637C">
        <w:t xml:space="preserve"> evidence of right ventricular deterioration</w:t>
      </w:r>
      <w:r>
        <w:t>) which provide a prognostic picture of the patient</w:t>
      </w:r>
      <w:r w:rsidR="003C17FA">
        <w:t xml:space="preserve">. </w:t>
      </w:r>
    </w:p>
    <w:p w:rsidR="002E4B66" w:rsidRDefault="00533AB0" w:rsidP="005211F4">
      <w:pPr>
        <w:pStyle w:val="BodyTextnospacebefore"/>
      </w:pPr>
      <w:r w:rsidRPr="00533AB0">
        <w:t>T</w:t>
      </w:r>
      <w:r w:rsidR="00B15FF7">
        <w:t xml:space="preserve">he current </w:t>
      </w:r>
      <w:r w:rsidR="002E4B66">
        <w:t xml:space="preserve">PAH </w:t>
      </w:r>
      <w:r w:rsidR="00B15FF7">
        <w:t>restrictions specify</w:t>
      </w:r>
      <w:r w:rsidRPr="00533AB0">
        <w:t xml:space="preserve"> RHC,</w:t>
      </w:r>
      <w:r w:rsidR="003C17FA">
        <w:t xml:space="preserve"> echoc</w:t>
      </w:r>
      <w:r w:rsidR="002E4B66">
        <w:t>ardiography</w:t>
      </w:r>
      <w:r w:rsidRPr="00533AB0">
        <w:t xml:space="preserve"> and </w:t>
      </w:r>
      <w:r w:rsidR="00C010DB">
        <w:t>6MWD</w:t>
      </w:r>
      <w:r w:rsidR="00B15FF7">
        <w:t xml:space="preserve"> as required </w:t>
      </w:r>
      <w:r w:rsidR="00A71B36">
        <w:t>assessments</w:t>
      </w:r>
      <w:r w:rsidR="0050286E">
        <w:t xml:space="preserve"> to establish the patient’s baseline measurements</w:t>
      </w:r>
      <w:r w:rsidR="00AC5B85">
        <w:t xml:space="preserve">. </w:t>
      </w:r>
      <w:r w:rsidRPr="00533AB0">
        <w:t xml:space="preserve">However only RHC is definitive for a PAH diagnosis – it should be conducted as the final test after all the </w:t>
      </w:r>
      <w:r w:rsidR="002F0F70">
        <w:t>non-invasive</w:t>
      </w:r>
      <w:r w:rsidRPr="00533AB0">
        <w:t xml:space="preserve"> assessment are complete</w:t>
      </w:r>
      <w:r w:rsidR="00AC5B85">
        <w:t xml:space="preserve">. </w:t>
      </w:r>
    </w:p>
    <w:p w:rsidR="00F33A44" w:rsidRDefault="00533AB0" w:rsidP="002D2A0A">
      <w:pPr>
        <w:pStyle w:val="BodyTextnospacebefore"/>
      </w:pPr>
      <w:r w:rsidRPr="00533AB0">
        <w:t xml:space="preserve">It is </w:t>
      </w:r>
      <w:r w:rsidR="00B15FF7">
        <w:t>unknown</w:t>
      </w:r>
      <w:r w:rsidRPr="00533AB0">
        <w:t xml:space="preserve"> how many Australian patients would be contraindicated for RHC such that an initial diagnostic RHC was unavailable. The PBS restrictions state that if RHC is not possible, the right ventricular systolic pressure (RVSP) should be estimated by echocardiography to be at least greater than 40 mmHg, with normal left ventricular function</w:t>
      </w:r>
      <w:r w:rsidR="00AC5B85">
        <w:t xml:space="preserve">. </w:t>
      </w:r>
      <w:r w:rsidRPr="00533AB0">
        <w:t xml:space="preserve">This alternative has been a feature of PAH restrictions since the original listing for bosentan in March 2004. </w:t>
      </w:r>
    </w:p>
    <w:p w:rsidR="00533AB0" w:rsidRPr="00533AB0" w:rsidRDefault="00533AB0" w:rsidP="002D2A0A">
      <w:pPr>
        <w:pStyle w:val="BodyTextnospacebefore"/>
      </w:pPr>
      <w:r w:rsidRPr="00533AB0">
        <w:t>This criterion is included in the 2009 AHA consensus statement as a criterion warranting further investigation (high suspicion of PAH</w:t>
      </w:r>
      <w:r w:rsidR="009C556B" w:rsidRPr="009C556B">
        <w:rPr>
          <w:noProof/>
          <w:vertAlign w:val="superscript"/>
        </w:rPr>
        <w:t>20</w:t>
      </w:r>
      <w:r w:rsidRPr="00533AB0">
        <w:t>) but it is not diagnostic of PAH and this criterion for decision-making is not reflected in any of the more recent guidelines</w:t>
      </w:r>
      <w:r w:rsidR="00AC5B85">
        <w:t xml:space="preserve">. </w:t>
      </w:r>
      <w:r w:rsidR="00F33A44">
        <w:t xml:space="preserve">In the past, RVSP was </w:t>
      </w:r>
      <w:r w:rsidR="00695D0F">
        <w:t xml:space="preserve">a surrogate </w:t>
      </w:r>
      <w:r w:rsidR="00F33A44">
        <w:t>used to estimate PASP</w:t>
      </w:r>
      <w:r w:rsidR="00F33A44" w:rsidRPr="00533AB0">
        <w:t xml:space="preserve"> (Pulmonary Artery Systolic Pressure</w:t>
      </w:r>
      <w:proofErr w:type="gramStart"/>
      <w:r w:rsidR="00F33A44" w:rsidRPr="00533AB0">
        <w:t>)</w:t>
      </w:r>
      <w:r w:rsidR="009C556B" w:rsidRPr="009C556B">
        <w:rPr>
          <w:noProof/>
          <w:vertAlign w:val="superscript"/>
        </w:rPr>
        <w:t>44</w:t>
      </w:r>
      <w:proofErr w:type="gramEnd"/>
      <w:r w:rsidR="00F33A44">
        <w:t xml:space="preserve"> as the two values were typically equivalent</w:t>
      </w:r>
      <w:r w:rsidR="009E2688">
        <w:t>,</w:t>
      </w:r>
      <w:r w:rsidR="00695D0F">
        <w:t xml:space="preserve"> noting that </w:t>
      </w:r>
      <w:proofErr w:type="spellStart"/>
      <w:r w:rsidR="00BC6BFD">
        <w:t>m</w:t>
      </w:r>
      <w:r w:rsidR="00695D0F">
        <w:t>PAP</w:t>
      </w:r>
      <w:proofErr w:type="spellEnd"/>
      <w:r w:rsidR="00695D0F">
        <w:t xml:space="preserve"> is</w:t>
      </w:r>
      <w:r w:rsidR="009E2688">
        <w:t xml:space="preserve"> a mean value</w:t>
      </w:r>
      <w:r w:rsidR="00695D0F">
        <w:t>, whereas PASP is at the peak</w:t>
      </w:r>
      <w:r w:rsidR="00496849">
        <w:t xml:space="preserve">. </w:t>
      </w:r>
    </w:p>
    <w:p w:rsidR="00533AB0" w:rsidRDefault="00F33A44" w:rsidP="002D2A0A">
      <w:pPr>
        <w:pStyle w:val="BodyTextnospacebefore"/>
        <w:rPr>
          <w:szCs w:val="22"/>
        </w:rPr>
      </w:pPr>
      <w:r>
        <w:t>However, t</w:t>
      </w:r>
      <w:r w:rsidR="00533AB0" w:rsidRPr="00533AB0">
        <w:t>he ESC/ERS guideline</w:t>
      </w:r>
      <w:r w:rsidR="009C556B" w:rsidRPr="00DC475B">
        <w:rPr>
          <w:noProof/>
          <w:vertAlign w:val="superscript"/>
        </w:rPr>
        <w:t>8</w:t>
      </w:r>
      <w:r w:rsidR="00533AB0" w:rsidRPr="00533AB0">
        <w:t xml:space="preserve"> recommends that the main variable measured by chest ECHO should be TRV and not the estimated PASP</w:t>
      </w:r>
      <w:r w:rsidR="00695D0F">
        <w:t>.</w:t>
      </w:r>
      <w:r w:rsidR="00533AB0" w:rsidRPr="00533AB0">
        <w:t xml:space="preserve"> </w:t>
      </w:r>
      <w:r>
        <w:t>TRV</w:t>
      </w:r>
      <w:r w:rsidR="00533AB0" w:rsidRPr="00533AB0">
        <w:t xml:space="preserve"> should</w:t>
      </w:r>
      <w:r w:rsidR="00695D0F">
        <w:t xml:space="preserve"> instead</w:t>
      </w:r>
      <w:r w:rsidR="00533AB0" w:rsidRPr="00533AB0">
        <w:t xml:space="preserve"> be used for assigning the echocardiographic probability of PH</w:t>
      </w:r>
      <w:r w:rsidR="00AC5B85">
        <w:t xml:space="preserve">. </w:t>
      </w:r>
      <w:r w:rsidR="00533AB0" w:rsidRPr="00533AB0">
        <w:t xml:space="preserve">A recommendation for </w:t>
      </w:r>
      <w:r>
        <w:t>either of these parameters</w:t>
      </w:r>
      <w:r w:rsidR="00533AB0" w:rsidRPr="00533AB0">
        <w:t xml:space="preserve"> on echocardiography as diagnostic of PAH was not found in any of the supporting guidelines on imaging. The current ESC/ERS guidelines recommend measurement of peak TRV and </w:t>
      </w:r>
      <w:r w:rsidR="003C17FA">
        <w:t xml:space="preserve">other </w:t>
      </w:r>
      <w:r w:rsidR="003C17FA" w:rsidRPr="000E773E">
        <w:rPr>
          <w:szCs w:val="22"/>
        </w:rPr>
        <w:t>factors suggestive of PAH</w:t>
      </w:r>
      <w:r w:rsidR="00533AB0" w:rsidRPr="000E773E">
        <w:rPr>
          <w:szCs w:val="22"/>
        </w:rPr>
        <w:t xml:space="preserve"> </w:t>
      </w:r>
      <w:r w:rsidR="000E773E" w:rsidRPr="000E773E">
        <w:rPr>
          <w:szCs w:val="22"/>
        </w:rPr>
        <w:t xml:space="preserve">(see </w:t>
      </w:r>
      <w:r w:rsidR="00D63371">
        <w:t>Table 1.</w:t>
      </w:r>
      <w:r w:rsidR="00D63371">
        <w:rPr>
          <w:noProof/>
        </w:rPr>
        <w:t>9</w:t>
      </w:r>
      <w:r w:rsidR="000E773E" w:rsidRPr="000E773E">
        <w:rPr>
          <w:rFonts w:cstheme="minorHAnsi"/>
          <w:szCs w:val="22"/>
        </w:rPr>
        <w:t xml:space="preserve">) </w:t>
      </w:r>
      <w:r w:rsidR="00533AB0" w:rsidRPr="000E773E">
        <w:rPr>
          <w:szCs w:val="22"/>
        </w:rPr>
        <w:t>as the key haemodyn</w:t>
      </w:r>
      <w:r w:rsidR="00AC5B85" w:rsidRPr="000E773E">
        <w:rPr>
          <w:szCs w:val="22"/>
        </w:rPr>
        <w:t xml:space="preserve">amic variable predictive of PAH. </w:t>
      </w:r>
    </w:p>
    <w:p w:rsidR="00F24DA7" w:rsidRPr="000E773E" w:rsidRDefault="00F24DA7" w:rsidP="002D2A0A">
      <w:pPr>
        <w:pStyle w:val="BodyTextnospacebefore"/>
      </w:pPr>
      <w:bookmarkStart w:id="245" w:name="_Ref506202968"/>
      <w:r>
        <w:t>This report has not considered other means of imaging. Magnetic resonance imaging (cardiac MRI) may be informative in diagnosis and assessment of PAH patients, but it is not among the principle recommended methods (nor is it subsidised through Medica</w:t>
      </w:r>
      <w:r w:rsidR="00A705D5">
        <w:t>re for this use in Australia).</w:t>
      </w:r>
    </w:p>
    <w:p w:rsidR="00C6661C" w:rsidRPr="002D2A0A" w:rsidRDefault="003C17FA" w:rsidP="00121658">
      <w:pPr>
        <w:pStyle w:val="Heading5"/>
        <w:jc w:val="left"/>
        <w:rPr>
          <w:rFonts w:asciiTheme="minorHAnsi" w:eastAsiaTheme="minorEastAsia" w:hAnsiTheme="minorHAnsi"/>
          <w:sz w:val="28"/>
          <w:szCs w:val="22"/>
          <w:lang w:eastAsia="en-AU"/>
        </w:rPr>
      </w:pPr>
      <w:r w:rsidRPr="002D2A0A">
        <w:rPr>
          <w:rFonts w:asciiTheme="minorHAnsi" w:eastAsiaTheme="minorEastAsia" w:hAnsiTheme="minorHAnsi"/>
        </w:rPr>
        <w:t xml:space="preserve">Role of </w:t>
      </w:r>
      <w:r w:rsidR="00C6661C" w:rsidRPr="002D2A0A">
        <w:rPr>
          <w:rFonts w:asciiTheme="minorHAnsi" w:eastAsiaTheme="minorEastAsia" w:hAnsiTheme="minorHAnsi"/>
        </w:rPr>
        <w:t>6MWD</w:t>
      </w:r>
      <w:r w:rsidRPr="002D2A0A">
        <w:rPr>
          <w:rFonts w:asciiTheme="minorHAnsi" w:eastAsiaTheme="minorEastAsia" w:hAnsiTheme="minorHAnsi"/>
        </w:rPr>
        <w:t xml:space="preserve"> in PAH diagnosis and monitoring</w:t>
      </w:r>
      <w:bookmarkEnd w:id="245"/>
    </w:p>
    <w:p w:rsidR="003C17FA" w:rsidRPr="00533AB0" w:rsidRDefault="003C17FA" w:rsidP="002D2A0A">
      <w:pPr>
        <w:pStyle w:val="BodyTextnospacebefore"/>
      </w:pPr>
      <w:r w:rsidRPr="002E4B66">
        <w:t>The 6MWD as a measure of exercise capacity is considered a useful prognostic test both at baseline and for monitoring. It is recommended as one of a suite of factors that should be monitored during the patient’s treatment</w:t>
      </w:r>
      <w:r w:rsidR="002F0F70">
        <w:t xml:space="preserve">, however there is no </w:t>
      </w:r>
      <w:r w:rsidR="00027324">
        <w:t>absolute distance</w:t>
      </w:r>
      <w:r w:rsidR="002F0F70">
        <w:t xml:space="preserve"> that is applicable for all patients</w:t>
      </w:r>
      <w:r w:rsidR="009C556B" w:rsidRPr="00DC475B">
        <w:rPr>
          <w:noProof/>
          <w:vertAlign w:val="superscript"/>
        </w:rPr>
        <w:t>8</w:t>
      </w:r>
      <w:r>
        <w:t xml:space="preserve"> (</w:t>
      </w:r>
      <w:r w:rsidR="00D63371">
        <w:t>Table 1.</w:t>
      </w:r>
      <w:r w:rsidR="00D63371">
        <w:rPr>
          <w:noProof/>
        </w:rPr>
        <w:t>10</w:t>
      </w:r>
      <w:r>
        <w:t>)</w:t>
      </w:r>
      <w:r w:rsidRPr="002E4B66">
        <w:t>. The prominence in the PAH restriction may reflect the importance of 6MWD as an endpoint in clinical trial data at the time. If 6MWD is not administered, another measure of exercise capacity should be obtained – CPET (Cardiopulmonary Exercise Testing) can substitute for 6MWD according to guidelines. There are many other tests and test parameters that are equally informative but that are not cited in the restrictions (BNP or NT-</w:t>
      </w:r>
      <w:proofErr w:type="spellStart"/>
      <w:r w:rsidRPr="002E4B66">
        <w:t>proBNP</w:t>
      </w:r>
      <w:proofErr w:type="spellEnd"/>
      <w:r w:rsidRPr="002E4B66">
        <w:t>, blood gases; dyspnoea score, cardiac output</w:t>
      </w:r>
      <w:r w:rsidR="000E773E">
        <w:t>)</w:t>
      </w:r>
      <w:r w:rsidRPr="002E4B66">
        <w:t xml:space="preserve"> some of these may also be measured during RHC. </w:t>
      </w:r>
    </w:p>
    <w:p w:rsidR="003C17FA" w:rsidRPr="00533AB0" w:rsidRDefault="003C17FA" w:rsidP="002D2A0A">
      <w:pPr>
        <w:pStyle w:val="BodyTextnospacebefore"/>
      </w:pPr>
      <w:proofErr w:type="spellStart"/>
      <w:r>
        <w:t>B</w:t>
      </w:r>
      <w:r w:rsidRPr="00533AB0">
        <w:t>agga</w:t>
      </w:r>
      <w:proofErr w:type="spellEnd"/>
      <w:r w:rsidRPr="00533AB0">
        <w:t xml:space="preserve"> </w:t>
      </w:r>
      <w:proofErr w:type="gramStart"/>
      <w:r w:rsidRPr="00533AB0">
        <w:rPr>
          <w:i/>
        </w:rPr>
        <w:t>et</w:t>
      </w:r>
      <w:proofErr w:type="gramEnd"/>
      <w:r w:rsidRPr="00533AB0">
        <w:rPr>
          <w:i/>
        </w:rPr>
        <w:t xml:space="preserve"> al</w:t>
      </w:r>
      <w:r w:rsidR="009C556B" w:rsidRPr="009C556B">
        <w:rPr>
          <w:noProof/>
          <w:vertAlign w:val="superscript"/>
        </w:rPr>
        <w:t>38</w:t>
      </w:r>
      <w:r w:rsidRPr="00533AB0">
        <w:t xml:space="preserve"> </w:t>
      </w:r>
      <w:r>
        <w:t>observed</w:t>
      </w:r>
      <w:r w:rsidRPr="00533AB0">
        <w:t xml:space="preserve"> that “ongoing PBS-subsidized supply of medication is dependent on a less than 20% deterioration in 6MWD and PAP on transthoracic echocardiography”. This information was reportedly specified in the then Medicare PAH Physician’s Guide which is no longer available</w:t>
      </w:r>
      <w:r>
        <w:t xml:space="preserve"> and DHS has confirmed that such a document is no longer in use. DHS stated that it is up to the prescriber to justify their assessment of the patient’s status. </w:t>
      </w:r>
    </w:p>
    <w:p w:rsidR="00C6661C" w:rsidRPr="00533AB0" w:rsidRDefault="00C6661C" w:rsidP="002D2A0A">
      <w:pPr>
        <w:pStyle w:val="BodyTextnospacebefore"/>
      </w:pPr>
      <w:r w:rsidRPr="00533AB0">
        <w:t>In children, the 6MWD is still recommended at baseline but as a point of comparison for monitoring and follow-up</w:t>
      </w:r>
      <w:r w:rsidR="009C556B" w:rsidRPr="009C556B">
        <w:rPr>
          <w:noProof/>
          <w:vertAlign w:val="superscript"/>
        </w:rPr>
        <w:t>8</w:t>
      </w:r>
      <w:r w:rsidR="003B01AE">
        <w:rPr>
          <w:noProof/>
          <w:vertAlign w:val="superscript"/>
        </w:rPr>
        <w:t>,</w:t>
      </w:r>
      <w:r w:rsidR="009C556B" w:rsidRPr="009C556B">
        <w:rPr>
          <w:noProof/>
          <w:vertAlign w:val="superscript"/>
        </w:rPr>
        <w:t>23</w:t>
      </w:r>
      <w:r w:rsidRPr="00533AB0">
        <w:t>. Children generally walk further than adults on the test and the distance ranges quoted for adults in low versus high risk categories for this outcome are not considered relevant for children</w:t>
      </w:r>
      <w:r w:rsidR="00AC5B85">
        <w:t xml:space="preserve">. </w:t>
      </w:r>
      <w:r w:rsidRPr="00533AB0">
        <w:t xml:space="preserve">As such 6MWD is not a prognostic factor for children, but </w:t>
      </w:r>
      <w:r w:rsidR="003C17FA">
        <w:t xml:space="preserve">in older children </w:t>
      </w:r>
      <w:r w:rsidRPr="00533AB0">
        <w:t>it can be used to assess changes in exercise tolerance over time</w:t>
      </w:r>
      <w:r w:rsidR="00AC5B85">
        <w:t xml:space="preserve">. </w:t>
      </w:r>
    </w:p>
    <w:p w:rsidR="00C6661C" w:rsidRDefault="00C6661C" w:rsidP="00121658">
      <w:pPr>
        <w:pStyle w:val="Heading3"/>
        <w:jc w:val="left"/>
      </w:pPr>
      <w:bookmarkStart w:id="246" w:name="_Toc513107609"/>
      <w:r>
        <w:t>Other issues</w:t>
      </w:r>
      <w:bookmarkEnd w:id="246"/>
    </w:p>
    <w:p w:rsidR="00C6661C" w:rsidRDefault="00C6661C" w:rsidP="00121658">
      <w:pPr>
        <w:pStyle w:val="Heading4"/>
        <w:jc w:val="left"/>
        <w:rPr>
          <w:rFonts w:eastAsiaTheme="minorEastAsia"/>
          <w:sz w:val="28"/>
          <w:szCs w:val="22"/>
          <w:lang w:eastAsia="en-AU"/>
        </w:rPr>
      </w:pPr>
      <w:bookmarkStart w:id="247" w:name="_Ref506187851"/>
      <w:r>
        <w:rPr>
          <w:rFonts w:eastAsiaTheme="minorEastAsia"/>
        </w:rPr>
        <w:t>Treatment setting and PAH treatment centres</w:t>
      </w:r>
      <w:bookmarkEnd w:id="247"/>
    </w:p>
    <w:p w:rsidR="00C6661C" w:rsidRPr="002D2A0A" w:rsidRDefault="00C6661C" w:rsidP="00121658">
      <w:pPr>
        <w:pStyle w:val="Heading5"/>
        <w:jc w:val="left"/>
        <w:rPr>
          <w:rFonts w:asciiTheme="minorHAnsi" w:hAnsiTheme="minorHAnsi"/>
        </w:rPr>
      </w:pPr>
      <w:r w:rsidRPr="002D2A0A">
        <w:rPr>
          <w:rFonts w:asciiTheme="minorHAnsi" w:hAnsiTheme="minorHAnsi"/>
        </w:rPr>
        <w:t>Current PBS requirement</w:t>
      </w:r>
    </w:p>
    <w:p w:rsidR="00C6661C" w:rsidRDefault="00C6661C" w:rsidP="002D2A0A">
      <w:pPr>
        <w:pStyle w:val="BodyTextnospacebefore"/>
      </w:pPr>
      <w:r>
        <w:t>PAH drugs may only be prescribed within the hospital system and the specific hospital must be one of the designated hospitals accepted by DHS for PAH prescribing</w:t>
      </w:r>
      <w:r w:rsidR="00AC5B85">
        <w:t xml:space="preserve">. </w:t>
      </w:r>
      <w:r>
        <w:t>As of January 2018, 61</w:t>
      </w:r>
      <w:r w:rsidRPr="00C6661C">
        <w:t xml:space="preserve"> centres </w:t>
      </w:r>
      <w:r>
        <w:t>we</w:t>
      </w:r>
      <w:r w:rsidRPr="00C6661C">
        <w:t xml:space="preserve">re included in the </w:t>
      </w:r>
      <w:r>
        <w:t xml:space="preserve">DHS </w:t>
      </w:r>
      <w:r w:rsidRPr="00C6661C">
        <w:t>list of designated hospitals. The centres represent both public and private hospitals</w:t>
      </w:r>
      <w:r w:rsidR="00AC5B85">
        <w:t xml:space="preserve">. </w:t>
      </w:r>
    </w:p>
    <w:p w:rsidR="00C6661C" w:rsidRPr="00533AB0" w:rsidRDefault="00C6661C" w:rsidP="002D2A0A">
      <w:pPr>
        <w:pStyle w:val="BodyTextnospacebefore"/>
      </w:pPr>
      <w:r w:rsidRPr="00C6661C">
        <w:t xml:space="preserve">Unlike some other s100 HSD complex authority required drugs, the prescriber specialties are not explicit. </w:t>
      </w:r>
      <w:r>
        <w:t>G</w:t>
      </w:r>
      <w:r w:rsidRPr="00C6661C">
        <w:t xml:space="preserve">iven s100 HSD items are ‘hospital only’ listings, this excludes general practitioners. </w:t>
      </w:r>
    </w:p>
    <w:p w:rsidR="00C6661C" w:rsidRPr="002D2A0A" w:rsidRDefault="00C6661C" w:rsidP="00121658">
      <w:pPr>
        <w:pStyle w:val="Heading5"/>
        <w:jc w:val="left"/>
        <w:rPr>
          <w:rFonts w:asciiTheme="minorHAnsi" w:hAnsiTheme="minorHAnsi"/>
        </w:rPr>
      </w:pPr>
      <w:r w:rsidRPr="002D2A0A">
        <w:rPr>
          <w:rFonts w:asciiTheme="minorHAnsi" w:hAnsiTheme="minorHAnsi"/>
        </w:rPr>
        <w:t>Guideline recommendations</w:t>
      </w:r>
    </w:p>
    <w:p w:rsidR="00C6661C" w:rsidRPr="00C6661C" w:rsidRDefault="00364153" w:rsidP="002D2A0A">
      <w:pPr>
        <w:pStyle w:val="BodyTextnospacebefore"/>
      </w:pPr>
      <w:r>
        <w:t>Recommendations for staff, facilities and numbers of patients seen per year for PAH treatme</w:t>
      </w:r>
      <w:r w:rsidR="001266C7">
        <w:t xml:space="preserve">nt centres are given in Section </w:t>
      </w:r>
      <w:r w:rsidR="00D63371" w:rsidRPr="00D63371">
        <w:rPr>
          <w:i/>
        </w:rPr>
        <w:t>PAH treatment centres</w:t>
      </w:r>
      <w:r w:rsidR="003C17FA">
        <w:t xml:space="preserve">. </w:t>
      </w:r>
      <w:r w:rsidR="00C6661C" w:rsidRPr="00C6661C">
        <w:t xml:space="preserve">It is not known whether these objectives are achievable for regional and rural centres in </w:t>
      </w:r>
      <w:proofErr w:type="gramStart"/>
      <w:r w:rsidR="00C6661C" w:rsidRPr="00C6661C">
        <w:t>Australia,</w:t>
      </w:r>
      <w:proofErr w:type="gramEnd"/>
      <w:r w:rsidR="00C6661C" w:rsidRPr="00C6661C">
        <w:t xml:space="preserve"> however it would be more likely that a tertiary referral centre in the capital cities could meet these criteria</w:t>
      </w:r>
      <w:r w:rsidR="00AC5B85">
        <w:t xml:space="preserve">. </w:t>
      </w:r>
    </w:p>
    <w:p w:rsidR="00C6661C" w:rsidRPr="00C6661C" w:rsidRDefault="00C6661C" w:rsidP="002D2A0A">
      <w:pPr>
        <w:pStyle w:val="BodyTextnospacebefore"/>
      </w:pPr>
      <w:r w:rsidRPr="00C6661C">
        <w:t>This is a much larger number than would be expected even allowing for geographical constraints and equity of access concerns</w:t>
      </w:r>
      <w:r w:rsidR="00AC5B85">
        <w:t xml:space="preserve">. </w:t>
      </w:r>
      <w:r w:rsidRPr="00C6661C">
        <w:t>Numbers of PAH centres are much lower in other countries such as the United Kingdom (eight) and Ireland (one</w:t>
      </w:r>
      <w:proofErr w:type="gramStart"/>
      <w:r w:rsidRPr="00C6661C">
        <w:t>)</w:t>
      </w:r>
      <w:r w:rsidR="009C556B" w:rsidRPr="009C556B">
        <w:rPr>
          <w:noProof/>
          <w:vertAlign w:val="superscript"/>
        </w:rPr>
        <w:t>45</w:t>
      </w:r>
      <w:proofErr w:type="gramEnd"/>
      <w:r w:rsidRPr="00C6661C">
        <w:t>; Sweden (eight)</w:t>
      </w:r>
      <w:r w:rsidR="009C556B" w:rsidRPr="009C556B">
        <w:rPr>
          <w:noProof/>
          <w:vertAlign w:val="superscript"/>
        </w:rPr>
        <w:t>46</w:t>
      </w:r>
      <w:r w:rsidRPr="00C6661C">
        <w:t xml:space="preserve"> and Canada (16 PAH centres plus four for paediatric patients)</w:t>
      </w:r>
      <w:r w:rsidR="009C556B" w:rsidRPr="009C556B">
        <w:rPr>
          <w:noProof/>
          <w:vertAlign w:val="superscript"/>
        </w:rPr>
        <w:t>47</w:t>
      </w:r>
      <w:r w:rsidRPr="00C6661C">
        <w:t xml:space="preserve">. </w:t>
      </w:r>
    </w:p>
    <w:p w:rsidR="00C6661C" w:rsidRPr="00C6661C" w:rsidRDefault="00C6661C" w:rsidP="002D2A0A">
      <w:pPr>
        <w:pStyle w:val="BodyTextnospacebefore"/>
      </w:pPr>
      <w:r w:rsidRPr="00C6661C">
        <w:t xml:space="preserve">Although figures of PAH patients treated per designated hospital per year were not available for this review, it </w:t>
      </w:r>
      <w:r w:rsidR="002876D0">
        <w:t>is not consistent with PAH epidemiology</w:t>
      </w:r>
      <w:r w:rsidRPr="00C6661C">
        <w:t xml:space="preserve"> that these centres </w:t>
      </w:r>
      <w:r w:rsidR="002876D0">
        <w:t>would all</w:t>
      </w:r>
      <w:r w:rsidRPr="00C6661C">
        <w:t xml:space="preserve"> be seeing the number of patients to meet </w:t>
      </w:r>
      <w:r w:rsidRPr="002D2A0A">
        <w:t>international</w:t>
      </w:r>
      <w:r w:rsidRPr="00C6661C">
        <w:t xml:space="preserve"> guidance of a minimum 300 referred patients (including 50 paediatric patients) per centre per year in order to maintain expertise in PAH diagnosis, care and prescribi</w:t>
      </w:r>
      <w:r w:rsidR="00364153">
        <w:t>ng practices</w:t>
      </w:r>
      <w:r w:rsidR="00AC5B85">
        <w:t xml:space="preserve">. </w:t>
      </w:r>
      <w:r w:rsidRPr="00C6661C">
        <w:t>Furthermore, recommendations for RHC, vasoreactivity testing and other invasive procedures and imaging are predicated on these being performed in expert tertiary referral centres, focused on PH/PAH care, and seeing the specified minimum number of patients per month to maintain a core of expertise such that any complications leading to morbidity and mortality are within the ranges outlined in international guidelines</w:t>
      </w:r>
      <w:r w:rsidR="00AC5B85">
        <w:t xml:space="preserve">. </w:t>
      </w:r>
    </w:p>
    <w:p w:rsidR="00C6661C" w:rsidRPr="00C6661C" w:rsidRDefault="00C6661C" w:rsidP="002D2A0A">
      <w:pPr>
        <w:pStyle w:val="BodyTextnospacebefore"/>
      </w:pPr>
      <w:r w:rsidRPr="00C6661C">
        <w:t>The current list of DHS designated centres does not identify which centres are outpatient clinics that see some PAH patients</w:t>
      </w:r>
      <w:r>
        <w:t xml:space="preserve"> as a small portion of their total intake</w:t>
      </w:r>
      <w:r w:rsidRPr="00C6661C">
        <w:t xml:space="preserve"> and those that are tertiary referral centres that specialise in PAH and related conditions</w:t>
      </w:r>
      <w:r w:rsidR="00AC5B85">
        <w:t xml:space="preserve">. </w:t>
      </w:r>
    </w:p>
    <w:p w:rsidR="00C6661C" w:rsidRPr="00C6661C" w:rsidRDefault="00C6661C" w:rsidP="002D2A0A">
      <w:pPr>
        <w:pStyle w:val="BodyTextnospacebefore"/>
      </w:pPr>
      <w:r w:rsidRPr="00C6661C">
        <w:t xml:space="preserve">In submissions to this post-market review, both PHSANZ and TSANZ comment that what constitutes a designated centre would benefit from review. </w:t>
      </w:r>
    </w:p>
    <w:p w:rsidR="00C6661C" w:rsidRDefault="00C6661C" w:rsidP="002D2A0A">
      <w:pPr>
        <w:pStyle w:val="BodyTextnospacebefore"/>
      </w:pPr>
      <w:r w:rsidRPr="00C6661C">
        <w:t>The websites for both the Pulmonary Hypertension Association of Australia and the Pulmonary Hypertension Network Australia differentiate between PH specialist or treatment centres on the one hand and ‘prescribing centres’ on the other</w:t>
      </w:r>
      <w:r w:rsidR="00AC5B85">
        <w:t xml:space="preserve">. </w:t>
      </w:r>
      <w:r w:rsidRPr="00C6661C">
        <w:t>Both websites provide the DHS list of designated hospitals (the prescribing centres) as a list separate to the much smaller list of centres in which patients can receive PH treatment</w:t>
      </w:r>
      <w:r w:rsidR="009C556B" w:rsidRPr="009C556B">
        <w:rPr>
          <w:noProof/>
          <w:vertAlign w:val="superscript"/>
        </w:rPr>
        <w:t>48-50</w:t>
      </w:r>
      <w:r w:rsidR="00AC5B85">
        <w:t xml:space="preserve">. </w:t>
      </w:r>
      <w:r w:rsidRPr="00C6661C">
        <w:t xml:space="preserve">This would benefit from feedback from these and other relevant organisations </w:t>
      </w:r>
      <w:r w:rsidR="0014637C">
        <w:t>in case this information is in</w:t>
      </w:r>
      <w:r w:rsidRPr="00C6661C">
        <w:t xml:space="preserve">complete, or </w:t>
      </w:r>
      <w:r w:rsidR="0014637C">
        <w:t xml:space="preserve">out of </w:t>
      </w:r>
      <w:r w:rsidRPr="00C6661C">
        <w:t xml:space="preserve">date. </w:t>
      </w:r>
    </w:p>
    <w:p w:rsidR="00C6661C" w:rsidRPr="00C6661C" w:rsidRDefault="00B92ADC" w:rsidP="002D2A0A">
      <w:pPr>
        <w:pStyle w:val="BodyTextnospacebefore"/>
      </w:pPr>
      <w:r>
        <w:t xml:space="preserve">No information on </w:t>
      </w:r>
      <w:r w:rsidR="00412B24">
        <w:t>PAH patient</w:t>
      </w:r>
      <w:r w:rsidR="000E773E">
        <w:t xml:space="preserve"> number</w:t>
      </w:r>
      <w:r w:rsidR="00412B24">
        <w:t xml:space="preserve">s or PBS prescriptions </w:t>
      </w:r>
      <w:r>
        <w:t>per desi</w:t>
      </w:r>
      <w:r w:rsidR="00CD0B52">
        <w:t xml:space="preserve">gnated hospital was available. </w:t>
      </w:r>
      <w:r>
        <w:t xml:space="preserve">DHS confirmed that the </w:t>
      </w:r>
      <w:proofErr w:type="gramStart"/>
      <w:r>
        <w:t>criteria for designation includes</w:t>
      </w:r>
      <w:proofErr w:type="gramEnd"/>
      <w:r>
        <w:t xml:space="preserve"> access to or affiliation with another centre that provides cardiac catheterisation. </w:t>
      </w:r>
      <w:r w:rsidR="00C6661C" w:rsidRPr="00C6661C">
        <w:t>T</w:t>
      </w:r>
      <w:r>
        <w:t>here wa</w:t>
      </w:r>
      <w:r w:rsidR="00C6661C" w:rsidRPr="00C6661C">
        <w:t>s no information available to determine if the centres in the DHS list are meeting the current guidance on numbers of patients referred and treated per centre per year (including paediatric patients)</w:t>
      </w:r>
      <w:r>
        <w:t>, or numbers of RHC procedures</w:t>
      </w:r>
      <w:r w:rsidR="00AC5B85">
        <w:t xml:space="preserve">. </w:t>
      </w:r>
    </w:p>
    <w:p w:rsidR="00C6661C" w:rsidRDefault="00C6661C" w:rsidP="00121658">
      <w:pPr>
        <w:pStyle w:val="Heading4"/>
        <w:jc w:val="left"/>
        <w:rPr>
          <w:rFonts w:eastAsiaTheme="minorEastAsia"/>
          <w:sz w:val="28"/>
          <w:szCs w:val="22"/>
          <w:lang w:eastAsia="en-AU"/>
        </w:rPr>
      </w:pPr>
      <w:bookmarkStart w:id="248" w:name="_Ref506172685"/>
      <w:r>
        <w:rPr>
          <w:rFonts w:eastAsiaTheme="minorEastAsia"/>
        </w:rPr>
        <w:t>PAH classification and terminology</w:t>
      </w:r>
      <w:bookmarkEnd w:id="248"/>
    </w:p>
    <w:p w:rsidR="00C6661C" w:rsidRPr="002D2A0A" w:rsidRDefault="00C6661C" w:rsidP="00121658">
      <w:pPr>
        <w:pStyle w:val="Heading5"/>
        <w:jc w:val="left"/>
        <w:rPr>
          <w:rFonts w:asciiTheme="minorHAnsi" w:hAnsiTheme="minorHAnsi"/>
        </w:rPr>
      </w:pPr>
      <w:r w:rsidRPr="002D2A0A">
        <w:rPr>
          <w:rFonts w:asciiTheme="minorHAnsi" w:hAnsiTheme="minorHAnsi"/>
        </w:rPr>
        <w:t>Current PBS requirement</w:t>
      </w:r>
    </w:p>
    <w:p w:rsidR="00C6661C" w:rsidRPr="006314DA" w:rsidRDefault="00C6661C" w:rsidP="00921D13">
      <w:pPr>
        <w:pStyle w:val="08Bulletsseriesofsentences"/>
      </w:pPr>
      <w:r w:rsidRPr="006314DA">
        <w:t>The different PAH subtypes specified in the current PBS restrictions</w:t>
      </w:r>
      <w:r w:rsidR="004A5E1C" w:rsidRPr="006314DA">
        <w:t xml:space="preserve"> (see Background, in</w:t>
      </w:r>
      <w:r w:rsidR="00AD53F0" w:rsidRPr="006314DA">
        <w:t xml:space="preserve"> </w:t>
      </w:r>
      <w:r w:rsidR="00D63371">
        <w:t>Table B.6</w:t>
      </w:r>
      <w:r w:rsidR="004A5E1C" w:rsidRPr="006314DA">
        <w:t>) are:</w:t>
      </w:r>
    </w:p>
    <w:p w:rsidR="00C6661C" w:rsidRDefault="00C6661C" w:rsidP="00921D13">
      <w:pPr>
        <w:pStyle w:val="08Bulletsseriesofsentences"/>
      </w:pPr>
      <w:r w:rsidRPr="00C6661C">
        <w:t>Idiopathic p</w:t>
      </w:r>
      <w:r>
        <w:t>ulmonary arterial hypertension</w:t>
      </w:r>
    </w:p>
    <w:p w:rsidR="00C6661C" w:rsidRDefault="00C6661C" w:rsidP="00921D13">
      <w:pPr>
        <w:pStyle w:val="08Bulletsseriesofsentences"/>
      </w:pPr>
      <w:r>
        <w:t>A</w:t>
      </w:r>
      <w:r w:rsidRPr="00C6661C">
        <w:t>norexigen-induced p</w:t>
      </w:r>
      <w:r>
        <w:t>ulmonary arterial hypertension</w:t>
      </w:r>
    </w:p>
    <w:p w:rsidR="00C6661C" w:rsidRDefault="00C6661C" w:rsidP="00921D13">
      <w:pPr>
        <w:pStyle w:val="08Bulletsseriesofsentences"/>
      </w:pPr>
      <w:r>
        <w:t>H</w:t>
      </w:r>
      <w:r w:rsidRPr="00C6661C">
        <w:t>ereditable p</w:t>
      </w:r>
      <w:r>
        <w:t>ulmonary arterial hypertension</w:t>
      </w:r>
    </w:p>
    <w:p w:rsidR="00C6661C" w:rsidRDefault="00C6661C" w:rsidP="00921D13">
      <w:pPr>
        <w:pStyle w:val="08Bulletsseriesofsentences"/>
      </w:pPr>
      <w:r>
        <w:t>D</w:t>
      </w:r>
      <w:r w:rsidRPr="00C6661C">
        <w:t>rug-induced p</w:t>
      </w:r>
      <w:r>
        <w:t>ulmonary arterial hypertension</w:t>
      </w:r>
    </w:p>
    <w:p w:rsidR="00C6661C" w:rsidRDefault="00C6661C" w:rsidP="00921D13">
      <w:pPr>
        <w:pStyle w:val="08Bulletsseriesofsentences"/>
      </w:pPr>
      <w:r>
        <w:t>P</w:t>
      </w:r>
      <w:r w:rsidRPr="00C6661C">
        <w:t>ulmonary arterial hypertension secondary to connective tissue d</w:t>
      </w:r>
      <w:r>
        <w:t>isease including scleroderma</w:t>
      </w:r>
    </w:p>
    <w:p w:rsidR="00C6661C" w:rsidRDefault="00C6661C" w:rsidP="00921D13">
      <w:pPr>
        <w:pStyle w:val="08Bulletsseriesofsentences"/>
      </w:pPr>
      <w:r>
        <w:t>P</w:t>
      </w:r>
      <w:r w:rsidRPr="00C6661C">
        <w:t xml:space="preserve">ulmonary arterial hypertension associated with a congenital systemic-to-pulmonary shunt (including </w:t>
      </w:r>
      <w:proofErr w:type="spellStart"/>
      <w:r w:rsidRPr="00C6661C">
        <w:t>Eisenmenger's</w:t>
      </w:r>
      <w:proofErr w:type="spellEnd"/>
      <w:r w:rsidRPr="00C6661C">
        <w:t xml:space="preserve"> physiology)</w:t>
      </w:r>
    </w:p>
    <w:p w:rsidR="00C6661C" w:rsidRDefault="00C6661C" w:rsidP="00807704">
      <w:pPr>
        <w:pStyle w:val="BodyTextnospacebefore"/>
      </w:pPr>
      <w:r>
        <w:t>This represents all the subtypes – and the terminology used – in the current PAH items</w:t>
      </w:r>
      <w:r w:rsidR="00AC5B85">
        <w:t xml:space="preserve">. </w:t>
      </w:r>
    </w:p>
    <w:p w:rsidR="00C6661C" w:rsidRDefault="00C6661C" w:rsidP="00121658">
      <w:pPr>
        <w:pStyle w:val="Heading5"/>
        <w:jc w:val="left"/>
      </w:pPr>
      <w:r>
        <w:t>Current WHO Classification</w:t>
      </w:r>
    </w:p>
    <w:p w:rsidR="00C6661C" w:rsidRDefault="00C6661C" w:rsidP="002D2A0A">
      <w:pPr>
        <w:pStyle w:val="BodyTextnospacebefore"/>
      </w:pPr>
      <w:r>
        <w:t>A</w:t>
      </w:r>
      <w:r w:rsidRPr="0004089D">
        <w:t>s the WHO classification scheme for PH and PAH has been changed and updated, so the approved PAH indications and the PBS restrictions have appeared to describe different PAH subtypes</w:t>
      </w:r>
      <w:r>
        <w:t>.</w:t>
      </w:r>
      <w:r w:rsidR="00DF7C3A">
        <w:t xml:space="preserve"> </w:t>
      </w:r>
      <w:r w:rsidR="004A5E1C">
        <w:t>T</w:t>
      </w:r>
      <w:r w:rsidRPr="0004089D">
        <w:t>he current terminology is understood to either encompass or be interchangeable with the previously used descriptions</w:t>
      </w:r>
      <w:r>
        <w:t xml:space="preserve">. </w:t>
      </w:r>
    </w:p>
    <w:p w:rsidR="00C6661C" w:rsidRPr="00841982" w:rsidRDefault="00C6661C" w:rsidP="002D2A0A">
      <w:pPr>
        <w:pStyle w:val="BodyTextnospacebefore"/>
      </w:pPr>
      <w:r>
        <w:t>The current WHO classification</w:t>
      </w:r>
      <w:r w:rsidR="009C556B" w:rsidRPr="00DC475B">
        <w:rPr>
          <w:noProof/>
          <w:vertAlign w:val="superscript"/>
        </w:rPr>
        <w:t>9</w:t>
      </w:r>
      <w:r>
        <w:t xml:space="preserve"> provides that</w:t>
      </w:r>
      <w:r w:rsidRPr="00841982">
        <w:t>:</w:t>
      </w:r>
    </w:p>
    <w:p w:rsidR="00C6661C" w:rsidRPr="00841982" w:rsidRDefault="00C6661C" w:rsidP="00921D13">
      <w:pPr>
        <w:pStyle w:val="08Bulletsseriesofsentences"/>
      </w:pPr>
      <w:r>
        <w:t xml:space="preserve">The terminology </w:t>
      </w:r>
      <w:r w:rsidRPr="00841982">
        <w:t>‘</w:t>
      </w:r>
      <w:r>
        <w:t xml:space="preserve">drug or toxin </w:t>
      </w:r>
      <w:r w:rsidRPr="00841982">
        <w:t xml:space="preserve">induced’ PAH </w:t>
      </w:r>
      <w:r>
        <w:t>has replaced</w:t>
      </w:r>
      <w:r w:rsidRPr="00841982">
        <w:t xml:space="preserve"> ‘anorexigen</w:t>
      </w:r>
      <w:r>
        <w:t xml:space="preserve"> induced</w:t>
      </w:r>
      <w:r w:rsidRPr="00841982">
        <w:t>’</w:t>
      </w:r>
      <w:r>
        <w:t xml:space="preserve"> PAH</w:t>
      </w:r>
    </w:p>
    <w:p w:rsidR="00C6661C" w:rsidRPr="00841982" w:rsidRDefault="00C6661C" w:rsidP="00921D13">
      <w:pPr>
        <w:pStyle w:val="08Bulletsseriesofsentences"/>
      </w:pPr>
      <w:r>
        <w:t>PAH with a genetic or familial component is referred to as ‘heritable’ PAH.</w:t>
      </w:r>
    </w:p>
    <w:p w:rsidR="00C6661C" w:rsidRPr="00841982" w:rsidRDefault="00C6661C" w:rsidP="00921D13">
      <w:pPr>
        <w:pStyle w:val="08Bulletsseriesofsentences"/>
      </w:pPr>
      <w:r w:rsidRPr="00841982">
        <w:t>Connective tissue disease</w:t>
      </w:r>
      <w:r>
        <w:t xml:space="preserve"> is defined as including</w:t>
      </w:r>
      <w:r w:rsidRPr="00841982">
        <w:t xml:space="preserve"> scleroderma</w:t>
      </w:r>
    </w:p>
    <w:p w:rsidR="00C6661C" w:rsidRPr="00841982" w:rsidRDefault="00C6661C" w:rsidP="002D2A0A">
      <w:pPr>
        <w:pStyle w:val="BodyTextnospacebefore"/>
      </w:pPr>
      <w:r w:rsidRPr="00841982">
        <w:t>Congenital conditions causing PAH, but still encompassed by WHO Group 1 PH / PAH classification, are not limited to those characterised by a systemic-to-pulmonary shunt.</w:t>
      </w:r>
    </w:p>
    <w:p w:rsidR="00C6661C" w:rsidRDefault="00C6661C" w:rsidP="002D2A0A">
      <w:pPr>
        <w:pStyle w:val="BodyTextnospacebefore"/>
      </w:pPr>
      <w:r>
        <w:t>Some notes are given</w:t>
      </w:r>
      <w:r w:rsidRPr="0004089D">
        <w:t xml:space="preserve"> below</w:t>
      </w:r>
      <w:r>
        <w:t xml:space="preserve">. </w:t>
      </w:r>
    </w:p>
    <w:p w:rsidR="00C6661C" w:rsidRPr="00B223C4" w:rsidRDefault="00C6661C" w:rsidP="00121658">
      <w:pPr>
        <w:pStyle w:val="Heading6"/>
      </w:pPr>
      <w:r>
        <w:t>D</w:t>
      </w:r>
      <w:r w:rsidRPr="00B223C4">
        <w:t xml:space="preserve">rug and toxin induced PAH </w:t>
      </w:r>
    </w:p>
    <w:p w:rsidR="00C6661C" w:rsidRPr="0004089D" w:rsidRDefault="00C6661C" w:rsidP="002D2A0A">
      <w:pPr>
        <w:pStyle w:val="BodyTextnospacebefore"/>
      </w:pPr>
      <w:r w:rsidRPr="0004089D">
        <w:t>With regard to drug-induced PAH, PBS restrictions refer in some cases to ‘anorexigen-induced’ PAH, whereas the restrictions for iloprost refer to ‘drug-induced’ PAH and also ‘anorexigen-induced’ PAH. The most recent WHO classification refers to ‘drug and toxin induced’ PAH. These are not distinct patient groups but the same group described according to the prevailing terminology</w:t>
      </w:r>
      <w:r>
        <w:t xml:space="preserve">. </w:t>
      </w:r>
      <w:r w:rsidRPr="0004089D">
        <w:t>There are few anorectics associated with PAH remaining on the market in Australia, thus a reference to anorexigen-induced PAH may be interpreted by clinicians as ‘drug or toxin induced’ irrespective of the causative agent</w:t>
      </w:r>
      <w:r>
        <w:t xml:space="preserve">. </w:t>
      </w:r>
    </w:p>
    <w:p w:rsidR="00C6661C" w:rsidRPr="00B223C4" w:rsidRDefault="00C6661C" w:rsidP="00121658">
      <w:pPr>
        <w:pStyle w:val="Heading6"/>
      </w:pPr>
      <w:r w:rsidRPr="00B223C4">
        <w:t>PAH due to congenital heart disease</w:t>
      </w:r>
    </w:p>
    <w:p w:rsidR="00C6661C" w:rsidRPr="0004089D" w:rsidRDefault="00C6661C" w:rsidP="002D2A0A">
      <w:pPr>
        <w:pStyle w:val="BodyTextnospacebefore"/>
      </w:pPr>
      <w:r w:rsidRPr="0004089D">
        <w:t xml:space="preserve">Previous classifications for PAH have referred to PAH associated with “congenital systemic-to-pulmonary shunts” (which includes </w:t>
      </w:r>
      <w:proofErr w:type="spellStart"/>
      <w:r w:rsidRPr="0004089D">
        <w:t>Eisenmenger’s</w:t>
      </w:r>
      <w:proofErr w:type="spellEnd"/>
      <w:r w:rsidRPr="0004089D">
        <w:t xml:space="preserve"> Physiology)</w:t>
      </w:r>
      <w:r>
        <w:t xml:space="preserve">. </w:t>
      </w:r>
      <w:r w:rsidRPr="0004089D">
        <w:t>In the current 2013 classification, this subtype is referred to more simply as “congenital heart diseases” with the groups falling under that category described in considerable detail in the 2013 revised PAH classification</w:t>
      </w:r>
      <w:r w:rsidR="009C556B" w:rsidRPr="00DC475B">
        <w:rPr>
          <w:noProof/>
          <w:vertAlign w:val="superscript"/>
        </w:rPr>
        <w:t>9</w:t>
      </w:r>
      <w:r w:rsidRPr="0004089D">
        <w:t xml:space="preserve"> and is now broader than previous classifications</w:t>
      </w:r>
      <w:r>
        <w:t xml:space="preserve">. </w:t>
      </w:r>
    </w:p>
    <w:p w:rsidR="00C6661C" w:rsidRPr="00B223C4" w:rsidRDefault="00C6661C" w:rsidP="00121658">
      <w:pPr>
        <w:pStyle w:val="Heading6"/>
      </w:pPr>
      <w:r w:rsidRPr="00B223C4">
        <w:t>Heritable PAH</w:t>
      </w:r>
    </w:p>
    <w:p w:rsidR="00C6661C" w:rsidRDefault="00C6661C" w:rsidP="002D2A0A">
      <w:pPr>
        <w:pStyle w:val="BodyTextnospacebefore"/>
      </w:pPr>
      <w:r w:rsidRPr="0004089D">
        <w:t>The term ‘hereditable’ used in the current PBS restrictions is a conflation of ‘hereditary’ and ‘heritable’. It does not reflect terminology in the international guidelines or PAH classification (‘heritable PAH’), nor is it in common use in the scientific literature</w:t>
      </w:r>
      <w:r>
        <w:t xml:space="preserve">. </w:t>
      </w:r>
    </w:p>
    <w:p w:rsidR="00B25CA4" w:rsidRDefault="00B25CA4" w:rsidP="00121658">
      <w:pPr>
        <w:pStyle w:val="Heading2"/>
        <w:jc w:val="left"/>
      </w:pPr>
      <w:bookmarkStart w:id="249" w:name="_Toc513107610"/>
      <w:r>
        <w:t>Synthesis</w:t>
      </w:r>
      <w:r w:rsidR="00712CC9">
        <w:t xml:space="preserve"> of findings</w:t>
      </w:r>
      <w:bookmarkEnd w:id="249"/>
    </w:p>
    <w:p w:rsidR="00B25CA4" w:rsidRPr="009F69AE" w:rsidRDefault="00074A9A" w:rsidP="00121658">
      <w:pPr>
        <w:pStyle w:val="Heading3"/>
        <w:jc w:val="left"/>
      </w:pPr>
      <w:bookmarkStart w:id="250" w:name="_Toc513107611"/>
      <w:r>
        <w:t>G</w:t>
      </w:r>
      <w:r w:rsidR="00B25CA4">
        <w:t>uidelines for PAH</w:t>
      </w:r>
      <w:bookmarkEnd w:id="250"/>
    </w:p>
    <w:p w:rsidR="00B25CA4" w:rsidRDefault="00B25CA4" w:rsidP="004937E8">
      <w:pPr>
        <w:pStyle w:val="BodyTextnospacebefore"/>
      </w:pPr>
      <w:r>
        <w:t xml:space="preserve">Nine </w:t>
      </w:r>
      <w:r w:rsidRPr="009F69AE">
        <w:t xml:space="preserve">clinical practice </w:t>
      </w:r>
      <w:r w:rsidRPr="0004089D">
        <w:t xml:space="preserve">guidelines </w:t>
      </w:r>
      <w:r>
        <w:t xml:space="preserve">for PAH </w:t>
      </w:r>
      <w:r w:rsidRPr="0004089D">
        <w:t>were considered relevant</w:t>
      </w:r>
      <w:r>
        <w:t xml:space="preserve"> to this review </w:t>
      </w:r>
      <w:r w:rsidR="006314DA">
        <w:t>(</w:t>
      </w:r>
      <w:r w:rsidR="004937E8">
        <w:t>Table 1.4</w:t>
      </w:r>
      <w:r>
        <w:t>)</w:t>
      </w:r>
      <w:r w:rsidRPr="0004089D">
        <w:t>, covering diagnosis and treatment of PAH, the international classification scheme and recommendations for paediatric patients.</w:t>
      </w:r>
      <w:r>
        <w:t xml:space="preserve"> The two key documents used for this review were the 2015 European Society of Cardiology /European Respiratory Society joint </w:t>
      </w:r>
      <w:r w:rsidRPr="004937E8">
        <w:t>Guidelines for the diagnosis and treatment of pulmonary hypertension</w:t>
      </w:r>
      <w:r w:rsidR="009C556B" w:rsidRPr="004937E8">
        <w:t>8</w:t>
      </w:r>
      <w:r>
        <w:t xml:space="preserve"> and the</w:t>
      </w:r>
      <w:r w:rsidRPr="004937E8">
        <w:t xml:space="preserve"> CHEST guideline and expert panel report: Pharmacologic therapy for pulmonary arterial hypertension in adults</w:t>
      </w:r>
      <w:r w:rsidR="009C556B" w:rsidRPr="004937E8">
        <w:t>19</w:t>
      </w:r>
      <w:r>
        <w:t xml:space="preserve">. </w:t>
      </w:r>
      <w:r w:rsidR="00074A9A">
        <w:t>Of the two, the European document can be considered definitive</w:t>
      </w:r>
      <w:r w:rsidR="00712CC9">
        <w:t xml:space="preserve"> except where noted</w:t>
      </w:r>
      <w:r w:rsidR="00074A9A">
        <w:t xml:space="preserve">. </w:t>
      </w:r>
      <w:r>
        <w:t xml:space="preserve">Further guidance regarding diagnostic and monitoring of PAH patients, treatment of PAH in children and other matters including PAH disease classification was obtained from the other documents </w:t>
      </w:r>
      <w:r w:rsidR="00074A9A">
        <w:t>presented with the key findings</w:t>
      </w:r>
      <w:r>
        <w:t xml:space="preserve"> in</w:t>
      </w:r>
      <w:r w:rsidR="004937E8">
        <w:t xml:space="preserve"> Table 1.4</w:t>
      </w:r>
      <w:r>
        <w:t>.</w:t>
      </w:r>
    </w:p>
    <w:p w:rsidR="00165E64" w:rsidRDefault="00B25CA4" w:rsidP="00165E64">
      <w:pPr>
        <w:pStyle w:val="BodyTextnospacebefore"/>
      </w:pPr>
      <w:r>
        <w:t>There are no PH or PAH clinical guidelines for Australia or New Zealand.</w:t>
      </w:r>
      <w:r w:rsidRPr="0004089D">
        <w:t xml:space="preserve">  </w:t>
      </w:r>
    </w:p>
    <w:p w:rsidR="00B25CA4" w:rsidRDefault="00B25CA4" w:rsidP="00165E64">
      <w:pPr>
        <w:pStyle w:val="BodyTextnospacebefore"/>
      </w:pPr>
      <w:r w:rsidRPr="009F69AE">
        <w:t>Based on the Guideline recommendations and taking into account patient risk factors</w:t>
      </w:r>
      <w:r>
        <w:t xml:space="preserve">, </w:t>
      </w:r>
      <w:r w:rsidR="00074A9A">
        <w:t xml:space="preserve">the key </w:t>
      </w:r>
      <w:r>
        <w:t>treatment recommendations are as follows</w:t>
      </w:r>
      <w:r w:rsidRPr="009F69AE">
        <w:t>:</w:t>
      </w:r>
    </w:p>
    <w:p w:rsidR="00B25CA4" w:rsidRPr="009F69AE" w:rsidRDefault="00B25CA4" w:rsidP="00921D13">
      <w:pPr>
        <w:pStyle w:val="08Bulletsseriesofsentences"/>
      </w:pPr>
      <w:r w:rsidRPr="009F69AE">
        <w:t>Patients with WHO FC I should be monitored and treatment commenced on signs of clinical worsening</w:t>
      </w:r>
      <w:r>
        <w:t>.</w:t>
      </w:r>
    </w:p>
    <w:p w:rsidR="00B25CA4" w:rsidRPr="009F69AE" w:rsidRDefault="00B25CA4" w:rsidP="00921D13">
      <w:pPr>
        <w:pStyle w:val="08Bulletsseriesofsentences"/>
      </w:pPr>
      <w:r w:rsidRPr="009F69AE">
        <w:t xml:space="preserve">Oral </w:t>
      </w:r>
      <w:r>
        <w:t>PAH medicines</w:t>
      </w:r>
      <w:r w:rsidRPr="009F69AE">
        <w:t xml:space="preserve"> are standard of care for PAH, particularly for WHO FC II and III</w:t>
      </w:r>
      <w:r>
        <w:t>.</w:t>
      </w:r>
    </w:p>
    <w:p w:rsidR="00B25CA4" w:rsidRPr="009F69AE" w:rsidRDefault="00B25CA4" w:rsidP="00921D13">
      <w:pPr>
        <w:pStyle w:val="08Bulletsseriesofsentences"/>
      </w:pPr>
      <w:r w:rsidRPr="009F69AE">
        <w:t>Prostanoids are recommended primarily for more severe disease (WHO FC III and IV)</w:t>
      </w:r>
      <w:r>
        <w:t xml:space="preserve"> and are not recommended for WHO FC II patients.</w:t>
      </w:r>
    </w:p>
    <w:p w:rsidR="00B25CA4" w:rsidRPr="009F69AE" w:rsidRDefault="00B25CA4" w:rsidP="00921D13">
      <w:pPr>
        <w:pStyle w:val="08Bulletsseriesofsentences"/>
      </w:pPr>
      <w:r w:rsidRPr="009F69AE">
        <w:t xml:space="preserve">Monotherapy </w:t>
      </w:r>
      <w:r>
        <w:t xml:space="preserve">with oral PAH medicines </w:t>
      </w:r>
      <w:r w:rsidRPr="009F69AE">
        <w:t xml:space="preserve">remains indicated for treatment naïve patients except those with high risk factors for whom initial combination therapy may be appropriate. </w:t>
      </w:r>
    </w:p>
    <w:p w:rsidR="00B25CA4" w:rsidRDefault="00B25CA4" w:rsidP="00921D13">
      <w:pPr>
        <w:pStyle w:val="08Bulletsseriesofsentences"/>
      </w:pPr>
      <w:r w:rsidRPr="009F69AE">
        <w:t>Sequential combination or add-on therapy involving addition of another PAH agent to existing PAH therapy is standard of care after inadequate response</w:t>
      </w:r>
      <w:r>
        <w:t xml:space="preserve"> or clinical worsening.</w:t>
      </w:r>
    </w:p>
    <w:p w:rsidR="00B25CA4" w:rsidRDefault="00B25CA4" w:rsidP="00921D13">
      <w:pPr>
        <w:pStyle w:val="08Bulletsseriesofsentences"/>
      </w:pPr>
      <w:r w:rsidRPr="006C7733">
        <w:t xml:space="preserve">Current clinical algorithms consider patients in terms of patient risk factors as well as WHO FC. </w:t>
      </w:r>
    </w:p>
    <w:p w:rsidR="00B25CA4" w:rsidRDefault="00B25CA4" w:rsidP="00921D13">
      <w:pPr>
        <w:pStyle w:val="08Bulletsseriesofsentences"/>
      </w:pPr>
      <w:r w:rsidRPr="00412B24">
        <w:t xml:space="preserve">High dose CCBs are indicated in </w:t>
      </w:r>
      <w:r>
        <w:t xml:space="preserve">a small sub-set of </w:t>
      </w:r>
      <w:r w:rsidRPr="00412B24">
        <w:t xml:space="preserve">patients </w:t>
      </w:r>
      <w:r>
        <w:t>having</w:t>
      </w:r>
      <w:r w:rsidRPr="00412B24">
        <w:t xml:space="preserve"> a positive vasoreactivity response during RHC and who have certain Group 1 subtypes (IPAH, heritable PAH and drug and toxin-induced PAH). </w:t>
      </w:r>
    </w:p>
    <w:p w:rsidR="00B25CA4" w:rsidRDefault="00B25CA4" w:rsidP="002D2A0A">
      <w:pPr>
        <w:pStyle w:val="BodyTextnospacebefore"/>
      </w:pPr>
      <w:r w:rsidRPr="009F69AE">
        <w:t xml:space="preserve">Treatment pathways capturing these recommendations </w:t>
      </w:r>
      <w:r>
        <w:t>have been</w:t>
      </w:r>
      <w:r w:rsidRPr="009F69AE">
        <w:t xml:space="preserve"> presented in </w:t>
      </w:r>
      <w:r w:rsidR="00D63371">
        <w:t>Table 1.</w:t>
      </w:r>
      <w:r w:rsidR="00D63371">
        <w:rPr>
          <w:noProof/>
        </w:rPr>
        <w:t>5</w:t>
      </w:r>
      <w:r w:rsidRPr="009F69AE">
        <w:t xml:space="preserve"> (patients receiving monotherapy) and </w:t>
      </w:r>
      <w:r w:rsidR="00D63371">
        <w:t>Table 1.</w:t>
      </w:r>
      <w:r w:rsidR="00D63371">
        <w:rPr>
          <w:noProof/>
        </w:rPr>
        <w:t>6</w:t>
      </w:r>
      <w:r w:rsidRPr="009F69AE">
        <w:t xml:space="preserve"> (patients receiving combination therapy).</w:t>
      </w:r>
      <w:r>
        <w:t xml:space="preserve"> </w:t>
      </w:r>
    </w:p>
    <w:p w:rsidR="00027324" w:rsidRPr="009F69AE" w:rsidRDefault="00027324" w:rsidP="00121658">
      <w:pPr>
        <w:pStyle w:val="Heading3"/>
        <w:jc w:val="left"/>
      </w:pPr>
      <w:bookmarkStart w:id="251" w:name="_Toc513107612"/>
      <w:r>
        <w:t>Alignment of TGA, PBS and guideline requirements</w:t>
      </w:r>
      <w:bookmarkEnd w:id="251"/>
    </w:p>
    <w:p w:rsidR="00027324" w:rsidRPr="009F69AE" w:rsidRDefault="00027324" w:rsidP="00121658">
      <w:pPr>
        <w:pStyle w:val="Heading4"/>
        <w:jc w:val="left"/>
      </w:pPr>
      <w:r>
        <w:t>Alignment of therapeutic recommendations</w:t>
      </w:r>
    </w:p>
    <w:p w:rsidR="00074A9A" w:rsidRPr="009F69AE" w:rsidRDefault="00712CC9" w:rsidP="002D2A0A">
      <w:pPr>
        <w:pStyle w:val="BodyTextnospacebefore"/>
      </w:pPr>
      <w:r>
        <w:t xml:space="preserve">A summary table of the alignment in these three areas has been presented with the key findings in </w:t>
      </w:r>
      <w:r w:rsidR="00D63371">
        <w:t>Table 1.</w:t>
      </w:r>
      <w:r w:rsidR="00D63371">
        <w:rPr>
          <w:noProof/>
        </w:rPr>
        <w:t>1</w:t>
      </w:r>
      <w:r w:rsidR="006314DA">
        <w:t xml:space="preserve">. </w:t>
      </w:r>
      <w:r w:rsidR="003E138E">
        <w:t>Further to this</w:t>
      </w:r>
      <w:r w:rsidR="00074A9A">
        <w:t>:</w:t>
      </w:r>
    </w:p>
    <w:p w:rsidR="00074A9A" w:rsidRPr="004937E8" w:rsidRDefault="00074A9A" w:rsidP="004937E8">
      <w:pPr>
        <w:pStyle w:val="08Bulletsseriesofsentences"/>
      </w:pPr>
      <w:r w:rsidRPr="004937E8">
        <w:t xml:space="preserve">PAH is defined as all WHO Group 1 PH conditions. Guideline recommendations are broadly similar for treatment across the Group 1 PAH subtypes. With the exception of drug and toxin induced PAH, the subtypes in the TGA indications align reasonably well with current PBS restrictions. </w:t>
      </w:r>
    </w:p>
    <w:p w:rsidR="00074A9A" w:rsidRPr="004937E8" w:rsidRDefault="00074A9A" w:rsidP="004937E8">
      <w:pPr>
        <w:pStyle w:val="08Bulletsseriesofsentences"/>
      </w:pPr>
      <w:r w:rsidRPr="004937E8">
        <w:t>Patients with Group 1 conditions PAH-HIV or PAH-PH are currently excluded from access to PAH medicines on the PBS.</w:t>
      </w:r>
    </w:p>
    <w:p w:rsidR="00074A9A" w:rsidRPr="004937E8" w:rsidRDefault="00074A9A" w:rsidP="004937E8">
      <w:pPr>
        <w:pStyle w:val="08Bulletsseriesofsentences"/>
      </w:pPr>
      <w:r w:rsidRPr="004937E8">
        <w:t xml:space="preserve">PBS restrictions do not cover currently recommended use in WHO FC II which is considered standard of care. Current recommendations for treatment according to WHO FC </w:t>
      </w:r>
      <w:proofErr w:type="gramStart"/>
      <w:r w:rsidRPr="004937E8">
        <w:t>are</w:t>
      </w:r>
      <w:proofErr w:type="gramEnd"/>
      <w:r w:rsidRPr="004937E8">
        <w:t xml:space="preserve"> largely consistent with TGA registered indications for PAH medicines. The main exception is the PDE</w:t>
      </w:r>
      <w:r w:rsidRPr="004937E8">
        <w:noBreakHyphen/>
        <w:t xml:space="preserve">5 inhibitors which are not TGA approved for WHO FC IV but are likely to be used in combination regimens for all functional classes of PAH. </w:t>
      </w:r>
    </w:p>
    <w:p w:rsidR="00074A9A" w:rsidRPr="004937E8" w:rsidRDefault="00074A9A" w:rsidP="004937E8">
      <w:pPr>
        <w:pStyle w:val="08Bulletsseriesofsentences"/>
      </w:pPr>
      <w:r w:rsidRPr="004937E8">
        <w:t xml:space="preserve">Some but not all recommendations for combination use are supported by the TGA indications, limited to those medicines approved more recently. Older products (bosentan, prostanoids, </w:t>
      </w:r>
      <w:proofErr w:type="gramStart"/>
      <w:r w:rsidRPr="004937E8">
        <w:t>sildenafil</w:t>
      </w:r>
      <w:proofErr w:type="gramEnd"/>
      <w:r w:rsidRPr="004937E8">
        <w:t xml:space="preserve">) are not registered for combination treatment. No combination use of PAH medicines is permitted within the current PBS restrictions. </w:t>
      </w:r>
    </w:p>
    <w:p w:rsidR="00074A9A" w:rsidRPr="004937E8" w:rsidRDefault="00074A9A" w:rsidP="004937E8">
      <w:pPr>
        <w:pStyle w:val="08Bulletsseriesofsentences"/>
      </w:pPr>
      <w:r w:rsidRPr="004937E8">
        <w:t xml:space="preserve">The current PBS restrictions do not permit PBS funded combination therapy. </w:t>
      </w:r>
      <w:r w:rsidR="00542929" w:rsidRPr="004937E8">
        <w:t>The February 2015 DUSC report on “Pulmonary arterial hypertension (PAH) medicines utilisation analysis” indicates that, in practice, combination therapy is achieved by adding low cost private prescription sildenafil to another of the PBS subsidised drugs</w:t>
      </w:r>
      <w:r w:rsidR="009C556B" w:rsidRPr="004937E8">
        <w:t>51</w:t>
      </w:r>
      <w:r w:rsidR="00542929" w:rsidRPr="004937E8">
        <w:t xml:space="preserve">. </w:t>
      </w:r>
    </w:p>
    <w:p w:rsidR="00074A9A" w:rsidRPr="004937E8" w:rsidRDefault="003E138E" w:rsidP="004937E8">
      <w:pPr>
        <w:pStyle w:val="08Bulletsseriesofsentences"/>
      </w:pPr>
      <w:r w:rsidRPr="004937E8">
        <w:t>PAH-CHD</w:t>
      </w:r>
      <w:r w:rsidR="00074A9A" w:rsidRPr="004937E8">
        <w:t xml:space="preserve"> patients have fewer treatment options than for other Group 1 subtypes. </w:t>
      </w:r>
      <w:r w:rsidRPr="004937E8">
        <w:t>Neither of the prostanoids and only t</w:t>
      </w:r>
      <w:r w:rsidR="00074A9A" w:rsidRPr="004937E8">
        <w:t xml:space="preserve">hree </w:t>
      </w:r>
      <w:r w:rsidRPr="004937E8">
        <w:t xml:space="preserve">of the </w:t>
      </w:r>
      <w:r w:rsidR="00074A9A" w:rsidRPr="004937E8">
        <w:t xml:space="preserve">oral medicines (bosentan, macitentan, </w:t>
      </w:r>
      <w:proofErr w:type="gramStart"/>
      <w:r w:rsidR="00074A9A" w:rsidRPr="004937E8">
        <w:t>riociguat</w:t>
      </w:r>
      <w:proofErr w:type="gramEnd"/>
      <w:r w:rsidRPr="004937E8">
        <w:t>)</w:t>
      </w:r>
      <w:r w:rsidR="00074A9A" w:rsidRPr="004937E8">
        <w:t xml:space="preserve"> </w:t>
      </w:r>
      <w:r w:rsidRPr="004937E8">
        <w:t>are TGA approved/</w:t>
      </w:r>
      <w:r w:rsidR="00074A9A" w:rsidRPr="004937E8">
        <w:t>PBS listed for CHD patients. The ESC/ERS guideline recommendations for PAH-CHD are consensus-based due to lack of evidence in this subtype</w:t>
      </w:r>
      <w:r w:rsidR="009C556B" w:rsidRPr="004937E8">
        <w:t>8</w:t>
      </w:r>
      <w:r w:rsidR="00074A9A" w:rsidRPr="004937E8">
        <w:t>.</w:t>
      </w:r>
    </w:p>
    <w:p w:rsidR="00074A9A" w:rsidRPr="004937E8" w:rsidRDefault="00074A9A" w:rsidP="004937E8">
      <w:pPr>
        <w:pStyle w:val="08Bulletsseriesofsentences"/>
      </w:pPr>
      <w:r w:rsidRPr="004937E8">
        <w:t xml:space="preserve">Patient groups currently unable to access any PBS subsidised PAH treatment, or PBS treatment that meets the guideline recommendations, have been presented with the key findings in </w:t>
      </w:r>
      <w:r w:rsidR="00D63371">
        <w:t>Table 1.1</w:t>
      </w:r>
      <w:r w:rsidR="00B8008E" w:rsidRPr="004937E8">
        <w:t xml:space="preserve">. </w:t>
      </w:r>
    </w:p>
    <w:p w:rsidR="00074A9A" w:rsidRPr="004937E8" w:rsidRDefault="00074A9A" w:rsidP="004937E8">
      <w:pPr>
        <w:pStyle w:val="08Bulletsseriesofsentences"/>
      </w:pPr>
      <w:r w:rsidRPr="004937E8">
        <w:t xml:space="preserve">Some combinations of PAH medicines are contraindicated for safety. A number of other potential drug interactions should be taken into account, in particular interaction between bosentan and sildenafil. </w:t>
      </w:r>
    </w:p>
    <w:p w:rsidR="00074A9A" w:rsidRDefault="00074A9A" w:rsidP="004937E8">
      <w:pPr>
        <w:pStyle w:val="08Bulletsseriesofsentences"/>
      </w:pPr>
      <w:r w:rsidRPr="004937E8">
        <w:t>Treatment recommendations are similar between adults and children and this is reflected in the PAH restrictions on the PBS. However, only bosentan is approved in Australia for treatment of children with PAH. Sildenafil is most likely being used off-label for children in</w:t>
      </w:r>
      <w:r w:rsidRPr="007F7A28">
        <w:t xml:space="preserve"> Australia as it is in the USA, although it is approved in Europe for children 1-17 years old with PAH. Modified dosing is recommended to manage an increased mortality risk that has been observed on long-term dosing. </w:t>
      </w:r>
    </w:p>
    <w:p w:rsidR="00074A9A" w:rsidRPr="007F7A28" w:rsidRDefault="00074A9A" w:rsidP="00921D13">
      <w:pPr>
        <w:pStyle w:val="08Bulletsseriesofsentences"/>
      </w:pPr>
      <w:r w:rsidRPr="005978BC">
        <w:t xml:space="preserve">The current PBS restrictions provide for treatment of paediatric patients but only one of the registered drugs within the scope of this review is explicitly approved in Australia for paediatric use (bosentan). </w:t>
      </w:r>
      <w:r>
        <w:t>P</w:t>
      </w:r>
      <w:r w:rsidRPr="005978BC">
        <w:t xml:space="preserve">harmaceutical forms suitable for paediatric administration are available overseas, such as powder for oral solution or dispersible tablets, </w:t>
      </w:r>
      <w:r>
        <w:t xml:space="preserve">but </w:t>
      </w:r>
      <w:r w:rsidRPr="005978BC">
        <w:t xml:space="preserve">are not on the market in Australia. </w:t>
      </w:r>
      <w:r>
        <w:t>The lack of an appropriate pharmaceutical form can effectively exclude patients from PBS subsidy as compounded medicines are only available as</w:t>
      </w:r>
      <w:r w:rsidR="003B01AE">
        <w:t xml:space="preserve"> private scripts.</w:t>
      </w:r>
    </w:p>
    <w:p w:rsidR="00074A9A" w:rsidRPr="007F7A28" w:rsidRDefault="00074A9A" w:rsidP="00921D13">
      <w:pPr>
        <w:pStyle w:val="08Bulletsseriesofsentences"/>
      </w:pPr>
      <w:r w:rsidRPr="002D7AC6">
        <w:t>Patients not satisfying</w:t>
      </w:r>
      <w:r>
        <w:t xml:space="preserve"> guideline </w:t>
      </w:r>
      <w:r w:rsidRPr="002D7AC6">
        <w:t xml:space="preserve">criteria </w:t>
      </w:r>
      <w:r>
        <w:t xml:space="preserve">for CCBs </w:t>
      </w:r>
      <w:r w:rsidRPr="002D7AC6">
        <w:t xml:space="preserve">are at risk of serious hypotensive events and administration of vasodilators in such patients is strongly discouraged. </w:t>
      </w:r>
      <w:r>
        <w:t xml:space="preserve">The recommended patient groups and diagnostic criteria are not consistent with requirements of the current restrictions. </w:t>
      </w:r>
      <w:r w:rsidRPr="003B01AE">
        <w:t xml:space="preserve">High dose CCB therapy is off-label use, the PIs for diltiazem, </w:t>
      </w:r>
      <w:proofErr w:type="spellStart"/>
      <w:r w:rsidRPr="003B01AE">
        <w:t>nifedipine</w:t>
      </w:r>
      <w:proofErr w:type="spellEnd"/>
      <w:r w:rsidRPr="003B01AE">
        <w:t xml:space="preserve"> and amlodipine do not cover dosing or safety information for PAH patients. </w:t>
      </w:r>
    </w:p>
    <w:p w:rsidR="00712CC9" w:rsidRPr="002D7AC6" w:rsidRDefault="00027324" w:rsidP="00121658">
      <w:pPr>
        <w:pStyle w:val="Heading4"/>
        <w:jc w:val="left"/>
      </w:pPr>
      <w:r>
        <w:t xml:space="preserve">Alignment </w:t>
      </w:r>
      <w:r w:rsidR="00B12B24">
        <w:t>of diagnostic tests and</w:t>
      </w:r>
      <w:r w:rsidR="00712CC9">
        <w:t xml:space="preserve"> patient a</w:t>
      </w:r>
      <w:r w:rsidR="00712CC9" w:rsidRPr="002D7AC6">
        <w:t>ssessments</w:t>
      </w:r>
    </w:p>
    <w:p w:rsidR="003E138E" w:rsidRDefault="003E138E" w:rsidP="002D2A0A">
      <w:pPr>
        <w:pStyle w:val="BodyTextnospacebefore"/>
      </w:pPr>
      <w:r>
        <w:t xml:space="preserve">A summary table of the alignment between PBS and guideline diagnostic requirements has been presented with the key findings in </w:t>
      </w:r>
      <w:r w:rsidR="00D63371">
        <w:t>Table 1.</w:t>
      </w:r>
      <w:r w:rsidR="00D63371">
        <w:rPr>
          <w:noProof/>
        </w:rPr>
        <w:t>1</w:t>
      </w:r>
      <w:r w:rsidR="006314DA">
        <w:t>.</w:t>
      </w:r>
    </w:p>
    <w:p w:rsidR="00712CC9" w:rsidRDefault="00712CC9" w:rsidP="002D2A0A">
      <w:pPr>
        <w:pStyle w:val="BodyTextnospacebefore"/>
      </w:pPr>
      <w:r w:rsidRPr="002D7AC6">
        <w:t>The results of RHC, 6MWD and echocardiography are currently used as assessments for PBS treatment eligibility</w:t>
      </w:r>
      <w:r w:rsidR="003E138E">
        <w:t xml:space="preserve"> but certain PBS requirements do not match guideline diagnostic recommendations</w:t>
      </w:r>
      <w:r w:rsidRPr="002D7AC6">
        <w:t>.</w:t>
      </w:r>
      <w:r>
        <w:t xml:space="preserve"> </w:t>
      </w:r>
    </w:p>
    <w:p w:rsidR="00712CC9" w:rsidRDefault="00712CC9" w:rsidP="002D2A0A">
      <w:pPr>
        <w:pStyle w:val="BodyTextnospacebefore"/>
      </w:pPr>
      <w:r w:rsidRPr="002D7AC6">
        <w:t>According to current guidelines, RHC is the gold standard for diagnosis of PAH</w:t>
      </w:r>
      <w:r>
        <w:t xml:space="preserve"> and is essential unless explicitly contraindicated. </w:t>
      </w:r>
      <w:r w:rsidR="003E138E">
        <w:t xml:space="preserve">This is consistent with the PBS </w:t>
      </w:r>
      <w:r w:rsidR="00067B4C">
        <w:t>restrictions;</w:t>
      </w:r>
      <w:r w:rsidR="003E138E">
        <w:t xml:space="preserve"> however its purpose in the guidelines appears to be distinct to that</w:t>
      </w:r>
      <w:r w:rsidR="00067B4C">
        <w:t xml:space="preserve"> for echocardiography and 6MWD:</w:t>
      </w:r>
    </w:p>
    <w:p w:rsidR="003E138E" w:rsidRDefault="00712CC9" w:rsidP="00921D13">
      <w:pPr>
        <w:pStyle w:val="08Bulletsseriesofsentences"/>
      </w:pPr>
      <w:r>
        <w:t xml:space="preserve">Doppler echocardiography is recommended </w:t>
      </w:r>
      <w:r w:rsidRPr="008C3469">
        <w:t>prior to RHC to establish a likelihood of PAH based on TRV and other factors suggestive of PAH.</w:t>
      </w:r>
      <w:r>
        <w:t xml:space="preserve"> Echocardiography is not recommended for diagnosis of PAH as it is unable to confirm PAH</w:t>
      </w:r>
      <w:r w:rsidRPr="008C3469">
        <w:t xml:space="preserve"> </w:t>
      </w:r>
      <w:r>
        <w:t xml:space="preserve">in patients where the TRV is not measurable. </w:t>
      </w:r>
    </w:p>
    <w:p w:rsidR="00712CC9" w:rsidRDefault="00712CC9" w:rsidP="00921D13">
      <w:pPr>
        <w:pStyle w:val="08Bulletsseriesofsentences"/>
      </w:pPr>
      <w:r w:rsidRPr="008C3469">
        <w:t>It is unlikely that RHC would be performed without first administering echocardiograph</w:t>
      </w:r>
      <w:r>
        <w:t>y</w:t>
      </w:r>
      <w:r w:rsidRPr="008C3469">
        <w:t xml:space="preserve"> as an essential preliminary test to establish whether RHC should be performed and to determine parameters for measurement during RHC. </w:t>
      </w:r>
    </w:p>
    <w:p w:rsidR="00670DB9" w:rsidRPr="00D57B3B" w:rsidRDefault="00670DB9" w:rsidP="00921D13">
      <w:pPr>
        <w:pStyle w:val="08Bulletsseriesofsentences"/>
      </w:pPr>
      <w:r w:rsidRPr="00D57B3B">
        <w:t xml:space="preserve">There is no suggestion in the guidance reviewed that echocardiography should be used as a substitute for RHC. There are some contraindications for RHC, but RHC should be performed if at all possible given the magnitude of the diagnosis, as well as safety implications for inappropriate treatment. The echocardiography recommendations are very much focused on determination of right heart variables as a means to screen patients who should receive RHC, which is associated with morbidity and mortality risks and should not be administered unless absolutely necessary. </w:t>
      </w:r>
    </w:p>
    <w:p w:rsidR="00712CC9" w:rsidRPr="00524771" w:rsidRDefault="00712CC9" w:rsidP="00921D13">
      <w:pPr>
        <w:pStyle w:val="08Bulletsseriesofsentences"/>
      </w:pPr>
      <w:r>
        <w:t xml:space="preserve">Current recommendations suggest 6MWD should be one of a panel of assessments administered at baseline and during follow-up to monitor clinical status (and disease risk factors) but that 6MWD does not on its own form the basis for treatment decisions. It is not clear that this is consistent with the purpose of the 6MWD as it currently stands in the PBS restrictions. </w:t>
      </w:r>
    </w:p>
    <w:p w:rsidR="003E138E" w:rsidRDefault="003E138E" w:rsidP="002D2A0A">
      <w:pPr>
        <w:pStyle w:val="BodyTextnospacebefore"/>
      </w:pPr>
      <w:r>
        <w:t>In addition to the diagnosis of PAH, RHC</w:t>
      </w:r>
      <w:r w:rsidRPr="002D7AC6">
        <w:t xml:space="preserve"> is used to </w:t>
      </w:r>
      <w:r>
        <w:t>determine</w:t>
      </w:r>
      <w:r w:rsidRPr="002D7AC6">
        <w:t xml:space="preserve"> other baseline (prognostic) parameters such as </w:t>
      </w:r>
      <w:r>
        <w:t xml:space="preserve">PAWP, </w:t>
      </w:r>
      <w:r w:rsidRPr="002D7AC6">
        <w:t>mixed venous oxygen saturation</w:t>
      </w:r>
      <w:r>
        <w:t xml:space="preserve"> (</w:t>
      </w:r>
      <w:r w:rsidRPr="0003499D">
        <w:t>SvO</w:t>
      </w:r>
      <w:r w:rsidRPr="0003499D">
        <w:rPr>
          <w:vertAlign w:val="subscript"/>
        </w:rPr>
        <w:t>2</w:t>
      </w:r>
      <w:r>
        <w:t>)</w:t>
      </w:r>
      <w:r w:rsidRPr="002D7AC6">
        <w:t>, RAP</w:t>
      </w:r>
      <w:r>
        <w:t>, PVR</w:t>
      </w:r>
      <w:r w:rsidRPr="002D7AC6">
        <w:t xml:space="preserve"> and cardiac output. </w:t>
      </w:r>
      <w:r>
        <w:t>Similarly, features such as TAPSE and presence/absence of pericardial effusion form part of the ECHO composite assessment. Each of t</w:t>
      </w:r>
      <w:r w:rsidRPr="002D7AC6">
        <w:t>h</w:t>
      </w:r>
      <w:r>
        <w:t>ese outcomes</w:t>
      </w:r>
      <w:r w:rsidRPr="002D7AC6">
        <w:t>, along with 6MWD</w:t>
      </w:r>
      <w:r>
        <w:t>, form part of a</w:t>
      </w:r>
      <w:r w:rsidRPr="002D7AC6">
        <w:t xml:space="preserve"> panel of </w:t>
      </w:r>
      <w:r>
        <w:t>parameters taken at baseline</w:t>
      </w:r>
      <w:r w:rsidRPr="002D7AC6">
        <w:t xml:space="preserve"> used to determine the patient’s prognosis or risk of PAH deterioration. </w:t>
      </w:r>
    </w:p>
    <w:p w:rsidR="00712CC9" w:rsidRDefault="00712CC9" w:rsidP="002D2A0A">
      <w:pPr>
        <w:pStyle w:val="BodyTextnospacebefore"/>
      </w:pPr>
      <w:r w:rsidRPr="00B25CA4">
        <w:t>Current guidance recommends that each PAH patient’s risk category or prognostic factors should be based on a panel of assessments performed at baseline, then repeated during follow-up to track progress against therapeutic goals and to evaluate response to treatment</w:t>
      </w:r>
      <w:r>
        <w:t xml:space="preserve">. There is no one definitive set of parameters recommended for baseline assessments. </w:t>
      </w:r>
      <w:r w:rsidR="003E138E">
        <w:t xml:space="preserve">The published algorithms and recommendations suggest that the assessment of the patient’s risk is equally important as WHO functional class in determining PAH treatment.  </w:t>
      </w:r>
    </w:p>
    <w:p w:rsidR="00712CC9" w:rsidRPr="002D7AC6" w:rsidRDefault="00712CC9" w:rsidP="00067B4C">
      <w:pPr>
        <w:pStyle w:val="BodyTextnospacebefore"/>
      </w:pPr>
      <w:r>
        <w:t>T</w:t>
      </w:r>
      <w:r w:rsidRPr="002D7AC6">
        <w:t xml:space="preserve">he three assessments currently required by the PAH restrictions contribute to the patient’s baseline measurements but do not fulfil all of them. </w:t>
      </w:r>
    </w:p>
    <w:p w:rsidR="00712CC9" w:rsidRPr="002D7AC6" w:rsidRDefault="00712CC9" w:rsidP="002D2A0A">
      <w:pPr>
        <w:pStyle w:val="BodyTextnospacebefore"/>
      </w:pPr>
      <w:r>
        <w:t xml:space="preserve">Assessment of </w:t>
      </w:r>
      <w:r w:rsidRPr="002D7AC6">
        <w:t xml:space="preserve">the patient’s </w:t>
      </w:r>
      <w:r>
        <w:t xml:space="preserve">PAH </w:t>
      </w:r>
      <w:r w:rsidRPr="002D7AC6">
        <w:t xml:space="preserve">risk </w:t>
      </w:r>
      <w:r>
        <w:t xml:space="preserve">using this approach </w:t>
      </w:r>
      <w:r w:rsidRPr="002D7AC6">
        <w:t xml:space="preserve">is a key part of treatment decisions as recommended in current guidance. However, </w:t>
      </w:r>
      <w:r>
        <w:t>a</w:t>
      </w:r>
      <w:r w:rsidRPr="002D7AC6">
        <w:t xml:space="preserve">n assessment of </w:t>
      </w:r>
      <w:r>
        <w:t xml:space="preserve">patient </w:t>
      </w:r>
      <w:r w:rsidRPr="002D7AC6">
        <w:t>prognosis or risk is not currently required for PBS subsidy</w:t>
      </w:r>
      <w:r w:rsidR="003E138E">
        <w:t xml:space="preserve"> although guidelines indicate it fulfils a similar purpose to WHO FC in making PAH treatment decisions</w:t>
      </w:r>
      <w:r w:rsidRPr="002D7AC6">
        <w:t xml:space="preserve">. </w:t>
      </w:r>
    </w:p>
    <w:p w:rsidR="00712CC9" w:rsidRPr="00F53D1B" w:rsidRDefault="00712CC9" w:rsidP="00067B4C">
      <w:pPr>
        <w:pStyle w:val="BodyTextnospacebefore"/>
      </w:pPr>
      <w:r>
        <w:t>There was no minimum set of test criteria recommended by the guidelines as the basis of treatment decisions. Nevertheless, in the context of criteria needed for authority to prescribe, a</w:t>
      </w:r>
      <w:r w:rsidRPr="00F53D1B">
        <w:t xml:space="preserve"> distillation of essential criteria to determine treatment </w:t>
      </w:r>
      <w:r>
        <w:t>could be</w:t>
      </w:r>
      <w:r w:rsidRPr="00F53D1B">
        <w:t>:</w:t>
      </w:r>
    </w:p>
    <w:p w:rsidR="00712CC9" w:rsidRPr="00F53D1B" w:rsidRDefault="00712CC9" w:rsidP="00921D13">
      <w:pPr>
        <w:pStyle w:val="08Bulletsseriesofsentences"/>
      </w:pPr>
      <w:r w:rsidRPr="00F53D1B">
        <w:t>Positive diagnosis by RHC</w:t>
      </w:r>
    </w:p>
    <w:p w:rsidR="00712CC9" w:rsidRPr="00F53D1B" w:rsidRDefault="00712CC9" w:rsidP="00921D13">
      <w:pPr>
        <w:pStyle w:val="08Bulletsseriesofsentences"/>
      </w:pPr>
      <w:r w:rsidRPr="00F53D1B">
        <w:t>WHO Functional Class</w:t>
      </w:r>
    </w:p>
    <w:p w:rsidR="00712CC9" w:rsidRPr="00F53D1B" w:rsidRDefault="00712CC9" w:rsidP="00921D13">
      <w:pPr>
        <w:pStyle w:val="08Bulletsseriesofsentences"/>
      </w:pPr>
      <w:r w:rsidRPr="00F53D1B">
        <w:t xml:space="preserve">Patient </w:t>
      </w:r>
      <w:r>
        <w:t xml:space="preserve">prognosis / </w:t>
      </w:r>
      <w:r w:rsidRPr="00F53D1B">
        <w:t xml:space="preserve">risk </w:t>
      </w:r>
      <w:r>
        <w:t xml:space="preserve">of PAH deterioration </w:t>
      </w:r>
    </w:p>
    <w:p w:rsidR="00712CC9" w:rsidRPr="00F53D1B" w:rsidRDefault="00712CC9" w:rsidP="002D2A0A">
      <w:pPr>
        <w:pStyle w:val="BodyTextnospacebefore"/>
      </w:pPr>
      <w:r w:rsidRPr="00F53D1B">
        <w:t>Key decision criteria for patients already on treatment (or untreated Class I patients)</w:t>
      </w:r>
      <w:r>
        <w:t>:</w:t>
      </w:r>
    </w:p>
    <w:p w:rsidR="00712CC9" w:rsidRPr="00F53D1B" w:rsidRDefault="00712CC9" w:rsidP="00921D13">
      <w:pPr>
        <w:pStyle w:val="08Bulletsseriesofsentences"/>
      </w:pPr>
      <w:r w:rsidRPr="00F53D1B">
        <w:t xml:space="preserve">Disease </w:t>
      </w:r>
      <w:r>
        <w:t xml:space="preserve">status – improvement, stability, </w:t>
      </w:r>
      <w:r w:rsidRPr="00F53D1B">
        <w:t xml:space="preserve">or sustained deterioration (clinical worsening); </w:t>
      </w:r>
      <w:r>
        <w:t>and</w:t>
      </w:r>
      <w:r w:rsidRPr="00F53D1B">
        <w:t xml:space="preserve"> </w:t>
      </w:r>
    </w:p>
    <w:p w:rsidR="00712CC9" w:rsidRPr="00F53D1B" w:rsidRDefault="00712CC9" w:rsidP="00921D13">
      <w:pPr>
        <w:pStyle w:val="08Bulletsseriesofsentences"/>
      </w:pPr>
      <w:r w:rsidRPr="00F53D1B">
        <w:t xml:space="preserve">Whether or not treatment goals are being met </w:t>
      </w:r>
    </w:p>
    <w:p w:rsidR="00712CC9" w:rsidRPr="00F53D1B" w:rsidRDefault="00712CC9" w:rsidP="00921D13">
      <w:pPr>
        <w:pStyle w:val="08Bulletsseriesofsentences"/>
      </w:pPr>
      <w:r>
        <w:t xml:space="preserve">Input from treating PAH specialists would be essential to confirm these criteria are appropriate.  </w:t>
      </w:r>
    </w:p>
    <w:p w:rsidR="00712CC9" w:rsidRPr="009F69AE" w:rsidRDefault="00712CC9" w:rsidP="002D2A0A">
      <w:pPr>
        <w:pStyle w:val="BodyTextnospacebefore"/>
      </w:pPr>
      <w:r w:rsidRPr="00B25CA4">
        <w:t>The current guidelines suggest that inadequate treatment response should include clinical worsening but also failure to improve or minimal improv</w:t>
      </w:r>
      <w:r>
        <w:t>ement against therapeutic goals. Maintenance of disease status may not be appropriate in patients with milder disease. This is up to the judgement of the treating specialist.</w:t>
      </w:r>
    </w:p>
    <w:p w:rsidR="00712CC9" w:rsidRPr="00922EA4" w:rsidRDefault="00712CC9" w:rsidP="002D2A0A">
      <w:pPr>
        <w:pStyle w:val="BodyTextnospacebefore"/>
      </w:pPr>
      <w:r w:rsidRPr="00922EA4">
        <w:t>Several tests or criteria are specified in the PBS restrictions as the basis for treatment decisions that do not match guideline recommendations. This applies to:</w:t>
      </w:r>
    </w:p>
    <w:p w:rsidR="00712CC9" w:rsidRPr="00922EA4" w:rsidRDefault="00712CC9" w:rsidP="00921D13">
      <w:pPr>
        <w:pStyle w:val="08Bulletsseriesofsentences"/>
      </w:pPr>
      <w:r w:rsidRPr="00922EA4">
        <w:t>The current criterion for determining which patients should receive vasodilators (</w:t>
      </w:r>
      <w:r>
        <w:t xml:space="preserve">the threshold criterion of </w:t>
      </w:r>
      <w:r w:rsidRPr="00922EA4">
        <w:t xml:space="preserve">8mmHg RAP by RHC). </w:t>
      </w:r>
      <w:r>
        <w:t>Eligibility</w:t>
      </w:r>
      <w:r w:rsidRPr="00922EA4">
        <w:t xml:space="preserve"> should instead be determined by acute vasoreactivity testing</w:t>
      </w:r>
      <w:r>
        <w:t xml:space="preserve"> using a different criterion (</w:t>
      </w:r>
      <w:r w:rsidR="00D63371">
        <w:t>Table 1.</w:t>
      </w:r>
      <w:r w:rsidR="00D63371">
        <w:rPr>
          <w:noProof/>
        </w:rPr>
        <w:t>8</w:t>
      </w:r>
      <w:r>
        <w:t>)</w:t>
      </w:r>
      <w:r w:rsidRPr="00922EA4">
        <w:t>;</w:t>
      </w:r>
    </w:p>
    <w:p w:rsidR="00712CC9" w:rsidRPr="00922EA4" w:rsidRDefault="00712CC9" w:rsidP="00921D13">
      <w:pPr>
        <w:pStyle w:val="08Bulletsseriesofsentences"/>
      </w:pPr>
      <w:r w:rsidRPr="00922EA4">
        <w:t xml:space="preserve">The current echocardiography criterion diagnostic of PAH in cases where RHC is unavailable (40mm Hg right ventricular systolic pressure (RVSP)). </w:t>
      </w:r>
      <w:r>
        <w:t>It is recommended that probability of PAH by echocardiography</w:t>
      </w:r>
      <w:r w:rsidRPr="00922EA4">
        <w:t xml:space="preserve"> should instead be determined by TRV and/or other </w:t>
      </w:r>
      <w:r>
        <w:t>echocardiographic</w:t>
      </w:r>
      <w:r w:rsidRPr="00922EA4">
        <w:t xml:space="preserve"> features suggestive of PAH</w:t>
      </w:r>
      <w:r>
        <w:t>. This would be sufficient for a diagnosis of PAH</w:t>
      </w:r>
      <w:r w:rsidRPr="00922EA4">
        <w:t xml:space="preserve"> only in cases where</w:t>
      </w:r>
      <w:r w:rsidR="00067B4C">
        <w:t xml:space="preserve"> RHC is clearly contraindicated.</w:t>
      </w:r>
    </w:p>
    <w:p w:rsidR="00712CC9" w:rsidRPr="002D7AC6" w:rsidRDefault="00712CC9" w:rsidP="00121658">
      <w:pPr>
        <w:pStyle w:val="Heading3"/>
        <w:jc w:val="left"/>
      </w:pPr>
      <w:bookmarkStart w:id="252" w:name="_Toc513107613"/>
      <w:r w:rsidRPr="002D7AC6">
        <w:t>Other Issues</w:t>
      </w:r>
      <w:bookmarkEnd w:id="252"/>
    </w:p>
    <w:p w:rsidR="00712CC9" w:rsidRPr="005978BC" w:rsidRDefault="00712CC9" w:rsidP="002D2A0A">
      <w:pPr>
        <w:pStyle w:val="BodyTextnospacebefore"/>
      </w:pPr>
      <w:r w:rsidRPr="005978BC">
        <w:t>It is likely that only a modest number of centres amongst the 61 listed as designated hospitals for PBS-subsidised PAH treatment would be meeting guideline requirements. It is recommended that a centre should be treating a critical mass of PAH patients (300 patients referred for diagnosis and treatment per centre per year</w:t>
      </w:r>
      <w:r>
        <w:t xml:space="preserve"> – </w:t>
      </w:r>
      <w:r w:rsidR="00D63371" w:rsidRPr="00D63371">
        <w:rPr>
          <w:i/>
        </w:rPr>
        <w:t>PAH treatment centres</w:t>
      </w:r>
      <w:r w:rsidRPr="005978BC">
        <w:t xml:space="preserve">) </w:t>
      </w:r>
      <w:r>
        <w:t>in order</w:t>
      </w:r>
      <w:r w:rsidRPr="005978BC">
        <w:t xml:space="preserve"> to maintain expertise and quality of care. </w:t>
      </w:r>
    </w:p>
    <w:p w:rsidR="00712CC9" w:rsidRDefault="00712CC9" w:rsidP="002D2A0A">
      <w:pPr>
        <w:pStyle w:val="BodyTextnospacebefore"/>
      </w:pPr>
      <w:r w:rsidRPr="005978BC">
        <w:t>The terminology used in the current PBS restrictions does not reflect the current classification of different PAH subtypes and it is not clear how these would be interpreted in current clinical practice.</w:t>
      </w:r>
    </w:p>
    <w:p w:rsidR="007E7891" w:rsidRDefault="007E7891" w:rsidP="00121658">
      <w:pPr>
        <w:spacing w:before="0" w:line="240" w:lineRule="auto"/>
        <w:jc w:val="left"/>
      </w:pPr>
      <w:r>
        <w:br w:type="page"/>
      </w:r>
    </w:p>
    <w:p w:rsidR="002A2181" w:rsidRPr="00AC5AED" w:rsidRDefault="00F319D3" w:rsidP="00121658">
      <w:pPr>
        <w:pStyle w:val="Heading2"/>
        <w:numPr>
          <w:ilvl w:val="0"/>
          <w:numId w:val="0"/>
        </w:numPr>
        <w:jc w:val="left"/>
      </w:pPr>
      <w:bookmarkStart w:id="253" w:name="_Toc486514235"/>
      <w:bookmarkStart w:id="254" w:name="_Toc513107614"/>
      <w:r>
        <w:t xml:space="preserve">Appendix </w:t>
      </w:r>
      <w:r w:rsidR="005E4483">
        <w:t>1.</w:t>
      </w:r>
      <w:r w:rsidR="00D63371">
        <w:rPr>
          <w:noProof/>
        </w:rPr>
        <w:t>A</w:t>
      </w:r>
      <w:r>
        <w:tab/>
      </w:r>
      <w:r w:rsidR="002A2181" w:rsidRPr="00AC5AED">
        <w:t>Bibliograph</w:t>
      </w:r>
      <w:bookmarkEnd w:id="253"/>
      <w:r w:rsidR="00F65E21">
        <w:t>y</w:t>
      </w:r>
      <w:bookmarkEnd w:id="254"/>
    </w:p>
    <w:p w:rsidR="009C556B" w:rsidRPr="009C556B" w:rsidRDefault="009C556B" w:rsidP="009C556B">
      <w:pPr>
        <w:pStyle w:val="EndNoteBibliography"/>
        <w:ind w:left="720" w:hanging="720"/>
      </w:pPr>
      <w:bookmarkStart w:id="255" w:name="_ENREF_1"/>
      <w:r w:rsidRPr="009C556B">
        <w:t>1.</w:t>
      </w:r>
      <w:r w:rsidRPr="009C556B">
        <w:tab/>
        <w:t xml:space="preserve">Galie N, Manes A, Negro L, Palazzini M, Bacchi-Reggiani ML, Branzi A. A meta-analysis of randomized controlled trials in pulmonary arterial hypertension. </w:t>
      </w:r>
      <w:r w:rsidRPr="009C556B">
        <w:rPr>
          <w:i/>
        </w:rPr>
        <w:t>Eur Heart J</w:t>
      </w:r>
      <w:r w:rsidRPr="009C556B">
        <w:t>. 2009;30(4):394-403.</w:t>
      </w:r>
      <w:bookmarkEnd w:id="255"/>
    </w:p>
    <w:p w:rsidR="009C556B" w:rsidRPr="009C556B" w:rsidRDefault="009C556B" w:rsidP="009C556B">
      <w:pPr>
        <w:pStyle w:val="EndNoteBibliography"/>
        <w:ind w:left="720" w:hanging="720"/>
      </w:pPr>
      <w:bookmarkStart w:id="256" w:name="_ENREF_2"/>
      <w:r w:rsidRPr="009C556B">
        <w:t>2.</w:t>
      </w:r>
      <w:r w:rsidRPr="009C556B">
        <w:tab/>
        <w:t xml:space="preserve">Strange G, Playford D, Stewart S, Deague JA, Nelson H, Kent A, et al. Pulmonary hypertension: prevalence and mortality in the Armadale echocardiography cohort. </w:t>
      </w:r>
      <w:r w:rsidRPr="009C556B">
        <w:rPr>
          <w:i/>
        </w:rPr>
        <w:t>Heart</w:t>
      </w:r>
      <w:r w:rsidRPr="009C556B">
        <w:t>. 2012;98(24):1805-11.</w:t>
      </w:r>
      <w:bookmarkEnd w:id="256"/>
    </w:p>
    <w:p w:rsidR="009C556B" w:rsidRPr="009C556B" w:rsidRDefault="009C556B" w:rsidP="009C556B">
      <w:pPr>
        <w:pStyle w:val="EndNoteBibliography"/>
        <w:ind w:left="720" w:hanging="720"/>
      </w:pPr>
      <w:bookmarkStart w:id="257" w:name="_ENREF_3"/>
      <w:r w:rsidRPr="009C556B">
        <w:t>3.</w:t>
      </w:r>
      <w:r w:rsidRPr="009C556B">
        <w:tab/>
        <w:t xml:space="preserve">Peacock AJ, Murphy NF, McMurray JJ, Caballero L, Stewart S. An epidemiological study of pulmonary arterial hypertension. </w:t>
      </w:r>
      <w:r w:rsidRPr="009C556B">
        <w:rPr>
          <w:i/>
        </w:rPr>
        <w:t>Eur Respir J</w:t>
      </w:r>
      <w:r w:rsidRPr="009C556B">
        <w:t>. 2007;30(1):104-9.</w:t>
      </w:r>
      <w:bookmarkEnd w:id="257"/>
    </w:p>
    <w:p w:rsidR="009C556B" w:rsidRPr="009C556B" w:rsidRDefault="009C556B" w:rsidP="009C556B">
      <w:pPr>
        <w:pStyle w:val="EndNoteBibliography"/>
        <w:ind w:left="720" w:hanging="720"/>
      </w:pPr>
      <w:bookmarkStart w:id="258" w:name="_ENREF_4"/>
      <w:r w:rsidRPr="009C556B">
        <w:t>4.</w:t>
      </w:r>
      <w:r w:rsidRPr="009C556B">
        <w:tab/>
        <w:t xml:space="preserve">Jansa P, Jarkovsky J, Al-Hiti H, Popelova J, Ambroz D, Zatocil T, et al. Epidemiology and long-term survival of pulmonary arterial hypertension in the Czech Republic: a retrospective analysis of a nationwide registry. </w:t>
      </w:r>
      <w:r w:rsidRPr="009C556B">
        <w:rPr>
          <w:i/>
        </w:rPr>
        <w:t>BMC Pulm Med</w:t>
      </w:r>
      <w:r w:rsidRPr="009C556B">
        <w:t>. 2014;14:45.</w:t>
      </w:r>
      <w:bookmarkEnd w:id="258"/>
    </w:p>
    <w:p w:rsidR="009C556B" w:rsidRPr="009C556B" w:rsidRDefault="009C556B" w:rsidP="009C556B">
      <w:pPr>
        <w:pStyle w:val="EndNoteBibliography"/>
        <w:ind w:left="720" w:hanging="720"/>
      </w:pPr>
      <w:bookmarkStart w:id="259" w:name="_ENREF_5"/>
      <w:r w:rsidRPr="009C556B">
        <w:t>5.</w:t>
      </w:r>
      <w:r w:rsidRPr="009C556B">
        <w:tab/>
        <w:t xml:space="preserve">Strange G, Lau EM, Giannoulatou E, Corrigan C, Kotlyar E, Kermeen F, et al. Survival of Idiopathic Pulmonary Arterial Hypertension Patients in the Modern Era in Australia and New Zealand. </w:t>
      </w:r>
      <w:r w:rsidRPr="009C556B">
        <w:rPr>
          <w:i/>
        </w:rPr>
        <w:t>Heart Lung Circ</w:t>
      </w:r>
      <w:r w:rsidRPr="009C556B">
        <w:t>. 2017.</w:t>
      </w:r>
      <w:bookmarkEnd w:id="259"/>
    </w:p>
    <w:p w:rsidR="009C556B" w:rsidRPr="009C556B" w:rsidRDefault="009C556B" w:rsidP="009C556B">
      <w:pPr>
        <w:pStyle w:val="EndNoteBibliography"/>
        <w:ind w:left="720" w:hanging="720"/>
      </w:pPr>
      <w:bookmarkStart w:id="260" w:name="_ENREF_6"/>
      <w:r w:rsidRPr="009C556B">
        <w:t>6.</w:t>
      </w:r>
      <w:r w:rsidRPr="009C556B">
        <w:tab/>
        <w:t xml:space="preserve">Benza RL, Miller DP, Barst RJ, Badesch DB, Frost AE, McGoon MD. An evaluation of long-term survival from time of diagnosis in pulmonary arterial hypertension from the REVEAL Registry. </w:t>
      </w:r>
      <w:r w:rsidRPr="009C556B">
        <w:rPr>
          <w:i/>
        </w:rPr>
        <w:t>Chest</w:t>
      </w:r>
      <w:r w:rsidRPr="009C556B">
        <w:t>. 2012;142(2):448-56.</w:t>
      </w:r>
      <w:bookmarkEnd w:id="260"/>
    </w:p>
    <w:p w:rsidR="009C556B" w:rsidRPr="009C556B" w:rsidRDefault="009C556B" w:rsidP="009C556B">
      <w:pPr>
        <w:pStyle w:val="EndNoteBibliography"/>
        <w:ind w:left="720" w:hanging="720"/>
      </w:pPr>
      <w:bookmarkStart w:id="261" w:name="_ENREF_7"/>
      <w:r w:rsidRPr="009C556B">
        <w:t>7.</w:t>
      </w:r>
      <w:r w:rsidRPr="009C556B">
        <w:tab/>
        <w:t xml:space="preserve">Humbert M, Sitbon O, Chaouat A, Bertocchi M, Habib G, Gressin V, et al. Pulmonary arterial hypertension in France: results from a national registry. </w:t>
      </w:r>
      <w:r w:rsidRPr="009C556B">
        <w:rPr>
          <w:i/>
        </w:rPr>
        <w:t>American journal of respiratory and critical care medicine</w:t>
      </w:r>
      <w:r w:rsidRPr="009C556B">
        <w:t>. 2006;173(9):1023-30.</w:t>
      </w:r>
      <w:bookmarkEnd w:id="261"/>
    </w:p>
    <w:p w:rsidR="009C556B" w:rsidRPr="009C556B" w:rsidRDefault="009C556B" w:rsidP="009C556B">
      <w:pPr>
        <w:pStyle w:val="EndNoteBibliography"/>
        <w:ind w:left="720" w:hanging="720"/>
      </w:pPr>
      <w:bookmarkStart w:id="262" w:name="_ENREF_8"/>
      <w:r w:rsidRPr="009C556B">
        <w:t>8.</w:t>
      </w:r>
      <w:r w:rsidRPr="009C556B">
        <w:tab/>
        <w:t xml:space="preserve">Galie N, Humbert M, Vachiery JL, Gibbs S, Lang I, Torbicki A, et al. 2015 ESC/ERS Guidelines for the diagnosis and treatment of pulmonary hypertension: The Joint Task Force for the Diagnosis and Treatment of Pulmonary Hypertension of the European Society of Cardiology (ESC) and the European Respiratory Society (ERS): Endorsed by: Association for European Paediatric and Congenital Cardiology (AEPC), International Society for Heart and Lung Transplantation (ISHLT). </w:t>
      </w:r>
      <w:r w:rsidRPr="009C556B">
        <w:rPr>
          <w:i/>
        </w:rPr>
        <w:t>Eur Respir J</w:t>
      </w:r>
      <w:r w:rsidRPr="009C556B">
        <w:t>. 2015;46(4):903-75.</w:t>
      </w:r>
      <w:bookmarkEnd w:id="262"/>
    </w:p>
    <w:p w:rsidR="009C556B" w:rsidRPr="009C556B" w:rsidRDefault="009C556B" w:rsidP="009C556B">
      <w:pPr>
        <w:pStyle w:val="EndNoteBibliography"/>
        <w:ind w:left="720" w:hanging="720"/>
      </w:pPr>
      <w:bookmarkStart w:id="263" w:name="_ENREF_9"/>
      <w:r w:rsidRPr="009C556B">
        <w:t>9.</w:t>
      </w:r>
      <w:r w:rsidRPr="009C556B">
        <w:tab/>
        <w:t xml:space="preserve">Simonneau G, Gatzoulis MA, Adatia I, Celermajer D, Denton C, Ghofrani A, et al. Updated clinical classification of pulmonary hypertension. </w:t>
      </w:r>
      <w:r w:rsidRPr="009C556B">
        <w:rPr>
          <w:i/>
        </w:rPr>
        <w:t>J Am Coll Cardiol</w:t>
      </w:r>
      <w:r w:rsidRPr="009C556B">
        <w:t>. 2013;62(25 Suppl):D34-41.</w:t>
      </w:r>
      <w:bookmarkEnd w:id="263"/>
    </w:p>
    <w:p w:rsidR="009C556B" w:rsidRPr="009C556B" w:rsidRDefault="009C556B" w:rsidP="009C556B">
      <w:pPr>
        <w:pStyle w:val="EndNoteBibliography"/>
        <w:ind w:left="720" w:hanging="720"/>
      </w:pPr>
      <w:bookmarkStart w:id="264" w:name="_ENREF_10"/>
      <w:r w:rsidRPr="009C556B">
        <w:t>10.</w:t>
      </w:r>
      <w:r w:rsidRPr="009C556B">
        <w:tab/>
        <w:t xml:space="preserve">Galie N, Torbicki A, Barst R, Dartevelle P, Haworth S, Higenbottam T, et al. Guidelines on diagnosis and treatment of pulmonary arterial hypertension. The Task Force on Diagnosis and Treatment of Pulmonary Arterial Hypertension of the European Society of Cardiology. </w:t>
      </w:r>
      <w:r w:rsidRPr="009C556B">
        <w:rPr>
          <w:i/>
        </w:rPr>
        <w:t>Eur Heart J</w:t>
      </w:r>
      <w:r w:rsidRPr="009C556B">
        <w:t>. 2004;25(24):2243-78.</w:t>
      </w:r>
      <w:bookmarkEnd w:id="264"/>
    </w:p>
    <w:p w:rsidR="009C556B" w:rsidRPr="009C556B" w:rsidRDefault="009C556B" w:rsidP="009C556B">
      <w:pPr>
        <w:pStyle w:val="EndNoteBibliography"/>
        <w:ind w:left="720" w:hanging="720"/>
      </w:pPr>
      <w:bookmarkStart w:id="265" w:name="_ENREF_11"/>
      <w:r w:rsidRPr="009C556B">
        <w:t>11.</w:t>
      </w:r>
      <w:r w:rsidRPr="009C556B">
        <w:tab/>
        <w:t xml:space="preserve">Therapeutic Goods Administration. Thelin (sitaxentan): worldwide withdrawal. 2010: Available from: </w:t>
      </w:r>
      <w:r w:rsidRPr="003F5FE5">
        <w:t>https://www.tga.gov.au/alert/thelin-sitaxentan-worldwide-withdrawal</w:t>
      </w:r>
      <w:r w:rsidRPr="009C556B">
        <w:t>.</w:t>
      </w:r>
      <w:bookmarkEnd w:id="265"/>
    </w:p>
    <w:p w:rsidR="009C556B" w:rsidRPr="009C556B" w:rsidRDefault="009C556B" w:rsidP="009C556B">
      <w:pPr>
        <w:pStyle w:val="EndNoteBibliography"/>
        <w:ind w:left="720" w:hanging="720"/>
      </w:pPr>
      <w:bookmarkStart w:id="266" w:name="_ENREF_12"/>
      <w:r w:rsidRPr="009C556B">
        <w:t>12.</w:t>
      </w:r>
      <w:r w:rsidRPr="009C556B">
        <w:tab/>
        <w:t xml:space="preserve">Moonen A, Garsia R, Youssef P, Torzillo P, Corte T, Boehm C, et al. Outcomes of pulmonary arterial hypertension therapy in Australia: is monotherapy adequate? </w:t>
      </w:r>
      <w:r w:rsidRPr="009C556B">
        <w:rPr>
          <w:i/>
        </w:rPr>
        <w:t>Intern Med J</w:t>
      </w:r>
      <w:r w:rsidRPr="009C556B">
        <w:t>. 2017;47(10):1124-8.</w:t>
      </w:r>
      <w:bookmarkEnd w:id="266"/>
    </w:p>
    <w:p w:rsidR="009C556B" w:rsidRPr="009C556B" w:rsidRDefault="009C556B" w:rsidP="009C556B">
      <w:pPr>
        <w:pStyle w:val="EndNoteBibliography"/>
        <w:ind w:left="720" w:hanging="720"/>
      </w:pPr>
      <w:bookmarkStart w:id="267" w:name="_ENREF_13"/>
      <w:r w:rsidRPr="009C556B">
        <w:t>13.</w:t>
      </w:r>
      <w:r w:rsidRPr="009C556B">
        <w:tab/>
        <w:t xml:space="preserve">Prior DL, Adams H, Williams TJ. Update on pharmacotherapy for pulmonary hypertension. </w:t>
      </w:r>
      <w:r w:rsidRPr="009C556B">
        <w:rPr>
          <w:i/>
        </w:rPr>
        <w:t>Med J Aust</w:t>
      </w:r>
      <w:r w:rsidRPr="009C556B">
        <w:t>. 2016;205(6):271-6.</w:t>
      </w:r>
      <w:bookmarkEnd w:id="267"/>
    </w:p>
    <w:p w:rsidR="009C556B" w:rsidRPr="009C556B" w:rsidRDefault="009C556B" w:rsidP="009C556B">
      <w:pPr>
        <w:pStyle w:val="EndNoteBibliography"/>
        <w:ind w:left="720" w:hanging="720"/>
      </w:pPr>
      <w:bookmarkStart w:id="268" w:name="_ENREF_14"/>
      <w:r w:rsidRPr="009C556B">
        <w:t>14.</w:t>
      </w:r>
      <w:r w:rsidRPr="009C556B">
        <w:tab/>
        <w:t xml:space="preserve">Strange G, Lau EM, Giannoulatou E, Corrigan C, Kotlyar E, Kermeen F, et al. Survival of Idiopathic Pulmonary Arterial Hypertension Patients in the Modern Era in Australia and New Zealand. </w:t>
      </w:r>
      <w:r w:rsidRPr="009C556B">
        <w:rPr>
          <w:i/>
        </w:rPr>
        <w:t>Heart Lung Circ</w:t>
      </w:r>
      <w:r w:rsidRPr="009C556B">
        <w:t>. 2017.</w:t>
      </w:r>
      <w:bookmarkEnd w:id="268"/>
    </w:p>
    <w:p w:rsidR="009C556B" w:rsidRPr="009C556B" w:rsidRDefault="009C556B" w:rsidP="009C556B">
      <w:pPr>
        <w:pStyle w:val="EndNoteBibliography"/>
        <w:ind w:left="720" w:hanging="720"/>
      </w:pPr>
      <w:bookmarkStart w:id="269" w:name="_ENREF_15"/>
      <w:r w:rsidRPr="009C556B">
        <w:t>15.</w:t>
      </w:r>
      <w:r w:rsidRPr="009C556B">
        <w:tab/>
        <w:t xml:space="preserve">Farber HW, Miller DP, Meltzer LA, McGoon MD. Treatment of patients with pulmonary arterial hypertension at the time of death or deterioration to functional class IV: insights from the REVEAL Registry. </w:t>
      </w:r>
      <w:r w:rsidRPr="009C556B">
        <w:rPr>
          <w:i/>
        </w:rPr>
        <w:t>J Heart Lung Transplant</w:t>
      </w:r>
      <w:r w:rsidRPr="009C556B">
        <w:t>. 2013;32(11):1114-22.</w:t>
      </w:r>
      <w:bookmarkEnd w:id="269"/>
    </w:p>
    <w:p w:rsidR="009C556B" w:rsidRPr="009C556B" w:rsidRDefault="009C556B" w:rsidP="009C556B">
      <w:pPr>
        <w:pStyle w:val="EndNoteBibliography"/>
        <w:ind w:left="720" w:hanging="720"/>
      </w:pPr>
      <w:bookmarkStart w:id="270" w:name="_ENREF_16"/>
      <w:r w:rsidRPr="009C556B">
        <w:t>16.</w:t>
      </w:r>
      <w:r w:rsidRPr="009C556B">
        <w:tab/>
        <w:t xml:space="preserve">Morrisroe K, Stevens W, Huq M, Prior D, Sahhar J, Ngian GS, et al. Survival and quality of life in incident systemic sclerosis-related pulmonary arterial hypertension. </w:t>
      </w:r>
      <w:r w:rsidRPr="009C556B">
        <w:rPr>
          <w:i/>
        </w:rPr>
        <w:t>Arthritis Res Ther</w:t>
      </w:r>
      <w:r w:rsidRPr="009C556B">
        <w:t>. 2017;19(1):122.</w:t>
      </w:r>
      <w:bookmarkEnd w:id="270"/>
    </w:p>
    <w:p w:rsidR="009C556B" w:rsidRPr="009C556B" w:rsidRDefault="009C556B" w:rsidP="009C556B">
      <w:pPr>
        <w:pStyle w:val="EndNoteBibliography"/>
        <w:ind w:left="720" w:hanging="720"/>
      </w:pPr>
      <w:bookmarkStart w:id="271" w:name="_ENREF_17"/>
      <w:r w:rsidRPr="009C556B">
        <w:t>17.</w:t>
      </w:r>
      <w:r w:rsidRPr="009C556B">
        <w:tab/>
        <w:t xml:space="preserve">ADAPTE Collaboration. The ADAPTE process: Resource toolkit for guideline adaptation. Version 2. 2009: Available from: </w:t>
      </w:r>
      <w:r w:rsidRPr="003F5FE5">
        <w:t>http://www.g-i-n.net/</w:t>
      </w:r>
      <w:r w:rsidRPr="009C556B">
        <w:t>.</w:t>
      </w:r>
      <w:bookmarkEnd w:id="271"/>
    </w:p>
    <w:p w:rsidR="009C556B" w:rsidRPr="009C556B" w:rsidRDefault="009C556B" w:rsidP="009C556B">
      <w:pPr>
        <w:pStyle w:val="EndNoteBibliography"/>
        <w:ind w:left="720" w:hanging="720"/>
      </w:pPr>
      <w:bookmarkStart w:id="272" w:name="_ENREF_18"/>
      <w:r w:rsidRPr="009C556B">
        <w:t>18.</w:t>
      </w:r>
      <w:r w:rsidRPr="009C556B">
        <w:tab/>
        <w:t xml:space="preserve">Appraisal of Guidelines for Research and Evaluation. AGREE II Instrument. 2017: Available from: </w:t>
      </w:r>
      <w:r w:rsidRPr="003F5FE5">
        <w:t>https://www.agreetrust.org/</w:t>
      </w:r>
      <w:r w:rsidRPr="009C556B">
        <w:t>.</w:t>
      </w:r>
      <w:bookmarkEnd w:id="272"/>
    </w:p>
    <w:p w:rsidR="009C556B" w:rsidRPr="009C556B" w:rsidRDefault="009C556B" w:rsidP="009C556B">
      <w:pPr>
        <w:pStyle w:val="EndNoteBibliography"/>
        <w:ind w:left="720" w:hanging="720"/>
      </w:pPr>
      <w:bookmarkStart w:id="273" w:name="_ENREF_19"/>
      <w:r w:rsidRPr="009C556B">
        <w:t>19.</w:t>
      </w:r>
      <w:r w:rsidRPr="009C556B">
        <w:tab/>
        <w:t xml:space="preserve">Taichman DB, Ornelas J, Chung L, Klinger JR, Lewis S, Mandel J, et al. Pharmacologic therapy for pulmonary arterial hypertension in adults: CHEST guideline and expert panel report. </w:t>
      </w:r>
      <w:r w:rsidRPr="009C556B">
        <w:rPr>
          <w:i/>
        </w:rPr>
        <w:t>Chest</w:t>
      </w:r>
      <w:r w:rsidRPr="009C556B">
        <w:t>. 2014;146(2):449-75.</w:t>
      </w:r>
      <w:bookmarkEnd w:id="273"/>
    </w:p>
    <w:p w:rsidR="009C556B" w:rsidRPr="009C556B" w:rsidRDefault="009C556B" w:rsidP="009C556B">
      <w:pPr>
        <w:pStyle w:val="EndNoteBibliography"/>
        <w:ind w:left="720" w:hanging="720"/>
      </w:pPr>
      <w:bookmarkStart w:id="274" w:name="_ENREF_20"/>
      <w:r w:rsidRPr="009C556B">
        <w:t>20.</w:t>
      </w:r>
      <w:r w:rsidRPr="009C556B">
        <w:tab/>
        <w:t xml:space="preserve">McLaughlin VV, Archer SL, Badesch DB, Barst RJ, Farber HW, Lindner JR, et al. ACCF/AHA 2009 expert consensus document on pulmonary hypertension a report of the American College of Cardiology Foundation Task Force on Expert Consensus Documents and the American Heart Association developed in collaboration with the American College of Chest Physicians; American Thoracic Society, Inc.; and the Pulmonary Hypertension Association. </w:t>
      </w:r>
      <w:r w:rsidRPr="009C556B">
        <w:rPr>
          <w:i/>
        </w:rPr>
        <w:t>J Am Coll Cardiol</w:t>
      </w:r>
      <w:r w:rsidRPr="009C556B">
        <w:t>. 2009;53(17):1573-619.</w:t>
      </w:r>
      <w:bookmarkEnd w:id="274"/>
    </w:p>
    <w:p w:rsidR="009C556B" w:rsidRPr="009C556B" w:rsidRDefault="009C556B" w:rsidP="009C556B">
      <w:pPr>
        <w:pStyle w:val="EndNoteBibliography"/>
        <w:ind w:left="720" w:hanging="720"/>
      </w:pPr>
      <w:bookmarkStart w:id="275" w:name="_ENREF_21"/>
      <w:r w:rsidRPr="009C556B">
        <w:t>21.</w:t>
      </w:r>
      <w:r w:rsidRPr="009C556B">
        <w:tab/>
        <w:t xml:space="preserve">Expert Panel on Thoracic I, Sirajuddin A, Donnelly EF, Crabtree TP, Henry TS, Iannettoni MD, et al. ACR Appropriateness Criteria((R)) Suspected Pulmonary Hypertension. </w:t>
      </w:r>
      <w:r w:rsidRPr="009C556B">
        <w:rPr>
          <w:i/>
        </w:rPr>
        <w:t>J Am Coll Radiol</w:t>
      </w:r>
      <w:r w:rsidRPr="009C556B">
        <w:t>. 2017;14(5S):S350-S61.</w:t>
      </w:r>
      <w:bookmarkEnd w:id="275"/>
    </w:p>
    <w:p w:rsidR="009C556B" w:rsidRPr="009C556B" w:rsidRDefault="009C556B" w:rsidP="009C556B">
      <w:pPr>
        <w:pStyle w:val="EndNoteBibliography"/>
        <w:ind w:left="720" w:hanging="720"/>
      </w:pPr>
      <w:bookmarkStart w:id="276" w:name="_ENREF_22"/>
      <w:r w:rsidRPr="009C556B">
        <w:t>22.</w:t>
      </w:r>
      <w:r w:rsidRPr="009C556B">
        <w:tab/>
        <w:t xml:space="preserve">Abman SH, Hansmann G, Archer SL, Ivy DD, Adatia I, Chung WK, et al. Pediatric Pulmonary Hypertension: Guidelines From the American Heart Association and American Thoracic Society. </w:t>
      </w:r>
      <w:r w:rsidRPr="009C556B">
        <w:rPr>
          <w:i/>
        </w:rPr>
        <w:t>Circulation</w:t>
      </w:r>
      <w:r w:rsidRPr="009C556B">
        <w:t>. 2015;132(21):2037-99.</w:t>
      </w:r>
      <w:bookmarkEnd w:id="276"/>
    </w:p>
    <w:p w:rsidR="009C556B" w:rsidRPr="009C556B" w:rsidRDefault="009C556B" w:rsidP="009C556B">
      <w:pPr>
        <w:pStyle w:val="EndNoteBibliography"/>
        <w:ind w:left="720" w:hanging="720"/>
      </w:pPr>
      <w:bookmarkStart w:id="277" w:name="_ENREF_23"/>
      <w:r w:rsidRPr="009C556B">
        <w:t>23.</w:t>
      </w:r>
      <w:r w:rsidRPr="009C556B">
        <w:tab/>
        <w:t xml:space="preserve">Ivy DD, Abman SH, Barst RJ, Berger RM, Bonnet D, Fleming TR, et al. Pediatric pulmonary hypertension. </w:t>
      </w:r>
      <w:r w:rsidRPr="009C556B">
        <w:rPr>
          <w:i/>
        </w:rPr>
        <w:t>J Am Coll Cardiol</w:t>
      </w:r>
      <w:r w:rsidRPr="009C556B">
        <w:t>. 2013;62(25 Suppl):D117-26.</w:t>
      </w:r>
      <w:bookmarkEnd w:id="277"/>
    </w:p>
    <w:p w:rsidR="009C556B" w:rsidRPr="009C556B" w:rsidRDefault="009C556B" w:rsidP="009C556B">
      <w:pPr>
        <w:pStyle w:val="EndNoteBibliography"/>
        <w:ind w:left="720" w:hanging="720"/>
      </w:pPr>
      <w:bookmarkStart w:id="278" w:name="_ENREF_24"/>
      <w:r w:rsidRPr="009C556B">
        <w:t>24.</w:t>
      </w:r>
      <w:r w:rsidRPr="009C556B">
        <w:tab/>
        <w:t xml:space="preserve">Hoeper MM, Bogaard HJ, Condliffe R, Frantz R, Khanna D, Kurzyna M, et al. Definitions and diagnosis of pulmonary hypertension. </w:t>
      </w:r>
      <w:r w:rsidRPr="009C556B">
        <w:rPr>
          <w:i/>
        </w:rPr>
        <w:t>J Am Coll Cardiol</w:t>
      </w:r>
      <w:r w:rsidRPr="009C556B">
        <w:t>. 2013;62(25 Suppl):D42-50.</w:t>
      </w:r>
      <w:bookmarkEnd w:id="278"/>
    </w:p>
    <w:p w:rsidR="009C556B" w:rsidRPr="009C556B" w:rsidRDefault="009C556B" w:rsidP="009C556B">
      <w:pPr>
        <w:pStyle w:val="EndNoteBibliography"/>
        <w:ind w:left="720" w:hanging="720"/>
      </w:pPr>
      <w:bookmarkStart w:id="279" w:name="_ENREF_25"/>
      <w:r w:rsidRPr="009C556B">
        <w:t>25.</w:t>
      </w:r>
      <w:r w:rsidRPr="009C556B">
        <w:tab/>
        <w:t>CADTH. Drugs for Pulmonary Arterial Hypertension: Comparative Efficacy, Safety, and Cost-Effectiveness - Recommendations Report.  Drugs for Pulmonary Arterial Hypertension: Comparative Efficacy, Safety, and Cost-Effectiveness - Recommendations Report. Ottawa (ON)2015.</w:t>
      </w:r>
      <w:bookmarkEnd w:id="279"/>
    </w:p>
    <w:p w:rsidR="009C556B" w:rsidRPr="009C556B" w:rsidRDefault="009C556B" w:rsidP="009C556B">
      <w:pPr>
        <w:pStyle w:val="EndNoteBibliography"/>
        <w:ind w:left="720" w:hanging="720"/>
      </w:pPr>
      <w:bookmarkStart w:id="280" w:name="_ENREF_26"/>
      <w:r w:rsidRPr="009C556B">
        <w:t>26.</w:t>
      </w:r>
      <w:r w:rsidRPr="009C556B">
        <w:tab/>
        <w:t xml:space="preserve">National Institute for Health and Care Excellence. NICE Guidance. Pulmonary arterial hypertension (adults) - drugs [ID12]. 2008: Available from: </w:t>
      </w:r>
      <w:r w:rsidRPr="003F5FE5">
        <w:t>https://www.nice.org.uk/Guidance/InDevelopment/GID-TAG382/Documents</w:t>
      </w:r>
      <w:r w:rsidRPr="009C556B">
        <w:t>.</w:t>
      </w:r>
      <w:bookmarkEnd w:id="280"/>
    </w:p>
    <w:p w:rsidR="009C556B" w:rsidRPr="009C556B" w:rsidRDefault="009C556B" w:rsidP="009C556B">
      <w:pPr>
        <w:pStyle w:val="EndNoteBibliography"/>
        <w:ind w:left="720" w:hanging="720"/>
      </w:pPr>
      <w:bookmarkStart w:id="281" w:name="_ENREF_27"/>
      <w:r w:rsidRPr="009C556B">
        <w:t>27.</w:t>
      </w:r>
      <w:r w:rsidRPr="009C556B">
        <w:tab/>
        <w:t xml:space="preserve">National Health Service England. NHS Commissioning. A01. Specialised Respiratory. Targeted Therapies for use in Pulmonary Hypertension in Adults. 2015: Available from: </w:t>
      </w:r>
      <w:r w:rsidRPr="003F5FE5">
        <w:t>https://www.england.nhs.uk/commissioning/spec-services/npc-crg/group-a/a01/</w:t>
      </w:r>
      <w:r w:rsidRPr="009C556B">
        <w:t>.</w:t>
      </w:r>
      <w:bookmarkEnd w:id="281"/>
    </w:p>
    <w:p w:rsidR="009C556B" w:rsidRPr="009C556B" w:rsidRDefault="009C556B" w:rsidP="009C556B">
      <w:pPr>
        <w:pStyle w:val="EndNoteBibliography"/>
        <w:ind w:left="720" w:hanging="720"/>
      </w:pPr>
      <w:bookmarkStart w:id="282" w:name="_ENREF_28"/>
      <w:r w:rsidRPr="009C556B">
        <w:t>28.</w:t>
      </w:r>
      <w:r w:rsidRPr="009C556B">
        <w:tab/>
        <w:t xml:space="preserve">Rudski LG, Lai WW, Afilalo J, Hua L, Handschumacher MD, Chandrasekaran K, et al. Guidelines for the echocardiographic assessment of the right heart in adults: a report from the American Society of Echocardiography endorsed by the European Association of Echocardiography, a registered branch of the European Society of Cardiology, and the Canadian Society of Echocardiography. </w:t>
      </w:r>
      <w:r w:rsidRPr="009C556B">
        <w:rPr>
          <w:i/>
        </w:rPr>
        <w:t>J Am Soc Echocardiogr</w:t>
      </w:r>
      <w:r w:rsidRPr="009C556B">
        <w:t>. 2010;23(7):685-713; quiz 86-8.</w:t>
      </w:r>
      <w:bookmarkEnd w:id="282"/>
    </w:p>
    <w:p w:rsidR="009C556B" w:rsidRPr="009C556B" w:rsidRDefault="009C556B" w:rsidP="009C556B">
      <w:pPr>
        <w:pStyle w:val="EndNoteBibliography"/>
        <w:ind w:left="720" w:hanging="720"/>
      </w:pPr>
      <w:bookmarkStart w:id="283" w:name="_ENREF_29"/>
      <w:r w:rsidRPr="009C556B">
        <w:t>29.</w:t>
      </w:r>
      <w:r w:rsidRPr="009C556B">
        <w:tab/>
        <w:t xml:space="preserve">McLaughlin VV, Shah SJ, Souza R, Humbert M. Management of pulmonary arterial hypertension. </w:t>
      </w:r>
      <w:r w:rsidRPr="009C556B">
        <w:rPr>
          <w:i/>
        </w:rPr>
        <w:t>J Am Coll Cardiol</w:t>
      </w:r>
      <w:r w:rsidRPr="009C556B">
        <w:t>. 2015;65(18):1976-97.</w:t>
      </w:r>
      <w:bookmarkEnd w:id="283"/>
    </w:p>
    <w:p w:rsidR="009C556B" w:rsidRPr="009C556B" w:rsidRDefault="009C556B" w:rsidP="009C556B">
      <w:pPr>
        <w:pStyle w:val="EndNoteBibliography"/>
        <w:ind w:left="720" w:hanging="720"/>
      </w:pPr>
      <w:bookmarkStart w:id="284" w:name="_ENREF_30"/>
      <w:r w:rsidRPr="009C556B">
        <w:t>30.</w:t>
      </w:r>
      <w:r w:rsidRPr="009C556B">
        <w:tab/>
        <w:t xml:space="preserve">Bossone E, D'Andrea A, D'Alto M, Citro R, Argiento P, Ferrara F, et al. Echocardiography in pulmonary arterial hypertension: from diagnosis to prognosis. </w:t>
      </w:r>
      <w:r w:rsidRPr="009C556B">
        <w:rPr>
          <w:i/>
        </w:rPr>
        <w:t>J Am Soc Echocardiogr</w:t>
      </w:r>
      <w:r w:rsidRPr="009C556B">
        <w:t>. 2013;26(1):1-14.</w:t>
      </w:r>
      <w:bookmarkEnd w:id="284"/>
    </w:p>
    <w:p w:rsidR="009C556B" w:rsidRPr="009C556B" w:rsidRDefault="009C556B" w:rsidP="009C556B">
      <w:pPr>
        <w:pStyle w:val="EndNoteBibliography"/>
        <w:ind w:left="720" w:hanging="720"/>
      </w:pPr>
      <w:bookmarkStart w:id="285" w:name="_ENREF_31"/>
      <w:r w:rsidRPr="009C556B">
        <w:t>31.</w:t>
      </w:r>
      <w:r w:rsidRPr="009C556B">
        <w:tab/>
        <w:t xml:space="preserve">Rosenkranz S, Preston IR. Right heart catheterisation: best practice and pitfalls in pulmonary hypertension. </w:t>
      </w:r>
      <w:r w:rsidRPr="009C556B">
        <w:rPr>
          <w:i/>
        </w:rPr>
        <w:t>Eur Respir Rev</w:t>
      </w:r>
      <w:r w:rsidRPr="009C556B">
        <w:t>. 2015;24(138):642-52.</w:t>
      </w:r>
      <w:bookmarkEnd w:id="285"/>
    </w:p>
    <w:p w:rsidR="009C556B" w:rsidRPr="009C556B" w:rsidRDefault="009C556B" w:rsidP="009C556B">
      <w:pPr>
        <w:pStyle w:val="EndNoteBibliography"/>
        <w:ind w:left="720" w:hanging="720"/>
      </w:pPr>
      <w:bookmarkStart w:id="286" w:name="_ENREF_32"/>
      <w:r w:rsidRPr="009C556B">
        <w:t>32.</w:t>
      </w:r>
      <w:r w:rsidRPr="009C556B">
        <w:tab/>
        <w:t xml:space="preserve">Grunig E, Peacock AJ. Imaging the heart in pulmonary hypertension: an update. </w:t>
      </w:r>
      <w:r w:rsidRPr="009C556B">
        <w:rPr>
          <w:i/>
        </w:rPr>
        <w:t>Eur Respir Rev</w:t>
      </w:r>
      <w:r w:rsidRPr="009C556B">
        <w:t>. 2015;24(138):653-64.</w:t>
      </w:r>
      <w:bookmarkEnd w:id="286"/>
    </w:p>
    <w:p w:rsidR="009C556B" w:rsidRPr="009C556B" w:rsidRDefault="009C556B" w:rsidP="009C556B">
      <w:pPr>
        <w:pStyle w:val="EndNoteBibliography"/>
        <w:ind w:left="720" w:hanging="720"/>
      </w:pPr>
      <w:bookmarkStart w:id="287" w:name="_ENREF_33"/>
      <w:r w:rsidRPr="009C556B">
        <w:t>33.</w:t>
      </w:r>
      <w:r w:rsidRPr="009C556B">
        <w:tab/>
        <w:t xml:space="preserve">Benza RL, Gomberg-Maitland M, Miller DP, Frost A, Frantz RP, Foreman AJ, et al. The REVEAL Registry risk score calculator in patients newly diagnosed with pulmonary arterial hypertension. </w:t>
      </w:r>
      <w:r w:rsidRPr="009C556B">
        <w:rPr>
          <w:i/>
        </w:rPr>
        <w:t>Chest</w:t>
      </w:r>
      <w:r w:rsidRPr="009C556B">
        <w:t>. 2012;141(2):354-62.</w:t>
      </w:r>
      <w:bookmarkEnd w:id="287"/>
    </w:p>
    <w:p w:rsidR="009C556B" w:rsidRPr="009C556B" w:rsidRDefault="009C556B" w:rsidP="009C556B">
      <w:pPr>
        <w:pStyle w:val="EndNoteBibliography"/>
        <w:ind w:left="720" w:hanging="720"/>
      </w:pPr>
      <w:bookmarkStart w:id="288" w:name="_ENREF_34"/>
      <w:r w:rsidRPr="009C556B">
        <w:t>34.</w:t>
      </w:r>
      <w:r w:rsidRPr="009C556B">
        <w:tab/>
        <w:t xml:space="preserve">Galie N, Simonneau G, Barst RJ, Badesch D, Rubin L. Clinical worsening in trials of pulmonary arterial hypertension: results and implications. </w:t>
      </w:r>
      <w:r w:rsidRPr="009C556B">
        <w:rPr>
          <w:i/>
        </w:rPr>
        <w:t>Curr Opin Pulm Med</w:t>
      </w:r>
      <w:r w:rsidRPr="009C556B">
        <w:t>. 2010;16 Suppl 1:S11-9.</w:t>
      </w:r>
      <w:bookmarkEnd w:id="288"/>
    </w:p>
    <w:p w:rsidR="009C556B" w:rsidRPr="009C556B" w:rsidRDefault="009C556B" w:rsidP="009C556B">
      <w:pPr>
        <w:pStyle w:val="EndNoteBibliography"/>
        <w:ind w:left="720" w:hanging="720"/>
      </w:pPr>
      <w:bookmarkStart w:id="289" w:name="_ENREF_35"/>
      <w:r w:rsidRPr="009C556B">
        <w:t>35.</w:t>
      </w:r>
      <w:r w:rsidRPr="009C556B">
        <w:tab/>
        <w:t xml:space="preserve">Srinivas NR. Clinical drug-drug interactions of bosentan, a potent endothelial receptor antagonist, with various drugs: Physiological role of enzymes and transporters. </w:t>
      </w:r>
      <w:r w:rsidRPr="009C556B">
        <w:rPr>
          <w:i/>
        </w:rPr>
        <w:t>Gen Physiol Biophys</w:t>
      </w:r>
      <w:r w:rsidRPr="009C556B">
        <w:t>. 2016;35(3):243-58.</w:t>
      </w:r>
      <w:bookmarkEnd w:id="289"/>
    </w:p>
    <w:p w:rsidR="009C556B" w:rsidRPr="009C556B" w:rsidRDefault="009C556B" w:rsidP="009C556B">
      <w:pPr>
        <w:pStyle w:val="EndNoteBibliography"/>
        <w:ind w:left="720" w:hanging="720"/>
      </w:pPr>
      <w:bookmarkStart w:id="290" w:name="_ENREF_36"/>
      <w:r w:rsidRPr="009C556B">
        <w:t>36.</w:t>
      </w:r>
      <w:r w:rsidRPr="009C556B">
        <w:tab/>
        <w:t xml:space="preserve">Paul GA, Gibbs JS, Boobis AR, Abbas A, Wilkins MR. Bosentan decreases the plasma concentration of sildenafil when coprescribed in pulmonary hypertension. </w:t>
      </w:r>
      <w:r w:rsidRPr="009C556B">
        <w:rPr>
          <w:i/>
        </w:rPr>
        <w:t>Br J Clin Pharmacol</w:t>
      </w:r>
      <w:r w:rsidRPr="009C556B">
        <w:t>. 2005;60(1):107-12.</w:t>
      </w:r>
      <w:bookmarkEnd w:id="290"/>
    </w:p>
    <w:p w:rsidR="009C556B" w:rsidRPr="009C556B" w:rsidRDefault="009C556B" w:rsidP="009C556B">
      <w:pPr>
        <w:pStyle w:val="EndNoteBibliography"/>
        <w:ind w:left="720" w:hanging="720"/>
      </w:pPr>
      <w:bookmarkStart w:id="291" w:name="_ENREF_37"/>
      <w:r w:rsidRPr="009C556B">
        <w:t>37.</w:t>
      </w:r>
      <w:r w:rsidRPr="009C556B">
        <w:tab/>
        <w:t xml:space="preserve">European Medicines Agency. Opsumit: EPAR - Product Information. 2017: Available from: </w:t>
      </w:r>
      <w:r w:rsidRPr="003F5FE5">
        <w:t>http://www.ema.europa.eu/ema/index.jsp?curl=pages/medicines/human/medicines/002697/human_med_001717.jsp&amp;mid=WC0b01ac058001d124</w:t>
      </w:r>
      <w:r w:rsidRPr="009C556B">
        <w:t>.</w:t>
      </w:r>
      <w:bookmarkEnd w:id="291"/>
    </w:p>
    <w:p w:rsidR="009C556B" w:rsidRPr="009C556B" w:rsidRDefault="009C556B" w:rsidP="009C556B">
      <w:pPr>
        <w:pStyle w:val="EndNoteBibliography"/>
        <w:ind w:left="720" w:hanging="720"/>
      </w:pPr>
      <w:bookmarkStart w:id="292" w:name="_ENREF_38"/>
      <w:r w:rsidRPr="009C556B">
        <w:t>38.</w:t>
      </w:r>
      <w:r w:rsidRPr="009C556B">
        <w:tab/>
        <w:t xml:space="preserve">Bagga H, Chia KS, Freeman D, Hales L, Henderson DS, Kotlyar E, et al. The initial 18 months of the first multi-disciplinary regional Pulmonary Arterial Hypertension Clinic in Australia. </w:t>
      </w:r>
      <w:r w:rsidRPr="009C556B">
        <w:rPr>
          <w:i/>
        </w:rPr>
        <w:t>Aust J Rural Health</w:t>
      </w:r>
      <w:r w:rsidRPr="009C556B">
        <w:t>. 2011;19(2):89-94.</w:t>
      </w:r>
      <w:bookmarkEnd w:id="292"/>
    </w:p>
    <w:p w:rsidR="009C556B" w:rsidRPr="009C556B" w:rsidRDefault="009C556B" w:rsidP="009C556B">
      <w:pPr>
        <w:pStyle w:val="EndNoteBibliography"/>
        <w:ind w:left="720" w:hanging="720"/>
      </w:pPr>
      <w:bookmarkStart w:id="293" w:name="_ENREF_39"/>
      <w:r w:rsidRPr="009C556B">
        <w:t>39.</w:t>
      </w:r>
      <w:r w:rsidRPr="009C556B">
        <w:tab/>
        <w:t xml:space="preserve">Therapeutic Goods Administration. AusPAR: Sildenafil. 2011: Available from: </w:t>
      </w:r>
      <w:r w:rsidRPr="003F5FE5">
        <w:t>https://www.tga.gov.au/auspar/auspar-sildenafil</w:t>
      </w:r>
      <w:r w:rsidRPr="009C556B">
        <w:t>.</w:t>
      </w:r>
      <w:bookmarkEnd w:id="293"/>
    </w:p>
    <w:p w:rsidR="009C556B" w:rsidRPr="009C556B" w:rsidRDefault="009C556B" w:rsidP="009C556B">
      <w:pPr>
        <w:pStyle w:val="EndNoteBibliography"/>
        <w:ind w:left="720" w:hanging="720"/>
      </w:pPr>
      <w:bookmarkStart w:id="294" w:name="_ENREF_40"/>
      <w:r w:rsidRPr="009C556B">
        <w:t>40.</w:t>
      </w:r>
      <w:r w:rsidRPr="009C556B">
        <w:tab/>
        <w:t xml:space="preserve">U.S. Food &amp; Drug Administration. FDA Drug Safety Communication: FDA recommends against use of Revatio (sildenafil) in children with pulmonary hypertension. 2014: Available from: </w:t>
      </w:r>
      <w:r w:rsidRPr="003F5FE5">
        <w:t>https://www.fda.gov/Drugs/DrugSafety/ucm317123.htm</w:t>
      </w:r>
      <w:r w:rsidRPr="009C556B">
        <w:t>.</w:t>
      </w:r>
      <w:bookmarkEnd w:id="294"/>
    </w:p>
    <w:p w:rsidR="009C556B" w:rsidRPr="009C556B" w:rsidRDefault="009C556B" w:rsidP="009C556B">
      <w:pPr>
        <w:pStyle w:val="EndNoteBibliography"/>
        <w:ind w:left="720" w:hanging="720"/>
      </w:pPr>
      <w:bookmarkStart w:id="295" w:name="_ENREF_41"/>
      <w:r w:rsidRPr="009C556B">
        <w:t>41.</w:t>
      </w:r>
      <w:r w:rsidRPr="009C556B">
        <w:tab/>
        <w:t xml:space="preserve">U.S. Food &amp; Drug Administration. Past Meeting Materials, Pediatric Advisory Committee: 2015 Meeting Materials. 2015: Available from: </w:t>
      </w:r>
      <w:r w:rsidRPr="003F5FE5">
        <w:t>https://www.fda.gov/AdvisoryCommittees/CommitteesMeetingMaterials/PediatricAdvisoryCommittee/ucm416405.htm</w:t>
      </w:r>
      <w:r w:rsidRPr="009C556B">
        <w:t>.</w:t>
      </w:r>
      <w:bookmarkEnd w:id="295"/>
    </w:p>
    <w:p w:rsidR="009C556B" w:rsidRPr="009C556B" w:rsidRDefault="009C556B" w:rsidP="009C556B">
      <w:pPr>
        <w:pStyle w:val="EndNoteBibliography"/>
        <w:ind w:left="720" w:hanging="720"/>
      </w:pPr>
      <w:bookmarkStart w:id="296" w:name="_ENREF_42"/>
      <w:r w:rsidRPr="009C556B">
        <w:t>42.</w:t>
      </w:r>
      <w:r w:rsidRPr="009C556B">
        <w:tab/>
        <w:t xml:space="preserve">U.S. Food &amp; Drug Administration. FDA Drug Safety Communication: FDA clarifies Warning about Pediatric Use of Revatio (sildenafil) for Pulmonary Arterial Hypertension. 2012: Available from: </w:t>
      </w:r>
      <w:r w:rsidRPr="003F5FE5">
        <w:t>https://www.fda.gov/Drugs/DrugSafety/ucm390876.htm</w:t>
      </w:r>
      <w:r w:rsidRPr="009C556B">
        <w:t>.</w:t>
      </w:r>
      <w:bookmarkEnd w:id="296"/>
    </w:p>
    <w:p w:rsidR="009C556B" w:rsidRPr="009C556B" w:rsidRDefault="009C556B" w:rsidP="009C556B">
      <w:pPr>
        <w:pStyle w:val="EndNoteBibliography"/>
        <w:ind w:left="720" w:hanging="720"/>
      </w:pPr>
      <w:bookmarkStart w:id="297" w:name="_ENREF_43"/>
      <w:r w:rsidRPr="009C556B">
        <w:t>43.</w:t>
      </w:r>
      <w:r w:rsidRPr="009C556B">
        <w:tab/>
        <w:t>European Medicines Agency. Revatio-000638-Article 45/020: EPAR - Assessment Report. 2012.</w:t>
      </w:r>
      <w:bookmarkEnd w:id="297"/>
    </w:p>
    <w:p w:rsidR="009C556B" w:rsidRPr="009C556B" w:rsidRDefault="009C556B" w:rsidP="009C556B">
      <w:pPr>
        <w:pStyle w:val="EndNoteBibliography"/>
        <w:ind w:left="720" w:hanging="720"/>
      </w:pPr>
      <w:bookmarkStart w:id="298" w:name="_ENREF_44"/>
      <w:r w:rsidRPr="009C556B">
        <w:t>44.</w:t>
      </w:r>
      <w:r w:rsidRPr="009C556B">
        <w:tab/>
        <w:t xml:space="preserve">Silverton N, Meineri M, Djaiani G. The controversy of right ventricular systolic pressure: is it time to abandon the pulmonary artery catheter? </w:t>
      </w:r>
      <w:r w:rsidRPr="009C556B">
        <w:rPr>
          <w:i/>
        </w:rPr>
        <w:t>Anaesthesia</w:t>
      </w:r>
      <w:r w:rsidRPr="009C556B">
        <w:t>. 2015;70(3):241-4.</w:t>
      </w:r>
      <w:bookmarkEnd w:id="298"/>
    </w:p>
    <w:p w:rsidR="009C556B" w:rsidRPr="009C556B" w:rsidRDefault="009C556B" w:rsidP="009C556B">
      <w:pPr>
        <w:pStyle w:val="EndNoteBibliography"/>
        <w:ind w:left="720" w:hanging="720"/>
      </w:pPr>
      <w:bookmarkStart w:id="299" w:name="_ENREF_45"/>
      <w:r w:rsidRPr="009C556B">
        <w:t>45.</w:t>
      </w:r>
      <w:r w:rsidRPr="009C556B">
        <w:tab/>
        <w:t xml:space="preserve">National Pulmonary Hypertension Centres of United Kingdom and Ireland Physicians' Committee. Centre details. 2017: Available from: </w:t>
      </w:r>
      <w:r w:rsidRPr="003F5FE5">
        <w:t>http://www.pulmonaryhypertensioncentres.co.uk/centres/index.html</w:t>
      </w:r>
      <w:r w:rsidRPr="009C556B">
        <w:t>.</w:t>
      </w:r>
      <w:bookmarkEnd w:id="299"/>
    </w:p>
    <w:p w:rsidR="009C556B" w:rsidRPr="009C556B" w:rsidRDefault="009C556B" w:rsidP="009C556B">
      <w:pPr>
        <w:pStyle w:val="EndNoteBibliography"/>
        <w:ind w:left="720" w:hanging="720"/>
      </w:pPr>
      <w:bookmarkStart w:id="300" w:name="_ENREF_46"/>
      <w:r w:rsidRPr="009C556B">
        <w:t>46.</w:t>
      </w:r>
      <w:r w:rsidRPr="009C556B">
        <w:tab/>
        <w:t xml:space="preserve">Swedish National Quality Registries. National Quality Registry for Pulmonary Arterial Hypertension (PAH). 2017: Available from: </w:t>
      </w:r>
      <w:r w:rsidRPr="003F5FE5">
        <w:t>http://kvalitetsregister.se/englishpages/findaregistry/registerarkivenglish/nationalqualityregistryforpulmonaryarterialhypertensionpah.2205.html</w:t>
      </w:r>
      <w:r w:rsidRPr="009C556B">
        <w:t>.</w:t>
      </w:r>
      <w:bookmarkEnd w:id="300"/>
    </w:p>
    <w:p w:rsidR="009C556B" w:rsidRPr="009C556B" w:rsidRDefault="009C556B" w:rsidP="009C556B">
      <w:pPr>
        <w:pStyle w:val="EndNoteBibliography"/>
        <w:ind w:left="720" w:hanging="720"/>
      </w:pPr>
      <w:bookmarkStart w:id="301" w:name="_ENREF_47"/>
      <w:r w:rsidRPr="009C556B">
        <w:t>47.</w:t>
      </w:r>
      <w:r w:rsidRPr="009C556B">
        <w:tab/>
        <w:t xml:space="preserve">Pulmonary Hypertension Association of Canada. Canadian Medical Centres Specializing in the Treatment of Pulmonary Hypertension. 2017: Available from: </w:t>
      </w:r>
      <w:r w:rsidRPr="003F5FE5">
        <w:t>http://www.phacanada.ca/en/patient-and-caregiver-resources/patients/clinical-directory/</w:t>
      </w:r>
      <w:r w:rsidRPr="009C556B">
        <w:t>.</w:t>
      </w:r>
      <w:bookmarkEnd w:id="301"/>
    </w:p>
    <w:p w:rsidR="009C556B" w:rsidRPr="009C556B" w:rsidRDefault="009C556B" w:rsidP="009C556B">
      <w:pPr>
        <w:pStyle w:val="EndNoteBibliography"/>
        <w:ind w:left="720" w:hanging="720"/>
      </w:pPr>
      <w:bookmarkStart w:id="302" w:name="_ENREF_48"/>
      <w:r w:rsidRPr="009C556B">
        <w:t>48.</w:t>
      </w:r>
      <w:r w:rsidRPr="009C556B">
        <w:tab/>
        <w:t>Pulmonary Hypertension Association of Australia. Pulmonary Hypertension Treatment Centres. 2017</w:t>
      </w:r>
      <w:bookmarkEnd w:id="302"/>
      <w:r w:rsidR="008C3A25">
        <w:t xml:space="preserve">: </w:t>
      </w:r>
      <w:r w:rsidR="008C3A25" w:rsidRPr="008C3A25">
        <w:t xml:space="preserve">Available from: </w:t>
      </w:r>
      <w:r w:rsidR="008C3A25" w:rsidRPr="003F5FE5">
        <w:t>http://www.phna.info/ph-treatment-centres.html</w:t>
      </w:r>
      <w:r w:rsidR="008C3A25" w:rsidRPr="008C3A25">
        <w:t>.</w:t>
      </w:r>
    </w:p>
    <w:p w:rsidR="009C556B" w:rsidRPr="009C556B" w:rsidRDefault="009C556B" w:rsidP="009C556B">
      <w:pPr>
        <w:pStyle w:val="EndNoteBibliography"/>
        <w:ind w:left="720" w:hanging="720"/>
      </w:pPr>
      <w:bookmarkStart w:id="303" w:name="_ENREF_49"/>
      <w:r w:rsidRPr="009C556B">
        <w:t>49.</w:t>
      </w:r>
      <w:r w:rsidRPr="009C556B">
        <w:tab/>
        <w:t xml:space="preserve">Pulmonary Hypertension Association of Australia. PH Specialist Centres. 2017: Available from: </w:t>
      </w:r>
      <w:r w:rsidRPr="003F5FE5">
        <w:t>http://www.phaaustralia.com/page/19/ph-specialist-centres</w:t>
      </w:r>
      <w:r w:rsidRPr="009C556B">
        <w:t>.</w:t>
      </w:r>
      <w:bookmarkEnd w:id="303"/>
    </w:p>
    <w:p w:rsidR="009C556B" w:rsidRPr="009C556B" w:rsidRDefault="009C556B" w:rsidP="009C556B">
      <w:pPr>
        <w:pStyle w:val="EndNoteBibliography"/>
        <w:ind w:left="720" w:hanging="720"/>
      </w:pPr>
      <w:bookmarkStart w:id="304" w:name="_ENREF_50"/>
      <w:r w:rsidRPr="009C556B">
        <w:t>50.</w:t>
      </w:r>
      <w:r w:rsidRPr="009C556B">
        <w:tab/>
        <w:t xml:space="preserve">Pulmonary Hypertension Association of Australia. Approved PAH designated (prescribing) centres. 2017: Available from: </w:t>
      </w:r>
      <w:r w:rsidRPr="003F5FE5">
        <w:t>http://www.phaaustralia.com/page/20/approved-ph-prescribing-centres</w:t>
      </w:r>
      <w:r w:rsidRPr="009C556B">
        <w:t>.</w:t>
      </w:r>
      <w:bookmarkEnd w:id="304"/>
    </w:p>
    <w:p w:rsidR="009C556B" w:rsidRPr="009C556B" w:rsidRDefault="009C556B" w:rsidP="009C556B">
      <w:pPr>
        <w:pStyle w:val="EndNoteBibliography"/>
        <w:ind w:left="720" w:hanging="720"/>
      </w:pPr>
      <w:bookmarkStart w:id="305" w:name="_ENREF_51"/>
      <w:r w:rsidRPr="009C556B">
        <w:t>51.</w:t>
      </w:r>
      <w:r w:rsidRPr="009C556B">
        <w:tab/>
        <w:t xml:space="preserve">Drug Utitilisation Sub-Committee. Pulmonary Arterial Hypertension (PAH) medicines utilisation analysis. 2015: Available from: </w:t>
      </w:r>
      <w:r w:rsidRPr="003F5FE5">
        <w:t>http://www.pbs.gov.au/info/industry/listing/participants/public-release-docs/pulm-art-hypertension/pulmonary-arterial-hypertension-pah-medicines-utilisation</w:t>
      </w:r>
      <w:r w:rsidRPr="009C556B">
        <w:t>.</w:t>
      </w:r>
      <w:bookmarkEnd w:id="305"/>
    </w:p>
    <w:p w:rsidR="00BA09E3" w:rsidRDefault="00BA09E3" w:rsidP="00D14982">
      <w:pPr>
        <w:ind w:left="720"/>
        <w:jc w:val="left"/>
      </w:pPr>
    </w:p>
    <w:p w:rsidR="00064D19" w:rsidRDefault="00064D19" w:rsidP="00121658">
      <w:pPr>
        <w:jc w:val="left"/>
      </w:pPr>
    </w:p>
    <w:p w:rsidR="00064D19" w:rsidRDefault="00064D19" w:rsidP="00121658">
      <w:pPr>
        <w:pStyle w:val="References"/>
        <w:ind w:left="0"/>
        <w:sectPr w:rsidR="00064D19" w:rsidSect="00D51AE3">
          <w:headerReference w:type="even" r:id="rId42"/>
          <w:headerReference w:type="default" r:id="rId43"/>
          <w:footerReference w:type="default" r:id="rId44"/>
          <w:headerReference w:type="first" r:id="rId45"/>
          <w:footnotePr>
            <w:numFmt w:val="chicago"/>
          </w:footnotePr>
          <w:pgSz w:w="11906" w:h="16838"/>
          <w:pgMar w:top="1134" w:right="1134" w:bottom="1134" w:left="1134" w:header="709" w:footer="709" w:gutter="0"/>
          <w:cols w:space="708"/>
          <w:docGrid w:linePitch="360"/>
        </w:sectPr>
      </w:pPr>
    </w:p>
    <w:p w:rsidR="001B7B5A" w:rsidRDefault="00F319D3" w:rsidP="00121658">
      <w:pPr>
        <w:pStyle w:val="Heading2"/>
        <w:pageBreakBefore/>
        <w:numPr>
          <w:ilvl w:val="0"/>
          <w:numId w:val="0"/>
        </w:numPr>
        <w:jc w:val="left"/>
      </w:pPr>
      <w:bookmarkStart w:id="306" w:name="_Ref508898759"/>
      <w:bookmarkStart w:id="307" w:name="_Toc513107615"/>
      <w:bookmarkStart w:id="308" w:name="_Ref501279722"/>
      <w:bookmarkStart w:id="309" w:name="_Ref502136851"/>
      <w:bookmarkStart w:id="310" w:name="_Toc502867728"/>
      <w:r>
        <w:t xml:space="preserve">Appendix </w:t>
      </w:r>
      <w:r w:rsidR="005E4483">
        <w:t>1.</w:t>
      </w:r>
      <w:bookmarkEnd w:id="306"/>
      <w:r w:rsidR="005E4483">
        <w:t>B</w:t>
      </w:r>
      <w:r>
        <w:tab/>
      </w:r>
      <w:r w:rsidR="001B7B5A">
        <w:t>Further ARTG and PBS information for PAH medicines</w:t>
      </w:r>
      <w:bookmarkEnd w:id="307"/>
    </w:p>
    <w:p w:rsidR="00064D19" w:rsidRPr="00F319D3" w:rsidRDefault="00560313" w:rsidP="002D2A0A">
      <w:pPr>
        <w:pStyle w:val="Caption"/>
        <w:ind w:left="0" w:firstLine="0"/>
        <w:jc w:val="left"/>
      </w:pPr>
      <w:bookmarkStart w:id="311" w:name="_Ref508898959"/>
      <w:bookmarkStart w:id="312" w:name="_Toc513107624"/>
      <w:r w:rsidRPr="00F319D3">
        <w:t>Table B.</w:t>
      </w:r>
      <w:r w:rsidR="00D63371">
        <w:rPr>
          <w:noProof/>
        </w:rPr>
        <w:t>7</w:t>
      </w:r>
      <w:bookmarkEnd w:id="308"/>
      <w:bookmarkEnd w:id="309"/>
      <w:bookmarkEnd w:id="311"/>
      <w:r w:rsidR="003D386D">
        <w:tab/>
      </w:r>
      <w:r w:rsidR="00064D19" w:rsidRPr="00F319D3">
        <w:t>PAH Brands Registered in Australia</w:t>
      </w:r>
      <w:bookmarkEnd w:id="310"/>
      <w:bookmarkEnd w:id="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H Brands Registered in Australia"/>
      </w:tblPr>
      <w:tblGrid>
        <w:gridCol w:w="1395"/>
        <w:gridCol w:w="8699"/>
        <w:gridCol w:w="2989"/>
        <w:gridCol w:w="1703"/>
      </w:tblGrid>
      <w:tr w:rsidR="00064D19" w:rsidRPr="002D2A0A" w:rsidTr="00C978EB">
        <w:trPr>
          <w:cantSplit/>
          <w:tblHeader/>
        </w:trPr>
        <w:tc>
          <w:tcPr>
            <w:tcW w:w="456" w:type="pct"/>
            <w:tcBorders>
              <w:bottom w:val="single" w:sz="4" w:space="0" w:color="auto"/>
            </w:tcBorders>
            <w:shd w:val="clear" w:color="auto" w:fill="BFBFBF" w:themeFill="background1" w:themeFillShade="BF"/>
            <w:vAlign w:val="center"/>
          </w:tcPr>
          <w:p w:rsidR="00064D19" w:rsidRPr="002D2A0A" w:rsidRDefault="00064D19" w:rsidP="002D2A0A">
            <w:pPr>
              <w:spacing w:beforeLines="40" w:before="96" w:afterLines="40" w:after="96" w:line="240" w:lineRule="auto"/>
              <w:jc w:val="left"/>
              <w:rPr>
                <w:rFonts w:ascii="Arial" w:hAnsi="Arial" w:cs="Arial"/>
                <w:b/>
                <w:caps/>
                <w:color w:val="000000"/>
                <w:spacing w:val="5"/>
                <w:kern w:val="28"/>
                <w:sz w:val="20"/>
                <w:szCs w:val="20"/>
                <w:lang w:val="en-US"/>
              </w:rPr>
            </w:pPr>
            <w:r w:rsidRPr="002D2A0A">
              <w:rPr>
                <w:rFonts w:ascii="Arial" w:hAnsi="Arial" w:cs="Arial"/>
                <w:b/>
                <w:sz w:val="20"/>
                <w:szCs w:val="20"/>
              </w:rPr>
              <w:t>Drug</w:t>
            </w:r>
          </w:p>
        </w:tc>
        <w:tc>
          <w:tcPr>
            <w:tcW w:w="2947" w:type="pct"/>
            <w:shd w:val="clear" w:color="auto" w:fill="BFBFBF" w:themeFill="background1" w:themeFillShade="BF"/>
            <w:vAlign w:val="center"/>
          </w:tcPr>
          <w:p w:rsidR="00064D19" w:rsidRPr="002D2A0A" w:rsidRDefault="00064D19" w:rsidP="002D2A0A">
            <w:pPr>
              <w:spacing w:beforeLines="40" w:before="96" w:afterLines="40" w:after="96" w:line="240" w:lineRule="auto"/>
              <w:ind w:right="-57"/>
              <w:jc w:val="left"/>
              <w:rPr>
                <w:rFonts w:ascii="Arial" w:hAnsi="Arial" w:cs="Arial"/>
                <w:b/>
                <w:sz w:val="20"/>
                <w:szCs w:val="20"/>
              </w:rPr>
            </w:pPr>
            <w:r w:rsidRPr="002D2A0A">
              <w:rPr>
                <w:rFonts w:ascii="Arial" w:hAnsi="Arial" w:cs="Arial"/>
                <w:b/>
                <w:sz w:val="20"/>
                <w:szCs w:val="20"/>
              </w:rPr>
              <w:t>Registered Brands</w:t>
            </w:r>
            <w:r w:rsidRPr="002D2A0A">
              <w:rPr>
                <w:rFonts w:ascii="Arial" w:hAnsi="Arial" w:cs="Arial"/>
                <w:b/>
                <w:sz w:val="20"/>
                <w:szCs w:val="20"/>
                <w:vertAlign w:val="superscript"/>
              </w:rPr>
              <w:t>†</w:t>
            </w:r>
          </w:p>
        </w:tc>
        <w:tc>
          <w:tcPr>
            <w:tcW w:w="1016" w:type="pct"/>
            <w:shd w:val="clear" w:color="auto" w:fill="BFBFBF" w:themeFill="background1" w:themeFillShade="BF"/>
            <w:vAlign w:val="center"/>
          </w:tcPr>
          <w:p w:rsidR="00064D19" w:rsidRPr="002D2A0A" w:rsidRDefault="00064D19" w:rsidP="002D2A0A">
            <w:pPr>
              <w:spacing w:beforeLines="40" w:before="96" w:afterLines="40" w:after="96" w:line="240" w:lineRule="auto"/>
              <w:ind w:right="-57"/>
              <w:jc w:val="left"/>
              <w:rPr>
                <w:rFonts w:ascii="Arial" w:hAnsi="Arial" w:cs="Arial"/>
                <w:b/>
                <w:sz w:val="20"/>
                <w:szCs w:val="20"/>
              </w:rPr>
            </w:pPr>
            <w:r w:rsidRPr="002D2A0A">
              <w:rPr>
                <w:rFonts w:ascii="Arial" w:hAnsi="Arial" w:cs="Arial"/>
                <w:b/>
                <w:sz w:val="20"/>
                <w:szCs w:val="20"/>
              </w:rPr>
              <w:t>TGA Sponsor</w:t>
            </w:r>
          </w:p>
        </w:tc>
        <w:tc>
          <w:tcPr>
            <w:tcW w:w="581" w:type="pct"/>
            <w:shd w:val="clear" w:color="auto" w:fill="BFBFBF" w:themeFill="background1" w:themeFillShade="BF"/>
            <w:vAlign w:val="center"/>
          </w:tcPr>
          <w:p w:rsidR="00064D19" w:rsidRPr="002D2A0A" w:rsidRDefault="00064D19" w:rsidP="002D2A0A">
            <w:pPr>
              <w:spacing w:beforeLines="40" w:before="96" w:afterLines="40" w:after="96" w:line="240" w:lineRule="auto"/>
              <w:ind w:right="-57"/>
              <w:jc w:val="left"/>
              <w:rPr>
                <w:rFonts w:ascii="Arial" w:hAnsi="Arial" w:cs="Arial"/>
                <w:b/>
                <w:sz w:val="20"/>
                <w:szCs w:val="20"/>
              </w:rPr>
            </w:pPr>
            <w:r w:rsidRPr="002D2A0A">
              <w:rPr>
                <w:rFonts w:ascii="Arial" w:hAnsi="Arial" w:cs="Arial"/>
                <w:b/>
                <w:sz w:val="20"/>
                <w:szCs w:val="20"/>
              </w:rPr>
              <w:t>PBS Listed</w:t>
            </w:r>
          </w:p>
        </w:tc>
      </w:tr>
      <w:tr w:rsidR="00064D19" w:rsidRPr="002D2A0A" w:rsidTr="00C978EB">
        <w:tc>
          <w:tcPr>
            <w:tcW w:w="456" w:type="pct"/>
            <w:vMerge w:val="restart"/>
            <w:tcBorders>
              <w:bottom w:val="nil"/>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Bosentan</w:t>
            </w:r>
          </w:p>
        </w:tc>
        <w:tc>
          <w:tcPr>
            <w:tcW w:w="2947" w:type="pct"/>
            <w:tcBorders>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b/>
                <w:sz w:val="20"/>
                <w:szCs w:val="20"/>
                <w:u w:val="single"/>
              </w:rPr>
              <w:t>*</w:t>
            </w:r>
            <w:r w:rsidR="00060C26" w:rsidRPr="002D2A0A">
              <w:rPr>
                <w:rFonts w:ascii="Arial" w:hAnsi="Arial" w:cs="Arial"/>
                <w:b/>
                <w:sz w:val="20"/>
                <w:szCs w:val="20"/>
                <w:u w:val="single"/>
              </w:rPr>
              <w:t>Tracleer</w:t>
            </w:r>
            <w:r w:rsidR="00252749" w:rsidRPr="002D2A0A">
              <w:rPr>
                <w:rFonts w:ascii="Arial" w:hAnsi="Arial" w:cs="Arial"/>
                <w:b/>
                <w:sz w:val="20"/>
                <w:szCs w:val="20"/>
                <w:u w:val="single"/>
                <w:vertAlign w:val="superscript"/>
              </w:rPr>
              <w:t>®</w:t>
            </w:r>
            <w:r w:rsidRPr="002D2A0A">
              <w:rPr>
                <w:rFonts w:ascii="Arial" w:hAnsi="Arial" w:cs="Arial"/>
                <w:sz w:val="20"/>
                <w:szCs w:val="20"/>
              </w:rPr>
              <w:t>; Bosentan Actelion</w:t>
            </w:r>
          </w:p>
        </w:tc>
        <w:tc>
          <w:tcPr>
            <w:tcW w:w="1016" w:type="pct"/>
            <w:tcBorders>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Actelion</w:t>
            </w:r>
          </w:p>
        </w:tc>
        <w:tc>
          <w:tcPr>
            <w:tcW w:w="581" w:type="pct"/>
            <w:tcBorders>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Bosentan CW; Bosentan CH; Bosentan AN</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Amneal</w:t>
            </w:r>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No</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 xml:space="preserve">Bosentan Dr Reddy’s; Bosentan Reddy’s; APO-Bosentan; </w:t>
            </w:r>
            <w:r w:rsidRPr="002D2A0A">
              <w:rPr>
                <w:rFonts w:ascii="Arial" w:hAnsi="Arial" w:cs="Arial"/>
                <w:b/>
                <w:sz w:val="20"/>
                <w:szCs w:val="20"/>
                <w:u w:val="single"/>
              </w:rPr>
              <w:t>Bosentan-DRLA</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Dr Reddy’s Laboratories</w:t>
            </w:r>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roofErr w:type="spellStart"/>
            <w:r w:rsidRPr="002D2A0A">
              <w:rPr>
                <w:rFonts w:ascii="Arial" w:hAnsi="Arial" w:cs="Arial"/>
                <w:sz w:val="20"/>
                <w:szCs w:val="20"/>
              </w:rPr>
              <w:t>Usenta</w:t>
            </w:r>
            <w:proofErr w:type="spellEnd"/>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roofErr w:type="spellStart"/>
            <w:r w:rsidRPr="002D2A0A">
              <w:rPr>
                <w:rFonts w:ascii="Arial" w:hAnsi="Arial" w:cs="Arial"/>
                <w:sz w:val="20"/>
                <w:szCs w:val="20"/>
              </w:rPr>
              <w:t>Tolmar</w:t>
            </w:r>
            <w:proofErr w:type="spellEnd"/>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No</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 xml:space="preserve">Bosentan Sun; </w:t>
            </w:r>
            <w:r w:rsidRPr="002D2A0A">
              <w:rPr>
                <w:rFonts w:ascii="Arial" w:hAnsi="Arial" w:cs="Arial"/>
                <w:b/>
                <w:sz w:val="20"/>
                <w:szCs w:val="20"/>
                <w:u w:val="single"/>
              </w:rPr>
              <w:t>Bosentan RBX</w:t>
            </w:r>
            <w:r w:rsidRPr="002D2A0A">
              <w:rPr>
                <w:rFonts w:ascii="Arial" w:hAnsi="Arial" w:cs="Arial"/>
                <w:sz w:val="20"/>
                <w:szCs w:val="20"/>
              </w:rPr>
              <w:t xml:space="preserve">; Bosentan RAN </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Sun Pharma</w:t>
            </w:r>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b/>
                <w:sz w:val="20"/>
                <w:szCs w:val="20"/>
                <w:u w:val="single"/>
              </w:rPr>
              <w:t>Bosentan Sandoz</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Sandoz</w:t>
            </w:r>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Bosentan INTAS; Bosentan ASTRON</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Accord Healthcare</w:t>
            </w:r>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No</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roofErr w:type="spellStart"/>
            <w:r w:rsidRPr="002D2A0A">
              <w:rPr>
                <w:rFonts w:ascii="Arial" w:hAnsi="Arial" w:cs="Arial"/>
                <w:b/>
                <w:sz w:val="20"/>
                <w:szCs w:val="20"/>
                <w:u w:val="single"/>
              </w:rPr>
              <w:t>Bosleer</w:t>
            </w:r>
            <w:proofErr w:type="spellEnd"/>
            <w:r w:rsidRPr="002D2A0A">
              <w:rPr>
                <w:rFonts w:ascii="Arial" w:hAnsi="Arial" w:cs="Arial"/>
                <w:sz w:val="20"/>
                <w:szCs w:val="20"/>
              </w:rPr>
              <w:t xml:space="preserve"> </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Arrow Pharmaceuticals</w:t>
            </w:r>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Bosentan GH</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Generic Health</w:t>
            </w:r>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No</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b/>
                <w:sz w:val="20"/>
                <w:szCs w:val="20"/>
                <w:u w:val="single"/>
              </w:rPr>
              <w:t>Bosentan APOTEX</w:t>
            </w:r>
            <w:r w:rsidRPr="002D2A0A">
              <w:rPr>
                <w:rFonts w:ascii="Arial" w:hAnsi="Arial" w:cs="Arial"/>
                <w:sz w:val="20"/>
                <w:szCs w:val="20"/>
              </w:rPr>
              <w:t>; GENRX Bosentan</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Apotex</w:t>
            </w:r>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tcBorders>
              <w:top w:val="nil"/>
              <w:bottom w:val="nil"/>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 xml:space="preserve">Bosentan ALPHAPHARM; </w:t>
            </w:r>
            <w:r w:rsidRPr="002D2A0A">
              <w:rPr>
                <w:rFonts w:ascii="Arial" w:hAnsi="Arial" w:cs="Arial"/>
                <w:b/>
                <w:sz w:val="20"/>
                <w:szCs w:val="20"/>
                <w:u w:val="single"/>
              </w:rPr>
              <w:t>Bosentan MYLAN</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roofErr w:type="spellStart"/>
            <w:r w:rsidRPr="002D2A0A">
              <w:rPr>
                <w:rFonts w:ascii="Arial" w:hAnsi="Arial" w:cs="Arial"/>
                <w:sz w:val="20"/>
                <w:szCs w:val="20"/>
              </w:rPr>
              <w:t>Alphapharm</w:t>
            </w:r>
            <w:proofErr w:type="spellEnd"/>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tcBorders>
              <w:top w:val="nil"/>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 xml:space="preserve">BOSENTAN CA; BOSENCIP; BOSENTAN CIPLA; BOSENTAS; </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roofErr w:type="spellStart"/>
            <w:r w:rsidRPr="002D2A0A">
              <w:rPr>
                <w:rFonts w:ascii="Arial" w:hAnsi="Arial" w:cs="Arial"/>
                <w:sz w:val="20"/>
                <w:szCs w:val="20"/>
              </w:rPr>
              <w:t>Cipla</w:t>
            </w:r>
            <w:proofErr w:type="spellEnd"/>
            <w:r w:rsidRPr="002D2A0A">
              <w:rPr>
                <w:rFonts w:ascii="Arial" w:hAnsi="Arial" w:cs="Arial"/>
                <w:sz w:val="20"/>
                <w:szCs w:val="20"/>
              </w:rPr>
              <w:t xml:space="preserve"> </w:t>
            </w:r>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No</w:t>
            </w:r>
          </w:p>
        </w:tc>
      </w:tr>
      <w:tr w:rsidR="00064D19" w:rsidRPr="002D2A0A" w:rsidTr="00C978EB">
        <w:tc>
          <w:tcPr>
            <w:tcW w:w="456"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Sitaxentan</w:t>
            </w:r>
          </w:p>
        </w:tc>
        <w:tc>
          <w:tcPr>
            <w:tcW w:w="2947"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w:t>
            </w:r>
            <w:proofErr w:type="spellStart"/>
            <w:r w:rsidRPr="002D2A0A">
              <w:rPr>
                <w:rFonts w:ascii="Arial" w:hAnsi="Arial" w:cs="Arial"/>
                <w:b/>
                <w:i/>
                <w:color w:val="808080" w:themeColor="background1" w:themeShade="80"/>
                <w:sz w:val="20"/>
                <w:szCs w:val="20"/>
                <w:u w:val="single"/>
              </w:rPr>
              <w:t>Thelin</w:t>
            </w:r>
            <w:proofErr w:type="spellEnd"/>
            <w:r w:rsidR="00252749" w:rsidRPr="002D2A0A">
              <w:rPr>
                <w:rFonts w:ascii="Arial" w:hAnsi="Arial" w:cs="Arial"/>
                <w:b/>
                <w:i/>
                <w:color w:val="808080" w:themeColor="background1" w:themeShade="80"/>
                <w:sz w:val="20"/>
                <w:szCs w:val="20"/>
                <w:u w:val="single"/>
                <w:vertAlign w:val="superscript"/>
              </w:rPr>
              <w:t>®</w:t>
            </w:r>
            <w:r w:rsidRPr="002D2A0A">
              <w:rPr>
                <w:rFonts w:ascii="Arial" w:hAnsi="Arial" w:cs="Arial"/>
                <w:i/>
                <w:color w:val="808080" w:themeColor="background1" w:themeShade="80"/>
                <w:sz w:val="20"/>
                <w:szCs w:val="20"/>
              </w:rPr>
              <w:t>; withdrawn from market 10 December 2010 – no longer registered</w:t>
            </w:r>
          </w:p>
        </w:tc>
        <w:tc>
          <w:tcPr>
            <w:tcW w:w="1016"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i/>
                <w:color w:val="808080" w:themeColor="background1" w:themeShade="80"/>
                <w:sz w:val="20"/>
                <w:szCs w:val="20"/>
                <w:highlight w:val="yellow"/>
              </w:rPr>
            </w:pPr>
            <w:r w:rsidRPr="002D2A0A">
              <w:rPr>
                <w:rFonts w:ascii="Arial" w:hAnsi="Arial" w:cs="Arial"/>
                <w:i/>
                <w:color w:val="808080" w:themeColor="background1" w:themeShade="80"/>
                <w:sz w:val="20"/>
                <w:szCs w:val="20"/>
              </w:rPr>
              <w:t xml:space="preserve">Pfizer / </w:t>
            </w:r>
            <w:proofErr w:type="spellStart"/>
            <w:r w:rsidRPr="002D2A0A">
              <w:rPr>
                <w:rFonts w:ascii="Arial" w:hAnsi="Arial" w:cs="Arial"/>
                <w:i/>
                <w:color w:val="808080" w:themeColor="background1" w:themeShade="80"/>
                <w:sz w:val="20"/>
                <w:szCs w:val="20"/>
              </w:rPr>
              <w:t>Encysive</w:t>
            </w:r>
            <w:proofErr w:type="spellEnd"/>
            <w:r w:rsidRPr="002D2A0A">
              <w:rPr>
                <w:rFonts w:ascii="Arial" w:hAnsi="Arial" w:cs="Arial"/>
                <w:i/>
                <w:color w:val="808080" w:themeColor="background1" w:themeShade="80"/>
                <w:sz w:val="20"/>
                <w:szCs w:val="20"/>
              </w:rPr>
              <w:t xml:space="preserve"> Pharmaceuticals</w:t>
            </w:r>
          </w:p>
        </w:tc>
        <w:tc>
          <w:tcPr>
            <w:tcW w:w="581" w:type="pct"/>
            <w:tcBorders>
              <w:top w:val="single" w:sz="4" w:space="0" w:color="auto"/>
            </w:tcBorders>
          </w:tcPr>
          <w:p w:rsidR="00064D19" w:rsidRPr="002D2A0A" w:rsidRDefault="00064D19" w:rsidP="002D2A0A">
            <w:pPr>
              <w:spacing w:beforeLines="40" w:before="96" w:afterLines="40" w:after="96" w:line="240" w:lineRule="auto"/>
              <w:jc w:val="left"/>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Delisted</w:t>
            </w:r>
          </w:p>
        </w:tc>
      </w:tr>
      <w:tr w:rsidR="00064D19" w:rsidRPr="002D2A0A" w:rsidTr="00C978EB">
        <w:tc>
          <w:tcPr>
            <w:tcW w:w="456" w:type="pct"/>
            <w:vMerge w:val="restart"/>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Ambrisentan</w:t>
            </w:r>
          </w:p>
        </w:tc>
        <w:tc>
          <w:tcPr>
            <w:tcW w:w="2947" w:type="pct"/>
            <w:tcBorders>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b/>
                <w:sz w:val="20"/>
                <w:szCs w:val="20"/>
                <w:u w:val="single"/>
              </w:rPr>
              <w:t>*</w:t>
            </w:r>
            <w:proofErr w:type="spellStart"/>
            <w:r w:rsidR="00777ACB" w:rsidRPr="002D2A0A">
              <w:rPr>
                <w:rFonts w:ascii="Arial" w:hAnsi="Arial" w:cs="Arial"/>
                <w:b/>
                <w:sz w:val="20"/>
                <w:szCs w:val="20"/>
                <w:u w:val="single"/>
              </w:rPr>
              <w:t>Volibris</w:t>
            </w:r>
            <w:proofErr w:type="spellEnd"/>
            <w:r w:rsidR="00252749" w:rsidRPr="002D2A0A">
              <w:rPr>
                <w:rFonts w:ascii="Arial" w:hAnsi="Arial" w:cs="Arial"/>
                <w:b/>
                <w:sz w:val="20"/>
                <w:szCs w:val="20"/>
                <w:u w:val="single"/>
              </w:rPr>
              <w:t>®</w:t>
            </w:r>
          </w:p>
        </w:tc>
        <w:tc>
          <w:tcPr>
            <w:tcW w:w="1016" w:type="pct"/>
            <w:tcBorders>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GlaxoSmithKline</w:t>
            </w:r>
          </w:p>
        </w:tc>
        <w:tc>
          <w:tcPr>
            <w:tcW w:w="581" w:type="pct"/>
            <w:tcBorders>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tcBorders>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b/>
                <w:sz w:val="20"/>
                <w:szCs w:val="20"/>
                <w:u w:val="single"/>
              </w:rPr>
            </w:pPr>
            <w:r w:rsidRPr="002D2A0A">
              <w:rPr>
                <w:rFonts w:ascii="Arial" w:hAnsi="Arial" w:cs="Arial"/>
                <w:sz w:val="20"/>
                <w:szCs w:val="20"/>
              </w:rPr>
              <w:t>CIPLA Ambrisentan; AMBRIS Ambrisentan; AMBRICIP Ambrisentan</w:t>
            </w:r>
          </w:p>
        </w:tc>
        <w:tc>
          <w:tcPr>
            <w:tcW w:w="1016" w:type="pct"/>
            <w:tcBorders>
              <w:top w:val="single" w:sz="4" w:space="0" w:color="auto"/>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roofErr w:type="spellStart"/>
            <w:r w:rsidRPr="002D2A0A">
              <w:rPr>
                <w:rFonts w:ascii="Arial" w:hAnsi="Arial" w:cs="Arial"/>
                <w:sz w:val="20"/>
                <w:szCs w:val="20"/>
              </w:rPr>
              <w:t>Cipla</w:t>
            </w:r>
            <w:proofErr w:type="spellEnd"/>
          </w:p>
        </w:tc>
        <w:tc>
          <w:tcPr>
            <w:tcW w:w="581" w:type="pct"/>
            <w:tcBorders>
              <w:top w:val="single" w:sz="4" w:space="0" w:color="auto"/>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No</w:t>
            </w:r>
          </w:p>
        </w:tc>
      </w:tr>
      <w:tr w:rsidR="00064D19" w:rsidRPr="002D2A0A" w:rsidTr="00C978EB">
        <w:tc>
          <w:tcPr>
            <w:tcW w:w="456" w:type="pct"/>
            <w:tcBorders>
              <w:bottom w:val="single" w:sz="4" w:space="0" w:color="auto"/>
            </w:tcBorders>
            <w:shd w:val="clear" w:color="auto" w:fill="auto"/>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Macitentan</w:t>
            </w:r>
          </w:p>
        </w:tc>
        <w:tc>
          <w:tcPr>
            <w:tcW w:w="2947" w:type="pct"/>
            <w:tcBorders>
              <w:bottom w:val="single" w:sz="4" w:space="0" w:color="auto"/>
            </w:tcBorders>
            <w:vAlign w:val="center"/>
          </w:tcPr>
          <w:p w:rsidR="00064D19" w:rsidRPr="002D2A0A" w:rsidRDefault="00060C26" w:rsidP="002D2A0A">
            <w:pPr>
              <w:spacing w:beforeLines="40" w:before="96" w:afterLines="40" w:after="96" w:line="240" w:lineRule="auto"/>
              <w:jc w:val="left"/>
              <w:rPr>
                <w:rFonts w:ascii="Arial" w:hAnsi="Arial" w:cs="Arial"/>
                <w:sz w:val="20"/>
                <w:szCs w:val="20"/>
              </w:rPr>
            </w:pPr>
            <w:r w:rsidRPr="002D2A0A">
              <w:rPr>
                <w:rFonts w:ascii="Arial" w:hAnsi="Arial" w:cs="Arial"/>
                <w:b/>
                <w:sz w:val="20"/>
                <w:szCs w:val="20"/>
                <w:u w:val="single"/>
              </w:rPr>
              <w:t>Opsumit</w:t>
            </w:r>
            <w:r w:rsidR="00252749" w:rsidRPr="002D2A0A">
              <w:rPr>
                <w:rFonts w:ascii="Arial" w:hAnsi="Arial" w:cs="Arial"/>
                <w:b/>
                <w:sz w:val="20"/>
                <w:szCs w:val="20"/>
                <w:u w:val="single"/>
                <w:vertAlign w:val="superscript"/>
              </w:rPr>
              <w:t>®</w:t>
            </w:r>
          </w:p>
        </w:tc>
        <w:tc>
          <w:tcPr>
            <w:tcW w:w="1016" w:type="pct"/>
            <w:tcBorders>
              <w:bottom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Actelion</w:t>
            </w:r>
          </w:p>
        </w:tc>
        <w:tc>
          <w:tcPr>
            <w:tcW w:w="581" w:type="pct"/>
            <w:tcBorders>
              <w:bottom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val="restart"/>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Sildenafil</w:t>
            </w:r>
          </w:p>
        </w:tc>
        <w:tc>
          <w:tcPr>
            <w:tcW w:w="2947" w:type="pct"/>
            <w:vAlign w:val="center"/>
          </w:tcPr>
          <w:p w:rsidR="00064D19" w:rsidRPr="002D2A0A" w:rsidRDefault="00064D19" w:rsidP="002D2A0A">
            <w:pPr>
              <w:spacing w:beforeLines="40" w:before="96" w:afterLines="40" w:after="96" w:line="240" w:lineRule="auto"/>
              <w:jc w:val="left"/>
              <w:rPr>
                <w:rFonts w:ascii="Arial" w:hAnsi="Arial" w:cs="Arial"/>
                <w:b/>
                <w:sz w:val="20"/>
                <w:szCs w:val="20"/>
                <w:u w:val="single"/>
              </w:rPr>
            </w:pPr>
            <w:r w:rsidRPr="002D2A0A">
              <w:rPr>
                <w:rFonts w:ascii="Arial" w:hAnsi="Arial" w:cs="Arial"/>
                <w:b/>
                <w:sz w:val="20"/>
                <w:szCs w:val="20"/>
                <w:u w:val="single"/>
              </w:rPr>
              <w:t>*</w:t>
            </w:r>
            <w:proofErr w:type="spellStart"/>
            <w:r w:rsidR="00060C26" w:rsidRPr="002D2A0A">
              <w:rPr>
                <w:rFonts w:ascii="Arial" w:hAnsi="Arial" w:cs="Arial"/>
                <w:b/>
                <w:sz w:val="20"/>
                <w:szCs w:val="20"/>
                <w:u w:val="single"/>
              </w:rPr>
              <w:t>Revatio</w:t>
            </w:r>
            <w:proofErr w:type="spellEnd"/>
            <w:r w:rsidR="00252749" w:rsidRPr="002D2A0A">
              <w:rPr>
                <w:rFonts w:ascii="Arial" w:hAnsi="Arial" w:cs="Arial"/>
                <w:b/>
                <w:sz w:val="20"/>
                <w:szCs w:val="20"/>
                <w:u w:val="single"/>
                <w:vertAlign w:val="superscript"/>
              </w:rPr>
              <w:t>®</w:t>
            </w:r>
          </w:p>
        </w:tc>
        <w:tc>
          <w:tcPr>
            <w:tcW w:w="1016" w:type="pct"/>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Pfizer</w:t>
            </w:r>
          </w:p>
        </w:tc>
        <w:tc>
          <w:tcPr>
            <w:tcW w:w="581" w:type="pct"/>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 (tablet only)</w:t>
            </w:r>
          </w:p>
        </w:tc>
      </w:tr>
      <w:tr w:rsidR="00064D19" w:rsidRPr="002D2A0A" w:rsidTr="00C978EB">
        <w:tc>
          <w:tcPr>
            <w:tcW w:w="456" w:type="pct"/>
            <w:vMerge/>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p>
        </w:tc>
        <w:tc>
          <w:tcPr>
            <w:tcW w:w="2947"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r w:rsidRPr="002D2A0A">
              <w:rPr>
                <w:rFonts w:ascii="Arial" w:hAnsi="Arial" w:cs="Arial"/>
                <w:b/>
                <w:sz w:val="20"/>
                <w:szCs w:val="20"/>
              </w:rPr>
              <w:t>APO-Sildenafil PHT</w:t>
            </w:r>
            <w:r w:rsidRPr="002D2A0A">
              <w:rPr>
                <w:rFonts w:ascii="Arial" w:hAnsi="Arial" w:cs="Arial"/>
                <w:sz w:val="20"/>
                <w:szCs w:val="20"/>
              </w:rPr>
              <w:t xml:space="preserve">; CHEMMART SILDENAFIL PHT;  TERRY WHITE CHEMISTS SILDENAFIL PHT </w:t>
            </w:r>
          </w:p>
        </w:tc>
        <w:tc>
          <w:tcPr>
            <w:tcW w:w="1016"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Apotex</w:t>
            </w:r>
          </w:p>
        </w:tc>
        <w:tc>
          <w:tcPr>
            <w:tcW w:w="581" w:type="pct"/>
            <w:tcBorders>
              <w:top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p>
        </w:tc>
        <w:tc>
          <w:tcPr>
            <w:tcW w:w="2947"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r w:rsidRPr="002D2A0A">
              <w:rPr>
                <w:rFonts w:ascii="Arial" w:hAnsi="Arial" w:cs="Arial"/>
                <w:b/>
                <w:sz w:val="20"/>
                <w:szCs w:val="20"/>
              </w:rPr>
              <w:t>SILDENAFIL-</w:t>
            </w:r>
            <w:proofErr w:type="spellStart"/>
            <w:r w:rsidRPr="002D2A0A">
              <w:rPr>
                <w:rFonts w:ascii="Arial" w:hAnsi="Arial" w:cs="Arial"/>
                <w:b/>
                <w:sz w:val="20"/>
                <w:szCs w:val="20"/>
              </w:rPr>
              <w:t>DRx</w:t>
            </w:r>
            <w:proofErr w:type="spellEnd"/>
            <w:r w:rsidRPr="002D2A0A">
              <w:rPr>
                <w:rFonts w:ascii="Arial" w:hAnsi="Arial" w:cs="Arial"/>
                <w:sz w:val="20"/>
                <w:szCs w:val="20"/>
              </w:rPr>
              <w:t>; SYZUM-DRLA Sildenafil; MECFIL Sildenafil; ALSIOZ Sildenafil; CAVEROZ Sildenafil</w:t>
            </w:r>
          </w:p>
        </w:tc>
        <w:tc>
          <w:tcPr>
            <w:tcW w:w="1016"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Dr Reddy’s Laboratories</w:t>
            </w:r>
          </w:p>
        </w:tc>
        <w:tc>
          <w:tcPr>
            <w:tcW w:w="581" w:type="pct"/>
            <w:tcBorders>
              <w:top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p>
        </w:tc>
        <w:tc>
          <w:tcPr>
            <w:tcW w:w="2947"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b/>
                <w:i/>
                <w:sz w:val="20"/>
                <w:szCs w:val="20"/>
              </w:rPr>
            </w:pPr>
            <w:r w:rsidRPr="002D2A0A">
              <w:rPr>
                <w:rFonts w:ascii="Arial" w:hAnsi="Arial" w:cs="Arial"/>
                <w:b/>
                <w:sz w:val="20"/>
                <w:szCs w:val="20"/>
              </w:rPr>
              <w:t>Sildenafil AN PHT 20</w:t>
            </w:r>
          </w:p>
        </w:tc>
        <w:tc>
          <w:tcPr>
            <w:tcW w:w="1016"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Amneal</w:t>
            </w:r>
          </w:p>
        </w:tc>
        <w:tc>
          <w:tcPr>
            <w:tcW w:w="581" w:type="pct"/>
            <w:tcBorders>
              <w:top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p>
        </w:tc>
        <w:tc>
          <w:tcPr>
            <w:tcW w:w="2947"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r w:rsidRPr="002D2A0A">
              <w:rPr>
                <w:rFonts w:ascii="Arial" w:hAnsi="Arial" w:cs="Arial"/>
                <w:b/>
                <w:sz w:val="20"/>
                <w:szCs w:val="20"/>
              </w:rPr>
              <w:t>Sildenafil Sandoz PHT 20</w:t>
            </w:r>
            <w:r w:rsidRPr="002D2A0A">
              <w:rPr>
                <w:rFonts w:ascii="Arial" w:hAnsi="Arial" w:cs="Arial"/>
                <w:sz w:val="20"/>
                <w:szCs w:val="20"/>
              </w:rPr>
              <w:t>;  SILDACCORD PHT;  SILDANIL PHT 20</w:t>
            </w:r>
          </w:p>
        </w:tc>
        <w:tc>
          <w:tcPr>
            <w:tcW w:w="1016"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Accord Healthcare</w:t>
            </w:r>
          </w:p>
        </w:tc>
        <w:tc>
          <w:tcPr>
            <w:tcW w:w="581" w:type="pct"/>
            <w:tcBorders>
              <w:top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p>
        </w:tc>
        <w:tc>
          <w:tcPr>
            <w:tcW w:w="2947"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DENSIL sildenafil; SILVIO sildenafil; SILDENAFIL ACTAVIS PAH</w:t>
            </w:r>
          </w:p>
        </w:tc>
        <w:tc>
          <w:tcPr>
            <w:tcW w:w="1016"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roofErr w:type="spellStart"/>
            <w:r w:rsidRPr="002D2A0A">
              <w:rPr>
                <w:rFonts w:ascii="Arial" w:hAnsi="Arial" w:cs="Arial"/>
                <w:sz w:val="20"/>
                <w:szCs w:val="20"/>
              </w:rPr>
              <w:t>Medis</w:t>
            </w:r>
            <w:proofErr w:type="spellEnd"/>
            <w:r w:rsidRPr="002D2A0A">
              <w:rPr>
                <w:rFonts w:ascii="Arial" w:hAnsi="Arial" w:cs="Arial"/>
                <w:sz w:val="20"/>
                <w:szCs w:val="20"/>
              </w:rPr>
              <w:t xml:space="preserve"> Pharma</w:t>
            </w:r>
          </w:p>
        </w:tc>
        <w:tc>
          <w:tcPr>
            <w:tcW w:w="581" w:type="pct"/>
            <w:tcBorders>
              <w:top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No</w:t>
            </w:r>
          </w:p>
        </w:tc>
      </w:tr>
      <w:tr w:rsidR="00064D19" w:rsidRPr="002D2A0A" w:rsidTr="00C978EB">
        <w:tc>
          <w:tcPr>
            <w:tcW w:w="456" w:type="pct"/>
            <w:vMerge/>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p>
        </w:tc>
        <w:tc>
          <w:tcPr>
            <w:tcW w:w="2947"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SILDENAFIL AN PHT 20</w:t>
            </w:r>
          </w:p>
        </w:tc>
        <w:tc>
          <w:tcPr>
            <w:tcW w:w="1016"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Arrow Pharma</w:t>
            </w:r>
          </w:p>
        </w:tc>
        <w:tc>
          <w:tcPr>
            <w:tcW w:w="581" w:type="pct"/>
            <w:tcBorders>
              <w:top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No</w:t>
            </w:r>
          </w:p>
        </w:tc>
      </w:tr>
      <w:tr w:rsidR="00064D19" w:rsidRPr="002D2A0A" w:rsidTr="00C978EB">
        <w:tc>
          <w:tcPr>
            <w:tcW w:w="456" w:type="pct"/>
            <w:vMerge/>
            <w:vAlign w:val="center"/>
          </w:tcPr>
          <w:p w:rsidR="00064D19" w:rsidRPr="002D2A0A" w:rsidRDefault="00064D19" w:rsidP="002D2A0A">
            <w:pPr>
              <w:spacing w:beforeLines="40" w:before="96" w:afterLines="40" w:after="96" w:line="240" w:lineRule="auto"/>
              <w:jc w:val="left"/>
              <w:rPr>
                <w:rFonts w:ascii="Arial" w:hAnsi="Arial" w:cs="Arial"/>
                <w:i/>
                <w:sz w:val="20"/>
                <w:szCs w:val="20"/>
              </w:rPr>
            </w:pPr>
          </w:p>
        </w:tc>
        <w:tc>
          <w:tcPr>
            <w:tcW w:w="2947"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 xml:space="preserve">PHARMACOR SILDENAFIL PHT 20 </w:t>
            </w:r>
          </w:p>
        </w:tc>
        <w:tc>
          <w:tcPr>
            <w:tcW w:w="1016" w:type="pct"/>
            <w:tcBorders>
              <w:top w:val="single" w:sz="4" w:space="0" w:color="auto"/>
            </w:tcBorders>
            <w:vAlign w:val="center"/>
          </w:tcPr>
          <w:p w:rsidR="00064D19" w:rsidRPr="002D2A0A" w:rsidRDefault="00064D19" w:rsidP="002D2A0A">
            <w:pPr>
              <w:spacing w:beforeLines="40" w:before="96" w:afterLines="40" w:after="96" w:line="240" w:lineRule="auto"/>
              <w:jc w:val="left"/>
              <w:rPr>
                <w:rFonts w:ascii="Arial" w:hAnsi="Arial" w:cs="Arial"/>
                <w:sz w:val="20"/>
                <w:szCs w:val="20"/>
              </w:rPr>
            </w:pPr>
            <w:proofErr w:type="spellStart"/>
            <w:r w:rsidRPr="002D2A0A">
              <w:rPr>
                <w:rFonts w:ascii="Arial" w:hAnsi="Arial" w:cs="Arial"/>
                <w:sz w:val="20"/>
                <w:szCs w:val="20"/>
              </w:rPr>
              <w:t>Pharmacor</w:t>
            </w:r>
            <w:proofErr w:type="spellEnd"/>
          </w:p>
        </w:tc>
        <w:tc>
          <w:tcPr>
            <w:tcW w:w="581" w:type="pct"/>
            <w:tcBorders>
              <w:top w:val="single" w:sz="4" w:space="0" w:color="auto"/>
            </w:tcBorders>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No</w:t>
            </w:r>
          </w:p>
        </w:tc>
      </w:tr>
      <w:tr w:rsidR="00064D19" w:rsidRPr="002D2A0A" w:rsidTr="00C978EB">
        <w:tc>
          <w:tcPr>
            <w:tcW w:w="456" w:type="pct"/>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Tadalafil</w:t>
            </w:r>
          </w:p>
        </w:tc>
        <w:tc>
          <w:tcPr>
            <w:tcW w:w="2947" w:type="pct"/>
            <w:vAlign w:val="center"/>
          </w:tcPr>
          <w:p w:rsidR="00064D19" w:rsidRPr="002D2A0A" w:rsidRDefault="00064D19" w:rsidP="002D2A0A">
            <w:pPr>
              <w:spacing w:beforeLines="40" w:before="96" w:afterLines="40" w:after="96" w:line="240" w:lineRule="auto"/>
              <w:jc w:val="left"/>
              <w:rPr>
                <w:rFonts w:ascii="Arial" w:hAnsi="Arial" w:cs="Arial"/>
                <w:b/>
                <w:sz w:val="20"/>
                <w:szCs w:val="20"/>
                <w:u w:val="single"/>
              </w:rPr>
            </w:pPr>
            <w:r w:rsidRPr="002D2A0A">
              <w:rPr>
                <w:rFonts w:ascii="Arial" w:hAnsi="Arial" w:cs="Arial"/>
                <w:b/>
                <w:sz w:val="20"/>
                <w:szCs w:val="20"/>
                <w:u w:val="single"/>
              </w:rPr>
              <w:t>*</w:t>
            </w:r>
            <w:proofErr w:type="spellStart"/>
            <w:r w:rsidR="00060C26" w:rsidRPr="002D2A0A">
              <w:rPr>
                <w:rFonts w:ascii="Arial" w:hAnsi="Arial" w:cs="Arial"/>
                <w:b/>
                <w:sz w:val="20"/>
                <w:szCs w:val="20"/>
                <w:u w:val="single"/>
              </w:rPr>
              <w:t>Adcirca</w:t>
            </w:r>
            <w:proofErr w:type="spellEnd"/>
            <w:r w:rsidR="00252749" w:rsidRPr="002D2A0A">
              <w:rPr>
                <w:rFonts w:ascii="Arial" w:hAnsi="Arial" w:cs="Arial"/>
                <w:b/>
                <w:sz w:val="20"/>
                <w:szCs w:val="20"/>
                <w:u w:val="single"/>
                <w:vertAlign w:val="superscript"/>
              </w:rPr>
              <w:t>®</w:t>
            </w:r>
          </w:p>
        </w:tc>
        <w:tc>
          <w:tcPr>
            <w:tcW w:w="1016" w:type="pct"/>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Eli Lilly</w:t>
            </w:r>
          </w:p>
        </w:tc>
        <w:tc>
          <w:tcPr>
            <w:tcW w:w="581" w:type="pct"/>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 xml:space="preserve">Riociguat </w:t>
            </w:r>
          </w:p>
        </w:tc>
        <w:tc>
          <w:tcPr>
            <w:tcW w:w="2947" w:type="pct"/>
            <w:vAlign w:val="center"/>
          </w:tcPr>
          <w:p w:rsidR="00064D19" w:rsidRPr="002D2A0A" w:rsidRDefault="00064D19" w:rsidP="002D2A0A">
            <w:pPr>
              <w:spacing w:beforeLines="40" w:before="96" w:afterLines="40" w:after="96" w:line="240" w:lineRule="auto"/>
              <w:jc w:val="left"/>
              <w:rPr>
                <w:rFonts w:ascii="Arial" w:hAnsi="Arial" w:cs="Arial"/>
                <w:b/>
                <w:sz w:val="20"/>
                <w:szCs w:val="20"/>
                <w:u w:val="single"/>
              </w:rPr>
            </w:pPr>
            <w:r w:rsidRPr="002D2A0A">
              <w:rPr>
                <w:rFonts w:ascii="Arial" w:hAnsi="Arial" w:cs="Arial"/>
                <w:b/>
                <w:sz w:val="20"/>
                <w:szCs w:val="20"/>
                <w:u w:val="single"/>
              </w:rPr>
              <w:t>*</w:t>
            </w:r>
            <w:proofErr w:type="spellStart"/>
            <w:r w:rsidR="00060C26" w:rsidRPr="002D2A0A">
              <w:rPr>
                <w:rFonts w:ascii="Arial" w:hAnsi="Arial" w:cs="Arial"/>
                <w:b/>
                <w:sz w:val="20"/>
                <w:szCs w:val="20"/>
                <w:u w:val="single"/>
              </w:rPr>
              <w:t>Adempas</w:t>
            </w:r>
            <w:proofErr w:type="spellEnd"/>
            <w:r w:rsidR="00252749" w:rsidRPr="002D2A0A">
              <w:rPr>
                <w:rFonts w:ascii="Arial" w:hAnsi="Arial" w:cs="Arial"/>
                <w:b/>
                <w:sz w:val="20"/>
                <w:szCs w:val="20"/>
                <w:u w:val="single"/>
                <w:vertAlign w:val="superscript"/>
              </w:rPr>
              <w:t>®</w:t>
            </w:r>
          </w:p>
        </w:tc>
        <w:tc>
          <w:tcPr>
            <w:tcW w:w="1016" w:type="pct"/>
            <w:vAlign w:val="center"/>
          </w:tcPr>
          <w:p w:rsidR="00064D19" w:rsidRPr="002D2A0A" w:rsidRDefault="00064D19" w:rsidP="002D2A0A">
            <w:pPr>
              <w:pStyle w:val="TableText"/>
              <w:tabs>
                <w:tab w:val="left" w:pos="180"/>
                <w:tab w:val="center" w:pos="671"/>
              </w:tabs>
              <w:spacing w:beforeLines="40" w:before="96" w:afterLines="40" w:after="96"/>
              <w:rPr>
                <w:rFonts w:ascii="Arial" w:hAnsi="Arial"/>
                <w:szCs w:val="20"/>
              </w:rPr>
            </w:pPr>
            <w:r w:rsidRPr="002D2A0A">
              <w:rPr>
                <w:rFonts w:ascii="Arial" w:hAnsi="Arial"/>
                <w:szCs w:val="20"/>
              </w:rPr>
              <w:t>Bayer</w:t>
            </w:r>
          </w:p>
        </w:tc>
        <w:tc>
          <w:tcPr>
            <w:tcW w:w="581" w:type="pct"/>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Yes</w:t>
            </w:r>
          </w:p>
        </w:tc>
      </w:tr>
      <w:tr w:rsidR="00064D19" w:rsidRPr="002D2A0A" w:rsidTr="00C978EB">
        <w:tc>
          <w:tcPr>
            <w:tcW w:w="456" w:type="pct"/>
            <w:vMerge w:val="restart"/>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Epoprostenol</w:t>
            </w:r>
          </w:p>
        </w:tc>
        <w:tc>
          <w:tcPr>
            <w:tcW w:w="2947" w:type="pct"/>
            <w:vAlign w:val="center"/>
          </w:tcPr>
          <w:p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w:t>
            </w:r>
            <w:r w:rsidR="00060C26" w:rsidRPr="002D2A0A">
              <w:rPr>
                <w:rFonts w:ascii="Arial" w:hAnsi="Arial"/>
                <w:b/>
                <w:szCs w:val="20"/>
                <w:u w:val="single"/>
              </w:rPr>
              <w:t>Flolan</w:t>
            </w:r>
            <w:r w:rsidR="00252749" w:rsidRPr="002D2A0A">
              <w:rPr>
                <w:rFonts w:ascii="Arial" w:hAnsi="Arial"/>
                <w:b/>
                <w:szCs w:val="20"/>
                <w:u w:val="single"/>
                <w:vertAlign w:val="superscript"/>
              </w:rPr>
              <w:t>®</w:t>
            </w:r>
          </w:p>
        </w:tc>
        <w:tc>
          <w:tcPr>
            <w:tcW w:w="1016" w:type="pct"/>
            <w:vAlign w:val="center"/>
          </w:tcPr>
          <w:p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GlaxoSmithKline</w:t>
            </w:r>
          </w:p>
        </w:tc>
        <w:tc>
          <w:tcPr>
            <w:tcW w:w="581" w:type="pct"/>
            <w:vAlign w:val="center"/>
          </w:tcPr>
          <w:p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Yes</w:t>
            </w:r>
          </w:p>
        </w:tc>
      </w:tr>
      <w:tr w:rsidR="00064D19" w:rsidRPr="002D2A0A" w:rsidTr="00C978EB">
        <w:tc>
          <w:tcPr>
            <w:tcW w:w="456" w:type="pct"/>
            <w:vMerge/>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vAlign w:val="center"/>
          </w:tcPr>
          <w:p w:rsidR="00064D19" w:rsidRPr="002D2A0A" w:rsidRDefault="00060C26" w:rsidP="002D2A0A">
            <w:pPr>
              <w:pStyle w:val="TableText"/>
              <w:spacing w:beforeLines="40" w:before="96" w:afterLines="40" w:after="96"/>
              <w:rPr>
                <w:rFonts w:ascii="Arial" w:hAnsi="Arial"/>
                <w:szCs w:val="20"/>
              </w:rPr>
            </w:pPr>
            <w:r w:rsidRPr="002D2A0A">
              <w:rPr>
                <w:rFonts w:ascii="Arial" w:hAnsi="Arial"/>
                <w:b/>
                <w:szCs w:val="20"/>
                <w:u w:val="single"/>
              </w:rPr>
              <w:t>Veletri</w:t>
            </w:r>
            <w:r w:rsidR="00252749" w:rsidRPr="002D2A0A">
              <w:rPr>
                <w:rFonts w:ascii="Arial" w:hAnsi="Arial"/>
                <w:b/>
                <w:szCs w:val="20"/>
                <w:u w:val="single"/>
                <w:vertAlign w:val="superscript"/>
              </w:rPr>
              <w:t>®</w:t>
            </w:r>
          </w:p>
        </w:tc>
        <w:tc>
          <w:tcPr>
            <w:tcW w:w="1016" w:type="pct"/>
          </w:tcPr>
          <w:p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Actelion</w:t>
            </w:r>
          </w:p>
        </w:tc>
        <w:tc>
          <w:tcPr>
            <w:tcW w:w="581" w:type="pct"/>
          </w:tcPr>
          <w:p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Yes</w:t>
            </w:r>
          </w:p>
        </w:tc>
      </w:tr>
      <w:tr w:rsidR="00064D19" w:rsidRPr="002D2A0A" w:rsidTr="00C978EB">
        <w:tc>
          <w:tcPr>
            <w:tcW w:w="456" w:type="pct"/>
            <w:vMerge/>
            <w:vAlign w:val="center"/>
          </w:tcPr>
          <w:p w:rsidR="00064D19" w:rsidRPr="002D2A0A" w:rsidRDefault="00064D19" w:rsidP="002D2A0A">
            <w:pPr>
              <w:spacing w:beforeLines="40" w:before="96" w:afterLines="40" w:after="96" w:line="240" w:lineRule="auto"/>
              <w:jc w:val="left"/>
              <w:rPr>
                <w:rFonts w:ascii="Arial" w:hAnsi="Arial" w:cs="Arial"/>
                <w:sz w:val="20"/>
                <w:szCs w:val="20"/>
              </w:rPr>
            </w:pPr>
          </w:p>
        </w:tc>
        <w:tc>
          <w:tcPr>
            <w:tcW w:w="2947" w:type="pct"/>
            <w:vAlign w:val="center"/>
          </w:tcPr>
          <w:p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Epoprostenol MYX</w:t>
            </w:r>
          </w:p>
        </w:tc>
        <w:tc>
          <w:tcPr>
            <w:tcW w:w="1016" w:type="pct"/>
          </w:tcPr>
          <w:p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Mayne Pharma</w:t>
            </w:r>
          </w:p>
        </w:tc>
        <w:tc>
          <w:tcPr>
            <w:tcW w:w="581" w:type="pct"/>
          </w:tcPr>
          <w:p w:rsidR="00064D19" w:rsidRPr="002D2A0A" w:rsidRDefault="00064D19" w:rsidP="002D2A0A">
            <w:pPr>
              <w:pStyle w:val="TableText"/>
              <w:spacing w:beforeLines="40" w:before="96" w:afterLines="40" w:after="96"/>
              <w:rPr>
                <w:rFonts w:ascii="Arial" w:hAnsi="Arial"/>
                <w:szCs w:val="20"/>
              </w:rPr>
            </w:pPr>
            <w:r w:rsidRPr="002D2A0A">
              <w:rPr>
                <w:rFonts w:ascii="Arial" w:hAnsi="Arial"/>
                <w:szCs w:val="20"/>
              </w:rPr>
              <w:t>No</w:t>
            </w:r>
          </w:p>
        </w:tc>
      </w:tr>
      <w:tr w:rsidR="00064D19" w:rsidRPr="002D2A0A" w:rsidTr="00C978EB">
        <w:tc>
          <w:tcPr>
            <w:tcW w:w="456" w:type="pct"/>
            <w:vAlign w:val="center"/>
          </w:tcPr>
          <w:p w:rsidR="00064D19" w:rsidRPr="002D2A0A" w:rsidRDefault="00064D19" w:rsidP="002D2A0A">
            <w:pPr>
              <w:spacing w:beforeLines="40" w:before="96" w:afterLines="40" w:after="96" w:line="240" w:lineRule="auto"/>
              <w:jc w:val="left"/>
              <w:rPr>
                <w:rFonts w:ascii="Arial" w:hAnsi="Arial" w:cs="Arial"/>
                <w:sz w:val="20"/>
                <w:szCs w:val="20"/>
              </w:rPr>
            </w:pPr>
            <w:r w:rsidRPr="002D2A0A">
              <w:rPr>
                <w:rFonts w:ascii="Arial" w:hAnsi="Arial" w:cs="Arial"/>
                <w:sz w:val="20"/>
                <w:szCs w:val="20"/>
              </w:rPr>
              <w:t>Iloprost</w:t>
            </w:r>
          </w:p>
        </w:tc>
        <w:tc>
          <w:tcPr>
            <w:tcW w:w="2947" w:type="pct"/>
            <w:vAlign w:val="center"/>
          </w:tcPr>
          <w:p w:rsidR="00064D19" w:rsidRPr="002D2A0A" w:rsidRDefault="00064D19" w:rsidP="002D2A0A">
            <w:pPr>
              <w:pStyle w:val="TableText"/>
              <w:tabs>
                <w:tab w:val="left" w:pos="180"/>
                <w:tab w:val="center" w:pos="671"/>
              </w:tabs>
              <w:spacing w:beforeLines="40" w:before="96" w:afterLines="40" w:after="96"/>
              <w:rPr>
                <w:rFonts w:ascii="Arial" w:hAnsi="Arial"/>
                <w:szCs w:val="20"/>
              </w:rPr>
            </w:pPr>
            <w:r w:rsidRPr="002D2A0A">
              <w:rPr>
                <w:rFonts w:ascii="Arial" w:hAnsi="Arial"/>
                <w:szCs w:val="20"/>
              </w:rPr>
              <w:t>*</w:t>
            </w:r>
            <w:proofErr w:type="spellStart"/>
            <w:r w:rsidR="00060C26" w:rsidRPr="002D2A0A">
              <w:rPr>
                <w:rFonts w:ascii="Arial" w:hAnsi="Arial"/>
                <w:b/>
                <w:szCs w:val="20"/>
                <w:u w:val="single"/>
              </w:rPr>
              <w:t>Ventavis</w:t>
            </w:r>
            <w:proofErr w:type="spellEnd"/>
            <w:r w:rsidR="00252749" w:rsidRPr="002D2A0A">
              <w:rPr>
                <w:rFonts w:ascii="Arial" w:hAnsi="Arial"/>
                <w:b/>
                <w:szCs w:val="20"/>
                <w:u w:val="single"/>
                <w:vertAlign w:val="superscript"/>
              </w:rPr>
              <w:t>®</w:t>
            </w:r>
          </w:p>
        </w:tc>
        <w:tc>
          <w:tcPr>
            <w:tcW w:w="1016" w:type="pct"/>
            <w:vAlign w:val="center"/>
          </w:tcPr>
          <w:p w:rsidR="00064D19" w:rsidRPr="002D2A0A" w:rsidRDefault="00064D19" w:rsidP="002D2A0A">
            <w:pPr>
              <w:pStyle w:val="TableText"/>
              <w:tabs>
                <w:tab w:val="left" w:pos="180"/>
                <w:tab w:val="center" w:pos="671"/>
              </w:tabs>
              <w:spacing w:beforeLines="40" w:before="96" w:afterLines="40" w:after="96"/>
              <w:rPr>
                <w:rFonts w:ascii="Arial" w:hAnsi="Arial"/>
                <w:szCs w:val="20"/>
              </w:rPr>
            </w:pPr>
            <w:r w:rsidRPr="002D2A0A">
              <w:rPr>
                <w:rFonts w:ascii="Arial" w:hAnsi="Arial"/>
                <w:szCs w:val="20"/>
              </w:rPr>
              <w:t>Bayer</w:t>
            </w:r>
          </w:p>
        </w:tc>
        <w:tc>
          <w:tcPr>
            <w:tcW w:w="581" w:type="pct"/>
          </w:tcPr>
          <w:p w:rsidR="00064D19" w:rsidRPr="002D2A0A" w:rsidRDefault="00064D19" w:rsidP="002D2A0A">
            <w:pPr>
              <w:pStyle w:val="TableText"/>
              <w:tabs>
                <w:tab w:val="left" w:pos="180"/>
                <w:tab w:val="center" w:pos="671"/>
              </w:tabs>
              <w:spacing w:beforeLines="40" w:before="96" w:afterLines="40" w:after="96"/>
              <w:rPr>
                <w:rFonts w:ascii="Arial" w:hAnsi="Arial"/>
                <w:szCs w:val="20"/>
              </w:rPr>
            </w:pPr>
            <w:r w:rsidRPr="002D2A0A">
              <w:rPr>
                <w:rFonts w:ascii="Arial" w:hAnsi="Arial"/>
                <w:szCs w:val="20"/>
              </w:rPr>
              <w:t>Yes</w:t>
            </w:r>
          </w:p>
        </w:tc>
      </w:tr>
      <w:tr w:rsidR="00064D19" w:rsidRPr="002D2A0A" w:rsidTr="00C978EB">
        <w:tc>
          <w:tcPr>
            <w:tcW w:w="456" w:type="pct"/>
          </w:tcPr>
          <w:p w:rsidR="00064D19" w:rsidRPr="002D2A0A" w:rsidRDefault="00064D19" w:rsidP="002D2A0A">
            <w:pPr>
              <w:spacing w:beforeLines="40" w:before="96" w:afterLines="40" w:after="96" w:line="240" w:lineRule="auto"/>
              <w:jc w:val="left"/>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Treprostinil</w:t>
            </w:r>
          </w:p>
        </w:tc>
        <w:tc>
          <w:tcPr>
            <w:tcW w:w="2947" w:type="pct"/>
            <w:vAlign w:val="center"/>
          </w:tcPr>
          <w:p w:rsidR="00064D19" w:rsidRPr="002D2A0A" w:rsidRDefault="00064D19" w:rsidP="002D2A0A">
            <w:pPr>
              <w:pStyle w:val="TableText"/>
              <w:spacing w:beforeLines="40" w:before="96" w:afterLines="40" w:after="96"/>
              <w:rPr>
                <w:rFonts w:ascii="Arial" w:hAnsi="Arial"/>
                <w:i/>
                <w:color w:val="808080" w:themeColor="background1" w:themeShade="80"/>
                <w:szCs w:val="20"/>
              </w:rPr>
            </w:pPr>
            <w:proofErr w:type="spellStart"/>
            <w:r w:rsidRPr="002D2A0A">
              <w:rPr>
                <w:rFonts w:ascii="Arial" w:hAnsi="Arial"/>
                <w:i/>
                <w:color w:val="808080" w:themeColor="background1" w:themeShade="80"/>
                <w:szCs w:val="20"/>
              </w:rPr>
              <w:t>Remodulin</w:t>
            </w:r>
            <w:proofErr w:type="spellEnd"/>
            <w:r w:rsidR="00252749" w:rsidRPr="002D2A0A">
              <w:rPr>
                <w:rFonts w:ascii="Arial" w:hAnsi="Arial"/>
                <w:i/>
                <w:color w:val="808080" w:themeColor="background1" w:themeShade="80"/>
                <w:szCs w:val="20"/>
                <w:vertAlign w:val="superscript"/>
              </w:rPr>
              <w:t>®</w:t>
            </w:r>
            <w:r w:rsidRPr="002D2A0A">
              <w:rPr>
                <w:rFonts w:ascii="Arial" w:hAnsi="Arial"/>
                <w:i/>
                <w:color w:val="808080" w:themeColor="background1" w:themeShade="80"/>
                <w:szCs w:val="20"/>
              </w:rPr>
              <w:t>; withdrawn from market after November 2016 (exact date unknown) – no longer registered</w:t>
            </w:r>
          </w:p>
        </w:tc>
        <w:tc>
          <w:tcPr>
            <w:tcW w:w="1016" w:type="pct"/>
            <w:vAlign w:val="center"/>
          </w:tcPr>
          <w:p w:rsidR="00064D19" w:rsidRPr="002D2A0A" w:rsidRDefault="00064D19" w:rsidP="002D2A0A">
            <w:pPr>
              <w:pStyle w:val="TableText"/>
              <w:spacing w:beforeLines="40" w:before="96" w:afterLines="40" w:after="96"/>
              <w:rPr>
                <w:rFonts w:ascii="Arial" w:hAnsi="Arial"/>
                <w:i/>
                <w:color w:val="808080" w:themeColor="background1" w:themeShade="80"/>
                <w:szCs w:val="20"/>
              </w:rPr>
            </w:pPr>
            <w:r w:rsidRPr="002D2A0A">
              <w:rPr>
                <w:rFonts w:ascii="Arial" w:hAnsi="Arial"/>
                <w:i/>
                <w:color w:val="808080" w:themeColor="background1" w:themeShade="80"/>
                <w:szCs w:val="20"/>
              </w:rPr>
              <w:t>Orphan Australia</w:t>
            </w:r>
          </w:p>
        </w:tc>
        <w:tc>
          <w:tcPr>
            <w:tcW w:w="581" w:type="pct"/>
            <w:vAlign w:val="center"/>
          </w:tcPr>
          <w:p w:rsidR="00064D19" w:rsidRPr="002D2A0A" w:rsidRDefault="00064D19" w:rsidP="002D2A0A">
            <w:pPr>
              <w:pStyle w:val="TableText"/>
              <w:spacing w:beforeLines="40" w:before="96" w:afterLines="40" w:after="96"/>
              <w:rPr>
                <w:rFonts w:ascii="Arial" w:hAnsi="Arial"/>
                <w:i/>
                <w:color w:val="808080" w:themeColor="background1" w:themeShade="80"/>
                <w:szCs w:val="20"/>
              </w:rPr>
            </w:pPr>
            <w:r w:rsidRPr="002D2A0A">
              <w:rPr>
                <w:rFonts w:ascii="Arial" w:hAnsi="Arial"/>
                <w:i/>
                <w:color w:val="808080" w:themeColor="background1" w:themeShade="80"/>
                <w:szCs w:val="20"/>
              </w:rPr>
              <w:t>No</w:t>
            </w:r>
          </w:p>
        </w:tc>
      </w:tr>
      <w:tr w:rsidR="00064D19" w:rsidRPr="002D2A0A" w:rsidTr="00C978EB">
        <w:tc>
          <w:tcPr>
            <w:tcW w:w="456" w:type="pct"/>
          </w:tcPr>
          <w:p w:rsidR="00064D19" w:rsidRPr="002D2A0A" w:rsidRDefault="00064D19" w:rsidP="002D2A0A">
            <w:pPr>
              <w:spacing w:beforeLines="40" w:before="96" w:afterLines="40" w:after="96" w:line="240" w:lineRule="auto"/>
              <w:jc w:val="left"/>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Selexipag</w:t>
            </w:r>
          </w:p>
        </w:tc>
        <w:tc>
          <w:tcPr>
            <w:tcW w:w="2947" w:type="pct"/>
            <w:vAlign w:val="center"/>
          </w:tcPr>
          <w:p w:rsidR="00064D19" w:rsidRPr="002D2A0A" w:rsidRDefault="00064D19" w:rsidP="002D2A0A">
            <w:pPr>
              <w:pStyle w:val="TableText"/>
              <w:spacing w:beforeLines="40" w:before="96" w:afterLines="40" w:after="96"/>
              <w:rPr>
                <w:rFonts w:ascii="Arial" w:hAnsi="Arial"/>
                <w:i/>
                <w:color w:val="808080" w:themeColor="background1" w:themeShade="80"/>
                <w:szCs w:val="20"/>
              </w:rPr>
            </w:pPr>
            <w:proofErr w:type="spellStart"/>
            <w:r w:rsidRPr="002D2A0A">
              <w:rPr>
                <w:rFonts w:ascii="Arial" w:hAnsi="Arial"/>
                <w:i/>
                <w:color w:val="808080" w:themeColor="background1" w:themeShade="80"/>
                <w:szCs w:val="20"/>
              </w:rPr>
              <w:t>Uptravi</w:t>
            </w:r>
            <w:proofErr w:type="spellEnd"/>
            <w:r w:rsidR="00252749" w:rsidRPr="002D2A0A">
              <w:rPr>
                <w:rFonts w:ascii="Arial" w:hAnsi="Arial"/>
                <w:i/>
                <w:color w:val="808080" w:themeColor="background1" w:themeShade="80"/>
                <w:szCs w:val="20"/>
                <w:vertAlign w:val="superscript"/>
              </w:rPr>
              <w:t>®</w:t>
            </w:r>
          </w:p>
        </w:tc>
        <w:tc>
          <w:tcPr>
            <w:tcW w:w="1016" w:type="pct"/>
            <w:vAlign w:val="center"/>
          </w:tcPr>
          <w:p w:rsidR="00064D19" w:rsidRPr="002D2A0A" w:rsidRDefault="00064D19" w:rsidP="002D2A0A">
            <w:pPr>
              <w:pStyle w:val="TableText"/>
              <w:spacing w:beforeLines="40" w:before="96" w:afterLines="40" w:after="96"/>
              <w:rPr>
                <w:rFonts w:ascii="Arial" w:hAnsi="Arial"/>
                <w:i/>
                <w:color w:val="808080" w:themeColor="background1" w:themeShade="80"/>
                <w:szCs w:val="20"/>
              </w:rPr>
            </w:pPr>
            <w:r w:rsidRPr="002D2A0A">
              <w:rPr>
                <w:rFonts w:ascii="Arial" w:hAnsi="Arial"/>
                <w:i/>
                <w:color w:val="808080" w:themeColor="background1" w:themeShade="80"/>
                <w:szCs w:val="20"/>
              </w:rPr>
              <w:t>Actelion</w:t>
            </w:r>
          </w:p>
        </w:tc>
        <w:tc>
          <w:tcPr>
            <w:tcW w:w="581" w:type="pct"/>
            <w:vAlign w:val="center"/>
          </w:tcPr>
          <w:p w:rsidR="00064D19" w:rsidRPr="002D2A0A" w:rsidRDefault="00064D19" w:rsidP="002D2A0A">
            <w:pPr>
              <w:pStyle w:val="TableText"/>
              <w:spacing w:beforeLines="40" w:before="96" w:afterLines="40" w:after="96"/>
              <w:rPr>
                <w:rFonts w:ascii="Arial" w:hAnsi="Arial"/>
                <w:i/>
                <w:color w:val="808080" w:themeColor="background1" w:themeShade="80"/>
                <w:szCs w:val="20"/>
              </w:rPr>
            </w:pPr>
            <w:r w:rsidRPr="002D2A0A">
              <w:rPr>
                <w:rFonts w:ascii="Arial" w:hAnsi="Arial"/>
                <w:i/>
                <w:color w:val="808080" w:themeColor="background1" w:themeShade="80"/>
                <w:szCs w:val="20"/>
              </w:rPr>
              <w:t>No</w:t>
            </w:r>
          </w:p>
        </w:tc>
      </w:tr>
    </w:tbl>
    <w:p w:rsidR="00064D19" w:rsidRPr="002D2A0A" w:rsidRDefault="00064D19" w:rsidP="002D2A0A">
      <w:pPr>
        <w:pStyle w:val="Tablenote"/>
        <w:spacing w:beforeLines="40" w:before="96" w:afterLines="40" w:after="96"/>
        <w:rPr>
          <w:rFonts w:ascii="Arial" w:hAnsi="Arial" w:cs="Arial"/>
          <w:sz w:val="18"/>
        </w:rPr>
      </w:pPr>
      <w:r w:rsidRPr="002D2A0A">
        <w:rPr>
          <w:rFonts w:ascii="Arial" w:hAnsi="Arial" w:cs="Arial"/>
          <w:sz w:val="18"/>
        </w:rPr>
        <w:t>†PBS Listed brands are</w:t>
      </w:r>
      <w:r w:rsidRPr="002D2A0A">
        <w:rPr>
          <w:rFonts w:ascii="Arial" w:hAnsi="Arial" w:cs="Arial"/>
          <w:b/>
          <w:sz w:val="18"/>
        </w:rPr>
        <w:t xml:space="preserve"> </w:t>
      </w:r>
      <w:r w:rsidRPr="002D2A0A">
        <w:rPr>
          <w:rFonts w:ascii="Arial" w:hAnsi="Arial" w:cs="Arial"/>
          <w:b/>
          <w:sz w:val="18"/>
          <w:u w:val="single"/>
        </w:rPr>
        <w:t>bold</w:t>
      </w:r>
      <w:r w:rsidRPr="002D2A0A">
        <w:rPr>
          <w:rFonts w:ascii="Arial" w:hAnsi="Arial" w:cs="Arial"/>
          <w:b/>
          <w:sz w:val="18"/>
        </w:rPr>
        <w:t>; *</w:t>
      </w:r>
      <w:r w:rsidRPr="002D2A0A">
        <w:rPr>
          <w:rFonts w:ascii="Arial" w:hAnsi="Arial" w:cs="Arial"/>
          <w:sz w:val="18"/>
        </w:rPr>
        <w:t>Indicates first brand to be registered on ARTG (primary search of 13 December 2017)</w:t>
      </w:r>
    </w:p>
    <w:p w:rsidR="00064D19" w:rsidRPr="002D2A0A" w:rsidRDefault="00064D19" w:rsidP="002D2A0A">
      <w:pPr>
        <w:pStyle w:val="Tablenote"/>
        <w:spacing w:beforeLines="40" w:before="96" w:afterLines="40" w:after="96"/>
        <w:rPr>
          <w:rFonts w:ascii="Arial" w:hAnsi="Arial" w:cs="Arial"/>
          <w:sz w:val="18"/>
        </w:rPr>
      </w:pPr>
      <w:r w:rsidRPr="002D2A0A">
        <w:rPr>
          <w:rFonts w:ascii="Arial" w:hAnsi="Arial" w:cs="Arial"/>
          <w:sz w:val="18"/>
        </w:rPr>
        <w:t xml:space="preserve">Source: Relevant product Information for each brand; </w:t>
      </w:r>
      <w:r w:rsidRPr="003F5FE5">
        <w:rPr>
          <w:rFonts w:ascii="Arial" w:hAnsi="Arial" w:cs="Arial"/>
          <w:sz w:val="18"/>
        </w:rPr>
        <w:t>www.pbs.gov.au</w:t>
      </w:r>
      <w:r w:rsidRPr="002D2A0A">
        <w:rPr>
          <w:rFonts w:ascii="Arial" w:hAnsi="Arial" w:cs="Arial"/>
        </w:rPr>
        <w:br w:type="page"/>
      </w:r>
    </w:p>
    <w:p w:rsidR="00064D19" w:rsidRDefault="00560313" w:rsidP="002D2A0A">
      <w:pPr>
        <w:pStyle w:val="Caption"/>
        <w:spacing w:before="0" w:after="0"/>
        <w:ind w:left="0" w:firstLine="0"/>
        <w:jc w:val="left"/>
      </w:pPr>
      <w:bookmarkStart w:id="313" w:name="_Ref501910408"/>
      <w:bookmarkStart w:id="314" w:name="_Toc502867742"/>
      <w:bookmarkStart w:id="315" w:name="_Toc513107625"/>
      <w:r>
        <w:t>Table B.</w:t>
      </w:r>
      <w:r w:rsidR="00D63371">
        <w:rPr>
          <w:noProof/>
        </w:rPr>
        <w:t>8</w:t>
      </w:r>
      <w:bookmarkEnd w:id="313"/>
      <w:r w:rsidR="003D386D">
        <w:tab/>
      </w:r>
      <w:r w:rsidR="00064D19">
        <w:t>History of PBAC Considerations for PAH Medicines</w:t>
      </w:r>
      <w:bookmarkEnd w:id="314"/>
      <w:bookmarkEnd w:id="315"/>
    </w:p>
    <w:tbl>
      <w:tblPr>
        <w:tblStyle w:val="TableGrid2"/>
        <w:tblW w:w="5057" w:type="pct"/>
        <w:tblLayout w:type="fixed"/>
        <w:tblLook w:val="04A0" w:firstRow="1" w:lastRow="0" w:firstColumn="1" w:lastColumn="0" w:noHBand="0" w:noVBand="1"/>
        <w:tblCaption w:val="History of PBAC Considerations for PAH Medicines"/>
      </w:tblPr>
      <w:tblGrid>
        <w:gridCol w:w="1421"/>
        <w:gridCol w:w="3828"/>
        <w:gridCol w:w="1419"/>
        <w:gridCol w:w="8078"/>
      </w:tblGrid>
      <w:tr w:rsidR="00A705D5" w:rsidRPr="002D2A0A" w:rsidTr="00A705D5">
        <w:trPr>
          <w:cnfStyle w:val="100000000000" w:firstRow="1" w:lastRow="0" w:firstColumn="0" w:lastColumn="0" w:oddVBand="0" w:evenVBand="0" w:oddHBand="0" w:evenHBand="0" w:firstRowFirstColumn="0" w:firstRowLastColumn="0" w:lastRowFirstColumn="0" w:lastRowLastColumn="0"/>
        </w:trPr>
        <w:tc>
          <w:tcPr>
            <w:tcW w:w="482" w:type="pct"/>
            <w:shd w:val="clear" w:color="auto" w:fill="BFBFBF" w:themeFill="background1" w:themeFillShade="BF"/>
          </w:tcPr>
          <w:p w:rsidR="00064D19" w:rsidRPr="002D2A0A" w:rsidRDefault="00064D19" w:rsidP="002D2A0A">
            <w:pPr>
              <w:spacing w:before="0" w:line="240" w:lineRule="auto"/>
              <w:ind w:left="147" w:right="57"/>
              <w:jc w:val="left"/>
              <w:rPr>
                <w:rFonts w:ascii="Arial" w:hAnsi="Arial" w:cs="Arial"/>
                <w:b/>
                <w:color w:val="auto"/>
                <w:sz w:val="20"/>
                <w:szCs w:val="20"/>
              </w:rPr>
            </w:pPr>
            <w:r w:rsidRPr="002D2A0A">
              <w:rPr>
                <w:rFonts w:ascii="Arial" w:hAnsi="Arial" w:cs="Arial"/>
                <w:b/>
                <w:color w:val="auto"/>
                <w:sz w:val="20"/>
                <w:szCs w:val="20"/>
              </w:rPr>
              <w:t>Drug</w:t>
            </w:r>
          </w:p>
        </w:tc>
        <w:tc>
          <w:tcPr>
            <w:tcW w:w="1298" w:type="pct"/>
            <w:shd w:val="clear" w:color="auto" w:fill="BFBFBF" w:themeFill="background1" w:themeFillShade="BF"/>
          </w:tcPr>
          <w:p w:rsidR="00064D19" w:rsidRPr="002D2A0A" w:rsidRDefault="00064D19" w:rsidP="002D2A0A">
            <w:pPr>
              <w:spacing w:before="0" w:line="240" w:lineRule="auto"/>
              <w:ind w:left="172" w:right="57"/>
              <w:jc w:val="left"/>
              <w:rPr>
                <w:rFonts w:ascii="Arial" w:hAnsi="Arial" w:cs="Arial"/>
                <w:b/>
                <w:color w:val="auto"/>
                <w:sz w:val="20"/>
                <w:szCs w:val="20"/>
              </w:rPr>
            </w:pPr>
            <w:r w:rsidRPr="002D2A0A">
              <w:rPr>
                <w:rFonts w:ascii="Arial" w:hAnsi="Arial" w:cs="Arial"/>
                <w:b/>
                <w:color w:val="auto"/>
                <w:sz w:val="20"/>
                <w:szCs w:val="20"/>
              </w:rPr>
              <w:t>Proposed PBS listing</w:t>
            </w:r>
          </w:p>
        </w:tc>
        <w:tc>
          <w:tcPr>
            <w:tcW w:w="481" w:type="pct"/>
            <w:shd w:val="clear" w:color="auto" w:fill="BFBFBF" w:themeFill="background1" w:themeFillShade="BF"/>
          </w:tcPr>
          <w:p w:rsidR="00064D19" w:rsidRPr="002D2A0A" w:rsidRDefault="00064D19" w:rsidP="002D2A0A">
            <w:pPr>
              <w:spacing w:before="0" w:line="240" w:lineRule="auto"/>
              <w:ind w:left="172" w:right="57"/>
              <w:jc w:val="left"/>
              <w:rPr>
                <w:rFonts w:ascii="Arial" w:hAnsi="Arial" w:cs="Arial"/>
                <w:b/>
                <w:color w:val="auto"/>
                <w:sz w:val="20"/>
                <w:szCs w:val="20"/>
              </w:rPr>
            </w:pPr>
            <w:r w:rsidRPr="002D2A0A">
              <w:rPr>
                <w:rFonts w:ascii="Arial" w:hAnsi="Arial" w:cs="Arial"/>
                <w:b/>
                <w:color w:val="auto"/>
                <w:sz w:val="20"/>
                <w:szCs w:val="20"/>
              </w:rPr>
              <w:t>PBAC Meeting</w:t>
            </w:r>
          </w:p>
        </w:tc>
        <w:tc>
          <w:tcPr>
            <w:tcW w:w="2739" w:type="pct"/>
            <w:shd w:val="clear" w:color="auto" w:fill="BFBFBF" w:themeFill="background1" w:themeFillShade="BF"/>
          </w:tcPr>
          <w:p w:rsidR="00064D19" w:rsidRPr="002D2A0A" w:rsidRDefault="00064D19" w:rsidP="00807704">
            <w:pPr>
              <w:widowControl w:val="0"/>
              <w:numPr>
                <w:ilvl w:val="0"/>
                <w:numId w:val="15"/>
              </w:numPr>
              <w:spacing w:before="0" w:line="240" w:lineRule="auto"/>
              <w:ind w:left="172" w:right="57"/>
              <w:jc w:val="left"/>
              <w:rPr>
                <w:rFonts w:ascii="Arial" w:hAnsi="Arial" w:cs="Arial"/>
                <w:b/>
                <w:color w:val="auto"/>
                <w:sz w:val="20"/>
                <w:szCs w:val="20"/>
              </w:rPr>
            </w:pPr>
            <w:r w:rsidRPr="002D2A0A">
              <w:rPr>
                <w:rFonts w:ascii="Arial" w:hAnsi="Arial" w:cs="Arial"/>
                <w:b/>
                <w:color w:val="auto"/>
                <w:sz w:val="20"/>
                <w:szCs w:val="20"/>
              </w:rPr>
              <w:t>PBAC decision</w:t>
            </w:r>
          </w:p>
          <w:p w:rsidR="00064D19" w:rsidRPr="002D2A0A" w:rsidRDefault="00064D19" w:rsidP="00807704">
            <w:pPr>
              <w:widowControl w:val="0"/>
              <w:numPr>
                <w:ilvl w:val="0"/>
                <w:numId w:val="15"/>
              </w:numPr>
              <w:spacing w:before="0" w:line="240" w:lineRule="auto"/>
              <w:ind w:left="172" w:right="57"/>
              <w:jc w:val="left"/>
              <w:rPr>
                <w:rFonts w:ascii="Arial" w:hAnsi="Arial" w:cs="Arial"/>
                <w:b/>
                <w:color w:val="auto"/>
                <w:sz w:val="20"/>
                <w:szCs w:val="20"/>
              </w:rPr>
            </w:pPr>
            <w:r w:rsidRPr="002D2A0A">
              <w:rPr>
                <w:rFonts w:ascii="Arial" w:hAnsi="Arial" w:cs="Arial"/>
                <w:b/>
                <w:color w:val="auto"/>
                <w:sz w:val="20"/>
                <w:szCs w:val="20"/>
              </w:rPr>
              <w:t>Reasons</w:t>
            </w:r>
          </w:p>
        </w:tc>
      </w:tr>
      <w:tr w:rsidR="00064D19" w:rsidRPr="00064D19" w:rsidTr="00A705D5">
        <w:tc>
          <w:tcPr>
            <w:tcW w:w="5000" w:type="pct"/>
            <w:gridSpan w:val="4"/>
          </w:tcPr>
          <w:p w:rsidR="00064D19" w:rsidRPr="002D2A0A" w:rsidRDefault="00064D19" w:rsidP="002D2A0A">
            <w:pPr>
              <w:spacing w:before="0" w:line="240" w:lineRule="auto"/>
              <w:ind w:left="172" w:right="57"/>
              <w:jc w:val="left"/>
              <w:rPr>
                <w:rFonts w:ascii="Arial" w:hAnsi="Arial" w:cs="Arial"/>
                <w:b/>
                <w:sz w:val="20"/>
                <w:szCs w:val="20"/>
              </w:rPr>
            </w:pPr>
            <w:r w:rsidRPr="002D2A0A">
              <w:rPr>
                <w:rFonts w:ascii="Arial" w:hAnsi="Arial" w:cs="Arial"/>
                <w:b/>
                <w:sz w:val="20"/>
                <w:szCs w:val="20"/>
              </w:rPr>
              <w:t>Endothelin receptor antagonist</w:t>
            </w:r>
          </w:p>
        </w:tc>
      </w:tr>
      <w:tr w:rsidR="00A705D5" w:rsidRPr="00064D19" w:rsidTr="00A705D5">
        <w:tc>
          <w:tcPr>
            <w:tcW w:w="482" w:type="pct"/>
            <w:tcBorders>
              <w:bottom w:val="nil"/>
            </w:tcBorders>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Bosentan</w:t>
            </w:r>
          </w:p>
        </w:tc>
        <w:tc>
          <w:tcPr>
            <w:tcW w:w="1298" w:type="pct"/>
          </w:tcPr>
          <w:p w:rsidR="00064D19" w:rsidRPr="002D2A0A" w:rsidRDefault="00064D19" w:rsidP="002D2A0A">
            <w:pPr>
              <w:spacing w:before="0" w:line="240" w:lineRule="auto"/>
              <w:ind w:left="172" w:right="57"/>
              <w:jc w:val="left"/>
              <w:rPr>
                <w:rFonts w:ascii="Arial" w:hAnsi="Arial" w:cs="Arial"/>
                <w:sz w:val="20"/>
                <w:szCs w:val="20"/>
                <w:u w:val="single"/>
              </w:rPr>
            </w:pPr>
            <w:r w:rsidRPr="002D2A0A">
              <w:rPr>
                <w:rFonts w:ascii="Arial" w:hAnsi="Arial" w:cs="Arial"/>
                <w:sz w:val="20"/>
                <w:szCs w:val="20"/>
              </w:rPr>
              <w:t>Treatment of IPAH or PAH associated with scleroderma in patients with WHO FC III or IV severity</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December 2002</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b/>
                <w:caps/>
                <w:color w:val="000000"/>
                <w:spacing w:val="5"/>
                <w:kern w:val="28"/>
                <w:sz w:val="20"/>
                <w:szCs w:val="20"/>
                <w:lang w:val="en-US"/>
              </w:rPr>
            </w:pPr>
            <w:r w:rsidRPr="002D2A0A">
              <w:rPr>
                <w:rFonts w:ascii="Arial" w:hAnsi="Arial" w:cs="Arial"/>
                <w:sz w:val="20"/>
                <w:szCs w:val="20"/>
              </w:rPr>
              <w:t>Rejected</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Unacceptable and uncertain cost-effectiveness</w:t>
            </w:r>
          </w:p>
        </w:tc>
      </w:tr>
      <w:tr w:rsidR="00A705D5" w:rsidRPr="00064D19" w:rsidTr="00A705D5">
        <w:tc>
          <w:tcPr>
            <w:tcW w:w="482" w:type="pct"/>
            <w:tcBorders>
              <w:top w:val="nil"/>
              <w:bottom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u w:val="single"/>
              </w:rPr>
            </w:pPr>
            <w:r w:rsidRPr="002D2A0A">
              <w:rPr>
                <w:rFonts w:ascii="Arial" w:hAnsi="Arial" w:cs="Arial"/>
                <w:sz w:val="20"/>
                <w:szCs w:val="20"/>
              </w:rPr>
              <w:t>Re-submission (as above)</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June 2003</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Rejected</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Uncertainty in the clinical benefit, in terms of the extent in any gain in survival, and uncertain and unacceptable cost-effectiveness</w:t>
            </w:r>
          </w:p>
        </w:tc>
      </w:tr>
      <w:tr w:rsidR="00A705D5" w:rsidRPr="00064D19" w:rsidTr="00A705D5">
        <w:tc>
          <w:tcPr>
            <w:tcW w:w="482" w:type="pct"/>
            <w:tcBorders>
              <w:top w:val="nil"/>
              <w:bottom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u w:val="single"/>
              </w:rPr>
            </w:pPr>
            <w:r w:rsidRPr="002D2A0A">
              <w:rPr>
                <w:rFonts w:ascii="Arial" w:hAnsi="Arial" w:cs="Arial"/>
                <w:sz w:val="20"/>
                <w:szCs w:val="20"/>
              </w:rPr>
              <w:t>Re-submission (as above)</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September 2003</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Rejected</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Uncertain and unacceptable cost-effectiveness</w:t>
            </w:r>
          </w:p>
        </w:tc>
      </w:tr>
      <w:tr w:rsidR="00A705D5" w:rsidRPr="00064D19" w:rsidTr="00A705D5">
        <w:tc>
          <w:tcPr>
            <w:tcW w:w="482" w:type="pct"/>
            <w:tcBorders>
              <w:top w:val="nil"/>
              <w:bottom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u w:val="single"/>
              </w:rPr>
            </w:pPr>
            <w:r w:rsidRPr="002D2A0A">
              <w:rPr>
                <w:rFonts w:ascii="Arial" w:hAnsi="Arial" w:cs="Arial"/>
                <w:sz w:val="20"/>
                <w:szCs w:val="20"/>
              </w:rPr>
              <w:t>Re-submission (as above)</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December 2003</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listing on basis of acceptable, but high, cost-effectiveness ratio.</w:t>
            </w:r>
          </w:p>
          <w:p w:rsidR="00064D19" w:rsidRPr="00A705D5" w:rsidRDefault="003F5FE5" w:rsidP="003F5FE5">
            <w:pPr>
              <w:widowControl w:val="0"/>
              <w:spacing w:before="0" w:line="240" w:lineRule="auto"/>
              <w:ind w:left="172" w:right="57" w:hanging="360"/>
              <w:jc w:val="left"/>
              <w:rPr>
                <w:rFonts w:ascii="Arial" w:hAnsi="Arial" w:cs="Arial"/>
                <w:sz w:val="16"/>
                <w:szCs w:val="16"/>
                <w:highlight w:val="black"/>
              </w:rPr>
            </w:pP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r w:rsidRPr="00A705D5">
              <w:rPr>
                <w:rFonts w:ascii="Symbol" w:hAnsi="Symbol" w:cs="Arial"/>
                <w:noProof/>
                <w:color w:val="000000"/>
                <w:sz w:val="16"/>
                <w:szCs w:val="16"/>
                <w:highlight w:val="black"/>
              </w:rPr>
              <w:t></w:t>
            </w:r>
          </w:p>
        </w:tc>
      </w:tr>
      <w:tr w:rsidR="00A705D5" w:rsidRPr="00064D19" w:rsidTr="00A705D5">
        <w:tc>
          <w:tcPr>
            <w:tcW w:w="482" w:type="pct"/>
            <w:tcBorders>
              <w:top w:val="nil"/>
              <w:bottom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b/>
                <w:caps/>
                <w:color w:val="000000"/>
                <w:spacing w:val="5"/>
                <w:kern w:val="28"/>
                <w:sz w:val="20"/>
                <w:szCs w:val="20"/>
                <w:u w:val="single"/>
                <w:lang w:val="en-US"/>
              </w:rPr>
            </w:pPr>
            <w:r w:rsidRPr="002D2A0A">
              <w:rPr>
                <w:rFonts w:ascii="Arial" w:hAnsi="Arial" w:cs="Arial"/>
                <w:sz w:val="20"/>
                <w:szCs w:val="20"/>
              </w:rPr>
              <w:t xml:space="preserve">Extend listing to include PAH associated with congenital systemic-to-pulmonary shunts including </w:t>
            </w:r>
            <w:proofErr w:type="spellStart"/>
            <w:r w:rsidRPr="002D2A0A">
              <w:rPr>
                <w:rFonts w:ascii="Arial" w:hAnsi="Arial" w:cs="Arial"/>
                <w:sz w:val="20"/>
                <w:szCs w:val="20"/>
              </w:rPr>
              <w:t>Eisenmenger’s</w:t>
            </w:r>
            <w:proofErr w:type="spellEnd"/>
            <w:r w:rsidRPr="002D2A0A">
              <w:rPr>
                <w:rFonts w:ascii="Arial" w:hAnsi="Arial" w:cs="Arial"/>
                <w:sz w:val="20"/>
                <w:szCs w:val="20"/>
              </w:rPr>
              <w:t xml:space="preserve"> physiology</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2008</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 xml:space="preserve">Recommended listing </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 xml:space="preserve">Acceptable cost-effectiveness compared with standard care (evidence is presented at </w:t>
            </w:r>
            <w:proofErr w:type="spellStart"/>
            <w:r w:rsidRPr="002D2A0A">
              <w:rPr>
                <w:rFonts w:ascii="Arial" w:hAnsi="Arial" w:cs="Arial"/>
                <w:sz w:val="20"/>
                <w:szCs w:val="20"/>
              </w:rPr>
              <w:t>i</w:t>
            </w:r>
            <w:proofErr w:type="spellEnd"/>
            <w:r w:rsidRPr="002D2A0A">
              <w:rPr>
                <w:rFonts w:ascii="Arial" w:hAnsi="Arial" w:cs="Arial"/>
                <w:sz w:val="20"/>
                <w:szCs w:val="20"/>
              </w:rPr>
              <w:t>) below).</w:t>
            </w:r>
          </w:p>
        </w:tc>
      </w:tr>
      <w:tr w:rsidR="00A705D5" w:rsidRPr="00064D19" w:rsidTr="00A705D5">
        <w:tc>
          <w:tcPr>
            <w:tcW w:w="482" w:type="pct"/>
            <w:tcBorders>
              <w:top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Minor submission from PHSANZ requesting amendment of the current ‘continuing treatment’ restriction</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 xml:space="preserve">July 2015 </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that that the current “continuing treatment (all patients)” restriction be replaced by a “continuing treatment – new patient” restriction (written authority); and a subsequent “continuing treatment” restriction (telephone authority) without a requirement to provide evidence of response to the most recent treatment course</w:t>
            </w:r>
          </w:p>
        </w:tc>
      </w:tr>
      <w:tr w:rsidR="00A705D5" w:rsidRPr="00064D19" w:rsidTr="00A705D5">
        <w:tc>
          <w:tcPr>
            <w:tcW w:w="482" w:type="pct"/>
            <w:tcBorders>
              <w:bottom w:val="single" w:sz="4" w:space="0" w:color="000000" w:themeColor="text1"/>
            </w:tcBorders>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Ambrisentan</w:t>
            </w:r>
          </w:p>
        </w:tc>
        <w:tc>
          <w:tcPr>
            <w:tcW w:w="1298" w:type="pct"/>
          </w:tcPr>
          <w:p w:rsidR="00064D19" w:rsidRPr="002D2A0A" w:rsidRDefault="00064D19" w:rsidP="002D2A0A">
            <w:pPr>
              <w:spacing w:before="0" w:line="240" w:lineRule="auto"/>
              <w:ind w:left="172" w:right="57"/>
              <w:jc w:val="left"/>
              <w:rPr>
                <w:rFonts w:ascii="Arial" w:hAnsi="Arial" w:cs="Arial"/>
                <w:b/>
                <w:caps/>
                <w:color w:val="000000"/>
                <w:spacing w:val="5"/>
                <w:kern w:val="28"/>
                <w:sz w:val="20"/>
                <w:szCs w:val="20"/>
                <w:u w:val="single"/>
                <w:lang w:val="en-US"/>
              </w:rPr>
            </w:pPr>
            <w:r w:rsidRPr="002D2A0A">
              <w:rPr>
                <w:rFonts w:ascii="Arial" w:hAnsi="Arial" w:cs="Arial"/>
                <w:sz w:val="20"/>
                <w:szCs w:val="20"/>
              </w:rPr>
              <w:t>Treatment of IPAH or PAH-CTD in patients with a WHO FC III-IV severity</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July 2009</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listing as Section 100 HSD Program Public and Private Hospital Authority Required</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Cost minimisation basis to bosentan. Equi-effective doses are ambrisentan 5mg daily and bosentan 125mg bid (evidence is presented at ii) below).</w:t>
            </w:r>
          </w:p>
        </w:tc>
      </w:tr>
      <w:tr w:rsidR="00A705D5" w:rsidRPr="00064D19" w:rsidTr="00A705D5">
        <w:tc>
          <w:tcPr>
            <w:tcW w:w="482" w:type="pct"/>
            <w:tcBorders>
              <w:top w:val="single" w:sz="4" w:space="0" w:color="000000" w:themeColor="text1"/>
              <w:bottom w:val="nil"/>
            </w:tcBorders>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Macitentan</w:t>
            </w:r>
          </w:p>
        </w:tc>
        <w:tc>
          <w:tcPr>
            <w:tcW w:w="1298" w:type="pct"/>
          </w:tcPr>
          <w:p w:rsidR="00064D19" w:rsidRPr="002D2A0A" w:rsidRDefault="00064D19" w:rsidP="002D2A0A">
            <w:pPr>
              <w:spacing w:before="0" w:line="240" w:lineRule="auto"/>
              <w:ind w:left="172" w:right="57"/>
              <w:jc w:val="left"/>
              <w:rPr>
                <w:rFonts w:ascii="Arial" w:hAnsi="Arial" w:cs="Arial"/>
                <w:b/>
                <w:caps/>
                <w:color w:val="000000"/>
                <w:spacing w:val="5"/>
                <w:kern w:val="28"/>
                <w:sz w:val="20"/>
                <w:szCs w:val="20"/>
                <w:u w:val="single"/>
                <w:lang w:val="en-US"/>
              </w:rPr>
            </w:pPr>
            <w:r w:rsidRPr="002D2A0A">
              <w:rPr>
                <w:rFonts w:ascii="Arial" w:hAnsi="Arial" w:cs="Arial"/>
                <w:sz w:val="20"/>
                <w:szCs w:val="20"/>
              </w:rPr>
              <w:t>Treatment of WHO FC III or IV IPAH, PAH-CTD or PAH-CHD</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2014</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 xml:space="preserve">Recommended listing </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Cost minimisation basis to bosentan. Equi-effective doses are macitentan 10mg once daily versus bosentan 62.5mg twice daily for 4 weeks, then a maintenance dose of 125mg twice daily.</w:t>
            </w:r>
          </w:p>
        </w:tc>
      </w:tr>
      <w:tr w:rsidR="00A705D5" w:rsidRPr="00064D19" w:rsidTr="00A705D5">
        <w:tc>
          <w:tcPr>
            <w:tcW w:w="482" w:type="pct"/>
            <w:tcBorders>
              <w:top w:val="nil"/>
              <w:bottom w:val="single" w:sz="4" w:space="0" w:color="000000" w:themeColor="text1"/>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Minor submission from PHSANZ requesting amendment of the current ‘continuing treatment’ restriction</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 xml:space="preserve">July 2015 </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that that the current “continuing treatment (all patients)” restriction be replaced by a “continuing treatment – new patient” restriction (written authority); and a subsequent “continuing treatment” restriction (telephone authority) without a requirement to provide evidence of response to the most recent treatment course</w:t>
            </w:r>
          </w:p>
        </w:tc>
      </w:tr>
      <w:tr w:rsidR="00A705D5" w:rsidRPr="00064D19" w:rsidTr="00A705D5">
        <w:tc>
          <w:tcPr>
            <w:tcW w:w="482" w:type="pct"/>
            <w:tcBorders>
              <w:top w:val="single" w:sz="4" w:space="0" w:color="000000" w:themeColor="text1"/>
            </w:tcBorders>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Sitaxentan</w:t>
            </w: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Treatment of IPAH in patients with WHO FC III symptoms, and PAH-CTD</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July 2007</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listing as a Section 100 HSD Program Public and Private Hospital Authority</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Cost minimisation basis to bosentan. Equi-effective doses are sitaxentan 100mg daily and bosentan 125 mg bid (evidence is presented at iii) below).</w:t>
            </w:r>
          </w:p>
        </w:tc>
      </w:tr>
      <w:tr w:rsidR="00064D19" w:rsidRPr="00064D19" w:rsidTr="00A705D5">
        <w:tc>
          <w:tcPr>
            <w:tcW w:w="5000" w:type="pct"/>
            <w:gridSpan w:val="4"/>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b/>
                <w:sz w:val="20"/>
                <w:szCs w:val="20"/>
              </w:rPr>
              <w:t>Phosphodiesterase inhibitors</w:t>
            </w:r>
          </w:p>
        </w:tc>
      </w:tr>
      <w:tr w:rsidR="00A705D5" w:rsidRPr="00064D19" w:rsidTr="00A705D5">
        <w:tc>
          <w:tcPr>
            <w:tcW w:w="482" w:type="pct"/>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Sildenafil</w:t>
            </w: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Treatment of IPAH or PAH-CTD in patients with WHO FC III</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November 2006</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listing</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Sildenafil is no worse than bosentan in terms of effectiveness and has similar toxicity. The equi-effective doses are sildenafil 20mg three times daily (</w:t>
            </w:r>
            <w:proofErr w:type="spellStart"/>
            <w:r w:rsidRPr="002D2A0A">
              <w:rPr>
                <w:rFonts w:ascii="Arial" w:hAnsi="Arial" w:cs="Arial"/>
                <w:sz w:val="20"/>
                <w:szCs w:val="20"/>
              </w:rPr>
              <w:t>tid</w:t>
            </w:r>
            <w:proofErr w:type="spellEnd"/>
            <w:r w:rsidRPr="002D2A0A">
              <w:rPr>
                <w:rFonts w:ascii="Arial" w:hAnsi="Arial" w:cs="Arial"/>
                <w:sz w:val="20"/>
                <w:szCs w:val="20"/>
              </w:rPr>
              <w:t xml:space="preserve">) and bosentan 62.5mg bid for 4 weeks followed by a maintenance dose of 125mg bid (evidence is presented at iv) below). </w:t>
            </w:r>
          </w:p>
        </w:tc>
      </w:tr>
      <w:tr w:rsidR="00A705D5" w:rsidRPr="00064D19" w:rsidTr="00A705D5">
        <w:tc>
          <w:tcPr>
            <w:tcW w:w="482" w:type="pct"/>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Tadalafil</w:t>
            </w: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Treatment of WHO FC III IPAH and PAH-CTD</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November 2011</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listing as Section 100 HSD Program Public and Private Hospital Authority Required</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 xml:space="preserve">Cost minimisation basis compared with sildenafil. The equi-effective doses are tadalafil 40mg once daily and sildenafil 20mg </w:t>
            </w:r>
            <w:proofErr w:type="spellStart"/>
            <w:r w:rsidRPr="002D2A0A">
              <w:rPr>
                <w:rFonts w:ascii="Arial" w:hAnsi="Arial" w:cs="Arial"/>
                <w:sz w:val="20"/>
                <w:szCs w:val="20"/>
              </w:rPr>
              <w:t>tid</w:t>
            </w:r>
            <w:proofErr w:type="spellEnd"/>
            <w:r w:rsidRPr="002D2A0A">
              <w:rPr>
                <w:rFonts w:ascii="Arial" w:hAnsi="Arial" w:cs="Arial"/>
                <w:sz w:val="20"/>
                <w:szCs w:val="20"/>
              </w:rPr>
              <w:t xml:space="preserve"> (evidence is presented at v) below).</w:t>
            </w:r>
          </w:p>
        </w:tc>
      </w:tr>
      <w:tr w:rsidR="00064D19" w:rsidRPr="00064D19" w:rsidTr="00A705D5">
        <w:tc>
          <w:tcPr>
            <w:tcW w:w="5000" w:type="pct"/>
            <w:gridSpan w:val="4"/>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b/>
                <w:sz w:val="20"/>
                <w:szCs w:val="20"/>
              </w:rPr>
              <w:t>Prostanoids</w:t>
            </w:r>
          </w:p>
        </w:tc>
      </w:tr>
      <w:tr w:rsidR="00A705D5" w:rsidRPr="00064D19" w:rsidTr="00A705D5">
        <w:tc>
          <w:tcPr>
            <w:tcW w:w="482" w:type="pct"/>
            <w:tcBorders>
              <w:bottom w:val="nil"/>
            </w:tcBorders>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 xml:space="preserve">Iloprost </w:t>
            </w:r>
          </w:p>
          <w:p w:rsidR="00064D19" w:rsidRPr="002D2A0A" w:rsidRDefault="00064D19" w:rsidP="002D2A0A">
            <w:pPr>
              <w:widowControl w:val="0"/>
              <w:spacing w:before="0" w:line="240" w:lineRule="auto"/>
              <w:ind w:left="147" w:right="57"/>
              <w:jc w:val="left"/>
              <w:rPr>
                <w:rFonts w:ascii="Arial" w:hAnsi="Arial" w:cs="Arial"/>
                <w:snapToGrid w:val="0"/>
                <w:sz w:val="20"/>
                <w:szCs w:val="20"/>
              </w:rPr>
            </w:pPr>
          </w:p>
          <w:p w:rsidR="00064D19" w:rsidRPr="002D2A0A" w:rsidRDefault="00064D19" w:rsidP="002D2A0A">
            <w:pPr>
              <w:spacing w:before="0" w:line="240" w:lineRule="auto"/>
              <w:ind w:left="147" w:right="57"/>
              <w:jc w:val="left"/>
              <w:rPr>
                <w:rFonts w:ascii="Arial" w:hAnsi="Arial" w:cs="Arial"/>
                <w:sz w:val="20"/>
                <w:szCs w:val="20"/>
              </w:rPr>
            </w:pPr>
          </w:p>
        </w:tc>
        <w:tc>
          <w:tcPr>
            <w:tcW w:w="1298" w:type="pct"/>
            <w:tcBorders>
              <w:bottom w:val="nil"/>
            </w:tcBorders>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Treatment of IPAH, drug-induced PAH or PAH-CTD</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November 2004</w:t>
            </w:r>
          </w:p>
        </w:tc>
        <w:tc>
          <w:tcPr>
            <w:tcW w:w="2739" w:type="pct"/>
          </w:tcPr>
          <w:p w:rsidR="00064D19"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Section 100 listing</w:t>
            </w:r>
          </w:p>
          <w:p w:rsidR="00064D19" w:rsidRPr="00A705D5" w:rsidRDefault="00A705D5" w:rsidP="00A705D5">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Cost minimisation basis compared with bosentan. The equi-effective doses being iloprost 2.5-5mg nebulised 6-9 times per day, giving a mean of 7.5 x 20mg consumed per day, and bosentan 125mg bid.</w:t>
            </w:r>
          </w:p>
        </w:tc>
      </w:tr>
      <w:tr w:rsidR="00A705D5" w:rsidRPr="00064D19" w:rsidTr="00A705D5">
        <w:tc>
          <w:tcPr>
            <w:tcW w:w="482" w:type="pct"/>
            <w:tcBorders>
              <w:top w:val="nil"/>
              <w:bottom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Borders>
              <w:top w:val="nil"/>
              <w:bottom w:val="nil"/>
            </w:tcBorders>
          </w:tcPr>
          <w:p w:rsidR="00064D19" w:rsidRPr="002D2A0A" w:rsidRDefault="00064D19" w:rsidP="002D2A0A">
            <w:pPr>
              <w:spacing w:before="0" w:line="240" w:lineRule="auto"/>
              <w:ind w:left="172" w:right="57"/>
              <w:jc w:val="left"/>
              <w:rPr>
                <w:rFonts w:ascii="Arial" w:hAnsi="Arial" w:cs="Arial"/>
                <w:sz w:val="20"/>
                <w:szCs w:val="20"/>
              </w:rPr>
            </w:pP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2008</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removal of the word “adult” and amendment to the iloprost listing as appropriate to allow use in paediatric patients</w:t>
            </w:r>
          </w:p>
        </w:tc>
      </w:tr>
      <w:tr w:rsidR="00A705D5" w:rsidRPr="00064D19" w:rsidTr="00A705D5">
        <w:tc>
          <w:tcPr>
            <w:tcW w:w="482" w:type="pct"/>
            <w:tcBorders>
              <w:top w:val="nil"/>
              <w:bottom w:val="single" w:sz="4" w:space="0" w:color="auto"/>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Borders>
              <w:top w:val="nil"/>
            </w:tcBorders>
          </w:tcPr>
          <w:p w:rsidR="00064D19" w:rsidRPr="002D2A0A" w:rsidRDefault="00064D19" w:rsidP="002D2A0A">
            <w:pPr>
              <w:spacing w:before="0" w:line="240" w:lineRule="auto"/>
              <w:ind w:left="172" w:right="57"/>
              <w:jc w:val="left"/>
              <w:rPr>
                <w:rFonts w:ascii="Arial" w:hAnsi="Arial" w:cs="Arial"/>
                <w:sz w:val="20"/>
                <w:szCs w:val="20"/>
              </w:rPr>
            </w:pP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2009</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an amendment to the restrictions for iloprost to limit availability to second-line use in patients with WHO Class III IPAH or PAH-CTD who had failed to respond to a prior PBS-subsidised therapy</w:t>
            </w:r>
          </w:p>
        </w:tc>
      </w:tr>
      <w:tr w:rsidR="00A705D5" w:rsidRPr="00064D19" w:rsidTr="00A705D5">
        <w:tc>
          <w:tcPr>
            <w:tcW w:w="482" w:type="pct"/>
            <w:tcBorders>
              <w:bottom w:val="nil"/>
            </w:tcBorders>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Epoprostenol</w:t>
            </w: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Treatment of WHO FC III or IV IPAH patients who met certain criteria and had failed to respond to treatment with bosentan or where bosentan was contraindicated or was ceased due to intolerable adverse events</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July 2004</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Rejected Section 100 listing</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Unacceptable cost-effectiveness</w:t>
            </w:r>
          </w:p>
        </w:tc>
      </w:tr>
      <w:tr w:rsidR="00A705D5" w:rsidRPr="00064D19" w:rsidTr="00A705D5">
        <w:tc>
          <w:tcPr>
            <w:tcW w:w="482" w:type="pct"/>
            <w:tcBorders>
              <w:top w:val="nil"/>
              <w:bottom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Treatment of adult and paediatric patients with FC III or IV IPAH (similar to bosentan listing)</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2005</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Rejected a first line section 100 listing</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Uncertainty about the determination of equi-effective doses and uncertainty about the resulting cost minimisation analysis.</w:t>
            </w:r>
          </w:p>
        </w:tc>
      </w:tr>
      <w:tr w:rsidR="00A705D5" w:rsidRPr="00064D19" w:rsidTr="00A705D5">
        <w:tc>
          <w:tcPr>
            <w:tcW w:w="482" w:type="pct"/>
            <w:tcBorders>
              <w:top w:val="nil"/>
              <w:bottom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Re-submission (as above)</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2006</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 xml:space="preserve">Recommended listing </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Cost minimisation based on an indirect comparison showing epoprostenol is therapeutically no worse than bosentan. The equi-effective doses are epoprostenol, commencing at an average dose of 11.9ng/kg/min over the first 3 months of treatment and escalating linearly in steps to an average dose of 27.2ng/kg/min at 3 years, and bosentan 125 mg bid (evidence is presented at vi) below).</w:t>
            </w:r>
          </w:p>
        </w:tc>
      </w:tr>
      <w:tr w:rsidR="00A705D5" w:rsidRPr="00064D19" w:rsidTr="00A705D5">
        <w:tc>
          <w:tcPr>
            <w:tcW w:w="482" w:type="pct"/>
            <w:tcBorders>
              <w:top w:val="nil"/>
              <w:bottom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2009</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changes in the restrictions of epoprostenol to allow only second-line use for PAH treatment.</w:t>
            </w:r>
          </w:p>
        </w:tc>
      </w:tr>
      <w:tr w:rsidR="00A705D5" w:rsidRPr="00064D19" w:rsidTr="00A705D5">
        <w:tc>
          <w:tcPr>
            <w:tcW w:w="482" w:type="pct"/>
            <w:tcBorders>
              <w:top w:val="nil"/>
              <w:bottom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Second-line therapy for WHO FC III PAH-CTD and first-line therapy for WHO FC IV PAH-CTD</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November 2011</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 xml:space="preserve">Recommended listing </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Cost minimisation based on comparison between iloprost and bosentan. The equi-effective doses are estimated to be epoprostenol, commencing at a dose of 2.2ng/kg/min, with an average dose of 11.2ng/kg/min at week 12, increasing linearly in steps to an average dose of 47.4ng/kg/min at 3 years; bosentan 62.5mg orally bid for 4 weeks, then a maintenance dose of 125 mg bid; and iloprost 2.5-5µg nebulised 6-9 times per day, giving a mean of 7.5 x 20µg per day (evidence is presented at vii) below).</w:t>
            </w:r>
          </w:p>
        </w:tc>
      </w:tr>
      <w:tr w:rsidR="00A705D5" w:rsidRPr="00064D19" w:rsidTr="00A705D5">
        <w:tc>
          <w:tcPr>
            <w:tcW w:w="482" w:type="pct"/>
            <w:tcBorders>
              <w:top w:val="nil"/>
            </w:tcBorders>
          </w:tcPr>
          <w:p w:rsidR="00064D19" w:rsidRPr="002D2A0A" w:rsidRDefault="00064D19" w:rsidP="002D2A0A">
            <w:pPr>
              <w:spacing w:before="0" w:line="240" w:lineRule="auto"/>
              <w:ind w:left="147" w:right="57"/>
              <w:jc w:val="left"/>
              <w:rPr>
                <w:rFonts w:ascii="Arial" w:hAnsi="Arial" w:cs="Arial"/>
                <w:sz w:val="20"/>
                <w:szCs w:val="20"/>
              </w:rPr>
            </w:pPr>
          </w:p>
        </w:tc>
        <w:tc>
          <w:tcPr>
            <w:tcW w:w="1298"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Minor submission from PHSANZ requesting amendment of the current ‘continuing treatment’ restriction</w:t>
            </w:r>
          </w:p>
        </w:tc>
        <w:tc>
          <w:tcPr>
            <w:tcW w:w="481"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 xml:space="preserve">July 2015 </w:t>
            </w:r>
          </w:p>
        </w:tc>
        <w:tc>
          <w:tcPr>
            <w:tcW w:w="2739"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that that the current “continuing treatment (all patients)” restriction be replaced by a “continuing treatment – new patient” restriction (written authority); and a subsequent “continuing treatment” restriction (telephone authority) without a requirement to provide evidence of response to the most recent treatment course</w:t>
            </w:r>
          </w:p>
        </w:tc>
      </w:tr>
    </w:tbl>
    <w:p w:rsidR="002D2A0A" w:rsidRDefault="002D2A0A">
      <w:r>
        <w:br w:type="page"/>
      </w:r>
    </w:p>
    <w:tbl>
      <w:tblPr>
        <w:tblStyle w:val="TableGrid2"/>
        <w:tblW w:w="5000" w:type="pct"/>
        <w:tblLook w:val="04A0" w:firstRow="1" w:lastRow="0" w:firstColumn="1" w:lastColumn="0" w:noHBand="0" w:noVBand="1"/>
        <w:tblCaption w:val="History of PBAC Considerations for PAH Medicines"/>
      </w:tblPr>
      <w:tblGrid>
        <w:gridCol w:w="1394"/>
        <w:gridCol w:w="4024"/>
        <w:gridCol w:w="1589"/>
        <w:gridCol w:w="7573"/>
      </w:tblGrid>
      <w:tr w:rsidR="00064D19" w:rsidRPr="00064D19" w:rsidTr="002D2A0A">
        <w:trPr>
          <w:cnfStyle w:val="100000000000" w:firstRow="1" w:lastRow="0" w:firstColumn="0" w:lastColumn="0" w:oddVBand="0" w:evenVBand="0" w:oddHBand="0" w:evenHBand="0" w:firstRowFirstColumn="0" w:firstRowLastColumn="0" w:lastRowFirstColumn="0" w:lastRowLastColumn="0"/>
        </w:trPr>
        <w:tc>
          <w:tcPr>
            <w:tcW w:w="478" w:type="pct"/>
            <w:tcBorders>
              <w:top w:val="single" w:sz="4" w:space="0" w:color="auto"/>
            </w:tcBorders>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Treprostinil</w:t>
            </w:r>
          </w:p>
        </w:tc>
        <w:tc>
          <w:tcPr>
            <w:tcW w:w="1380"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Treatment of IPAH or PAH-CTD, in patients with disease of WHO FC III or IV severity.</w:t>
            </w:r>
          </w:p>
        </w:tc>
        <w:tc>
          <w:tcPr>
            <w:tcW w:w="545"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u w:val="single"/>
              </w:rPr>
              <w:t>November 2005</w:t>
            </w:r>
          </w:p>
        </w:tc>
        <w:tc>
          <w:tcPr>
            <w:tcW w:w="2598" w:type="pct"/>
          </w:tcPr>
          <w:p w:rsidR="00064D19" w:rsidRPr="002D2A0A" w:rsidRDefault="00064D19" w:rsidP="00807704">
            <w:pPr>
              <w:widowControl w:val="0"/>
              <w:numPr>
                <w:ilvl w:val="0"/>
                <w:numId w:val="15"/>
              </w:numPr>
              <w:spacing w:before="0" w:line="240" w:lineRule="auto"/>
              <w:ind w:left="172" w:right="57"/>
              <w:jc w:val="left"/>
              <w:rPr>
                <w:rFonts w:ascii="Arial" w:hAnsi="Arial" w:cs="Arial"/>
                <w:b/>
                <w:caps/>
                <w:color w:val="000000"/>
                <w:spacing w:val="5"/>
                <w:kern w:val="28"/>
                <w:sz w:val="20"/>
                <w:szCs w:val="20"/>
                <w:lang w:val="en-US"/>
              </w:rPr>
            </w:pPr>
            <w:r w:rsidRPr="002D2A0A">
              <w:rPr>
                <w:rFonts w:ascii="Arial" w:hAnsi="Arial" w:cs="Arial"/>
                <w:sz w:val="20"/>
                <w:szCs w:val="20"/>
              </w:rPr>
              <w:t xml:space="preserve">Recommended listing </w:t>
            </w:r>
          </w:p>
          <w:p w:rsidR="002D2A0A" w:rsidRPr="002D2A0A" w:rsidRDefault="00064D19" w:rsidP="00807704">
            <w:pPr>
              <w:widowControl w:val="0"/>
              <w:numPr>
                <w:ilvl w:val="0"/>
                <w:numId w:val="15"/>
              </w:numPr>
              <w:spacing w:before="0" w:line="240" w:lineRule="auto"/>
              <w:ind w:left="172" w:right="57"/>
              <w:jc w:val="left"/>
              <w:rPr>
                <w:rFonts w:ascii="Arial" w:hAnsi="Arial" w:cs="Arial"/>
                <w:snapToGrid w:val="0"/>
                <w:sz w:val="20"/>
                <w:szCs w:val="20"/>
              </w:rPr>
            </w:pPr>
            <w:r w:rsidRPr="002D2A0A">
              <w:rPr>
                <w:rFonts w:ascii="Arial" w:hAnsi="Arial" w:cs="Arial"/>
                <w:sz w:val="20"/>
                <w:szCs w:val="20"/>
              </w:rPr>
              <w:t xml:space="preserve">Cost minimisation based on indirect comparison involving placebo as the common reference indicated that, overall, treprostinil was no worse than bosentan. The equi-effective doses were trepostinil sodium 9.3ng/kg/min via continuous subcutaneous infusion and bosentan 125mg </w:t>
            </w:r>
            <w:r w:rsidRPr="002D2A0A">
              <w:rPr>
                <w:rFonts w:ascii="Arial" w:hAnsi="Arial" w:cs="Arial"/>
                <w:i/>
                <w:sz w:val="20"/>
                <w:szCs w:val="20"/>
              </w:rPr>
              <w:t>bid</w:t>
            </w:r>
            <w:r w:rsidRPr="002D2A0A">
              <w:rPr>
                <w:rFonts w:ascii="Arial" w:hAnsi="Arial" w:cs="Arial"/>
                <w:sz w:val="20"/>
                <w:szCs w:val="20"/>
              </w:rPr>
              <w:t>. The PBAC considered that the listing of trepostinil would provide an additional treatment option to patients with a different mode of administration - that is, by subcutaneous infusion (evidence is presented at viii) below).</w:t>
            </w:r>
          </w:p>
        </w:tc>
      </w:tr>
      <w:tr w:rsidR="00064D19" w:rsidRPr="00064D19" w:rsidTr="00064D19">
        <w:tc>
          <w:tcPr>
            <w:tcW w:w="5000" w:type="pct"/>
            <w:gridSpan w:val="4"/>
          </w:tcPr>
          <w:p w:rsidR="00064D19" w:rsidRPr="002D2A0A" w:rsidRDefault="00165E64" w:rsidP="002D2A0A">
            <w:pPr>
              <w:spacing w:before="0" w:line="240" w:lineRule="auto"/>
              <w:ind w:left="172" w:right="57"/>
              <w:jc w:val="left"/>
              <w:rPr>
                <w:rFonts w:ascii="Arial" w:hAnsi="Arial" w:cs="Arial"/>
                <w:b/>
                <w:sz w:val="20"/>
                <w:szCs w:val="20"/>
              </w:rPr>
            </w:pPr>
            <w:r>
              <w:rPr>
                <w:rFonts w:ascii="Arial" w:hAnsi="Arial" w:cs="Arial"/>
                <w:b/>
                <w:sz w:val="20"/>
                <w:szCs w:val="20"/>
              </w:rPr>
              <w:t>s</w:t>
            </w:r>
            <w:r w:rsidR="00064D19" w:rsidRPr="002D2A0A">
              <w:rPr>
                <w:rFonts w:ascii="Arial" w:hAnsi="Arial" w:cs="Arial"/>
                <w:b/>
                <w:sz w:val="20"/>
                <w:szCs w:val="20"/>
              </w:rPr>
              <w:t>GC</w:t>
            </w:r>
          </w:p>
        </w:tc>
      </w:tr>
      <w:tr w:rsidR="00064D19" w:rsidRPr="00064D19" w:rsidTr="002D2A0A">
        <w:tc>
          <w:tcPr>
            <w:tcW w:w="478" w:type="pct"/>
            <w:tcBorders>
              <w:bottom w:val="nil"/>
            </w:tcBorders>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Riociguat</w:t>
            </w:r>
          </w:p>
          <w:p w:rsidR="00064D19" w:rsidRPr="002D2A0A" w:rsidRDefault="00064D19" w:rsidP="002D2A0A">
            <w:pPr>
              <w:widowControl w:val="0"/>
              <w:spacing w:before="0" w:line="240" w:lineRule="auto"/>
              <w:ind w:left="147" w:right="57"/>
              <w:jc w:val="left"/>
              <w:rPr>
                <w:rFonts w:ascii="Arial" w:hAnsi="Arial" w:cs="Arial"/>
                <w:snapToGrid w:val="0"/>
                <w:sz w:val="20"/>
                <w:szCs w:val="20"/>
              </w:rPr>
            </w:pPr>
          </w:p>
          <w:p w:rsidR="00064D19" w:rsidRPr="002D2A0A" w:rsidRDefault="00064D19" w:rsidP="002D2A0A">
            <w:pPr>
              <w:spacing w:before="0" w:line="240" w:lineRule="auto"/>
              <w:ind w:left="147" w:right="57"/>
              <w:jc w:val="left"/>
              <w:rPr>
                <w:rFonts w:ascii="Arial" w:hAnsi="Arial" w:cs="Arial"/>
                <w:sz w:val="20"/>
                <w:szCs w:val="20"/>
              </w:rPr>
            </w:pPr>
          </w:p>
        </w:tc>
        <w:tc>
          <w:tcPr>
            <w:tcW w:w="1380"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Treatment of WHO FC III or IV IPAH or PAH-CTD or PAH-CHD</w:t>
            </w:r>
          </w:p>
        </w:tc>
        <w:tc>
          <w:tcPr>
            <w:tcW w:w="545"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2014</w:t>
            </w:r>
          </w:p>
        </w:tc>
        <w:tc>
          <w:tcPr>
            <w:tcW w:w="2598"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Recommended listing</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 xml:space="preserve">Cost minimisation basis to bosentan. Equi-effective doses are: </w:t>
            </w:r>
          </w:p>
          <w:p w:rsidR="00064D19" w:rsidRPr="002D2A0A" w:rsidRDefault="00064D19" w:rsidP="00807704">
            <w:pPr>
              <w:widowControl w:val="0"/>
              <w:numPr>
                <w:ilvl w:val="0"/>
                <w:numId w:val="16"/>
              </w:numPr>
              <w:spacing w:before="0" w:line="240" w:lineRule="auto"/>
              <w:ind w:left="172" w:right="57" w:hanging="173"/>
              <w:jc w:val="left"/>
              <w:rPr>
                <w:rFonts w:ascii="Arial" w:hAnsi="Arial" w:cs="Arial"/>
                <w:sz w:val="20"/>
                <w:szCs w:val="20"/>
              </w:rPr>
            </w:pPr>
            <w:r w:rsidRPr="002D2A0A">
              <w:rPr>
                <w:rFonts w:ascii="Arial" w:hAnsi="Arial" w:cs="Arial"/>
                <w:sz w:val="20"/>
                <w:szCs w:val="20"/>
              </w:rPr>
              <w:t xml:space="preserve">Individual titration of riociguat (1 mg </w:t>
            </w:r>
            <w:proofErr w:type="spellStart"/>
            <w:r w:rsidRPr="002D2A0A">
              <w:rPr>
                <w:rFonts w:ascii="Arial" w:hAnsi="Arial" w:cs="Arial"/>
                <w:sz w:val="20"/>
                <w:szCs w:val="20"/>
              </w:rPr>
              <w:t>tid</w:t>
            </w:r>
            <w:proofErr w:type="spellEnd"/>
            <w:r w:rsidRPr="002D2A0A">
              <w:rPr>
                <w:rFonts w:ascii="Arial" w:hAnsi="Arial" w:cs="Arial"/>
                <w:sz w:val="20"/>
                <w:szCs w:val="20"/>
              </w:rPr>
              <w:t xml:space="preserve"> to 2.5 mg </w:t>
            </w:r>
            <w:proofErr w:type="spellStart"/>
            <w:r w:rsidRPr="002D2A0A">
              <w:rPr>
                <w:rFonts w:ascii="Arial" w:hAnsi="Arial" w:cs="Arial"/>
                <w:sz w:val="20"/>
                <w:szCs w:val="20"/>
              </w:rPr>
              <w:t>tid</w:t>
            </w:r>
            <w:proofErr w:type="spellEnd"/>
            <w:r w:rsidRPr="002D2A0A">
              <w:rPr>
                <w:rFonts w:ascii="Arial" w:hAnsi="Arial" w:cs="Arial"/>
                <w:sz w:val="20"/>
                <w:szCs w:val="20"/>
              </w:rPr>
              <w:t>) and bosentan 62.5 mg bid or 125 mg bid</w:t>
            </w:r>
          </w:p>
          <w:p w:rsidR="00064D19" w:rsidRPr="002D2A0A" w:rsidRDefault="00064D19" w:rsidP="00807704">
            <w:pPr>
              <w:widowControl w:val="0"/>
              <w:numPr>
                <w:ilvl w:val="0"/>
                <w:numId w:val="16"/>
              </w:numPr>
              <w:spacing w:before="0" w:line="240" w:lineRule="auto"/>
              <w:ind w:left="172" w:right="57" w:hanging="173"/>
              <w:jc w:val="left"/>
              <w:rPr>
                <w:rFonts w:ascii="Arial" w:hAnsi="Arial" w:cs="Arial"/>
                <w:sz w:val="20"/>
                <w:szCs w:val="20"/>
              </w:rPr>
            </w:pPr>
            <w:r w:rsidRPr="002D2A0A">
              <w:rPr>
                <w:rFonts w:ascii="Arial" w:hAnsi="Arial" w:cs="Arial"/>
                <w:sz w:val="20"/>
                <w:szCs w:val="20"/>
              </w:rPr>
              <w:t xml:space="preserve">Individual titration of riociguat (1 mg </w:t>
            </w:r>
            <w:proofErr w:type="spellStart"/>
            <w:r w:rsidRPr="002D2A0A">
              <w:rPr>
                <w:rFonts w:ascii="Arial" w:hAnsi="Arial" w:cs="Arial"/>
                <w:sz w:val="20"/>
                <w:szCs w:val="20"/>
              </w:rPr>
              <w:t>tid</w:t>
            </w:r>
            <w:proofErr w:type="spellEnd"/>
            <w:r w:rsidRPr="002D2A0A">
              <w:rPr>
                <w:rFonts w:ascii="Arial" w:hAnsi="Arial" w:cs="Arial"/>
                <w:sz w:val="20"/>
                <w:szCs w:val="20"/>
              </w:rPr>
              <w:t xml:space="preserve"> to 2.5 mg </w:t>
            </w:r>
            <w:proofErr w:type="spellStart"/>
            <w:r w:rsidRPr="002D2A0A">
              <w:rPr>
                <w:rFonts w:ascii="Arial" w:hAnsi="Arial" w:cs="Arial"/>
                <w:sz w:val="20"/>
                <w:szCs w:val="20"/>
              </w:rPr>
              <w:t>tid</w:t>
            </w:r>
            <w:proofErr w:type="spellEnd"/>
            <w:r w:rsidRPr="002D2A0A">
              <w:rPr>
                <w:rFonts w:ascii="Arial" w:hAnsi="Arial" w:cs="Arial"/>
                <w:sz w:val="20"/>
                <w:szCs w:val="20"/>
              </w:rPr>
              <w:t xml:space="preserve">) and sildenafil 20 mg </w:t>
            </w:r>
            <w:proofErr w:type="spellStart"/>
            <w:r w:rsidRPr="002D2A0A">
              <w:rPr>
                <w:rFonts w:ascii="Arial" w:hAnsi="Arial" w:cs="Arial"/>
                <w:sz w:val="20"/>
                <w:szCs w:val="20"/>
              </w:rPr>
              <w:t>tid</w:t>
            </w:r>
            <w:proofErr w:type="spellEnd"/>
            <w:r w:rsidRPr="002D2A0A">
              <w:rPr>
                <w:rFonts w:ascii="Arial" w:hAnsi="Arial" w:cs="Arial"/>
                <w:sz w:val="20"/>
                <w:szCs w:val="20"/>
              </w:rPr>
              <w:t>.</w:t>
            </w:r>
          </w:p>
        </w:tc>
      </w:tr>
      <w:tr w:rsidR="00064D19" w:rsidRPr="00064D19" w:rsidTr="00064D19">
        <w:tc>
          <w:tcPr>
            <w:tcW w:w="5000" w:type="pct"/>
            <w:gridSpan w:val="4"/>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Non-prostanoid prostacyclin receptor agonist</w:t>
            </w:r>
          </w:p>
        </w:tc>
      </w:tr>
      <w:tr w:rsidR="00064D19" w:rsidRPr="00064D19" w:rsidTr="002D2A0A">
        <w:tc>
          <w:tcPr>
            <w:tcW w:w="478" w:type="pct"/>
            <w:tcBorders>
              <w:bottom w:val="nil"/>
            </w:tcBorders>
          </w:tcPr>
          <w:p w:rsidR="00064D19" w:rsidRPr="002D2A0A" w:rsidRDefault="00064D19" w:rsidP="002D2A0A">
            <w:pPr>
              <w:spacing w:before="0" w:line="240" w:lineRule="auto"/>
              <w:ind w:left="147" w:right="57"/>
              <w:jc w:val="left"/>
              <w:rPr>
                <w:rFonts w:ascii="Arial" w:hAnsi="Arial" w:cs="Arial"/>
                <w:sz w:val="20"/>
                <w:szCs w:val="20"/>
              </w:rPr>
            </w:pPr>
            <w:r w:rsidRPr="002D2A0A">
              <w:rPr>
                <w:rFonts w:ascii="Arial" w:hAnsi="Arial" w:cs="Arial"/>
                <w:sz w:val="20"/>
                <w:szCs w:val="20"/>
              </w:rPr>
              <w:t>Selexipag</w:t>
            </w:r>
          </w:p>
        </w:tc>
        <w:tc>
          <w:tcPr>
            <w:tcW w:w="1380"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 xml:space="preserve">Treatment of WHO FC III or IV IPAH, drug or toxin-induced PAH, heritable PAH, or PAH-CTD, PAH-CHD or PAH-HIV, in patient with inadequate clinical response to ERA or </w:t>
            </w:r>
            <w:r w:rsidR="00AF191D" w:rsidRPr="002D2A0A">
              <w:rPr>
                <w:rFonts w:ascii="Arial" w:hAnsi="Arial" w:cs="Arial"/>
                <w:sz w:val="20"/>
                <w:szCs w:val="20"/>
              </w:rPr>
              <w:t>PDE</w:t>
            </w:r>
            <w:r w:rsidR="00AF191D" w:rsidRPr="002D2A0A">
              <w:rPr>
                <w:rFonts w:ascii="Arial" w:hAnsi="Arial" w:cs="Arial"/>
                <w:sz w:val="20"/>
                <w:szCs w:val="20"/>
              </w:rPr>
              <w:noBreakHyphen/>
              <w:t>5</w:t>
            </w:r>
            <w:r w:rsidRPr="002D2A0A">
              <w:rPr>
                <w:rFonts w:ascii="Arial" w:hAnsi="Arial" w:cs="Arial"/>
                <w:sz w:val="20"/>
                <w:szCs w:val="20"/>
              </w:rPr>
              <w:t xml:space="preserve"> inhibitor</w:t>
            </w:r>
          </w:p>
        </w:tc>
        <w:tc>
          <w:tcPr>
            <w:tcW w:w="545" w:type="pct"/>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2016</w:t>
            </w:r>
          </w:p>
        </w:tc>
        <w:tc>
          <w:tcPr>
            <w:tcW w:w="2598" w:type="pct"/>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Rejected listing</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The magnitude of clinical benefit was unclear, and that the estimate of cost-effectiveness as presented in the submission was difficult to interpret</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The ICER was high</w:t>
            </w:r>
          </w:p>
        </w:tc>
      </w:tr>
      <w:tr w:rsidR="00064D19" w:rsidRPr="00064D19" w:rsidTr="002D2A0A">
        <w:tc>
          <w:tcPr>
            <w:tcW w:w="478" w:type="pct"/>
            <w:tcBorders>
              <w:top w:val="nil"/>
              <w:bottom w:val="single" w:sz="4" w:space="0" w:color="auto"/>
            </w:tcBorders>
          </w:tcPr>
          <w:p w:rsidR="00064D19" w:rsidRPr="002D2A0A" w:rsidRDefault="00064D19" w:rsidP="002D2A0A">
            <w:pPr>
              <w:spacing w:before="0" w:line="240" w:lineRule="auto"/>
              <w:ind w:left="147" w:right="57"/>
              <w:jc w:val="left"/>
              <w:rPr>
                <w:rFonts w:ascii="Arial" w:hAnsi="Arial" w:cs="Arial"/>
                <w:sz w:val="20"/>
                <w:szCs w:val="20"/>
              </w:rPr>
            </w:pPr>
          </w:p>
        </w:tc>
        <w:tc>
          <w:tcPr>
            <w:tcW w:w="1380" w:type="pct"/>
            <w:tcBorders>
              <w:bottom w:val="single" w:sz="4" w:space="0" w:color="auto"/>
            </w:tcBorders>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As above, apart from as a component of triple therapy, not dual therapy</w:t>
            </w:r>
          </w:p>
        </w:tc>
        <w:tc>
          <w:tcPr>
            <w:tcW w:w="545" w:type="pct"/>
            <w:tcBorders>
              <w:bottom w:val="single" w:sz="4" w:space="0" w:color="auto"/>
            </w:tcBorders>
          </w:tcPr>
          <w:p w:rsidR="00064D19" w:rsidRPr="002D2A0A" w:rsidRDefault="00064D19" w:rsidP="002D2A0A">
            <w:pPr>
              <w:spacing w:before="0" w:line="240" w:lineRule="auto"/>
              <w:ind w:left="172" w:right="57"/>
              <w:jc w:val="left"/>
              <w:rPr>
                <w:rFonts w:ascii="Arial" w:hAnsi="Arial" w:cs="Arial"/>
                <w:sz w:val="20"/>
                <w:szCs w:val="20"/>
              </w:rPr>
            </w:pPr>
            <w:r w:rsidRPr="002D2A0A">
              <w:rPr>
                <w:rFonts w:ascii="Arial" w:hAnsi="Arial" w:cs="Arial"/>
                <w:sz w:val="20"/>
                <w:szCs w:val="20"/>
              </w:rPr>
              <w:t>March 2017</w:t>
            </w:r>
          </w:p>
        </w:tc>
        <w:tc>
          <w:tcPr>
            <w:tcW w:w="2598" w:type="pct"/>
            <w:tcBorders>
              <w:bottom w:val="single" w:sz="4" w:space="0" w:color="auto"/>
            </w:tcBorders>
          </w:tcPr>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Rejected a first line section 100 listing</w:t>
            </w:r>
          </w:p>
          <w:p w:rsidR="00064D19" w:rsidRPr="002D2A0A" w:rsidRDefault="00064D19" w:rsidP="00807704">
            <w:pPr>
              <w:widowControl w:val="0"/>
              <w:numPr>
                <w:ilvl w:val="0"/>
                <w:numId w:val="15"/>
              </w:numPr>
              <w:spacing w:before="0" w:line="240" w:lineRule="auto"/>
              <w:ind w:left="172" w:right="57"/>
              <w:jc w:val="left"/>
              <w:rPr>
                <w:rFonts w:ascii="Arial" w:hAnsi="Arial" w:cs="Arial"/>
                <w:sz w:val="20"/>
                <w:szCs w:val="20"/>
              </w:rPr>
            </w:pPr>
            <w:r w:rsidRPr="002D2A0A">
              <w:rPr>
                <w:rFonts w:ascii="Arial" w:hAnsi="Arial" w:cs="Arial"/>
                <w:sz w:val="20"/>
                <w:szCs w:val="20"/>
              </w:rPr>
              <w:t xml:space="preserve">The ICERs remained difficult to interpret, and were highly likely to be too high </w:t>
            </w:r>
          </w:p>
        </w:tc>
      </w:tr>
    </w:tbl>
    <w:p w:rsidR="00064D19" w:rsidRDefault="00064D19" w:rsidP="00121658">
      <w:pPr>
        <w:pStyle w:val="References"/>
        <w:ind w:left="0" w:firstLine="0"/>
      </w:pPr>
    </w:p>
    <w:p w:rsidR="00064D19" w:rsidRDefault="00064D19" w:rsidP="00121658">
      <w:pPr>
        <w:pStyle w:val="References"/>
        <w:ind w:left="0" w:firstLine="0"/>
      </w:pPr>
      <w:bookmarkStart w:id="316" w:name="_GoBack"/>
      <w:bookmarkEnd w:id="316"/>
    </w:p>
    <w:p w:rsidR="00064D19" w:rsidRDefault="00064D19" w:rsidP="00121658">
      <w:pPr>
        <w:spacing w:before="0" w:line="240" w:lineRule="auto"/>
        <w:jc w:val="left"/>
        <w:rPr>
          <w:sz w:val="18"/>
        </w:rPr>
      </w:pPr>
      <w:r>
        <w:br w:type="page"/>
      </w:r>
    </w:p>
    <w:p w:rsidR="00064D19" w:rsidRPr="002D2A0A" w:rsidRDefault="00560313" w:rsidP="002D2A0A">
      <w:pPr>
        <w:pStyle w:val="Caption"/>
        <w:ind w:left="0" w:firstLine="0"/>
        <w:jc w:val="left"/>
      </w:pPr>
      <w:bookmarkStart w:id="317" w:name="_Ref505353450"/>
      <w:bookmarkStart w:id="318" w:name="_Ref502147694"/>
      <w:bookmarkStart w:id="319" w:name="_Toc502867743"/>
      <w:bookmarkStart w:id="320" w:name="_Toc513107626"/>
      <w:r w:rsidRPr="002D2A0A">
        <w:t>Table B.</w:t>
      </w:r>
      <w:r w:rsidR="00D63371">
        <w:rPr>
          <w:noProof/>
        </w:rPr>
        <w:t>9</w:t>
      </w:r>
      <w:bookmarkEnd w:id="317"/>
      <w:r w:rsidR="003D386D" w:rsidRPr="002D2A0A">
        <w:tab/>
      </w:r>
      <w:r w:rsidR="00064D19" w:rsidRPr="002D2A0A">
        <w:t>PAH item numbers, DPMQs, authorities and treatment phases</w:t>
      </w:r>
      <w:bookmarkEnd w:id="318"/>
      <w:bookmarkEnd w:id="319"/>
      <w:r w:rsidR="00064D19" w:rsidRPr="002D2A0A">
        <w:t xml:space="preserve"> (Prices current for 1 December 2017 Schedule)</w:t>
      </w:r>
      <w:bookmarkEnd w:id="320"/>
    </w:p>
    <w:tbl>
      <w:tblPr>
        <w:tblStyle w:val="TableGrid"/>
        <w:tblW w:w="4900" w:type="pct"/>
        <w:tblLayout w:type="fixed"/>
        <w:tblLook w:val="04A0" w:firstRow="1" w:lastRow="0" w:firstColumn="1" w:lastColumn="0" w:noHBand="0" w:noVBand="1"/>
        <w:tblCaption w:val="PAH item numbers, DPMQs, authorities and treatment phases (Prices current for 1 December 2017 Schedule)"/>
      </w:tblPr>
      <w:tblGrid>
        <w:gridCol w:w="1860"/>
        <w:gridCol w:w="952"/>
        <w:gridCol w:w="1777"/>
        <w:gridCol w:w="1926"/>
        <w:gridCol w:w="6621"/>
        <w:gridCol w:w="1152"/>
      </w:tblGrid>
      <w:tr w:rsidR="00064D19" w:rsidRPr="002D2A0A" w:rsidTr="00805124">
        <w:trPr>
          <w:cnfStyle w:val="100000000000" w:firstRow="1" w:lastRow="0" w:firstColumn="0" w:lastColumn="0" w:oddVBand="0" w:evenVBand="0" w:oddHBand="0" w:evenHBand="0" w:firstRowFirstColumn="0" w:firstRowLastColumn="0" w:lastRowFirstColumn="0" w:lastRowLastColumn="0"/>
        </w:trPr>
        <w:tc>
          <w:tcPr>
            <w:tcW w:w="651" w:type="pct"/>
            <w:tcBorders>
              <w:top w:val="single" w:sz="4" w:space="0" w:color="auto"/>
              <w:bottom w:val="single" w:sz="4" w:space="0" w:color="auto"/>
            </w:tcBorders>
            <w:shd w:val="clear" w:color="auto" w:fill="BFBFBF" w:themeFill="background1" w:themeFillShade="BF"/>
          </w:tcPr>
          <w:p w:rsidR="00064D19" w:rsidRPr="002D2A0A" w:rsidRDefault="00064D19" w:rsidP="00121658">
            <w:pPr>
              <w:spacing w:before="0" w:line="240" w:lineRule="auto"/>
              <w:ind w:right="57"/>
              <w:jc w:val="left"/>
              <w:rPr>
                <w:rFonts w:ascii="Arial" w:hAnsi="Arial" w:cs="Arial"/>
                <w:b/>
                <w:sz w:val="20"/>
                <w:szCs w:val="20"/>
              </w:rPr>
            </w:pPr>
            <w:r w:rsidRPr="002D2A0A">
              <w:rPr>
                <w:rFonts w:ascii="Arial" w:hAnsi="Arial" w:cs="Arial"/>
                <w:b/>
                <w:sz w:val="20"/>
                <w:szCs w:val="20"/>
              </w:rPr>
              <w:t xml:space="preserve">Drug </w:t>
            </w:r>
          </w:p>
        </w:tc>
        <w:tc>
          <w:tcPr>
            <w:tcW w:w="333" w:type="pct"/>
            <w:tcBorders>
              <w:top w:val="single" w:sz="4" w:space="0" w:color="auto"/>
              <w:bottom w:val="single" w:sz="4" w:space="0" w:color="auto"/>
            </w:tcBorders>
            <w:shd w:val="clear" w:color="auto" w:fill="BFBFBF" w:themeFill="background1" w:themeFillShade="BF"/>
          </w:tcPr>
          <w:p w:rsidR="00064D19" w:rsidRPr="002D2A0A" w:rsidRDefault="00064D19" w:rsidP="00121658">
            <w:pPr>
              <w:spacing w:before="0" w:line="240" w:lineRule="auto"/>
              <w:ind w:right="57"/>
              <w:jc w:val="left"/>
              <w:rPr>
                <w:rFonts w:ascii="Arial" w:hAnsi="Arial" w:cs="Arial"/>
                <w:b/>
                <w:sz w:val="20"/>
                <w:szCs w:val="20"/>
              </w:rPr>
            </w:pPr>
            <w:r w:rsidRPr="002D2A0A">
              <w:rPr>
                <w:rFonts w:ascii="Arial" w:hAnsi="Arial" w:cs="Arial"/>
                <w:b/>
                <w:sz w:val="20"/>
                <w:szCs w:val="20"/>
              </w:rPr>
              <w:t>Items</w:t>
            </w:r>
          </w:p>
        </w:tc>
        <w:tc>
          <w:tcPr>
            <w:tcW w:w="622" w:type="pct"/>
            <w:tcBorders>
              <w:top w:val="single" w:sz="4" w:space="0" w:color="auto"/>
              <w:bottom w:val="single" w:sz="4" w:space="0" w:color="auto"/>
              <w:right w:val="nil"/>
            </w:tcBorders>
            <w:shd w:val="clear" w:color="auto" w:fill="BFBFBF" w:themeFill="background1" w:themeFillShade="BF"/>
          </w:tcPr>
          <w:p w:rsidR="00064D19" w:rsidRPr="002D2A0A" w:rsidRDefault="00064D19" w:rsidP="00121658">
            <w:pPr>
              <w:spacing w:before="0" w:line="240" w:lineRule="auto"/>
              <w:ind w:right="57"/>
              <w:jc w:val="left"/>
              <w:rPr>
                <w:rFonts w:ascii="Arial" w:hAnsi="Arial" w:cs="Arial"/>
                <w:b/>
                <w:sz w:val="20"/>
                <w:szCs w:val="20"/>
              </w:rPr>
            </w:pPr>
            <w:r w:rsidRPr="002D2A0A">
              <w:rPr>
                <w:rFonts w:ascii="Arial" w:hAnsi="Arial" w:cs="Arial"/>
                <w:b/>
                <w:sz w:val="20"/>
                <w:szCs w:val="20"/>
              </w:rPr>
              <w:t>Listings</w:t>
            </w:r>
          </w:p>
        </w:tc>
        <w:tc>
          <w:tcPr>
            <w:tcW w:w="674" w:type="pct"/>
            <w:tcBorders>
              <w:top w:val="single" w:sz="4" w:space="0" w:color="auto"/>
              <w:left w:val="nil"/>
              <w:bottom w:val="single" w:sz="4" w:space="0" w:color="auto"/>
            </w:tcBorders>
            <w:shd w:val="clear" w:color="auto" w:fill="BFBFBF" w:themeFill="background1" w:themeFillShade="BF"/>
          </w:tcPr>
          <w:p w:rsidR="00064D19" w:rsidRPr="002D2A0A" w:rsidRDefault="00064D19" w:rsidP="00121658">
            <w:pPr>
              <w:spacing w:before="0" w:line="240" w:lineRule="auto"/>
              <w:ind w:right="57"/>
              <w:jc w:val="left"/>
              <w:rPr>
                <w:rFonts w:ascii="Arial" w:hAnsi="Arial" w:cs="Arial"/>
                <w:b/>
                <w:sz w:val="20"/>
                <w:szCs w:val="20"/>
              </w:rPr>
            </w:pPr>
            <w:r w:rsidRPr="002D2A0A">
              <w:rPr>
                <w:rFonts w:ascii="Arial" w:hAnsi="Arial" w:cs="Arial"/>
                <w:b/>
                <w:sz w:val="20"/>
                <w:szCs w:val="20"/>
              </w:rPr>
              <w:t>DPMQ</w:t>
            </w:r>
          </w:p>
        </w:tc>
        <w:tc>
          <w:tcPr>
            <w:tcW w:w="2317" w:type="pct"/>
            <w:tcBorders>
              <w:top w:val="single" w:sz="4" w:space="0" w:color="auto"/>
              <w:bottom w:val="single" w:sz="4" w:space="0" w:color="auto"/>
              <w:right w:val="nil"/>
            </w:tcBorders>
            <w:shd w:val="clear" w:color="auto" w:fill="BFBFBF" w:themeFill="background1" w:themeFillShade="BF"/>
          </w:tcPr>
          <w:p w:rsidR="00064D19" w:rsidRPr="002D2A0A" w:rsidRDefault="00064D19" w:rsidP="00121658">
            <w:pPr>
              <w:spacing w:before="0" w:line="240" w:lineRule="auto"/>
              <w:ind w:right="57"/>
              <w:jc w:val="left"/>
              <w:rPr>
                <w:rFonts w:ascii="Arial" w:hAnsi="Arial" w:cs="Arial"/>
                <w:b/>
                <w:sz w:val="20"/>
                <w:szCs w:val="20"/>
              </w:rPr>
            </w:pPr>
            <w:r w:rsidRPr="002D2A0A">
              <w:rPr>
                <w:rFonts w:ascii="Arial" w:hAnsi="Arial" w:cs="Arial"/>
                <w:b/>
                <w:sz w:val="20"/>
                <w:szCs w:val="20"/>
              </w:rPr>
              <w:t>Treatment Phase</w:t>
            </w:r>
          </w:p>
        </w:tc>
        <w:tc>
          <w:tcPr>
            <w:tcW w:w="403" w:type="pct"/>
            <w:tcBorders>
              <w:top w:val="single" w:sz="4" w:space="0" w:color="auto"/>
              <w:left w:val="nil"/>
              <w:bottom w:val="single" w:sz="4" w:space="0" w:color="auto"/>
            </w:tcBorders>
            <w:shd w:val="clear" w:color="auto" w:fill="BFBFBF" w:themeFill="background1" w:themeFillShade="BF"/>
          </w:tcPr>
          <w:p w:rsidR="00064D19" w:rsidRPr="002D2A0A" w:rsidRDefault="00064D19" w:rsidP="00121658">
            <w:pPr>
              <w:spacing w:before="0" w:line="240" w:lineRule="auto"/>
              <w:ind w:right="57"/>
              <w:jc w:val="left"/>
              <w:rPr>
                <w:rFonts w:ascii="Arial" w:hAnsi="Arial" w:cs="Arial"/>
                <w:b/>
                <w:sz w:val="20"/>
                <w:szCs w:val="20"/>
              </w:rPr>
            </w:pPr>
            <w:r w:rsidRPr="002D2A0A">
              <w:rPr>
                <w:rFonts w:ascii="Arial" w:hAnsi="Arial" w:cs="Arial"/>
                <w:b/>
                <w:sz w:val="20"/>
                <w:szCs w:val="20"/>
              </w:rPr>
              <w:t>Authority</w:t>
            </w:r>
          </w:p>
        </w:tc>
      </w:tr>
      <w:tr w:rsidR="00064D19" w:rsidRPr="002D2A0A" w:rsidTr="00C978EB">
        <w:tc>
          <w:tcPr>
            <w:tcW w:w="651" w:type="pct"/>
            <w:vMerge w:val="restart"/>
            <w:tcBorders>
              <w:top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BOSENTAN</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62.5, 125 mg tablet, pack of 60</w:t>
            </w:r>
          </w:p>
        </w:tc>
        <w:tc>
          <w:tcPr>
            <w:tcW w:w="333" w:type="pct"/>
            <w:vMerge w:val="restart"/>
            <w:tcBorders>
              <w:top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5618Q, 5619R, 6429J, 6430K</w:t>
            </w:r>
          </w:p>
        </w:tc>
        <w:tc>
          <w:tcPr>
            <w:tcW w:w="622" w:type="pct"/>
            <w:vMerge w:val="restart"/>
            <w:tcBorders>
              <w:top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tc>
        <w:tc>
          <w:tcPr>
            <w:tcW w:w="674" w:type="pct"/>
            <w:vMerge w:val="restart"/>
            <w:tcBorders>
              <w:top w:val="single" w:sz="4" w:space="0" w:color="auto"/>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$2295.43</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$2342.58</w:t>
            </w: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(new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2 (new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3 (change or re-commencement of therapy for all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Telephone</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First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Subsequent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tcBorders>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Borders>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Cessation of treatment (all patients) (62.5mg strength only)</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Telephone</w:t>
            </w:r>
          </w:p>
        </w:tc>
      </w:tr>
      <w:tr w:rsidR="00064D19" w:rsidRPr="002D2A0A" w:rsidTr="00C978EB">
        <w:tc>
          <w:tcPr>
            <w:tcW w:w="651"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AMBRISENTAN</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5, 10 mg tablet, pack of 30</w:t>
            </w:r>
          </w:p>
        </w:tc>
        <w:tc>
          <w:tcPr>
            <w:tcW w:w="333"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5607D, 5608E, 9648T, 9649W</w:t>
            </w:r>
          </w:p>
        </w:tc>
        <w:tc>
          <w:tcPr>
            <w:tcW w:w="622" w:type="pct"/>
            <w:vMerge w:val="restart"/>
            <w:tcBorders>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tc>
        <w:tc>
          <w:tcPr>
            <w:tcW w:w="674" w:type="pct"/>
            <w:vMerge w:val="restart"/>
            <w:tcBorders>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$2732.65</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$2779.80</w:t>
            </w:r>
          </w:p>
        </w:tc>
        <w:tc>
          <w:tcPr>
            <w:tcW w:w="2317" w:type="pct"/>
            <w:tcBorders>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(new patients)</w:t>
            </w:r>
          </w:p>
        </w:tc>
        <w:tc>
          <w:tcPr>
            <w:tcW w:w="403" w:type="pct"/>
            <w:tcBorders>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2 (new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3 (change or re-commencement of therapy for all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Telephone</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First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Subsequent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MACITENTAN</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10 mg tablet, pack of 30</w:t>
            </w:r>
          </w:p>
        </w:tc>
        <w:tc>
          <w:tcPr>
            <w:tcW w:w="333"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10134J, 10136L </w:t>
            </w:r>
          </w:p>
        </w:tc>
        <w:tc>
          <w:tcPr>
            <w:tcW w:w="622" w:type="pct"/>
            <w:vMerge w:val="restart"/>
            <w:tcBorders>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tc>
        <w:tc>
          <w:tcPr>
            <w:tcW w:w="674" w:type="pct"/>
            <w:vMerge w:val="restart"/>
            <w:tcBorders>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$2876.47</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$2923.62</w:t>
            </w:r>
          </w:p>
        </w:tc>
        <w:tc>
          <w:tcPr>
            <w:tcW w:w="2317" w:type="pct"/>
            <w:tcBorders>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(new patients)</w:t>
            </w:r>
          </w:p>
        </w:tc>
        <w:tc>
          <w:tcPr>
            <w:tcW w:w="403" w:type="pct"/>
            <w:tcBorders>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2 (new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3 (change or re-commencement of therapy for all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Telephone</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First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Subsequent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rPr>
          <w:trHeight w:val="75"/>
        </w:trPr>
        <w:tc>
          <w:tcPr>
            <w:tcW w:w="651"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SILDENAFIL</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20 mg tablet, pack of 90</w:t>
            </w:r>
          </w:p>
        </w:tc>
        <w:tc>
          <w:tcPr>
            <w:tcW w:w="333"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9547L, 9605M </w:t>
            </w:r>
          </w:p>
        </w:tc>
        <w:tc>
          <w:tcPr>
            <w:tcW w:w="622" w:type="pct"/>
            <w:vMerge w:val="restart"/>
            <w:tcBorders>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tc>
        <w:tc>
          <w:tcPr>
            <w:tcW w:w="674" w:type="pct"/>
            <w:vMerge w:val="restart"/>
            <w:tcBorders>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$319.72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$339.66</w:t>
            </w:r>
          </w:p>
        </w:tc>
        <w:tc>
          <w:tcPr>
            <w:tcW w:w="2317" w:type="pct"/>
            <w:tcBorders>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Treatment Phase: Initial 1 (new patients)</w:t>
            </w:r>
          </w:p>
        </w:tc>
        <w:tc>
          <w:tcPr>
            <w:tcW w:w="403" w:type="pct"/>
            <w:tcBorders>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rPr>
          <w:trHeight w:val="70"/>
        </w:trPr>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2 (new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rPr>
          <w:trHeight w:val="70"/>
        </w:trPr>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3 (change or re-commencement of therapy for all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rPr>
          <w:trHeight w:val="70"/>
        </w:trPr>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rPr>
          <w:trHeight w:val="70"/>
        </w:trPr>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First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rPr>
          <w:trHeight w:val="241"/>
        </w:trPr>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Subsequent Continuing treatment</w:t>
            </w:r>
          </w:p>
        </w:tc>
        <w:tc>
          <w:tcPr>
            <w:tcW w:w="403" w:type="pct"/>
            <w:tcBorders>
              <w:top w:val="single" w:sz="4" w:space="0" w:color="auto"/>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val="restart"/>
          </w:tcPr>
          <w:p w:rsidR="00064D19" w:rsidRPr="002D2A0A" w:rsidRDefault="00064D19" w:rsidP="00121658">
            <w:pPr>
              <w:keepNext/>
              <w:spacing w:before="0" w:line="240" w:lineRule="auto"/>
              <w:ind w:right="57"/>
              <w:jc w:val="left"/>
              <w:rPr>
                <w:rFonts w:ascii="Arial" w:hAnsi="Arial" w:cs="Arial"/>
                <w:sz w:val="20"/>
                <w:szCs w:val="20"/>
              </w:rPr>
            </w:pPr>
            <w:r w:rsidRPr="002D2A0A">
              <w:rPr>
                <w:rFonts w:ascii="Arial" w:hAnsi="Arial" w:cs="Arial"/>
                <w:sz w:val="20"/>
                <w:szCs w:val="20"/>
              </w:rPr>
              <w:t>TADALAFIL</w:t>
            </w:r>
          </w:p>
          <w:p w:rsidR="00064D19" w:rsidRPr="002D2A0A" w:rsidRDefault="00064D19" w:rsidP="00121658">
            <w:pPr>
              <w:keepNext/>
              <w:spacing w:before="0" w:line="240" w:lineRule="auto"/>
              <w:ind w:right="57"/>
              <w:jc w:val="left"/>
              <w:rPr>
                <w:rFonts w:ascii="Arial" w:hAnsi="Arial" w:cs="Arial"/>
                <w:sz w:val="20"/>
                <w:szCs w:val="20"/>
              </w:rPr>
            </w:pPr>
            <w:r w:rsidRPr="002D2A0A">
              <w:rPr>
                <w:rFonts w:ascii="Arial" w:hAnsi="Arial" w:cs="Arial"/>
                <w:sz w:val="20"/>
                <w:szCs w:val="20"/>
              </w:rPr>
              <w:t>20 mg tablet, pack of 56</w:t>
            </w:r>
          </w:p>
        </w:tc>
        <w:tc>
          <w:tcPr>
            <w:tcW w:w="333" w:type="pct"/>
            <w:vMerge w:val="restart"/>
          </w:tcPr>
          <w:p w:rsidR="00064D19" w:rsidRPr="002D2A0A" w:rsidRDefault="00064D19" w:rsidP="00121658">
            <w:pPr>
              <w:keepNext/>
              <w:spacing w:before="0" w:line="240" w:lineRule="auto"/>
              <w:ind w:right="57"/>
              <w:jc w:val="left"/>
              <w:rPr>
                <w:rFonts w:ascii="Arial" w:hAnsi="Arial" w:cs="Arial"/>
                <w:sz w:val="20"/>
                <w:szCs w:val="20"/>
              </w:rPr>
            </w:pPr>
            <w:r w:rsidRPr="002D2A0A">
              <w:rPr>
                <w:rFonts w:ascii="Arial" w:hAnsi="Arial" w:cs="Arial"/>
                <w:sz w:val="20"/>
                <w:szCs w:val="20"/>
              </w:rPr>
              <w:t>1304P, 1308W</w:t>
            </w:r>
          </w:p>
        </w:tc>
        <w:tc>
          <w:tcPr>
            <w:tcW w:w="622" w:type="pct"/>
            <w:vMerge w:val="restart"/>
            <w:tcBorders>
              <w:right w:val="nil"/>
            </w:tcBorders>
          </w:tcPr>
          <w:p w:rsidR="00064D19" w:rsidRPr="002D2A0A" w:rsidRDefault="00064D19" w:rsidP="00121658">
            <w:pPr>
              <w:keepNext/>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keepNext/>
              <w:spacing w:before="0" w:line="240" w:lineRule="auto"/>
              <w:ind w:right="57"/>
              <w:jc w:val="left"/>
              <w:rPr>
                <w:rFonts w:ascii="Arial" w:hAnsi="Arial" w:cs="Arial"/>
                <w:sz w:val="20"/>
                <w:szCs w:val="20"/>
              </w:rPr>
            </w:pPr>
            <w:r w:rsidRPr="002D2A0A">
              <w:rPr>
                <w:rFonts w:ascii="Arial" w:hAnsi="Arial" w:cs="Arial"/>
                <w:sz w:val="20"/>
                <w:szCs w:val="20"/>
              </w:rPr>
              <w:t>S100 HSD Private</w:t>
            </w:r>
          </w:p>
        </w:tc>
        <w:tc>
          <w:tcPr>
            <w:tcW w:w="674" w:type="pct"/>
            <w:vMerge w:val="restart"/>
            <w:tcBorders>
              <w:left w:val="nil"/>
            </w:tcBorders>
          </w:tcPr>
          <w:p w:rsidR="00064D19" w:rsidRPr="002D2A0A" w:rsidRDefault="00064D19" w:rsidP="00121658">
            <w:pPr>
              <w:keepNext/>
              <w:spacing w:before="0" w:line="240" w:lineRule="auto"/>
              <w:ind w:right="57"/>
              <w:jc w:val="left"/>
              <w:rPr>
                <w:rFonts w:ascii="Arial" w:hAnsi="Arial" w:cs="Arial"/>
                <w:sz w:val="20"/>
                <w:szCs w:val="20"/>
              </w:rPr>
            </w:pPr>
            <w:r w:rsidRPr="002D2A0A">
              <w:rPr>
                <w:rFonts w:ascii="Arial" w:hAnsi="Arial" w:cs="Arial"/>
                <w:sz w:val="20"/>
                <w:szCs w:val="20"/>
              </w:rPr>
              <w:t>$796.60</w:t>
            </w:r>
          </w:p>
          <w:p w:rsidR="00064D19" w:rsidRPr="002D2A0A" w:rsidRDefault="00064D19" w:rsidP="00121658">
            <w:pPr>
              <w:keepNext/>
              <w:spacing w:before="0" w:line="240" w:lineRule="auto"/>
              <w:ind w:right="57"/>
              <w:jc w:val="left"/>
              <w:rPr>
                <w:rFonts w:ascii="Arial" w:hAnsi="Arial" w:cs="Arial"/>
                <w:sz w:val="20"/>
                <w:szCs w:val="20"/>
              </w:rPr>
            </w:pPr>
            <w:r w:rsidRPr="002D2A0A">
              <w:rPr>
                <w:rFonts w:ascii="Arial" w:hAnsi="Arial" w:cs="Arial"/>
                <w:sz w:val="20"/>
                <w:szCs w:val="20"/>
              </w:rPr>
              <w:t>$835.61</w:t>
            </w:r>
          </w:p>
        </w:tc>
        <w:tc>
          <w:tcPr>
            <w:tcW w:w="2317" w:type="pct"/>
            <w:tcBorders>
              <w:bottom w:val="single" w:sz="4" w:space="0" w:color="auto"/>
              <w:right w:val="nil"/>
            </w:tcBorders>
          </w:tcPr>
          <w:p w:rsidR="00064D19" w:rsidRPr="002D2A0A" w:rsidRDefault="00064D19" w:rsidP="00121658">
            <w:pPr>
              <w:keepNext/>
              <w:spacing w:before="0" w:line="240" w:lineRule="auto"/>
              <w:ind w:right="57"/>
              <w:jc w:val="left"/>
              <w:rPr>
                <w:rFonts w:ascii="Arial" w:hAnsi="Arial" w:cs="Arial"/>
                <w:sz w:val="20"/>
                <w:szCs w:val="20"/>
              </w:rPr>
            </w:pPr>
            <w:r w:rsidRPr="002D2A0A">
              <w:rPr>
                <w:rFonts w:ascii="Arial" w:hAnsi="Arial" w:cs="Arial"/>
                <w:sz w:val="20"/>
                <w:szCs w:val="20"/>
              </w:rPr>
              <w:t>Initial 1 (new patients)</w:t>
            </w:r>
          </w:p>
        </w:tc>
        <w:tc>
          <w:tcPr>
            <w:tcW w:w="403" w:type="pct"/>
            <w:tcBorders>
              <w:left w:val="nil"/>
              <w:bottom w:val="single" w:sz="4" w:space="0" w:color="auto"/>
            </w:tcBorders>
          </w:tcPr>
          <w:p w:rsidR="00064D19" w:rsidRPr="002D2A0A" w:rsidRDefault="00064D19" w:rsidP="00121658">
            <w:pPr>
              <w:keepNext/>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2 (new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3 (change or re-commencement of therapy for all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First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Subsequent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EPOPROSTENOL</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500 µg, 1.5 mg injection, 1 vial (Veletri</w:t>
            </w:r>
            <w:r w:rsidR="00252749" w:rsidRPr="002D2A0A">
              <w:rPr>
                <w:rFonts w:ascii="Arial" w:hAnsi="Arial" w:cs="Arial"/>
                <w:b/>
                <w:sz w:val="20"/>
                <w:szCs w:val="20"/>
                <w:u w:val="single"/>
                <w:vertAlign w:val="superscript"/>
              </w:rPr>
              <w:t>®</w:t>
            </w:r>
            <w:r w:rsidRPr="002D2A0A">
              <w:rPr>
                <w:rFonts w:ascii="Arial" w:hAnsi="Arial" w:cs="Arial"/>
                <w:sz w:val="20"/>
                <w:szCs w:val="20"/>
              </w:rPr>
              <w:t>)</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OR</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1.5 mg injection + diluent, 1 pack (</w:t>
            </w:r>
            <w:r w:rsidR="00060C26" w:rsidRPr="002D2A0A">
              <w:rPr>
                <w:rFonts w:ascii="Arial" w:hAnsi="Arial" w:cs="Arial"/>
                <w:sz w:val="20"/>
                <w:szCs w:val="20"/>
              </w:rPr>
              <w:t>Flolan</w:t>
            </w:r>
            <w:r w:rsidR="00252749" w:rsidRPr="002D2A0A">
              <w:rPr>
                <w:rFonts w:ascii="Arial" w:hAnsi="Arial" w:cs="Arial"/>
                <w:sz w:val="20"/>
                <w:szCs w:val="20"/>
                <w:vertAlign w:val="superscript"/>
              </w:rPr>
              <w:t>®</w:t>
            </w:r>
            <w:r w:rsidRPr="002D2A0A">
              <w:rPr>
                <w:rFonts w:ascii="Arial" w:hAnsi="Arial" w:cs="Arial"/>
                <w:sz w:val="20"/>
                <w:szCs w:val="20"/>
              </w:rPr>
              <w:t>)</w:t>
            </w:r>
          </w:p>
        </w:tc>
        <w:tc>
          <w:tcPr>
            <w:tcW w:w="333"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10111E, 10117L, 10129D, 10130E, 11065J, 11069N, 11082G, 11090Q</w:t>
            </w:r>
          </w:p>
        </w:tc>
        <w:tc>
          <w:tcPr>
            <w:tcW w:w="622" w:type="pct"/>
            <w:vMerge w:val="restart"/>
            <w:tcBorders>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tc>
        <w:tc>
          <w:tcPr>
            <w:tcW w:w="674" w:type="pct"/>
            <w:vMerge w:val="restart"/>
            <w:tcBorders>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$33.28 (500 µg)</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$43.76 (500 µg)</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$66.55 (1.5mg)</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$77.70 (1.5mg)</w:t>
            </w:r>
          </w:p>
        </w:tc>
        <w:tc>
          <w:tcPr>
            <w:tcW w:w="2317" w:type="pct"/>
            <w:tcBorders>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(new patients)</w:t>
            </w:r>
          </w:p>
        </w:tc>
        <w:tc>
          <w:tcPr>
            <w:tcW w:w="403" w:type="pct"/>
            <w:tcBorders>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2 (change or re-commencement of therapy for all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(new patients) or Initial 2 (change or re-commencement of therapy for all patients) or First Continuing treatment - Balance of supply</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First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rPr>
          <w:trHeight w:val="498"/>
        </w:trPr>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Subsequent Continuing treatment</w:t>
            </w:r>
          </w:p>
        </w:tc>
        <w:tc>
          <w:tcPr>
            <w:tcW w:w="403" w:type="pct"/>
            <w:tcBorders>
              <w:top w:val="single" w:sz="4" w:space="0" w:color="auto"/>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ILOPROST 20µg/2mL inhalation solution, 30x2mL ampoules</w:t>
            </w:r>
          </w:p>
        </w:tc>
        <w:tc>
          <w:tcPr>
            <w:tcW w:w="333" w:type="pct"/>
            <w:vMerge w:val="restart"/>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5751Q</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6456T</w:t>
            </w:r>
          </w:p>
        </w:tc>
        <w:tc>
          <w:tcPr>
            <w:tcW w:w="622" w:type="pct"/>
            <w:vMerge w:val="restart"/>
            <w:tcBorders>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tc>
        <w:tc>
          <w:tcPr>
            <w:tcW w:w="674" w:type="pct"/>
            <w:vMerge w:val="restart"/>
            <w:tcBorders>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$408.88</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$432.39</w:t>
            </w:r>
          </w:p>
        </w:tc>
        <w:tc>
          <w:tcPr>
            <w:tcW w:w="2317" w:type="pct"/>
            <w:tcBorders>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(new patients)</w:t>
            </w:r>
          </w:p>
        </w:tc>
        <w:tc>
          <w:tcPr>
            <w:tcW w:w="403" w:type="pct"/>
            <w:tcBorders>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333"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r w:rsidRPr="002D2A0A">
              <w:rPr>
                <w:rFonts w:ascii="Arial" w:hAnsi="Arial" w:cs="Arial"/>
                <w:sz w:val="20"/>
                <w:szCs w:val="20"/>
              </w:rPr>
              <w:t>Initial 2 (new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333"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r w:rsidRPr="002D2A0A">
              <w:rPr>
                <w:rFonts w:ascii="Arial" w:hAnsi="Arial" w:cs="Arial"/>
                <w:sz w:val="20"/>
                <w:szCs w:val="20"/>
              </w:rPr>
              <w:t>Initial 3 (change or re-commencement of therapy for all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333"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r w:rsidRPr="002D2A0A">
              <w:rPr>
                <w:rFonts w:ascii="Arial" w:hAnsi="Arial"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rPr>
          <w:trHeight w:val="194"/>
        </w:trPr>
        <w:tc>
          <w:tcPr>
            <w:tcW w:w="651"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333"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2317" w:type="pct"/>
            <w:tcBorders>
              <w:top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r w:rsidRPr="002D2A0A">
              <w:rPr>
                <w:rFonts w:ascii="Arial" w:hAnsi="Arial" w:cs="Arial"/>
                <w:sz w:val="20"/>
                <w:szCs w:val="20"/>
              </w:rPr>
              <w:t>First Continuing treatment</w:t>
            </w:r>
          </w:p>
        </w:tc>
        <w:tc>
          <w:tcPr>
            <w:tcW w:w="403" w:type="pct"/>
            <w:tcBorders>
              <w:top w:val="single" w:sz="4" w:space="0" w:color="auto"/>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rPr>
          <w:trHeight w:val="193"/>
        </w:trPr>
        <w:tc>
          <w:tcPr>
            <w:tcW w:w="651"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333" w:type="pct"/>
            <w:vMerge/>
          </w:tcPr>
          <w:p w:rsidR="00064D19" w:rsidRPr="002D2A0A" w:rsidRDefault="00064D19" w:rsidP="00121658">
            <w:pPr>
              <w:spacing w:before="0" w:line="240" w:lineRule="auto"/>
              <w:ind w:right="57"/>
              <w:jc w:val="left"/>
              <w:rPr>
                <w:rFonts w:ascii="Arial" w:hAnsi="Arial" w:cs="Arial"/>
                <w:sz w:val="20"/>
                <w:szCs w:val="20"/>
                <w:highlight w:val="yellow"/>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highlight w:val="yellow"/>
              </w:rPr>
            </w:pPr>
          </w:p>
        </w:tc>
        <w:tc>
          <w:tcPr>
            <w:tcW w:w="2317" w:type="pct"/>
            <w:tcBorders>
              <w:top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Subsequent Continuing treatment</w:t>
            </w:r>
          </w:p>
        </w:tc>
        <w:tc>
          <w:tcPr>
            <w:tcW w:w="403" w:type="pct"/>
            <w:tcBorders>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val="restart"/>
            <w:tcBorders>
              <w:top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RIOCIGUAT</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500 µg, 1.0, 1.5, 2.0, 2.5 mg tablet, pack of 42 or 84</w:t>
            </w:r>
          </w:p>
        </w:tc>
        <w:tc>
          <w:tcPr>
            <w:tcW w:w="333" w:type="pct"/>
            <w:vMerge w:val="restart"/>
            <w:tcBorders>
              <w:top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11040C </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11031N </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11059C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11058B </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11054T</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11028K</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11053R </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11060D</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11047K</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11046J</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11048L</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11061E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11038Y </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11045H</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11039B</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11030M</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11057Y</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11052Q</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11024F</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11035T</w:t>
            </w:r>
          </w:p>
        </w:tc>
        <w:tc>
          <w:tcPr>
            <w:tcW w:w="622" w:type="pct"/>
            <w:vMerge w:val="restart"/>
            <w:tcBorders>
              <w:top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Public</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S100 HSD Private</w:t>
            </w:r>
          </w:p>
        </w:tc>
        <w:tc>
          <w:tcPr>
            <w:tcW w:w="674" w:type="pct"/>
            <w:vMerge w:val="restart"/>
            <w:tcBorders>
              <w:top w:val="single" w:sz="4" w:space="0" w:color="auto"/>
              <w:lef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$1717.71 (500µg/42)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$1764.86 (500µg/42)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$3435.42</w:t>
            </w:r>
            <w:r w:rsidRPr="002D2A0A">
              <w:rPr>
                <w:rFonts w:ascii="Arial" w:hAnsi="Arial" w:cs="Arial"/>
                <w:sz w:val="20"/>
                <w:szCs w:val="20"/>
              </w:rPr>
              <w:tab/>
              <w:t>(500µg/84)</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$3482.57</w:t>
            </w:r>
            <w:r w:rsidRPr="002D2A0A">
              <w:rPr>
                <w:rFonts w:ascii="Arial" w:hAnsi="Arial" w:cs="Arial"/>
                <w:sz w:val="20"/>
                <w:szCs w:val="20"/>
              </w:rPr>
              <w:tab/>
              <w:t>(500µg/84)</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$1717.71 (1.0mg/42)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$1764.86 (1.0mg/42)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$3435.42 (1.0mg/84)</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$3482.57 (1.0mg/84)</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$1717.71 (1.5mg/42)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$1764.86 (1.5mg/42)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$3435.42 (1.5mg/84)</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$3482.57 (1.5mg/84)</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$1717.71 (2.0mg/42)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$1764.86 (2.0mg/42)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$3435.42 (2.0mg/84)</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$3482.57 (2.0mg/84)</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$1717.71 (2.5mg/42)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$1764.86 (2.5mg/42)</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$3435.42</w:t>
            </w:r>
            <w:r w:rsidRPr="002D2A0A">
              <w:rPr>
                <w:rFonts w:ascii="Arial" w:hAnsi="Arial" w:cs="Arial"/>
                <w:sz w:val="20"/>
                <w:szCs w:val="20"/>
              </w:rPr>
              <w:tab/>
              <w:t>(2.5mg/84)</w:t>
            </w:r>
          </w:p>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$3482.57 (2.5mg/84)</w:t>
            </w: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1 (new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r w:rsidRPr="002D2A0A">
              <w:rPr>
                <w:rFonts w:ascii="Arial" w:hAnsi="Arial" w:cs="Arial"/>
                <w:sz w:val="20"/>
                <w:szCs w:val="20"/>
              </w:rPr>
              <w:t>Initial 2 (new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r w:rsidRPr="002D2A0A">
              <w:rPr>
                <w:rFonts w:ascii="Arial" w:hAnsi="Arial" w:cs="Arial"/>
                <w:sz w:val="20"/>
                <w:szCs w:val="20"/>
              </w:rPr>
              <w:t>Initial 3 (change or re-commencement of therapy for all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r w:rsidRPr="002D2A0A">
              <w:rPr>
                <w:rFonts w:ascii="Arial" w:hAnsi="Arial" w:cs="Arial"/>
                <w:sz w:val="20"/>
                <w:szCs w:val="20"/>
              </w:rPr>
              <w:t>Initial 1 or Initial 2 (new patients) or Initial 3 (change or re-commencement of therapy for all patients) or First Continuing treatment - Balance of supply</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highlight w:val="yellow"/>
              </w:rPr>
            </w:pPr>
            <w:r w:rsidRPr="002D2A0A">
              <w:rPr>
                <w:rFonts w:ascii="Arial" w:hAnsi="Arial" w:cs="Arial"/>
                <w:sz w:val="20"/>
                <w:szCs w:val="20"/>
              </w:rPr>
              <w:t>First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Subsequent Continuing treatment</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 xml:space="preserve">Telephone </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4 (Grandfathered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r w:rsidR="00064D19" w:rsidRPr="002D2A0A" w:rsidTr="00C978EB">
        <w:tc>
          <w:tcPr>
            <w:tcW w:w="651" w:type="pct"/>
            <w:vMerge/>
          </w:tcPr>
          <w:p w:rsidR="00064D19" w:rsidRPr="002D2A0A" w:rsidRDefault="00064D19" w:rsidP="00121658">
            <w:pPr>
              <w:spacing w:before="0" w:line="240" w:lineRule="auto"/>
              <w:ind w:right="57"/>
              <w:jc w:val="left"/>
              <w:rPr>
                <w:rFonts w:ascii="Arial" w:hAnsi="Arial" w:cs="Arial"/>
                <w:sz w:val="20"/>
                <w:szCs w:val="20"/>
              </w:rPr>
            </w:pPr>
          </w:p>
        </w:tc>
        <w:tc>
          <w:tcPr>
            <w:tcW w:w="333" w:type="pct"/>
            <w:vMerge/>
          </w:tcPr>
          <w:p w:rsidR="00064D19" w:rsidRPr="002D2A0A" w:rsidRDefault="00064D19" w:rsidP="00121658">
            <w:pPr>
              <w:spacing w:before="0" w:line="240" w:lineRule="auto"/>
              <w:ind w:right="57"/>
              <w:jc w:val="left"/>
              <w:rPr>
                <w:rFonts w:ascii="Arial" w:hAnsi="Arial" w:cs="Arial"/>
                <w:sz w:val="20"/>
                <w:szCs w:val="20"/>
              </w:rPr>
            </w:pPr>
          </w:p>
        </w:tc>
        <w:tc>
          <w:tcPr>
            <w:tcW w:w="622" w:type="pct"/>
            <w:vMerge/>
            <w:tcBorders>
              <w:right w:val="nil"/>
            </w:tcBorders>
          </w:tcPr>
          <w:p w:rsidR="00064D19" w:rsidRPr="002D2A0A" w:rsidRDefault="00064D19" w:rsidP="00121658">
            <w:pPr>
              <w:spacing w:before="0" w:line="240" w:lineRule="auto"/>
              <w:ind w:right="57"/>
              <w:jc w:val="left"/>
              <w:rPr>
                <w:rFonts w:ascii="Arial" w:hAnsi="Arial" w:cs="Arial"/>
                <w:sz w:val="20"/>
                <w:szCs w:val="20"/>
              </w:rPr>
            </w:pPr>
          </w:p>
        </w:tc>
        <w:tc>
          <w:tcPr>
            <w:tcW w:w="674" w:type="pct"/>
            <w:vMerge/>
            <w:tcBorders>
              <w:left w:val="nil"/>
            </w:tcBorders>
          </w:tcPr>
          <w:p w:rsidR="00064D19" w:rsidRPr="002D2A0A" w:rsidRDefault="00064D19" w:rsidP="00121658">
            <w:pPr>
              <w:spacing w:before="0" w:line="240" w:lineRule="auto"/>
              <w:ind w:right="57"/>
              <w:jc w:val="left"/>
              <w:rPr>
                <w:rFonts w:ascii="Arial" w:hAnsi="Arial" w:cs="Arial"/>
                <w:sz w:val="20"/>
                <w:szCs w:val="20"/>
              </w:rPr>
            </w:pPr>
          </w:p>
        </w:tc>
        <w:tc>
          <w:tcPr>
            <w:tcW w:w="2317" w:type="pct"/>
            <w:tcBorders>
              <w:top w:val="single" w:sz="4" w:space="0" w:color="auto"/>
              <w:bottom w:val="single" w:sz="4" w:space="0" w:color="auto"/>
              <w:right w:val="nil"/>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Initial 5 (Grandfathered patients)</w:t>
            </w:r>
          </w:p>
        </w:tc>
        <w:tc>
          <w:tcPr>
            <w:tcW w:w="403" w:type="pct"/>
            <w:tcBorders>
              <w:top w:val="single" w:sz="4" w:space="0" w:color="auto"/>
              <w:left w:val="nil"/>
              <w:bottom w:val="single" w:sz="4" w:space="0" w:color="auto"/>
            </w:tcBorders>
          </w:tcPr>
          <w:p w:rsidR="00064D19" w:rsidRPr="002D2A0A" w:rsidRDefault="00064D19" w:rsidP="00121658">
            <w:pPr>
              <w:spacing w:before="0" w:line="240" w:lineRule="auto"/>
              <w:ind w:right="57"/>
              <w:jc w:val="left"/>
              <w:rPr>
                <w:rFonts w:ascii="Arial" w:hAnsi="Arial" w:cs="Arial"/>
                <w:sz w:val="20"/>
                <w:szCs w:val="20"/>
              </w:rPr>
            </w:pPr>
            <w:r w:rsidRPr="002D2A0A">
              <w:rPr>
                <w:rFonts w:ascii="Arial" w:hAnsi="Arial" w:cs="Arial"/>
                <w:sz w:val="20"/>
                <w:szCs w:val="20"/>
              </w:rPr>
              <w:t>Written</w:t>
            </w:r>
          </w:p>
        </w:tc>
      </w:tr>
    </w:tbl>
    <w:p w:rsidR="00064D19" w:rsidRPr="002D2A0A" w:rsidRDefault="00064D19" w:rsidP="00121658">
      <w:pPr>
        <w:pStyle w:val="Tablenote"/>
        <w:rPr>
          <w:rFonts w:ascii="Arial" w:hAnsi="Arial" w:cs="Arial"/>
        </w:rPr>
      </w:pPr>
      <w:r w:rsidRPr="002D2A0A">
        <w:rPr>
          <w:rFonts w:ascii="Arial" w:hAnsi="Arial" w:cs="Arial"/>
          <w:sz w:val="18"/>
        </w:rPr>
        <w:t xml:space="preserve">Source: </w:t>
      </w:r>
      <w:r w:rsidRPr="003F5FE5">
        <w:rPr>
          <w:rFonts w:ascii="Arial" w:hAnsi="Arial" w:cs="Arial"/>
          <w:sz w:val="18"/>
        </w:rPr>
        <w:t>www.pbs.gov.au</w:t>
      </w:r>
      <w:r w:rsidRPr="002D2A0A">
        <w:rPr>
          <w:rFonts w:ascii="Arial" w:hAnsi="Arial" w:cs="Arial"/>
          <w:sz w:val="18"/>
        </w:rPr>
        <w:t>; Correct as of 1 December 2017</w:t>
      </w:r>
      <w:r w:rsidR="00C6734D" w:rsidRPr="002D2A0A">
        <w:rPr>
          <w:rFonts w:ascii="Arial" w:hAnsi="Arial" w:cs="Arial"/>
          <w:sz w:val="18"/>
        </w:rPr>
        <w:t>.</w:t>
      </w:r>
    </w:p>
    <w:p w:rsidR="00064D19" w:rsidRPr="002D2A0A" w:rsidRDefault="00064D19" w:rsidP="00121658">
      <w:pPr>
        <w:pStyle w:val="Tablenote"/>
        <w:rPr>
          <w:rFonts w:ascii="Arial" w:hAnsi="Arial" w:cs="Arial"/>
        </w:rPr>
      </w:pPr>
      <w:r w:rsidRPr="002D2A0A">
        <w:rPr>
          <w:rFonts w:ascii="Arial" w:hAnsi="Arial" w:cs="Arial"/>
        </w:rPr>
        <w:br w:type="page"/>
      </w:r>
    </w:p>
    <w:p w:rsidR="00064D19" w:rsidRPr="002D2A0A" w:rsidRDefault="00F275ED" w:rsidP="002D2A0A">
      <w:pPr>
        <w:pStyle w:val="Caption"/>
        <w:ind w:left="0" w:firstLine="0"/>
        <w:jc w:val="left"/>
        <w:rPr>
          <w:rFonts w:cs="Arial"/>
        </w:rPr>
      </w:pPr>
      <w:bookmarkStart w:id="321" w:name="_Ref508899377"/>
      <w:bookmarkStart w:id="322" w:name="_Toc502867739"/>
      <w:bookmarkStart w:id="323" w:name="_Toc513107646"/>
      <w:r w:rsidRPr="002D2A0A">
        <w:rPr>
          <w:rFonts w:cs="Arial"/>
        </w:rPr>
        <w:t>Table 1.</w:t>
      </w:r>
      <w:r w:rsidR="00D63371">
        <w:rPr>
          <w:rFonts w:cs="Arial"/>
          <w:noProof/>
        </w:rPr>
        <w:t>20</w:t>
      </w:r>
      <w:bookmarkEnd w:id="321"/>
      <w:r w:rsidR="000B7685">
        <w:rPr>
          <w:rFonts w:cs="Arial"/>
        </w:rPr>
        <w:tab/>
      </w:r>
      <w:r w:rsidR="00064D19" w:rsidRPr="002D2A0A">
        <w:rPr>
          <w:rFonts w:cs="Arial"/>
        </w:rPr>
        <w:t xml:space="preserve">PAH Medicines – PI references to use in combination with other </w:t>
      </w:r>
      <w:r w:rsidR="00F95235" w:rsidRPr="002D2A0A">
        <w:rPr>
          <w:rFonts w:cs="Arial"/>
        </w:rPr>
        <w:t>PAH medicines</w:t>
      </w:r>
      <w:bookmarkEnd w:id="322"/>
      <w:bookmarkEnd w:id="323"/>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H Medicines – PI references to use in combination with other PAH medicines"/>
      </w:tblPr>
      <w:tblGrid>
        <w:gridCol w:w="1395"/>
        <w:gridCol w:w="1157"/>
        <w:gridCol w:w="1139"/>
        <w:gridCol w:w="11062"/>
      </w:tblGrid>
      <w:tr w:rsidR="00064D19" w:rsidRPr="002D2A0A" w:rsidTr="00C978EB">
        <w:trPr>
          <w:tblHeader/>
        </w:trPr>
        <w:tc>
          <w:tcPr>
            <w:tcW w:w="419" w:type="pct"/>
            <w:shd w:val="clear" w:color="auto" w:fill="BFBFBF" w:themeFill="background1" w:themeFillShade="BF"/>
          </w:tcPr>
          <w:p w:rsidR="00064D19" w:rsidRPr="002D2A0A" w:rsidRDefault="00064D19" w:rsidP="00121658">
            <w:pPr>
              <w:spacing w:before="0" w:line="240" w:lineRule="auto"/>
              <w:jc w:val="left"/>
              <w:rPr>
                <w:rFonts w:ascii="Arial" w:hAnsi="Arial" w:cs="Arial"/>
                <w:b/>
                <w:caps/>
                <w:color w:val="000000"/>
                <w:spacing w:val="5"/>
                <w:kern w:val="28"/>
                <w:sz w:val="20"/>
                <w:szCs w:val="20"/>
                <w:lang w:val="en-US"/>
              </w:rPr>
            </w:pPr>
            <w:r w:rsidRPr="002D2A0A">
              <w:rPr>
                <w:rFonts w:ascii="Arial" w:hAnsi="Arial" w:cs="Arial"/>
                <w:b/>
                <w:sz w:val="20"/>
                <w:szCs w:val="20"/>
              </w:rPr>
              <w:t>Medicine</w:t>
            </w:r>
          </w:p>
        </w:tc>
        <w:tc>
          <w:tcPr>
            <w:tcW w:w="321" w:type="pct"/>
            <w:shd w:val="clear" w:color="auto" w:fill="BFBFBF" w:themeFill="background1" w:themeFillShade="BF"/>
          </w:tcPr>
          <w:p w:rsidR="00064D19" w:rsidRPr="002D2A0A" w:rsidRDefault="00064D19" w:rsidP="00121658">
            <w:pPr>
              <w:spacing w:before="0" w:line="240" w:lineRule="auto"/>
              <w:jc w:val="left"/>
              <w:rPr>
                <w:rFonts w:ascii="Arial" w:hAnsi="Arial" w:cs="Arial"/>
                <w:b/>
                <w:sz w:val="20"/>
                <w:szCs w:val="20"/>
              </w:rPr>
            </w:pPr>
            <w:r w:rsidRPr="002D2A0A">
              <w:rPr>
                <w:rFonts w:ascii="Arial" w:hAnsi="Arial" w:cs="Arial"/>
                <w:b/>
                <w:sz w:val="20"/>
                <w:szCs w:val="20"/>
              </w:rPr>
              <w:t>Brand</w:t>
            </w:r>
          </w:p>
        </w:tc>
        <w:tc>
          <w:tcPr>
            <w:tcW w:w="401" w:type="pct"/>
            <w:shd w:val="clear" w:color="auto" w:fill="BFBFBF" w:themeFill="background1" w:themeFillShade="BF"/>
          </w:tcPr>
          <w:p w:rsidR="00064D19" w:rsidRPr="002D2A0A" w:rsidRDefault="00064D19" w:rsidP="00121658">
            <w:pPr>
              <w:spacing w:before="0" w:line="240" w:lineRule="auto"/>
              <w:jc w:val="left"/>
              <w:rPr>
                <w:rFonts w:ascii="Arial" w:hAnsi="Arial" w:cs="Arial"/>
                <w:b/>
                <w:sz w:val="20"/>
                <w:szCs w:val="20"/>
              </w:rPr>
            </w:pPr>
            <w:r w:rsidRPr="002D2A0A">
              <w:rPr>
                <w:rFonts w:ascii="Arial" w:hAnsi="Arial" w:cs="Arial"/>
                <w:b/>
                <w:sz w:val="20"/>
                <w:szCs w:val="20"/>
              </w:rPr>
              <w:t>PI Date</w:t>
            </w:r>
          </w:p>
        </w:tc>
        <w:tc>
          <w:tcPr>
            <w:tcW w:w="3859" w:type="pct"/>
            <w:shd w:val="clear" w:color="auto" w:fill="BFBFBF" w:themeFill="background1" w:themeFillShade="BF"/>
            <w:vAlign w:val="center"/>
          </w:tcPr>
          <w:p w:rsidR="00064D19" w:rsidRPr="002D2A0A" w:rsidRDefault="00064D19" w:rsidP="00121658">
            <w:pPr>
              <w:spacing w:before="0" w:line="240" w:lineRule="auto"/>
              <w:jc w:val="left"/>
              <w:rPr>
                <w:rFonts w:ascii="Arial" w:hAnsi="Arial" w:cs="Arial"/>
                <w:b/>
                <w:sz w:val="20"/>
                <w:szCs w:val="20"/>
              </w:rPr>
            </w:pPr>
            <w:r w:rsidRPr="002D2A0A">
              <w:rPr>
                <w:rFonts w:ascii="Arial" w:hAnsi="Arial" w:cs="Arial"/>
                <w:b/>
                <w:sz w:val="20"/>
                <w:szCs w:val="20"/>
              </w:rPr>
              <w:t>Combination Therapy</w:t>
            </w:r>
          </w:p>
        </w:tc>
      </w:tr>
      <w:tr w:rsidR="00064D19" w:rsidRPr="002D2A0A" w:rsidTr="00C978EB">
        <w:tc>
          <w:tcPr>
            <w:tcW w:w="419" w:type="pct"/>
            <w:shd w:val="clear" w:color="auto" w:fill="auto"/>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Bosentan</w:t>
            </w:r>
          </w:p>
        </w:tc>
        <w:tc>
          <w:tcPr>
            <w:tcW w:w="321" w:type="pct"/>
          </w:tcPr>
          <w:p w:rsidR="00064D19" w:rsidRPr="002D2A0A" w:rsidRDefault="00060C26" w:rsidP="00121658">
            <w:pPr>
              <w:spacing w:before="0" w:line="240" w:lineRule="auto"/>
              <w:jc w:val="left"/>
              <w:rPr>
                <w:rFonts w:ascii="Arial" w:hAnsi="Arial" w:cs="Arial"/>
                <w:sz w:val="20"/>
                <w:szCs w:val="20"/>
              </w:rPr>
            </w:pPr>
            <w:r w:rsidRPr="002D2A0A">
              <w:rPr>
                <w:rFonts w:ascii="Arial" w:hAnsi="Arial" w:cs="Arial"/>
                <w:sz w:val="20"/>
                <w:szCs w:val="20"/>
              </w:rPr>
              <w:t>Tracleer</w:t>
            </w:r>
            <w:r w:rsidR="00252749" w:rsidRPr="002D2A0A">
              <w:rPr>
                <w:rFonts w:ascii="Arial" w:hAnsi="Arial" w:cs="Arial"/>
                <w:sz w:val="20"/>
                <w:szCs w:val="20"/>
                <w:vertAlign w:val="superscript"/>
              </w:rPr>
              <w:t>®</w:t>
            </w:r>
          </w:p>
        </w:tc>
        <w:tc>
          <w:tcPr>
            <w:tcW w:w="401" w:type="pct"/>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15 February 2016</w:t>
            </w:r>
          </w:p>
        </w:tc>
        <w:tc>
          <w:tcPr>
            <w:tcW w:w="3859" w:type="pct"/>
            <w:shd w:val="clear" w:color="auto" w:fill="auto"/>
            <w:vAlign w:val="center"/>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CLINICAL TRIALS: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Combination with epoprostenol – The combination of </w:t>
            </w:r>
            <w:r w:rsidR="00060C26" w:rsidRPr="002D2A0A">
              <w:rPr>
                <w:rFonts w:ascii="Arial" w:hAnsi="Arial" w:cs="Arial"/>
                <w:i/>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and epoprostenol has been investigated in two studies: AC-052-355 (BREATHE-2) and AC-052-356 (BREATHE-3). AC-052-355 was a multi-centre, randomised, double-blind, </w:t>
            </w:r>
            <w:proofErr w:type="gramStart"/>
            <w:r w:rsidRPr="002D2A0A">
              <w:rPr>
                <w:rFonts w:ascii="Arial" w:hAnsi="Arial" w:cs="Arial"/>
                <w:i/>
                <w:sz w:val="20"/>
                <w:szCs w:val="20"/>
              </w:rPr>
              <w:t>parallel</w:t>
            </w:r>
            <w:proofErr w:type="gramEnd"/>
            <w:r w:rsidRPr="002D2A0A">
              <w:rPr>
                <w:rFonts w:ascii="Arial" w:hAnsi="Arial" w:cs="Arial"/>
                <w:i/>
                <w:sz w:val="20"/>
                <w:szCs w:val="20"/>
              </w:rPr>
              <w:t xml:space="preserve">-group trial of </w:t>
            </w:r>
            <w:r w:rsidR="00060C26" w:rsidRPr="002D2A0A">
              <w:rPr>
                <w:rFonts w:ascii="Arial" w:hAnsi="Arial" w:cs="Arial"/>
                <w:i/>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versus placebo in 33 patients with severe pulmonary arterial hypertension who were receiving concomitant epoprostenol therapy. AC-052-356 was an open-label, non-controlled trial; 10 of the 19 paediatric patients were on concomitant </w:t>
            </w:r>
            <w:r w:rsidR="00060C26" w:rsidRPr="002D2A0A">
              <w:rPr>
                <w:rFonts w:ascii="Arial" w:hAnsi="Arial" w:cs="Arial"/>
                <w:i/>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and epoprostenol therapy during the 12–week trial. The safety profile of the combination was not different from the one expected with each component and the combination therapy was well tolerated in children and adults. The clinical benefit of the combination has not been demonstrated.</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PRECAUTIONS: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Use in patients receiving epoprostenol – In a randomised, double blind trial (BREATHE-2), 32 patients were commenced on epoprostenol, to which bosentan (n=22) or placebo (n=11) was added two days later. The treatments were then carried out for 16 weeks. The trial failed to show any significant clinical benefit (6 minute walk, dyspnoea score, WHO functional class) or </w:t>
            </w:r>
            <w:proofErr w:type="spellStart"/>
            <w:r w:rsidRPr="002D2A0A">
              <w:rPr>
                <w:rFonts w:ascii="Arial" w:hAnsi="Arial" w:cs="Arial"/>
                <w:i/>
                <w:sz w:val="20"/>
                <w:szCs w:val="20"/>
              </w:rPr>
              <w:t>pharmacodynamic</w:t>
            </w:r>
            <w:proofErr w:type="spellEnd"/>
            <w:r w:rsidRPr="002D2A0A">
              <w:rPr>
                <w:rFonts w:ascii="Arial" w:hAnsi="Arial" w:cs="Arial"/>
                <w:i/>
                <w:sz w:val="20"/>
                <w:szCs w:val="20"/>
              </w:rPr>
              <w:t xml:space="preserve"> effect. The co-administration of bosentan with epoprostenol is, therefore, not recommended.</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Interactions with Other Medicines – Concomitant administration of </w:t>
            </w:r>
            <w:r w:rsidR="00060C26" w:rsidRPr="002D2A0A">
              <w:rPr>
                <w:rFonts w:ascii="Arial" w:hAnsi="Arial" w:cs="Arial"/>
                <w:i/>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and epoprostenol has shown to be safe and efficacious in a clinical study with paediatric PPH/PAH patients. The pharmacokinetics </w:t>
            </w:r>
            <w:proofErr w:type="gramStart"/>
            <w:r w:rsidRPr="002D2A0A">
              <w:rPr>
                <w:rFonts w:ascii="Arial" w:hAnsi="Arial" w:cs="Arial"/>
                <w:i/>
                <w:sz w:val="20"/>
                <w:szCs w:val="20"/>
              </w:rPr>
              <w:t>were</w:t>
            </w:r>
            <w:proofErr w:type="gramEnd"/>
            <w:r w:rsidRPr="002D2A0A">
              <w:rPr>
                <w:rFonts w:ascii="Arial" w:hAnsi="Arial" w:cs="Arial"/>
                <w:i/>
                <w:sz w:val="20"/>
                <w:szCs w:val="20"/>
              </w:rPr>
              <w:t xml:space="preserve"> similar to those in adult patients and healthy subjects in other studies.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Effects of bosentan on other drugs – Co-administration of </w:t>
            </w:r>
            <w:r w:rsidR="00060C26" w:rsidRPr="002D2A0A">
              <w:rPr>
                <w:rFonts w:ascii="Arial" w:hAnsi="Arial" w:cs="Arial"/>
                <w:i/>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125 mg twice daily (steady state) with sildenafil 80 mg three times a day (at steady state) concomitantly administered during 6 days in healthy volunteers resulted in a 63% decrease of the sildenafil AUC and a 50% increase of the bosentan AUC. Caution is recommended in case of co-administration. The reduction in sildenafil plasma concentration with co-administration of bosentan has also been reported in a study of patients with primary arterial hypertension.</w:t>
            </w:r>
          </w:p>
        </w:tc>
      </w:tr>
      <w:tr w:rsidR="00064D19" w:rsidRPr="002D2A0A" w:rsidTr="00C978EB">
        <w:tc>
          <w:tcPr>
            <w:tcW w:w="419" w:type="pct"/>
            <w:shd w:val="clear" w:color="auto" w:fill="auto"/>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Ambrisentan</w:t>
            </w:r>
          </w:p>
        </w:tc>
        <w:tc>
          <w:tcPr>
            <w:tcW w:w="321" w:type="pct"/>
          </w:tcPr>
          <w:p w:rsidR="00064D19" w:rsidRPr="002D2A0A" w:rsidRDefault="00777ACB" w:rsidP="00121658">
            <w:pPr>
              <w:spacing w:before="0" w:line="240" w:lineRule="auto"/>
              <w:jc w:val="left"/>
              <w:rPr>
                <w:rFonts w:ascii="Arial" w:hAnsi="Arial" w:cs="Arial"/>
                <w:sz w:val="20"/>
                <w:szCs w:val="20"/>
              </w:rPr>
            </w:pPr>
            <w:proofErr w:type="spellStart"/>
            <w:r w:rsidRPr="002D2A0A">
              <w:rPr>
                <w:rFonts w:ascii="Arial" w:hAnsi="Arial" w:cs="Arial"/>
                <w:sz w:val="20"/>
                <w:szCs w:val="20"/>
              </w:rPr>
              <w:t>Volibris</w:t>
            </w:r>
            <w:proofErr w:type="spellEnd"/>
            <w:r w:rsidR="00252749" w:rsidRPr="002D2A0A">
              <w:rPr>
                <w:rFonts w:ascii="Arial" w:hAnsi="Arial" w:cs="Arial"/>
                <w:sz w:val="20"/>
                <w:szCs w:val="20"/>
              </w:rPr>
              <w:t>®</w:t>
            </w:r>
          </w:p>
        </w:tc>
        <w:tc>
          <w:tcPr>
            <w:tcW w:w="401" w:type="pct"/>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16 February 2016</w:t>
            </w:r>
          </w:p>
        </w:tc>
        <w:tc>
          <w:tcPr>
            <w:tcW w:w="3859" w:type="pct"/>
            <w:shd w:val="clear" w:color="auto" w:fill="auto"/>
            <w:vAlign w:val="center"/>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PHARMACOLOGY:</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The effect of 7-day dosing of sildenafil (20 mg three times daily) on the pharmacokinetics of a single dose of ambrisentan, and the effects of 7-day dosing of ambrisentan (10 mg once daily) on the pharmacokinetics of a single dose of sildenafil were investigated in 19 healthy adults. With the exception of a 13% increase (90% CI: 99.6% - 129.1%) in sildenafil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following co-administration with ambrisentan, there were no other changes in the pharmacokinetic parameters of sildenafil, N-</w:t>
            </w:r>
            <w:proofErr w:type="spellStart"/>
            <w:r w:rsidRPr="002D2A0A">
              <w:rPr>
                <w:rFonts w:ascii="Arial" w:hAnsi="Arial" w:cs="Arial"/>
                <w:i/>
                <w:sz w:val="20"/>
                <w:szCs w:val="20"/>
              </w:rPr>
              <w:t>desmethyl</w:t>
            </w:r>
            <w:proofErr w:type="spellEnd"/>
            <w:r w:rsidRPr="002D2A0A">
              <w:rPr>
                <w:rFonts w:ascii="Arial" w:hAnsi="Arial" w:cs="Arial"/>
                <w:i/>
                <w:sz w:val="20"/>
                <w:szCs w:val="20"/>
              </w:rPr>
              <w:t xml:space="preserve">-sildenafil and ambrisentan. This slight increase in sildenafil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is not considered clinically relevant (see Interactions with Other Medicines).</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INDICATIONS:</w:t>
            </w:r>
          </w:p>
          <w:p w:rsidR="00064D19" w:rsidRPr="002D2A0A" w:rsidRDefault="00777ACB" w:rsidP="00121658">
            <w:pPr>
              <w:spacing w:before="0" w:after="120" w:line="240" w:lineRule="auto"/>
              <w:jc w:val="left"/>
              <w:rPr>
                <w:rFonts w:ascii="Arial" w:hAnsi="Arial" w:cs="Arial"/>
                <w:i/>
                <w:sz w:val="20"/>
                <w:szCs w:val="20"/>
              </w:rPr>
            </w:pPr>
            <w:r w:rsidRPr="002D2A0A">
              <w:rPr>
                <w:rFonts w:ascii="Arial" w:hAnsi="Arial" w:cs="Arial"/>
                <w:i/>
                <w:sz w:val="20"/>
                <w:szCs w:val="20"/>
              </w:rPr>
              <w:t>VOLIBRIS</w:t>
            </w:r>
            <w:r w:rsidR="00252749" w:rsidRPr="002D2A0A">
              <w:rPr>
                <w:rFonts w:ascii="Arial" w:hAnsi="Arial" w:cs="Arial"/>
                <w:i/>
                <w:sz w:val="20"/>
                <w:szCs w:val="20"/>
              </w:rPr>
              <w:t>®</w:t>
            </w:r>
            <w:r w:rsidR="00064D19" w:rsidRPr="002D2A0A">
              <w:rPr>
                <w:rFonts w:ascii="Arial" w:hAnsi="Arial" w:cs="Arial"/>
                <w:i/>
                <w:sz w:val="20"/>
                <w:szCs w:val="20"/>
              </w:rPr>
              <w:t xml:space="preserve"> in combination with Tadalafil is indicated for the treatment of WHO Group 1 pulmonary arterial hypertension in patients with WHO functional class II, III or IV symptoms.</w:t>
            </w:r>
          </w:p>
          <w:p w:rsidR="00064D19" w:rsidRPr="002D2A0A" w:rsidRDefault="00064D19" w:rsidP="00121658">
            <w:pPr>
              <w:spacing w:before="0" w:after="120" w:line="240" w:lineRule="auto"/>
              <w:jc w:val="left"/>
              <w:rPr>
                <w:rFonts w:ascii="Arial" w:hAnsi="Arial" w:cs="Arial"/>
                <w:sz w:val="20"/>
                <w:szCs w:val="20"/>
              </w:rPr>
            </w:pPr>
            <w:r w:rsidRPr="002D2A0A">
              <w:rPr>
                <w:rFonts w:ascii="Arial" w:hAnsi="Arial" w:cs="Arial"/>
                <w:sz w:val="20"/>
                <w:szCs w:val="20"/>
              </w:rPr>
              <w:t>Extensive clinical information to support the registered indication combination therapy of ambrisentan + tadalafil is included in the PI and is not reproduced here.</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INTERACTIONS WITH OTHER MEDICINES: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Sildenafil &amp; Tadalafil – Co-administration of ambrisentan with a phosphodiesterase inhibitor, either sildenafil or tadalafil (both substrates of CYP 3A4) in healthy volunteers did not significantly affect the pharmacokinetics of ambrisentan or the phosphodiesterase inhibitor (see Metabolism).</w:t>
            </w:r>
          </w:p>
        </w:tc>
      </w:tr>
      <w:tr w:rsidR="00064D19" w:rsidRPr="002D2A0A" w:rsidTr="00C978EB">
        <w:tc>
          <w:tcPr>
            <w:tcW w:w="419" w:type="pct"/>
            <w:shd w:val="clear" w:color="auto" w:fill="auto"/>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Macitentan</w:t>
            </w:r>
          </w:p>
        </w:tc>
        <w:tc>
          <w:tcPr>
            <w:tcW w:w="321" w:type="pct"/>
          </w:tcPr>
          <w:p w:rsidR="00064D19" w:rsidRPr="002D2A0A" w:rsidRDefault="00060C26" w:rsidP="00121658">
            <w:pPr>
              <w:spacing w:before="0" w:line="240" w:lineRule="auto"/>
              <w:jc w:val="left"/>
              <w:rPr>
                <w:rFonts w:ascii="Arial" w:hAnsi="Arial" w:cs="Arial"/>
                <w:sz w:val="20"/>
                <w:szCs w:val="20"/>
              </w:rPr>
            </w:pPr>
            <w:r w:rsidRPr="002D2A0A">
              <w:rPr>
                <w:rFonts w:ascii="Arial" w:hAnsi="Arial" w:cs="Arial"/>
                <w:sz w:val="20"/>
                <w:szCs w:val="20"/>
              </w:rPr>
              <w:t>Opsumit</w:t>
            </w:r>
            <w:r w:rsidR="00252749" w:rsidRPr="002D2A0A">
              <w:rPr>
                <w:rFonts w:ascii="Arial" w:hAnsi="Arial" w:cs="Arial"/>
                <w:sz w:val="20"/>
                <w:szCs w:val="20"/>
                <w:vertAlign w:val="superscript"/>
              </w:rPr>
              <w:t>®</w:t>
            </w:r>
          </w:p>
        </w:tc>
        <w:tc>
          <w:tcPr>
            <w:tcW w:w="401" w:type="pct"/>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25 August 2016</w:t>
            </w:r>
          </w:p>
        </w:tc>
        <w:tc>
          <w:tcPr>
            <w:tcW w:w="3859" w:type="pct"/>
            <w:shd w:val="clear" w:color="auto" w:fill="auto"/>
            <w:vAlign w:val="center"/>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INDICATIONS:</w:t>
            </w:r>
          </w:p>
          <w:p w:rsidR="00064D19" w:rsidRPr="002D2A0A" w:rsidRDefault="00060C26" w:rsidP="00121658">
            <w:pPr>
              <w:spacing w:before="0" w:after="120" w:line="240" w:lineRule="auto"/>
              <w:jc w:val="left"/>
              <w:rPr>
                <w:rFonts w:ascii="Arial" w:hAnsi="Arial" w:cs="Arial"/>
                <w:i/>
                <w:sz w:val="20"/>
                <w:szCs w:val="20"/>
              </w:rPr>
            </w:pPr>
            <w:r w:rsidRPr="002D2A0A">
              <w:rPr>
                <w:rFonts w:ascii="Arial" w:hAnsi="Arial" w:cs="Arial"/>
                <w:i/>
                <w:sz w:val="20"/>
                <w:szCs w:val="20"/>
              </w:rPr>
              <w:t>OPSUMIT</w:t>
            </w:r>
            <w:r w:rsidR="00252749" w:rsidRPr="002D2A0A">
              <w:rPr>
                <w:rFonts w:ascii="Arial" w:hAnsi="Arial" w:cs="Arial"/>
                <w:i/>
                <w:sz w:val="20"/>
                <w:szCs w:val="20"/>
                <w:vertAlign w:val="superscript"/>
              </w:rPr>
              <w:t>®</w:t>
            </w:r>
            <w:r w:rsidR="00064D19" w:rsidRPr="002D2A0A">
              <w:rPr>
                <w:rFonts w:ascii="Arial" w:hAnsi="Arial" w:cs="Arial"/>
                <w:i/>
                <w:sz w:val="20"/>
                <w:szCs w:val="20"/>
              </w:rPr>
              <w:t>, as monotherapy or in combination with approved PAH treatments (phosphodiesterase-5 inhibitors or inhaled prostanoids) … [indicated for the same suite of indications for monotherapy and combination therapy]</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PRECAUTIONS: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The efficacy and safety of macitentan when co-administered with epoprostenol has not been specifically studied in controlled clinical trials.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sz w:val="20"/>
                <w:szCs w:val="20"/>
              </w:rPr>
              <w:t>The PI contains no warning about use with other ERAs but makes a general statement that “</w:t>
            </w:r>
            <w:r w:rsidRPr="002D2A0A">
              <w:rPr>
                <w:rFonts w:ascii="Arial" w:hAnsi="Arial" w:cs="Arial"/>
                <w:i/>
                <w:sz w:val="20"/>
                <w:szCs w:val="20"/>
              </w:rPr>
              <w:t xml:space="preserve">Caution should be exercised when </w:t>
            </w:r>
            <w:r w:rsidR="00060C26" w:rsidRPr="002D2A0A">
              <w:rPr>
                <w:rFonts w:ascii="Arial" w:hAnsi="Arial" w:cs="Arial"/>
                <w:i/>
                <w:sz w:val="20"/>
                <w:szCs w:val="20"/>
              </w:rPr>
              <w:t>OPSUMIT</w:t>
            </w:r>
            <w:r w:rsidR="00252749" w:rsidRPr="002D2A0A">
              <w:rPr>
                <w:rFonts w:ascii="Arial" w:hAnsi="Arial" w:cs="Arial"/>
                <w:i/>
                <w:sz w:val="20"/>
                <w:szCs w:val="20"/>
                <w:vertAlign w:val="superscript"/>
              </w:rPr>
              <w:t>®</w:t>
            </w:r>
            <w:r w:rsidRPr="002D2A0A">
              <w:rPr>
                <w:rFonts w:ascii="Arial" w:hAnsi="Arial" w:cs="Arial"/>
                <w:i/>
                <w:sz w:val="20"/>
                <w:szCs w:val="20"/>
              </w:rPr>
              <w:t xml:space="preserve"> is used concomitantly with medicinal products known to be associated with hepatic injury as the additive effects of </w:t>
            </w:r>
            <w:r w:rsidR="00060C26" w:rsidRPr="002D2A0A">
              <w:rPr>
                <w:rFonts w:ascii="Arial" w:hAnsi="Arial" w:cs="Arial"/>
                <w:i/>
                <w:sz w:val="20"/>
                <w:szCs w:val="20"/>
              </w:rPr>
              <w:t>OPSUMIT</w:t>
            </w:r>
            <w:r w:rsidR="00252749" w:rsidRPr="002D2A0A">
              <w:rPr>
                <w:rFonts w:ascii="Arial" w:hAnsi="Arial" w:cs="Arial"/>
                <w:i/>
                <w:sz w:val="20"/>
                <w:szCs w:val="20"/>
                <w:vertAlign w:val="superscript"/>
              </w:rPr>
              <w:t>®</w:t>
            </w:r>
            <w:r w:rsidRPr="002D2A0A">
              <w:rPr>
                <w:rFonts w:ascii="Arial" w:hAnsi="Arial" w:cs="Arial"/>
                <w:i/>
                <w:sz w:val="20"/>
                <w:szCs w:val="20"/>
              </w:rPr>
              <w:t xml:space="preserve"> with these agents are not known.</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INTERACTIONS WITH OTHER MEDICINES: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Sildenafil: At steady-state, the exposure to sildenafil 20 mg </w:t>
            </w:r>
            <w:proofErr w:type="spellStart"/>
            <w:r w:rsidRPr="002D2A0A">
              <w:rPr>
                <w:rFonts w:ascii="Arial" w:hAnsi="Arial" w:cs="Arial"/>
                <w:i/>
                <w:sz w:val="20"/>
                <w:szCs w:val="20"/>
              </w:rPr>
              <w:t>t.i.d</w:t>
            </w:r>
            <w:proofErr w:type="spellEnd"/>
            <w:r w:rsidRPr="002D2A0A">
              <w:rPr>
                <w:rFonts w:ascii="Arial" w:hAnsi="Arial" w:cs="Arial"/>
                <w:i/>
                <w:sz w:val="20"/>
                <w:szCs w:val="20"/>
              </w:rPr>
              <w:t>. was increased by 15% during concomitant administration of macitentan 10 mg once daily. Sildenafil, a CYP3A4 substrate, did not affect the pharmacokinetics of macitentan, while there was a 15% reduction in the exposure to the active metabolite of macitentan. These changes are not considered clinically relevant. In a placebo-controlled trial in patients with PAH, the efficacy and safety of macitentan in combination with sildenafil were demonstrated.</w:t>
            </w:r>
          </w:p>
        </w:tc>
      </w:tr>
      <w:tr w:rsidR="00064D19" w:rsidRPr="002D2A0A" w:rsidTr="00C978EB">
        <w:tc>
          <w:tcPr>
            <w:tcW w:w="419" w:type="pct"/>
            <w:shd w:val="clear" w:color="auto" w:fill="auto"/>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Sildenafil</w:t>
            </w:r>
          </w:p>
        </w:tc>
        <w:tc>
          <w:tcPr>
            <w:tcW w:w="321" w:type="pct"/>
          </w:tcPr>
          <w:p w:rsidR="00064D19" w:rsidRPr="002D2A0A" w:rsidRDefault="00060C26" w:rsidP="00121658">
            <w:pPr>
              <w:spacing w:before="0" w:line="240" w:lineRule="auto"/>
              <w:jc w:val="left"/>
              <w:rPr>
                <w:rFonts w:ascii="Arial" w:hAnsi="Arial" w:cs="Arial"/>
                <w:sz w:val="20"/>
                <w:szCs w:val="20"/>
              </w:rPr>
            </w:pPr>
            <w:proofErr w:type="spellStart"/>
            <w:r w:rsidRPr="002D2A0A">
              <w:rPr>
                <w:rFonts w:ascii="Arial" w:hAnsi="Arial" w:cs="Arial"/>
                <w:sz w:val="20"/>
                <w:szCs w:val="20"/>
              </w:rPr>
              <w:t>Revatio</w:t>
            </w:r>
            <w:proofErr w:type="spellEnd"/>
            <w:r w:rsidR="00252749" w:rsidRPr="002D2A0A">
              <w:rPr>
                <w:rFonts w:ascii="Arial" w:hAnsi="Arial" w:cs="Arial"/>
                <w:sz w:val="20"/>
                <w:szCs w:val="20"/>
                <w:vertAlign w:val="superscript"/>
              </w:rPr>
              <w:t>®</w:t>
            </w:r>
          </w:p>
        </w:tc>
        <w:tc>
          <w:tcPr>
            <w:tcW w:w="401" w:type="pct"/>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21 December 2015</w:t>
            </w:r>
          </w:p>
        </w:tc>
        <w:tc>
          <w:tcPr>
            <w:tcW w:w="3859" w:type="pct"/>
            <w:shd w:val="clear" w:color="auto" w:fill="auto"/>
            <w:vAlign w:val="center"/>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INDICATIONS: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The efficacy of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has not been established in patients currently on bosentan therapy (see PRECAUTIONS).</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CONTRAINDICATIONS: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Co-administration of PDE5 inhibitors, including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with guanylate cyclase stimulators, such as riociguat, is contraindicated as it may potentially lead to symptomatic hypotension.</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PRECAUTIONS: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Co-administration with bosentan – In a study of PAH patients (primary PAH and secondary PAH associated with CTD) on bosentan therapy, no incremental benefit (6-MWD) of sildenafil co-administered with bosentan was demonstrated over bosentan alone. The mean result of the combination of sildenafil and bosentan was numerically worse than bosentan alone in patients with PAH associated with CTD but numerically better than bosentan alone in patients with primary PAH. Physicians should assess the clinical response when sildenafil is used in combination with bosentan in primary PAH. Co-administration of sildenafil and bosentan in patients with PAH associated with CTD is not recommended (see INTERACTIONS WITH OTHER MEDICINES).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Concomitant use with other PDE5 inhibitors – The safety and efficacy of sildenafil when co-administered with other PDE5 inhibitor products has not been studied in PAH patients and such concomitant use is not recommended.</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INTERACTIONS WITH OTHER MEDICINES: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Effect of Other Medicines on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 In a study of healthy male volunteers co-administration of the endothelin antagonist bosentan, which is a moderate inducer of CYP3A4, CYP2C9 and possibly of CYP2C19, at steady state (125 mg twice a day) with oral sildenafil at steady state (80 mg three times a day) resulted in a 62.6% decrease of sildenafil AUC and a 55.4% decrease in sildenafil </w:t>
            </w:r>
            <w:proofErr w:type="spellStart"/>
            <w:r w:rsidRPr="002D2A0A">
              <w:rPr>
                <w:rFonts w:ascii="Arial" w:hAnsi="Arial" w:cs="Arial"/>
                <w:i/>
                <w:sz w:val="20"/>
                <w:szCs w:val="20"/>
              </w:rPr>
              <w:t>Cmax</w:t>
            </w:r>
            <w:proofErr w:type="spellEnd"/>
            <w:r w:rsidRPr="002D2A0A">
              <w:rPr>
                <w:rFonts w:ascii="Arial" w:hAnsi="Arial" w:cs="Arial"/>
                <w:i/>
                <w:sz w:val="20"/>
                <w:szCs w:val="20"/>
              </w:rPr>
              <w:t>. The same effect was also observed with lower doses of sildenafil (20 mg three times a day) and bosentan therapy (62.5 mg – 125 mg twice daily). The combination of both drugs did not lead to clinically significant changes of blood pressure (supine and standing).</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Effect of Other Medicines on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 Riociguat: Preclinical studies showed an additive systemic blood pressure lowering effect when PDE5 inhibitors were combined with riociguat. In clinical studies, riociguat has been shown to augment the hypotensive effects of sildenafil. There was no evidence of favourable clinical effect of the combination in the population studied. Concomitant use of riociguat with PDE5 inhibitors, including sildenafil, is contraindicated as it may potentially lead to symptomatic hypotension (see CONTRAINDICATIONS).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Effect of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on Other Medicines – In a study of healthy volunteers oral sildenafil at steady state (80 mg three times a day) resulted in a 49.8% increase in bosentan AUC and a 42% increase in bosentan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(125 mg twice daily). The same effect was also observed with lower doses of sildenafil (20 mg three times a day) and bosentan therapy (62.5 mg – 125 mg twice a day).</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Co-administration with other PAH treatments – The safety and efficacy of sildenafil when co-administered with medicines for PAH other than epoprostenol has not been studied in controlled clinical trials. Caution is recommended in the case of co-administration. The safety and efficacy of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when co-administered with other PDE5 inhibitors has not been studied in pulmonary arterial hypertension patients.</w:t>
            </w:r>
          </w:p>
        </w:tc>
      </w:tr>
      <w:tr w:rsidR="00064D19" w:rsidRPr="002D2A0A" w:rsidTr="00C978EB">
        <w:tc>
          <w:tcPr>
            <w:tcW w:w="419" w:type="pct"/>
            <w:shd w:val="clear" w:color="auto" w:fill="auto"/>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Tadalafil</w:t>
            </w:r>
          </w:p>
        </w:tc>
        <w:tc>
          <w:tcPr>
            <w:tcW w:w="321" w:type="pct"/>
          </w:tcPr>
          <w:p w:rsidR="00064D19" w:rsidRPr="002D2A0A" w:rsidRDefault="00060C26" w:rsidP="00121658">
            <w:pPr>
              <w:spacing w:before="0" w:line="240" w:lineRule="auto"/>
              <w:jc w:val="left"/>
              <w:rPr>
                <w:rFonts w:ascii="Arial" w:hAnsi="Arial" w:cs="Arial"/>
                <w:sz w:val="20"/>
                <w:szCs w:val="20"/>
              </w:rPr>
            </w:pPr>
            <w:proofErr w:type="spellStart"/>
            <w:r w:rsidRPr="002D2A0A">
              <w:rPr>
                <w:rFonts w:ascii="Arial" w:hAnsi="Arial" w:cs="Arial"/>
                <w:sz w:val="20"/>
                <w:szCs w:val="20"/>
              </w:rPr>
              <w:t>Adcirca</w:t>
            </w:r>
            <w:proofErr w:type="spellEnd"/>
            <w:r w:rsidR="00252749" w:rsidRPr="002D2A0A">
              <w:rPr>
                <w:rFonts w:ascii="Arial" w:hAnsi="Arial" w:cs="Arial"/>
                <w:sz w:val="20"/>
                <w:szCs w:val="20"/>
                <w:vertAlign w:val="superscript"/>
              </w:rPr>
              <w:t>®</w:t>
            </w:r>
          </w:p>
        </w:tc>
        <w:tc>
          <w:tcPr>
            <w:tcW w:w="401" w:type="pct"/>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18 December 2015</w:t>
            </w:r>
          </w:p>
        </w:tc>
        <w:tc>
          <w:tcPr>
            <w:tcW w:w="3859" w:type="pct"/>
            <w:shd w:val="clear" w:color="auto" w:fill="auto"/>
            <w:vAlign w:val="center"/>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CONTRAINDICATIONS: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Guanylate Cyclase Stimulators – The combination of tadalafil and guanylate cyclase stimulators, such as riociguat, is contraindicated because it may lead to symptomatic hypotension.</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PRECAUTIONS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The efficacy and safety of tadalafil co-administered with prostacyclin or its analogues has not been studied in controlled clinical trials. Therefore, caution is recommended in case of co-administration. </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The efficacy of tadalafil in patients already on bosentan therapy has not been conclusively demonstrated (see PRECAUTIONS – Interactions with Other Medicines and CLINICAL TRIALS).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The safety and efficacy of combinations of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and other PDE5 inhibitors or other treatments for erectile dysfunction have not been studied. Therefore patients should be informed not to take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with these medications.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Endothelin-1 receptor antagonists (e.g. bosentan) – Bosentan (125 mg twice daily), a substrate of CYP2C9 and CYP3A4 and a moderate inducer of CYP3A4, CYP2C9 and possibly CYP2C19, reduced tadalafil (40 mg once per day) systemic exposure by 42% and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by 27% following multiple dose co-administration. The efficacy of tadalafil in patients already on bosentan therapy has not been conclusively demonstrated (see PRECAUTIONS and CLINICAL TRIALS). Tadalafil did not affect the exposure (AUC and </w:t>
            </w:r>
            <w:proofErr w:type="spellStart"/>
            <w:r w:rsidRPr="002D2A0A">
              <w:rPr>
                <w:rFonts w:ascii="Arial" w:hAnsi="Arial" w:cs="Arial"/>
                <w:i/>
                <w:sz w:val="20"/>
                <w:szCs w:val="20"/>
              </w:rPr>
              <w:t>Cmax</w:t>
            </w:r>
            <w:proofErr w:type="spellEnd"/>
            <w:r w:rsidRPr="002D2A0A">
              <w:rPr>
                <w:rFonts w:ascii="Arial" w:hAnsi="Arial" w:cs="Arial"/>
                <w:i/>
                <w:sz w:val="20"/>
                <w:szCs w:val="20"/>
              </w:rPr>
              <w:t xml:space="preserve">) of bosentan or its metabolites. The safety and efficacy of combinations of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and other endothelin-1 receptor antagonists have not been studied.</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Other PDE5 inhibitors – The safety and efficacy of combinations of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and other PDE5 inhibitors have not been studied. Therefore, the use of such combinations is not recommended.</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Riociguat – Preclinical studies showed an additive systemic blood pressure lowering effect when PDE5 inhibitors were combined with riociguat. In clinical studies, riociguat has been shown to augment the hypotensive effects of PDE5 inhibitors. There was no evidence of favourable clinical effect of the combination in the population studied. Concomitant use of riociguat with PDE5 inhibitors, including tadalafil, is contraindicated as it may potentially lead to symptomatic hypotension (see CONTRAINDICATIONS).</w:t>
            </w:r>
          </w:p>
        </w:tc>
      </w:tr>
      <w:tr w:rsidR="00064D19" w:rsidRPr="002D2A0A" w:rsidTr="00C978EB">
        <w:tc>
          <w:tcPr>
            <w:tcW w:w="419" w:type="pct"/>
            <w:shd w:val="clear" w:color="auto" w:fill="auto"/>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Riociguat</w:t>
            </w:r>
          </w:p>
        </w:tc>
        <w:tc>
          <w:tcPr>
            <w:tcW w:w="321" w:type="pct"/>
          </w:tcPr>
          <w:p w:rsidR="00064D19" w:rsidRPr="002D2A0A" w:rsidRDefault="00060C26" w:rsidP="00121658">
            <w:pPr>
              <w:spacing w:before="0" w:line="240" w:lineRule="auto"/>
              <w:jc w:val="left"/>
              <w:rPr>
                <w:rFonts w:ascii="Arial" w:hAnsi="Arial" w:cs="Arial"/>
                <w:sz w:val="20"/>
                <w:szCs w:val="20"/>
              </w:rPr>
            </w:pPr>
            <w:proofErr w:type="spellStart"/>
            <w:r w:rsidRPr="002D2A0A">
              <w:rPr>
                <w:rFonts w:ascii="Arial" w:hAnsi="Arial" w:cs="Arial"/>
                <w:sz w:val="20"/>
                <w:szCs w:val="20"/>
              </w:rPr>
              <w:t>Adempas</w:t>
            </w:r>
            <w:proofErr w:type="spellEnd"/>
            <w:r w:rsidR="00252749" w:rsidRPr="002D2A0A">
              <w:rPr>
                <w:rFonts w:ascii="Arial" w:hAnsi="Arial" w:cs="Arial"/>
                <w:sz w:val="20"/>
                <w:szCs w:val="20"/>
                <w:vertAlign w:val="superscript"/>
              </w:rPr>
              <w:t>®</w:t>
            </w:r>
          </w:p>
        </w:tc>
        <w:tc>
          <w:tcPr>
            <w:tcW w:w="401" w:type="pct"/>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17 March 2017</w:t>
            </w:r>
          </w:p>
        </w:tc>
        <w:tc>
          <w:tcPr>
            <w:tcW w:w="3859" w:type="pct"/>
            <w:shd w:val="clear" w:color="auto" w:fill="auto"/>
            <w:vAlign w:val="center"/>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INDICATIONS:</w:t>
            </w:r>
          </w:p>
          <w:p w:rsidR="00064D19" w:rsidRPr="002D2A0A" w:rsidRDefault="00064D19" w:rsidP="00121658">
            <w:pPr>
              <w:spacing w:before="0" w:after="120" w:line="240" w:lineRule="auto"/>
              <w:jc w:val="left"/>
              <w:rPr>
                <w:rFonts w:ascii="Arial" w:hAnsi="Arial" w:cs="Arial"/>
                <w:sz w:val="20"/>
                <w:szCs w:val="20"/>
              </w:rPr>
            </w:pPr>
            <w:r w:rsidRPr="002D2A0A">
              <w:rPr>
                <w:rFonts w:ascii="Arial" w:hAnsi="Arial" w:cs="Arial"/>
                <w:i/>
                <w:sz w:val="20"/>
                <w:szCs w:val="20"/>
              </w:rPr>
              <w:t xml:space="preserve">Pulmonary arterial hypertension – </w:t>
            </w:r>
            <w:proofErr w:type="spellStart"/>
            <w:r w:rsidR="00060C26" w:rsidRPr="002D2A0A">
              <w:rPr>
                <w:rFonts w:ascii="Arial" w:hAnsi="Arial" w:cs="Arial"/>
                <w:i/>
                <w:sz w:val="20"/>
                <w:szCs w:val="20"/>
              </w:rPr>
              <w:t>Adempas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as monotherapy or in combination with approved PAH treatments (endothelin receptor antagonists or inhaled or subcutaneous prostanoids) …</w:t>
            </w:r>
            <w:r w:rsidR="005A470D">
              <w:rPr>
                <w:rFonts w:ascii="Arial" w:hAnsi="Arial" w:cs="Arial"/>
                <w:i/>
                <w:sz w:val="20"/>
                <w:szCs w:val="20"/>
              </w:rPr>
              <w:t>.</w:t>
            </w:r>
            <w:r w:rsidRPr="002D2A0A">
              <w:rPr>
                <w:rFonts w:ascii="Arial" w:hAnsi="Arial" w:cs="Arial"/>
                <w:i/>
                <w:sz w:val="20"/>
                <w:szCs w:val="20"/>
              </w:rPr>
              <w:t xml:space="preserve"> </w:t>
            </w:r>
            <w:r w:rsidRPr="002D2A0A">
              <w:rPr>
                <w:rFonts w:ascii="Arial" w:hAnsi="Arial" w:cs="Arial"/>
                <w:sz w:val="20"/>
                <w:szCs w:val="20"/>
              </w:rPr>
              <w:t>[applies to all the registered PAH indications for riociguat]</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CONTRAINDICATIONS: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Co-administration of </w:t>
            </w:r>
            <w:proofErr w:type="spellStart"/>
            <w:r w:rsidR="00060C26" w:rsidRPr="002D2A0A">
              <w:rPr>
                <w:rFonts w:ascii="Arial" w:hAnsi="Arial" w:cs="Arial"/>
                <w:i/>
                <w:sz w:val="20"/>
                <w:szCs w:val="20"/>
              </w:rPr>
              <w:t>Adempas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xml:space="preserve"> with specific </w:t>
            </w:r>
            <w:r w:rsidR="00AF191D" w:rsidRPr="002D2A0A">
              <w:rPr>
                <w:rFonts w:ascii="Arial" w:hAnsi="Arial" w:cs="Arial"/>
                <w:i/>
                <w:sz w:val="20"/>
                <w:szCs w:val="20"/>
              </w:rPr>
              <w:t>PDE</w:t>
            </w:r>
            <w:r w:rsidR="00AF191D" w:rsidRPr="002D2A0A">
              <w:rPr>
                <w:rFonts w:ascii="Arial" w:hAnsi="Arial" w:cs="Arial"/>
                <w:i/>
                <w:sz w:val="20"/>
                <w:szCs w:val="20"/>
              </w:rPr>
              <w:noBreakHyphen/>
              <w:t>5</w:t>
            </w:r>
            <w:r w:rsidRPr="002D2A0A">
              <w:rPr>
                <w:rFonts w:ascii="Arial" w:hAnsi="Arial" w:cs="Arial"/>
                <w:i/>
                <w:sz w:val="20"/>
                <w:szCs w:val="20"/>
              </w:rPr>
              <w:t xml:space="preserve">-inhibitors (such as sildenafil, tadalafil, or </w:t>
            </w:r>
            <w:proofErr w:type="spellStart"/>
            <w:r w:rsidRPr="002D2A0A">
              <w:rPr>
                <w:rFonts w:ascii="Arial" w:hAnsi="Arial" w:cs="Arial"/>
                <w:i/>
                <w:sz w:val="20"/>
                <w:szCs w:val="20"/>
              </w:rPr>
              <w:t>vardenafil</w:t>
            </w:r>
            <w:proofErr w:type="spellEnd"/>
            <w:r w:rsidRPr="002D2A0A">
              <w:rPr>
                <w:rFonts w:ascii="Arial" w:hAnsi="Arial" w:cs="Arial"/>
                <w:i/>
                <w:sz w:val="20"/>
                <w:szCs w:val="20"/>
              </w:rPr>
              <w:t xml:space="preserve">) or nonspecific PDE inhibitors (such as dipyridamole or theophylline) is contraindicated (see INTERACTIONS WITH OTHER MEDICINES, </w:t>
            </w:r>
            <w:proofErr w:type="spellStart"/>
            <w:r w:rsidRPr="002D2A0A">
              <w:rPr>
                <w:rFonts w:ascii="Arial" w:hAnsi="Arial" w:cs="Arial"/>
                <w:i/>
                <w:sz w:val="20"/>
                <w:szCs w:val="20"/>
              </w:rPr>
              <w:t>Pharmacodynamic</w:t>
            </w:r>
            <w:proofErr w:type="spellEnd"/>
            <w:r w:rsidRPr="002D2A0A">
              <w:rPr>
                <w:rFonts w:ascii="Arial" w:hAnsi="Arial" w:cs="Arial"/>
                <w:i/>
                <w:sz w:val="20"/>
                <w:szCs w:val="20"/>
              </w:rPr>
              <w:t xml:space="preserve"> Interactions).</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PRECAUTIONS: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The efficacy and safety of riociguat when co-administered with epoprostenol has not been established.</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INTERACTIONS WITH OTHER MEDICINES: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Pharmacokinetic Interactions – Bosentan, reported to be a moderate inducer of CYP3A4, led to a decrease of riociguat steady-state plasma concentrations in PAH patients by 27% without compromising the efficacy of the combination (see INDICATIONS and CLINICAL TRIALS, Treatment of Pulmonary Arterial Hypertension).</w:t>
            </w:r>
          </w:p>
          <w:p w:rsidR="00064D19" w:rsidRPr="002D2A0A" w:rsidRDefault="00064D19" w:rsidP="00121658">
            <w:pPr>
              <w:spacing w:before="0" w:line="240" w:lineRule="auto"/>
              <w:jc w:val="left"/>
              <w:rPr>
                <w:rFonts w:ascii="Arial" w:hAnsi="Arial" w:cs="Arial"/>
                <w:i/>
                <w:sz w:val="20"/>
                <w:szCs w:val="20"/>
              </w:rPr>
            </w:pPr>
            <w:proofErr w:type="spellStart"/>
            <w:r w:rsidRPr="002D2A0A">
              <w:rPr>
                <w:rFonts w:ascii="Arial" w:hAnsi="Arial" w:cs="Arial"/>
                <w:i/>
                <w:sz w:val="20"/>
                <w:szCs w:val="20"/>
              </w:rPr>
              <w:t>Pharmacodynamic</w:t>
            </w:r>
            <w:proofErr w:type="spellEnd"/>
            <w:r w:rsidRPr="002D2A0A">
              <w:rPr>
                <w:rFonts w:ascii="Arial" w:hAnsi="Arial" w:cs="Arial"/>
                <w:i/>
                <w:sz w:val="20"/>
                <w:szCs w:val="20"/>
              </w:rPr>
              <w:t xml:space="preserve"> Interactions – PDE inhibitors</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Riociguat and </w:t>
            </w:r>
            <w:r w:rsidR="00AF191D" w:rsidRPr="002D2A0A">
              <w:rPr>
                <w:rFonts w:ascii="Arial" w:hAnsi="Arial" w:cs="Arial"/>
                <w:i/>
                <w:sz w:val="20"/>
                <w:szCs w:val="20"/>
              </w:rPr>
              <w:t>PDE</w:t>
            </w:r>
            <w:r w:rsidR="00AF191D" w:rsidRPr="002D2A0A">
              <w:rPr>
                <w:rFonts w:ascii="Arial" w:hAnsi="Arial" w:cs="Arial"/>
                <w:i/>
                <w:sz w:val="20"/>
                <w:szCs w:val="20"/>
              </w:rPr>
              <w:noBreakHyphen/>
              <w:t>5</w:t>
            </w:r>
            <w:r w:rsidRPr="002D2A0A">
              <w:rPr>
                <w:rFonts w:ascii="Arial" w:hAnsi="Arial" w:cs="Arial"/>
                <w:i/>
                <w:sz w:val="20"/>
                <w:szCs w:val="20"/>
              </w:rPr>
              <w:t>-inhibitors are modulators of intra-cellular cGMP through different modes of action, but both act as vasodilators clinically. When cGMP is elevated by combining both principles, an additive effect on systemic blood pressure is anticipated (see CONTRAINDICATIONS).</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Preclinical studies in animal models showed additive systemic blood pressure lowering effect when riociguat was combined with either sildenafil or </w:t>
            </w:r>
            <w:proofErr w:type="spellStart"/>
            <w:r w:rsidRPr="002D2A0A">
              <w:rPr>
                <w:rFonts w:ascii="Arial" w:hAnsi="Arial" w:cs="Arial"/>
                <w:i/>
                <w:sz w:val="20"/>
                <w:szCs w:val="20"/>
              </w:rPr>
              <w:t>vardenafil</w:t>
            </w:r>
            <w:proofErr w:type="spellEnd"/>
            <w:r w:rsidRPr="002D2A0A">
              <w:rPr>
                <w:rFonts w:ascii="Arial" w:hAnsi="Arial" w:cs="Arial"/>
                <w:i/>
                <w:sz w:val="20"/>
                <w:szCs w:val="20"/>
              </w:rPr>
              <w:t>. With increased doses, over additive effects on systemic blood pressure were observed in some cases.</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 some patients, concomitant use of these two medicine classes can lower blood pressure significantly leading to symptomatic hypotension (see CONTRAINDICATIONS).</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 an exploratory interaction study in 7 patients with PAH on stable sildenafil treatment (20 mg three times daily) and single doses of riociguat (0.5 mg and 1 mg sequentially) showed additive haemodynamic effects. Doses above 1 mg riociguat were not investigated in this study.</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A 12 week combination study in 18 patients with PAH on stable sildenafil treatment (20 mg three times daily) and riociguat (1.0 mg – 2.5 mg three times daily) compared to sildenafil alone was performed. In the long term extension part (non-controlled) the concomitant use of sildenafil and riociguat resulted in a high rate of discontinuation, predominately due to hypotension. There was no evidence of a favourable clinical effect of the combination in the population studied.</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Concomitant administration of </w:t>
            </w:r>
            <w:proofErr w:type="spellStart"/>
            <w:r w:rsidR="00060C26" w:rsidRPr="002D2A0A">
              <w:rPr>
                <w:rFonts w:ascii="Arial" w:hAnsi="Arial" w:cs="Arial"/>
                <w:i/>
                <w:sz w:val="20"/>
                <w:szCs w:val="20"/>
              </w:rPr>
              <w:t>Adempas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xml:space="preserve"> with </w:t>
            </w:r>
            <w:r w:rsidR="00AF191D" w:rsidRPr="002D2A0A">
              <w:rPr>
                <w:rFonts w:ascii="Arial" w:hAnsi="Arial" w:cs="Arial"/>
                <w:i/>
                <w:sz w:val="20"/>
                <w:szCs w:val="20"/>
              </w:rPr>
              <w:t>PDE</w:t>
            </w:r>
            <w:r w:rsidR="00AF191D" w:rsidRPr="002D2A0A">
              <w:rPr>
                <w:rFonts w:ascii="Arial" w:hAnsi="Arial" w:cs="Arial"/>
                <w:i/>
                <w:sz w:val="20"/>
                <w:szCs w:val="20"/>
              </w:rPr>
              <w:noBreakHyphen/>
              <w:t>5</w:t>
            </w:r>
            <w:r w:rsidRPr="002D2A0A">
              <w:rPr>
                <w:rFonts w:ascii="Arial" w:hAnsi="Arial" w:cs="Arial"/>
                <w:i/>
                <w:sz w:val="20"/>
                <w:szCs w:val="20"/>
              </w:rPr>
              <w:t xml:space="preserve">-inhibitors (such as sildenafil, tadalafil, </w:t>
            </w:r>
            <w:proofErr w:type="spellStart"/>
            <w:r w:rsidRPr="002D2A0A">
              <w:rPr>
                <w:rFonts w:ascii="Arial" w:hAnsi="Arial" w:cs="Arial"/>
                <w:i/>
                <w:sz w:val="20"/>
                <w:szCs w:val="20"/>
              </w:rPr>
              <w:t>vardenafil</w:t>
            </w:r>
            <w:proofErr w:type="spellEnd"/>
            <w:r w:rsidRPr="002D2A0A">
              <w:rPr>
                <w:rFonts w:ascii="Arial" w:hAnsi="Arial" w:cs="Arial"/>
                <w:i/>
                <w:sz w:val="20"/>
                <w:szCs w:val="20"/>
              </w:rPr>
              <w:t xml:space="preserve">) or non-specific PDE inhibitors (such as </w:t>
            </w:r>
            <w:proofErr w:type="spellStart"/>
            <w:r w:rsidRPr="002D2A0A">
              <w:rPr>
                <w:rFonts w:ascii="Arial" w:hAnsi="Arial" w:cs="Arial"/>
                <w:i/>
                <w:sz w:val="20"/>
                <w:szCs w:val="20"/>
              </w:rPr>
              <w:t>dypyridamole</w:t>
            </w:r>
            <w:proofErr w:type="spellEnd"/>
            <w:r w:rsidRPr="002D2A0A">
              <w:rPr>
                <w:rFonts w:ascii="Arial" w:hAnsi="Arial" w:cs="Arial"/>
                <w:i/>
                <w:sz w:val="20"/>
                <w:szCs w:val="20"/>
              </w:rPr>
              <w:t xml:space="preserve"> or theophylline) is contraindicated (see CONTRAINDICATIONS).</w:t>
            </w:r>
          </w:p>
        </w:tc>
      </w:tr>
      <w:tr w:rsidR="00064D19" w:rsidRPr="002D2A0A" w:rsidTr="00064D19">
        <w:trPr>
          <w:cantSplit/>
        </w:trPr>
        <w:tc>
          <w:tcPr>
            <w:tcW w:w="419" w:type="pct"/>
            <w:shd w:val="clear" w:color="auto" w:fill="auto"/>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Epoprostenol</w:t>
            </w:r>
          </w:p>
        </w:tc>
        <w:tc>
          <w:tcPr>
            <w:tcW w:w="321" w:type="pct"/>
          </w:tcPr>
          <w:p w:rsidR="00064D19" w:rsidRPr="002D2A0A" w:rsidRDefault="00060C26" w:rsidP="00121658">
            <w:pPr>
              <w:spacing w:before="0" w:line="240" w:lineRule="auto"/>
              <w:jc w:val="left"/>
              <w:rPr>
                <w:rFonts w:ascii="Arial" w:hAnsi="Arial" w:cs="Arial"/>
                <w:sz w:val="20"/>
                <w:szCs w:val="20"/>
              </w:rPr>
            </w:pPr>
            <w:r w:rsidRPr="002D2A0A">
              <w:rPr>
                <w:rFonts w:ascii="Arial" w:hAnsi="Arial" w:cs="Arial"/>
                <w:sz w:val="20"/>
                <w:szCs w:val="20"/>
              </w:rPr>
              <w:t>Flolan</w:t>
            </w:r>
            <w:r w:rsidR="00252749" w:rsidRPr="002D2A0A">
              <w:rPr>
                <w:rFonts w:ascii="Arial" w:hAnsi="Arial" w:cs="Arial"/>
                <w:sz w:val="20"/>
                <w:szCs w:val="20"/>
                <w:vertAlign w:val="superscript"/>
              </w:rPr>
              <w:t>®</w:t>
            </w:r>
          </w:p>
        </w:tc>
        <w:tc>
          <w:tcPr>
            <w:tcW w:w="401" w:type="pct"/>
          </w:tcPr>
          <w:p w:rsidR="00064D19" w:rsidRPr="002D2A0A" w:rsidRDefault="00064D19" w:rsidP="00121658">
            <w:pPr>
              <w:spacing w:before="0" w:line="240" w:lineRule="auto"/>
              <w:jc w:val="left"/>
              <w:rPr>
                <w:rFonts w:ascii="Arial" w:hAnsi="Arial" w:cs="Arial"/>
                <w:sz w:val="20"/>
                <w:szCs w:val="20"/>
                <w:highlight w:val="yellow"/>
              </w:rPr>
            </w:pPr>
            <w:r w:rsidRPr="002D2A0A">
              <w:rPr>
                <w:rFonts w:ascii="Arial" w:hAnsi="Arial" w:cs="Arial"/>
                <w:sz w:val="20"/>
                <w:szCs w:val="20"/>
              </w:rPr>
              <w:t>3 February 2016</w:t>
            </w:r>
          </w:p>
        </w:tc>
        <w:tc>
          <w:tcPr>
            <w:tcW w:w="3859" w:type="pct"/>
            <w:shd w:val="clear" w:color="auto" w:fill="auto"/>
            <w:vAlign w:val="center"/>
          </w:tcPr>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sz w:val="20"/>
                <w:szCs w:val="20"/>
              </w:rPr>
              <w:t xml:space="preserve">The PI contains no recommendations or warnings about use of epoprostenol with other </w:t>
            </w:r>
            <w:r w:rsidR="00F95235" w:rsidRPr="002D2A0A">
              <w:rPr>
                <w:rFonts w:ascii="Arial" w:hAnsi="Arial" w:cs="Arial"/>
                <w:sz w:val="20"/>
                <w:szCs w:val="20"/>
              </w:rPr>
              <w:t>PAH medicines</w:t>
            </w:r>
            <w:r w:rsidRPr="002D2A0A">
              <w:rPr>
                <w:rFonts w:ascii="Arial" w:hAnsi="Arial" w:cs="Arial"/>
                <w:sz w:val="20"/>
                <w:szCs w:val="20"/>
              </w:rPr>
              <w:t xml:space="preserve">. The only potentially relevant statement is in the PRECAUTIONS that </w:t>
            </w:r>
            <w:r w:rsidRPr="002D2A0A">
              <w:rPr>
                <w:rFonts w:ascii="Arial" w:hAnsi="Arial" w:cs="Arial"/>
                <w:i/>
                <w:sz w:val="20"/>
                <w:szCs w:val="20"/>
              </w:rPr>
              <w:t xml:space="preserve">“The vasodilator effects of </w:t>
            </w:r>
            <w:r w:rsidR="00060C26" w:rsidRPr="002D2A0A">
              <w:rPr>
                <w:rFonts w:ascii="Arial" w:hAnsi="Arial" w:cs="Arial"/>
                <w:i/>
                <w:sz w:val="20"/>
                <w:szCs w:val="20"/>
              </w:rPr>
              <w:t>FLOLAN</w:t>
            </w:r>
            <w:r w:rsidR="00252749" w:rsidRPr="002D2A0A">
              <w:rPr>
                <w:rFonts w:ascii="Arial" w:hAnsi="Arial" w:cs="Arial"/>
                <w:i/>
                <w:sz w:val="20"/>
                <w:szCs w:val="20"/>
                <w:vertAlign w:val="superscript"/>
              </w:rPr>
              <w:t>®</w:t>
            </w:r>
            <w:r w:rsidRPr="002D2A0A">
              <w:rPr>
                <w:rFonts w:ascii="Arial" w:hAnsi="Arial" w:cs="Arial"/>
                <w:i/>
                <w:sz w:val="20"/>
                <w:szCs w:val="20"/>
              </w:rPr>
              <w:t xml:space="preserve"> may augment or be augmented by concomitant use of other vasodilators.”</w:t>
            </w:r>
          </w:p>
        </w:tc>
      </w:tr>
      <w:tr w:rsidR="00064D19" w:rsidRPr="002D2A0A" w:rsidTr="00064D19">
        <w:trPr>
          <w:cantSplit/>
        </w:trPr>
        <w:tc>
          <w:tcPr>
            <w:tcW w:w="419" w:type="pct"/>
            <w:shd w:val="clear" w:color="auto" w:fill="auto"/>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Iloprost</w:t>
            </w:r>
          </w:p>
        </w:tc>
        <w:tc>
          <w:tcPr>
            <w:tcW w:w="321" w:type="pct"/>
          </w:tcPr>
          <w:p w:rsidR="00064D19" w:rsidRPr="002D2A0A" w:rsidRDefault="00060C26" w:rsidP="00121658">
            <w:pPr>
              <w:spacing w:before="0" w:line="240" w:lineRule="auto"/>
              <w:jc w:val="left"/>
              <w:rPr>
                <w:rFonts w:ascii="Arial" w:hAnsi="Arial" w:cs="Arial"/>
                <w:i/>
                <w:sz w:val="20"/>
                <w:szCs w:val="20"/>
                <w:highlight w:val="yellow"/>
              </w:rPr>
            </w:pPr>
            <w:proofErr w:type="spellStart"/>
            <w:r w:rsidRPr="002D2A0A">
              <w:rPr>
                <w:rFonts w:ascii="Arial" w:hAnsi="Arial" w:cs="Arial"/>
                <w:sz w:val="20"/>
                <w:szCs w:val="20"/>
              </w:rPr>
              <w:t>Ventavis</w:t>
            </w:r>
            <w:proofErr w:type="spellEnd"/>
            <w:r w:rsidR="00252749" w:rsidRPr="002D2A0A">
              <w:rPr>
                <w:rFonts w:ascii="Arial" w:hAnsi="Arial" w:cs="Arial"/>
                <w:sz w:val="20"/>
                <w:szCs w:val="20"/>
                <w:vertAlign w:val="superscript"/>
              </w:rPr>
              <w:t>®</w:t>
            </w:r>
          </w:p>
        </w:tc>
        <w:tc>
          <w:tcPr>
            <w:tcW w:w="401" w:type="pct"/>
          </w:tcPr>
          <w:p w:rsidR="00064D19" w:rsidRPr="002D2A0A" w:rsidRDefault="00064D19" w:rsidP="00121658">
            <w:pPr>
              <w:spacing w:before="0" w:line="240" w:lineRule="auto"/>
              <w:jc w:val="left"/>
              <w:rPr>
                <w:rFonts w:ascii="Arial" w:hAnsi="Arial" w:cs="Arial"/>
                <w:sz w:val="20"/>
                <w:szCs w:val="20"/>
                <w:highlight w:val="yellow"/>
              </w:rPr>
            </w:pPr>
            <w:r w:rsidRPr="002D2A0A">
              <w:rPr>
                <w:rFonts w:ascii="Arial" w:hAnsi="Arial" w:cs="Arial"/>
                <w:sz w:val="20"/>
                <w:szCs w:val="20"/>
              </w:rPr>
              <w:t>16 June 2017</w:t>
            </w:r>
          </w:p>
        </w:tc>
        <w:tc>
          <w:tcPr>
            <w:tcW w:w="3859" w:type="pct"/>
            <w:shd w:val="clear" w:color="auto" w:fill="auto"/>
            <w:vAlign w:val="center"/>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INTERACTIONS WITH OTHER MEDICINES</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 xml:space="preserve">Iloprost may increase the antihypertensive effect of vasodilating and antihypertensive agents. Caution is recommended in case of co-administration of </w:t>
            </w:r>
            <w:proofErr w:type="spellStart"/>
            <w:r w:rsidR="00060C26" w:rsidRPr="002D2A0A">
              <w:rPr>
                <w:rFonts w:ascii="Arial" w:hAnsi="Arial" w:cs="Arial"/>
                <w:i/>
                <w:sz w:val="20"/>
                <w:szCs w:val="20"/>
              </w:rPr>
              <w:t>Ventavis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xml:space="preserve"> with vasodilating or antihypertensive agents as dose adjustment might be required.</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DOSAGE AND ADMINISTRATION:</w:t>
            </w:r>
          </w:p>
          <w:p w:rsidR="00064D19" w:rsidRPr="002D2A0A" w:rsidRDefault="00064D19" w:rsidP="00121658">
            <w:pPr>
              <w:spacing w:before="0" w:after="120" w:line="240" w:lineRule="auto"/>
              <w:jc w:val="left"/>
              <w:rPr>
                <w:rFonts w:ascii="Arial" w:hAnsi="Arial" w:cs="Arial"/>
                <w:i/>
                <w:sz w:val="20"/>
                <w:szCs w:val="20"/>
              </w:rPr>
            </w:pPr>
            <w:r w:rsidRPr="002D2A0A">
              <w:rPr>
                <w:rFonts w:ascii="Arial" w:hAnsi="Arial" w:cs="Arial"/>
                <w:i/>
                <w:sz w:val="20"/>
                <w:szCs w:val="20"/>
              </w:rPr>
              <w:t>Incompatibilities – In the absence of compatibility studies, this medicinal product must not be mixed with other medicinal products.</w:t>
            </w:r>
          </w:p>
        </w:tc>
      </w:tr>
    </w:tbl>
    <w:p w:rsidR="00064D19" w:rsidRPr="002D2A0A" w:rsidRDefault="00064D19" w:rsidP="00121658">
      <w:pPr>
        <w:pStyle w:val="Tablenote"/>
        <w:spacing w:after="0"/>
        <w:contextualSpacing w:val="0"/>
        <w:rPr>
          <w:rFonts w:ascii="Arial" w:hAnsi="Arial" w:cs="Arial"/>
        </w:rPr>
      </w:pPr>
      <w:r w:rsidRPr="002D2A0A">
        <w:rPr>
          <w:rFonts w:ascii="Arial" w:hAnsi="Arial" w:cs="Arial"/>
        </w:rPr>
        <w:t>Sourc</w:t>
      </w:r>
      <w:r w:rsidR="00065081" w:rsidRPr="002D2A0A">
        <w:rPr>
          <w:rFonts w:ascii="Arial" w:hAnsi="Arial" w:cs="Arial"/>
        </w:rPr>
        <w:t>e: Relevant product information</w:t>
      </w:r>
    </w:p>
    <w:p w:rsidR="00064D19" w:rsidRPr="002D2A0A" w:rsidRDefault="00064D19" w:rsidP="00121658">
      <w:pPr>
        <w:jc w:val="left"/>
        <w:rPr>
          <w:rFonts w:ascii="Arial" w:eastAsia="Times New Roman" w:hAnsi="Arial" w:cs="Arial"/>
          <w:b/>
          <w:bCs/>
          <w:szCs w:val="18"/>
        </w:rPr>
      </w:pPr>
      <w:r w:rsidRPr="002D2A0A">
        <w:rPr>
          <w:rFonts w:ascii="Arial" w:hAnsi="Arial" w:cs="Arial"/>
        </w:rPr>
        <w:br w:type="page"/>
      </w:r>
    </w:p>
    <w:p w:rsidR="00064D19" w:rsidRPr="002D2A0A" w:rsidRDefault="00F275ED" w:rsidP="002D2A0A">
      <w:pPr>
        <w:pStyle w:val="Caption"/>
        <w:ind w:left="0" w:firstLine="0"/>
        <w:jc w:val="left"/>
        <w:rPr>
          <w:rFonts w:cs="Arial"/>
        </w:rPr>
      </w:pPr>
      <w:bookmarkStart w:id="324" w:name="_Ref508899385"/>
      <w:bookmarkStart w:id="325" w:name="_Toc502867740"/>
      <w:bookmarkStart w:id="326" w:name="_Toc513107647"/>
      <w:r w:rsidRPr="002D2A0A">
        <w:rPr>
          <w:rFonts w:cs="Arial"/>
        </w:rPr>
        <w:t>Table 1.</w:t>
      </w:r>
      <w:r w:rsidR="00D63371">
        <w:rPr>
          <w:rFonts w:cs="Arial"/>
          <w:noProof/>
        </w:rPr>
        <w:t>21</w:t>
      </w:r>
      <w:bookmarkEnd w:id="324"/>
      <w:r w:rsidRPr="002D2A0A">
        <w:rPr>
          <w:rFonts w:cs="Arial"/>
        </w:rPr>
        <w:tab/>
      </w:r>
      <w:r w:rsidR="00064D19" w:rsidRPr="002D2A0A">
        <w:rPr>
          <w:rFonts w:cs="Arial"/>
        </w:rPr>
        <w:t>PAH medicines – paediatric use instructions and warnings</w:t>
      </w:r>
      <w:bookmarkEnd w:id="325"/>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AH medicines – paediatric use instructions and warnings"/>
      </w:tblPr>
      <w:tblGrid>
        <w:gridCol w:w="2141"/>
        <w:gridCol w:w="1615"/>
        <w:gridCol w:w="1733"/>
        <w:gridCol w:w="9297"/>
      </w:tblGrid>
      <w:tr w:rsidR="00064D19" w:rsidRPr="002D2A0A" w:rsidTr="00064D19">
        <w:trPr>
          <w:tblHeader/>
        </w:trPr>
        <w:tc>
          <w:tcPr>
            <w:tcW w:w="724" w:type="pct"/>
            <w:shd w:val="clear" w:color="auto" w:fill="BFBFBF" w:themeFill="background1" w:themeFillShade="BF"/>
            <w:vAlign w:val="center"/>
          </w:tcPr>
          <w:p w:rsidR="00064D19" w:rsidRPr="002D2A0A" w:rsidRDefault="00064D19" w:rsidP="00121658">
            <w:pPr>
              <w:spacing w:before="0" w:line="240" w:lineRule="auto"/>
              <w:jc w:val="left"/>
              <w:rPr>
                <w:rFonts w:ascii="Arial" w:hAnsi="Arial" w:cs="Arial"/>
                <w:b/>
                <w:caps/>
                <w:color w:val="000000"/>
                <w:spacing w:val="5"/>
                <w:kern w:val="28"/>
                <w:sz w:val="20"/>
                <w:szCs w:val="20"/>
                <w:lang w:val="en-US"/>
              </w:rPr>
            </w:pPr>
            <w:r w:rsidRPr="002D2A0A">
              <w:rPr>
                <w:rFonts w:ascii="Arial" w:hAnsi="Arial" w:cs="Arial"/>
                <w:b/>
                <w:sz w:val="20"/>
                <w:szCs w:val="20"/>
              </w:rPr>
              <w:t>Medicine</w:t>
            </w:r>
          </w:p>
        </w:tc>
        <w:tc>
          <w:tcPr>
            <w:tcW w:w="546" w:type="pct"/>
            <w:shd w:val="clear" w:color="auto" w:fill="BFBFBF" w:themeFill="background1" w:themeFillShade="BF"/>
            <w:vAlign w:val="center"/>
          </w:tcPr>
          <w:p w:rsidR="00064D19" w:rsidRPr="002D2A0A" w:rsidRDefault="00064D19" w:rsidP="00121658">
            <w:pPr>
              <w:spacing w:before="0" w:line="240" w:lineRule="auto"/>
              <w:jc w:val="left"/>
              <w:rPr>
                <w:rFonts w:ascii="Arial" w:hAnsi="Arial" w:cs="Arial"/>
                <w:b/>
                <w:sz w:val="20"/>
                <w:szCs w:val="20"/>
              </w:rPr>
            </w:pPr>
            <w:r w:rsidRPr="002D2A0A">
              <w:rPr>
                <w:rFonts w:ascii="Arial" w:hAnsi="Arial" w:cs="Arial"/>
                <w:b/>
                <w:sz w:val="20"/>
                <w:szCs w:val="20"/>
              </w:rPr>
              <w:t>Brand</w:t>
            </w:r>
          </w:p>
        </w:tc>
        <w:tc>
          <w:tcPr>
            <w:tcW w:w="586" w:type="pct"/>
            <w:shd w:val="clear" w:color="auto" w:fill="BFBFBF" w:themeFill="background1" w:themeFillShade="BF"/>
            <w:vAlign w:val="center"/>
          </w:tcPr>
          <w:p w:rsidR="00064D19" w:rsidRPr="002D2A0A" w:rsidRDefault="00064D19" w:rsidP="00121658">
            <w:pPr>
              <w:spacing w:before="0" w:line="240" w:lineRule="auto"/>
              <w:jc w:val="left"/>
              <w:rPr>
                <w:rFonts w:ascii="Arial" w:hAnsi="Arial" w:cs="Arial"/>
                <w:b/>
                <w:sz w:val="20"/>
                <w:szCs w:val="20"/>
              </w:rPr>
            </w:pPr>
            <w:r w:rsidRPr="002D2A0A">
              <w:rPr>
                <w:rFonts w:ascii="Arial" w:hAnsi="Arial" w:cs="Arial"/>
                <w:b/>
                <w:sz w:val="20"/>
                <w:szCs w:val="20"/>
              </w:rPr>
              <w:t>PI Version Date</w:t>
            </w:r>
          </w:p>
        </w:tc>
        <w:tc>
          <w:tcPr>
            <w:tcW w:w="3143" w:type="pct"/>
            <w:shd w:val="clear" w:color="auto" w:fill="BFBFBF" w:themeFill="background1" w:themeFillShade="BF"/>
            <w:vAlign w:val="center"/>
          </w:tcPr>
          <w:p w:rsidR="00064D19" w:rsidRPr="002D2A0A" w:rsidRDefault="00064D19" w:rsidP="00121658">
            <w:pPr>
              <w:spacing w:before="0" w:line="240" w:lineRule="auto"/>
              <w:jc w:val="left"/>
              <w:rPr>
                <w:rFonts w:ascii="Arial" w:hAnsi="Arial" w:cs="Arial"/>
                <w:b/>
                <w:sz w:val="20"/>
                <w:szCs w:val="20"/>
              </w:rPr>
            </w:pPr>
            <w:r w:rsidRPr="002D2A0A">
              <w:rPr>
                <w:rFonts w:ascii="Arial" w:hAnsi="Arial" w:cs="Arial"/>
                <w:b/>
                <w:sz w:val="20"/>
                <w:szCs w:val="20"/>
              </w:rPr>
              <w:t>Paediatric Use Instructions</w:t>
            </w:r>
          </w:p>
        </w:tc>
      </w:tr>
      <w:tr w:rsidR="00064D19" w:rsidRPr="002D2A0A" w:rsidTr="00C978EB">
        <w:tc>
          <w:tcPr>
            <w:tcW w:w="724" w:type="pct"/>
            <w:shd w:val="clear" w:color="auto" w:fill="auto"/>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Macitentan</w:t>
            </w:r>
          </w:p>
        </w:tc>
        <w:tc>
          <w:tcPr>
            <w:tcW w:w="546" w:type="pct"/>
            <w:vAlign w:val="center"/>
          </w:tcPr>
          <w:p w:rsidR="00064D19" w:rsidRPr="002D2A0A" w:rsidRDefault="00060C26" w:rsidP="00121658">
            <w:pPr>
              <w:spacing w:before="0" w:line="240" w:lineRule="auto"/>
              <w:jc w:val="left"/>
              <w:rPr>
                <w:rFonts w:ascii="Arial" w:hAnsi="Arial" w:cs="Arial"/>
                <w:sz w:val="20"/>
                <w:szCs w:val="20"/>
              </w:rPr>
            </w:pPr>
            <w:r w:rsidRPr="002D2A0A">
              <w:rPr>
                <w:rFonts w:ascii="Arial" w:hAnsi="Arial" w:cs="Arial"/>
                <w:sz w:val="20"/>
                <w:szCs w:val="20"/>
              </w:rPr>
              <w:t>Opsumit</w:t>
            </w:r>
            <w:r w:rsidR="00252749" w:rsidRPr="002D2A0A">
              <w:rPr>
                <w:rFonts w:ascii="Arial" w:hAnsi="Arial" w:cs="Arial"/>
                <w:sz w:val="20"/>
                <w:szCs w:val="20"/>
                <w:vertAlign w:val="superscript"/>
              </w:rPr>
              <w:t>®</w:t>
            </w:r>
          </w:p>
        </w:tc>
        <w:tc>
          <w:tcPr>
            <w:tcW w:w="586"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25 August 2016</w:t>
            </w:r>
          </w:p>
        </w:tc>
        <w:tc>
          <w:tcPr>
            <w:tcW w:w="3143" w:type="pct"/>
            <w:shd w:val="clear" w:color="auto" w:fill="auto"/>
            <w:vAlign w:val="center"/>
          </w:tcPr>
          <w:p w:rsidR="00064D19" w:rsidRPr="002D2A0A" w:rsidRDefault="00064D19" w:rsidP="00121658">
            <w:pPr>
              <w:spacing w:before="0" w:after="240" w:line="240" w:lineRule="auto"/>
              <w:jc w:val="left"/>
              <w:rPr>
                <w:rFonts w:ascii="Arial" w:hAnsi="Arial" w:cs="Arial"/>
                <w:i/>
                <w:sz w:val="20"/>
                <w:szCs w:val="20"/>
              </w:rPr>
            </w:pPr>
            <w:r w:rsidRPr="002D2A0A">
              <w:rPr>
                <w:rFonts w:ascii="Arial" w:hAnsi="Arial" w:cs="Arial"/>
                <w:i/>
                <w:sz w:val="20"/>
                <w:szCs w:val="20"/>
              </w:rPr>
              <w:t xml:space="preserve">PRECAUTIONS: Paediatric population – The safety and efficacy of </w:t>
            </w:r>
            <w:r w:rsidR="00060C26" w:rsidRPr="002D2A0A">
              <w:rPr>
                <w:rFonts w:ascii="Arial" w:hAnsi="Arial" w:cs="Arial"/>
                <w:i/>
                <w:sz w:val="20"/>
                <w:szCs w:val="20"/>
              </w:rPr>
              <w:t>OPSUMIT</w:t>
            </w:r>
            <w:r w:rsidR="00252749" w:rsidRPr="002D2A0A">
              <w:rPr>
                <w:rFonts w:ascii="Arial" w:hAnsi="Arial" w:cs="Arial"/>
                <w:i/>
                <w:sz w:val="20"/>
                <w:szCs w:val="20"/>
                <w:vertAlign w:val="superscript"/>
              </w:rPr>
              <w:t>®</w:t>
            </w:r>
            <w:r w:rsidRPr="002D2A0A">
              <w:rPr>
                <w:rFonts w:ascii="Arial" w:hAnsi="Arial" w:cs="Arial"/>
                <w:i/>
                <w:sz w:val="20"/>
                <w:szCs w:val="20"/>
              </w:rPr>
              <w:t xml:space="preserve"> in children below the age of 12 years have not yet been established. There is no data available on the effects of macitentan on growth and development in paediatric patients. There is limited clinical experience in paediatric patien</w:t>
            </w:r>
            <w:r w:rsidR="00007DB7" w:rsidRPr="002D2A0A">
              <w:rPr>
                <w:rFonts w:ascii="Arial" w:hAnsi="Arial" w:cs="Arial"/>
                <w:i/>
                <w:sz w:val="20"/>
                <w:szCs w:val="20"/>
              </w:rPr>
              <w:t>ts aged 12 and above.</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DOSAGE AND ADMINISTRATION: Dosage adjustment in paediatric population – There is limited clinical experience in paediatric patients aged 12 and above therefore caution is advised; the recommended dose is 10 mg once daily in patients aged 12 and above and with body weight &gt; 40kg. The safety and efficacy of </w:t>
            </w:r>
            <w:r w:rsidR="00060C26" w:rsidRPr="002D2A0A">
              <w:rPr>
                <w:rFonts w:ascii="Arial" w:hAnsi="Arial" w:cs="Arial"/>
                <w:i/>
                <w:sz w:val="20"/>
                <w:szCs w:val="20"/>
              </w:rPr>
              <w:t>OPSUMIT</w:t>
            </w:r>
            <w:r w:rsidR="00252749" w:rsidRPr="002D2A0A">
              <w:rPr>
                <w:rFonts w:ascii="Arial" w:hAnsi="Arial" w:cs="Arial"/>
                <w:i/>
                <w:sz w:val="20"/>
                <w:szCs w:val="20"/>
                <w:vertAlign w:val="superscript"/>
              </w:rPr>
              <w:t>®</w:t>
            </w:r>
            <w:r w:rsidRPr="002D2A0A">
              <w:rPr>
                <w:rFonts w:ascii="Arial" w:hAnsi="Arial" w:cs="Arial"/>
                <w:i/>
                <w:sz w:val="20"/>
                <w:szCs w:val="20"/>
              </w:rPr>
              <w:t xml:space="preserve"> in children below the age of 12 years</w:t>
            </w:r>
            <w:r w:rsidR="00007DB7" w:rsidRPr="002D2A0A">
              <w:rPr>
                <w:rFonts w:ascii="Arial" w:hAnsi="Arial" w:cs="Arial"/>
                <w:i/>
                <w:sz w:val="20"/>
                <w:szCs w:val="20"/>
              </w:rPr>
              <w:t xml:space="preserve"> have not yet been established.</w:t>
            </w:r>
          </w:p>
        </w:tc>
      </w:tr>
      <w:tr w:rsidR="00064D19" w:rsidRPr="002D2A0A" w:rsidTr="00C978EB">
        <w:tc>
          <w:tcPr>
            <w:tcW w:w="724"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Bosentan</w:t>
            </w:r>
          </w:p>
        </w:tc>
        <w:tc>
          <w:tcPr>
            <w:tcW w:w="546" w:type="pct"/>
            <w:vAlign w:val="center"/>
          </w:tcPr>
          <w:p w:rsidR="00064D19" w:rsidRPr="002D2A0A" w:rsidRDefault="00060C26" w:rsidP="00121658">
            <w:pPr>
              <w:spacing w:before="0" w:line="240" w:lineRule="auto"/>
              <w:jc w:val="left"/>
              <w:rPr>
                <w:rFonts w:ascii="Arial" w:hAnsi="Arial" w:cs="Arial"/>
                <w:sz w:val="20"/>
                <w:szCs w:val="20"/>
              </w:rPr>
            </w:pPr>
            <w:r w:rsidRPr="002D2A0A">
              <w:rPr>
                <w:rFonts w:ascii="Arial" w:hAnsi="Arial" w:cs="Arial"/>
                <w:sz w:val="20"/>
                <w:szCs w:val="20"/>
              </w:rPr>
              <w:t>Tracleer</w:t>
            </w:r>
            <w:r w:rsidR="00252749" w:rsidRPr="002D2A0A">
              <w:rPr>
                <w:rFonts w:ascii="Arial" w:hAnsi="Arial" w:cs="Arial"/>
                <w:sz w:val="20"/>
                <w:szCs w:val="20"/>
                <w:vertAlign w:val="superscript"/>
              </w:rPr>
              <w:t>®</w:t>
            </w:r>
            <w:r w:rsidR="00064D19" w:rsidRPr="002D2A0A">
              <w:rPr>
                <w:rFonts w:ascii="Arial" w:hAnsi="Arial" w:cs="Arial"/>
                <w:sz w:val="20"/>
                <w:szCs w:val="20"/>
              </w:rPr>
              <w:t xml:space="preserve"> </w:t>
            </w:r>
          </w:p>
        </w:tc>
        <w:tc>
          <w:tcPr>
            <w:tcW w:w="586"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15 February 2016</w:t>
            </w:r>
          </w:p>
        </w:tc>
        <w:tc>
          <w:tcPr>
            <w:tcW w:w="3143" w:type="pct"/>
            <w:vAlign w:val="center"/>
          </w:tcPr>
          <w:p w:rsidR="00064D19" w:rsidRPr="002D2A0A" w:rsidRDefault="00064D19" w:rsidP="00121658">
            <w:pPr>
              <w:spacing w:before="0" w:after="240" w:line="240" w:lineRule="auto"/>
              <w:jc w:val="left"/>
              <w:rPr>
                <w:rFonts w:ascii="Arial" w:hAnsi="Arial" w:cs="Arial"/>
                <w:i/>
                <w:sz w:val="20"/>
                <w:szCs w:val="20"/>
              </w:rPr>
            </w:pPr>
            <w:r w:rsidRPr="002D2A0A">
              <w:rPr>
                <w:rFonts w:ascii="Arial" w:hAnsi="Arial" w:cs="Arial"/>
                <w:i/>
                <w:sz w:val="20"/>
                <w:szCs w:val="20"/>
              </w:rPr>
              <w:t xml:space="preserve">PRECAUTIONS: Paediatric Use – Various doses of </w:t>
            </w:r>
            <w:r w:rsidR="00060C26" w:rsidRPr="002D2A0A">
              <w:rPr>
                <w:rFonts w:ascii="Arial" w:hAnsi="Arial" w:cs="Arial"/>
                <w:i/>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have been assessed in a clinical study in paediatric patients with PPH or PAH related to congenital systemic to pulmonary communications, either as monotherapy or combined with epoprostenol (see CLINICAL TRIALS). The results indicate that the doses used were effective and appropriate in terms of safety and pharmacokinetics (see DOSAGE AND ADMINISTRATION – Dosage Adjustment in Children).</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DOSAGE AND ADMINISTRATION: Dosage Adjustment in Children – There is limited experience with the use of </w:t>
            </w:r>
            <w:r w:rsidR="00060C26" w:rsidRPr="002D2A0A">
              <w:rPr>
                <w:rFonts w:ascii="Arial" w:hAnsi="Arial" w:cs="Arial"/>
                <w:i/>
                <w:sz w:val="20"/>
                <w:szCs w:val="20"/>
              </w:rPr>
              <w:t>TRACLEER</w:t>
            </w:r>
            <w:r w:rsidR="00252749" w:rsidRPr="002D2A0A">
              <w:rPr>
                <w:rFonts w:ascii="Arial" w:hAnsi="Arial" w:cs="Arial"/>
                <w:i/>
                <w:sz w:val="20"/>
                <w:szCs w:val="20"/>
                <w:vertAlign w:val="superscript"/>
              </w:rPr>
              <w:t>®®</w:t>
            </w:r>
            <w:r w:rsidRPr="002D2A0A">
              <w:rPr>
                <w:rFonts w:ascii="Arial" w:hAnsi="Arial" w:cs="Arial"/>
                <w:i/>
                <w:sz w:val="20"/>
                <w:szCs w:val="20"/>
              </w:rPr>
              <w:t xml:space="preserve"> in children based on a pharmacokinetic study conducted in 19 children with PAH (see PHARMACOKINETICS and CLINICAL TRIALS). The pharmacokinetic findings showed that systemic exposure in children with PAH was lower than in adults with PAH. Although the number of patients studied in each dose group was generally insufficient to establish the optimal dosing regimen, the following doses are recommended in children aged 3 years and over: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ed dose of bosentan for children aged 3 years and over"/>
            </w:tblPr>
            <w:tblGrid>
              <w:gridCol w:w="2995"/>
              <w:gridCol w:w="3011"/>
              <w:gridCol w:w="3075"/>
            </w:tblGrid>
            <w:tr w:rsidR="00064D19" w:rsidRPr="002D2A0A" w:rsidTr="00064D19">
              <w:trPr>
                <w:cnfStyle w:val="100000000000" w:firstRow="1" w:lastRow="0" w:firstColumn="0" w:lastColumn="0" w:oddVBand="0" w:evenVBand="0" w:oddHBand="0" w:evenHBand="0" w:firstRowFirstColumn="0" w:firstRowLastColumn="0" w:lastRowFirstColumn="0" w:lastRowLastColumn="0"/>
              </w:trPr>
              <w:tc>
                <w:tcPr>
                  <w:tcW w:w="3383" w:type="dxa"/>
                </w:tcPr>
                <w:p w:rsidR="00064D19" w:rsidRPr="002D2A0A" w:rsidRDefault="00064D19" w:rsidP="00121658">
                  <w:pPr>
                    <w:spacing w:before="0" w:line="240" w:lineRule="auto"/>
                    <w:jc w:val="left"/>
                    <w:rPr>
                      <w:rFonts w:ascii="Arial" w:hAnsi="Arial" w:cs="Arial"/>
                      <w:i/>
                      <w:sz w:val="20"/>
                      <w:szCs w:val="20"/>
                    </w:rPr>
                  </w:pPr>
                </w:p>
              </w:tc>
              <w:tc>
                <w:tcPr>
                  <w:tcW w:w="3383"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Starting dose (First 4 weeks)</w:t>
                  </w:r>
                </w:p>
              </w:tc>
              <w:tc>
                <w:tcPr>
                  <w:tcW w:w="3384"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Maintenance dose (Week 5 onwards)</w:t>
                  </w:r>
                </w:p>
              </w:tc>
            </w:tr>
            <w:tr w:rsidR="00064D19" w:rsidRPr="002D2A0A" w:rsidTr="00C978EB">
              <w:tc>
                <w:tcPr>
                  <w:tcW w:w="3383"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Body weight 10 to 20 kg </w:t>
                  </w:r>
                </w:p>
              </w:tc>
              <w:tc>
                <w:tcPr>
                  <w:tcW w:w="3383"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31.25 mg ONCE daily </w:t>
                  </w:r>
                </w:p>
              </w:tc>
              <w:tc>
                <w:tcPr>
                  <w:tcW w:w="3384"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31.25 mg twice daily</w:t>
                  </w:r>
                </w:p>
              </w:tc>
            </w:tr>
            <w:tr w:rsidR="00064D19" w:rsidRPr="002D2A0A" w:rsidTr="00C978EB">
              <w:tc>
                <w:tcPr>
                  <w:tcW w:w="3383"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Body weight &gt;20 to 40 kg </w:t>
                  </w:r>
                </w:p>
              </w:tc>
              <w:tc>
                <w:tcPr>
                  <w:tcW w:w="3383"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31.25 mg twice daily </w:t>
                  </w:r>
                </w:p>
              </w:tc>
              <w:tc>
                <w:tcPr>
                  <w:tcW w:w="3384"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62.5 mg twice daily</w:t>
                  </w:r>
                </w:p>
              </w:tc>
            </w:tr>
            <w:tr w:rsidR="00064D19" w:rsidRPr="002D2A0A" w:rsidTr="00C978EB">
              <w:tc>
                <w:tcPr>
                  <w:tcW w:w="3383"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Body weight &gt;40 kg </w:t>
                  </w:r>
                </w:p>
              </w:tc>
              <w:tc>
                <w:tcPr>
                  <w:tcW w:w="3383" w:type="dxa"/>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62.5 mg twice daily</w:t>
                  </w:r>
                </w:p>
              </w:tc>
              <w:tc>
                <w:tcPr>
                  <w:tcW w:w="3384" w:type="dxa"/>
                </w:tcPr>
                <w:p w:rsidR="00064D19" w:rsidRPr="002D2A0A" w:rsidRDefault="000A5A60" w:rsidP="00121658">
                  <w:pPr>
                    <w:spacing w:before="0" w:line="240" w:lineRule="auto"/>
                    <w:jc w:val="left"/>
                    <w:rPr>
                      <w:rFonts w:ascii="Arial" w:hAnsi="Arial" w:cs="Arial"/>
                      <w:i/>
                      <w:sz w:val="20"/>
                      <w:szCs w:val="20"/>
                    </w:rPr>
                  </w:pPr>
                  <w:r w:rsidRPr="002D2A0A">
                    <w:rPr>
                      <w:rFonts w:ascii="Arial" w:hAnsi="Arial" w:cs="Arial"/>
                      <w:i/>
                      <w:sz w:val="20"/>
                      <w:szCs w:val="20"/>
                    </w:rPr>
                    <w:t>125 mg twice daily</w:t>
                  </w:r>
                </w:p>
              </w:tc>
            </w:tr>
          </w:tbl>
          <w:p w:rsidR="00064D19" w:rsidRPr="002D2A0A" w:rsidRDefault="00064D19" w:rsidP="00121658">
            <w:pPr>
              <w:spacing w:before="0" w:line="240" w:lineRule="auto"/>
              <w:jc w:val="left"/>
              <w:rPr>
                <w:rFonts w:ascii="Arial" w:hAnsi="Arial" w:cs="Arial"/>
                <w:i/>
                <w:sz w:val="20"/>
                <w:szCs w:val="20"/>
              </w:rPr>
            </w:pPr>
          </w:p>
        </w:tc>
      </w:tr>
      <w:tr w:rsidR="00064D19" w:rsidRPr="002D2A0A" w:rsidTr="00C978EB">
        <w:tc>
          <w:tcPr>
            <w:tcW w:w="724"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Ambrisentan</w:t>
            </w:r>
          </w:p>
        </w:tc>
        <w:tc>
          <w:tcPr>
            <w:tcW w:w="546" w:type="pct"/>
            <w:vAlign w:val="center"/>
          </w:tcPr>
          <w:p w:rsidR="00064D19" w:rsidRPr="002D2A0A" w:rsidRDefault="00777ACB" w:rsidP="00121658">
            <w:pPr>
              <w:spacing w:before="0" w:line="240" w:lineRule="auto"/>
              <w:jc w:val="left"/>
              <w:rPr>
                <w:rFonts w:ascii="Arial" w:hAnsi="Arial" w:cs="Arial"/>
                <w:sz w:val="20"/>
                <w:szCs w:val="20"/>
              </w:rPr>
            </w:pPr>
            <w:proofErr w:type="spellStart"/>
            <w:r w:rsidRPr="002D2A0A">
              <w:rPr>
                <w:rFonts w:ascii="Arial" w:hAnsi="Arial" w:cs="Arial"/>
                <w:sz w:val="20"/>
                <w:szCs w:val="20"/>
              </w:rPr>
              <w:t>Volibris</w:t>
            </w:r>
            <w:proofErr w:type="spellEnd"/>
            <w:r w:rsidR="00252749" w:rsidRPr="002D2A0A">
              <w:rPr>
                <w:rFonts w:ascii="Arial" w:hAnsi="Arial" w:cs="Arial"/>
                <w:sz w:val="20"/>
                <w:szCs w:val="20"/>
              </w:rPr>
              <w:t>®</w:t>
            </w:r>
          </w:p>
        </w:tc>
        <w:tc>
          <w:tcPr>
            <w:tcW w:w="586"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16 February 2016</w:t>
            </w:r>
          </w:p>
        </w:tc>
        <w:tc>
          <w:tcPr>
            <w:tcW w:w="3143" w:type="pct"/>
            <w:vAlign w:val="center"/>
          </w:tcPr>
          <w:p w:rsidR="00064D19" w:rsidRPr="002D2A0A" w:rsidRDefault="00064D19" w:rsidP="00121658">
            <w:pPr>
              <w:spacing w:before="0" w:after="240" w:line="240" w:lineRule="auto"/>
              <w:jc w:val="left"/>
              <w:rPr>
                <w:rFonts w:ascii="Arial" w:hAnsi="Arial" w:cs="Arial"/>
                <w:i/>
                <w:sz w:val="20"/>
                <w:szCs w:val="20"/>
              </w:rPr>
            </w:pPr>
            <w:r w:rsidRPr="002D2A0A">
              <w:rPr>
                <w:rFonts w:ascii="Arial" w:hAnsi="Arial" w:cs="Arial"/>
                <w:i/>
                <w:sz w:val="20"/>
                <w:szCs w:val="20"/>
              </w:rPr>
              <w:t>PRECAUTIONS: Children – Ambrisentan has not been studied in children. Refer to Dosage and Administration.</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DOSAGE AND ADMINISTRATION: Children – The safety and efficacy of </w:t>
            </w:r>
            <w:r w:rsidR="00777ACB" w:rsidRPr="002D2A0A">
              <w:rPr>
                <w:rFonts w:ascii="Arial" w:hAnsi="Arial" w:cs="Arial"/>
                <w:i/>
                <w:sz w:val="20"/>
                <w:szCs w:val="20"/>
              </w:rPr>
              <w:t>VOLIBRIS</w:t>
            </w:r>
            <w:r w:rsidR="00252749" w:rsidRPr="002D2A0A">
              <w:rPr>
                <w:rFonts w:ascii="Arial" w:hAnsi="Arial" w:cs="Arial"/>
                <w:i/>
                <w:sz w:val="20"/>
                <w:szCs w:val="20"/>
              </w:rPr>
              <w:t>®</w:t>
            </w:r>
            <w:r w:rsidRPr="002D2A0A">
              <w:rPr>
                <w:rFonts w:ascii="Arial" w:hAnsi="Arial" w:cs="Arial"/>
                <w:i/>
                <w:sz w:val="20"/>
                <w:szCs w:val="20"/>
              </w:rPr>
              <w:t xml:space="preserve"> have not been established in patients less than 18 years of age, and therefore its use in this age group is not re</w:t>
            </w:r>
            <w:r w:rsidR="000A5A60" w:rsidRPr="002D2A0A">
              <w:rPr>
                <w:rFonts w:ascii="Arial" w:hAnsi="Arial" w:cs="Arial"/>
                <w:i/>
                <w:sz w:val="20"/>
                <w:szCs w:val="20"/>
              </w:rPr>
              <w:t>commended.</w:t>
            </w:r>
          </w:p>
        </w:tc>
      </w:tr>
      <w:tr w:rsidR="00064D19" w:rsidRPr="002D2A0A" w:rsidTr="00C978EB">
        <w:tc>
          <w:tcPr>
            <w:tcW w:w="724"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Sildenafil</w:t>
            </w:r>
          </w:p>
        </w:tc>
        <w:tc>
          <w:tcPr>
            <w:tcW w:w="546" w:type="pct"/>
            <w:vAlign w:val="center"/>
          </w:tcPr>
          <w:p w:rsidR="00064D19" w:rsidRPr="002D2A0A" w:rsidRDefault="00060C26" w:rsidP="00121658">
            <w:pPr>
              <w:spacing w:before="0" w:line="240" w:lineRule="auto"/>
              <w:jc w:val="left"/>
              <w:rPr>
                <w:rFonts w:ascii="Arial" w:hAnsi="Arial" w:cs="Arial"/>
                <w:sz w:val="20"/>
                <w:szCs w:val="20"/>
              </w:rPr>
            </w:pPr>
            <w:proofErr w:type="spellStart"/>
            <w:r w:rsidRPr="002D2A0A">
              <w:rPr>
                <w:rFonts w:ascii="Arial" w:hAnsi="Arial" w:cs="Arial"/>
                <w:sz w:val="20"/>
                <w:szCs w:val="20"/>
              </w:rPr>
              <w:t>Revatio</w:t>
            </w:r>
            <w:proofErr w:type="spellEnd"/>
            <w:r w:rsidR="00252749" w:rsidRPr="002D2A0A">
              <w:rPr>
                <w:rFonts w:ascii="Arial" w:hAnsi="Arial" w:cs="Arial"/>
                <w:sz w:val="20"/>
                <w:szCs w:val="20"/>
                <w:vertAlign w:val="superscript"/>
              </w:rPr>
              <w:t>®</w:t>
            </w:r>
          </w:p>
        </w:tc>
        <w:tc>
          <w:tcPr>
            <w:tcW w:w="586"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21 December 2015</w:t>
            </w:r>
          </w:p>
        </w:tc>
        <w:tc>
          <w:tcPr>
            <w:tcW w:w="3143" w:type="pct"/>
            <w:vAlign w:val="center"/>
          </w:tcPr>
          <w:p w:rsidR="00064D19" w:rsidRPr="002D2A0A" w:rsidRDefault="00064D19" w:rsidP="00121658">
            <w:pPr>
              <w:spacing w:before="0" w:after="240" w:line="240" w:lineRule="auto"/>
              <w:jc w:val="left"/>
              <w:rPr>
                <w:rFonts w:ascii="Arial" w:hAnsi="Arial" w:cs="Arial"/>
                <w:i/>
                <w:sz w:val="20"/>
                <w:szCs w:val="20"/>
              </w:rPr>
            </w:pPr>
            <w:r w:rsidRPr="002D2A0A">
              <w:rPr>
                <w:rFonts w:ascii="Arial" w:hAnsi="Arial" w:cs="Arial"/>
                <w:i/>
                <w:sz w:val="20"/>
                <w:szCs w:val="20"/>
              </w:rPr>
              <w:t xml:space="preserve">PRECAUTIONS: Paediatric Use –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is not indicated for use in children </w:t>
            </w:r>
            <w:proofErr w:type="gramStart"/>
            <w:r w:rsidRPr="002D2A0A">
              <w:rPr>
                <w:rFonts w:ascii="Arial" w:hAnsi="Arial" w:cs="Arial"/>
                <w:i/>
                <w:sz w:val="20"/>
                <w:szCs w:val="20"/>
              </w:rPr>
              <w:t>under</w:t>
            </w:r>
            <w:proofErr w:type="gramEnd"/>
            <w:r w:rsidRPr="002D2A0A">
              <w:rPr>
                <w:rFonts w:ascii="Arial" w:hAnsi="Arial" w:cs="Arial"/>
                <w:i/>
                <w:sz w:val="20"/>
                <w:szCs w:val="20"/>
              </w:rPr>
              <w:t xml:space="preserve"> 18 years of age.</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DOSAGE AND ADMINISTRATION: Use in Children (&lt;18 Years) – </w:t>
            </w:r>
            <w:r w:rsidR="00060C26" w:rsidRPr="002D2A0A">
              <w:rPr>
                <w:rFonts w:ascii="Arial" w:hAnsi="Arial" w:cs="Arial"/>
                <w:i/>
                <w:sz w:val="20"/>
                <w:szCs w:val="20"/>
              </w:rPr>
              <w:t>REVATIO</w:t>
            </w:r>
            <w:r w:rsidR="00252749" w:rsidRPr="002D2A0A">
              <w:rPr>
                <w:rFonts w:ascii="Arial" w:hAnsi="Arial" w:cs="Arial"/>
                <w:i/>
                <w:sz w:val="20"/>
                <w:szCs w:val="20"/>
                <w:vertAlign w:val="superscript"/>
              </w:rPr>
              <w:t>®</w:t>
            </w:r>
            <w:r w:rsidRPr="002D2A0A">
              <w:rPr>
                <w:rFonts w:ascii="Arial" w:hAnsi="Arial" w:cs="Arial"/>
                <w:i/>
                <w:sz w:val="20"/>
                <w:szCs w:val="20"/>
              </w:rPr>
              <w:t xml:space="preserve"> is not indicated for use in children &lt;18</w:t>
            </w:r>
            <w:r w:rsidR="00007DB7" w:rsidRPr="002D2A0A">
              <w:rPr>
                <w:rFonts w:ascii="Arial" w:hAnsi="Arial" w:cs="Arial"/>
                <w:i/>
                <w:sz w:val="20"/>
                <w:szCs w:val="20"/>
              </w:rPr>
              <w:t xml:space="preserve"> years of age.</w:t>
            </w:r>
          </w:p>
        </w:tc>
      </w:tr>
      <w:tr w:rsidR="00064D19" w:rsidRPr="002D2A0A" w:rsidTr="00C978EB">
        <w:tc>
          <w:tcPr>
            <w:tcW w:w="724"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Tadalafil</w:t>
            </w:r>
          </w:p>
        </w:tc>
        <w:tc>
          <w:tcPr>
            <w:tcW w:w="546" w:type="pct"/>
            <w:vAlign w:val="center"/>
          </w:tcPr>
          <w:p w:rsidR="00064D19" w:rsidRPr="002D2A0A" w:rsidRDefault="00060C26" w:rsidP="00121658">
            <w:pPr>
              <w:spacing w:before="0" w:line="240" w:lineRule="auto"/>
              <w:jc w:val="left"/>
              <w:rPr>
                <w:rFonts w:ascii="Arial" w:hAnsi="Arial" w:cs="Arial"/>
                <w:sz w:val="20"/>
                <w:szCs w:val="20"/>
              </w:rPr>
            </w:pPr>
            <w:proofErr w:type="spellStart"/>
            <w:r w:rsidRPr="002D2A0A">
              <w:rPr>
                <w:rFonts w:ascii="Arial" w:hAnsi="Arial" w:cs="Arial"/>
                <w:sz w:val="20"/>
                <w:szCs w:val="20"/>
              </w:rPr>
              <w:t>Adcirca</w:t>
            </w:r>
            <w:proofErr w:type="spellEnd"/>
            <w:r w:rsidR="00252749" w:rsidRPr="002D2A0A">
              <w:rPr>
                <w:rFonts w:ascii="Arial" w:hAnsi="Arial" w:cs="Arial"/>
                <w:sz w:val="20"/>
                <w:szCs w:val="20"/>
                <w:vertAlign w:val="superscript"/>
              </w:rPr>
              <w:t>®</w:t>
            </w:r>
          </w:p>
        </w:tc>
        <w:tc>
          <w:tcPr>
            <w:tcW w:w="586"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18 December 2015</w:t>
            </w:r>
          </w:p>
        </w:tc>
        <w:tc>
          <w:tcPr>
            <w:tcW w:w="3143" w:type="pct"/>
            <w:vAlign w:val="center"/>
          </w:tcPr>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DOSAGE AND ADMINISTRATION: Use in children and adolescents – </w:t>
            </w:r>
            <w:r w:rsidR="00060C26" w:rsidRPr="002D2A0A">
              <w:rPr>
                <w:rFonts w:ascii="Arial" w:hAnsi="Arial" w:cs="Arial"/>
                <w:i/>
                <w:sz w:val="20"/>
                <w:szCs w:val="20"/>
              </w:rPr>
              <w:t>ADCIRCA</w:t>
            </w:r>
            <w:r w:rsidR="00252749" w:rsidRPr="002D2A0A">
              <w:rPr>
                <w:rFonts w:ascii="Arial" w:hAnsi="Arial" w:cs="Arial"/>
                <w:i/>
                <w:sz w:val="20"/>
                <w:szCs w:val="20"/>
                <w:vertAlign w:val="superscript"/>
              </w:rPr>
              <w:t>®</w:t>
            </w:r>
            <w:r w:rsidRPr="002D2A0A">
              <w:rPr>
                <w:rFonts w:ascii="Arial" w:hAnsi="Arial" w:cs="Arial"/>
                <w:i/>
                <w:sz w:val="20"/>
                <w:szCs w:val="20"/>
              </w:rPr>
              <w:t xml:space="preserve"> should not be used in individuals below 18 years of age.</w:t>
            </w:r>
          </w:p>
        </w:tc>
      </w:tr>
      <w:tr w:rsidR="00064D19" w:rsidRPr="002D2A0A" w:rsidTr="00C978EB">
        <w:trPr>
          <w:cantSplit/>
        </w:trPr>
        <w:tc>
          <w:tcPr>
            <w:tcW w:w="724"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 xml:space="preserve">Riociguat </w:t>
            </w:r>
          </w:p>
        </w:tc>
        <w:tc>
          <w:tcPr>
            <w:tcW w:w="546"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 xml:space="preserve">Riociguat </w:t>
            </w:r>
          </w:p>
        </w:tc>
        <w:tc>
          <w:tcPr>
            <w:tcW w:w="586" w:type="pct"/>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17 March 2017</w:t>
            </w:r>
          </w:p>
        </w:tc>
        <w:tc>
          <w:tcPr>
            <w:tcW w:w="3143" w:type="pct"/>
            <w:vAlign w:val="center"/>
          </w:tcPr>
          <w:p w:rsidR="00064D19" w:rsidRPr="002D2A0A" w:rsidRDefault="00064D19" w:rsidP="00121658">
            <w:pPr>
              <w:spacing w:before="0" w:after="240" w:line="240" w:lineRule="auto"/>
              <w:jc w:val="left"/>
              <w:rPr>
                <w:rFonts w:ascii="Arial" w:hAnsi="Arial" w:cs="Arial"/>
                <w:i/>
                <w:sz w:val="20"/>
                <w:szCs w:val="20"/>
              </w:rPr>
            </w:pPr>
            <w:r w:rsidRPr="002D2A0A">
              <w:rPr>
                <w:rFonts w:ascii="Arial" w:hAnsi="Arial" w:cs="Arial"/>
                <w:i/>
                <w:sz w:val="20"/>
                <w:szCs w:val="20"/>
              </w:rPr>
              <w:t xml:space="preserve">PRECAUTIONS: Paediatric Use – The safety and efficacy of </w:t>
            </w:r>
            <w:proofErr w:type="spellStart"/>
            <w:r w:rsidR="00060C26" w:rsidRPr="002D2A0A">
              <w:rPr>
                <w:rFonts w:ascii="Arial" w:hAnsi="Arial" w:cs="Arial"/>
                <w:i/>
                <w:sz w:val="20"/>
                <w:szCs w:val="20"/>
              </w:rPr>
              <w:t>Adempas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xml:space="preserve"> have not yet been studied in patients below 18 years. No data are available. Therefore, </w:t>
            </w:r>
            <w:proofErr w:type="spellStart"/>
            <w:r w:rsidR="00060C26" w:rsidRPr="002D2A0A">
              <w:rPr>
                <w:rFonts w:ascii="Arial" w:hAnsi="Arial" w:cs="Arial"/>
                <w:i/>
                <w:sz w:val="20"/>
                <w:szCs w:val="20"/>
              </w:rPr>
              <w:t>Adempas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xml:space="preserve"> is not recommended in paediatrics.</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DOSAGE AND ADMINISTRATION: Paediatric Use – The safety and efficacy of </w:t>
            </w:r>
            <w:proofErr w:type="spellStart"/>
            <w:r w:rsidR="00060C26" w:rsidRPr="002D2A0A">
              <w:rPr>
                <w:rFonts w:ascii="Arial" w:hAnsi="Arial" w:cs="Arial"/>
                <w:i/>
                <w:sz w:val="20"/>
                <w:szCs w:val="20"/>
              </w:rPr>
              <w:t>Adempas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xml:space="preserve"> have not yet been studied in patients below 18 years. No data are available. Therefore, </w:t>
            </w:r>
            <w:proofErr w:type="spellStart"/>
            <w:r w:rsidR="00060C26" w:rsidRPr="002D2A0A">
              <w:rPr>
                <w:rFonts w:ascii="Arial" w:hAnsi="Arial" w:cs="Arial"/>
                <w:i/>
                <w:sz w:val="20"/>
                <w:szCs w:val="20"/>
              </w:rPr>
              <w:t>Adempas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xml:space="preserve"> is not recommended </w:t>
            </w:r>
            <w:r w:rsidR="000A5A60" w:rsidRPr="002D2A0A">
              <w:rPr>
                <w:rFonts w:ascii="Arial" w:hAnsi="Arial" w:cs="Arial"/>
                <w:i/>
                <w:sz w:val="20"/>
                <w:szCs w:val="20"/>
              </w:rPr>
              <w:t>for use in paediatric patients.</w:t>
            </w:r>
          </w:p>
        </w:tc>
      </w:tr>
      <w:tr w:rsidR="00064D19" w:rsidRPr="002D2A0A" w:rsidTr="00C978EB">
        <w:tc>
          <w:tcPr>
            <w:tcW w:w="724"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Iloprost</w:t>
            </w:r>
          </w:p>
        </w:tc>
        <w:tc>
          <w:tcPr>
            <w:tcW w:w="546" w:type="pct"/>
            <w:vAlign w:val="center"/>
          </w:tcPr>
          <w:p w:rsidR="00064D19" w:rsidRPr="002D2A0A" w:rsidRDefault="00060C26" w:rsidP="00121658">
            <w:pPr>
              <w:spacing w:before="0" w:line="240" w:lineRule="auto"/>
              <w:jc w:val="left"/>
              <w:rPr>
                <w:rFonts w:ascii="Arial" w:hAnsi="Arial" w:cs="Arial"/>
                <w:sz w:val="20"/>
                <w:szCs w:val="20"/>
              </w:rPr>
            </w:pPr>
            <w:proofErr w:type="spellStart"/>
            <w:r w:rsidRPr="002D2A0A">
              <w:rPr>
                <w:rFonts w:ascii="Arial" w:hAnsi="Arial" w:cs="Arial"/>
                <w:sz w:val="20"/>
                <w:szCs w:val="20"/>
              </w:rPr>
              <w:t>Ventavis</w:t>
            </w:r>
            <w:proofErr w:type="spellEnd"/>
            <w:r w:rsidR="00252749" w:rsidRPr="002D2A0A">
              <w:rPr>
                <w:rFonts w:ascii="Arial" w:hAnsi="Arial" w:cs="Arial"/>
                <w:sz w:val="20"/>
                <w:szCs w:val="20"/>
                <w:vertAlign w:val="superscript"/>
              </w:rPr>
              <w:t>®</w:t>
            </w:r>
          </w:p>
        </w:tc>
        <w:tc>
          <w:tcPr>
            <w:tcW w:w="586"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16 June 2017</w:t>
            </w:r>
          </w:p>
        </w:tc>
        <w:tc>
          <w:tcPr>
            <w:tcW w:w="3143" w:type="pct"/>
            <w:vAlign w:val="center"/>
          </w:tcPr>
          <w:p w:rsidR="00064D19" w:rsidRPr="002D2A0A" w:rsidRDefault="00064D19" w:rsidP="00121658">
            <w:pPr>
              <w:spacing w:before="0" w:after="240" w:line="240" w:lineRule="auto"/>
              <w:jc w:val="left"/>
              <w:rPr>
                <w:rFonts w:ascii="Arial" w:hAnsi="Arial" w:cs="Arial"/>
                <w:i/>
                <w:sz w:val="20"/>
                <w:szCs w:val="20"/>
              </w:rPr>
            </w:pPr>
            <w:r w:rsidRPr="002D2A0A">
              <w:rPr>
                <w:rFonts w:ascii="Arial" w:hAnsi="Arial" w:cs="Arial"/>
                <w:i/>
                <w:sz w:val="20"/>
                <w:szCs w:val="20"/>
              </w:rPr>
              <w:t xml:space="preserve">PRECAUTIONS: Paediatric use – The experience in children and adolescents (patients below 18 years of age) is limited. Therefore </w:t>
            </w:r>
            <w:proofErr w:type="spellStart"/>
            <w:r w:rsidR="00060C26" w:rsidRPr="002D2A0A">
              <w:rPr>
                <w:rFonts w:ascii="Arial" w:hAnsi="Arial" w:cs="Arial"/>
                <w:i/>
                <w:sz w:val="20"/>
                <w:szCs w:val="20"/>
              </w:rPr>
              <w:t>Ventavis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xml:space="preserve"> is not recommended for use in this population (see DOSAGE AND ADMINISTRATION).</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DOSAGE AND ADMINISTRATION: Paediatric patients/ Children and adolescents (below 18 years of age) – The experience in children and adolescents (patients below 18 years of age) is limited. Therefore </w:t>
            </w:r>
            <w:proofErr w:type="spellStart"/>
            <w:r w:rsidR="00060C26" w:rsidRPr="002D2A0A">
              <w:rPr>
                <w:rFonts w:ascii="Arial" w:hAnsi="Arial" w:cs="Arial"/>
                <w:i/>
                <w:sz w:val="20"/>
                <w:szCs w:val="20"/>
              </w:rPr>
              <w:t>Ventavis</w:t>
            </w:r>
            <w:proofErr w:type="spellEnd"/>
            <w:r w:rsidR="00252749" w:rsidRPr="002D2A0A">
              <w:rPr>
                <w:rFonts w:ascii="Arial" w:hAnsi="Arial" w:cs="Arial"/>
                <w:i/>
                <w:sz w:val="20"/>
                <w:szCs w:val="20"/>
                <w:vertAlign w:val="superscript"/>
              </w:rPr>
              <w:t>®</w:t>
            </w:r>
            <w:r w:rsidRPr="002D2A0A">
              <w:rPr>
                <w:rFonts w:ascii="Arial" w:hAnsi="Arial" w:cs="Arial"/>
                <w:i/>
                <w:sz w:val="20"/>
                <w:szCs w:val="20"/>
              </w:rPr>
              <w:t xml:space="preserve"> is not recommended for use in thi</w:t>
            </w:r>
            <w:r w:rsidR="000A5A60" w:rsidRPr="002D2A0A">
              <w:rPr>
                <w:rFonts w:ascii="Arial" w:hAnsi="Arial" w:cs="Arial"/>
                <w:i/>
                <w:sz w:val="20"/>
                <w:szCs w:val="20"/>
              </w:rPr>
              <w:t>s population (see PRECAUTIONS).</w:t>
            </w:r>
          </w:p>
        </w:tc>
      </w:tr>
      <w:tr w:rsidR="00064D19" w:rsidRPr="002D2A0A" w:rsidTr="00C978EB">
        <w:tc>
          <w:tcPr>
            <w:tcW w:w="724"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Epoprostenol</w:t>
            </w:r>
          </w:p>
        </w:tc>
        <w:tc>
          <w:tcPr>
            <w:tcW w:w="546" w:type="pct"/>
            <w:vAlign w:val="center"/>
          </w:tcPr>
          <w:p w:rsidR="00064D19" w:rsidRPr="002D2A0A" w:rsidRDefault="00060C26" w:rsidP="00121658">
            <w:pPr>
              <w:spacing w:before="0" w:line="240" w:lineRule="auto"/>
              <w:jc w:val="left"/>
              <w:rPr>
                <w:rFonts w:ascii="Arial" w:hAnsi="Arial" w:cs="Arial"/>
                <w:sz w:val="20"/>
                <w:szCs w:val="20"/>
              </w:rPr>
            </w:pPr>
            <w:r w:rsidRPr="002D2A0A">
              <w:rPr>
                <w:rFonts w:ascii="Arial" w:hAnsi="Arial" w:cs="Arial"/>
                <w:sz w:val="20"/>
                <w:szCs w:val="20"/>
              </w:rPr>
              <w:t>Flolan</w:t>
            </w:r>
            <w:r w:rsidR="00252749" w:rsidRPr="002D2A0A">
              <w:rPr>
                <w:rFonts w:ascii="Arial" w:hAnsi="Arial" w:cs="Arial"/>
                <w:sz w:val="20"/>
                <w:szCs w:val="20"/>
                <w:vertAlign w:val="superscript"/>
              </w:rPr>
              <w:t>®</w:t>
            </w:r>
          </w:p>
        </w:tc>
        <w:tc>
          <w:tcPr>
            <w:tcW w:w="586" w:type="pct"/>
            <w:vAlign w:val="center"/>
          </w:tcPr>
          <w:p w:rsidR="00064D19" w:rsidRPr="002D2A0A" w:rsidRDefault="00064D19" w:rsidP="00121658">
            <w:pPr>
              <w:spacing w:before="0" w:line="240" w:lineRule="auto"/>
              <w:jc w:val="left"/>
              <w:rPr>
                <w:rFonts w:ascii="Arial" w:hAnsi="Arial" w:cs="Arial"/>
                <w:sz w:val="20"/>
                <w:szCs w:val="20"/>
              </w:rPr>
            </w:pPr>
            <w:r w:rsidRPr="002D2A0A">
              <w:rPr>
                <w:rFonts w:ascii="Arial" w:hAnsi="Arial" w:cs="Arial"/>
                <w:sz w:val="20"/>
                <w:szCs w:val="20"/>
              </w:rPr>
              <w:t>3 February 2016</w:t>
            </w:r>
          </w:p>
        </w:tc>
        <w:tc>
          <w:tcPr>
            <w:tcW w:w="3143" w:type="pct"/>
            <w:vAlign w:val="center"/>
          </w:tcPr>
          <w:p w:rsidR="00064D19" w:rsidRPr="002D2A0A" w:rsidRDefault="00064D19" w:rsidP="00121658">
            <w:pPr>
              <w:spacing w:before="0" w:after="240" w:line="240" w:lineRule="auto"/>
              <w:jc w:val="left"/>
              <w:rPr>
                <w:rFonts w:ascii="Arial" w:hAnsi="Arial" w:cs="Arial"/>
                <w:i/>
                <w:sz w:val="20"/>
                <w:szCs w:val="20"/>
              </w:rPr>
            </w:pPr>
            <w:r w:rsidRPr="002D2A0A">
              <w:rPr>
                <w:rFonts w:ascii="Arial" w:hAnsi="Arial" w:cs="Arial"/>
                <w:i/>
                <w:sz w:val="20"/>
                <w:szCs w:val="20"/>
              </w:rPr>
              <w:t xml:space="preserve">PRECAUTIONS: Paediatric Use – There is limited information on the use of </w:t>
            </w:r>
            <w:r w:rsidR="00060C26" w:rsidRPr="002D2A0A">
              <w:rPr>
                <w:rFonts w:ascii="Arial" w:hAnsi="Arial" w:cs="Arial"/>
                <w:i/>
                <w:sz w:val="20"/>
                <w:szCs w:val="20"/>
              </w:rPr>
              <w:t>FLOLAN</w:t>
            </w:r>
            <w:r w:rsidR="00252749" w:rsidRPr="002D2A0A">
              <w:rPr>
                <w:rFonts w:ascii="Arial" w:hAnsi="Arial" w:cs="Arial"/>
                <w:i/>
                <w:sz w:val="20"/>
                <w:szCs w:val="20"/>
                <w:vertAlign w:val="superscript"/>
              </w:rPr>
              <w:t>®</w:t>
            </w:r>
            <w:r w:rsidRPr="002D2A0A">
              <w:rPr>
                <w:rFonts w:ascii="Arial" w:hAnsi="Arial" w:cs="Arial"/>
                <w:i/>
                <w:sz w:val="20"/>
                <w:szCs w:val="20"/>
              </w:rPr>
              <w:t xml:space="preserve"> for PAH in children.</w:t>
            </w:r>
          </w:p>
          <w:p w:rsidR="00064D19" w:rsidRPr="002D2A0A" w:rsidRDefault="00064D19" w:rsidP="00121658">
            <w:pPr>
              <w:spacing w:before="0" w:line="240" w:lineRule="auto"/>
              <w:jc w:val="left"/>
              <w:rPr>
                <w:rFonts w:ascii="Arial" w:hAnsi="Arial" w:cs="Arial"/>
                <w:i/>
                <w:sz w:val="20"/>
                <w:szCs w:val="20"/>
              </w:rPr>
            </w:pPr>
            <w:r w:rsidRPr="002D2A0A">
              <w:rPr>
                <w:rFonts w:ascii="Arial" w:hAnsi="Arial" w:cs="Arial"/>
                <w:i/>
                <w:sz w:val="20"/>
                <w:szCs w:val="20"/>
              </w:rPr>
              <w:t xml:space="preserve">DOSAGE AND ADMINISTRATION: Children – There is limited information on the use of </w:t>
            </w:r>
            <w:r w:rsidR="00060C26" w:rsidRPr="002D2A0A">
              <w:rPr>
                <w:rFonts w:ascii="Arial" w:hAnsi="Arial" w:cs="Arial"/>
                <w:i/>
                <w:sz w:val="20"/>
                <w:szCs w:val="20"/>
              </w:rPr>
              <w:t>FLOLAN</w:t>
            </w:r>
            <w:r w:rsidR="00252749" w:rsidRPr="002D2A0A">
              <w:rPr>
                <w:rFonts w:ascii="Arial" w:hAnsi="Arial" w:cs="Arial"/>
                <w:i/>
                <w:sz w:val="20"/>
                <w:szCs w:val="20"/>
                <w:vertAlign w:val="superscript"/>
              </w:rPr>
              <w:t>®</w:t>
            </w:r>
            <w:r w:rsidR="000A5A60" w:rsidRPr="002D2A0A">
              <w:rPr>
                <w:rFonts w:ascii="Arial" w:hAnsi="Arial" w:cs="Arial"/>
                <w:i/>
                <w:sz w:val="20"/>
                <w:szCs w:val="20"/>
              </w:rPr>
              <w:t xml:space="preserve"> for PPH* in children.</w:t>
            </w:r>
          </w:p>
        </w:tc>
      </w:tr>
      <w:tr w:rsidR="00064D19" w:rsidRPr="002D2A0A" w:rsidTr="00C978EB">
        <w:tc>
          <w:tcPr>
            <w:tcW w:w="724" w:type="pct"/>
            <w:vAlign w:val="center"/>
          </w:tcPr>
          <w:p w:rsidR="00064D19" w:rsidRPr="002D2A0A" w:rsidRDefault="00064D19" w:rsidP="00121658">
            <w:pPr>
              <w:spacing w:before="0" w:line="240" w:lineRule="auto"/>
              <w:jc w:val="left"/>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Selexipag</w:t>
            </w:r>
          </w:p>
        </w:tc>
        <w:tc>
          <w:tcPr>
            <w:tcW w:w="546" w:type="pct"/>
            <w:vAlign w:val="center"/>
          </w:tcPr>
          <w:p w:rsidR="00064D19" w:rsidRPr="002D2A0A" w:rsidRDefault="00064D19" w:rsidP="00121658">
            <w:pPr>
              <w:spacing w:before="0" w:line="240" w:lineRule="auto"/>
              <w:jc w:val="left"/>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Selexipag</w:t>
            </w:r>
          </w:p>
        </w:tc>
        <w:tc>
          <w:tcPr>
            <w:tcW w:w="586" w:type="pct"/>
            <w:vAlign w:val="center"/>
          </w:tcPr>
          <w:p w:rsidR="00064D19" w:rsidRPr="002D2A0A" w:rsidRDefault="00064D19" w:rsidP="00121658">
            <w:pPr>
              <w:spacing w:before="0" w:line="240" w:lineRule="auto"/>
              <w:jc w:val="left"/>
              <w:rPr>
                <w:rFonts w:ascii="Arial" w:hAnsi="Arial" w:cs="Arial"/>
                <w:i/>
                <w:color w:val="808080" w:themeColor="background1" w:themeShade="80"/>
                <w:sz w:val="20"/>
                <w:szCs w:val="20"/>
              </w:rPr>
            </w:pPr>
            <w:r w:rsidRPr="002D2A0A">
              <w:rPr>
                <w:rFonts w:ascii="Arial" w:hAnsi="Arial" w:cs="Arial"/>
                <w:i/>
                <w:color w:val="808080" w:themeColor="background1" w:themeShade="80"/>
                <w:sz w:val="20"/>
                <w:szCs w:val="20"/>
              </w:rPr>
              <w:t>14 July 2016</w:t>
            </w:r>
          </w:p>
        </w:tc>
        <w:tc>
          <w:tcPr>
            <w:tcW w:w="3143" w:type="pct"/>
            <w:vAlign w:val="center"/>
          </w:tcPr>
          <w:p w:rsidR="00064D19" w:rsidRPr="002D2A0A" w:rsidRDefault="00064D19" w:rsidP="00121658">
            <w:pPr>
              <w:pStyle w:val="TableText"/>
              <w:spacing w:before="0" w:after="0"/>
              <w:rPr>
                <w:rFonts w:ascii="Arial" w:hAnsi="Arial"/>
                <w:i/>
                <w:color w:val="808080" w:themeColor="background1" w:themeShade="80"/>
                <w:szCs w:val="20"/>
              </w:rPr>
            </w:pPr>
            <w:r w:rsidRPr="002D2A0A">
              <w:rPr>
                <w:rFonts w:ascii="Arial" w:hAnsi="Arial"/>
                <w:i/>
                <w:color w:val="808080" w:themeColor="background1" w:themeShade="80"/>
                <w:szCs w:val="20"/>
              </w:rPr>
              <w:t>PRECAUTIONS: Paediatric – The safety and efficacy of UPTRAV</w:t>
            </w:r>
            <w:r w:rsidR="00252749" w:rsidRPr="002D2A0A">
              <w:rPr>
                <w:rFonts w:ascii="Arial" w:hAnsi="Arial"/>
                <w:i/>
                <w:color w:val="808080" w:themeColor="background1" w:themeShade="80"/>
                <w:szCs w:val="20"/>
                <w:vertAlign w:val="superscript"/>
              </w:rPr>
              <w:t>®</w:t>
            </w:r>
            <w:r w:rsidRPr="002D2A0A">
              <w:rPr>
                <w:rFonts w:ascii="Arial" w:hAnsi="Arial"/>
                <w:i/>
                <w:color w:val="808080" w:themeColor="background1" w:themeShade="80"/>
                <w:szCs w:val="20"/>
              </w:rPr>
              <w:t>I in children (&lt;18 y</w:t>
            </w:r>
            <w:r w:rsidR="000A5A60" w:rsidRPr="002D2A0A">
              <w:rPr>
                <w:rFonts w:ascii="Arial" w:hAnsi="Arial"/>
                <w:i/>
                <w:color w:val="808080" w:themeColor="background1" w:themeShade="80"/>
                <w:szCs w:val="20"/>
              </w:rPr>
              <w:t>ears) has not been established.</w:t>
            </w:r>
          </w:p>
        </w:tc>
      </w:tr>
    </w:tbl>
    <w:p w:rsidR="00064D19" w:rsidRPr="002D2A0A" w:rsidRDefault="00064D19" w:rsidP="00121658">
      <w:pPr>
        <w:pStyle w:val="tabletext1"/>
        <w:keepNext w:val="0"/>
        <w:tabs>
          <w:tab w:val="center" w:pos="6979"/>
        </w:tabs>
        <w:spacing w:before="0" w:after="0"/>
        <w:rPr>
          <w:rFonts w:ascii="Arial" w:hAnsi="Arial"/>
        </w:rPr>
      </w:pPr>
      <w:r w:rsidRPr="002D2A0A">
        <w:rPr>
          <w:rFonts w:ascii="Arial" w:hAnsi="Arial"/>
        </w:rPr>
        <w:t>*PPH = primary pulmonary hypertension is an older term for PAH</w:t>
      </w:r>
    </w:p>
    <w:p w:rsidR="00064D19" w:rsidRPr="002D2A0A" w:rsidRDefault="00064D19" w:rsidP="00121658">
      <w:pPr>
        <w:pStyle w:val="Tablenote"/>
        <w:spacing w:after="0"/>
        <w:contextualSpacing w:val="0"/>
        <w:rPr>
          <w:rFonts w:ascii="Arial" w:hAnsi="Arial" w:cs="Arial"/>
        </w:rPr>
      </w:pPr>
      <w:r w:rsidRPr="002D2A0A">
        <w:rPr>
          <w:rFonts w:ascii="Arial" w:hAnsi="Arial" w:cs="Arial"/>
        </w:rPr>
        <w:t>Source: Relevant product information</w:t>
      </w:r>
    </w:p>
    <w:p w:rsidR="00064D19" w:rsidRPr="002D2A0A" w:rsidRDefault="00064D19" w:rsidP="00121658">
      <w:pPr>
        <w:pStyle w:val="References"/>
        <w:ind w:left="0"/>
        <w:rPr>
          <w:rFonts w:ascii="Arial" w:hAnsi="Arial" w:cs="Arial"/>
        </w:rPr>
      </w:pPr>
    </w:p>
    <w:p w:rsidR="00CF3FEC" w:rsidRPr="002D2A0A" w:rsidRDefault="00CF3FEC" w:rsidP="00121658">
      <w:pPr>
        <w:pStyle w:val="References"/>
        <w:ind w:left="0"/>
        <w:rPr>
          <w:rFonts w:ascii="Arial" w:hAnsi="Arial" w:cs="Arial"/>
        </w:rPr>
      </w:pPr>
    </w:p>
    <w:p w:rsidR="00CF3FEC" w:rsidRDefault="00CF3FEC" w:rsidP="00121658">
      <w:pPr>
        <w:spacing w:before="0" w:line="240" w:lineRule="auto"/>
        <w:jc w:val="left"/>
        <w:sectPr w:rsidR="00CF3FEC" w:rsidSect="00064D19">
          <w:headerReference w:type="even" r:id="rId46"/>
          <w:headerReference w:type="default" r:id="rId47"/>
          <w:footerReference w:type="default" r:id="rId48"/>
          <w:headerReference w:type="first" r:id="rId49"/>
          <w:footnotePr>
            <w:numFmt w:val="chicago"/>
          </w:footnotePr>
          <w:pgSz w:w="16838" w:h="11906" w:orient="landscape"/>
          <w:pgMar w:top="1134" w:right="1134" w:bottom="1134" w:left="1134" w:header="709" w:footer="709" w:gutter="0"/>
          <w:cols w:space="708"/>
          <w:docGrid w:linePitch="360"/>
        </w:sectPr>
      </w:pPr>
    </w:p>
    <w:p w:rsidR="00CF3FEC" w:rsidRDefault="00F319D3" w:rsidP="00121658">
      <w:pPr>
        <w:pStyle w:val="Heading2"/>
        <w:numPr>
          <w:ilvl w:val="0"/>
          <w:numId w:val="0"/>
        </w:numPr>
        <w:jc w:val="left"/>
      </w:pPr>
      <w:bookmarkStart w:id="327" w:name="_Ref508899066"/>
      <w:bookmarkStart w:id="328" w:name="_Ref505517022"/>
      <w:bookmarkStart w:id="329" w:name="_Toc513107616"/>
      <w:bookmarkStart w:id="330" w:name="_Ref505355296"/>
      <w:r>
        <w:t xml:space="preserve">Appendix </w:t>
      </w:r>
      <w:r w:rsidR="005E4483">
        <w:t>1.</w:t>
      </w:r>
      <w:bookmarkEnd w:id="327"/>
      <w:r w:rsidR="005E4483">
        <w:t>C</w:t>
      </w:r>
      <w:r>
        <w:tab/>
      </w:r>
      <w:r w:rsidR="00CF3FEC">
        <w:t>Published treatment and diagnostic algorithms</w:t>
      </w:r>
      <w:bookmarkEnd w:id="328"/>
      <w:bookmarkEnd w:id="329"/>
    </w:p>
    <w:p w:rsidR="00F92A84" w:rsidRDefault="00F92A84" w:rsidP="00121658">
      <w:pPr>
        <w:jc w:val="left"/>
      </w:pPr>
      <w:bookmarkStart w:id="331" w:name="_Toc503047884"/>
      <w:bookmarkStart w:id="332" w:name="_Ref505516913"/>
      <w:bookmarkStart w:id="333" w:name="_Ref503516215"/>
      <w:r w:rsidRPr="00267E63">
        <w:rPr>
          <w:rFonts w:asciiTheme="minorHAnsi" w:hAnsiTheme="minorHAnsi"/>
          <w:noProof/>
          <w:lang w:eastAsia="en-AU"/>
        </w:rPr>
        <w:drawing>
          <wp:inline distT="0" distB="0" distL="0" distR="0" wp14:anchorId="78EEA251" wp14:editId="75D5EE91">
            <wp:extent cx="6120130" cy="6705600"/>
            <wp:effectExtent l="0" t="0" r="0" b="0"/>
            <wp:docPr id="3" name="Picture 3" descr="Treatment algorithm for PAH from the ESC/ERS Guideline" title="Treatment algorithm for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6705600"/>
                    </a:xfrm>
                    <a:prstGeom prst="rect">
                      <a:avLst/>
                    </a:prstGeom>
                    <a:noFill/>
                    <a:ln>
                      <a:noFill/>
                    </a:ln>
                  </pic:spPr>
                </pic:pic>
              </a:graphicData>
            </a:graphic>
          </wp:inline>
        </w:drawing>
      </w:r>
    </w:p>
    <w:p w:rsidR="00CF3FEC" w:rsidRDefault="00F92A84" w:rsidP="002D2A0A">
      <w:pPr>
        <w:pStyle w:val="Caption"/>
        <w:spacing w:before="120"/>
        <w:ind w:left="0" w:firstLine="0"/>
        <w:jc w:val="left"/>
      </w:pPr>
      <w:bookmarkStart w:id="334" w:name="_Ref508905231"/>
      <w:bookmarkStart w:id="335" w:name="_Toc513107653"/>
      <w:r>
        <w:t>Figure 1.</w:t>
      </w:r>
      <w:r w:rsidR="00D63371">
        <w:rPr>
          <w:noProof/>
        </w:rPr>
        <w:t>2</w:t>
      </w:r>
      <w:r>
        <w:tab/>
      </w:r>
      <w:r w:rsidR="00CF3FEC">
        <w:t xml:space="preserve">Treatment </w:t>
      </w:r>
      <w:proofErr w:type="gramStart"/>
      <w:r w:rsidR="00CF3FEC">
        <w:t>algorithm</w:t>
      </w:r>
      <w:proofErr w:type="gramEnd"/>
      <w:r w:rsidR="00CF3FEC">
        <w:t xml:space="preserve"> for PAH</w:t>
      </w:r>
      <w:bookmarkEnd w:id="331"/>
      <w:r w:rsidR="00CF3FEC">
        <w:t xml:space="preserve"> </w:t>
      </w:r>
      <w:r w:rsidR="00CF3FEC" w:rsidRPr="00411B13">
        <w:t>ESC/</w:t>
      </w:r>
      <w:r w:rsidR="00CF3FEC">
        <w:t xml:space="preserve">ERS </w:t>
      </w:r>
      <w:r w:rsidR="00CF3FEC" w:rsidRPr="00411B13">
        <w:t>Guideline</w:t>
      </w:r>
      <w:bookmarkEnd w:id="332"/>
      <w:bookmarkEnd w:id="333"/>
      <w:bookmarkEnd w:id="334"/>
      <w:bookmarkEnd w:id="335"/>
    </w:p>
    <w:p w:rsidR="00CF3FEC" w:rsidRPr="00CF3FEC" w:rsidRDefault="00CF3FEC" w:rsidP="00121658">
      <w:pPr>
        <w:pStyle w:val="Tablenote"/>
        <w:rPr>
          <w:rFonts w:ascii="Arial Narrow" w:hAnsi="Arial Narrow"/>
        </w:rPr>
      </w:pPr>
      <w:r w:rsidRPr="00CF3FEC">
        <w:rPr>
          <w:rFonts w:ascii="Arial Narrow" w:hAnsi="Arial Narrow"/>
        </w:rPr>
        <w:t>Source</w:t>
      </w:r>
      <w:r>
        <w:rPr>
          <w:rFonts w:ascii="Arial Narrow" w:hAnsi="Arial Narrow"/>
        </w:rPr>
        <w:t>: ESC/ERS Guideline</w:t>
      </w:r>
      <w:r w:rsidR="009C556B" w:rsidRPr="00DC475B">
        <w:rPr>
          <w:rFonts w:ascii="Arial Narrow" w:hAnsi="Arial Narrow"/>
          <w:noProof/>
          <w:vertAlign w:val="superscript"/>
        </w:rPr>
        <w:t>8</w:t>
      </w:r>
    </w:p>
    <w:p w:rsidR="00CF3FEC" w:rsidRDefault="00CF3FEC" w:rsidP="00121658">
      <w:pPr>
        <w:jc w:val="left"/>
        <w:rPr>
          <w:rFonts w:eastAsiaTheme="minorEastAsia"/>
        </w:rPr>
      </w:pPr>
      <w:r>
        <w:rPr>
          <w:rFonts w:eastAsiaTheme="minorEastAsia"/>
        </w:rPr>
        <w:br w:type="page"/>
      </w:r>
    </w:p>
    <w:p w:rsidR="00CF3FEC" w:rsidRPr="00CF3FEC" w:rsidRDefault="00CF3FEC" w:rsidP="00121658">
      <w:pPr>
        <w:jc w:val="left"/>
        <w:rPr>
          <w:rFonts w:eastAsiaTheme="minorEastAsia"/>
          <w:sz w:val="4"/>
        </w:rPr>
      </w:pPr>
    </w:p>
    <w:p w:rsidR="00F92A84" w:rsidRDefault="00F92A84" w:rsidP="00121658">
      <w:pPr>
        <w:jc w:val="left"/>
      </w:pPr>
      <w:r w:rsidRPr="00590609">
        <w:rPr>
          <w:rFonts w:eastAsiaTheme="minorEastAsia"/>
          <w:noProof/>
          <w:lang w:eastAsia="en-AU"/>
        </w:rPr>
        <w:drawing>
          <wp:inline distT="0" distB="0" distL="0" distR="0" wp14:anchorId="2B2E1528" wp14:editId="21EE6956">
            <wp:extent cx="5750169" cy="6123107"/>
            <wp:effectExtent l="0" t="0" r="3175" b="0"/>
            <wp:docPr id="8" name="Picture 8" descr="Treatment algorithm for PAH from McLaughlin et al. (2015)" title="Treatment algorithm for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983" t="4517" b="16603"/>
                    <a:stretch/>
                  </pic:blipFill>
                  <pic:spPr bwMode="auto">
                    <a:xfrm>
                      <a:off x="0" y="0"/>
                      <a:ext cx="5751347" cy="6124361"/>
                    </a:xfrm>
                    <a:prstGeom prst="rect">
                      <a:avLst/>
                    </a:prstGeom>
                    <a:noFill/>
                    <a:ln>
                      <a:noFill/>
                    </a:ln>
                    <a:extLst>
                      <a:ext uri="{53640926-AAD7-44D8-BBD7-CCE9431645EC}">
                        <a14:shadowObscured xmlns:a14="http://schemas.microsoft.com/office/drawing/2010/main"/>
                      </a:ext>
                    </a:extLst>
                  </pic:spPr>
                </pic:pic>
              </a:graphicData>
            </a:graphic>
          </wp:inline>
        </w:drawing>
      </w:r>
    </w:p>
    <w:p w:rsidR="00F92A84" w:rsidRDefault="002D6E34" w:rsidP="002D2A0A">
      <w:pPr>
        <w:pStyle w:val="Caption"/>
        <w:ind w:left="0" w:firstLine="0"/>
        <w:jc w:val="left"/>
      </w:pPr>
      <w:bookmarkStart w:id="336" w:name="_Ref508905521"/>
      <w:bookmarkStart w:id="337" w:name="_Ref505516921"/>
      <w:bookmarkStart w:id="338" w:name="_Ref503516416"/>
      <w:bookmarkStart w:id="339" w:name="_Toc513107654"/>
      <w:r>
        <w:t>Figure 1.</w:t>
      </w:r>
      <w:r w:rsidR="00D63371">
        <w:rPr>
          <w:noProof/>
        </w:rPr>
        <w:t>3</w:t>
      </w:r>
      <w:bookmarkEnd w:id="336"/>
      <w:r>
        <w:tab/>
      </w:r>
      <w:r w:rsidR="00F92A84">
        <w:t xml:space="preserve">Treatment </w:t>
      </w:r>
      <w:proofErr w:type="gramStart"/>
      <w:r w:rsidR="00F92A84">
        <w:t>algorithm</w:t>
      </w:r>
      <w:proofErr w:type="gramEnd"/>
      <w:r w:rsidR="00F92A84">
        <w:t xml:space="preserve"> from </w:t>
      </w:r>
      <w:r w:rsidR="00F92A84" w:rsidRPr="00411B13">
        <w:t xml:space="preserve">McLaughlin </w:t>
      </w:r>
      <w:r w:rsidR="00F92A84" w:rsidRPr="00083004">
        <w:t>et al</w:t>
      </w:r>
      <w:r w:rsidR="00F92A84" w:rsidRPr="00411B13">
        <w:t xml:space="preserve"> (2015)</w:t>
      </w:r>
      <w:bookmarkEnd w:id="337"/>
      <w:bookmarkEnd w:id="338"/>
      <w:bookmarkEnd w:id="339"/>
    </w:p>
    <w:p w:rsidR="00CF3FEC" w:rsidRPr="00CF3FEC" w:rsidRDefault="00CF3FEC" w:rsidP="00121658">
      <w:pPr>
        <w:pStyle w:val="tabletext1"/>
        <w:keepNext w:val="0"/>
        <w:rPr>
          <w:rFonts w:ascii="Arial Narrow" w:hAnsi="Arial Narrow"/>
        </w:rPr>
      </w:pPr>
      <w:r w:rsidRPr="00CF3FEC">
        <w:rPr>
          <w:rFonts w:ascii="Arial Narrow" w:hAnsi="Arial Narrow"/>
        </w:rPr>
        <w:t xml:space="preserve">Source: McLaughlin </w:t>
      </w:r>
      <w:r w:rsidRPr="00CF3FEC">
        <w:rPr>
          <w:rFonts w:ascii="Arial Narrow" w:hAnsi="Arial Narrow"/>
          <w:i/>
        </w:rPr>
        <w:t xml:space="preserve">et al </w:t>
      </w:r>
      <w:r w:rsidRPr="00CF3FEC">
        <w:rPr>
          <w:rFonts w:ascii="Arial Narrow" w:hAnsi="Arial Narrow"/>
        </w:rPr>
        <w:t>2015</w:t>
      </w:r>
      <w:r w:rsidR="009C556B" w:rsidRPr="009C556B">
        <w:rPr>
          <w:rFonts w:ascii="Arial Narrow" w:hAnsi="Arial Narrow"/>
          <w:noProof/>
          <w:vertAlign w:val="superscript"/>
        </w:rPr>
        <w:t>29</w:t>
      </w:r>
    </w:p>
    <w:p w:rsidR="00CF3FEC" w:rsidRDefault="00CF3FEC" w:rsidP="00121658">
      <w:pPr>
        <w:jc w:val="left"/>
        <w:rPr>
          <w:rFonts w:eastAsiaTheme="minorEastAsia"/>
        </w:rPr>
      </w:pPr>
      <w:r>
        <w:rPr>
          <w:rFonts w:eastAsiaTheme="minorEastAsia"/>
        </w:rPr>
        <w:br w:type="page"/>
      </w:r>
    </w:p>
    <w:p w:rsidR="002D6E34" w:rsidRDefault="002D6E34" w:rsidP="00121658">
      <w:pPr>
        <w:jc w:val="left"/>
      </w:pPr>
      <w:bookmarkStart w:id="340" w:name="_Ref503527015"/>
      <w:bookmarkStart w:id="341" w:name="_Ref503527003"/>
      <w:r w:rsidRPr="007657AF">
        <w:rPr>
          <w:rFonts w:eastAsiaTheme="minorEastAsia"/>
          <w:noProof/>
          <w:lang w:eastAsia="en-AU"/>
        </w:rPr>
        <w:drawing>
          <wp:inline distT="0" distB="0" distL="0" distR="0" wp14:anchorId="524BDEDC" wp14:editId="43B176DD">
            <wp:extent cx="5689172" cy="6548510"/>
            <wp:effectExtent l="0" t="0" r="6985" b="5080"/>
            <wp:docPr id="2" name="Picture 2" descr="Diagnostic algorithm for PAH from the ESC/ERS Guideline" title="Diagnostic algorithm for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97099" cy="6557635"/>
                    </a:xfrm>
                    <a:prstGeom prst="rect">
                      <a:avLst/>
                    </a:prstGeom>
                    <a:noFill/>
                    <a:ln>
                      <a:noFill/>
                    </a:ln>
                  </pic:spPr>
                </pic:pic>
              </a:graphicData>
            </a:graphic>
          </wp:inline>
        </w:drawing>
      </w:r>
    </w:p>
    <w:p w:rsidR="00CF3FEC" w:rsidRDefault="002D6E34" w:rsidP="002D2A0A">
      <w:pPr>
        <w:pStyle w:val="Caption"/>
        <w:ind w:left="0" w:firstLine="0"/>
        <w:jc w:val="left"/>
      </w:pPr>
      <w:bookmarkStart w:id="342" w:name="_Ref503527126"/>
      <w:bookmarkStart w:id="343" w:name="_Toc513107655"/>
      <w:bookmarkEnd w:id="340"/>
      <w:r>
        <w:t>Figure 1.</w:t>
      </w:r>
      <w:r w:rsidR="00D63371">
        <w:rPr>
          <w:noProof/>
        </w:rPr>
        <w:t>4</w:t>
      </w:r>
      <w:r>
        <w:tab/>
      </w:r>
      <w:proofErr w:type="gramStart"/>
      <w:r w:rsidR="00CF3FEC">
        <w:t>Diagnostic algorithm</w:t>
      </w:r>
      <w:proofErr w:type="gramEnd"/>
      <w:r w:rsidR="00CF3FEC">
        <w:t xml:space="preserve"> for PAH, </w:t>
      </w:r>
      <w:r w:rsidR="00CF3FEC" w:rsidRPr="00411B13">
        <w:t>ESC/</w:t>
      </w:r>
      <w:r w:rsidR="00CF3FEC">
        <w:t>ERS</w:t>
      </w:r>
      <w:r w:rsidR="00CF3FEC" w:rsidRPr="00411B13">
        <w:t xml:space="preserve"> Guideline</w:t>
      </w:r>
      <w:bookmarkEnd w:id="341"/>
      <w:bookmarkEnd w:id="342"/>
      <w:bookmarkEnd w:id="343"/>
    </w:p>
    <w:p w:rsidR="00CF3FEC" w:rsidRPr="00CF3FEC" w:rsidRDefault="00CF3FEC" w:rsidP="00121658">
      <w:pPr>
        <w:pStyle w:val="tabletext1"/>
        <w:keepNext w:val="0"/>
        <w:rPr>
          <w:rFonts w:ascii="Arial Narrow" w:hAnsi="Arial Narrow"/>
        </w:rPr>
      </w:pPr>
      <w:r w:rsidRPr="00CF3FEC">
        <w:rPr>
          <w:rFonts w:ascii="Arial Narrow" w:hAnsi="Arial Narrow"/>
        </w:rPr>
        <w:t>Source: ESC/European Guideline</w:t>
      </w:r>
      <w:r w:rsidR="009C556B" w:rsidRPr="00DC475B">
        <w:rPr>
          <w:rFonts w:ascii="Arial Narrow" w:hAnsi="Arial Narrow"/>
          <w:noProof/>
          <w:vertAlign w:val="superscript"/>
        </w:rPr>
        <w:t>8</w:t>
      </w:r>
    </w:p>
    <w:p w:rsidR="00CF3FEC" w:rsidRDefault="00CF3FEC" w:rsidP="00121658">
      <w:pPr>
        <w:jc w:val="left"/>
        <w:rPr>
          <w:rFonts w:eastAsiaTheme="minorEastAsia"/>
        </w:rPr>
      </w:pPr>
      <w:r>
        <w:rPr>
          <w:rFonts w:eastAsiaTheme="minorEastAsia"/>
        </w:rPr>
        <w:br w:type="page"/>
      </w:r>
    </w:p>
    <w:p w:rsidR="002D6E34" w:rsidRDefault="002D6E34" w:rsidP="00121658">
      <w:pPr>
        <w:jc w:val="left"/>
      </w:pPr>
      <w:bookmarkStart w:id="344" w:name="_Ref503527039"/>
      <w:bookmarkStart w:id="345" w:name="_Ref503527032"/>
      <w:r w:rsidRPr="00A17FE2">
        <w:rPr>
          <w:rFonts w:eastAsiaTheme="minorEastAsia"/>
          <w:noProof/>
          <w:lang w:eastAsia="en-AU"/>
        </w:rPr>
        <w:drawing>
          <wp:inline distT="0" distB="0" distL="0" distR="0" wp14:anchorId="0A29C711" wp14:editId="7FC6954A">
            <wp:extent cx="4733779" cy="6840883"/>
            <wp:effectExtent l="0" t="0" r="0" b="0"/>
            <wp:docPr id="4" name="Picture 4" descr="Diagnostic algorithm for PAH from Bossone et al. (2013)" title="Diagnostic algorithm for P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6787" cy="6845230"/>
                    </a:xfrm>
                    <a:prstGeom prst="rect">
                      <a:avLst/>
                    </a:prstGeom>
                    <a:noFill/>
                    <a:ln>
                      <a:noFill/>
                    </a:ln>
                  </pic:spPr>
                </pic:pic>
              </a:graphicData>
            </a:graphic>
          </wp:inline>
        </w:drawing>
      </w:r>
    </w:p>
    <w:p w:rsidR="00CF3FEC" w:rsidRDefault="002D6E34" w:rsidP="002D2A0A">
      <w:pPr>
        <w:pStyle w:val="Caption"/>
        <w:ind w:left="0" w:firstLine="0"/>
        <w:jc w:val="left"/>
      </w:pPr>
      <w:bookmarkStart w:id="346" w:name="_Ref503527139"/>
      <w:bookmarkStart w:id="347" w:name="_Toc513107656"/>
      <w:bookmarkEnd w:id="344"/>
      <w:r>
        <w:t>Figure 1.</w:t>
      </w:r>
      <w:r w:rsidR="00D63371">
        <w:rPr>
          <w:noProof/>
        </w:rPr>
        <w:t>5</w:t>
      </w:r>
      <w:r>
        <w:tab/>
      </w:r>
      <w:proofErr w:type="gramStart"/>
      <w:r w:rsidR="00CF3FEC">
        <w:t>Diagnostic algorithm</w:t>
      </w:r>
      <w:proofErr w:type="gramEnd"/>
      <w:r w:rsidR="00CF3FEC">
        <w:t xml:space="preserve"> for PAH</w:t>
      </w:r>
      <w:bookmarkEnd w:id="345"/>
      <w:bookmarkEnd w:id="346"/>
      <w:bookmarkEnd w:id="347"/>
      <w:r w:rsidR="00CF3FEC">
        <w:t xml:space="preserve"> </w:t>
      </w:r>
    </w:p>
    <w:p w:rsidR="00CF3FEC" w:rsidRDefault="00CF3FEC" w:rsidP="00121658">
      <w:pPr>
        <w:pStyle w:val="Tablenote"/>
        <w:rPr>
          <w:rFonts w:ascii="Arial Narrow" w:hAnsi="Arial Narrow"/>
        </w:rPr>
      </w:pPr>
      <w:r w:rsidRPr="00CF3FEC">
        <w:rPr>
          <w:rFonts w:ascii="Arial Narrow" w:hAnsi="Arial Narrow"/>
        </w:rPr>
        <w:t xml:space="preserve">Source: </w:t>
      </w:r>
      <w:proofErr w:type="spellStart"/>
      <w:r w:rsidRPr="00CF3FEC">
        <w:rPr>
          <w:rFonts w:ascii="Arial Narrow" w:hAnsi="Arial Narrow"/>
        </w:rPr>
        <w:t>Bossone</w:t>
      </w:r>
      <w:proofErr w:type="spellEnd"/>
      <w:r w:rsidRPr="00CF3FEC">
        <w:rPr>
          <w:rFonts w:ascii="Arial Narrow" w:hAnsi="Arial Narrow"/>
        </w:rPr>
        <w:t xml:space="preserve"> </w:t>
      </w:r>
      <w:r w:rsidRPr="00CF3FEC">
        <w:rPr>
          <w:rFonts w:ascii="Arial Narrow" w:hAnsi="Arial Narrow"/>
          <w:i/>
        </w:rPr>
        <w:t xml:space="preserve">et al </w:t>
      </w:r>
      <w:r w:rsidRPr="00CF3FEC">
        <w:rPr>
          <w:rFonts w:ascii="Arial Narrow" w:hAnsi="Arial Narrow"/>
        </w:rPr>
        <w:t>2013</w:t>
      </w:r>
      <w:r w:rsidR="009C556B" w:rsidRPr="009C556B">
        <w:rPr>
          <w:rFonts w:ascii="Arial Narrow" w:hAnsi="Arial Narrow"/>
          <w:noProof/>
          <w:vertAlign w:val="superscript"/>
        </w:rPr>
        <w:t>30</w:t>
      </w:r>
    </w:p>
    <w:p w:rsidR="00F735D6" w:rsidRPr="00CF3FEC" w:rsidRDefault="00F735D6" w:rsidP="00121658">
      <w:pPr>
        <w:pStyle w:val="Tablenote"/>
        <w:rPr>
          <w:rFonts w:ascii="Arial Narrow" w:hAnsi="Arial Narrow"/>
        </w:rPr>
      </w:pPr>
    </w:p>
    <w:p w:rsidR="00F735D6" w:rsidRDefault="00F735D6" w:rsidP="00121658">
      <w:pPr>
        <w:jc w:val="left"/>
      </w:pPr>
      <w:r>
        <w:br w:type="page"/>
      </w:r>
    </w:p>
    <w:p w:rsidR="002D6E34" w:rsidRDefault="002D6E34" w:rsidP="00121658">
      <w:pPr>
        <w:jc w:val="left"/>
      </w:pPr>
      <w:bookmarkStart w:id="348" w:name="_Ref503515964"/>
      <w:bookmarkStart w:id="349" w:name="_Ref505516925"/>
      <w:r w:rsidRPr="00434E66">
        <w:rPr>
          <w:rFonts w:eastAsiaTheme="minorEastAsia"/>
          <w:noProof/>
          <w:lang w:eastAsia="en-AU"/>
        </w:rPr>
        <w:drawing>
          <wp:inline distT="0" distB="0" distL="0" distR="0" wp14:anchorId="005A27FB" wp14:editId="1DBC7179">
            <wp:extent cx="5731510" cy="3780155"/>
            <wp:effectExtent l="0" t="0" r="2540" b="0"/>
            <wp:docPr id="5" name="Picture 5" descr="Treatment algorithm for Paediatric PAH from World Symposium (Ivy et al., 2013)" title="Treatment algorithm for Paediatric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9208" cy="3785232"/>
                    </a:xfrm>
                    <a:prstGeom prst="rect">
                      <a:avLst/>
                    </a:prstGeom>
                    <a:noFill/>
                    <a:ln>
                      <a:noFill/>
                    </a:ln>
                  </pic:spPr>
                </pic:pic>
              </a:graphicData>
            </a:graphic>
          </wp:inline>
        </w:drawing>
      </w:r>
    </w:p>
    <w:p w:rsidR="00F735D6" w:rsidRDefault="002D6E34" w:rsidP="002D2A0A">
      <w:pPr>
        <w:pStyle w:val="Caption"/>
        <w:ind w:left="0" w:firstLine="0"/>
        <w:jc w:val="left"/>
      </w:pPr>
      <w:bookmarkStart w:id="350" w:name="_Ref503516466"/>
      <w:bookmarkStart w:id="351" w:name="_Toc513107657"/>
      <w:bookmarkEnd w:id="348"/>
      <w:r>
        <w:t>Figure 1.</w:t>
      </w:r>
      <w:r w:rsidR="00D63371">
        <w:rPr>
          <w:noProof/>
        </w:rPr>
        <w:t>6</w:t>
      </w:r>
      <w:r>
        <w:tab/>
      </w:r>
      <w:r w:rsidR="00F735D6">
        <w:t xml:space="preserve">Treatment </w:t>
      </w:r>
      <w:proofErr w:type="gramStart"/>
      <w:r w:rsidR="00F735D6">
        <w:t>algorithm</w:t>
      </w:r>
      <w:proofErr w:type="gramEnd"/>
      <w:r w:rsidR="00F735D6">
        <w:t xml:space="preserve"> for Paediatric PAH (World Symposium)</w:t>
      </w:r>
      <w:bookmarkEnd w:id="349"/>
      <w:bookmarkEnd w:id="350"/>
      <w:bookmarkEnd w:id="351"/>
    </w:p>
    <w:p w:rsidR="00F735D6" w:rsidRPr="00CF3FEC" w:rsidRDefault="00F735D6" w:rsidP="00121658">
      <w:pPr>
        <w:pStyle w:val="Tablenote"/>
        <w:rPr>
          <w:rFonts w:ascii="Arial Narrow" w:hAnsi="Arial Narrow"/>
        </w:rPr>
      </w:pPr>
      <w:r w:rsidRPr="00CF3FEC">
        <w:rPr>
          <w:rFonts w:ascii="Arial Narrow" w:hAnsi="Arial Narrow"/>
        </w:rPr>
        <w:t xml:space="preserve">Source: Ivy </w:t>
      </w:r>
      <w:r w:rsidRPr="00CF3FEC">
        <w:rPr>
          <w:rFonts w:ascii="Arial Narrow" w:hAnsi="Arial Narrow"/>
          <w:i/>
        </w:rPr>
        <w:t xml:space="preserve">et al </w:t>
      </w:r>
      <w:r w:rsidRPr="00CF3FEC">
        <w:rPr>
          <w:rFonts w:ascii="Arial Narrow" w:hAnsi="Arial Narrow"/>
        </w:rPr>
        <w:t>2013</w:t>
      </w:r>
      <w:r w:rsidR="009C556B" w:rsidRPr="009C556B">
        <w:rPr>
          <w:rFonts w:ascii="Arial Narrow" w:hAnsi="Arial Narrow"/>
          <w:noProof/>
          <w:vertAlign w:val="superscript"/>
        </w:rPr>
        <w:t>23</w:t>
      </w:r>
    </w:p>
    <w:p w:rsidR="00CF3FEC" w:rsidRDefault="00CF3FEC" w:rsidP="00121658">
      <w:pPr>
        <w:jc w:val="left"/>
        <w:rPr>
          <w:rFonts w:eastAsiaTheme="minorEastAsia" w:cstheme="majorBidi"/>
          <w:b/>
          <w:bCs/>
          <w:i/>
          <w:sz w:val="28"/>
        </w:rPr>
      </w:pPr>
      <w:r>
        <w:rPr>
          <w:rFonts w:eastAsiaTheme="minorEastAsia"/>
        </w:rPr>
        <w:br w:type="page"/>
      </w:r>
    </w:p>
    <w:p w:rsidR="006B6320" w:rsidRDefault="006B6320" w:rsidP="00121658">
      <w:pPr>
        <w:jc w:val="left"/>
      </w:pPr>
      <w:bookmarkStart w:id="352" w:name="_Ref503485870"/>
      <w:bookmarkStart w:id="353" w:name="_Ref505516950"/>
      <w:r w:rsidRPr="009740A3">
        <w:rPr>
          <w:rFonts w:eastAsiaTheme="minorEastAsia"/>
          <w:noProof/>
          <w:lang w:eastAsia="en-AU"/>
        </w:rPr>
        <w:drawing>
          <wp:inline distT="0" distB="0" distL="0" distR="0" wp14:anchorId="6159E5A8" wp14:editId="50CC36D2">
            <wp:extent cx="5723890" cy="3859095"/>
            <wp:effectExtent l="0" t="0" r="0" b="8255"/>
            <wp:docPr id="35" name="Picture 35" descr="Diagnostic algorithm for Paediatric PAH from Abman et al., (2015)" title="Diagnostic algorithm for Paediatric P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1111"/>
                    <a:stretch/>
                  </pic:blipFill>
                  <pic:spPr bwMode="auto">
                    <a:xfrm>
                      <a:off x="0" y="0"/>
                      <a:ext cx="5723890" cy="3859095"/>
                    </a:xfrm>
                    <a:prstGeom prst="rect">
                      <a:avLst/>
                    </a:prstGeom>
                    <a:noFill/>
                    <a:ln>
                      <a:noFill/>
                    </a:ln>
                    <a:extLst>
                      <a:ext uri="{53640926-AAD7-44D8-BBD7-CCE9431645EC}">
                        <a14:shadowObscured xmlns:a14="http://schemas.microsoft.com/office/drawing/2010/main"/>
                      </a:ext>
                    </a:extLst>
                  </pic:spPr>
                </pic:pic>
              </a:graphicData>
            </a:graphic>
          </wp:inline>
        </w:drawing>
      </w:r>
    </w:p>
    <w:p w:rsidR="00CF3FEC" w:rsidRDefault="006B6320" w:rsidP="002D2A0A">
      <w:pPr>
        <w:pStyle w:val="Caption"/>
        <w:ind w:left="0" w:firstLine="0"/>
        <w:jc w:val="left"/>
      </w:pPr>
      <w:bookmarkStart w:id="354" w:name="_Ref503516480"/>
      <w:bookmarkStart w:id="355" w:name="_Toc513107658"/>
      <w:bookmarkEnd w:id="352"/>
      <w:r>
        <w:t>Figure 1.</w:t>
      </w:r>
      <w:r w:rsidR="00D63371">
        <w:rPr>
          <w:noProof/>
        </w:rPr>
        <w:t>7</w:t>
      </w:r>
      <w:r>
        <w:tab/>
      </w:r>
      <w:proofErr w:type="gramStart"/>
      <w:r w:rsidR="00CF3FEC">
        <w:t>Diagnostic algorithm</w:t>
      </w:r>
      <w:proofErr w:type="gramEnd"/>
      <w:r w:rsidR="00CF3FEC">
        <w:t xml:space="preserve"> for Paediatric PAH</w:t>
      </w:r>
      <w:bookmarkEnd w:id="353"/>
      <w:bookmarkEnd w:id="354"/>
      <w:bookmarkEnd w:id="355"/>
    </w:p>
    <w:p w:rsidR="00CF3FEC" w:rsidRPr="00CF3FEC" w:rsidRDefault="00CF3FEC" w:rsidP="00121658">
      <w:pPr>
        <w:pStyle w:val="Tablenote"/>
        <w:rPr>
          <w:rFonts w:ascii="Arial Narrow" w:hAnsi="Arial Narrow"/>
        </w:rPr>
      </w:pPr>
      <w:r w:rsidRPr="00CF3FEC">
        <w:rPr>
          <w:rFonts w:ascii="Arial Narrow" w:hAnsi="Arial Narrow"/>
        </w:rPr>
        <w:t xml:space="preserve">Source: </w:t>
      </w:r>
      <w:proofErr w:type="spellStart"/>
      <w:r w:rsidRPr="00CF3FEC">
        <w:rPr>
          <w:rFonts w:ascii="Arial Narrow" w:hAnsi="Arial Narrow"/>
        </w:rPr>
        <w:t>Abman</w:t>
      </w:r>
      <w:proofErr w:type="spellEnd"/>
      <w:r w:rsidRPr="00CF3FEC">
        <w:rPr>
          <w:rFonts w:ascii="Arial Narrow" w:hAnsi="Arial Narrow"/>
        </w:rPr>
        <w:t xml:space="preserve"> </w:t>
      </w:r>
      <w:r w:rsidRPr="00CF3FEC">
        <w:rPr>
          <w:rFonts w:ascii="Arial Narrow" w:hAnsi="Arial Narrow"/>
          <w:i/>
        </w:rPr>
        <w:t xml:space="preserve">et al </w:t>
      </w:r>
      <w:r w:rsidRPr="00CF3FEC">
        <w:rPr>
          <w:rFonts w:ascii="Arial Narrow" w:hAnsi="Arial Narrow"/>
        </w:rPr>
        <w:t>2015</w:t>
      </w:r>
      <w:r w:rsidR="009C556B" w:rsidRPr="009C556B">
        <w:rPr>
          <w:rFonts w:ascii="Arial Narrow" w:hAnsi="Arial Narrow"/>
          <w:noProof/>
          <w:vertAlign w:val="superscript"/>
        </w:rPr>
        <w:t>22</w:t>
      </w:r>
    </w:p>
    <w:p w:rsidR="00CF3FEC" w:rsidRDefault="00CF3FEC" w:rsidP="00121658">
      <w:pPr>
        <w:spacing w:before="0" w:line="240" w:lineRule="auto"/>
        <w:jc w:val="left"/>
      </w:pPr>
    </w:p>
    <w:p w:rsidR="00CF3FEC" w:rsidRDefault="00CF3FEC" w:rsidP="00121658">
      <w:pPr>
        <w:spacing w:before="0" w:line="240" w:lineRule="auto"/>
        <w:jc w:val="left"/>
        <w:sectPr w:rsidR="00CF3FEC" w:rsidSect="00CF3FEC">
          <w:footnotePr>
            <w:numFmt w:val="chicago"/>
          </w:footnotePr>
          <w:pgSz w:w="11906" w:h="16838"/>
          <w:pgMar w:top="1134" w:right="1134" w:bottom="1134" w:left="1134" w:header="709" w:footer="709" w:gutter="0"/>
          <w:cols w:space="708"/>
          <w:docGrid w:linePitch="360"/>
        </w:sectPr>
      </w:pPr>
    </w:p>
    <w:p w:rsidR="00DA0A26" w:rsidRDefault="00F23464" w:rsidP="00121658">
      <w:pPr>
        <w:pStyle w:val="Heading2"/>
        <w:numPr>
          <w:ilvl w:val="0"/>
          <w:numId w:val="0"/>
        </w:numPr>
        <w:jc w:val="left"/>
      </w:pPr>
      <w:bookmarkStart w:id="356" w:name="_Ref508899627"/>
      <w:bookmarkStart w:id="357" w:name="_Ref505782976"/>
      <w:bookmarkStart w:id="358" w:name="_Toc513107617"/>
      <w:r>
        <w:t xml:space="preserve">Appendix </w:t>
      </w:r>
      <w:r w:rsidR="005E4483">
        <w:t>1.D</w:t>
      </w:r>
      <w:bookmarkEnd w:id="356"/>
      <w:r>
        <w:tab/>
      </w:r>
      <w:r w:rsidR="00DA0A26">
        <w:t>Details of PAH restrictions</w:t>
      </w:r>
      <w:bookmarkEnd w:id="330"/>
      <w:bookmarkEnd w:id="357"/>
      <w:bookmarkEnd w:id="358"/>
    </w:p>
    <w:p w:rsidR="00DA0A26" w:rsidRDefault="00F275ED" w:rsidP="00DF4B27">
      <w:pPr>
        <w:pStyle w:val="Caption"/>
        <w:ind w:left="0" w:firstLine="0"/>
        <w:jc w:val="left"/>
      </w:pPr>
      <w:bookmarkStart w:id="359" w:name="_Ref508899778"/>
      <w:bookmarkStart w:id="360" w:name="_Ref502147725"/>
      <w:bookmarkStart w:id="361" w:name="_Toc502867744"/>
      <w:bookmarkStart w:id="362" w:name="_Toc513107648"/>
      <w:r>
        <w:t>Table 1.</w:t>
      </w:r>
      <w:r w:rsidR="00D63371">
        <w:rPr>
          <w:noProof/>
        </w:rPr>
        <w:t>22</w:t>
      </w:r>
      <w:bookmarkEnd w:id="359"/>
      <w:r w:rsidR="000B7685">
        <w:rPr>
          <w:noProof/>
        </w:rPr>
        <w:tab/>
      </w:r>
      <w:r w:rsidR="00DA0A26">
        <w:t>Clinical criteria and prescribing instructions common to all PAH items</w:t>
      </w:r>
      <w:bookmarkEnd w:id="360"/>
      <w:bookmarkEnd w:id="361"/>
      <w:bookmarkEnd w:id="362"/>
    </w:p>
    <w:tbl>
      <w:tblPr>
        <w:tblStyle w:val="TableGrid"/>
        <w:tblW w:w="5000" w:type="pct"/>
        <w:tblLook w:val="04A0" w:firstRow="1" w:lastRow="0" w:firstColumn="1" w:lastColumn="0" w:noHBand="0" w:noVBand="1"/>
        <w:tblCaption w:val="Clinical criteria and prescribing instructions common to all PAH items"/>
      </w:tblPr>
      <w:tblGrid>
        <w:gridCol w:w="7229"/>
        <w:gridCol w:w="7351"/>
      </w:tblGrid>
      <w:tr w:rsidR="00DA0A26" w:rsidRPr="00DF4B27" w:rsidTr="00027EEF">
        <w:trPr>
          <w:cnfStyle w:val="100000000000" w:firstRow="1" w:lastRow="0" w:firstColumn="0" w:lastColumn="0" w:oddVBand="0" w:evenVBand="0" w:oddHBand="0" w:evenHBand="0" w:firstRowFirstColumn="0" w:firstRowLastColumn="0" w:lastRowFirstColumn="0" w:lastRowLastColumn="0"/>
        </w:trPr>
        <w:tc>
          <w:tcPr>
            <w:tcW w:w="2479" w:type="pct"/>
            <w:shd w:val="clear" w:color="auto" w:fill="BFBFBF" w:themeFill="background1" w:themeFillShade="BF"/>
          </w:tcPr>
          <w:p w:rsidR="00DA0A26" w:rsidRPr="00DF4B27" w:rsidRDefault="00DA0A26" w:rsidP="00DF4B27">
            <w:pPr>
              <w:spacing w:before="40" w:afterLines="40" w:after="96" w:line="240" w:lineRule="auto"/>
              <w:ind w:right="57"/>
              <w:jc w:val="left"/>
              <w:rPr>
                <w:rFonts w:ascii="Arial" w:hAnsi="Arial" w:cs="Arial"/>
                <w:b/>
                <w:sz w:val="20"/>
                <w:szCs w:val="20"/>
              </w:rPr>
            </w:pPr>
            <w:r w:rsidRPr="00DF4B27">
              <w:rPr>
                <w:rFonts w:ascii="Arial" w:hAnsi="Arial" w:cs="Arial"/>
                <w:b/>
                <w:sz w:val="20"/>
                <w:szCs w:val="20"/>
              </w:rPr>
              <w:t>Current PBS Restriction</w:t>
            </w:r>
          </w:p>
        </w:tc>
        <w:tc>
          <w:tcPr>
            <w:tcW w:w="2521" w:type="pct"/>
            <w:shd w:val="clear" w:color="auto" w:fill="BFBFBF" w:themeFill="background1" w:themeFillShade="BF"/>
          </w:tcPr>
          <w:p w:rsidR="00DA0A26" w:rsidRPr="00DF4B27" w:rsidRDefault="00DA0A26" w:rsidP="00DF4B27">
            <w:pPr>
              <w:spacing w:before="40" w:afterLines="40" w:after="96" w:line="240" w:lineRule="auto"/>
              <w:ind w:right="57"/>
              <w:jc w:val="left"/>
              <w:rPr>
                <w:rFonts w:ascii="Arial" w:hAnsi="Arial" w:cs="Arial"/>
                <w:b/>
                <w:sz w:val="20"/>
                <w:szCs w:val="20"/>
              </w:rPr>
            </w:pPr>
            <w:r w:rsidRPr="00DF4B27">
              <w:rPr>
                <w:rFonts w:ascii="Arial" w:hAnsi="Arial" w:cs="Arial"/>
                <w:b/>
                <w:sz w:val="20"/>
                <w:szCs w:val="20"/>
              </w:rPr>
              <w:t>Comment</w:t>
            </w:r>
          </w:p>
        </w:tc>
      </w:tr>
      <w:tr w:rsidR="00DA0A26" w:rsidRPr="00DF4B27" w:rsidTr="00027EEF">
        <w:tc>
          <w:tcPr>
            <w:tcW w:w="2479" w:type="pct"/>
            <w:tcBorders>
              <w:bottom w:val="nil"/>
            </w:tcBorders>
          </w:tcPr>
          <w:p w:rsidR="00DA0A26" w:rsidRPr="00DF4B27" w:rsidRDefault="00DA0A26" w:rsidP="00DF4B27">
            <w:pPr>
              <w:spacing w:before="40" w:afterLines="40" w:after="96" w:line="240" w:lineRule="auto"/>
              <w:ind w:right="57"/>
              <w:jc w:val="left"/>
              <w:rPr>
                <w:rFonts w:ascii="Arial" w:hAnsi="Arial" w:cs="Arial"/>
                <w:sz w:val="20"/>
                <w:szCs w:val="20"/>
                <w:u w:val="single"/>
              </w:rPr>
            </w:pPr>
            <w:r w:rsidRPr="00DF4B27">
              <w:rPr>
                <w:rFonts w:ascii="Arial" w:hAnsi="Arial" w:cs="Arial"/>
                <w:sz w:val="20"/>
                <w:szCs w:val="20"/>
                <w:u w:val="single"/>
              </w:rPr>
              <w:t>Clinical criterion (‘initial 1’; ‘initial 2’; also ‘subsequent continuing’):</w:t>
            </w:r>
          </w:p>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Patient must have been assessed by a physician at a designated hospital</w:t>
            </w:r>
          </w:p>
          <w:p w:rsidR="00DA0A26" w:rsidRPr="00DF4B27" w:rsidRDefault="00DA0A26" w:rsidP="00DF4B27">
            <w:pPr>
              <w:spacing w:before="40" w:afterLines="40" w:after="96" w:line="240" w:lineRule="auto"/>
              <w:ind w:right="57"/>
              <w:jc w:val="left"/>
              <w:rPr>
                <w:rFonts w:ascii="Arial" w:hAnsi="Arial" w:cs="Arial"/>
                <w:sz w:val="20"/>
                <w:szCs w:val="20"/>
              </w:rPr>
            </w:pPr>
          </w:p>
          <w:p w:rsidR="00DA0A26" w:rsidRPr="00DF4B27" w:rsidRDefault="00DA0A26" w:rsidP="00DF4B27">
            <w:pPr>
              <w:spacing w:before="40" w:afterLines="40" w:after="96" w:line="240" w:lineRule="auto"/>
              <w:ind w:right="57"/>
              <w:jc w:val="left"/>
              <w:rPr>
                <w:rFonts w:ascii="Arial" w:hAnsi="Arial" w:cs="Arial"/>
                <w:sz w:val="20"/>
                <w:szCs w:val="20"/>
                <w:u w:val="single"/>
              </w:rPr>
            </w:pPr>
            <w:r w:rsidRPr="00DF4B27">
              <w:rPr>
                <w:rFonts w:ascii="Arial" w:hAnsi="Arial" w:cs="Arial"/>
                <w:sz w:val="20"/>
                <w:szCs w:val="20"/>
                <w:u w:val="single"/>
              </w:rPr>
              <w:t>Clinical criterion (‘first continuing’):</w:t>
            </w:r>
          </w:p>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Patient must have been assessed by a physician from a designated hospital to have achieved a response to the PBS-subsidised initial course of treatment</w:t>
            </w:r>
          </w:p>
        </w:tc>
        <w:tc>
          <w:tcPr>
            <w:tcW w:w="2521" w:type="pct"/>
            <w:tcBorders>
              <w:bottom w:val="nil"/>
            </w:tcBorders>
          </w:tcPr>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Unlike some other s100 HSD complex authority required drugs, the prescriber specialties are not explicit. However, given s100 HSD items are ‘hospital only’ listings, this excludes general practitioners</w:t>
            </w:r>
            <w:r w:rsidR="00C6734D" w:rsidRPr="00DF4B27">
              <w:rPr>
                <w:rFonts w:ascii="Arial" w:hAnsi="Arial" w:cs="Arial"/>
                <w:sz w:val="20"/>
                <w:szCs w:val="20"/>
              </w:rPr>
              <w:t xml:space="preserve">. </w:t>
            </w:r>
            <w:r w:rsidRPr="00DF4B27">
              <w:rPr>
                <w:rFonts w:ascii="Arial" w:hAnsi="Arial" w:cs="Arial"/>
                <w:sz w:val="20"/>
                <w:szCs w:val="20"/>
              </w:rPr>
              <w:t xml:space="preserve">It is expected that respiratory physicians, cardiologists, some rheumatologists and a small number of paediatricians with expertise in heart conditions would need to be able to prescribe </w:t>
            </w:r>
            <w:r w:rsidR="00F95235" w:rsidRPr="00DF4B27">
              <w:rPr>
                <w:rFonts w:ascii="Arial" w:hAnsi="Arial" w:cs="Arial"/>
                <w:sz w:val="20"/>
                <w:szCs w:val="20"/>
              </w:rPr>
              <w:t>PAH medicines</w:t>
            </w:r>
            <w:r w:rsidR="00C6734D" w:rsidRPr="00DF4B27">
              <w:rPr>
                <w:rFonts w:ascii="Arial" w:hAnsi="Arial" w:cs="Arial"/>
                <w:sz w:val="20"/>
                <w:szCs w:val="20"/>
              </w:rPr>
              <w:t xml:space="preserve">. </w:t>
            </w:r>
          </w:p>
          <w:p w:rsidR="00DA0A26" w:rsidRPr="00DF4B27" w:rsidRDefault="00EB3968"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A comparison of these centres against guideline criteria for numbers of PAH patients per year was not possible as these data were not available</w:t>
            </w:r>
            <w:r w:rsidR="003C17FA" w:rsidRPr="00DF4B27">
              <w:rPr>
                <w:rFonts w:ascii="Arial" w:hAnsi="Arial" w:cs="Arial"/>
                <w:sz w:val="20"/>
                <w:szCs w:val="20"/>
              </w:rPr>
              <w:t xml:space="preserve">. </w:t>
            </w:r>
          </w:p>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Although not a clinical criterion for ‘initial 3’; the definition of response required to previous therapy includes an assessment by a physician at a designated hospital.</w:t>
            </w:r>
          </w:p>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(Appears in all restrictions except balance of supply)</w:t>
            </w:r>
          </w:p>
        </w:tc>
      </w:tr>
      <w:tr w:rsidR="00DA0A26" w:rsidRPr="00DF4B27" w:rsidTr="00027EEF">
        <w:tc>
          <w:tcPr>
            <w:tcW w:w="2479" w:type="pct"/>
            <w:tcBorders>
              <w:top w:val="nil"/>
              <w:bottom w:val="single" w:sz="4" w:space="0" w:color="auto"/>
            </w:tcBorders>
          </w:tcPr>
          <w:p w:rsidR="00DA0A26" w:rsidRPr="00DF4B27" w:rsidRDefault="00DA0A26" w:rsidP="00DF4B27">
            <w:pPr>
              <w:spacing w:before="40" w:afterLines="40" w:after="96" w:line="240" w:lineRule="auto"/>
              <w:ind w:right="57"/>
              <w:jc w:val="left"/>
              <w:rPr>
                <w:rFonts w:ascii="Arial" w:hAnsi="Arial" w:cs="Arial"/>
                <w:sz w:val="20"/>
                <w:szCs w:val="20"/>
                <w:u w:val="single"/>
              </w:rPr>
            </w:pPr>
            <w:r w:rsidRPr="00DF4B27">
              <w:rPr>
                <w:rFonts w:ascii="Arial" w:hAnsi="Arial" w:cs="Arial"/>
                <w:sz w:val="20"/>
                <w:szCs w:val="20"/>
                <w:u w:val="single"/>
              </w:rPr>
              <w:t>Note:</w:t>
            </w:r>
          </w:p>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 xml:space="preserve">Refer to the Department of Human Services website at www.humanservices.gov.au for a list of designated hospitals. </w:t>
            </w:r>
          </w:p>
        </w:tc>
        <w:tc>
          <w:tcPr>
            <w:tcW w:w="2521" w:type="pct"/>
            <w:tcBorders>
              <w:top w:val="nil"/>
              <w:bottom w:val="single" w:sz="4" w:space="0" w:color="auto"/>
            </w:tcBorders>
          </w:tcPr>
          <w:p w:rsidR="00DA0A26" w:rsidRPr="00DF4B27" w:rsidRDefault="00DA0A26" w:rsidP="00DF4B27">
            <w:pPr>
              <w:spacing w:before="40" w:afterLines="40" w:after="96" w:line="240" w:lineRule="auto"/>
              <w:ind w:right="57"/>
              <w:jc w:val="left"/>
              <w:rPr>
                <w:rFonts w:ascii="Arial" w:hAnsi="Arial" w:cs="Arial"/>
                <w:sz w:val="20"/>
                <w:szCs w:val="20"/>
              </w:rPr>
            </w:pPr>
            <w:r w:rsidRPr="003F5FE5">
              <w:rPr>
                <w:rFonts w:ascii="Arial" w:hAnsi="Arial" w:cs="Arial"/>
                <w:sz w:val="20"/>
                <w:szCs w:val="20"/>
              </w:rPr>
              <w:t>https://www.humanservices.gov.au/organisations/health-professionals/enablers/pulmonary-arterial-hypertension-designated-centres</w:t>
            </w:r>
            <w:r w:rsidRPr="00DF4B27">
              <w:rPr>
                <w:rFonts w:ascii="Arial" w:hAnsi="Arial" w:cs="Arial"/>
                <w:sz w:val="20"/>
                <w:szCs w:val="20"/>
              </w:rPr>
              <w:t xml:space="preserve"> </w:t>
            </w:r>
          </w:p>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(Appears in all restrictions except balance of supply)</w:t>
            </w:r>
          </w:p>
        </w:tc>
      </w:tr>
      <w:tr w:rsidR="00DA0A26" w:rsidRPr="00DF4B27" w:rsidTr="00027EEF">
        <w:tc>
          <w:tcPr>
            <w:tcW w:w="2479" w:type="pct"/>
          </w:tcPr>
          <w:p w:rsidR="00DA0A26" w:rsidRPr="00DF4B27" w:rsidRDefault="00DA0A26" w:rsidP="00DF4B27">
            <w:pPr>
              <w:spacing w:before="40" w:afterLines="40" w:after="96" w:line="240" w:lineRule="auto"/>
              <w:ind w:right="57"/>
              <w:jc w:val="left"/>
              <w:rPr>
                <w:rFonts w:ascii="Arial" w:hAnsi="Arial" w:cs="Arial"/>
                <w:sz w:val="20"/>
                <w:szCs w:val="20"/>
                <w:u w:val="single"/>
              </w:rPr>
            </w:pPr>
            <w:r w:rsidRPr="00DF4B27">
              <w:rPr>
                <w:rFonts w:ascii="Arial" w:hAnsi="Arial" w:cs="Arial"/>
                <w:sz w:val="20"/>
                <w:szCs w:val="20"/>
                <w:u w:val="single"/>
              </w:rPr>
              <w:t>Clinical criterion (all restrictions):</w:t>
            </w:r>
          </w:p>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The treatment must be the sole PBS-subsidised PAH agent for this condition</w:t>
            </w:r>
          </w:p>
        </w:tc>
        <w:tc>
          <w:tcPr>
            <w:tcW w:w="2521" w:type="pct"/>
          </w:tcPr>
          <w:p w:rsidR="00DA0A26" w:rsidRPr="00DF4B27" w:rsidRDefault="0022783C"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Discussed in main body.</w:t>
            </w:r>
          </w:p>
        </w:tc>
      </w:tr>
      <w:tr w:rsidR="00DA0A26" w:rsidRPr="00DF4B27" w:rsidTr="00027EEF">
        <w:tc>
          <w:tcPr>
            <w:tcW w:w="2479" w:type="pct"/>
          </w:tcPr>
          <w:p w:rsidR="00DA0A26" w:rsidRPr="00DF4B27" w:rsidRDefault="00DA0A26" w:rsidP="00DF4B27">
            <w:pPr>
              <w:spacing w:before="40" w:afterLines="40" w:after="96" w:line="240" w:lineRule="auto"/>
              <w:ind w:right="57"/>
              <w:jc w:val="left"/>
              <w:rPr>
                <w:rFonts w:ascii="Arial" w:hAnsi="Arial" w:cs="Arial"/>
                <w:sz w:val="20"/>
                <w:szCs w:val="20"/>
                <w:u w:val="single"/>
              </w:rPr>
            </w:pPr>
            <w:r w:rsidRPr="00DF4B27">
              <w:rPr>
                <w:rFonts w:ascii="Arial" w:hAnsi="Arial" w:cs="Arial"/>
                <w:sz w:val="20"/>
                <w:szCs w:val="20"/>
                <w:u w:val="single"/>
              </w:rPr>
              <w:t>Prescribing instruction:</w:t>
            </w:r>
          </w:p>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 xml:space="preserve">The term 'PAH agents' refers to bosentan monohydrate, iloprost trometamol, epoprostenol sodium, sildenafil citrate, ambrisentan, tadalafil, macitentan, and riociguat. </w:t>
            </w:r>
          </w:p>
        </w:tc>
        <w:tc>
          <w:tcPr>
            <w:tcW w:w="2521" w:type="pct"/>
          </w:tcPr>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This is a list of all drugs listed on the PBS for PAH – this did not include riociguat when it was only listed for chronic thromboembolic pulmonary hypertension (CTEPH)</w:t>
            </w:r>
            <w:r w:rsidR="00C6734D" w:rsidRPr="00DF4B27">
              <w:rPr>
                <w:rFonts w:ascii="Arial" w:hAnsi="Arial" w:cs="Arial"/>
                <w:sz w:val="20"/>
                <w:szCs w:val="20"/>
              </w:rPr>
              <w:t xml:space="preserve">. </w:t>
            </w:r>
            <w:r w:rsidRPr="00DF4B27">
              <w:rPr>
                <w:rFonts w:ascii="Arial" w:hAnsi="Arial" w:cs="Arial"/>
                <w:sz w:val="20"/>
                <w:szCs w:val="20"/>
              </w:rPr>
              <w:t>(Appears in all restrictions except balance of supply)</w:t>
            </w:r>
          </w:p>
        </w:tc>
      </w:tr>
      <w:tr w:rsidR="00DA0A26" w:rsidRPr="00DF4B27" w:rsidTr="00027EEF">
        <w:tc>
          <w:tcPr>
            <w:tcW w:w="2479" w:type="pct"/>
          </w:tcPr>
          <w:p w:rsidR="00DA0A26" w:rsidRPr="00DF4B27" w:rsidRDefault="00DA0A26" w:rsidP="00DF4B27">
            <w:pPr>
              <w:spacing w:before="40" w:afterLines="40" w:after="96" w:line="240" w:lineRule="auto"/>
              <w:ind w:right="57"/>
              <w:jc w:val="left"/>
              <w:rPr>
                <w:rFonts w:ascii="Arial" w:hAnsi="Arial" w:cs="Arial"/>
                <w:sz w:val="20"/>
                <w:szCs w:val="20"/>
                <w:u w:val="single"/>
              </w:rPr>
            </w:pPr>
            <w:r w:rsidRPr="00DF4B27">
              <w:rPr>
                <w:rFonts w:ascii="Arial" w:hAnsi="Arial" w:cs="Arial"/>
                <w:sz w:val="20"/>
                <w:szCs w:val="20"/>
                <w:u w:val="single"/>
              </w:rPr>
              <w:t>Prescribing Instruction:</w:t>
            </w:r>
          </w:p>
          <w:p w:rsidR="00DA0A26" w:rsidRPr="00DF4B27" w:rsidRDefault="00DA0A26"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PAH agents are not PBS-subsidised for patients with pulmonary hypertension secondary to interstitial lung disease associated with connective tissue disease, where the total lung capacity is less than 70% of predicted.</w:t>
            </w:r>
          </w:p>
        </w:tc>
        <w:tc>
          <w:tcPr>
            <w:tcW w:w="2521" w:type="pct"/>
          </w:tcPr>
          <w:p w:rsidR="00DA0A26" w:rsidRPr="00DF4B27" w:rsidRDefault="00EB3968" w:rsidP="00DF4B27">
            <w:pPr>
              <w:spacing w:before="40" w:afterLines="40" w:after="96" w:line="240" w:lineRule="auto"/>
              <w:ind w:right="57"/>
              <w:jc w:val="left"/>
              <w:rPr>
                <w:rFonts w:ascii="Arial" w:hAnsi="Arial" w:cs="Arial"/>
                <w:sz w:val="20"/>
                <w:szCs w:val="20"/>
              </w:rPr>
            </w:pPr>
            <w:r w:rsidRPr="00DF4B27">
              <w:rPr>
                <w:rFonts w:ascii="Arial" w:hAnsi="Arial" w:cs="Arial"/>
                <w:sz w:val="20"/>
                <w:szCs w:val="20"/>
              </w:rPr>
              <w:t>T</w:t>
            </w:r>
            <w:r w:rsidR="00DA0A26" w:rsidRPr="00DF4B27">
              <w:rPr>
                <w:rFonts w:ascii="Arial" w:hAnsi="Arial" w:cs="Arial"/>
                <w:sz w:val="20"/>
                <w:szCs w:val="20"/>
              </w:rPr>
              <w:t>his instruction appears in all restricti</w:t>
            </w:r>
            <w:r w:rsidR="00BA09E3" w:rsidRPr="00DF4B27">
              <w:rPr>
                <w:rFonts w:ascii="Arial" w:hAnsi="Arial" w:cs="Arial"/>
                <w:sz w:val="20"/>
                <w:szCs w:val="20"/>
              </w:rPr>
              <w:t xml:space="preserve">ons, in all PAH items. </w:t>
            </w:r>
            <w:r w:rsidR="0022783C" w:rsidRPr="00DF4B27">
              <w:rPr>
                <w:rFonts w:ascii="Arial" w:hAnsi="Arial" w:cs="Arial"/>
                <w:sz w:val="20"/>
                <w:szCs w:val="20"/>
              </w:rPr>
              <w:t>Discussed in main body</w:t>
            </w:r>
            <w:r w:rsidR="003C17FA" w:rsidRPr="00DF4B27">
              <w:rPr>
                <w:rFonts w:ascii="Arial" w:hAnsi="Arial" w:cs="Arial"/>
                <w:sz w:val="20"/>
                <w:szCs w:val="20"/>
              </w:rPr>
              <w:t xml:space="preserve">. </w:t>
            </w:r>
          </w:p>
        </w:tc>
      </w:tr>
    </w:tbl>
    <w:p w:rsidR="00DA0A26" w:rsidRPr="00DF4B27" w:rsidRDefault="00DA0A26" w:rsidP="00DF4B27">
      <w:pPr>
        <w:pStyle w:val="Tablenote"/>
        <w:spacing w:before="40" w:afterLines="40" w:after="96"/>
        <w:rPr>
          <w:rFonts w:ascii="Arial" w:hAnsi="Arial" w:cs="Arial"/>
        </w:rPr>
      </w:pPr>
      <w:r w:rsidRPr="00DF4B27">
        <w:rPr>
          <w:rFonts w:ascii="Arial" w:hAnsi="Arial" w:cs="Arial"/>
        </w:rPr>
        <w:t xml:space="preserve">Source: </w:t>
      </w:r>
      <w:r w:rsidRPr="003F5FE5">
        <w:rPr>
          <w:rFonts w:ascii="Arial" w:hAnsi="Arial" w:cs="Arial"/>
        </w:rPr>
        <w:t>www.pbs.gov.au</w:t>
      </w:r>
    </w:p>
    <w:p w:rsidR="00DA0A26" w:rsidRDefault="00DA0A26" w:rsidP="00121658">
      <w:pPr>
        <w:jc w:val="left"/>
      </w:pPr>
      <w:r>
        <w:br w:type="page"/>
      </w:r>
    </w:p>
    <w:p w:rsidR="00DA0A26" w:rsidRDefault="00F275ED" w:rsidP="00604AFE">
      <w:pPr>
        <w:pStyle w:val="Caption"/>
        <w:ind w:left="0" w:firstLine="0"/>
        <w:jc w:val="left"/>
      </w:pPr>
      <w:bookmarkStart w:id="363" w:name="_Ref508899785"/>
      <w:bookmarkStart w:id="364" w:name="_Ref502147728"/>
      <w:bookmarkStart w:id="365" w:name="_Toc502867745"/>
      <w:bookmarkStart w:id="366" w:name="_Toc513107649"/>
      <w:r>
        <w:t>Table 1.</w:t>
      </w:r>
      <w:r w:rsidR="00D63371">
        <w:rPr>
          <w:noProof/>
        </w:rPr>
        <w:t>23</w:t>
      </w:r>
      <w:bookmarkEnd w:id="363"/>
      <w:r w:rsidR="000B7685">
        <w:tab/>
      </w:r>
      <w:r w:rsidR="00DA0A26">
        <w:t>PAH initial trea</w:t>
      </w:r>
      <w:r w:rsidR="00562100">
        <w:t>tment</w:t>
      </w:r>
      <w:r w:rsidR="00DA0A26">
        <w:t>: clinical criteria and prescribing instructions</w:t>
      </w:r>
      <w:bookmarkEnd w:id="364"/>
      <w:bookmarkEnd w:id="365"/>
      <w:bookmarkEnd w:id="366"/>
    </w:p>
    <w:tbl>
      <w:tblPr>
        <w:tblStyle w:val="TableGrid"/>
        <w:tblW w:w="0" w:type="auto"/>
        <w:tblLook w:val="04A0" w:firstRow="1" w:lastRow="0" w:firstColumn="1" w:lastColumn="0" w:noHBand="0" w:noVBand="1"/>
        <w:tblCaption w:val="PAH initial treatment: clinical criteria and prescribing instructions"/>
      </w:tblPr>
      <w:tblGrid>
        <w:gridCol w:w="7943"/>
        <w:gridCol w:w="6637"/>
      </w:tblGrid>
      <w:tr w:rsidR="00DA0A26" w:rsidRPr="00604AFE" w:rsidTr="00CD2967">
        <w:trPr>
          <w:cnfStyle w:val="100000000000" w:firstRow="1" w:lastRow="0" w:firstColumn="0" w:lastColumn="0" w:oddVBand="0" w:evenVBand="0" w:oddHBand="0" w:evenHBand="0" w:firstRowFirstColumn="0" w:firstRowLastColumn="0" w:lastRowFirstColumn="0" w:lastRowLastColumn="0"/>
        </w:trPr>
        <w:tc>
          <w:tcPr>
            <w:tcW w:w="7943" w:type="dxa"/>
            <w:shd w:val="clear" w:color="auto" w:fill="BFBFBF" w:themeFill="background1" w:themeFillShade="BF"/>
          </w:tcPr>
          <w:p w:rsidR="00DA0A26" w:rsidRPr="00604AFE" w:rsidRDefault="00DA0A26" w:rsidP="00604AFE">
            <w:pPr>
              <w:spacing w:beforeLines="40" w:before="96" w:afterLines="40" w:after="96" w:line="240" w:lineRule="auto"/>
              <w:ind w:left="142" w:right="57"/>
              <w:jc w:val="left"/>
              <w:rPr>
                <w:rFonts w:ascii="Arial" w:hAnsi="Arial" w:cs="Arial"/>
                <w:b/>
                <w:sz w:val="20"/>
                <w:szCs w:val="20"/>
              </w:rPr>
            </w:pPr>
            <w:r w:rsidRPr="00604AFE">
              <w:rPr>
                <w:rFonts w:ascii="Arial" w:hAnsi="Arial" w:cs="Arial"/>
                <w:b/>
                <w:sz w:val="20"/>
                <w:szCs w:val="20"/>
              </w:rPr>
              <w:t>Current PBS Restriction</w:t>
            </w:r>
          </w:p>
        </w:tc>
        <w:tc>
          <w:tcPr>
            <w:tcW w:w="6637" w:type="dxa"/>
            <w:shd w:val="clear" w:color="auto" w:fill="BFBFBF" w:themeFill="background1" w:themeFillShade="BF"/>
          </w:tcPr>
          <w:p w:rsidR="00DA0A26" w:rsidRPr="00604AFE" w:rsidRDefault="00DA0A26" w:rsidP="00604AFE">
            <w:pPr>
              <w:spacing w:beforeLines="40" w:before="96" w:afterLines="40" w:after="96" w:line="240" w:lineRule="auto"/>
              <w:ind w:left="142" w:right="57"/>
              <w:jc w:val="left"/>
              <w:rPr>
                <w:rFonts w:ascii="Arial" w:hAnsi="Arial" w:cs="Arial"/>
                <w:b/>
                <w:sz w:val="20"/>
                <w:szCs w:val="20"/>
              </w:rPr>
            </w:pPr>
            <w:r w:rsidRPr="00604AFE">
              <w:rPr>
                <w:rFonts w:ascii="Arial" w:hAnsi="Arial" w:cs="Arial"/>
                <w:b/>
                <w:sz w:val="20"/>
                <w:szCs w:val="20"/>
              </w:rPr>
              <w:t>Comment</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criterion (‘initial 1’ and ‘initial 2’):</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not have received prior PBS-subsidised treatment with a pulmonary arterial hypertension (PAH) agent</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It is not clear which treatment circumstance is applicable for patients having failed the first PAH agent that need to switch to a different drug</w:t>
            </w:r>
            <w:r w:rsidR="00C6734D" w:rsidRPr="00604AFE">
              <w:rPr>
                <w:rFonts w:ascii="Arial" w:hAnsi="Arial" w:cs="Arial"/>
                <w:sz w:val="20"/>
                <w:szCs w:val="20"/>
              </w:rPr>
              <w:t xml:space="preserve">. </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criterion (‘initial 1’ and ‘initial 2’):</w:t>
            </w:r>
          </w:p>
          <w:p w:rsidR="00DA0A26" w:rsidRPr="00604AFE" w:rsidRDefault="00DA0A26" w:rsidP="00604AFE">
            <w:pPr>
              <w:spacing w:beforeLines="40" w:before="96" w:afterLines="40" w:after="96" w:line="240" w:lineRule="auto"/>
              <w:ind w:left="142" w:right="57"/>
              <w:jc w:val="left"/>
              <w:rPr>
                <w:rFonts w:ascii="Arial" w:hAnsi="Arial" w:cs="Arial"/>
                <w:i/>
                <w:sz w:val="20"/>
                <w:szCs w:val="20"/>
              </w:rPr>
            </w:pPr>
            <w:r w:rsidRPr="00604AFE">
              <w:rPr>
                <w:rFonts w:ascii="Arial" w:hAnsi="Arial" w:cs="Arial"/>
                <w:i/>
                <w:sz w:val="20"/>
                <w:szCs w:val="20"/>
              </w:rPr>
              <w:t>WHO Functional Class + PAH types – this criterion varies between PAH agents and individual restrictions.</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Terminology should reflect the most r</w:t>
            </w:r>
            <w:r w:rsidR="00BB276C" w:rsidRPr="00604AFE">
              <w:rPr>
                <w:rFonts w:ascii="Arial" w:hAnsi="Arial" w:cs="Arial"/>
                <w:sz w:val="20"/>
                <w:szCs w:val="20"/>
              </w:rPr>
              <w:t>ecent WHO classification – discussed in main text.</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criterion (‘initial 1’):</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a mean right atrial pressure of 8 mmHg or less as measured by right heart catheterisation (RHC); OR</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right ventricular function assessed by echocardiography (ECHO) where a RHC cannot be performed on clinical grounds</w:t>
            </w:r>
          </w:p>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criterion (‘initial 2’):</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WHO Functional Class III [PAH sub-type] and a mean right atrial pressure of greater than 8 mmHg, as measured by right heart catheterisation (RHC); OR</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WHO Functional Class III [PAH sub-type] with right ventricular function assessed by echocardiography (ECHO) where a RHC cannot be performed on clinical grounds; OR</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WHO Functional Class IV [PAH sub-type, including</w:t>
            </w:r>
            <w:r w:rsidR="0003499D" w:rsidRPr="00604AFE">
              <w:rPr>
                <w:rFonts w:ascii="Arial" w:hAnsi="Arial" w:cs="Arial"/>
                <w:sz w:val="20"/>
                <w:szCs w:val="20"/>
              </w:rPr>
              <w:t xml:space="preserve"> PAH-</w:t>
            </w:r>
            <w:r w:rsidRPr="00604AFE">
              <w:rPr>
                <w:rFonts w:ascii="Arial" w:hAnsi="Arial" w:cs="Arial"/>
                <w:sz w:val="20"/>
                <w:szCs w:val="20"/>
              </w:rPr>
              <w:t>CHD]</w:t>
            </w:r>
          </w:p>
        </w:tc>
        <w:tc>
          <w:tcPr>
            <w:tcW w:w="6637" w:type="dxa"/>
          </w:tcPr>
          <w:p w:rsidR="00DA0A26" w:rsidRPr="00604AFE" w:rsidRDefault="00BB276C"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Discussed in main text.</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The ‘initial 1’ and ‘initial 2 criteria distinguish between patients who should first fail vasodilator treatment and ‘initial 2’ patients who can commence PAH treatment without a trial. The PAH sub-type varies from one agent to the next</w:t>
            </w:r>
            <w:r w:rsidR="00C6734D" w:rsidRPr="00604AFE">
              <w:rPr>
                <w:rFonts w:ascii="Arial" w:hAnsi="Arial" w:cs="Arial"/>
                <w:sz w:val="20"/>
                <w:szCs w:val="20"/>
              </w:rPr>
              <w:t xml:space="preserve">. </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criteria (initial 2/3 change or recommencement – prostanoids):</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[PAH subtypes] and must wish to re-commence PBS-subsidised therapy with this agent after a break in therapy and must have demonstrated a response to their most recent course of PBS-subsidised treatment with this agent; OR</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[PAH subtypes] and must have received prior treatment with a PBS-subsidised PAH agent other than this agent; OR</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have[PAH subtypes] and must have failed to respond to a prior PBS-subsidised PAH agent,</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This wording appears in prostanoid restrictions. Prostanoid restrictions have an additional circumstance for change to a different PAH agent compared to the oral agents, that the patient must have failed prior PBS-subsidised treatment.</w:t>
            </w:r>
            <w:r w:rsidR="00BA09E3" w:rsidRPr="00604AFE">
              <w:rPr>
                <w:rFonts w:ascii="Arial" w:hAnsi="Arial" w:cs="Arial"/>
                <w:sz w:val="20"/>
                <w:szCs w:val="20"/>
              </w:rPr>
              <w:t xml:space="preserve"> </w:t>
            </w:r>
            <w:r w:rsidRPr="00604AFE">
              <w:rPr>
                <w:rFonts w:ascii="Arial" w:hAnsi="Arial" w:cs="Arial"/>
                <w:sz w:val="20"/>
                <w:szCs w:val="20"/>
              </w:rPr>
              <w:t xml:space="preserve">This is intended to reflect the use in second line Class III patients. </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criteria (initial 2/3 change or recommencement – oral agents):</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[PAH subtypes] and must wish to re-commence PBS-subsidised therapy with this agent after a break in therapy and must have demonstrated a response to their most recent course of PBS-subsidised treatment with this agent; OR</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[PAH subtypes] and whose most recent course of PBS-subsidised treatment was with a PAH agent other than this agent,</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This wording appears in oral </w:t>
            </w:r>
            <w:proofErr w:type="gramStart"/>
            <w:r w:rsidRPr="00604AFE">
              <w:rPr>
                <w:rFonts w:ascii="Arial" w:hAnsi="Arial" w:cs="Arial"/>
                <w:sz w:val="20"/>
                <w:szCs w:val="20"/>
              </w:rPr>
              <w:t>agents</w:t>
            </w:r>
            <w:proofErr w:type="gramEnd"/>
            <w:r w:rsidRPr="00604AFE">
              <w:rPr>
                <w:rFonts w:ascii="Arial" w:hAnsi="Arial" w:cs="Arial"/>
                <w:sz w:val="20"/>
                <w:szCs w:val="20"/>
              </w:rPr>
              <w:t xml:space="preserve"> restrictions – no reference to treatment failure with prior PBS-subsidised agent (which is used in prostanoid restrictions to specify second line treatment for Class III patients)</w:t>
            </w:r>
            <w:r w:rsidR="00C6734D" w:rsidRPr="00604AFE">
              <w:rPr>
                <w:rFonts w:ascii="Arial" w:hAnsi="Arial" w:cs="Arial"/>
                <w:sz w:val="20"/>
                <w:szCs w:val="20"/>
              </w:rPr>
              <w:t xml:space="preserve">. </w:t>
            </w:r>
          </w:p>
        </w:tc>
      </w:tr>
      <w:tr w:rsidR="00DA0A26" w:rsidRPr="00604AFE" w:rsidTr="00CD2967">
        <w:tc>
          <w:tcPr>
            <w:tcW w:w="7943" w:type="dxa"/>
            <w:tcBorders>
              <w:bottom w:val="single" w:sz="4" w:space="0" w:color="auto"/>
            </w:tcBorders>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criterion (‘initial 1’):</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Patient must have failed to respond to 6 or more weeks of appropriate vasodilator treatment unless intolerance or a contraindication to such treatment exists. </w:t>
            </w:r>
          </w:p>
        </w:tc>
        <w:tc>
          <w:tcPr>
            <w:tcW w:w="6637" w:type="dxa"/>
            <w:tcBorders>
              <w:bottom w:val="single" w:sz="4" w:space="0" w:color="auto"/>
            </w:tcBorders>
          </w:tcPr>
          <w:p w:rsidR="00DA0A26" w:rsidRPr="00604AFE" w:rsidRDefault="00BB276C"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See main text</w:t>
            </w:r>
            <w:r w:rsidR="003C17FA" w:rsidRPr="00604AFE">
              <w:rPr>
                <w:rFonts w:ascii="Arial" w:hAnsi="Arial" w:cs="Arial"/>
                <w:sz w:val="20"/>
                <w:szCs w:val="20"/>
              </w:rPr>
              <w:t xml:space="preserve">. </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This is not a criterion for epoprostenol, but applies to iloprost and the oral </w:t>
            </w:r>
            <w:r w:rsidR="00F95235" w:rsidRPr="00604AFE">
              <w:rPr>
                <w:rFonts w:ascii="Arial" w:hAnsi="Arial" w:cs="Arial"/>
                <w:sz w:val="20"/>
                <w:szCs w:val="20"/>
              </w:rPr>
              <w:t>PAH medicines</w:t>
            </w:r>
            <w:r w:rsidRPr="00604AFE">
              <w:rPr>
                <w:rFonts w:ascii="Arial" w:hAnsi="Arial" w:cs="Arial"/>
                <w:sz w:val="20"/>
                <w:szCs w:val="20"/>
              </w:rPr>
              <w:t xml:space="preserve">. </w:t>
            </w:r>
          </w:p>
        </w:tc>
      </w:tr>
      <w:tr w:rsidR="00D051F1" w:rsidRPr="00604AFE" w:rsidTr="00CD2967">
        <w:tc>
          <w:tcPr>
            <w:tcW w:w="7943" w:type="dxa"/>
            <w:tcBorders>
              <w:bottom w:val="nil"/>
            </w:tcBorders>
          </w:tcPr>
          <w:p w:rsidR="00D051F1" w:rsidRPr="00604AFE" w:rsidRDefault="00D051F1"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Prescribing instruction (‘initial 1’):</w:t>
            </w:r>
          </w:p>
          <w:p w:rsidR="00D051F1" w:rsidRPr="00604AFE" w:rsidRDefault="00D051F1"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Response to prior vasodilator treatment is defined as follows:</w:t>
            </w:r>
          </w:p>
          <w:p w:rsidR="00D051F1" w:rsidRPr="00604AFE" w:rsidRDefault="00D051F1"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For patients with 2 or more baseline tests, response to treatment is defined as 2 or more tests demonstrating stability or improvement of disease, as assessed by a physician from a designated hospital.</w:t>
            </w:r>
          </w:p>
          <w:p w:rsidR="00D051F1" w:rsidRPr="00604AFE" w:rsidRDefault="00D051F1"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For patients with a RHC composite assessment alone at baseline, response to treatment is defined as a RHC result demonstrating stability or improvement of disease, as assessed by a physician from a designated hospital.</w:t>
            </w:r>
          </w:p>
          <w:p w:rsidR="00D051F1" w:rsidRPr="00604AFE" w:rsidRDefault="00D051F1"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For patients with an ECHO composite assessment alone at baseline, response to treatment is defined as an ECHO result demonstrating stability or improvement of disease, as assessed by a physician from a designated hospital.</w:t>
            </w:r>
          </w:p>
        </w:tc>
        <w:tc>
          <w:tcPr>
            <w:tcW w:w="6637" w:type="dxa"/>
            <w:tcBorders>
              <w:bottom w:val="nil"/>
            </w:tcBorders>
          </w:tcPr>
          <w:p w:rsidR="00D051F1" w:rsidRPr="00604AFE" w:rsidRDefault="00D051F1"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These are the same tests as required for response to targeted PAH treatment</w:t>
            </w:r>
            <w:r w:rsidR="00BB276C" w:rsidRPr="00604AFE">
              <w:rPr>
                <w:rFonts w:ascii="Arial" w:hAnsi="Arial" w:cs="Arial"/>
                <w:sz w:val="20"/>
                <w:szCs w:val="20"/>
              </w:rPr>
              <w:t>.</w:t>
            </w:r>
          </w:p>
          <w:p w:rsidR="00EB5983" w:rsidRPr="00604AFE" w:rsidRDefault="00BB276C"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Discussed in main text. </w:t>
            </w:r>
          </w:p>
          <w:p w:rsidR="00D051F1" w:rsidRPr="00604AFE" w:rsidRDefault="00D051F1" w:rsidP="00604AFE">
            <w:pPr>
              <w:spacing w:beforeLines="40" w:before="96" w:afterLines="40" w:after="96" w:line="240" w:lineRule="auto"/>
              <w:ind w:left="142" w:right="57"/>
              <w:jc w:val="left"/>
              <w:rPr>
                <w:rFonts w:ascii="Arial" w:hAnsi="Arial" w:cs="Arial"/>
                <w:sz w:val="20"/>
                <w:szCs w:val="20"/>
              </w:rPr>
            </w:pPr>
          </w:p>
        </w:tc>
      </w:tr>
      <w:tr w:rsidR="008B6CA8" w:rsidRPr="00604AFE" w:rsidTr="00CD2967">
        <w:tc>
          <w:tcPr>
            <w:tcW w:w="7943" w:type="dxa"/>
            <w:tcBorders>
              <w:top w:val="nil"/>
            </w:tcBorders>
          </w:tcPr>
          <w:p w:rsidR="008B6CA8" w:rsidRPr="00604AFE" w:rsidRDefault="008B6CA8"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rPr>
              <w:t xml:space="preserve">For patients aged less than 18 years, response to treatment is defined as at least one of the baseline tests demonstrating stability or improvement of disease, as assessed by a physician from a designated hospital. </w:t>
            </w:r>
          </w:p>
        </w:tc>
        <w:tc>
          <w:tcPr>
            <w:tcW w:w="6637" w:type="dxa"/>
            <w:tcBorders>
              <w:top w:val="nil"/>
            </w:tcBorders>
          </w:tcPr>
          <w:p w:rsidR="008B6CA8" w:rsidRPr="00604AFE" w:rsidRDefault="008B6CA8"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This appears for all </w:t>
            </w:r>
            <w:r w:rsidR="00F95235" w:rsidRPr="00604AFE">
              <w:rPr>
                <w:rFonts w:ascii="Arial" w:hAnsi="Arial" w:cs="Arial"/>
                <w:sz w:val="20"/>
                <w:szCs w:val="20"/>
              </w:rPr>
              <w:t>PAH medicines</w:t>
            </w:r>
            <w:r w:rsidRPr="00604AFE">
              <w:rPr>
                <w:rFonts w:ascii="Arial" w:hAnsi="Arial" w:cs="Arial"/>
                <w:sz w:val="20"/>
                <w:szCs w:val="20"/>
              </w:rPr>
              <w:t xml:space="preserve"> that have a requirement for a trial of vasodilators (i.e. all except epoprostenol)</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Prescribing instructions (‘initial 1’; ‘initial 2’):</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[PAH sub-type] defined as follows: </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w:t>
            </w:r>
            <w:proofErr w:type="spellStart"/>
            <w:r w:rsidRPr="00604AFE">
              <w:rPr>
                <w:rFonts w:ascii="Arial" w:hAnsi="Arial" w:cs="Arial"/>
                <w:sz w:val="20"/>
                <w:szCs w:val="20"/>
              </w:rPr>
              <w:t>i</w:t>
            </w:r>
            <w:proofErr w:type="spellEnd"/>
            <w:r w:rsidRPr="00604AFE">
              <w:rPr>
                <w:rFonts w:ascii="Arial" w:hAnsi="Arial" w:cs="Arial"/>
                <w:sz w:val="20"/>
                <w:szCs w:val="20"/>
              </w:rPr>
              <w:t>) mean pulmonary artery pressure (</w:t>
            </w:r>
            <w:proofErr w:type="spellStart"/>
            <w:r w:rsidRPr="00604AFE">
              <w:rPr>
                <w:rFonts w:ascii="Arial" w:hAnsi="Arial" w:cs="Arial"/>
                <w:sz w:val="20"/>
                <w:szCs w:val="20"/>
              </w:rPr>
              <w:t>mPAP</w:t>
            </w:r>
            <w:proofErr w:type="spellEnd"/>
            <w:r w:rsidRPr="00604AFE">
              <w:rPr>
                <w:rFonts w:ascii="Arial" w:hAnsi="Arial" w:cs="Arial"/>
                <w:sz w:val="20"/>
                <w:szCs w:val="20"/>
              </w:rPr>
              <w:t xml:space="preserve">) greater than 25 mmHg at rest and pulmonary artery wedge pressure (PAWP) less than 15 mmHg; or </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(ii) </w:t>
            </w:r>
            <w:proofErr w:type="gramStart"/>
            <w:r w:rsidRPr="00604AFE">
              <w:rPr>
                <w:rFonts w:ascii="Arial" w:hAnsi="Arial" w:cs="Arial"/>
                <w:sz w:val="20"/>
                <w:szCs w:val="20"/>
              </w:rPr>
              <w:t>where</w:t>
            </w:r>
            <w:proofErr w:type="gramEnd"/>
            <w:r w:rsidRPr="00604AFE">
              <w:rPr>
                <w:rFonts w:ascii="Arial" w:hAnsi="Arial" w:cs="Arial"/>
                <w:sz w:val="20"/>
                <w:szCs w:val="20"/>
              </w:rPr>
              <w:t xml:space="preserve"> a right heart catheter (RHC) cannot be performed on clinical grounds, right ventricular systolic pressure (RVSP), assessed by echocardiography (ECHO), greater than 40 mmHg, with normal left ventricular function. </w:t>
            </w:r>
          </w:p>
        </w:tc>
        <w:tc>
          <w:tcPr>
            <w:tcW w:w="6637" w:type="dxa"/>
          </w:tcPr>
          <w:p w:rsidR="00DA0A26" w:rsidRPr="00604AFE" w:rsidRDefault="00DA0A26" w:rsidP="006314DA">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The same haemodynamic criteria apply regardless of the type of PAH under consideration</w:t>
            </w:r>
            <w:r w:rsidR="00C6734D" w:rsidRPr="00604AFE">
              <w:rPr>
                <w:rFonts w:ascii="Arial" w:hAnsi="Arial" w:cs="Arial"/>
                <w:sz w:val="20"/>
                <w:szCs w:val="20"/>
              </w:rPr>
              <w:t xml:space="preserve">. </w:t>
            </w:r>
            <w:r w:rsidRPr="00604AFE">
              <w:rPr>
                <w:rFonts w:ascii="Arial" w:hAnsi="Arial" w:cs="Arial"/>
                <w:sz w:val="20"/>
                <w:szCs w:val="20"/>
              </w:rPr>
              <w:t xml:space="preserve">The RHC criterion </w:t>
            </w:r>
            <w:proofErr w:type="spellStart"/>
            <w:r w:rsidRPr="00604AFE">
              <w:rPr>
                <w:rFonts w:ascii="Arial" w:hAnsi="Arial" w:cs="Arial"/>
                <w:sz w:val="20"/>
                <w:szCs w:val="20"/>
              </w:rPr>
              <w:t>i</w:t>
            </w:r>
            <w:proofErr w:type="spellEnd"/>
            <w:r w:rsidR="009D5633" w:rsidRPr="00604AFE">
              <w:rPr>
                <w:rFonts w:ascii="Arial" w:hAnsi="Arial" w:cs="Arial"/>
                <w:sz w:val="20"/>
                <w:szCs w:val="20"/>
              </w:rPr>
              <w:t>(</w:t>
            </w:r>
            <w:proofErr w:type="spellStart"/>
            <w:r w:rsidR="009D5633" w:rsidRPr="00604AFE">
              <w:rPr>
                <w:rFonts w:ascii="Arial" w:hAnsi="Arial" w:cs="Arial"/>
                <w:sz w:val="20"/>
                <w:szCs w:val="20"/>
              </w:rPr>
              <w:t>i</w:t>
            </w:r>
            <w:proofErr w:type="spellEnd"/>
            <w:r w:rsidR="009D5633" w:rsidRPr="00604AFE">
              <w:rPr>
                <w:rFonts w:ascii="Arial" w:hAnsi="Arial" w:cs="Arial"/>
                <w:sz w:val="20"/>
                <w:szCs w:val="20"/>
              </w:rPr>
              <w:t xml:space="preserve">) </w:t>
            </w:r>
            <w:r w:rsidRPr="00604AFE">
              <w:rPr>
                <w:rFonts w:ascii="Arial" w:hAnsi="Arial" w:cs="Arial"/>
                <w:sz w:val="20"/>
                <w:szCs w:val="20"/>
              </w:rPr>
              <w:t>s consistent with guidelines but it is unlikely that the echocardiographic criterion</w:t>
            </w:r>
            <w:r w:rsidR="009D5633" w:rsidRPr="00604AFE">
              <w:rPr>
                <w:rFonts w:ascii="Arial" w:hAnsi="Arial" w:cs="Arial"/>
                <w:sz w:val="20"/>
                <w:szCs w:val="20"/>
              </w:rPr>
              <w:t xml:space="preserve"> (ii)</w:t>
            </w:r>
            <w:r w:rsidRPr="00604AFE">
              <w:rPr>
                <w:rFonts w:ascii="Arial" w:hAnsi="Arial" w:cs="Arial"/>
                <w:sz w:val="20"/>
                <w:szCs w:val="20"/>
              </w:rPr>
              <w:t xml:space="preserve"> is current, </w:t>
            </w:r>
            <w:r w:rsidR="00F33A44" w:rsidRPr="00604AFE">
              <w:rPr>
                <w:rFonts w:ascii="Arial" w:hAnsi="Arial" w:cs="Arial"/>
                <w:sz w:val="20"/>
                <w:szCs w:val="20"/>
              </w:rPr>
              <w:t xml:space="preserve">as neither RVSP </w:t>
            </w:r>
            <w:r w:rsidR="00BC7B71" w:rsidRPr="00604AFE">
              <w:rPr>
                <w:rFonts w:ascii="Arial" w:hAnsi="Arial" w:cs="Arial"/>
                <w:sz w:val="20"/>
                <w:szCs w:val="20"/>
              </w:rPr>
              <w:t>nor the similar value PASP</w:t>
            </w:r>
            <w:r w:rsidR="00A2372D" w:rsidRPr="00604AFE">
              <w:rPr>
                <w:rFonts w:ascii="Arial" w:hAnsi="Arial" w:cs="Arial"/>
                <w:sz w:val="20"/>
                <w:szCs w:val="20"/>
              </w:rPr>
              <w:t xml:space="preserve"> are considered diagnostic of PAH</w:t>
            </w:r>
            <w:r w:rsidR="00F33A44" w:rsidRPr="00604AFE">
              <w:rPr>
                <w:rFonts w:ascii="Arial" w:hAnsi="Arial" w:cs="Arial"/>
                <w:sz w:val="20"/>
                <w:szCs w:val="20"/>
              </w:rPr>
              <w:t xml:space="preserve"> </w:t>
            </w:r>
            <w:r w:rsidR="00A2372D" w:rsidRPr="00604AFE">
              <w:rPr>
                <w:rFonts w:ascii="Arial" w:hAnsi="Arial" w:cs="Arial"/>
                <w:sz w:val="20"/>
                <w:szCs w:val="20"/>
              </w:rPr>
              <w:t>nor do they represent</w:t>
            </w:r>
            <w:r w:rsidRPr="00604AFE">
              <w:rPr>
                <w:rFonts w:ascii="Arial" w:hAnsi="Arial" w:cs="Arial"/>
                <w:sz w:val="20"/>
                <w:szCs w:val="20"/>
              </w:rPr>
              <w:t xml:space="preserve"> best practice for identifying diagnostic features of PAH in the absence of RHC</w:t>
            </w:r>
            <w:r w:rsidR="00C6734D" w:rsidRPr="00604AFE">
              <w:rPr>
                <w:rFonts w:ascii="Arial" w:hAnsi="Arial" w:cs="Arial"/>
                <w:sz w:val="20"/>
                <w:szCs w:val="20"/>
              </w:rPr>
              <w:t xml:space="preserve">. </w:t>
            </w:r>
            <w:r w:rsidRPr="00604AFE">
              <w:rPr>
                <w:rFonts w:ascii="Arial" w:hAnsi="Arial" w:cs="Arial"/>
                <w:sz w:val="20"/>
                <w:szCs w:val="20"/>
              </w:rPr>
              <w:t xml:space="preserve">The current guidelines recommend measurement of peak TRV as the key </w:t>
            </w:r>
            <w:proofErr w:type="spellStart"/>
            <w:r w:rsidRPr="00604AFE">
              <w:rPr>
                <w:rFonts w:ascii="Arial" w:hAnsi="Arial" w:cs="Arial"/>
                <w:sz w:val="20"/>
                <w:szCs w:val="20"/>
              </w:rPr>
              <w:t>cardiographic</w:t>
            </w:r>
            <w:proofErr w:type="spellEnd"/>
            <w:r w:rsidRPr="00604AFE">
              <w:rPr>
                <w:rFonts w:ascii="Arial" w:hAnsi="Arial" w:cs="Arial"/>
                <w:sz w:val="20"/>
                <w:szCs w:val="20"/>
              </w:rPr>
              <w:t xml:space="preserve"> variable predictive of PAH</w:t>
            </w:r>
            <w:r w:rsidR="00C6734D" w:rsidRPr="00604AFE">
              <w:rPr>
                <w:rFonts w:ascii="Arial" w:hAnsi="Arial" w:cs="Arial"/>
                <w:sz w:val="20"/>
                <w:szCs w:val="20"/>
              </w:rPr>
              <w:t xml:space="preserve">. </w:t>
            </w:r>
            <w:r w:rsidR="009D5633" w:rsidRPr="00604AFE">
              <w:rPr>
                <w:rFonts w:ascii="Arial" w:hAnsi="Arial" w:cs="Arial"/>
                <w:sz w:val="20"/>
                <w:szCs w:val="20"/>
              </w:rPr>
              <w:t>In the absence of measureable TRV, clinical features suggestive of PAH are given in</w:t>
            </w:r>
            <w:r w:rsidR="00870992" w:rsidRPr="00604AFE">
              <w:rPr>
                <w:rFonts w:ascii="Arial" w:hAnsi="Arial" w:cs="Arial"/>
                <w:sz w:val="20"/>
                <w:szCs w:val="20"/>
              </w:rPr>
              <w:t xml:space="preserve"> </w:t>
            </w:r>
            <w:r w:rsidR="00D63371" w:rsidRPr="00D63371">
              <w:rPr>
                <w:rFonts w:ascii="Arial" w:hAnsi="Arial" w:cs="Arial"/>
                <w:sz w:val="20"/>
                <w:szCs w:val="20"/>
              </w:rPr>
              <w:t>Table 1.9</w:t>
            </w:r>
            <w:r w:rsidR="003C17FA" w:rsidRPr="006314DA">
              <w:rPr>
                <w:rFonts w:ascii="Arial" w:hAnsi="Arial" w:cs="Arial"/>
                <w:sz w:val="20"/>
                <w:szCs w:val="20"/>
              </w:rPr>
              <w:t>.</w:t>
            </w:r>
            <w:r w:rsidR="003C17FA" w:rsidRPr="00604AFE">
              <w:rPr>
                <w:rFonts w:ascii="Arial" w:hAnsi="Arial" w:cs="Arial"/>
                <w:i/>
                <w:sz w:val="20"/>
                <w:szCs w:val="20"/>
              </w:rPr>
              <w:t xml:space="preserve"> </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Prescribing instructions (‘initial 1’):</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Test requirements to establish baseline for initiation of treatment are as follows:</w:t>
            </w:r>
          </w:p>
          <w:p w:rsidR="00DA0A26" w:rsidRPr="00604AFE" w:rsidRDefault="00DA0A26" w:rsidP="00807704">
            <w:pPr>
              <w:pStyle w:val="ListParagraph"/>
              <w:numPr>
                <w:ilvl w:val="0"/>
                <w:numId w:val="17"/>
              </w:numPr>
              <w:spacing w:beforeLines="40" w:before="96" w:afterLines="40" w:after="96" w:line="240" w:lineRule="auto"/>
              <w:ind w:left="142" w:right="57"/>
              <w:contextualSpacing w:val="0"/>
              <w:jc w:val="left"/>
              <w:rPr>
                <w:rFonts w:ascii="Arial" w:hAnsi="Arial" w:cs="Arial"/>
                <w:sz w:val="20"/>
                <w:szCs w:val="20"/>
              </w:rPr>
            </w:pPr>
            <w:r w:rsidRPr="00604AFE">
              <w:rPr>
                <w:rFonts w:ascii="Arial" w:hAnsi="Arial" w:cs="Arial"/>
                <w:sz w:val="20"/>
                <w:szCs w:val="20"/>
              </w:rPr>
              <w:t>A right heart catheter (RHC) composite assessment</w:t>
            </w:r>
          </w:p>
          <w:p w:rsidR="00DA0A26" w:rsidRPr="00604AFE" w:rsidRDefault="00DA0A26" w:rsidP="00807704">
            <w:pPr>
              <w:pStyle w:val="ListParagraph"/>
              <w:numPr>
                <w:ilvl w:val="0"/>
                <w:numId w:val="17"/>
              </w:numPr>
              <w:spacing w:beforeLines="40" w:before="96" w:afterLines="40" w:after="96" w:line="240" w:lineRule="auto"/>
              <w:ind w:left="142" w:right="57"/>
              <w:contextualSpacing w:val="0"/>
              <w:jc w:val="left"/>
              <w:rPr>
                <w:rFonts w:ascii="Arial" w:hAnsi="Arial" w:cs="Arial"/>
                <w:sz w:val="20"/>
                <w:szCs w:val="20"/>
              </w:rPr>
            </w:pPr>
            <w:r w:rsidRPr="00604AFE">
              <w:rPr>
                <w:rFonts w:ascii="Arial" w:hAnsi="Arial" w:cs="Arial"/>
                <w:sz w:val="20"/>
                <w:szCs w:val="20"/>
              </w:rPr>
              <w:t>An echocardiograph (ECHO) composite assessment,</w:t>
            </w:r>
          </w:p>
          <w:p w:rsidR="00DA0A26" w:rsidRPr="00604AFE" w:rsidRDefault="00DA0A26" w:rsidP="00807704">
            <w:pPr>
              <w:pStyle w:val="ListParagraph"/>
              <w:numPr>
                <w:ilvl w:val="0"/>
                <w:numId w:val="17"/>
              </w:numPr>
              <w:spacing w:beforeLines="40" w:before="96" w:afterLines="40" w:after="96" w:line="240" w:lineRule="auto"/>
              <w:ind w:left="142" w:right="57"/>
              <w:contextualSpacing w:val="0"/>
              <w:jc w:val="left"/>
              <w:rPr>
                <w:rFonts w:ascii="Arial" w:hAnsi="Arial" w:cs="Arial"/>
                <w:sz w:val="20"/>
                <w:szCs w:val="20"/>
              </w:rPr>
            </w:pPr>
            <w:r w:rsidRPr="00604AFE">
              <w:rPr>
                <w:rFonts w:ascii="Arial" w:hAnsi="Arial" w:cs="Arial"/>
                <w:sz w:val="20"/>
                <w:szCs w:val="20"/>
              </w:rPr>
              <w:t>A 6 minute walk test (6MWT)</w:t>
            </w:r>
          </w:p>
        </w:tc>
        <w:tc>
          <w:tcPr>
            <w:tcW w:w="6637" w:type="dxa"/>
          </w:tcPr>
          <w:p w:rsidR="007123FC" w:rsidRPr="00604AFE" w:rsidRDefault="007123FC" w:rsidP="00604AFE">
            <w:pPr>
              <w:spacing w:beforeLines="40" w:before="96" w:afterLines="40" w:after="96" w:line="240" w:lineRule="auto"/>
              <w:ind w:left="142" w:right="57"/>
              <w:jc w:val="left"/>
              <w:rPr>
                <w:rFonts w:ascii="Arial" w:hAnsi="Arial" w:cs="Arial"/>
                <w:i/>
                <w:sz w:val="20"/>
                <w:szCs w:val="20"/>
              </w:rPr>
            </w:pPr>
            <w:r w:rsidRPr="00604AFE">
              <w:rPr>
                <w:rFonts w:ascii="Arial" w:hAnsi="Arial" w:cs="Arial"/>
                <w:sz w:val="20"/>
                <w:szCs w:val="20"/>
              </w:rPr>
              <w:t>D</w:t>
            </w:r>
            <w:r w:rsidR="00DA0A26" w:rsidRPr="00604AFE">
              <w:rPr>
                <w:rFonts w:ascii="Arial" w:hAnsi="Arial" w:cs="Arial"/>
                <w:sz w:val="20"/>
                <w:szCs w:val="20"/>
              </w:rPr>
              <w:t>is</w:t>
            </w:r>
            <w:r w:rsidR="003B625D" w:rsidRPr="00604AFE">
              <w:rPr>
                <w:rFonts w:ascii="Arial" w:hAnsi="Arial" w:cs="Arial"/>
                <w:sz w:val="20"/>
                <w:szCs w:val="20"/>
              </w:rPr>
              <w:t xml:space="preserve">cussed above in main body text.  </w:t>
            </w:r>
          </w:p>
          <w:p w:rsidR="00DA0A26" w:rsidRPr="00604AFE" w:rsidRDefault="00DA0A26" w:rsidP="00604AFE">
            <w:pPr>
              <w:spacing w:beforeLines="40" w:before="96" w:afterLines="40" w:after="96"/>
              <w:ind w:left="142" w:right="57"/>
              <w:jc w:val="left"/>
              <w:rPr>
                <w:rFonts w:ascii="Arial" w:hAnsi="Arial" w:cs="Arial"/>
                <w:sz w:val="20"/>
                <w:szCs w:val="20"/>
              </w:rPr>
            </w:pPr>
          </w:p>
        </w:tc>
      </w:tr>
      <w:tr w:rsidR="00DA0A26" w:rsidRPr="00604AFE" w:rsidTr="00CD2967">
        <w:trPr>
          <w:cantSplit w:val="0"/>
        </w:trPr>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Prescribing instructions (‘initial 1’; ‘initial 2’):</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Where it is not possible to perform all 3 tests above on clinical grounds, the following list outlines the preferred test combination, in descending order, for the purposes of initiation of PBS-subsidised treatment:</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(1) RHC plus ECHO composite assessments;</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(2) RHC composite assessment plus 6MWT;</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(3) RHC composite assessment only.</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In circumstances where a RHC cannot be performed on clinical grounds, applications may be submitted for consideration based on the results of the following test combinations, which are listed in descending order of preference:</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(1) ECHO composite assessment plus 6MWT;</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(2) ECHO composite assessment only.</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Where fewer than 3 tests are able to be performed on clinical grounds, a patient specific reason outlining why the particular test(s) could not be conducted must be provided with the authority application. </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This is not consistent with current guidelines that recommend although RHC is the gold standard for diagnosis, transthoracic echocardiography is the key </w:t>
            </w:r>
            <w:r w:rsidR="002F0F70" w:rsidRPr="00604AFE">
              <w:rPr>
                <w:rFonts w:ascii="Arial" w:hAnsi="Arial" w:cs="Arial"/>
                <w:sz w:val="20"/>
                <w:szCs w:val="20"/>
              </w:rPr>
              <w:t>non-invasive</w:t>
            </w:r>
            <w:r w:rsidRPr="00604AFE">
              <w:rPr>
                <w:rFonts w:ascii="Arial" w:hAnsi="Arial" w:cs="Arial"/>
                <w:sz w:val="20"/>
                <w:szCs w:val="20"/>
              </w:rPr>
              <w:t xml:space="preserve"> test</w:t>
            </w:r>
            <w:r w:rsidR="007123FC" w:rsidRPr="00604AFE">
              <w:rPr>
                <w:rFonts w:ascii="Arial" w:hAnsi="Arial" w:cs="Arial"/>
                <w:sz w:val="20"/>
                <w:szCs w:val="20"/>
              </w:rPr>
              <w:t xml:space="preserve"> that establishes if PAH is likely and thus if RHC is indicated</w:t>
            </w:r>
            <w:r w:rsidR="00C6734D" w:rsidRPr="00604AFE">
              <w:rPr>
                <w:rFonts w:ascii="Arial" w:hAnsi="Arial" w:cs="Arial"/>
                <w:sz w:val="20"/>
                <w:szCs w:val="20"/>
              </w:rPr>
              <w:t xml:space="preserve">. </w:t>
            </w:r>
            <w:r w:rsidRPr="00604AFE">
              <w:rPr>
                <w:rFonts w:ascii="Arial" w:hAnsi="Arial" w:cs="Arial"/>
                <w:sz w:val="20"/>
                <w:szCs w:val="20"/>
              </w:rPr>
              <w:t xml:space="preserve">Both are essential. On the other hand 6MWT is only one of many functional assessments that need to be performed </w:t>
            </w:r>
            <w:r w:rsidR="00EB5983" w:rsidRPr="00604AFE">
              <w:rPr>
                <w:rFonts w:ascii="Arial" w:hAnsi="Arial" w:cs="Arial"/>
                <w:sz w:val="20"/>
                <w:szCs w:val="20"/>
              </w:rPr>
              <w:t xml:space="preserve">at baseline </w:t>
            </w:r>
            <w:r w:rsidRPr="00604AFE">
              <w:rPr>
                <w:rFonts w:ascii="Arial" w:hAnsi="Arial" w:cs="Arial"/>
                <w:sz w:val="20"/>
                <w:szCs w:val="20"/>
              </w:rPr>
              <w:t>but are not essential for diagnosis. Further discussion</w:t>
            </w:r>
            <w:r w:rsidR="007123FC" w:rsidRPr="00604AFE">
              <w:rPr>
                <w:rFonts w:ascii="Arial" w:hAnsi="Arial" w:cs="Arial"/>
                <w:sz w:val="20"/>
                <w:szCs w:val="20"/>
              </w:rPr>
              <w:t xml:space="preserve"> is</w:t>
            </w:r>
            <w:r w:rsidRPr="00604AFE">
              <w:rPr>
                <w:rFonts w:ascii="Arial" w:hAnsi="Arial" w:cs="Arial"/>
                <w:sz w:val="20"/>
                <w:szCs w:val="20"/>
              </w:rPr>
              <w:t xml:space="preserve"> above in main body text. </w:t>
            </w:r>
          </w:p>
        </w:tc>
      </w:tr>
      <w:tr w:rsidR="00DA0A26" w:rsidRPr="00604AFE" w:rsidTr="00CD2967">
        <w:tc>
          <w:tcPr>
            <w:tcW w:w="7943" w:type="dxa"/>
            <w:tcBorders>
              <w:bottom w:val="single" w:sz="4" w:space="0" w:color="auto"/>
            </w:tcBorders>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Prescribing instructions (‘initial 1’):</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Details of prior vasodilator treatment, including the dose and duration of treatment, must be provided at the time of application. Where the patient has an adverse event to a vasodilator or where vasodilator treatment is contraindicated, details of the nature of the adverse event or contraindication according to the Therapeutic Goods Administration (TGA) approved Product Information must also be provided with the application. </w:t>
            </w:r>
          </w:p>
        </w:tc>
        <w:tc>
          <w:tcPr>
            <w:tcW w:w="6637" w:type="dxa"/>
            <w:tcBorders>
              <w:bottom w:val="single" w:sz="4" w:space="0" w:color="auto"/>
            </w:tcBorders>
          </w:tcPr>
          <w:p w:rsidR="00DA0A26" w:rsidRPr="00604AFE" w:rsidRDefault="001F4168"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Discussed in main body</w:t>
            </w:r>
            <w:r w:rsidR="003C17FA" w:rsidRPr="00604AFE">
              <w:rPr>
                <w:rFonts w:ascii="Arial" w:hAnsi="Arial" w:cs="Arial"/>
                <w:sz w:val="20"/>
                <w:szCs w:val="20"/>
              </w:rPr>
              <w:t xml:space="preserve">. </w:t>
            </w:r>
          </w:p>
        </w:tc>
      </w:tr>
      <w:tr w:rsidR="00DA0A26" w:rsidRPr="00604AFE" w:rsidTr="00CD2967">
        <w:trPr>
          <w:cantSplit w:val="0"/>
        </w:trPr>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Prescribing Instruction (‘initial 1’; ‘initial 2’’; ‘initial 3’):</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Approvals for the first authority prescription will be limited to 1 month of therapy with the 62.5◦mg strength tablet, with the quantity approved based on the dosage recommendations in the Therapeutic Goods Administration (TGA) approved Product Information. No repeats will be authorised for this prescription.</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The second authority prescription may be written for either the 62.5 mg tablet or the 125 mg tablet strengths. Approvals for the second authority prescription will be limited to 1 month of treatment, with the quantity approved based on the dosage recommendations in the TGA-approved Product Information, and a maximum of 4 repeats.</w:t>
            </w:r>
          </w:p>
          <w:p w:rsidR="00DA0A26" w:rsidRPr="00604AFE" w:rsidRDefault="00DA0A26" w:rsidP="00604AFE">
            <w:pPr>
              <w:keepNext/>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Note (‘initial 1’; ‘initial 2’’; ‘initial 3’):</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Where the 62.5 mg tablet strength is required for the second authority prescription, please contact the Department of Human Services on 1800 700 270 (hours of operation 8 a.m. to 5 p.m. EST Monday to Friday) for further advice. </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The approved second authority prescription will be returned to the prescriber by the Department of Human Services two weeks after the date of the approval of the first authority prescription, to allow for the uninterrupted completion of the six months initial treatment course. The Department of Human Services will contact prescribers prior to dispatch of the second authority prescription to confirm the tablet stre</w:t>
            </w:r>
            <w:r w:rsidR="000A5A60" w:rsidRPr="00604AFE">
              <w:rPr>
                <w:rFonts w:ascii="Arial" w:hAnsi="Arial" w:cs="Arial"/>
                <w:sz w:val="20"/>
                <w:szCs w:val="20"/>
              </w:rPr>
              <w:t xml:space="preserve">ngth required for the patient. </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Bosentan only, relates to initial and maintenance dosing phases.</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Prescribing Instruction:</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The assessment of the patient's response to the initial 6 month course of treatment should be made following the preceding 5 months of treatment, in order to allow sufficient time for</w:t>
            </w:r>
            <w:r w:rsidR="000A5A60" w:rsidRPr="00604AFE">
              <w:rPr>
                <w:rFonts w:ascii="Arial" w:hAnsi="Arial" w:cs="Arial"/>
                <w:sz w:val="20"/>
                <w:szCs w:val="20"/>
              </w:rPr>
              <w:t xml:space="preserve"> a response to be demonstrated.</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See comments regarding timing of monitoring and follow-up assessments in main body text. </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Prescribing instruction (‘initial 1’; ‘initial 2’; ‘initial 3’; ‘first continuing’):</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Patients who fail to demonstrate a response to PBS-subsidised treatment with this agent at the time where an assessment is required must cease PBS-subsidised therapy with this agent. </w:t>
            </w:r>
          </w:p>
        </w:tc>
        <w:tc>
          <w:tcPr>
            <w:tcW w:w="6637" w:type="dxa"/>
          </w:tcPr>
          <w:p w:rsidR="00DA0A26" w:rsidRPr="00604AFE" w:rsidRDefault="00CD2967"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See main text</w:t>
            </w:r>
            <w:r w:rsidR="003C17FA" w:rsidRPr="00604AFE">
              <w:rPr>
                <w:rFonts w:ascii="Arial" w:hAnsi="Arial" w:cs="Arial"/>
                <w:sz w:val="20"/>
                <w:szCs w:val="20"/>
              </w:rPr>
              <w:t xml:space="preserve">. </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Prescribing instruction (‘initial 3’):</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Swapping between PAH agents: Patients can access PAH agents through the PBS according to the relevant restrictions. Once these patients are approved initial treatment with 1 of these 8 drugs, they may swap between PAH agents at any time without having to re-qualify for treatment with the alternate agent. This means that patients may commence treatment with the alternate agent, subject to that agent's </w:t>
            </w:r>
            <w:proofErr w:type="gramStart"/>
            <w:r w:rsidRPr="00604AFE">
              <w:rPr>
                <w:rFonts w:ascii="Arial" w:hAnsi="Arial" w:cs="Arial"/>
                <w:sz w:val="20"/>
                <w:szCs w:val="20"/>
              </w:rPr>
              <w:t>restriction,</w:t>
            </w:r>
            <w:proofErr w:type="gramEnd"/>
            <w:r w:rsidRPr="00604AFE">
              <w:rPr>
                <w:rFonts w:ascii="Arial" w:hAnsi="Arial" w:cs="Arial"/>
                <w:sz w:val="20"/>
                <w:szCs w:val="20"/>
              </w:rPr>
              <w:t xml:space="preserve"> irrespective of the severity of their disease at the time the application to swap therapy is submitted. It also means that no new baseline measurements will be necessary. New baselines may be submitted where the patient has failed to respond to their current treatment. Eligible patients may only swap between PAH agents if they have not failed prior PBS-subsidised treatment with that agent.</w:t>
            </w:r>
            <w:r w:rsidRPr="00604AFE">
              <w:rPr>
                <w:rFonts w:ascii="Arial" w:hAnsi="Arial" w:cs="Arial"/>
                <w:b/>
                <w:sz w:val="20"/>
                <w:szCs w:val="20"/>
              </w:rPr>
              <w:t xml:space="preserve"> </w:t>
            </w:r>
            <w:r w:rsidRPr="00604AFE">
              <w:rPr>
                <w:rFonts w:ascii="Arial" w:hAnsi="Arial" w:cs="Arial"/>
                <w:sz w:val="20"/>
                <w:szCs w:val="20"/>
              </w:rPr>
              <w:t>For eligible patients, applications to swap between the 8 PAH agents must be made under the relevant initial treatment restriction. Patients should be assessed for response to the treatment they are ceasing at the time the application to swap therapy is being made. Patients who fail to demonstrate a response or for whom no assessment results are submitted with the application to swap therapy may not re-commence PBS-subsidised treatment with the drug they are ceasing.</w:t>
            </w:r>
          </w:p>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Note:</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Applications for patients who wish to swap to an alternate PAH agent should be accompanied by the previously approved authority prescription, or remaining repeats, for the treatment the patient is ceasing. </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Swapping is intended for patients who have taken a break from treatment but were responding, or whose previous PAH treatment was with a different agent.</w:t>
            </w:r>
            <w:r w:rsidR="00BB276C" w:rsidRPr="00604AFE">
              <w:rPr>
                <w:rFonts w:ascii="Arial" w:hAnsi="Arial" w:cs="Arial"/>
                <w:sz w:val="20"/>
                <w:szCs w:val="20"/>
              </w:rPr>
              <w:t xml:space="preserve"> The guidelines reviewed contain essentially no recommendations on switching</w:t>
            </w:r>
            <w:r w:rsidR="003C17FA" w:rsidRPr="00604AFE">
              <w:rPr>
                <w:rFonts w:ascii="Arial" w:hAnsi="Arial" w:cs="Arial"/>
                <w:sz w:val="20"/>
                <w:szCs w:val="20"/>
              </w:rPr>
              <w:t xml:space="preserve">. </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criterion (‘Initial 4’ – Grandfathered patients)</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previously received treatment with this drug for this condition prior to 1 February 2017</w:t>
            </w:r>
          </w:p>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criterion (‘Initial 4’ – Grandfathered patients)</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be receiving treatment with this drug at the time of application</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Grandfathered access for patients otherwise identical to ‘initial 1’. Not considered in this review. </w:t>
            </w:r>
          </w:p>
        </w:tc>
      </w:tr>
      <w:tr w:rsidR="00DA0A26" w:rsidRPr="00604AFE" w:rsidTr="00CD2967">
        <w:tc>
          <w:tcPr>
            <w:tcW w:w="7943"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criterion (‘Initial 5’ – Grandfathered patients)</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have previously received treatment with this drug for this condition prior to 1 February 2017</w:t>
            </w:r>
          </w:p>
          <w:p w:rsidR="00DA0A26" w:rsidRPr="00604AFE" w:rsidRDefault="00DA0A26" w:rsidP="00604AFE">
            <w:pPr>
              <w:spacing w:beforeLines="40" w:before="96" w:afterLines="40" w:after="96" w:line="240" w:lineRule="auto"/>
              <w:ind w:left="142" w:right="57"/>
              <w:jc w:val="left"/>
              <w:rPr>
                <w:rFonts w:ascii="Arial" w:hAnsi="Arial" w:cs="Arial"/>
                <w:sz w:val="20"/>
                <w:szCs w:val="20"/>
                <w:u w:val="single"/>
              </w:rPr>
            </w:pPr>
            <w:r w:rsidRPr="00604AFE">
              <w:rPr>
                <w:rFonts w:ascii="Arial" w:hAnsi="Arial" w:cs="Arial"/>
                <w:sz w:val="20"/>
                <w:szCs w:val="20"/>
                <w:u w:val="single"/>
              </w:rPr>
              <w:t>Clinical criterion (‘Initial 5’ – Grandfathered patients)</w:t>
            </w:r>
          </w:p>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Patient must be receiving treatment with this drug at the time of application</w:t>
            </w:r>
          </w:p>
        </w:tc>
        <w:tc>
          <w:tcPr>
            <w:tcW w:w="6637" w:type="dxa"/>
          </w:tcPr>
          <w:p w:rsidR="00DA0A26" w:rsidRPr="00604AFE" w:rsidRDefault="00DA0A26" w:rsidP="00604AFE">
            <w:pPr>
              <w:spacing w:beforeLines="40" w:before="96" w:afterLines="40" w:after="96" w:line="240" w:lineRule="auto"/>
              <w:ind w:left="142" w:right="57"/>
              <w:jc w:val="left"/>
              <w:rPr>
                <w:rFonts w:ascii="Arial" w:hAnsi="Arial" w:cs="Arial"/>
                <w:sz w:val="20"/>
                <w:szCs w:val="20"/>
              </w:rPr>
            </w:pPr>
            <w:r w:rsidRPr="00604AFE">
              <w:rPr>
                <w:rFonts w:ascii="Arial" w:hAnsi="Arial" w:cs="Arial"/>
                <w:sz w:val="20"/>
                <w:szCs w:val="20"/>
              </w:rPr>
              <w:t xml:space="preserve">Grandfathered access for patients otherwise identical to ‘initial 2’. Not considered in this review. </w:t>
            </w:r>
          </w:p>
        </w:tc>
      </w:tr>
    </w:tbl>
    <w:p w:rsidR="00DA0A26" w:rsidRPr="00604AFE" w:rsidRDefault="00DA0A26" w:rsidP="00604AFE">
      <w:pPr>
        <w:pStyle w:val="Tablenote"/>
        <w:ind w:left="142"/>
        <w:rPr>
          <w:rFonts w:ascii="Arial" w:hAnsi="Arial" w:cs="Arial"/>
        </w:rPr>
      </w:pPr>
      <w:r w:rsidRPr="00604AFE">
        <w:rPr>
          <w:rFonts w:ascii="Arial" w:hAnsi="Arial" w:cs="Arial"/>
        </w:rPr>
        <w:t xml:space="preserve">Source: </w:t>
      </w:r>
      <w:r w:rsidRPr="003F5FE5">
        <w:rPr>
          <w:rFonts w:ascii="Arial" w:hAnsi="Arial" w:cs="Arial"/>
        </w:rPr>
        <w:t>www.pbs.gov.au</w:t>
      </w:r>
    </w:p>
    <w:p w:rsidR="00DA0A26" w:rsidRDefault="00DA0A26" w:rsidP="00121658">
      <w:pPr>
        <w:jc w:val="left"/>
      </w:pPr>
      <w:r>
        <w:br w:type="page"/>
      </w:r>
    </w:p>
    <w:p w:rsidR="00DA0A26" w:rsidRDefault="00F275ED" w:rsidP="00604AFE">
      <w:pPr>
        <w:pStyle w:val="Caption"/>
        <w:ind w:left="0" w:firstLine="0"/>
        <w:jc w:val="left"/>
      </w:pPr>
      <w:bookmarkStart w:id="367" w:name="_Ref508899791"/>
      <w:bookmarkStart w:id="368" w:name="_Ref502147731"/>
      <w:bookmarkStart w:id="369" w:name="_Toc502867746"/>
      <w:bookmarkStart w:id="370" w:name="_Toc513107650"/>
      <w:r>
        <w:t>Table 1.</w:t>
      </w:r>
      <w:r w:rsidR="00D63371">
        <w:rPr>
          <w:noProof/>
        </w:rPr>
        <w:t>24</w:t>
      </w:r>
      <w:bookmarkEnd w:id="367"/>
      <w:r w:rsidR="000B7685">
        <w:tab/>
      </w:r>
      <w:r w:rsidR="00562100">
        <w:t>PAH continuing treatment</w:t>
      </w:r>
      <w:r w:rsidR="00DA0A26">
        <w:t>: clinical criteria and prescribing instructions</w:t>
      </w:r>
      <w:bookmarkEnd w:id="368"/>
      <w:bookmarkEnd w:id="369"/>
      <w:bookmarkEnd w:id="370"/>
    </w:p>
    <w:tbl>
      <w:tblPr>
        <w:tblStyle w:val="TableGrid"/>
        <w:tblW w:w="5000" w:type="pct"/>
        <w:tblLook w:val="04A0" w:firstRow="1" w:lastRow="0" w:firstColumn="1" w:lastColumn="0" w:noHBand="0" w:noVBand="1"/>
        <w:tblCaption w:val="PAH continuing treatment: clinical criteria and prescribing instructions"/>
      </w:tblPr>
      <w:tblGrid>
        <w:gridCol w:w="7701"/>
        <w:gridCol w:w="6879"/>
      </w:tblGrid>
      <w:tr w:rsidR="00DA0A26" w:rsidRPr="00604AFE" w:rsidTr="00027EEF">
        <w:trPr>
          <w:cnfStyle w:val="100000000000" w:firstRow="1" w:lastRow="0" w:firstColumn="0" w:lastColumn="0" w:oddVBand="0" w:evenVBand="0" w:oddHBand="0" w:evenHBand="0" w:firstRowFirstColumn="0" w:firstRowLastColumn="0" w:lastRowFirstColumn="0" w:lastRowLastColumn="0"/>
        </w:trPr>
        <w:tc>
          <w:tcPr>
            <w:tcW w:w="2641" w:type="pct"/>
            <w:shd w:val="clear" w:color="auto" w:fill="BFBFBF" w:themeFill="background1" w:themeFillShade="BF"/>
          </w:tcPr>
          <w:p w:rsidR="00DA0A26" w:rsidRPr="00604AFE" w:rsidRDefault="00DA0A26" w:rsidP="00604AFE">
            <w:pPr>
              <w:spacing w:beforeLines="40" w:before="96" w:afterLines="40" w:after="96" w:line="240" w:lineRule="auto"/>
              <w:ind w:left="147" w:right="57"/>
              <w:jc w:val="left"/>
              <w:rPr>
                <w:rFonts w:ascii="Arial" w:hAnsi="Arial" w:cs="Arial"/>
                <w:b/>
                <w:sz w:val="20"/>
                <w:szCs w:val="20"/>
              </w:rPr>
            </w:pPr>
            <w:r w:rsidRPr="00604AFE">
              <w:rPr>
                <w:rFonts w:ascii="Arial" w:hAnsi="Arial" w:cs="Arial"/>
                <w:b/>
                <w:sz w:val="20"/>
                <w:szCs w:val="20"/>
              </w:rPr>
              <w:t>Current PBS Restriction</w:t>
            </w:r>
          </w:p>
        </w:tc>
        <w:tc>
          <w:tcPr>
            <w:tcW w:w="2359" w:type="pct"/>
            <w:shd w:val="clear" w:color="auto" w:fill="BFBFBF" w:themeFill="background1" w:themeFillShade="BF"/>
          </w:tcPr>
          <w:p w:rsidR="00DA0A26" w:rsidRPr="00604AFE" w:rsidRDefault="00DA0A26" w:rsidP="00604AFE">
            <w:pPr>
              <w:spacing w:beforeLines="40" w:before="96" w:afterLines="40" w:after="96" w:line="240" w:lineRule="auto"/>
              <w:ind w:left="147" w:right="57"/>
              <w:jc w:val="left"/>
              <w:rPr>
                <w:rFonts w:ascii="Arial" w:hAnsi="Arial" w:cs="Arial"/>
                <w:b/>
                <w:sz w:val="20"/>
                <w:szCs w:val="20"/>
              </w:rPr>
            </w:pPr>
            <w:r w:rsidRPr="00604AFE">
              <w:rPr>
                <w:rFonts w:ascii="Arial" w:hAnsi="Arial" w:cs="Arial"/>
                <w:b/>
                <w:sz w:val="20"/>
                <w:szCs w:val="20"/>
              </w:rPr>
              <w:t>Comment</w:t>
            </w:r>
          </w:p>
        </w:tc>
      </w:tr>
      <w:tr w:rsidR="00DA0A26" w:rsidRPr="00604AFE" w:rsidTr="00027EEF">
        <w:tc>
          <w:tcPr>
            <w:tcW w:w="2641" w:type="pct"/>
          </w:tcPr>
          <w:p w:rsidR="00DA0A26" w:rsidRPr="00604AFE" w:rsidRDefault="00DA0A26" w:rsidP="00604AFE">
            <w:pPr>
              <w:spacing w:beforeLines="40" w:before="96" w:afterLines="40" w:after="96" w:line="240" w:lineRule="auto"/>
              <w:ind w:left="147" w:right="57"/>
              <w:jc w:val="left"/>
              <w:rPr>
                <w:rFonts w:ascii="Arial" w:hAnsi="Arial" w:cs="Arial"/>
                <w:sz w:val="20"/>
                <w:szCs w:val="20"/>
                <w:u w:val="single"/>
              </w:rPr>
            </w:pPr>
            <w:r w:rsidRPr="00604AFE">
              <w:rPr>
                <w:rFonts w:ascii="Arial" w:hAnsi="Arial" w:cs="Arial"/>
                <w:sz w:val="20"/>
                <w:szCs w:val="20"/>
                <w:u w:val="single"/>
              </w:rPr>
              <w:t>Clinical criterion (‘first continuing’):</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Patient must have received a PBS-subsidised initial course of treatment with this agent for this condition</w:t>
            </w:r>
          </w:p>
          <w:p w:rsidR="00DA0A26" w:rsidRPr="00604AFE" w:rsidRDefault="00DA0A26" w:rsidP="00604AFE">
            <w:pPr>
              <w:spacing w:beforeLines="40" w:before="96" w:afterLines="40" w:after="96" w:line="240" w:lineRule="auto"/>
              <w:ind w:left="147" w:right="57"/>
              <w:jc w:val="left"/>
              <w:rPr>
                <w:rFonts w:ascii="Arial" w:hAnsi="Arial" w:cs="Arial"/>
                <w:sz w:val="20"/>
                <w:szCs w:val="20"/>
                <w:u w:val="single"/>
              </w:rPr>
            </w:pPr>
            <w:r w:rsidRPr="00604AFE">
              <w:rPr>
                <w:rFonts w:ascii="Arial" w:hAnsi="Arial" w:cs="Arial"/>
                <w:sz w:val="20"/>
                <w:szCs w:val="20"/>
                <w:u w:val="single"/>
              </w:rPr>
              <w:t>Clinical criterion (‘subsequent continuing’):</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Patient must have received a PBS-subsidised treatment under First Continuing treatment with this agent for this condition; OR</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Patient must have previously received PBS-subsidised treatment under this criteria wit</w:t>
            </w:r>
            <w:r w:rsidR="002075E2" w:rsidRPr="00604AFE">
              <w:rPr>
                <w:rFonts w:ascii="Arial" w:hAnsi="Arial" w:cs="Arial"/>
                <w:sz w:val="20"/>
                <w:szCs w:val="20"/>
              </w:rPr>
              <w:t>h this agent for this condition</w:t>
            </w:r>
          </w:p>
        </w:tc>
        <w:tc>
          <w:tcPr>
            <w:tcW w:w="2359" w:type="pct"/>
          </w:tcPr>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w:t>
            </w:r>
          </w:p>
        </w:tc>
      </w:tr>
      <w:tr w:rsidR="00DA0A26" w:rsidRPr="00604AFE" w:rsidTr="00027EEF">
        <w:tc>
          <w:tcPr>
            <w:tcW w:w="2641" w:type="pct"/>
          </w:tcPr>
          <w:p w:rsidR="00DA0A26" w:rsidRPr="00604AFE" w:rsidRDefault="00DA0A26" w:rsidP="00604AFE">
            <w:pPr>
              <w:spacing w:beforeLines="40" w:before="96" w:afterLines="40" w:after="96" w:line="240" w:lineRule="auto"/>
              <w:ind w:left="147" w:right="57"/>
              <w:jc w:val="left"/>
              <w:rPr>
                <w:rFonts w:ascii="Arial" w:hAnsi="Arial" w:cs="Arial"/>
                <w:sz w:val="20"/>
                <w:szCs w:val="20"/>
                <w:u w:val="single"/>
              </w:rPr>
            </w:pPr>
            <w:r w:rsidRPr="00604AFE">
              <w:rPr>
                <w:rFonts w:ascii="Arial" w:hAnsi="Arial" w:cs="Arial"/>
                <w:sz w:val="20"/>
                <w:szCs w:val="20"/>
                <w:u w:val="single"/>
              </w:rPr>
              <w:t>Clinical criterion (‘balance of supply’):</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Patient must have received insufficient therapy with this agent under the Initial 1 (new patients) restriction to complete a maximum of six months of treatment; OR</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Patient must have received insufficient therapy with this agent under the Initial 2 (new patients) restriction to complete a maximum of six months of treatment; OR</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Patient must have received insufficient therapy with this agent under the Initial 3 (change or re-commencement of therapy for all patients) restriction to complete a maximum of six months of treatment; OR</w:t>
            </w:r>
          </w:p>
          <w:p w:rsidR="00DA0A26" w:rsidRPr="00604AFE" w:rsidRDefault="00DA0A26" w:rsidP="00604AFE">
            <w:pPr>
              <w:spacing w:beforeLines="40" w:before="96" w:afterLines="40" w:after="96" w:line="240" w:lineRule="auto"/>
              <w:ind w:left="147" w:right="57"/>
              <w:jc w:val="left"/>
              <w:rPr>
                <w:rFonts w:ascii="Arial" w:hAnsi="Arial" w:cs="Arial"/>
                <w:sz w:val="20"/>
                <w:szCs w:val="20"/>
                <w:u w:val="single"/>
              </w:rPr>
            </w:pPr>
            <w:r w:rsidRPr="00604AFE">
              <w:rPr>
                <w:rFonts w:ascii="Arial" w:hAnsi="Arial" w:cs="Arial"/>
                <w:sz w:val="20"/>
                <w:szCs w:val="20"/>
              </w:rPr>
              <w:t>Patient must have received insufficient therapy with this agent under the First Continuing treatment restriction to complete a maximum of six months of treatment,</w:t>
            </w:r>
          </w:p>
        </w:tc>
        <w:tc>
          <w:tcPr>
            <w:tcW w:w="2359" w:type="pct"/>
          </w:tcPr>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As with all PBS items for treatment of chronic conditions, one script should provide one month’s supply with repeats sufficient for a total of 6 months’ treatment in total</w:t>
            </w:r>
            <w:r w:rsidR="00C6734D" w:rsidRPr="00604AFE">
              <w:rPr>
                <w:rFonts w:ascii="Arial" w:hAnsi="Arial" w:cs="Arial"/>
                <w:sz w:val="20"/>
                <w:szCs w:val="20"/>
              </w:rPr>
              <w:t xml:space="preserve">. </w:t>
            </w:r>
          </w:p>
        </w:tc>
      </w:tr>
      <w:tr w:rsidR="00DA0A26" w:rsidRPr="00604AFE" w:rsidTr="00BB276C">
        <w:tc>
          <w:tcPr>
            <w:tcW w:w="2641" w:type="pct"/>
            <w:tcBorders>
              <w:bottom w:val="single" w:sz="4" w:space="0" w:color="auto"/>
            </w:tcBorders>
          </w:tcPr>
          <w:p w:rsidR="00DA0A26" w:rsidRPr="00604AFE" w:rsidRDefault="00DA0A26" w:rsidP="00604AFE">
            <w:pPr>
              <w:spacing w:beforeLines="40" w:before="96" w:afterLines="40" w:after="96" w:line="240" w:lineRule="auto"/>
              <w:ind w:left="147" w:right="57"/>
              <w:jc w:val="left"/>
              <w:rPr>
                <w:rFonts w:ascii="Arial" w:hAnsi="Arial" w:cs="Arial"/>
                <w:sz w:val="20"/>
                <w:szCs w:val="20"/>
                <w:u w:val="single"/>
              </w:rPr>
            </w:pPr>
            <w:r w:rsidRPr="00604AFE">
              <w:rPr>
                <w:rFonts w:ascii="Arial" w:hAnsi="Arial" w:cs="Arial"/>
                <w:sz w:val="20"/>
                <w:szCs w:val="20"/>
                <w:u w:val="single"/>
              </w:rPr>
              <w:t>Clinical criterion (‘balance of supply’):</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 xml:space="preserve">The treatment must provide no more than the balance of up to six months treatment available </w:t>
            </w:r>
            <w:proofErr w:type="gramStart"/>
            <w:r w:rsidRPr="00604AFE">
              <w:rPr>
                <w:rFonts w:ascii="Arial" w:hAnsi="Arial" w:cs="Arial"/>
                <w:sz w:val="20"/>
                <w:szCs w:val="20"/>
              </w:rPr>
              <w:t>under</w:t>
            </w:r>
            <w:proofErr w:type="gramEnd"/>
            <w:r w:rsidRPr="00604AFE">
              <w:rPr>
                <w:rFonts w:ascii="Arial" w:hAnsi="Arial" w:cs="Arial"/>
                <w:sz w:val="20"/>
                <w:szCs w:val="20"/>
              </w:rPr>
              <w:t xml:space="preserve"> one of the above restrictions.</w:t>
            </w:r>
          </w:p>
        </w:tc>
        <w:tc>
          <w:tcPr>
            <w:tcW w:w="2359" w:type="pct"/>
            <w:tcBorders>
              <w:bottom w:val="single" w:sz="4" w:space="0" w:color="auto"/>
            </w:tcBorders>
          </w:tcPr>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As with all PBS items for treatment of chronic conditions, one script should provide one month’s supply with repeats sufficient for a total of 6 months’ treatment in total</w:t>
            </w:r>
            <w:r w:rsidR="00C6734D" w:rsidRPr="00604AFE">
              <w:rPr>
                <w:rFonts w:ascii="Arial" w:hAnsi="Arial" w:cs="Arial"/>
                <w:sz w:val="20"/>
                <w:szCs w:val="20"/>
              </w:rPr>
              <w:t xml:space="preserve">. </w:t>
            </w:r>
          </w:p>
        </w:tc>
      </w:tr>
      <w:tr w:rsidR="00DA0A26" w:rsidRPr="00604AFE" w:rsidTr="00BB276C">
        <w:tc>
          <w:tcPr>
            <w:tcW w:w="2641" w:type="pct"/>
            <w:tcBorders>
              <w:bottom w:val="single" w:sz="4" w:space="0" w:color="auto"/>
            </w:tcBorders>
          </w:tcPr>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u w:val="single"/>
              </w:rPr>
              <w:t>Prescribing instruction (‘first continuing’):</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Test requirements to establish response to treatment for continuation of treatment are as follows:</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The following list outlines the preferred test combination, in descending order, for the purposes of continuation of PBS-subsidised treatment:</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(1) RHC plus ECHO composite assessments plus 6MWT;</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(2) RHC plus ECHO composite assessments;</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(3) RHC composite assessment plus 6MWT;</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(4) ECHO composite assessment plus 6MWT;</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(5) RHC composite assessment only;</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(6) ECHO composite assessment only.</w:t>
            </w:r>
          </w:p>
        </w:tc>
        <w:tc>
          <w:tcPr>
            <w:tcW w:w="2359" w:type="pct"/>
            <w:tcBorders>
              <w:bottom w:val="single" w:sz="4" w:space="0" w:color="auto"/>
            </w:tcBorders>
          </w:tcPr>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This offers the possibility to skip RHC if ECHO and 6MWT are in hand and if all three tests were conducted at baseline. This is discussed above in the main body text.</w:t>
            </w:r>
          </w:p>
        </w:tc>
      </w:tr>
      <w:tr w:rsidR="00DA0A26" w:rsidRPr="00604AFE" w:rsidTr="00BB276C">
        <w:tc>
          <w:tcPr>
            <w:tcW w:w="2641" w:type="pct"/>
            <w:tcBorders>
              <w:top w:val="single" w:sz="4" w:space="0" w:color="auto"/>
            </w:tcBorders>
          </w:tcPr>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 xml:space="preserve">The results of the same tests as conducted at baseline should be provided with the written First Continuing treatment application, except for patients who were able to undergo all 3 tests at baseline, and whose subsequent ECHO and 6MWT results demonstrate disease stability or improvement, in which case RHC can be omitted. In all other patients, where the same test(s) conducted at baseline cannot be performed for assessment of response on clinical grounds, a patient specific reason why the test(s) could not be conducted must be provided with the application. </w:t>
            </w:r>
          </w:p>
        </w:tc>
        <w:tc>
          <w:tcPr>
            <w:tcW w:w="2359" w:type="pct"/>
            <w:tcBorders>
              <w:top w:val="single" w:sz="4" w:space="0" w:color="auto"/>
            </w:tcBorders>
          </w:tcPr>
          <w:p w:rsidR="00DA0A26" w:rsidRPr="00604AFE" w:rsidRDefault="00DA0A26" w:rsidP="00604AFE">
            <w:pPr>
              <w:spacing w:beforeLines="40" w:before="96" w:afterLines="40" w:after="96" w:line="240" w:lineRule="auto"/>
              <w:ind w:left="147" w:right="57"/>
              <w:jc w:val="left"/>
              <w:rPr>
                <w:rFonts w:ascii="Arial" w:hAnsi="Arial" w:cs="Arial"/>
                <w:sz w:val="20"/>
                <w:szCs w:val="20"/>
              </w:rPr>
            </w:pPr>
          </w:p>
        </w:tc>
      </w:tr>
      <w:tr w:rsidR="00D051F1" w:rsidRPr="00604AFE" w:rsidTr="00D051F1">
        <w:tc>
          <w:tcPr>
            <w:tcW w:w="2641" w:type="pct"/>
            <w:tcBorders>
              <w:bottom w:val="nil"/>
            </w:tcBorders>
          </w:tcPr>
          <w:p w:rsidR="00D051F1" w:rsidRPr="00604AFE" w:rsidRDefault="00D051F1" w:rsidP="00604AFE">
            <w:pPr>
              <w:spacing w:beforeLines="40" w:before="96" w:afterLines="40" w:after="96" w:line="240" w:lineRule="auto"/>
              <w:ind w:left="147" w:right="57"/>
              <w:jc w:val="left"/>
              <w:rPr>
                <w:rFonts w:ascii="Arial" w:hAnsi="Arial" w:cs="Arial"/>
                <w:sz w:val="20"/>
                <w:szCs w:val="20"/>
                <w:u w:val="single"/>
              </w:rPr>
            </w:pPr>
            <w:r w:rsidRPr="00604AFE">
              <w:rPr>
                <w:rFonts w:ascii="Arial" w:hAnsi="Arial" w:cs="Arial"/>
                <w:sz w:val="20"/>
                <w:szCs w:val="20"/>
                <w:u w:val="single"/>
              </w:rPr>
              <w:t>Prescribing instructions (‘initial 2/3 change or recommencement’; ‘first continuing ):</w:t>
            </w:r>
          </w:p>
          <w:p w:rsidR="00D051F1" w:rsidRPr="00604AFE" w:rsidRDefault="00D051F1"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Response to a PAH agent is defined as follows:</w:t>
            </w:r>
          </w:p>
          <w:p w:rsidR="00D051F1" w:rsidRPr="00604AFE" w:rsidRDefault="00D051F1"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For patients with two or more baseline tests, response to treatment is defined as two or more tests demonstrating stability or improvement of disease, as assessed by a physician from a designated hospital.</w:t>
            </w:r>
          </w:p>
          <w:p w:rsidR="00D051F1" w:rsidRPr="00604AFE" w:rsidRDefault="00D051F1"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For patients with a RHC composite assessment alone at baseline, response to treatment is defined as a RHC result demonstrating stability or improvement of disease, as assessed by a physician from a designated hospital.</w:t>
            </w:r>
          </w:p>
          <w:p w:rsidR="00D051F1" w:rsidRPr="00604AFE" w:rsidRDefault="00D051F1"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For patients with an ECHO composite assessment alone at baseline, response to treatment is defined as an ECHO result demonstrating stability or improvement of disease, as assessed by a physician from a designated hospital.</w:t>
            </w:r>
          </w:p>
        </w:tc>
        <w:tc>
          <w:tcPr>
            <w:tcW w:w="2359" w:type="pct"/>
            <w:tcBorders>
              <w:bottom w:val="nil"/>
            </w:tcBorders>
          </w:tcPr>
          <w:p w:rsidR="00D051F1" w:rsidRPr="00604AFE" w:rsidRDefault="00FE35DA"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Discussed in main text</w:t>
            </w:r>
            <w:r w:rsidR="003C17FA" w:rsidRPr="00604AFE">
              <w:rPr>
                <w:rFonts w:ascii="Arial" w:hAnsi="Arial" w:cs="Arial"/>
                <w:sz w:val="20"/>
                <w:szCs w:val="20"/>
              </w:rPr>
              <w:t xml:space="preserve">. </w:t>
            </w:r>
          </w:p>
          <w:p w:rsidR="00D051F1" w:rsidRPr="00604AFE" w:rsidRDefault="00D051F1" w:rsidP="00604AFE">
            <w:pPr>
              <w:spacing w:beforeLines="40" w:before="96" w:afterLines="40" w:after="96" w:line="240" w:lineRule="auto"/>
              <w:ind w:left="147" w:right="57"/>
              <w:jc w:val="left"/>
              <w:rPr>
                <w:rFonts w:ascii="Arial" w:hAnsi="Arial" w:cs="Arial"/>
                <w:sz w:val="20"/>
                <w:szCs w:val="20"/>
              </w:rPr>
            </w:pPr>
          </w:p>
        </w:tc>
      </w:tr>
      <w:tr w:rsidR="00D051F1" w:rsidRPr="00604AFE" w:rsidTr="00D051F1">
        <w:tc>
          <w:tcPr>
            <w:tcW w:w="2641" w:type="pct"/>
            <w:tcBorders>
              <w:top w:val="nil"/>
            </w:tcBorders>
          </w:tcPr>
          <w:p w:rsidR="00D051F1" w:rsidRPr="00604AFE" w:rsidRDefault="00D051F1"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 xml:space="preserve">For patients aged less than 18 years, response to treatment is defined as at least one of the baseline tests demonstrating stability or improvement of disease, as assessed by a physician from a designated hospital. </w:t>
            </w:r>
          </w:p>
        </w:tc>
        <w:tc>
          <w:tcPr>
            <w:tcW w:w="2359" w:type="pct"/>
            <w:tcBorders>
              <w:top w:val="nil"/>
            </w:tcBorders>
          </w:tcPr>
          <w:p w:rsidR="00D051F1" w:rsidRPr="00604AFE" w:rsidRDefault="008B6CA8" w:rsidP="00604AFE">
            <w:pPr>
              <w:spacing w:beforeLines="40" w:before="96" w:afterLines="40" w:after="96" w:line="240" w:lineRule="auto"/>
              <w:ind w:left="147" w:right="57"/>
              <w:jc w:val="left"/>
              <w:rPr>
                <w:rFonts w:ascii="Arial" w:hAnsi="Arial" w:cs="Arial"/>
                <w:sz w:val="20"/>
                <w:szCs w:val="20"/>
                <w:highlight w:val="yellow"/>
              </w:rPr>
            </w:pPr>
            <w:r w:rsidRPr="00604AFE">
              <w:rPr>
                <w:rFonts w:ascii="Arial" w:hAnsi="Arial" w:cs="Arial"/>
                <w:sz w:val="20"/>
                <w:szCs w:val="20"/>
              </w:rPr>
              <w:t xml:space="preserve">This wording appears in all the change/recommencement and all the first continuing restrictions for PAH agents,   </w:t>
            </w:r>
          </w:p>
        </w:tc>
      </w:tr>
      <w:tr w:rsidR="00DA0A26" w:rsidRPr="00604AFE" w:rsidTr="00027EEF">
        <w:tc>
          <w:tcPr>
            <w:tcW w:w="2641" w:type="pct"/>
          </w:tcPr>
          <w:p w:rsidR="00DA0A26" w:rsidRPr="00604AFE" w:rsidRDefault="00DA0A26" w:rsidP="00604AFE">
            <w:pPr>
              <w:spacing w:beforeLines="40" w:before="96" w:afterLines="40" w:after="96" w:line="240" w:lineRule="auto"/>
              <w:ind w:left="147" w:right="57"/>
              <w:jc w:val="left"/>
              <w:rPr>
                <w:rFonts w:ascii="Arial" w:hAnsi="Arial" w:cs="Arial"/>
                <w:sz w:val="20"/>
                <w:szCs w:val="20"/>
                <w:u w:val="single"/>
              </w:rPr>
            </w:pPr>
            <w:r w:rsidRPr="00604AFE">
              <w:rPr>
                <w:rFonts w:ascii="Arial" w:hAnsi="Arial" w:cs="Arial"/>
                <w:sz w:val="20"/>
                <w:szCs w:val="20"/>
                <w:u w:val="single"/>
              </w:rPr>
              <w:t>Prescribing instruction (‘first continuing’; ‘subsequent continuing’):</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The maximum quantity authorised will be limited to provide sufficient supply for 1 month of treatment, based on the dosage recommendations in the Therapeutic Goods Administration (TGA) approved Product Information.</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A maximum of 5 repeats will be authorised.</w:t>
            </w:r>
          </w:p>
        </w:tc>
        <w:tc>
          <w:tcPr>
            <w:tcW w:w="2359" w:type="pct"/>
          </w:tcPr>
          <w:p w:rsidR="00DA0A26" w:rsidRPr="00604AFE" w:rsidRDefault="00BB276C"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Discussed in main text</w:t>
            </w:r>
            <w:r w:rsidR="003C17FA" w:rsidRPr="00604AFE">
              <w:rPr>
                <w:rFonts w:ascii="Arial" w:hAnsi="Arial" w:cs="Arial"/>
                <w:sz w:val="20"/>
                <w:szCs w:val="20"/>
              </w:rPr>
              <w:t xml:space="preserve">. </w:t>
            </w:r>
          </w:p>
        </w:tc>
      </w:tr>
      <w:tr w:rsidR="00DA0A26" w:rsidRPr="00604AFE" w:rsidTr="00027EEF">
        <w:tc>
          <w:tcPr>
            <w:tcW w:w="2641" w:type="pct"/>
          </w:tcPr>
          <w:p w:rsidR="00DA0A26" w:rsidRPr="00604AFE" w:rsidRDefault="00DA0A26" w:rsidP="00604AFE">
            <w:pPr>
              <w:spacing w:beforeLines="40" w:before="96" w:afterLines="40" w:after="96" w:line="240" w:lineRule="auto"/>
              <w:ind w:left="147" w:right="57"/>
              <w:jc w:val="left"/>
              <w:rPr>
                <w:rFonts w:ascii="Arial" w:hAnsi="Arial" w:cs="Arial"/>
                <w:sz w:val="20"/>
                <w:szCs w:val="20"/>
                <w:u w:val="single"/>
              </w:rPr>
            </w:pPr>
            <w:r w:rsidRPr="00604AFE">
              <w:rPr>
                <w:rFonts w:ascii="Arial" w:hAnsi="Arial" w:cs="Arial"/>
                <w:sz w:val="20"/>
                <w:szCs w:val="20"/>
                <w:u w:val="single"/>
              </w:rPr>
              <w:t>Prescribing instruction (‘first continuing’):</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 xml:space="preserve">An application for First Continuing treatment with a PAH agent should be made prior to the completion of the Initial 6 month treatment course to ensure continuity for those patients who respond to treatment, as assessed by the treating physician. </w:t>
            </w:r>
          </w:p>
          <w:p w:rsidR="00DA0A26" w:rsidRPr="00604AFE" w:rsidRDefault="00DA0A26" w:rsidP="00604AFE">
            <w:pPr>
              <w:spacing w:beforeLines="40" w:before="96" w:afterLines="40" w:after="96" w:line="240" w:lineRule="auto"/>
              <w:ind w:left="147" w:right="57"/>
              <w:jc w:val="left"/>
              <w:rPr>
                <w:rFonts w:ascii="Arial" w:hAnsi="Arial" w:cs="Arial"/>
                <w:sz w:val="20"/>
                <w:szCs w:val="20"/>
                <w:u w:val="single"/>
              </w:rPr>
            </w:pPr>
            <w:r w:rsidRPr="00604AFE">
              <w:rPr>
                <w:rFonts w:ascii="Arial" w:hAnsi="Arial" w:cs="Arial"/>
                <w:sz w:val="20"/>
                <w:szCs w:val="20"/>
                <w:u w:val="single"/>
              </w:rPr>
              <w:t>Prescribing instruction (‘subsequent continuing’):</w:t>
            </w:r>
          </w:p>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An application for Subsequent Continuing treatment with a PAH agents should be made prior to the completion of the First Continuing treatment course to ensure continuity of treatment.</w:t>
            </w:r>
          </w:p>
        </w:tc>
        <w:tc>
          <w:tcPr>
            <w:tcW w:w="2359" w:type="pct"/>
          </w:tcPr>
          <w:p w:rsidR="00DA0A26" w:rsidRPr="00604AFE" w:rsidRDefault="00DA0A26" w:rsidP="00604AFE">
            <w:pPr>
              <w:spacing w:beforeLines="40" w:before="96" w:afterLines="40" w:after="96" w:line="240" w:lineRule="auto"/>
              <w:ind w:left="147" w:right="57"/>
              <w:jc w:val="left"/>
              <w:rPr>
                <w:rFonts w:ascii="Arial" w:hAnsi="Arial" w:cs="Arial"/>
                <w:sz w:val="20"/>
                <w:szCs w:val="20"/>
              </w:rPr>
            </w:pPr>
            <w:r w:rsidRPr="00604AFE">
              <w:rPr>
                <w:rFonts w:ascii="Arial" w:hAnsi="Arial" w:cs="Arial"/>
                <w:sz w:val="20"/>
                <w:szCs w:val="20"/>
              </w:rPr>
              <w:t>—</w:t>
            </w:r>
          </w:p>
        </w:tc>
      </w:tr>
    </w:tbl>
    <w:p w:rsidR="00DA0A26" w:rsidRPr="00604AFE" w:rsidRDefault="00DA0A26" w:rsidP="00604AFE">
      <w:pPr>
        <w:pStyle w:val="Tablenote"/>
        <w:spacing w:beforeLines="40" w:before="96" w:afterLines="40" w:after="96"/>
        <w:rPr>
          <w:rFonts w:ascii="Arial" w:hAnsi="Arial" w:cs="Arial"/>
        </w:rPr>
      </w:pPr>
      <w:r w:rsidRPr="00604AFE">
        <w:rPr>
          <w:rFonts w:ascii="Arial" w:hAnsi="Arial" w:cs="Arial"/>
        </w:rPr>
        <w:t xml:space="preserve">Source: </w:t>
      </w:r>
      <w:r w:rsidRPr="003F5FE5">
        <w:rPr>
          <w:rFonts w:ascii="Arial" w:hAnsi="Arial" w:cs="Arial"/>
        </w:rPr>
        <w:t>www.pbs.gov.au</w:t>
      </w:r>
    </w:p>
    <w:p w:rsidR="00DA0A26" w:rsidRDefault="00DA0A26" w:rsidP="00121658">
      <w:pPr>
        <w:jc w:val="left"/>
        <w:rPr>
          <w:rFonts w:ascii="Arial Narrow" w:eastAsia="Times New Roman" w:hAnsi="Arial Narrow" w:cs="Arial"/>
          <w:color w:val="000000"/>
          <w:sz w:val="20"/>
          <w:szCs w:val="20"/>
        </w:rPr>
      </w:pPr>
      <w:r>
        <w:br w:type="page"/>
      </w:r>
    </w:p>
    <w:p w:rsidR="00DA0A26" w:rsidRDefault="00F275ED" w:rsidP="00DF4B27">
      <w:pPr>
        <w:pStyle w:val="Caption"/>
        <w:ind w:left="0" w:firstLine="0"/>
        <w:jc w:val="left"/>
      </w:pPr>
      <w:bookmarkStart w:id="371" w:name="_Ref508899799"/>
      <w:bookmarkStart w:id="372" w:name="_Ref502147734"/>
      <w:bookmarkStart w:id="373" w:name="_Toc502867747"/>
      <w:bookmarkStart w:id="374" w:name="_Toc513107651"/>
      <w:r>
        <w:t xml:space="preserve">Table </w:t>
      </w:r>
      <w:proofErr w:type="gramStart"/>
      <w:r>
        <w:t>1.</w:t>
      </w:r>
      <w:r w:rsidR="00D63371">
        <w:rPr>
          <w:noProof/>
        </w:rPr>
        <w:t>25</w:t>
      </w:r>
      <w:bookmarkEnd w:id="371"/>
      <w:r>
        <w:tab/>
      </w:r>
      <w:r w:rsidR="00DA0A26">
        <w:t>Administrative information in</w:t>
      </w:r>
      <w:proofErr w:type="gramEnd"/>
      <w:r w:rsidR="00DA0A26">
        <w:t xml:space="preserve"> PAH items</w:t>
      </w:r>
      <w:bookmarkEnd w:id="372"/>
      <w:bookmarkEnd w:id="373"/>
      <w:bookmarkEnd w:id="374"/>
    </w:p>
    <w:tbl>
      <w:tblPr>
        <w:tblStyle w:val="TableGrid"/>
        <w:tblW w:w="5000" w:type="pct"/>
        <w:tblLook w:val="04A0" w:firstRow="1" w:lastRow="0" w:firstColumn="1" w:lastColumn="0" w:noHBand="0" w:noVBand="1"/>
        <w:tblCaption w:val="Administrative information in PAH items"/>
      </w:tblPr>
      <w:tblGrid>
        <w:gridCol w:w="7255"/>
        <w:gridCol w:w="7325"/>
      </w:tblGrid>
      <w:tr w:rsidR="00DA0A26" w:rsidRPr="00DF4B27" w:rsidTr="00027EEF">
        <w:trPr>
          <w:cnfStyle w:val="100000000000" w:firstRow="1" w:lastRow="0" w:firstColumn="0" w:lastColumn="0" w:oddVBand="0" w:evenVBand="0" w:oddHBand="0" w:evenHBand="0" w:firstRowFirstColumn="0" w:firstRowLastColumn="0" w:lastRowFirstColumn="0" w:lastRowLastColumn="0"/>
        </w:trPr>
        <w:tc>
          <w:tcPr>
            <w:tcW w:w="2488" w:type="pct"/>
            <w:shd w:val="clear" w:color="auto" w:fill="BFBFBF" w:themeFill="background1" w:themeFillShade="BF"/>
          </w:tcPr>
          <w:p w:rsidR="00DA0A26" w:rsidRPr="00DF4B27" w:rsidRDefault="00DA0A26" w:rsidP="00DF4B27">
            <w:pPr>
              <w:spacing w:beforeLines="40" w:before="96" w:afterLines="40" w:after="96" w:line="240" w:lineRule="auto"/>
              <w:ind w:right="57"/>
              <w:jc w:val="left"/>
              <w:rPr>
                <w:rFonts w:ascii="Arial" w:hAnsi="Arial" w:cs="Arial"/>
                <w:b/>
                <w:sz w:val="20"/>
                <w:szCs w:val="20"/>
              </w:rPr>
            </w:pPr>
            <w:r w:rsidRPr="00DF4B27">
              <w:rPr>
                <w:rFonts w:ascii="Arial" w:hAnsi="Arial" w:cs="Arial"/>
                <w:b/>
                <w:sz w:val="20"/>
                <w:szCs w:val="20"/>
              </w:rPr>
              <w:t>Current PBS Restriction</w:t>
            </w:r>
          </w:p>
        </w:tc>
        <w:tc>
          <w:tcPr>
            <w:tcW w:w="2512" w:type="pct"/>
            <w:shd w:val="clear" w:color="auto" w:fill="BFBFBF" w:themeFill="background1" w:themeFillShade="BF"/>
          </w:tcPr>
          <w:p w:rsidR="00DA0A26" w:rsidRPr="00DF4B27" w:rsidRDefault="00DA0A26" w:rsidP="00DF4B27">
            <w:pPr>
              <w:spacing w:beforeLines="40" w:before="96" w:afterLines="40" w:after="96" w:line="240" w:lineRule="auto"/>
              <w:ind w:right="57"/>
              <w:jc w:val="left"/>
              <w:rPr>
                <w:rFonts w:ascii="Arial" w:hAnsi="Arial" w:cs="Arial"/>
                <w:b/>
                <w:sz w:val="20"/>
                <w:szCs w:val="20"/>
              </w:rPr>
            </w:pPr>
            <w:r w:rsidRPr="00DF4B27">
              <w:rPr>
                <w:rFonts w:ascii="Arial" w:hAnsi="Arial" w:cs="Arial"/>
                <w:b/>
                <w:sz w:val="20"/>
                <w:szCs w:val="20"/>
              </w:rPr>
              <w:t>Comment</w:t>
            </w:r>
          </w:p>
        </w:tc>
      </w:tr>
      <w:tr w:rsidR="00DA0A26" w:rsidRPr="00DF4B27" w:rsidTr="00027EEF">
        <w:tc>
          <w:tcPr>
            <w:tcW w:w="2488" w:type="pct"/>
          </w:tcPr>
          <w:p w:rsidR="00DA0A26" w:rsidRPr="00DF4B27" w:rsidRDefault="00DA0A26" w:rsidP="00DF4B27">
            <w:pPr>
              <w:spacing w:beforeLines="40" w:before="96" w:afterLines="40" w:after="96" w:line="240" w:lineRule="auto"/>
              <w:ind w:right="57"/>
              <w:jc w:val="left"/>
              <w:rPr>
                <w:rFonts w:ascii="Arial" w:hAnsi="Arial" w:cs="Arial"/>
                <w:sz w:val="20"/>
                <w:szCs w:val="20"/>
                <w:u w:val="single"/>
              </w:rPr>
            </w:pPr>
            <w:r w:rsidRPr="00DF4B27">
              <w:rPr>
                <w:rFonts w:ascii="Arial" w:hAnsi="Arial" w:cs="Arial"/>
                <w:sz w:val="20"/>
                <w:szCs w:val="20"/>
                <w:u w:val="single"/>
              </w:rPr>
              <w:t>Prescribing Instruction:</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Applications for authorisation must be in writing and must include:</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(1) two completed authority prescription forms; and</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(2) a completed Pulmonary Arterial Hypertension PBS Authority Application - Supporting Information form which includes results from the three tests below, where available:</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w:t>
            </w:r>
            <w:proofErr w:type="spellStart"/>
            <w:r w:rsidRPr="00DF4B27">
              <w:rPr>
                <w:rFonts w:ascii="Arial" w:hAnsi="Arial" w:cs="Arial"/>
                <w:sz w:val="20"/>
                <w:szCs w:val="20"/>
              </w:rPr>
              <w:t>i</w:t>
            </w:r>
            <w:proofErr w:type="spellEnd"/>
            <w:r w:rsidRPr="00DF4B27">
              <w:rPr>
                <w:rFonts w:ascii="Arial" w:hAnsi="Arial" w:cs="Arial"/>
                <w:sz w:val="20"/>
                <w:szCs w:val="20"/>
              </w:rPr>
              <w:t>) RHC composite assessment; and</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(ii) ECHO composite assessment; and</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(iii) 6 Minute Walk Test (6MWT); and</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 xml:space="preserve">(3) </w:t>
            </w:r>
            <w:proofErr w:type="gramStart"/>
            <w:r w:rsidRPr="00DF4B27">
              <w:rPr>
                <w:rFonts w:ascii="Arial" w:hAnsi="Arial" w:cs="Arial"/>
                <w:sz w:val="20"/>
                <w:szCs w:val="20"/>
              </w:rPr>
              <w:t>a</w:t>
            </w:r>
            <w:proofErr w:type="gramEnd"/>
            <w:r w:rsidRPr="00DF4B27">
              <w:rPr>
                <w:rFonts w:ascii="Arial" w:hAnsi="Arial" w:cs="Arial"/>
                <w:sz w:val="20"/>
                <w:szCs w:val="20"/>
              </w:rPr>
              <w:t xml:space="preserve"> signed patient acknowledgement.</w:t>
            </w:r>
          </w:p>
        </w:tc>
        <w:tc>
          <w:tcPr>
            <w:tcW w:w="2512" w:type="pct"/>
          </w:tcPr>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w:t>
            </w:r>
          </w:p>
        </w:tc>
      </w:tr>
      <w:tr w:rsidR="00DA0A26" w:rsidRPr="00DF4B27" w:rsidTr="00027EEF">
        <w:tc>
          <w:tcPr>
            <w:tcW w:w="2488" w:type="pct"/>
          </w:tcPr>
          <w:p w:rsidR="00DA0A26" w:rsidRPr="00DF4B27" w:rsidRDefault="00DA0A26" w:rsidP="00DF4B27">
            <w:pPr>
              <w:spacing w:beforeLines="40" w:before="96" w:afterLines="40" w:after="96" w:line="240" w:lineRule="auto"/>
              <w:ind w:right="57"/>
              <w:jc w:val="left"/>
              <w:rPr>
                <w:rFonts w:ascii="Arial" w:hAnsi="Arial" w:cs="Arial"/>
                <w:sz w:val="20"/>
                <w:szCs w:val="20"/>
                <w:u w:val="single"/>
              </w:rPr>
            </w:pPr>
            <w:r w:rsidRPr="00DF4B27">
              <w:rPr>
                <w:rFonts w:ascii="Arial" w:hAnsi="Arial" w:cs="Arial"/>
                <w:sz w:val="20"/>
                <w:szCs w:val="20"/>
                <w:u w:val="single"/>
              </w:rPr>
              <w:t>Prescribing Instruction:</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The test results provided must not be more than 2 months old at the time of application</w:t>
            </w:r>
          </w:p>
        </w:tc>
        <w:tc>
          <w:tcPr>
            <w:tcW w:w="2512" w:type="pct"/>
          </w:tcPr>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w:t>
            </w:r>
          </w:p>
        </w:tc>
      </w:tr>
      <w:tr w:rsidR="00DA0A26" w:rsidRPr="00DF4B27" w:rsidTr="00027EEF">
        <w:tc>
          <w:tcPr>
            <w:tcW w:w="2488" w:type="pct"/>
            <w:tcBorders>
              <w:bottom w:val="nil"/>
            </w:tcBorders>
          </w:tcPr>
          <w:p w:rsidR="00DA0A26" w:rsidRPr="00DF4B27" w:rsidRDefault="00DA0A26" w:rsidP="00DF4B27">
            <w:pPr>
              <w:spacing w:beforeLines="40" w:before="96" w:afterLines="40" w:after="96" w:line="240" w:lineRule="auto"/>
              <w:ind w:right="57"/>
              <w:jc w:val="left"/>
              <w:rPr>
                <w:rFonts w:ascii="Arial" w:hAnsi="Arial" w:cs="Arial"/>
                <w:sz w:val="20"/>
                <w:szCs w:val="20"/>
                <w:u w:val="single"/>
              </w:rPr>
            </w:pPr>
            <w:r w:rsidRPr="00DF4B27">
              <w:rPr>
                <w:rFonts w:ascii="Arial" w:hAnsi="Arial" w:cs="Arial"/>
                <w:sz w:val="20"/>
                <w:szCs w:val="20"/>
                <w:u w:val="single"/>
              </w:rPr>
              <w:t>Note (‘initial 1’; ‘initial 2’; ‘initial 3’; ‘first continuing’):</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Any queries concerning the arrangements to prescribe may be directed to the Department of Human Services on 1800 700 270 (hours of operation 8 a.m. to 5 p.m. EST Monday to Friday).</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Prescribing information (including Authority Application forms and other relevant documentation as applicable) is available on the Department of Human Services website at www.humanservices.gov.au</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Applications for authority to prescribe should be forwarded to:</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Department of Human Services</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Complex Drugs</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Reply Paid 9826</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HOBART TAS 7001</w:t>
            </w:r>
          </w:p>
        </w:tc>
        <w:tc>
          <w:tcPr>
            <w:tcW w:w="2512" w:type="pct"/>
            <w:tcBorders>
              <w:bottom w:val="nil"/>
            </w:tcBorders>
          </w:tcPr>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Written applications are required for all initial treatment the first continuing treatment restrictions</w:t>
            </w:r>
            <w:r w:rsidR="00C6734D" w:rsidRPr="00DF4B27">
              <w:rPr>
                <w:rFonts w:ascii="Arial" w:hAnsi="Arial" w:cs="Arial"/>
                <w:sz w:val="20"/>
                <w:szCs w:val="20"/>
              </w:rPr>
              <w:t xml:space="preserve">. </w:t>
            </w:r>
          </w:p>
        </w:tc>
      </w:tr>
      <w:tr w:rsidR="00DA0A26" w:rsidRPr="00DF4B27" w:rsidTr="00027EEF">
        <w:tc>
          <w:tcPr>
            <w:tcW w:w="2488" w:type="pct"/>
            <w:tcBorders>
              <w:top w:val="nil"/>
            </w:tcBorders>
          </w:tcPr>
          <w:p w:rsidR="00DA0A26" w:rsidRPr="00DF4B27" w:rsidRDefault="00DA0A26" w:rsidP="00DF4B27">
            <w:pPr>
              <w:spacing w:beforeLines="40" w:before="96" w:afterLines="40" w:after="96" w:line="240" w:lineRule="auto"/>
              <w:ind w:right="57"/>
              <w:jc w:val="left"/>
              <w:rPr>
                <w:rFonts w:ascii="Arial" w:hAnsi="Arial" w:cs="Arial"/>
                <w:sz w:val="20"/>
                <w:szCs w:val="20"/>
                <w:u w:val="single"/>
              </w:rPr>
            </w:pPr>
            <w:r w:rsidRPr="00DF4B27">
              <w:rPr>
                <w:rFonts w:ascii="Arial" w:hAnsi="Arial" w:cs="Arial"/>
                <w:sz w:val="20"/>
                <w:szCs w:val="20"/>
                <w:u w:val="single"/>
              </w:rPr>
              <w:t>Note (‘balance of supply’; ‘subsequent continuing’):</w:t>
            </w:r>
          </w:p>
          <w:p w:rsidR="00DA0A26" w:rsidRPr="00DF4B27" w:rsidRDefault="00DA0A26" w:rsidP="00DF4B27">
            <w:pPr>
              <w:spacing w:beforeLines="40" w:before="96" w:afterLines="40" w:after="96" w:line="240" w:lineRule="auto"/>
              <w:ind w:right="57"/>
              <w:jc w:val="left"/>
              <w:rPr>
                <w:rFonts w:ascii="Arial" w:hAnsi="Arial" w:cs="Arial"/>
                <w:sz w:val="20"/>
                <w:szCs w:val="20"/>
                <w:u w:val="single"/>
              </w:rPr>
            </w:pPr>
            <w:r w:rsidRPr="00DF4B27">
              <w:rPr>
                <w:rFonts w:ascii="Arial" w:hAnsi="Arial" w:cs="Arial"/>
                <w:sz w:val="20"/>
                <w:szCs w:val="20"/>
              </w:rPr>
              <w:t xml:space="preserve">Applications for authorisation under this criterion may be made by telephone by contacting the Department of Human Services on 1800 700 270 (hours of operation 8 a.m. to 5 p.m. EST Monday to Friday). </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Written applications for authorisation under this criterion should be forwarded to:</w:t>
            </w:r>
          </w:p>
          <w:p w:rsidR="00DA0A26" w:rsidRPr="00DB756B" w:rsidRDefault="00DA0A26" w:rsidP="00DF4B27">
            <w:pPr>
              <w:spacing w:beforeLines="40" w:before="96" w:afterLines="40" w:after="96" w:line="240" w:lineRule="auto"/>
              <w:ind w:right="57"/>
              <w:jc w:val="left"/>
              <w:rPr>
                <w:rFonts w:ascii="Arial" w:hAnsi="Arial" w:cs="Arial"/>
                <w:sz w:val="18"/>
                <w:szCs w:val="20"/>
              </w:rPr>
            </w:pPr>
            <w:r w:rsidRPr="00DF4B27">
              <w:rPr>
                <w:rFonts w:ascii="Arial" w:hAnsi="Arial" w:cs="Arial"/>
                <w:sz w:val="20"/>
                <w:szCs w:val="20"/>
              </w:rPr>
              <w:t>Department of Human Services</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Complex Drugs</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Reply Paid 9826</w:t>
            </w:r>
          </w:p>
          <w:p w:rsidR="00DA0A26" w:rsidRPr="00DF4B27" w:rsidRDefault="00DA0A26" w:rsidP="00DF4B27">
            <w:pPr>
              <w:spacing w:beforeLines="40" w:before="96" w:afterLines="40" w:after="96" w:line="240" w:lineRule="auto"/>
              <w:ind w:right="57"/>
              <w:jc w:val="left"/>
              <w:rPr>
                <w:rFonts w:ascii="Arial" w:hAnsi="Arial" w:cs="Arial"/>
                <w:sz w:val="20"/>
                <w:szCs w:val="20"/>
                <w:u w:val="single"/>
              </w:rPr>
            </w:pPr>
            <w:r w:rsidRPr="00DF4B27">
              <w:rPr>
                <w:rFonts w:ascii="Arial" w:hAnsi="Arial" w:cs="Arial"/>
                <w:sz w:val="20"/>
                <w:szCs w:val="20"/>
              </w:rPr>
              <w:t>HOBART TAS 7001</w:t>
            </w:r>
          </w:p>
        </w:tc>
        <w:tc>
          <w:tcPr>
            <w:tcW w:w="2512" w:type="pct"/>
            <w:tcBorders>
              <w:top w:val="nil"/>
            </w:tcBorders>
          </w:tcPr>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Telephone authority applications are only permitted for ‘balance of supply’ and ‘subsequent continuing’ restrictions</w:t>
            </w:r>
            <w:r w:rsidR="00C6734D" w:rsidRPr="00DF4B27">
              <w:rPr>
                <w:rFonts w:ascii="Arial" w:hAnsi="Arial" w:cs="Arial"/>
                <w:sz w:val="20"/>
                <w:szCs w:val="20"/>
              </w:rPr>
              <w:t xml:space="preserve">. </w:t>
            </w:r>
          </w:p>
        </w:tc>
      </w:tr>
      <w:tr w:rsidR="00DA0A26" w:rsidRPr="00DF4B27" w:rsidTr="00027EEF">
        <w:tc>
          <w:tcPr>
            <w:tcW w:w="2488" w:type="pct"/>
          </w:tcPr>
          <w:p w:rsidR="00DA0A26" w:rsidRPr="00DF4B27" w:rsidRDefault="00DA0A26" w:rsidP="00DF4B27">
            <w:pPr>
              <w:spacing w:beforeLines="40" w:before="96" w:afterLines="40" w:after="96" w:line="240" w:lineRule="auto"/>
              <w:ind w:right="57"/>
              <w:jc w:val="left"/>
              <w:rPr>
                <w:rFonts w:ascii="Arial" w:hAnsi="Arial" w:cs="Arial"/>
                <w:sz w:val="20"/>
                <w:szCs w:val="20"/>
                <w:u w:val="single"/>
              </w:rPr>
            </w:pPr>
            <w:r w:rsidRPr="00DF4B27">
              <w:rPr>
                <w:rFonts w:ascii="Arial" w:hAnsi="Arial" w:cs="Arial"/>
                <w:sz w:val="20"/>
                <w:szCs w:val="20"/>
                <w:u w:val="single"/>
              </w:rPr>
              <w:t>Prescribing Instruction:</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A patient may qualify for PBS-subsidised treatment under this restriction once only. For continuing PBS-subsidised treatment, a Grandfathered patient must qualify under the Continuing treatment criteria.</w:t>
            </w:r>
          </w:p>
          <w:p w:rsidR="00DA0A26" w:rsidRPr="00DF4B27" w:rsidRDefault="00DA0A26" w:rsidP="00DF4B27">
            <w:pPr>
              <w:spacing w:beforeLines="40" w:before="96" w:afterLines="40" w:after="96" w:line="240" w:lineRule="auto"/>
              <w:ind w:right="57"/>
              <w:jc w:val="left"/>
              <w:rPr>
                <w:rFonts w:ascii="Arial" w:hAnsi="Arial" w:cs="Arial"/>
                <w:sz w:val="20"/>
                <w:szCs w:val="20"/>
                <w:u w:val="single"/>
              </w:rPr>
            </w:pPr>
            <w:r w:rsidRPr="00DF4B27">
              <w:rPr>
                <w:rFonts w:ascii="Arial" w:hAnsi="Arial" w:cs="Arial"/>
                <w:sz w:val="20"/>
                <w:szCs w:val="20"/>
                <w:u w:val="single"/>
              </w:rPr>
              <w:t>Note:</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No applications for increased repeats will be authorised.</w:t>
            </w:r>
          </w:p>
        </w:tc>
        <w:tc>
          <w:tcPr>
            <w:tcW w:w="2512" w:type="pct"/>
          </w:tcPr>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Riociguat grandfathered access items only. Not considered in this review.</w:t>
            </w:r>
          </w:p>
        </w:tc>
      </w:tr>
      <w:tr w:rsidR="00DA0A26" w:rsidRPr="00DF4B27" w:rsidTr="00027EEF">
        <w:tc>
          <w:tcPr>
            <w:tcW w:w="2488" w:type="pct"/>
          </w:tcPr>
          <w:p w:rsidR="00DA0A26" w:rsidRPr="00DF4B27" w:rsidRDefault="00DA0A26" w:rsidP="00DF4B27">
            <w:pPr>
              <w:spacing w:beforeLines="40" w:before="96" w:afterLines="40" w:after="96" w:line="240" w:lineRule="auto"/>
              <w:ind w:right="57"/>
              <w:jc w:val="left"/>
              <w:rPr>
                <w:rFonts w:ascii="Arial" w:hAnsi="Arial" w:cs="Arial"/>
                <w:sz w:val="20"/>
                <w:szCs w:val="20"/>
                <w:u w:val="single"/>
              </w:rPr>
            </w:pPr>
            <w:r w:rsidRPr="00DF4B27">
              <w:rPr>
                <w:rFonts w:ascii="Arial" w:hAnsi="Arial" w:cs="Arial"/>
                <w:sz w:val="20"/>
                <w:szCs w:val="20"/>
                <w:u w:val="single"/>
              </w:rPr>
              <w:t>Note:</w:t>
            </w:r>
          </w:p>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Special Pricing Arrangements apply.</w:t>
            </w:r>
          </w:p>
        </w:tc>
        <w:tc>
          <w:tcPr>
            <w:tcW w:w="2512" w:type="pct"/>
          </w:tcPr>
          <w:p w:rsidR="00DA0A26" w:rsidRPr="00DF4B27" w:rsidRDefault="00DA0A26" w:rsidP="00DF4B27">
            <w:pPr>
              <w:spacing w:beforeLines="40" w:before="96" w:afterLines="40" w:after="96" w:line="240" w:lineRule="auto"/>
              <w:ind w:right="57"/>
              <w:jc w:val="left"/>
              <w:rPr>
                <w:rFonts w:ascii="Arial" w:hAnsi="Arial" w:cs="Arial"/>
                <w:sz w:val="20"/>
                <w:szCs w:val="20"/>
              </w:rPr>
            </w:pPr>
            <w:r w:rsidRPr="00DF4B27">
              <w:rPr>
                <w:rFonts w:ascii="Arial" w:hAnsi="Arial" w:cs="Arial"/>
                <w:sz w:val="20"/>
                <w:szCs w:val="20"/>
              </w:rPr>
              <w:t xml:space="preserve">Iloprost only. </w:t>
            </w:r>
          </w:p>
        </w:tc>
      </w:tr>
    </w:tbl>
    <w:p w:rsidR="00DA0A26" w:rsidRDefault="00DA0A26" w:rsidP="00DF4B27">
      <w:pPr>
        <w:pStyle w:val="tabletext1"/>
        <w:keepNext w:val="0"/>
        <w:spacing w:before="0" w:after="0"/>
        <w:rPr>
          <w:rFonts w:ascii="Arial" w:hAnsi="Arial"/>
          <w:sz w:val="18"/>
          <w:szCs w:val="18"/>
        </w:rPr>
      </w:pPr>
      <w:r w:rsidRPr="00DF4B27">
        <w:rPr>
          <w:rFonts w:ascii="Arial" w:hAnsi="Arial"/>
          <w:sz w:val="18"/>
          <w:szCs w:val="18"/>
        </w:rPr>
        <w:t>S</w:t>
      </w:r>
      <w:r w:rsidR="002075E2" w:rsidRPr="00DF4B27">
        <w:rPr>
          <w:rFonts w:ascii="Arial" w:hAnsi="Arial"/>
          <w:sz w:val="18"/>
          <w:szCs w:val="18"/>
        </w:rPr>
        <w:t>ource</w:t>
      </w:r>
      <w:r w:rsidRPr="00DF4B27">
        <w:rPr>
          <w:rFonts w:ascii="Arial" w:hAnsi="Arial"/>
          <w:sz w:val="18"/>
          <w:szCs w:val="18"/>
        </w:rPr>
        <w:t xml:space="preserve">: </w:t>
      </w:r>
      <w:r w:rsidR="009C556B" w:rsidRPr="003F5FE5">
        <w:rPr>
          <w:rFonts w:ascii="Arial" w:hAnsi="Arial"/>
          <w:sz w:val="18"/>
          <w:szCs w:val="18"/>
        </w:rPr>
        <w:t>www.pbs.gov.au</w:t>
      </w:r>
    </w:p>
    <w:p w:rsidR="009C556B" w:rsidRDefault="009C556B" w:rsidP="00DF4B27">
      <w:pPr>
        <w:pStyle w:val="tabletext1"/>
        <w:keepNext w:val="0"/>
        <w:spacing w:before="0" w:after="0"/>
        <w:rPr>
          <w:rFonts w:ascii="Arial" w:hAnsi="Arial"/>
          <w:sz w:val="18"/>
          <w:szCs w:val="18"/>
        </w:rPr>
      </w:pPr>
    </w:p>
    <w:sectPr w:rsidR="009C556B" w:rsidSect="00C26102">
      <w:footnotePr>
        <w:numFmt w:val="chicago"/>
      </w:footnotePr>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FE5" w:rsidRDefault="003F5FE5" w:rsidP="00DD796F">
      <w:pPr>
        <w:spacing w:before="0" w:line="240" w:lineRule="auto"/>
      </w:pPr>
      <w:r>
        <w:separator/>
      </w:r>
    </w:p>
    <w:p w:rsidR="003F5FE5" w:rsidRDefault="003F5FE5"/>
    <w:p w:rsidR="003F5FE5" w:rsidRDefault="003F5FE5"/>
  </w:endnote>
  <w:endnote w:type="continuationSeparator" w:id="0">
    <w:p w:rsidR="003F5FE5" w:rsidRDefault="003F5FE5" w:rsidP="00DD796F">
      <w:pPr>
        <w:spacing w:before="0" w:line="240" w:lineRule="auto"/>
      </w:pPr>
      <w:r>
        <w:continuationSeparator/>
      </w:r>
    </w:p>
    <w:p w:rsidR="003F5FE5" w:rsidRDefault="003F5FE5"/>
    <w:p w:rsidR="003F5FE5" w:rsidRDefault="003F5FE5"/>
  </w:endnote>
  <w:endnote w:type="continuationNotice" w:id="1">
    <w:p w:rsidR="003F5FE5" w:rsidRDefault="003F5F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Baskerville">
    <w:altName w:val="Times New Roman"/>
    <w:charset w:val="00"/>
    <w:family w:val="auto"/>
    <w:pitch w:val="variable"/>
    <w:sig w:usb0="80000063" w:usb1="00000000" w:usb2="00000000" w:usb3="00000000" w:csb0="000001FB"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DB756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661413"/>
      <w:docPartObj>
        <w:docPartGallery w:val="Page Numbers (Bottom of Page)"/>
        <w:docPartUnique/>
      </w:docPartObj>
    </w:sdtPr>
    <w:sdtEndPr>
      <w:rPr>
        <w:rFonts w:asciiTheme="minorHAnsi" w:hAnsiTheme="minorHAnsi"/>
        <w:noProof/>
      </w:rPr>
    </w:sdtEndPr>
    <w:sdtContent>
      <w:p w:rsidR="00DB756B" w:rsidRPr="00212FCE" w:rsidRDefault="00DB756B">
        <w:pPr>
          <w:pStyle w:val="Footer"/>
          <w:jc w:val="right"/>
          <w:rPr>
            <w:rFonts w:asciiTheme="minorHAnsi" w:hAnsiTheme="minorHAnsi"/>
          </w:rPr>
        </w:pPr>
        <w:r w:rsidRPr="00212FCE">
          <w:rPr>
            <w:rFonts w:asciiTheme="minorHAnsi" w:hAnsiTheme="minorHAnsi"/>
          </w:rPr>
          <w:fldChar w:fldCharType="begin"/>
        </w:r>
        <w:r w:rsidRPr="00212FCE">
          <w:rPr>
            <w:rFonts w:asciiTheme="minorHAnsi" w:hAnsiTheme="minorHAnsi"/>
          </w:rPr>
          <w:instrText xml:space="preserve"> PAGE   \* MERGEFORMAT </w:instrText>
        </w:r>
        <w:r w:rsidRPr="00212FCE">
          <w:rPr>
            <w:rFonts w:asciiTheme="minorHAnsi" w:hAnsiTheme="minorHAnsi"/>
          </w:rPr>
          <w:fldChar w:fldCharType="separate"/>
        </w:r>
        <w:r w:rsidR="00A705D5">
          <w:rPr>
            <w:rFonts w:asciiTheme="minorHAnsi" w:hAnsiTheme="minorHAnsi"/>
            <w:noProof/>
          </w:rPr>
          <w:t>86</w:t>
        </w:r>
        <w:r w:rsidRPr="00212FCE">
          <w:rPr>
            <w:rFonts w:asciiTheme="minorHAnsi" w:hAnsiTheme="minorHAnsi"/>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964243"/>
      <w:docPartObj>
        <w:docPartGallery w:val="Page Numbers (Bottom of Page)"/>
        <w:docPartUnique/>
      </w:docPartObj>
    </w:sdtPr>
    <w:sdtEndPr>
      <w:rPr>
        <w:noProof/>
      </w:rPr>
    </w:sdtEndPr>
    <w:sdtContent>
      <w:p w:rsidR="00DB756B" w:rsidRDefault="00DB756B" w:rsidP="00120684">
        <w:pPr>
          <w:pStyle w:val="Footer"/>
          <w:jc w:val="right"/>
          <w:rPr>
            <w:noProof/>
          </w:rPr>
        </w:pPr>
        <w:r>
          <w:fldChar w:fldCharType="begin"/>
        </w:r>
        <w:r>
          <w:instrText xml:space="preserve"> PAGE   \* MERGEFORMAT </w:instrText>
        </w:r>
        <w:r>
          <w:fldChar w:fldCharType="separate"/>
        </w:r>
        <w:r w:rsidR="00A705D5">
          <w:rPr>
            <w:noProof/>
          </w:rPr>
          <w:t>84</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Pr="00894600" w:rsidRDefault="00DB756B" w:rsidP="00E7420C">
    <w:pPr>
      <w:pStyle w:val="FooterwithPortrait"/>
      <w:tabs>
        <w:tab w:val="clear" w:pos="9639"/>
        <w:tab w:val="right" w:pos="9214"/>
        <w:tab w:val="right" w:pos="14175"/>
      </w:tabs>
      <w:jc w:val="right"/>
      <w:rPr>
        <w:noProof/>
      </w:rPr>
    </w:pPr>
    <w:r>
      <w:tab/>
    </w:r>
    <w:r>
      <w:fldChar w:fldCharType="begin"/>
    </w:r>
    <w:r>
      <w:instrText xml:space="preserve"> PAGE   \* MERGEFORMAT </w:instrText>
    </w:r>
    <w:r>
      <w:fldChar w:fldCharType="separate"/>
    </w:r>
    <w:r w:rsidR="00A705D5">
      <w:rPr>
        <w:noProof/>
      </w:rPr>
      <w:t>99</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Pr="00894600" w:rsidRDefault="00DB756B" w:rsidP="00E7420C">
    <w:pPr>
      <w:pStyle w:val="FooterwithPortrait"/>
      <w:tabs>
        <w:tab w:val="clear" w:pos="9639"/>
        <w:tab w:val="right" w:pos="9214"/>
        <w:tab w:val="right" w:pos="14175"/>
      </w:tabs>
      <w:jc w:val="right"/>
      <w:rPr>
        <w:noProof/>
      </w:rPr>
    </w:pPr>
    <w:r>
      <w:tab/>
    </w:r>
    <w:r>
      <w:fldChar w:fldCharType="begin"/>
    </w:r>
    <w:r>
      <w:instrText xml:space="preserve"> PAGE   \* MERGEFORMAT </w:instrText>
    </w:r>
    <w:r>
      <w:fldChar w:fldCharType="separate"/>
    </w:r>
    <w:r w:rsidR="00A705D5">
      <w:rPr>
        <w:noProof/>
      </w:rPr>
      <w:t>133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DB756B" w:rsidP="001C5235">
    <w:pPr>
      <w:pStyle w:val="FooterwithPortrait"/>
    </w:pPr>
    <w:r w:rsidRPr="001C5235">
      <w:t>Post-market Review of COPD Medicines</w:t>
    </w:r>
    <w:r>
      <w:tab/>
    </w: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DB756B" w:rsidP="00E7420C">
    <w:pPr>
      <w:pStyle w:val="Footer"/>
      <w:pBdr>
        <w:top w:val="none" w:sz="0" w:space="0" w:color="auto"/>
      </w:pBd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DB756B" w:rsidP="00711867">
    <w:pPr>
      <w:pStyle w:val="FooterwithPortrait"/>
      <w:rPr>
        <w:noProof/>
      </w:rPr>
    </w:pPr>
    <w:r>
      <w:tab/>
    </w:r>
    <w:r>
      <w:fldChar w:fldCharType="begin"/>
    </w:r>
    <w:r>
      <w:instrText xml:space="preserve"> PAGE   \* MERGEFORMAT </w:instrText>
    </w:r>
    <w:r>
      <w:fldChar w:fldCharType="separate"/>
    </w:r>
    <w:r w:rsidR="00A705D5">
      <w:rPr>
        <w:noProof/>
      </w:rPr>
      <w:t>20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DB756B" w:rsidP="00E7420C">
    <w:pPr>
      <w:pStyle w:val="FooterwithLandscape"/>
      <w:jc w:val="right"/>
      <w:rPr>
        <w:noProof/>
      </w:rPr>
    </w:pPr>
    <w:r>
      <w:fldChar w:fldCharType="begin"/>
    </w:r>
    <w:r>
      <w:instrText xml:space="preserve"> PAGE   \* MERGEFORMAT </w:instrText>
    </w:r>
    <w:r>
      <w:fldChar w:fldCharType="separate"/>
    </w:r>
    <w:r w:rsidR="00A705D5">
      <w:rPr>
        <w:noProof/>
      </w:rPr>
      <w:t>26</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DB756B" w:rsidP="00E7420C">
    <w:pPr>
      <w:pStyle w:val="Footer"/>
      <w:pBdr>
        <w:top w:val="none" w:sz="0" w:space="0" w:color="auto"/>
      </w:pBdr>
      <w:jc w:val="right"/>
    </w:pPr>
    <w:r>
      <w:fldChar w:fldCharType="begin"/>
    </w:r>
    <w:r>
      <w:instrText xml:space="preserve"> PAGE   \* MERGEFORMAT </w:instrText>
    </w:r>
    <w:r>
      <w:fldChar w:fldCharType="separate"/>
    </w:r>
    <w:r w:rsidR="00A705D5">
      <w:rPr>
        <w:noProof/>
      </w:rPr>
      <w:t>43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DB756B" w:rsidP="00E7420C">
    <w:pPr>
      <w:pStyle w:val="FooterwithLandscape"/>
      <w:jc w:val="right"/>
      <w:rPr>
        <w:noProof/>
      </w:rPr>
    </w:pPr>
    <w:r>
      <w:fldChar w:fldCharType="begin"/>
    </w:r>
    <w:r>
      <w:instrText xml:space="preserve"> PAGE   \* MERGEFORMAT </w:instrText>
    </w:r>
    <w:r>
      <w:fldChar w:fldCharType="separate"/>
    </w:r>
    <w:r w:rsidR="00A705D5">
      <w:rPr>
        <w:noProof/>
      </w:rPr>
      <w:t>51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465736"/>
      <w:docPartObj>
        <w:docPartGallery w:val="Page Numbers (Bottom of Page)"/>
        <w:docPartUnique/>
      </w:docPartObj>
    </w:sdtPr>
    <w:sdtEndPr>
      <w:rPr>
        <w:rFonts w:asciiTheme="minorHAnsi" w:hAnsiTheme="minorHAnsi"/>
        <w:noProof/>
      </w:rPr>
    </w:sdtEndPr>
    <w:sdtContent>
      <w:p w:rsidR="00DB756B" w:rsidRPr="00212FCE" w:rsidRDefault="00DB756B">
        <w:pPr>
          <w:pStyle w:val="Footer"/>
          <w:jc w:val="right"/>
          <w:rPr>
            <w:rFonts w:asciiTheme="minorHAnsi" w:hAnsiTheme="minorHAnsi"/>
          </w:rPr>
        </w:pPr>
        <w:r w:rsidRPr="00212FCE">
          <w:rPr>
            <w:rFonts w:asciiTheme="minorHAnsi" w:hAnsiTheme="minorHAnsi"/>
          </w:rPr>
          <w:fldChar w:fldCharType="begin"/>
        </w:r>
        <w:r w:rsidRPr="00212FCE">
          <w:rPr>
            <w:rFonts w:asciiTheme="minorHAnsi" w:hAnsiTheme="minorHAnsi"/>
          </w:rPr>
          <w:instrText xml:space="preserve"> PAGE   \* MERGEFORMAT </w:instrText>
        </w:r>
        <w:r w:rsidRPr="00212FCE">
          <w:rPr>
            <w:rFonts w:asciiTheme="minorHAnsi" w:hAnsiTheme="minorHAnsi"/>
          </w:rPr>
          <w:fldChar w:fldCharType="separate"/>
        </w:r>
        <w:r w:rsidR="00A705D5">
          <w:rPr>
            <w:rFonts w:asciiTheme="minorHAnsi" w:hAnsiTheme="minorHAnsi"/>
            <w:noProof/>
          </w:rPr>
          <w:t>78</w:t>
        </w:r>
        <w:r w:rsidRPr="00212FCE">
          <w:rPr>
            <w:rFonts w:asciiTheme="minorHAnsi" w:hAnsiTheme="minorHAnsi"/>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301523"/>
      <w:docPartObj>
        <w:docPartGallery w:val="Page Numbers (Bottom of Page)"/>
        <w:docPartUnique/>
      </w:docPartObj>
    </w:sdtPr>
    <w:sdtEndPr>
      <w:rPr>
        <w:noProof/>
      </w:rPr>
    </w:sdtEndPr>
    <w:sdtContent>
      <w:p w:rsidR="00DB756B" w:rsidRDefault="00DB756B" w:rsidP="00120684">
        <w:pPr>
          <w:pStyle w:val="Footer"/>
          <w:jc w:val="right"/>
          <w:rPr>
            <w:noProof/>
          </w:rPr>
        </w:pPr>
        <w:r>
          <w:fldChar w:fldCharType="begin"/>
        </w:r>
        <w:r>
          <w:instrText xml:space="preserve"> PAGE   \* MERGEFORMAT </w:instrText>
        </w:r>
        <w:r>
          <w:fldChar w:fldCharType="separate"/>
        </w:r>
        <w:r w:rsidR="00A705D5">
          <w:rPr>
            <w:noProof/>
          </w:rPr>
          <w:t>75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FE5" w:rsidRDefault="003F5FE5" w:rsidP="00DD796F">
      <w:pPr>
        <w:spacing w:before="0" w:line="240" w:lineRule="auto"/>
      </w:pPr>
      <w:r>
        <w:separator/>
      </w:r>
    </w:p>
  </w:footnote>
  <w:footnote w:type="continuationSeparator" w:id="0">
    <w:p w:rsidR="003F5FE5" w:rsidRDefault="003F5FE5" w:rsidP="00DD796F">
      <w:pPr>
        <w:spacing w:before="0" w:line="240" w:lineRule="auto"/>
      </w:pPr>
      <w:r>
        <w:continuationSeparator/>
      </w:r>
    </w:p>
    <w:p w:rsidR="003F5FE5" w:rsidRDefault="003F5FE5"/>
    <w:p w:rsidR="003F5FE5" w:rsidRDefault="003F5FE5"/>
  </w:footnote>
  <w:footnote w:type="continuationNotice" w:id="1">
    <w:p w:rsidR="003F5FE5" w:rsidRDefault="003F5FE5">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744D5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194" o:spid="_x0000_s2158" type="#_x0000_t136" style="position:absolute;margin-left:0;margin-top:0;width:424.65pt;height:254.7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360B9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3" o:spid="_x0000_s2167" type="#_x0000_t136" style="position:absolute;margin-left:0;margin-top:0;width:424.65pt;height:254.7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26D149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4" o:spid="_x0000_s2168" type="#_x0000_t136" style="position:absolute;margin-left:0;margin-top:0;width:424.65pt;height:254.7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50AC6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2" o:spid="_x0000_s2166" type="#_x0000_t136" style="position:absolute;margin-left:0;margin-top:0;width:424.65pt;height:254.7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77AACF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6" o:spid="_x0000_s2170" type="#_x0000_t136" style="position:absolute;margin-left:0;margin-top:0;width:424.65pt;height:254.7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5AE94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7" o:spid="_x0000_s2171" type="#_x0000_t136" style="position:absolute;margin-left:0;margin-top:0;width:424.65pt;height:254.75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581CA1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5" o:spid="_x0000_s2169" type="#_x0000_t136" style="position:absolute;margin-left:0;margin-top:0;width:424.65pt;height:254.7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40ECE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9" o:spid="_x0000_s2173" type="#_x0000_t136" style="position:absolute;margin-left:0;margin-top:0;width:424.65pt;height:254.75pt;rotation:315;z-index:-2516244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05DA7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0" o:spid="_x0000_s2174" type="#_x0000_t136" style="position:absolute;margin-left:0;margin-top:0;width:424.65pt;height:254.75pt;rotation:315;z-index:-2516224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2947C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8" o:spid="_x0000_s2172" type="#_x0000_t136" style="position:absolute;margin-left:0;margin-top:0;width:424.65pt;height:254.75pt;rotation:315;z-index:-2516264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3F69C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2" o:spid="_x0000_s2176" type="#_x0000_t136" style="position:absolute;margin-left:0;margin-top:0;width:424.65pt;height:254.75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4CD7F8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195" o:spid="_x0000_s2159" type="#_x0000_t136" style="position:absolute;margin-left:0;margin-top:0;width:424.65pt;height:254.7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2E974D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3" o:spid="_x0000_s2177" type="#_x0000_t136" style="position:absolute;margin-left:0;margin-top:0;width:424.65pt;height:254.75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1432AD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1" o:spid="_x0000_s2175" type="#_x0000_t136" style="position:absolute;margin-left:0;margin-top:0;width:424.65pt;height:254.75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6A8417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5" o:spid="_x0000_s2179" type="#_x0000_t136" style="position:absolute;margin-left:0;margin-top:0;width:424.65pt;height:254.75pt;rotation:315;z-index:-2516121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5F30D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6" o:spid="_x0000_s2180" type="#_x0000_t136" style="position:absolute;margin-left:0;margin-top:0;width:424.65pt;height:254.75pt;rotation:315;z-index:-2516101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1E4EAE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4" o:spid="_x0000_s2178" type="#_x0000_t136" style="position:absolute;margin-left:0;margin-top:0;width:424.65pt;height:254.75pt;rotation:315;z-index:-2516142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3BEB4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8" o:spid="_x0000_s2182" type="#_x0000_t136" style="position:absolute;margin-left:0;margin-top:0;width:424.65pt;height:254.75pt;rotation:315;z-index:-2516060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6A100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9" o:spid="_x0000_s2183" type="#_x0000_t136" style="position:absolute;margin-left:0;margin-top:0;width:424.65pt;height:254.75pt;rotation:315;z-index:-2516039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2A0C88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17" o:spid="_x0000_s2181" type="#_x0000_t136" style="position:absolute;margin-left:0;margin-top:0;width:424.65pt;height:254.75pt;rotation:315;z-index:-2516080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Pr="00E7420C" w:rsidRDefault="00A705D5" w:rsidP="00E7420C">
    <w:pPr>
      <w:pStyle w:val="Header"/>
    </w:pPr>
    <w:r>
      <w:rPr>
        <w:noProof/>
      </w:rPr>
      <w:pict w14:anchorId="6FD43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193" o:spid="_x0000_s2157" type="#_x0000_t136" style="position:absolute;margin-left:0;margin-top:0;width:424.65pt;height:254.7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756B">
      <w:t>Post-market review of PAH m</w:t>
    </w:r>
    <w:r w:rsidR="00DB756B" w:rsidRPr="00E7420C">
      <w:t>edicines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469AD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197" o:spid="_x0000_s2161" type="#_x0000_t136" style="position:absolute;margin-left:0;margin-top:0;width:424.65pt;height:254.7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rsidP="001C1E27">
    <w:pPr>
      <w:pStyle w:val="Header"/>
    </w:pPr>
    <w:r>
      <w:rPr>
        <w:noProof/>
      </w:rPr>
      <w:pict w14:anchorId="079EE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198" o:spid="_x0000_s2162" type="#_x0000_t136" style="position:absolute;margin-left:0;margin-top:0;width:424.65pt;height:254.7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756B">
      <w:t>Post-market review of PAH medicines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2C0C3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196" o:spid="_x0000_s2160" type="#_x0000_t136" style="position:absolute;margin-left:0;margin-top:0;width:424.65pt;height:254.7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7B750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0" o:spid="_x0000_s2164" type="#_x0000_t136" style="position:absolute;margin-left:0;margin-top:0;width:424.65pt;height:254.7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rsidP="00A05D87">
    <w:pPr>
      <w:pStyle w:val="Header"/>
      <w:tabs>
        <w:tab w:val="clear" w:pos="4513"/>
        <w:tab w:val="clear" w:pos="9026"/>
        <w:tab w:val="center" w:pos="5812"/>
      </w:tabs>
      <w:spacing w:after="120"/>
    </w:pPr>
    <w:r>
      <w:rPr>
        <w:noProof/>
      </w:rPr>
      <w:pict w14:anchorId="5A7CE1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201" o:spid="_x0000_s2165" type="#_x0000_t136" style="position:absolute;margin-left:0;margin-top:0;width:424.65pt;height:254.7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DB756B">
      <w:t>Post-market review of PAH medicines</w:t>
    </w:r>
    <w:r w:rsidR="00DB756B">
      <w:tab/>
    </w:r>
    <w:r w:rsidR="00DB756B">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56B" w:rsidRDefault="00A705D5">
    <w:pPr>
      <w:pStyle w:val="Header"/>
    </w:pPr>
    <w:r>
      <w:rPr>
        <w:noProof/>
      </w:rPr>
      <w:pict w14:anchorId="56875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9764199" o:spid="_x0000_s2163" type="#_x0000_t136" style="position:absolute;margin-left:0;margin-top:0;width:424.65pt;height:254.7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482"/>
    <w:multiLevelType w:val="hybridMultilevel"/>
    <w:tmpl w:val="AF668DFA"/>
    <w:lvl w:ilvl="0" w:tplc="38C2B97A">
      <w:start w:val="1"/>
      <w:numFmt w:val="bullet"/>
      <w:pStyle w:val="08Bulletsseriesofsentence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CC4135"/>
    <w:multiLevelType w:val="hybridMultilevel"/>
    <w:tmpl w:val="86E8DA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D005E12"/>
    <w:multiLevelType w:val="hybridMultilevel"/>
    <w:tmpl w:val="2806EC76"/>
    <w:lvl w:ilvl="0" w:tplc="0C090003">
      <w:start w:val="1"/>
      <w:numFmt w:val="bullet"/>
      <w:lvlText w:val="o"/>
      <w:lvlJc w:val="left"/>
      <w:pPr>
        <w:ind w:left="502"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4951C0"/>
    <w:multiLevelType w:val="hybridMultilevel"/>
    <w:tmpl w:val="DEB2F22A"/>
    <w:lvl w:ilvl="0" w:tplc="7ECA6BCC">
      <w:start w:val="1"/>
      <w:numFmt w:val="bullet"/>
      <w:pStyle w:val="Bullettextsecondlevel"/>
      <w:lvlText w:val=""/>
      <w:lvlJc w:val="left"/>
      <w:pPr>
        <w:ind w:left="814" w:hanging="360"/>
      </w:pPr>
      <w:rPr>
        <w:rFonts w:ascii="Wingdings" w:hAnsi="Wingdings" w:hint="default"/>
        <w:sz w:val="1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5955C3"/>
    <w:multiLevelType w:val="hybridMultilevel"/>
    <w:tmpl w:val="01186842"/>
    <w:lvl w:ilvl="0" w:tplc="F93C0188">
      <w:start w:val="1"/>
      <w:numFmt w:val="lowerRoman"/>
      <w:lvlText w:val="%1)"/>
      <w:lvlJc w:val="left"/>
      <w:pPr>
        <w:ind w:left="5760" w:hanging="720"/>
      </w:pPr>
      <w:rPr>
        <w:rFonts w:hint="default"/>
      </w:rPr>
    </w:lvl>
    <w:lvl w:ilvl="1" w:tplc="0C090019" w:tentative="1">
      <w:start w:val="1"/>
      <w:numFmt w:val="lowerLetter"/>
      <w:lvlText w:val="%2."/>
      <w:lvlJc w:val="left"/>
      <w:pPr>
        <w:ind w:left="6120" w:hanging="360"/>
      </w:pPr>
    </w:lvl>
    <w:lvl w:ilvl="2" w:tplc="0C09001B" w:tentative="1">
      <w:start w:val="1"/>
      <w:numFmt w:val="lowerRoman"/>
      <w:lvlText w:val="%3."/>
      <w:lvlJc w:val="right"/>
      <w:pPr>
        <w:ind w:left="6840" w:hanging="180"/>
      </w:pPr>
    </w:lvl>
    <w:lvl w:ilvl="3" w:tplc="0C09000F" w:tentative="1">
      <w:start w:val="1"/>
      <w:numFmt w:val="decimal"/>
      <w:lvlText w:val="%4."/>
      <w:lvlJc w:val="left"/>
      <w:pPr>
        <w:ind w:left="7560" w:hanging="360"/>
      </w:pPr>
    </w:lvl>
    <w:lvl w:ilvl="4" w:tplc="0C090019" w:tentative="1">
      <w:start w:val="1"/>
      <w:numFmt w:val="lowerLetter"/>
      <w:lvlText w:val="%5."/>
      <w:lvlJc w:val="left"/>
      <w:pPr>
        <w:ind w:left="8280" w:hanging="360"/>
      </w:pPr>
    </w:lvl>
    <w:lvl w:ilvl="5" w:tplc="0C09001B" w:tentative="1">
      <w:start w:val="1"/>
      <w:numFmt w:val="lowerRoman"/>
      <w:lvlText w:val="%6."/>
      <w:lvlJc w:val="right"/>
      <w:pPr>
        <w:ind w:left="9000" w:hanging="180"/>
      </w:pPr>
    </w:lvl>
    <w:lvl w:ilvl="6" w:tplc="0C09000F" w:tentative="1">
      <w:start w:val="1"/>
      <w:numFmt w:val="decimal"/>
      <w:lvlText w:val="%7."/>
      <w:lvlJc w:val="left"/>
      <w:pPr>
        <w:ind w:left="9720" w:hanging="360"/>
      </w:pPr>
    </w:lvl>
    <w:lvl w:ilvl="7" w:tplc="0C090019" w:tentative="1">
      <w:start w:val="1"/>
      <w:numFmt w:val="lowerLetter"/>
      <w:lvlText w:val="%8."/>
      <w:lvlJc w:val="left"/>
      <w:pPr>
        <w:ind w:left="10440" w:hanging="360"/>
      </w:pPr>
    </w:lvl>
    <w:lvl w:ilvl="8" w:tplc="0C09001B" w:tentative="1">
      <w:start w:val="1"/>
      <w:numFmt w:val="lowerRoman"/>
      <w:lvlText w:val="%9."/>
      <w:lvlJc w:val="right"/>
      <w:pPr>
        <w:ind w:left="11160" w:hanging="180"/>
      </w:pPr>
    </w:lvl>
  </w:abstractNum>
  <w:abstractNum w:abstractNumId="5">
    <w:nsid w:val="1B890CA7"/>
    <w:multiLevelType w:val="hybridMultilevel"/>
    <w:tmpl w:val="AD4E12E2"/>
    <w:lvl w:ilvl="0" w:tplc="B840194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680A31"/>
    <w:multiLevelType w:val="hybridMultilevel"/>
    <w:tmpl w:val="4B9C35E4"/>
    <w:lvl w:ilvl="0" w:tplc="0C090001">
      <w:start w:val="1"/>
      <w:numFmt w:val="bullet"/>
      <w:lvlText w:val=""/>
      <w:lvlJc w:val="left"/>
      <w:pPr>
        <w:ind w:left="1334" w:hanging="360"/>
      </w:pPr>
      <w:rPr>
        <w:rFonts w:ascii="Symbol" w:hAnsi="Symbol" w:hint="default"/>
      </w:rPr>
    </w:lvl>
    <w:lvl w:ilvl="1" w:tplc="0C090003" w:tentative="1">
      <w:start w:val="1"/>
      <w:numFmt w:val="bullet"/>
      <w:lvlText w:val="o"/>
      <w:lvlJc w:val="left"/>
      <w:pPr>
        <w:ind w:left="2054" w:hanging="360"/>
      </w:pPr>
      <w:rPr>
        <w:rFonts w:ascii="Courier New" w:hAnsi="Courier New" w:cs="Courier New" w:hint="default"/>
      </w:rPr>
    </w:lvl>
    <w:lvl w:ilvl="2" w:tplc="0C090005" w:tentative="1">
      <w:start w:val="1"/>
      <w:numFmt w:val="bullet"/>
      <w:lvlText w:val=""/>
      <w:lvlJc w:val="left"/>
      <w:pPr>
        <w:ind w:left="2774" w:hanging="360"/>
      </w:pPr>
      <w:rPr>
        <w:rFonts w:ascii="Wingdings" w:hAnsi="Wingdings" w:hint="default"/>
      </w:rPr>
    </w:lvl>
    <w:lvl w:ilvl="3" w:tplc="0C090001" w:tentative="1">
      <w:start w:val="1"/>
      <w:numFmt w:val="bullet"/>
      <w:lvlText w:val=""/>
      <w:lvlJc w:val="left"/>
      <w:pPr>
        <w:ind w:left="3494" w:hanging="360"/>
      </w:pPr>
      <w:rPr>
        <w:rFonts w:ascii="Symbol" w:hAnsi="Symbol" w:hint="default"/>
      </w:rPr>
    </w:lvl>
    <w:lvl w:ilvl="4" w:tplc="0C090003" w:tentative="1">
      <w:start w:val="1"/>
      <w:numFmt w:val="bullet"/>
      <w:lvlText w:val="o"/>
      <w:lvlJc w:val="left"/>
      <w:pPr>
        <w:ind w:left="4214" w:hanging="360"/>
      </w:pPr>
      <w:rPr>
        <w:rFonts w:ascii="Courier New" w:hAnsi="Courier New" w:cs="Courier New" w:hint="default"/>
      </w:rPr>
    </w:lvl>
    <w:lvl w:ilvl="5" w:tplc="0C090005" w:tentative="1">
      <w:start w:val="1"/>
      <w:numFmt w:val="bullet"/>
      <w:lvlText w:val=""/>
      <w:lvlJc w:val="left"/>
      <w:pPr>
        <w:ind w:left="4934" w:hanging="360"/>
      </w:pPr>
      <w:rPr>
        <w:rFonts w:ascii="Wingdings" w:hAnsi="Wingdings" w:hint="default"/>
      </w:rPr>
    </w:lvl>
    <w:lvl w:ilvl="6" w:tplc="0C090001" w:tentative="1">
      <w:start w:val="1"/>
      <w:numFmt w:val="bullet"/>
      <w:lvlText w:val=""/>
      <w:lvlJc w:val="left"/>
      <w:pPr>
        <w:ind w:left="5654" w:hanging="360"/>
      </w:pPr>
      <w:rPr>
        <w:rFonts w:ascii="Symbol" w:hAnsi="Symbol" w:hint="default"/>
      </w:rPr>
    </w:lvl>
    <w:lvl w:ilvl="7" w:tplc="0C090003" w:tentative="1">
      <w:start w:val="1"/>
      <w:numFmt w:val="bullet"/>
      <w:lvlText w:val="o"/>
      <w:lvlJc w:val="left"/>
      <w:pPr>
        <w:ind w:left="6374" w:hanging="360"/>
      </w:pPr>
      <w:rPr>
        <w:rFonts w:ascii="Courier New" w:hAnsi="Courier New" w:cs="Courier New" w:hint="default"/>
      </w:rPr>
    </w:lvl>
    <w:lvl w:ilvl="8" w:tplc="0C090005" w:tentative="1">
      <w:start w:val="1"/>
      <w:numFmt w:val="bullet"/>
      <w:lvlText w:val=""/>
      <w:lvlJc w:val="left"/>
      <w:pPr>
        <w:ind w:left="7094" w:hanging="360"/>
      </w:pPr>
      <w:rPr>
        <w:rFonts w:ascii="Wingdings" w:hAnsi="Wingdings" w:hint="default"/>
      </w:rPr>
    </w:lvl>
  </w:abstractNum>
  <w:abstractNum w:abstractNumId="7">
    <w:nsid w:val="1FDD14F8"/>
    <w:multiLevelType w:val="hybridMultilevel"/>
    <w:tmpl w:val="E524431A"/>
    <w:styleLink w:val="Numberedlis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200690"/>
    <w:multiLevelType w:val="hybridMultilevel"/>
    <w:tmpl w:val="CFCC5C68"/>
    <w:lvl w:ilvl="0" w:tplc="3D380E06">
      <w:start w:val="1"/>
      <w:numFmt w:val="bullet"/>
      <w:pStyle w:val="08Tablebulletsecondlevel"/>
      <w:lvlText w:val=""/>
      <w:lvlJc w:val="left"/>
      <w:pPr>
        <w:ind w:left="1117" w:hanging="360"/>
      </w:pPr>
      <w:rPr>
        <w:rFonts w:ascii="Wingdings" w:hAnsi="Wingdings" w:hint="default"/>
        <w:sz w:val="17"/>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9">
    <w:nsid w:val="25C53B03"/>
    <w:multiLevelType w:val="multilevel"/>
    <w:tmpl w:val="164243D4"/>
    <w:styleLink w:val="Headings"/>
    <w:lvl w:ilvl="0">
      <w:start w:val="1"/>
      <w:numFmt w:val="decimal"/>
      <w:pStyle w:val="Heading1"/>
      <w:suff w:val="nothing"/>
      <w:lvlText w:val="Section %1"/>
      <w:lvlJc w:val="left"/>
      <w:pPr>
        <w:ind w:left="0" w:firstLine="0"/>
      </w:pPr>
      <w:rPr>
        <w:rFonts w:hint="default"/>
      </w:rPr>
    </w:lvl>
    <w:lvl w:ilvl="1">
      <w:start w:val="1"/>
      <w:numFmt w:val="decimal"/>
      <w:pStyle w:val="Heading2"/>
      <w:lvlText w:val="%1.%2"/>
      <w:lvlJc w:val="left"/>
      <w:pPr>
        <w:tabs>
          <w:tab w:val="num" w:pos="851"/>
        </w:tabs>
        <w:ind w:left="0" w:firstLine="0"/>
      </w:pPr>
      <w:rPr>
        <w:rFonts w:hint="default"/>
      </w:rPr>
    </w:lvl>
    <w:lvl w:ilvl="2">
      <w:start w:val="1"/>
      <w:numFmt w:val="decimal"/>
      <w:pStyle w:val="Heading3"/>
      <w:lvlText w:val="%1.%2.%3"/>
      <w:lvlJc w:val="left"/>
      <w:pPr>
        <w:tabs>
          <w:tab w:val="num" w:pos="851"/>
        </w:tabs>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lvlText w:val="Appendix %7"/>
      <w:lvlJc w:val="left"/>
      <w:pPr>
        <w:ind w:left="3119" w:firstLine="0"/>
      </w:pPr>
      <w:rPr>
        <w:rFonts w:hint="default"/>
      </w:rPr>
    </w:lvl>
    <w:lvl w:ilvl="7">
      <w:start w:val="1"/>
      <w:numFmt w:val="decimal"/>
      <w:pStyle w:val="Heading8"/>
      <w:lvlText w:val="%7.%8"/>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nsid w:val="2806322B"/>
    <w:multiLevelType w:val="hybridMultilevel"/>
    <w:tmpl w:val="079C40C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7956D8"/>
    <w:multiLevelType w:val="hybridMultilevel"/>
    <w:tmpl w:val="9D24F094"/>
    <w:lvl w:ilvl="0" w:tplc="E24AE6A4">
      <w:start w:val="1"/>
      <w:numFmt w:val="bullet"/>
      <w:pStyle w:val="Bullettex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4FA0F2B"/>
    <w:multiLevelType w:val="hybridMultilevel"/>
    <w:tmpl w:val="8A068968"/>
    <w:lvl w:ilvl="0" w:tplc="ECE0CFFE">
      <w:start w:val="1"/>
      <w:numFmt w:val="bullet"/>
      <w:pStyle w:val="07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7C70A02"/>
    <w:multiLevelType w:val="hybridMultilevel"/>
    <w:tmpl w:val="45B20F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7FB4D65"/>
    <w:multiLevelType w:val="hybridMultilevel"/>
    <w:tmpl w:val="A1607B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38CD4AA0"/>
    <w:multiLevelType w:val="hybridMultilevel"/>
    <w:tmpl w:val="E5046376"/>
    <w:lvl w:ilvl="0" w:tplc="D03C447E">
      <w:start w:val="1"/>
      <w:numFmt w:val="lowerRoman"/>
      <w:lvlText w:val="%1)"/>
      <w:lvlJc w:val="left"/>
      <w:pPr>
        <w:ind w:left="1500" w:hanging="720"/>
      </w:pPr>
      <w:rPr>
        <w:rFonts w:hint="default"/>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16">
    <w:nsid w:val="3A517A55"/>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510C8E"/>
    <w:multiLevelType w:val="multilevel"/>
    <w:tmpl w:val="526C7668"/>
    <w:styleLink w:val="Numberedlist"/>
    <w:lvl w:ilvl="0">
      <w:start w:val="1"/>
      <w:numFmt w:val="none"/>
      <w:lvlText w:val="(%11)"/>
      <w:lvlJc w:val="left"/>
      <w:pPr>
        <w:ind w:left="0" w:firstLine="0"/>
      </w:pPr>
      <w:rPr>
        <w:rFonts w:hint="default"/>
      </w:rPr>
    </w:lvl>
    <w:lvl w:ilvl="1">
      <w:start w:val="2"/>
      <w:numFmt w:val="decimal"/>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nsid w:val="441B7EA7"/>
    <w:multiLevelType w:val="hybridMultilevel"/>
    <w:tmpl w:val="8F7AC4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5C9616B"/>
    <w:multiLevelType w:val="hybridMultilevel"/>
    <w:tmpl w:val="0046C9B8"/>
    <w:styleLink w:val="1111111"/>
    <w:lvl w:ilvl="0" w:tplc="878C752C">
      <w:start w:val="1"/>
      <w:numFmt w:val="decimal"/>
      <w:lvlText w:val="%1."/>
      <w:lvlJc w:val="left"/>
      <w:pPr>
        <w:ind w:left="777" w:hanging="360"/>
      </w:pPr>
      <w:rPr>
        <w:b/>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20">
    <w:nsid w:val="596821EE"/>
    <w:multiLevelType w:val="hybridMultilevel"/>
    <w:tmpl w:val="66182DD8"/>
    <w:lvl w:ilvl="0" w:tplc="4894C0A8">
      <w:start w:val="1"/>
      <w:numFmt w:val="lowerRoman"/>
      <w:lvlText w:val="%1)"/>
      <w:lvlJc w:val="left"/>
      <w:pPr>
        <w:ind w:left="3600" w:hanging="72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21">
    <w:nsid w:val="59F60AEB"/>
    <w:multiLevelType w:val="hybridMultilevel"/>
    <w:tmpl w:val="1EA4E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ABC1ADF"/>
    <w:multiLevelType w:val="hybridMultilevel"/>
    <w:tmpl w:val="2D1AA470"/>
    <w:lvl w:ilvl="0" w:tplc="2F3C86D4">
      <w:numFmt w:val="bullet"/>
      <w:lvlText w:val="•"/>
      <w:lvlJc w:val="left"/>
      <w:pPr>
        <w:ind w:left="720" w:hanging="72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40178B"/>
    <w:multiLevelType w:val="hybridMultilevel"/>
    <w:tmpl w:val="0B922330"/>
    <w:lvl w:ilvl="0" w:tplc="55A02B0A">
      <w:start w:val="1"/>
      <w:numFmt w:val="bullet"/>
      <w:lvlText w:val=""/>
      <w:lvlJc w:val="left"/>
      <w:pPr>
        <w:ind w:left="861" w:hanging="360"/>
      </w:pPr>
      <w:rPr>
        <w:rFonts w:ascii="Symbol" w:hAnsi="Symbol" w:hint="default"/>
        <w:b/>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24">
    <w:nsid w:val="67BA14CF"/>
    <w:multiLevelType w:val="hybridMultilevel"/>
    <w:tmpl w:val="0228F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8592FEB"/>
    <w:multiLevelType w:val="hybridMultilevel"/>
    <w:tmpl w:val="3026AC06"/>
    <w:lvl w:ilvl="0" w:tplc="2F3C86D4">
      <w:numFmt w:val="bullet"/>
      <w:lvlText w:val="•"/>
      <w:lvlJc w:val="left"/>
      <w:pPr>
        <w:ind w:left="720" w:hanging="720"/>
      </w:pPr>
      <w:rPr>
        <w:rFonts w:ascii="Cambria" w:eastAsia="Calibri"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12"/>
  </w:num>
  <w:num w:numId="3">
    <w:abstractNumId w:val="7"/>
  </w:num>
  <w:num w:numId="4">
    <w:abstractNumId w:val="8"/>
  </w:num>
  <w:num w:numId="5">
    <w:abstractNumId w:val="0"/>
  </w:num>
  <w:num w:numId="6">
    <w:abstractNumId w:val="17"/>
  </w:num>
  <w:num w:numId="7">
    <w:abstractNumId w:val="16"/>
  </w:num>
  <w:num w:numId="8">
    <w:abstractNumId w:val="19"/>
  </w:num>
  <w:num w:numId="9">
    <w:abstractNumId w:val="9"/>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10">
    <w:abstractNumId w:val="11"/>
  </w:num>
  <w:num w:numId="11">
    <w:abstractNumId w:val="9"/>
  </w:num>
  <w:num w:numId="12">
    <w:abstractNumId w:val="21"/>
  </w:num>
  <w:num w:numId="13">
    <w:abstractNumId w:val="6"/>
  </w:num>
  <w:num w:numId="14">
    <w:abstractNumId w:val="20"/>
  </w:num>
  <w:num w:numId="15">
    <w:abstractNumId w:val="10"/>
  </w:num>
  <w:num w:numId="16">
    <w:abstractNumId w:val="2"/>
  </w:num>
  <w:num w:numId="17">
    <w:abstractNumId w:val="13"/>
  </w:num>
  <w:num w:numId="18">
    <w:abstractNumId w:val="25"/>
  </w:num>
  <w:num w:numId="19">
    <w:abstractNumId w:val="1"/>
  </w:num>
  <w:num w:numId="20">
    <w:abstractNumId w:val="22"/>
  </w:num>
  <w:num w:numId="21">
    <w:abstractNumId w:val="4"/>
  </w:num>
  <w:num w:numId="22">
    <w:abstractNumId w:val="15"/>
  </w:num>
  <w:num w:numId="23">
    <w:abstractNumId w:val="18"/>
  </w:num>
  <w:num w:numId="24">
    <w:abstractNumId w:val="14"/>
  </w:num>
  <w:num w:numId="25">
    <w:abstractNumId w:val="9"/>
    <w:lvlOverride w:ilvl="0">
      <w:lvl w:ilvl="0">
        <w:start w:val="1"/>
        <w:numFmt w:val="decimal"/>
        <w:pStyle w:val="Heading1"/>
        <w:suff w:val="nothing"/>
        <w:lvlText w:val="Section %1"/>
        <w:lvlJc w:val="left"/>
        <w:pPr>
          <w:ind w:left="0" w:firstLine="0"/>
        </w:pPr>
        <w:rPr>
          <w:rFonts w:hint="default"/>
        </w:rPr>
      </w:lvl>
    </w:lvlOverride>
    <w:lvlOverride w:ilvl="1">
      <w:lvl w:ilvl="1">
        <w:start w:val="1"/>
        <w:numFmt w:val="decimal"/>
        <w:pStyle w:val="Heading2"/>
        <w:lvlText w:val="%1.%2"/>
        <w:lvlJc w:val="left"/>
        <w:pPr>
          <w:tabs>
            <w:tab w:val="num" w:pos="851"/>
          </w:tabs>
          <w:ind w:left="0" w:firstLine="0"/>
        </w:pPr>
        <w:rPr>
          <w:rFonts w:hint="default"/>
        </w:rPr>
      </w:lvl>
    </w:lvlOverride>
    <w:lvlOverride w:ilvl="2">
      <w:lvl w:ilvl="2">
        <w:start w:val="1"/>
        <w:numFmt w:val="decimal"/>
        <w:pStyle w:val="Heading3"/>
        <w:lvlText w:val="%1.%2.%3"/>
        <w:lvlJc w:val="left"/>
        <w:pPr>
          <w:tabs>
            <w:tab w:val="num" w:pos="851"/>
          </w:tabs>
          <w:ind w:left="0" w:firstLine="0"/>
        </w:pPr>
        <w:rPr>
          <w:rFonts w:hint="default"/>
        </w:rPr>
      </w:lvl>
    </w:lvlOverride>
    <w:lvlOverride w:ilvl="3">
      <w:lvl w:ilvl="3">
        <w:start w:val="1"/>
        <w:numFmt w:val="none"/>
        <w:pStyle w:val="Heading4"/>
        <w:suff w:val="nothing"/>
        <w:lvlText w:val=""/>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upperLetter"/>
        <w:pStyle w:val="Heading7"/>
        <w:lvlText w:val="Appendix %7"/>
        <w:lvlJc w:val="left"/>
        <w:pPr>
          <w:ind w:left="3119" w:firstLine="0"/>
        </w:pPr>
        <w:rPr>
          <w:rFonts w:hint="default"/>
        </w:rPr>
      </w:lvl>
    </w:lvlOverride>
    <w:lvlOverride w:ilvl="7">
      <w:lvl w:ilvl="7">
        <w:start w:val="1"/>
        <w:numFmt w:val="decimal"/>
        <w:pStyle w:val="Heading8"/>
        <w:lvlText w:val="%7.%8"/>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26">
    <w:abstractNumId w:val="23"/>
  </w:num>
  <w:num w:numId="27">
    <w:abstractNumId w:val="5"/>
  </w:num>
  <w:num w:numId="28">
    <w:abstractNumId w:val="0"/>
  </w:num>
  <w:num w:numId="29">
    <w:abstractNumId w:val="0"/>
  </w:num>
  <w:num w:numId="30">
    <w:abstractNumId w:val="0"/>
  </w:num>
  <w:num w:numId="31">
    <w:abstractNumId w:val="0"/>
  </w:num>
  <w:num w:numId="32">
    <w:abstractNumId w:val="24"/>
  </w:num>
  <w:num w:numId="33">
    <w:abstractNumId w:val="0"/>
  </w:num>
  <w:num w:numId="34">
    <w:abstractNumId w:val="0"/>
  </w:num>
  <w:num w:numId="3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184"/>
    <o:shapelayout v:ext="edit">
      <o:idmap v:ext="edit" data="2"/>
    </o:shapelayout>
  </w:hdrShapeDefaults>
  <w:footnotePr>
    <w:numFmt w:val="chicago"/>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 modifi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xe50xzxg2vx0gevxdivt900vt9dx9devw5f&quot;&gt;Literature review report&lt;record-ids&gt;&lt;item&gt;225&lt;/item&gt;&lt;item&gt;227&lt;/item&gt;&lt;item&gt;228&lt;/item&gt;&lt;item&gt;229&lt;/item&gt;&lt;item&gt;230&lt;/item&gt;&lt;item&gt;233&lt;/item&gt;&lt;item&gt;234&lt;/item&gt;&lt;item&gt;237&lt;/item&gt;&lt;item&gt;238&lt;/item&gt;&lt;item&gt;239&lt;/item&gt;&lt;item&gt;240&lt;/item&gt;&lt;item&gt;244&lt;/item&gt;&lt;item&gt;249&lt;/item&gt;&lt;item&gt;251&lt;/item&gt;&lt;item&gt;252&lt;/item&gt;&lt;item&gt;254&lt;/item&gt;&lt;item&gt;255&lt;/item&gt;&lt;item&gt;256&lt;/item&gt;&lt;item&gt;257&lt;/item&gt;&lt;item&gt;258&lt;/item&gt;&lt;item&gt;259&lt;/item&gt;&lt;item&gt;260&lt;/item&gt;&lt;item&gt;262&lt;/item&gt;&lt;item&gt;263&lt;/item&gt;&lt;item&gt;269&lt;/item&gt;&lt;item&gt;270&lt;/item&gt;&lt;item&gt;271&lt;/item&gt;&lt;item&gt;275&lt;/item&gt;&lt;item&gt;279&lt;/item&gt;&lt;item&gt;281&lt;/item&gt;&lt;item&gt;285&lt;/item&gt;&lt;item&gt;287&lt;/item&gt;&lt;item&gt;288&lt;/item&gt;&lt;item&gt;289&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record-ids&gt;&lt;/item&gt;&lt;/Libraries&gt;"/>
  </w:docVars>
  <w:rsids>
    <w:rsidRoot w:val="000B0C8C"/>
    <w:rsid w:val="00000676"/>
    <w:rsid w:val="00001143"/>
    <w:rsid w:val="00001BDA"/>
    <w:rsid w:val="00002CBE"/>
    <w:rsid w:val="0000335D"/>
    <w:rsid w:val="000039E6"/>
    <w:rsid w:val="00004C54"/>
    <w:rsid w:val="000058DE"/>
    <w:rsid w:val="000061B3"/>
    <w:rsid w:val="0000707E"/>
    <w:rsid w:val="000077CE"/>
    <w:rsid w:val="00007DB7"/>
    <w:rsid w:val="000108AD"/>
    <w:rsid w:val="00012746"/>
    <w:rsid w:val="0001276B"/>
    <w:rsid w:val="00012A89"/>
    <w:rsid w:val="00012C43"/>
    <w:rsid w:val="00012EF0"/>
    <w:rsid w:val="00013031"/>
    <w:rsid w:val="00013DEC"/>
    <w:rsid w:val="00013DF5"/>
    <w:rsid w:val="000145AF"/>
    <w:rsid w:val="00016BF6"/>
    <w:rsid w:val="0001713E"/>
    <w:rsid w:val="00017C1F"/>
    <w:rsid w:val="00017FBF"/>
    <w:rsid w:val="0002051B"/>
    <w:rsid w:val="00020ECE"/>
    <w:rsid w:val="0002235B"/>
    <w:rsid w:val="00022DA6"/>
    <w:rsid w:val="00022E3F"/>
    <w:rsid w:val="000232A6"/>
    <w:rsid w:val="000235A4"/>
    <w:rsid w:val="000240D6"/>
    <w:rsid w:val="000245BD"/>
    <w:rsid w:val="0002479A"/>
    <w:rsid w:val="00024991"/>
    <w:rsid w:val="00026080"/>
    <w:rsid w:val="00026B3C"/>
    <w:rsid w:val="00026CB1"/>
    <w:rsid w:val="00027324"/>
    <w:rsid w:val="000273DB"/>
    <w:rsid w:val="00027957"/>
    <w:rsid w:val="00027EEF"/>
    <w:rsid w:val="00032398"/>
    <w:rsid w:val="0003313D"/>
    <w:rsid w:val="0003359D"/>
    <w:rsid w:val="00033623"/>
    <w:rsid w:val="00033681"/>
    <w:rsid w:val="0003409D"/>
    <w:rsid w:val="000342DC"/>
    <w:rsid w:val="000347D4"/>
    <w:rsid w:val="0003499D"/>
    <w:rsid w:val="00034EAB"/>
    <w:rsid w:val="00035233"/>
    <w:rsid w:val="00035C43"/>
    <w:rsid w:val="00035CAA"/>
    <w:rsid w:val="0003622D"/>
    <w:rsid w:val="0003789A"/>
    <w:rsid w:val="0004089D"/>
    <w:rsid w:val="00040BD7"/>
    <w:rsid w:val="00041372"/>
    <w:rsid w:val="000416AB"/>
    <w:rsid w:val="00041A7E"/>
    <w:rsid w:val="00043CB4"/>
    <w:rsid w:val="00043CB5"/>
    <w:rsid w:val="00044518"/>
    <w:rsid w:val="00044526"/>
    <w:rsid w:val="00045558"/>
    <w:rsid w:val="0004594A"/>
    <w:rsid w:val="000460DF"/>
    <w:rsid w:val="0004690C"/>
    <w:rsid w:val="00047E33"/>
    <w:rsid w:val="000504A4"/>
    <w:rsid w:val="00052353"/>
    <w:rsid w:val="000546C2"/>
    <w:rsid w:val="00054996"/>
    <w:rsid w:val="0005536D"/>
    <w:rsid w:val="000559E2"/>
    <w:rsid w:val="00055D1E"/>
    <w:rsid w:val="00055DCD"/>
    <w:rsid w:val="00055F77"/>
    <w:rsid w:val="00056161"/>
    <w:rsid w:val="00056B0F"/>
    <w:rsid w:val="000604DC"/>
    <w:rsid w:val="00060C26"/>
    <w:rsid w:val="000615FD"/>
    <w:rsid w:val="00062C26"/>
    <w:rsid w:val="00062FC9"/>
    <w:rsid w:val="000630F4"/>
    <w:rsid w:val="000633E2"/>
    <w:rsid w:val="000637FC"/>
    <w:rsid w:val="000640EA"/>
    <w:rsid w:val="00064658"/>
    <w:rsid w:val="00064766"/>
    <w:rsid w:val="00064D19"/>
    <w:rsid w:val="00065081"/>
    <w:rsid w:val="00065489"/>
    <w:rsid w:val="00065F42"/>
    <w:rsid w:val="000660F8"/>
    <w:rsid w:val="000662F1"/>
    <w:rsid w:val="00066834"/>
    <w:rsid w:val="00066AB2"/>
    <w:rsid w:val="000676BE"/>
    <w:rsid w:val="00067B4C"/>
    <w:rsid w:val="000702D7"/>
    <w:rsid w:val="000724B1"/>
    <w:rsid w:val="00072A71"/>
    <w:rsid w:val="00072E12"/>
    <w:rsid w:val="0007323D"/>
    <w:rsid w:val="0007477E"/>
    <w:rsid w:val="00074A9A"/>
    <w:rsid w:val="00075120"/>
    <w:rsid w:val="0007521E"/>
    <w:rsid w:val="00075AE3"/>
    <w:rsid w:val="00075D0E"/>
    <w:rsid w:val="0007681B"/>
    <w:rsid w:val="00076A20"/>
    <w:rsid w:val="00080ED5"/>
    <w:rsid w:val="0008138B"/>
    <w:rsid w:val="000824DB"/>
    <w:rsid w:val="00083004"/>
    <w:rsid w:val="0008308D"/>
    <w:rsid w:val="00083208"/>
    <w:rsid w:val="000852FB"/>
    <w:rsid w:val="00087A6A"/>
    <w:rsid w:val="0009037C"/>
    <w:rsid w:val="00091491"/>
    <w:rsid w:val="00091E7E"/>
    <w:rsid w:val="00091EAB"/>
    <w:rsid w:val="00092310"/>
    <w:rsid w:val="00092364"/>
    <w:rsid w:val="000940EB"/>
    <w:rsid w:val="00094EC1"/>
    <w:rsid w:val="00096183"/>
    <w:rsid w:val="00097C45"/>
    <w:rsid w:val="00097C6E"/>
    <w:rsid w:val="00097E3A"/>
    <w:rsid w:val="000A0384"/>
    <w:rsid w:val="000A17DB"/>
    <w:rsid w:val="000A182A"/>
    <w:rsid w:val="000A193C"/>
    <w:rsid w:val="000A1B83"/>
    <w:rsid w:val="000A1EBA"/>
    <w:rsid w:val="000A2525"/>
    <w:rsid w:val="000A2DB5"/>
    <w:rsid w:val="000A30C5"/>
    <w:rsid w:val="000A3D73"/>
    <w:rsid w:val="000A4602"/>
    <w:rsid w:val="000A4677"/>
    <w:rsid w:val="000A5398"/>
    <w:rsid w:val="000A5911"/>
    <w:rsid w:val="000A5A60"/>
    <w:rsid w:val="000A6228"/>
    <w:rsid w:val="000A6697"/>
    <w:rsid w:val="000A6E36"/>
    <w:rsid w:val="000A7292"/>
    <w:rsid w:val="000A72FD"/>
    <w:rsid w:val="000A73DA"/>
    <w:rsid w:val="000A7F7B"/>
    <w:rsid w:val="000B01E5"/>
    <w:rsid w:val="000B0485"/>
    <w:rsid w:val="000B0C8C"/>
    <w:rsid w:val="000B1B9E"/>
    <w:rsid w:val="000B23AB"/>
    <w:rsid w:val="000B254C"/>
    <w:rsid w:val="000B3C9D"/>
    <w:rsid w:val="000B5265"/>
    <w:rsid w:val="000B572B"/>
    <w:rsid w:val="000B5BEC"/>
    <w:rsid w:val="000B60C2"/>
    <w:rsid w:val="000B6B79"/>
    <w:rsid w:val="000B7135"/>
    <w:rsid w:val="000B7685"/>
    <w:rsid w:val="000C06A9"/>
    <w:rsid w:val="000C0A78"/>
    <w:rsid w:val="000C0D98"/>
    <w:rsid w:val="000C3AA8"/>
    <w:rsid w:val="000C4305"/>
    <w:rsid w:val="000C46DF"/>
    <w:rsid w:val="000C49E2"/>
    <w:rsid w:val="000C585D"/>
    <w:rsid w:val="000C60B4"/>
    <w:rsid w:val="000C61FF"/>
    <w:rsid w:val="000C66AF"/>
    <w:rsid w:val="000C66B3"/>
    <w:rsid w:val="000C70E2"/>
    <w:rsid w:val="000C745C"/>
    <w:rsid w:val="000C74B1"/>
    <w:rsid w:val="000D0670"/>
    <w:rsid w:val="000D06EF"/>
    <w:rsid w:val="000D1D1E"/>
    <w:rsid w:val="000D2511"/>
    <w:rsid w:val="000D27CF"/>
    <w:rsid w:val="000D2FC8"/>
    <w:rsid w:val="000D3545"/>
    <w:rsid w:val="000D3BCC"/>
    <w:rsid w:val="000D40BF"/>
    <w:rsid w:val="000D4B07"/>
    <w:rsid w:val="000D564C"/>
    <w:rsid w:val="000D5DD0"/>
    <w:rsid w:val="000D69DF"/>
    <w:rsid w:val="000D6FC6"/>
    <w:rsid w:val="000D7D43"/>
    <w:rsid w:val="000E153B"/>
    <w:rsid w:val="000E1BDD"/>
    <w:rsid w:val="000E1F27"/>
    <w:rsid w:val="000E294F"/>
    <w:rsid w:val="000E36F8"/>
    <w:rsid w:val="000E3E3B"/>
    <w:rsid w:val="000E442A"/>
    <w:rsid w:val="000E4E19"/>
    <w:rsid w:val="000E512C"/>
    <w:rsid w:val="000E5333"/>
    <w:rsid w:val="000E6B13"/>
    <w:rsid w:val="000E773E"/>
    <w:rsid w:val="000E7848"/>
    <w:rsid w:val="000E79FE"/>
    <w:rsid w:val="000E7B29"/>
    <w:rsid w:val="000E7F06"/>
    <w:rsid w:val="000F0119"/>
    <w:rsid w:val="000F044F"/>
    <w:rsid w:val="000F0E1B"/>
    <w:rsid w:val="000F2E0E"/>
    <w:rsid w:val="000F3079"/>
    <w:rsid w:val="000F3AFC"/>
    <w:rsid w:val="000F3EBE"/>
    <w:rsid w:val="000F4182"/>
    <w:rsid w:val="000F4BA3"/>
    <w:rsid w:val="000F5807"/>
    <w:rsid w:val="000F5B05"/>
    <w:rsid w:val="000F5DA6"/>
    <w:rsid w:val="000F68D2"/>
    <w:rsid w:val="000F7E14"/>
    <w:rsid w:val="00100017"/>
    <w:rsid w:val="00100197"/>
    <w:rsid w:val="00100762"/>
    <w:rsid w:val="001008C6"/>
    <w:rsid w:val="0010114B"/>
    <w:rsid w:val="00101225"/>
    <w:rsid w:val="00101A77"/>
    <w:rsid w:val="00102020"/>
    <w:rsid w:val="001024C8"/>
    <w:rsid w:val="001034A1"/>
    <w:rsid w:val="00103864"/>
    <w:rsid w:val="001046AF"/>
    <w:rsid w:val="001051F9"/>
    <w:rsid w:val="001055C5"/>
    <w:rsid w:val="00105AA9"/>
    <w:rsid w:val="00105B66"/>
    <w:rsid w:val="001066D2"/>
    <w:rsid w:val="001071DA"/>
    <w:rsid w:val="001079F3"/>
    <w:rsid w:val="001103FF"/>
    <w:rsid w:val="00110455"/>
    <w:rsid w:val="00110ABA"/>
    <w:rsid w:val="00111D1E"/>
    <w:rsid w:val="00111E4E"/>
    <w:rsid w:val="00111FA3"/>
    <w:rsid w:val="001121F8"/>
    <w:rsid w:val="00112E0F"/>
    <w:rsid w:val="00113983"/>
    <w:rsid w:val="00113A4A"/>
    <w:rsid w:val="00113F1E"/>
    <w:rsid w:val="00114122"/>
    <w:rsid w:val="0011622D"/>
    <w:rsid w:val="001162BD"/>
    <w:rsid w:val="00116556"/>
    <w:rsid w:val="00120684"/>
    <w:rsid w:val="00120A7B"/>
    <w:rsid w:val="001211AE"/>
    <w:rsid w:val="00121658"/>
    <w:rsid w:val="00122438"/>
    <w:rsid w:val="00122561"/>
    <w:rsid w:val="0012341F"/>
    <w:rsid w:val="001234DA"/>
    <w:rsid w:val="00123AD8"/>
    <w:rsid w:val="00123B2E"/>
    <w:rsid w:val="00124027"/>
    <w:rsid w:val="00124A0B"/>
    <w:rsid w:val="00124C32"/>
    <w:rsid w:val="00124F08"/>
    <w:rsid w:val="0012541E"/>
    <w:rsid w:val="00125464"/>
    <w:rsid w:val="00125AF7"/>
    <w:rsid w:val="00125CF6"/>
    <w:rsid w:val="0012643A"/>
    <w:rsid w:val="001266C7"/>
    <w:rsid w:val="00126781"/>
    <w:rsid w:val="00126D7C"/>
    <w:rsid w:val="00127CC2"/>
    <w:rsid w:val="00130B4A"/>
    <w:rsid w:val="00132B2B"/>
    <w:rsid w:val="00132E10"/>
    <w:rsid w:val="0013307D"/>
    <w:rsid w:val="00133CE7"/>
    <w:rsid w:val="00133D05"/>
    <w:rsid w:val="00135335"/>
    <w:rsid w:val="001356C1"/>
    <w:rsid w:val="001368CE"/>
    <w:rsid w:val="0013782E"/>
    <w:rsid w:val="00140687"/>
    <w:rsid w:val="001406D9"/>
    <w:rsid w:val="0014072E"/>
    <w:rsid w:val="00140B62"/>
    <w:rsid w:val="00140C48"/>
    <w:rsid w:val="001414B8"/>
    <w:rsid w:val="00141508"/>
    <w:rsid w:val="00141AB4"/>
    <w:rsid w:val="00141E3A"/>
    <w:rsid w:val="001428E7"/>
    <w:rsid w:val="0014300C"/>
    <w:rsid w:val="00144267"/>
    <w:rsid w:val="00144722"/>
    <w:rsid w:val="00145CE3"/>
    <w:rsid w:val="0014637C"/>
    <w:rsid w:val="00146692"/>
    <w:rsid w:val="00146A18"/>
    <w:rsid w:val="00146A8B"/>
    <w:rsid w:val="00147996"/>
    <w:rsid w:val="0015014E"/>
    <w:rsid w:val="00150203"/>
    <w:rsid w:val="001504AA"/>
    <w:rsid w:val="00150D82"/>
    <w:rsid w:val="00150DBD"/>
    <w:rsid w:val="00150DC0"/>
    <w:rsid w:val="00150EEE"/>
    <w:rsid w:val="00151A01"/>
    <w:rsid w:val="001528FE"/>
    <w:rsid w:val="001532AF"/>
    <w:rsid w:val="00153E18"/>
    <w:rsid w:val="0015420F"/>
    <w:rsid w:val="00154702"/>
    <w:rsid w:val="001555D2"/>
    <w:rsid w:val="0015688E"/>
    <w:rsid w:val="00156935"/>
    <w:rsid w:val="00156EB5"/>
    <w:rsid w:val="00156FFC"/>
    <w:rsid w:val="00160D16"/>
    <w:rsid w:val="0016130F"/>
    <w:rsid w:val="001617E8"/>
    <w:rsid w:val="00161A63"/>
    <w:rsid w:val="001639A2"/>
    <w:rsid w:val="00164021"/>
    <w:rsid w:val="0016423E"/>
    <w:rsid w:val="00164341"/>
    <w:rsid w:val="001646A7"/>
    <w:rsid w:val="001647A0"/>
    <w:rsid w:val="00164C1C"/>
    <w:rsid w:val="00165B13"/>
    <w:rsid w:val="00165E64"/>
    <w:rsid w:val="001660ED"/>
    <w:rsid w:val="00167375"/>
    <w:rsid w:val="00167471"/>
    <w:rsid w:val="0016766E"/>
    <w:rsid w:val="00171297"/>
    <w:rsid w:val="001727B8"/>
    <w:rsid w:val="001748AE"/>
    <w:rsid w:val="001750D5"/>
    <w:rsid w:val="00175C85"/>
    <w:rsid w:val="001761C7"/>
    <w:rsid w:val="00176CE6"/>
    <w:rsid w:val="001776BF"/>
    <w:rsid w:val="001779A4"/>
    <w:rsid w:val="00180812"/>
    <w:rsid w:val="00181151"/>
    <w:rsid w:val="0018131D"/>
    <w:rsid w:val="00182493"/>
    <w:rsid w:val="0018277C"/>
    <w:rsid w:val="0018288F"/>
    <w:rsid w:val="001835B6"/>
    <w:rsid w:val="001837C5"/>
    <w:rsid w:val="00183A64"/>
    <w:rsid w:val="00183C38"/>
    <w:rsid w:val="0018400D"/>
    <w:rsid w:val="00184332"/>
    <w:rsid w:val="00184AC7"/>
    <w:rsid w:val="00184ED9"/>
    <w:rsid w:val="00185623"/>
    <w:rsid w:val="00186004"/>
    <w:rsid w:val="001863E5"/>
    <w:rsid w:val="00186483"/>
    <w:rsid w:val="00186728"/>
    <w:rsid w:val="00187E28"/>
    <w:rsid w:val="001904AD"/>
    <w:rsid w:val="001909F5"/>
    <w:rsid w:val="0019224F"/>
    <w:rsid w:val="0019235B"/>
    <w:rsid w:val="00193204"/>
    <w:rsid w:val="0019393C"/>
    <w:rsid w:val="00194011"/>
    <w:rsid w:val="00195E30"/>
    <w:rsid w:val="00195FC1"/>
    <w:rsid w:val="001964F8"/>
    <w:rsid w:val="00196FAB"/>
    <w:rsid w:val="001976D5"/>
    <w:rsid w:val="00197F12"/>
    <w:rsid w:val="001A03AD"/>
    <w:rsid w:val="001A058C"/>
    <w:rsid w:val="001A0F96"/>
    <w:rsid w:val="001A1585"/>
    <w:rsid w:val="001A1691"/>
    <w:rsid w:val="001A1802"/>
    <w:rsid w:val="001A1B19"/>
    <w:rsid w:val="001A20AE"/>
    <w:rsid w:val="001A2E31"/>
    <w:rsid w:val="001A3284"/>
    <w:rsid w:val="001A4566"/>
    <w:rsid w:val="001A49DD"/>
    <w:rsid w:val="001A4CCF"/>
    <w:rsid w:val="001A4EB3"/>
    <w:rsid w:val="001A5688"/>
    <w:rsid w:val="001A57C7"/>
    <w:rsid w:val="001A675B"/>
    <w:rsid w:val="001A6A82"/>
    <w:rsid w:val="001A6EA4"/>
    <w:rsid w:val="001A747A"/>
    <w:rsid w:val="001A7F97"/>
    <w:rsid w:val="001B0312"/>
    <w:rsid w:val="001B199D"/>
    <w:rsid w:val="001B1DAA"/>
    <w:rsid w:val="001B2854"/>
    <w:rsid w:val="001B299D"/>
    <w:rsid w:val="001B2E37"/>
    <w:rsid w:val="001B37B0"/>
    <w:rsid w:val="001B38BB"/>
    <w:rsid w:val="001B43FE"/>
    <w:rsid w:val="001B53BA"/>
    <w:rsid w:val="001B55F7"/>
    <w:rsid w:val="001B6836"/>
    <w:rsid w:val="001B6EE5"/>
    <w:rsid w:val="001B7272"/>
    <w:rsid w:val="001B72DE"/>
    <w:rsid w:val="001B780F"/>
    <w:rsid w:val="001B7B5A"/>
    <w:rsid w:val="001C09B9"/>
    <w:rsid w:val="001C0AB9"/>
    <w:rsid w:val="001C1006"/>
    <w:rsid w:val="001C1E27"/>
    <w:rsid w:val="001C2742"/>
    <w:rsid w:val="001C349D"/>
    <w:rsid w:val="001C3B62"/>
    <w:rsid w:val="001C41A4"/>
    <w:rsid w:val="001C4302"/>
    <w:rsid w:val="001C468A"/>
    <w:rsid w:val="001C49D2"/>
    <w:rsid w:val="001C5235"/>
    <w:rsid w:val="001C54E0"/>
    <w:rsid w:val="001C6234"/>
    <w:rsid w:val="001C79F5"/>
    <w:rsid w:val="001C7A7D"/>
    <w:rsid w:val="001D0185"/>
    <w:rsid w:val="001D0732"/>
    <w:rsid w:val="001D1093"/>
    <w:rsid w:val="001D1104"/>
    <w:rsid w:val="001D17E9"/>
    <w:rsid w:val="001D21EC"/>
    <w:rsid w:val="001D23D6"/>
    <w:rsid w:val="001D2A80"/>
    <w:rsid w:val="001D2F0A"/>
    <w:rsid w:val="001D3236"/>
    <w:rsid w:val="001D3838"/>
    <w:rsid w:val="001D3C7C"/>
    <w:rsid w:val="001D4A97"/>
    <w:rsid w:val="001D55A7"/>
    <w:rsid w:val="001D561A"/>
    <w:rsid w:val="001D5746"/>
    <w:rsid w:val="001D61C0"/>
    <w:rsid w:val="001D6865"/>
    <w:rsid w:val="001D70D4"/>
    <w:rsid w:val="001D769E"/>
    <w:rsid w:val="001E0756"/>
    <w:rsid w:val="001E17A1"/>
    <w:rsid w:val="001E1B87"/>
    <w:rsid w:val="001E2909"/>
    <w:rsid w:val="001E2E88"/>
    <w:rsid w:val="001E4C07"/>
    <w:rsid w:val="001E50F5"/>
    <w:rsid w:val="001E634F"/>
    <w:rsid w:val="001E7149"/>
    <w:rsid w:val="001E793F"/>
    <w:rsid w:val="001F044A"/>
    <w:rsid w:val="001F064C"/>
    <w:rsid w:val="001F06A3"/>
    <w:rsid w:val="001F09E7"/>
    <w:rsid w:val="001F1180"/>
    <w:rsid w:val="001F14CB"/>
    <w:rsid w:val="001F1F12"/>
    <w:rsid w:val="001F2CF5"/>
    <w:rsid w:val="001F38BE"/>
    <w:rsid w:val="001F3E8D"/>
    <w:rsid w:val="001F40B2"/>
    <w:rsid w:val="001F4168"/>
    <w:rsid w:val="001F43F7"/>
    <w:rsid w:val="001F46A2"/>
    <w:rsid w:val="001F6496"/>
    <w:rsid w:val="001F64AE"/>
    <w:rsid w:val="001F65FA"/>
    <w:rsid w:val="001F6A4C"/>
    <w:rsid w:val="001F6AC1"/>
    <w:rsid w:val="001F70C1"/>
    <w:rsid w:val="001F73A8"/>
    <w:rsid w:val="002000D3"/>
    <w:rsid w:val="00200F22"/>
    <w:rsid w:val="00200F50"/>
    <w:rsid w:val="002013EC"/>
    <w:rsid w:val="00201497"/>
    <w:rsid w:val="00201586"/>
    <w:rsid w:val="002018FA"/>
    <w:rsid w:val="00202D4D"/>
    <w:rsid w:val="00203356"/>
    <w:rsid w:val="00203E3E"/>
    <w:rsid w:val="00204288"/>
    <w:rsid w:val="002045AE"/>
    <w:rsid w:val="00205A79"/>
    <w:rsid w:val="00205AA5"/>
    <w:rsid w:val="00205B06"/>
    <w:rsid w:val="00205BCE"/>
    <w:rsid w:val="00205F79"/>
    <w:rsid w:val="00206081"/>
    <w:rsid w:val="00206369"/>
    <w:rsid w:val="002075E2"/>
    <w:rsid w:val="002109F3"/>
    <w:rsid w:val="0021149E"/>
    <w:rsid w:val="00211F2D"/>
    <w:rsid w:val="00212382"/>
    <w:rsid w:val="00212941"/>
    <w:rsid w:val="002136BC"/>
    <w:rsid w:val="00213922"/>
    <w:rsid w:val="00215768"/>
    <w:rsid w:val="002160CD"/>
    <w:rsid w:val="00216CC6"/>
    <w:rsid w:val="00216DA2"/>
    <w:rsid w:val="002174D7"/>
    <w:rsid w:val="0021791D"/>
    <w:rsid w:val="00220C07"/>
    <w:rsid w:val="00221A10"/>
    <w:rsid w:val="0022228D"/>
    <w:rsid w:val="002223F1"/>
    <w:rsid w:val="002225C8"/>
    <w:rsid w:val="00224431"/>
    <w:rsid w:val="002258FA"/>
    <w:rsid w:val="00226063"/>
    <w:rsid w:val="002274A5"/>
    <w:rsid w:val="0022783C"/>
    <w:rsid w:val="00230404"/>
    <w:rsid w:val="00230C5A"/>
    <w:rsid w:val="00230E68"/>
    <w:rsid w:val="002312DA"/>
    <w:rsid w:val="00231338"/>
    <w:rsid w:val="00231B1D"/>
    <w:rsid w:val="0023265F"/>
    <w:rsid w:val="0023366B"/>
    <w:rsid w:val="00233948"/>
    <w:rsid w:val="00234634"/>
    <w:rsid w:val="00234FD7"/>
    <w:rsid w:val="002357E2"/>
    <w:rsid w:val="0023621C"/>
    <w:rsid w:val="00236FB8"/>
    <w:rsid w:val="002378F3"/>
    <w:rsid w:val="0024003B"/>
    <w:rsid w:val="0024006E"/>
    <w:rsid w:val="00241406"/>
    <w:rsid w:val="00241F85"/>
    <w:rsid w:val="0024221E"/>
    <w:rsid w:val="00242BE9"/>
    <w:rsid w:val="00242EA0"/>
    <w:rsid w:val="0024328B"/>
    <w:rsid w:val="0024421C"/>
    <w:rsid w:val="00244669"/>
    <w:rsid w:val="00244675"/>
    <w:rsid w:val="0024467B"/>
    <w:rsid w:val="00244728"/>
    <w:rsid w:val="002448C3"/>
    <w:rsid w:val="00246016"/>
    <w:rsid w:val="002471A0"/>
    <w:rsid w:val="002478FB"/>
    <w:rsid w:val="002503CC"/>
    <w:rsid w:val="00250EBD"/>
    <w:rsid w:val="00250EDE"/>
    <w:rsid w:val="002517C6"/>
    <w:rsid w:val="00251919"/>
    <w:rsid w:val="002522E0"/>
    <w:rsid w:val="0025248C"/>
    <w:rsid w:val="00252749"/>
    <w:rsid w:val="0025314D"/>
    <w:rsid w:val="002532EC"/>
    <w:rsid w:val="00253B90"/>
    <w:rsid w:val="002541D8"/>
    <w:rsid w:val="00254FE4"/>
    <w:rsid w:val="00255731"/>
    <w:rsid w:val="002575FC"/>
    <w:rsid w:val="00257E1E"/>
    <w:rsid w:val="00260266"/>
    <w:rsid w:val="00262AD2"/>
    <w:rsid w:val="00262C0A"/>
    <w:rsid w:val="0026536F"/>
    <w:rsid w:val="00265391"/>
    <w:rsid w:val="002677E1"/>
    <w:rsid w:val="00267A57"/>
    <w:rsid w:val="00270357"/>
    <w:rsid w:val="00270A37"/>
    <w:rsid w:val="00271086"/>
    <w:rsid w:val="002718B3"/>
    <w:rsid w:val="002719FA"/>
    <w:rsid w:val="00271DD9"/>
    <w:rsid w:val="0027496F"/>
    <w:rsid w:val="0027574E"/>
    <w:rsid w:val="0027619D"/>
    <w:rsid w:val="00277D8C"/>
    <w:rsid w:val="002815A6"/>
    <w:rsid w:val="002824C8"/>
    <w:rsid w:val="00282865"/>
    <w:rsid w:val="00283614"/>
    <w:rsid w:val="00283E6D"/>
    <w:rsid w:val="00284988"/>
    <w:rsid w:val="00284BD6"/>
    <w:rsid w:val="00284E18"/>
    <w:rsid w:val="00284EBE"/>
    <w:rsid w:val="0028628F"/>
    <w:rsid w:val="00287123"/>
    <w:rsid w:val="0028753E"/>
    <w:rsid w:val="002876CD"/>
    <w:rsid w:val="002876D0"/>
    <w:rsid w:val="0029005A"/>
    <w:rsid w:val="0029058D"/>
    <w:rsid w:val="00290B6A"/>
    <w:rsid w:val="00291747"/>
    <w:rsid w:val="002926E2"/>
    <w:rsid w:val="002928D0"/>
    <w:rsid w:val="00293DD7"/>
    <w:rsid w:val="00294743"/>
    <w:rsid w:val="002963C1"/>
    <w:rsid w:val="002965EB"/>
    <w:rsid w:val="00296A77"/>
    <w:rsid w:val="00296C04"/>
    <w:rsid w:val="0029701D"/>
    <w:rsid w:val="0029749A"/>
    <w:rsid w:val="0029750E"/>
    <w:rsid w:val="00297721"/>
    <w:rsid w:val="002A0DA1"/>
    <w:rsid w:val="002A2181"/>
    <w:rsid w:val="002A22EC"/>
    <w:rsid w:val="002A439F"/>
    <w:rsid w:val="002A44E0"/>
    <w:rsid w:val="002A5065"/>
    <w:rsid w:val="002A5739"/>
    <w:rsid w:val="002A59F9"/>
    <w:rsid w:val="002A5CA2"/>
    <w:rsid w:val="002A6729"/>
    <w:rsid w:val="002A6762"/>
    <w:rsid w:val="002A73C2"/>
    <w:rsid w:val="002B11AF"/>
    <w:rsid w:val="002B14FA"/>
    <w:rsid w:val="002B15F2"/>
    <w:rsid w:val="002B16D4"/>
    <w:rsid w:val="002B17E6"/>
    <w:rsid w:val="002B29A8"/>
    <w:rsid w:val="002B3187"/>
    <w:rsid w:val="002B3E8B"/>
    <w:rsid w:val="002B4347"/>
    <w:rsid w:val="002B5894"/>
    <w:rsid w:val="002B756B"/>
    <w:rsid w:val="002C00A8"/>
    <w:rsid w:val="002C1710"/>
    <w:rsid w:val="002C1E4D"/>
    <w:rsid w:val="002C3009"/>
    <w:rsid w:val="002C383E"/>
    <w:rsid w:val="002C4C1A"/>
    <w:rsid w:val="002C6CED"/>
    <w:rsid w:val="002C7B12"/>
    <w:rsid w:val="002D1BC0"/>
    <w:rsid w:val="002D1FA4"/>
    <w:rsid w:val="002D228E"/>
    <w:rsid w:val="002D27FE"/>
    <w:rsid w:val="002D2A0A"/>
    <w:rsid w:val="002D2CD9"/>
    <w:rsid w:val="002D33AD"/>
    <w:rsid w:val="002D42F3"/>
    <w:rsid w:val="002D43ED"/>
    <w:rsid w:val="002D4A37"/>
    <w:rsid w:val="002D503C"/>
    <w:rsid w:val="002D52E0"/>
    <w:rsid w:val="002D583D"/>
    <w:rsid w:val="002D6BFF"/>
    <w:rsid w:val="002D6E34"/>
    <w:rsid w:val="002D785D"/>
    <w:rsid w:val="002D7AC6"/>
    <w:rsid w:val="002E0693"/>
    <w:rsid w:val="002E12C0"/>
    <w:rsid w:val="002E2A6E"/>
    <w:rsid w:val="002E42CF"/>
    <w:rsid w:val="002E4B66"/>
    <w:rsid w:val="002E4E0B"/>
    <w:rsid w:val="002E566F"/>
    <w:rsid w:val="002E5CBD"/>
    <w:rsid w:val="002E5D56"/>
    <w:rsid w:val="002E5F67"/>
    <w:rsid w:val="002E68F1"/>
    <w:rsid w:val="002F0002"/>
    <w:rsid w:val="002F06A0"/>
    <w:rsid w:val="002F0F70"/>
    <w:rsid w:val="002F18F7"/>
    <w:rsid w:val="002F1FF1"/>
    <w:rsid w:val="002F3008"/>
    <w:rsid w:val="002F3746"/>
    <w:rsid w:val="002F38B0"/>
    <w:rsid w:val="002F60E8"/>
    <w:rsid w:val="002F61C4"/>
    <w:rsid w:val="002F6D08"/>
    <w:rsid w:val="002F7095"/>
    <w:rsid w:val="002F7338"/>
    <w:rsid w:val="0030053F"/>
    <w:rsid w:val="00300A50"/>
    <w:rsid w:val="00301A67"/>
    <w:rsid w:val="00301DF6"/>
    <w:rsid w:val="00302076"/>
    <w:rsid w:val="00302755"/>
    <w:rsid w:val="00302C19"/>
    <w:rsid w:val="00303106"/>
    <w:rsid w:val="0030374E"/>
    <w:rsid w:val="003037BB"/>
    <w:rsid w:val="00303FB1"/>
    <w:rsid w:val="003041CB"/>
    <w:rsid w:val="0030435D"/>
    <w:rsid w:val="00305076"/>
    <w:rsid w:val="0030633C"/>
    <w:rsid w:val="00306DCF"/>
    <w:rsid w:val="00307AEA"/>
    <w:rsid w:val="00310238"/>
    <w:rsid w:val="0031089C"/>
    <w:rsid w:val="003109CA"/>
    <w:rsid w:val="0031101D"/>
    <w:rsid w:val="003114C2"/>
    <w:rsid w:val="003114C7"/>
    <w:rsid w:val="003118D5"/>
    <w:rsid w:val="00311927"/>
    <w:rsid w:val="00314F5A"/>
    <w:rsid w:val="00315A30"/>
    <w:rsid w:val="00317610"/>
    <w:rsid w:val="00317DF1"/>
    <w:rsid w:val="00317E57"/>
    <w:rsid w:val="00321179"/>
    <w:rsid w:val="003214BC"/>
    <w:rsid w:val="003229AC"/>
    <w:rsid w:val="00324F88"/>
    <w:rsid w:val="00324F91"/>
    <w:rsid w:val="00325A2E"/>
    <w:rsid w:val="00325BEA"/>
    <w:rsid w:val="00325C0D"/>
    <w:rsid w:val="0032778B"/>
    <w:rsid w:val="00327B56"/>
    <w:rsid w:val="00327D17"/>
    <w:rsid w:val="003314AE"/>
    <w:rsid w:val="003315C7"/>
    <w:rsid w:val="003316D9"/>
    <w:rsid w:val="00331C53"/>
    <w:rsid w:val="00331D1A"/>
    <w:rsid w:val="00331FE5"/>
    <w:rsid w:val="003330DE"/>
    <w:rsid w:val="003332C4"/>
    <w:rsid w:val="00333547"/>
    <w:rsid w:val="00333BD7"/>
    <w:rsid w:val="00333E1B"/>
    <w:rsid w:val="00334C4E"/>
    <w:rsid w:val="00334CD0"/>
    <w:rsid w:val="003350B7"/>
    <w:rsid w:val="003357E6"/>
    <w:rsid w:val="0033633B"/>
    <w:rsid w:val="0033676F"/>
    <w:rsid w:val="00340751"/>
    <w:rsid w:val="00340DFE"/>
    <w:rsid w:val="00341B07"/>
    <w:rsid w:val="00341FEC"/>
    <w:rsid w:val="0034246B"/>
    <w:rsid w:val="00342BE4"/>
    <w:rsid w:val="00342CF9"/>
    <w:rsid w:val="00342D87"/>
    <w:rsid w:val="0034378E"/>
    <w:rsid w:val="00343EB1"/>
    <w:rsid w:val="003461B9"/>
    <w:rsid w:val="0034780D"/>
    <w:rsid w:val="00350357"/>
    <w:rsid w:val="00350E5D"/>
    <w:rsid w:val="003520C2"/>
    <w:rsid w:val="00353269"/>
    <w:rsid w:val="00353CA5"/>
    <w:rsid w:val="003555A3"/>
    <w:rsid w:val="00355FC2"/>
    <w:rsid w:val="00355FEF"/>
    <w:rsid w:val="00356377"/>
    <w:rsid w:val="00357C25"/>
    <w:rsid w:val="00357C74"/>
    <w:rsid w:val="00357C88"/>
    <w:rsid w:val="00357D64"/>
    <w:rsid w:val="0036146E"/>
    <w:rsid w:val="00361FA0"/>
    <w:rsid w:val="00362037"/>
    <w:rsid w:val="003622EF"/>
    <w:rsid w:val="00363DC4"/>
    <w:rsid w:val="00364153"/>
    <w:rsid w:val="00364C35"/>
    <w:rsid w:val="00364DA8"/>
    <w:rsid w:val="00364E7C"/>
    <w:rsid w:val="00365863"/>
    <w:rsid w:val="00365E14"/>
    <w:rsid w:val="0036687A"/>
    <w:rsid w:val="00366ED2"/>
    <w:rsid w:val="003679E1"/>
    <w:rsid w:val="00367EA4"/>
    <w:rsid w:val="0037014F"/>
    <w:rsid w:val="00371DA1"/>
    <w:rsid w:val="00372290"/>
    <w:rsid w:val="00373E92"/>
    <w:rsid w:val="003746AE"/>
    <w:rsid w:val="003748E9"/>
    <w:rsid w:val="00374974"/>
    <w:rsid w:val="00375777"/>
    <w:rsid w:val="00376226"/>
    <w:rsid w:val="003803FD"/>
    <w:rsid w:val="00380525"/>
    <w:rsid w:val="00381AA8"/>
    <w:rsid w:val="00381D5D"/>
    <w:rsid w:val="00383046"/>
    <w:rsid w:val="003839F0"/>
    <w:rsid w:val="003853A4"/>
    <w:rsid w:val="00385515"/>
    <w:rsid w:val="00386087"/>
    <w:rsid w:val="00386B3D"/>
    <w:rsid w:val="00386CFD"/>
    <w:rsid w:val="003870B5"/>
    <w:rsid w:val="003871E0"/>
    <w:rsid w:val="00387FC7"/>
    <w:rsid w:val="003900AD"/>
    <w:rsid w:val="003903BC"/>
    <w:rsid w:val="00390EF7"/>
    <w:rsid w:val="00391B66"/>
    <w:rsid w:val="00391F0B"/>
    <w:rsid w:val="00392AF7"/>
    <w:rsid w:val="003932E0"/>
    <w:rsid w:val="00394BD2"/>
    <w:rsid w:val="00394DBB"/>
    <w:rsid w:val="003958E3"/>
    <w:rsid w:val="00395AEC"/>
    <w:rsid w:val="00396A99"/>
    <w:rsid w:val="003A0136"/>
    <w:rsid w:val="003A1267"/>
    <w:rsid w:val="003A138E"/>
    <w:rsid w:val="003A1886"/>
    <w:rsid w:val="003A24ED"/>
    <w:rsid w:val="003A2545"/>
    <w:rsid w:val="003A2E59"/>
    <w:rsid w:val="003A348A"/>
    <w:rsid w:val="003A394B"/>
    <w:rsid w:val="003A4614"/>
    <w:rsid w:val="003A4C1A"/>
    <w:rsid w:val="003A5117"/>
    <w:rsid w:val="003A53A0"/>
    <w:rsid w:val="003A5590"/>
    <w:rsid w:val="003A5843"/>
    <w:rsid w:val="003A5FE7"/>
    <w:rsid w:val="003A6C5F"/>
    <w:rsid w:val="003A7256"/>
    <w:rsid w:val="003A78B3"/>
    <w:rsid w:val="003B01AE"/>
    <w:rsid w:val="003B0BB6"/>
    <w:rsid w:val="003B0BE0"/>
    <w:rsid w:val="003B23BC"/>
    <w:rsid w:val="003B3F80"/>
    <w:rsid w:val="003B401C"/>
    <w:rsid w:val="003B612D"/>
    <w:rsid w:val="003B61E8"/>
    <w:rsid w:val="003B625D"/>
    <w:rsid w:val="003B74ED"/>
    <w:rsid w:val="003B75A8"/>
    <w:rsid w:val="003B7777"/>
    <w:rsid w:val="003B79F7"/>
    <w:rsid w:val="003C1705"/>
    <w:rsid w:val="003C17FA"/>
    <w:rsid w:val="003C19FC"/>
    <w:rsid w:val="003C1F14"/>
    <w:rsid w:val="003C2B55"/>
    <w:rsid w:val="003C34E3"/>
    <w:rsid w:val="003C391E"/>
    <w:rsid w:val="003C5308"/>
    <w:rsid w:val="003C5912"/>
    <w:rsid w:val="003C5C6D"/>
    <w:rsid w:val="003C6123"/>
    <w:rsid w:val="003C6347"/>
    <w:rsid w:val="003C67FE"/>
    <w:rsid w:val="003C78F2"/>
    <w:rsid w:val="003D0211"/>
    <w:rsid w:val="003D028D"/>
    <w:rsid w:val="003D0736"/>
    <w:rsid w:val="003D0C4C"/>
    <w:rsid w:val="003D1878"/>
    <w:rsid w:val="003D22D0"/>
    <w:rsid w:val="003D34A6"/>
    <w:rsid w:val="003D386D"/>
    <w:rsid w:val="003D49DB"/>
    <w:rsid w:val="003D4C66"/>
    <w:rsid w:val="003D4F24"/>
    <w:rsid w:val="003D6003"/>
    <w:rsid w:val="003D66A6"/>
    <w:rsid w:val="003D695A"/>
    <w:rsid w:val="003D7580"/>
    <w:rsid w:val="003D77FF"/>
    <w:rsid w:val="003E0741"/>
    <w:rsid w:val="003E0985"/>
    <w:rsid w:val="003E138E"/>
    <w:rsid w:val="003E19C5"/>
    <w:rsid w:val="003E2952"/>
    <w:rsid w:val="003E2B15"/>
    <w:rsid w:val="003E3104"/>
    <w:rsid w:val="003E40C5"/>
    <w:rsid w:val="003E46E7"/>
    <w:rsid w:val="003E59A2"/>
    <w:rsid w:val="003E60D8"/>
    <w:rsid w:val="003E65E9"/>
    <w:rsid w:val="003E6949"/>
    <w:rsid w:val="003E6962"/>
    <w:rsid w:val="003E6BCB"/>
    <w:rsid w:val="003E7620"/>
    <w:rsid w:val="003F03FF"/>
    <w:rsid w:val="003F097A"/>
    <w:rsid w:val="003F0E27"/>
    <w:rsid w:val="003F1021"/>
    <w:rsid w:val="003F200F"/>
    <w:rsid w:val="003F28E0"/>
    <w:rsid w:val="003F29F5"/>
    <w:rsid w:val="003F2B7F"/>
    <w:rsid w:val="003F302E"/>
    <w:rsid w:val="003F31D4"/>
    <w:rsid w:val="003F3323"/>
    <w:rsid w:val="003F3C2D"/>
    <w:rsid w:val="003F4AC9"/>
    <w:rsid w:val="003F5FE5"/>
    <w:rsid w:val="003F6B25"/>
    <w:rsid w:val="003F7E3D"/>
    <w:rsid w:val="003F7EA5"/>
    <w:rsid w:val="003F7FC2"/>
    <w:rsid w:val="00400194"/>
    <w:rsid w:val="00400396"/>
    <w:rsid w:val="00401C78"/>
    <w:rsid w:val="00401F5B"/>
    <w:rsid w:val="004024C2"/>
    <w:rsid w:val="004033C7"/>
    <w:rsid w:val="00403819"/>
    <w:rsid w:val="00404EC4"/>
    <w:rsid w:val="004052FD"/>
    <w:rsid w:val="004059B1"/>
    <w:rsid w:val="00405B82"/>
    <w:rsid w:val="00405F3C"/>
    <w:rsid w:val="00407050"/>
    <w:rsid w:val="004072A5"/>
    <w:rsid w:val="004078DC"/>
    <w:rsid w:val="00407B30"/>
    <w:rsid w:val="00407C06"/>
    <w:rsid w:val="00410011"/>
    <w:rsid w:val="00410A95"/>
    <w:rsid w:val="00411B59"/>
    <w:rsid w:val="00411BF3"/>
    <w:rsid w:val="00411C81"/>
    <w:rsid w:val="00412B24"/>
    <w:rsid w:val="0041311A"/>
    <w:rsid w:val="00413730"/>
    <w:rsid w:val="00413A4B"/>
    <w:rsid w:val="00413EE3"/>
    <w:rsid w:val="00414614"/>
    <w:rsid w:val="00414F21"/>
    <w:rsid w:val="00414F84"/>
    <w:rsid w:val="00415EC6"/>
    <w:rsid w:val="00417354"/>
    <w:rsid w:val="00417A76"/>
    <w:rsid w:val="00420735"/>
    <w:rsid w:val="00421478"/>
    <w:rsid w:val="00421B3C"/>
    <w:rsid w:val="00422204"/>
    <w:rsid w:val="00423053"/>
    <w:rsid w:val="00424339"/>
    <w:rsid w:val="00424342"/>
    <w:rsid w:val="004246AD"/>
    <w:rsid w:val="00425085"/>
    <w:rsid w:val="004253F0"/>
    <w:rsid w:val="00425D10"/>
    <w:rsid w:val="0042686E"/>
    <w:rsid w:val="00431B1B"/>
    <w:rsid w:val="00432352"/>
    <w:rsid w:val="00432C93"/>
    <w:rsid w:val="00433046"/>
    <w:rsid w:val="004334B2"/>
    <w:rsid w:val="00433932"/>
    <w:rsid w:val="00433A16"/>
    <w:rsid w:val="004341D3"/>
    <w:rsid w:val="00434ED4"/>
    <w:rsid w:val="00435CB3"/>
    <w:rsid w:val="00437012"/>
    <w:rsid w:val="0043729C"/>
    <w:rsid w:val="00437AEA"/>
    <w:rsid w:val="00440B12"/>
    <w:rsid w:val="00440ED1"/>
    <w:rsid w:val="00441FCF"/>
    <w:rsid w:val="004434D9"/>
    <w:rsid w:val="00443ACA"/>
    <w:rsid w:val="004448C7"/>
    <w:rsid w:val="00445515"/>
    <w:rsid w:val="00445EBA"/>
    <w:rsid w:val="004460C6"/>
    <w:rsid w:val="0044699C"/>
    <w:rsid w:val="00446D86"/>
    <w:rsid w:val="004471BA"/>
    <w:rsid w:val="00447A4C"/>
    <w:rsid w:val="00447CB3"/>
    <w:rsid w:val="00447E76"/>
    <w:rsid w:val="0045036F"/>
    <w:rsid w:val="004504BE"/>
    <w:rsid w:val="004510EE"/>
    <w:rsid w:val="004522F0"/>
    <w:rsid w:val="00452BFD"/>
    <w:rsid w:val="0045303E"/>
    <w:rsid w:val="00453911"/>
    <w:rsid w:val="0045396D"/>
    <w:rsid w:val="00453EA7"/>
    <w:rsid w:val="00454B4A"/>
    <w:rsid w:val="00454BB8"/>
    <w:rsid w:val="00454D71"/>
    <w:rsid w:val="004553BB"/>
    <w:rsid w:val="00455DBE"/>
    <w:rsid w:val="00455F8B"/>
    <w:rsid w:val="004569B8"/>
    <w:rsid w:val="00456B7D"/>
    <w:rsid w:val="00456D9D"/>
    <w:rsid w:val="004571D9"/>
    <w:rsid w:val="00457234"/>
    <w:rsid w:val="004575B0"/>
    <w:rsid w:val="0045766E"/>
    <w:rsid w:val="00460D54"/>
    <w:rsid w:val="00460E94"/>
    <w:rsid w:val="004610DD"/>
    <w:rsid w:val="00461D45"/>
    <w:rsid w:val="00462160"/>
    <w:rsid w:val="004624D8"/>
    <w:rsid w:val="00462974"/>
    <w:rsid w:val="00462CE6"/>
    <w:rsid w:val="00463AEE"/>
    <w:rsid w:val="00464133"/>
    <w:rsid w:val="00464256"/>
    <w:rsid w:val="00464AD2"/>
    <w:rsid w:val="0046562B"/>
    <w:rsid w:val="00465ACD"/>
    <w:rsid w:val="00466E3F"/>
    <w:rsid w:val="00470678"/>
    <w:rsid w:val="00470E59"/>
    <w:rsid w:val="00471188"/>
    <w:rsid w:val="004712B6"/>
    <w:rsid w:val="00471451"/>
    <w:rsid w:val="00471C3A"/>
    <w:rsid w:val="00472000"/>
    <w:rsid w:val="0047255E"/>
    <w:rsid w:val="004730D1"/>
    <w:rsid w:val="004745FF"/>
    <w:rsid w:val="00475727"/>
    <w:rsid w:val="00475F6C"/>
    <w:rsid w:val="0047767E"/>
    <w:rsid w:val="00480351"/>
    <w:rsid w:val="00480633"/>
    <w:rsid w:val="0048170A"/>
    <w:rsid w:val="00482360"/>
    <w:rsid w:val="004823AB"/>
    <w:rsid w:val="004831E0"/>
    <w:rsid w:val="004831F9"/>
    <w:rsid w:val="0048383C"/>
    <w:rsid w:val="00483846"/>
    <w:rsid w:val="00483EC5"/>
    <w:rsid w:val="004847DD"/>
    <w:rsid w:val="00485127"/>
    <w:rsid w:val="0048547C"/>
    <w:rsid w:val="004864BF"/>
    <w:rsid w:val="00486EDA"/>
    <w:rsid w:val="00487016"/>
    <w:rsid w:val="004878F1"/>
    <w:rsid w:val="00487E9D"/>
    <w:rsid w:val="004902F5"/>
    <w:rsid w:val="0049034A"/>
    <w:rsid w:val="004906AD"/>
    <w:rsid w:val="00491126"/>
    <w:rsid w:val="004915B2"/>
    <w:rsid w:val="00492ECC"/>
    <w:rsid w:val="004932AA"/>
    <w:rsid w:val="004933B8"/>
    <w:rsid w:val="004937E8"/>
    <w:rsid w:val="0049386A"/>
    <w:rsid w:val="00494974"/>
    <w:rsid w:val="00494989"/>
    <w:rsid w:val="00494E79"/>
    <w:rsid w:val="004955C1"/>
    <w:rsid w:val="00496849"/>
    <w:rsid w:val="0049699E"/>
    <w:rsid w:val="00497729"/>
    <w:rsid w:val="004977A9"/>
    <w:rsid w:val="00497F9C"/>
    <w:rsid w:val="004A000D"/>
    <w:rsid w:val="004A03C7"/>
    <w:rsid w:val="004A1247"/>
    <w:rsid w:val="004A1933"/>
    <w:rsid w:val="004A1EBF"/>
    <w:rsid w:val="004A22FB"/>
    <w:rsid w:val="004A281B"/>
    <w:rsid w:val="004A2B2D"/>
    <w:rsid w:val="004A2DAC"/>
    <w:rsid w:val="004A32FE"/>
    <w:rsid w:val="004A440D"/>
    <w:rsid w:val="004A571D"/>
    <w:rsid w:val="004A5E1C"/>
    <w:rsid w:val="004A5E3D"/>
    <w:rsid w:val="004A5F12"/>
    <w:rsid w:val="004A67A6"/>
    <w:rsid w:val="004B09CC"/>
    <w:rsid w:val="004B15BA"/>
    <w:rsid w:val="004B1AC2"/>
    <w:rsid w:val="004B1AD2"/>
    <w:rsid w:val="004B2444"/>
    <w:rsid w:val="004B2947"/>
    <w:rsid w:val="004B3085"/>
    <w:rsid w:val="004B312F"/>
    <w:rsid w:val="004B3CA1"/>
    <w:rsid w:val="004B4168"/>
    <w:rsid w:val="004B426F"/>
    <w:rsid w:val="004B5C24"/>
    <w:rsid w:val="004B6002"/>
    <w:rsid w:val="004B69E5"/>
    <w:rsid w:val="004B6AD1"/>
    <w:rsid w:val="004C01A3"/>
    <w:rsid w:val="004C2274"/>
    <w:rsid w:val="004C24B0"/>
    <w:rsid w:val="004C31C4"/>
    <w:rsid w:val="004C6601"/>
    <w:rsid w:val="004C6982"/>
    <w:rsid w:val="004C7053"/>
    <w:rsid w:val="004D002A"/>
    <w:rsid w:val="004D004A"/>
    <w:rsid w:val="004D0739"/>
    <w:rsid w:val="004D0B97"/>
    <w:rsid w:val="004D0C3B"/>
    <w:rsid w:val="004D3059"/>
    <w:rsid w:val="004D3838"/>
    <w:rsid w:val="004D3E68"/>
    <w:rsid w:val="004D4C77"/>
    <w:rsid w:val="004D652A"/>
    <w:rsid w:val="004D6835"/>
    <w:rsid w:val="004D6BA7"/>
    <w:rsid w:val="004D77F9"/>
    <w:rsid w:val="004D7C94"/>
    <w:rsid w:val="004E0A8C"/>
    <w:rsid w:val="004E1863"/>
    <w:rsid w:val="004E1B5A"/>
    <w:rsid w:val="004E1E8D"/>
    <w:rsid w:val="004E2622"/>
    <w:rsid w:val="004E2920"/>
    <w:rsid w:val="004E2BCA"/>
    <w:rsid w:val="004E2E2A"/>
    <w:rsid w:val="004E3008"/>
    <w:rsid w:val="004E35BF"/>
    <w:rsid w:val="004E3B9D"/>
    <w:rsid w:val="004E3FBA"/>
    <w:rsid w:val="004E4602"/>
    <w:rsid w:val="004E4DB1"/>
    <w:rsid w:val="004E5209"/>
    <w:rsid w:val="004E5399"/>
    <w:rsid w:val="004E6220"/>
    <w:rsid w:val="004E6CF0"/>
    <w:rsid w:val="004F012F"/>
    <w:rsid w:val="004F0200"/>
    <w:rsid w:val="004F0FBF"/>
    <w:rsid w:val="004F1506"/>
    <w:rsid w:val="004F1557"/>
    <w:rsid w:val="004F1882"/>
    <w:rsid w:val="004F2441"/>
    <w:rsid w:val="004F2DC1"/>
    <w:rsid w:val="004F321D"/>
    <w:rsid w:val="004F3579"/>
    <w:rsid w:val="004F3821"/>
    <w:rsid w:val="004F3C29"/>
    <w:rsid w:val="004F48F6"/>
    <w:rsid w:val="004F4D79"/>
    <w:rsid w:val="004F6D9A"/>
    <w:rsid w:val="004F6F2E"/>
    <w:rsid w:val="00500769"/>
    <w:rsid w:val="00500B3C"/>
    <w:rsid w:val="00500D63"/>
    <w:rsid w:val="00501201"/>
    <w:rsid w:val="00501401"/>
    <w:rsid w:val="0050164C"/>
    <w:rsid w:val="00501D63"/>
    <w:rsid w:val="0050286E"/>
    <w:rsid w:val="00502F2A"/>
    <w:rsid w:val="00503ED6"/>
    <w:rsid w:val="00504D62"/>
    <w:rsid w:val="00506B62"/>
    <w:rsid w:val="00507BDA"/>
    <w:rsid w:val="00510722"/>
    <w:rsid w:val="00510D5F"/>
    <w:rsid w:val="00510DC8"/>
    <w:rsid w:val="00511A47"/>
    <w:rsid w:val="00511DD8"/>
    <w:rsid w:val="00511F7C"/>
    <w:rsid w:val="00512442"/>
    <w:rsid w:val="0051305B"/>
    <w:rsid w:val="00513C8D"/>
    <w:rsid w:val="00514154"/>
    <w:rsid w:val="00515169"/>
    <w:rsid w:val="00515348"/>
    <w:rsid w:val="00515ED8"/>
    <w:rsid w:val="00517155"/>
    <w:rsid w:val="00517818"/>
    <w:rsid w:val="00517C17"/>
    <w:rsid w:val="00520066"/>
    <w:rsid w:val="00520971"/>
    <w:rsid w:val="00520D80"/>
    <w:rsid w:val="00520E9E"/>
    <w:rsid w:val="005211F4"/>
    <w:rsid w:val="005218E0"/>
    <w:rsid w:val="00522F3E"/>
    <w:rsid w:val="00522F52"/>
    <w:rsid w:val="00523242"/>
    <w:rsid w:val="00524771"/>
    <w:rsid w:val="00524F40"/>
    <w:rsid w:val="0052547F"/>
    <w:rsid w:val="005256C7"/>
    <w:rsid w:val="0052603A"/>
    <w:rsid w:val="005269D4"/>
    <w:rsid w:val="00526CFC"/>
    <w:rsid w:val="005270DD"/>
    <w:rsid w:val="00530493"/>
    <w:rsid w:val="00530941"/>
    <w:rsid w:val="005309C6"/>
    <w:rsid w:val="00530C69"/>
    <w:rsid w:val="005313AD"/>
    <w:rsid w:val="0053171D"/>
    <w:rsid w:val="00531C15"/>
    <w:rsid w:val="00532271"/>
    <w:rsid w:val="00532310"/>
    <w:rsid w:val="00532B82"/>
    <w:rsid w:val="00533936"/>
    <w:rsid w:val="00533AB0"/>
    <w:rsid w:val="00534393"/>
    <w:rsid w:val="00536001"/>
    <w:rsid w:val="00536105"/>
    <w:rsid w:val="005361B7"/>
    <w:rsid w:val="00536864"/>
    <w:rsid w:val="00537AE2"/>
    <w:rsid w:val="00537B65"/>
    <w:rsid w:val="00540527"/>
    <w:rsid w:val="00540959"/>
    <w:rsid w:val="00541584"/>
    <w:rsid w:val="00541AE5"/>
    <w:rsid w:val="00541F61"/>
    <w:rsid w:val="0054248E"/>
    <w:rsid w:val="00542508"/>
    <w:rsid w:val="0054272D"/>
    <w:rsid w:val="00542929"/>
    <w:rsid w:val="00544588"/>
    <w:rsid w:val="00544B4E"/>
    <w:rsid w:val="00545328"/>
    <w:rsid w:val="00545B6E"/>
    <w:rsid w:val="00545F49"/>
    <w:rsid w:val="0054680E"/>
    <w:rsid w:val="00546890"/>
    <w:rsid w:val="00546B6E"/>
    <w:rsid w:val="00547BA5"/>
    <w:rsid w:val="00547CB0"/>
    <w:rsid w:val="005509BF"/>
    <w:rsid w:val="005510C8"/>
    <w:rsid w:val="0055183E"/>
    <w:rsid w:val="00553460"/>
    <w:rsid w:val="00553F4B"/>
    <w:rsid w:val="00553FD1"/>
    <w:rsid w:val="00555C7B"/>
    <w:rsid w:val="00555E5D"/>
    <w:rsid w:val="00555F71"/>
    <w:rsid w:val="00556562"/>
    <w:rsid w:val="00556EB6"/>
    <w:rsid w:val="005577A2"/>
    <w:rsid w:val="00557AAF"/>
    <w:rsid w:val="00560313"/>
    <w:rsid w:val="00561DEA"/>
    <w:rsid w:val="00562100"/>
    <w:rsid w:val="005628A1"/>
    <w:rsid w:val="00562B76"/>
    <w:rsid w:val="00562F0C"/>
    <w:rsid w:val="0056375C"/>
    <w:rsid w:val="00564BCE"/>
    <w:rsid w:val="00564BF5"/>
    <w:rsid w:val="00564DDB"/>
    <w:rsid w:val="005653F2"/>
    <w:rsid w:val="00565B06"/>
    <w:rsid w:val="00567AFC"/>
    <w:rsid w:val="00570223"/>
    <w:rsid w:val="00571626"/>
    <w:rsid w:val="00572F5C"/>
    <w:rsid w:val="0057316F"/>
    <w:rsid w:val="00574067"/>
    <w:rsid w:val="005744BF"/>
    <w:rsid w:val="005756F4"/>
    <w:rsid w:val="00575C09"/>
    <w:rsid w:val="005769C5"/>
    <w:rsid w:val="005771C2"/>
    <w:rsid w:val="00577343"/>
    <w:rsid w:val="00577EEF"/>
    <w:rsid w:val="0058075E"/>
    <w:rsid w:val="0058099A"/>
    <w:rsid w:val="005815E2"/>
    <w:rsid w:val="005830BC"/>
    <w:rsid w:val="005831EE"/>
    <w:rsid w:val="00583370"/>
    <w:rsid w:val="00583C7B"/>
    <w:rsid w:val="00583D01"/>
    <w:rsid w:val="00584590"/>
    <w:rsid w:val="00584A21"/>
    <w:rsid w:val="00585268"/>
    <w:rsid w:val="0058528C"/>
    <w:rsid w:val="00585C90"/>
    <w:rsid w:val="00586110"/>
    <w:rsid w:val="0058657B"/>
    <w:rsid w:val="00586B4B"/>
    <w:rsid w:val="00586BD2"/>
    <w:rsid w:val="00586DAB"/>
    <w:rsid w:val="00590373"/>
    <w:rsid w:val="005920CA"/>
    <w:rsid w:val="00593033"/>
    <w:rsid w:val="005935CF"/>
    <w:rsid w:val="00593A26"/>
    <w:rsid w:val="005940CE"/>
    <w:rsid w:val="00595172"/>
    <w:rsid w:val="005951B3"/>
    <w:rsid w:val="005952D3"/>
    <w:rsid w:val="005967A3"/>
    <w:rsid w:val="00596C5A"/>
    <w:rsid w:val="005978BC"/>
    <w:rsid w:val="00597AA1"/>
    <w:rsid w:val="00597CA4"/>
    <w:rsid w:val="005A0693"/>
    <w:rsid w:val="005A0C4F"/>
    <w:rsid w:val="005A13E2"/>
    <w:rsid w:val="005A1876"/>
    <w:rsid w:val="005A3267"/>
    <w:rsid w:val="005A349A"/>
    <w:rsid w:val="005A38D6"/>
    <w:rsid w:val="005A470D"/>
    <w:rsid w:val="005A4B50"/>
    <w:rsid w:val="005A5EC6"/>
    <w:rsid w:val="005A65D4"/>
    <w:rsid w:val="005A690B"/>
    <w:rsid w:val="005A77E3"/>
    <w:rsid w:val="005B041A"/>
    <w:rsid w:val="005B062E"/>
    <w:rsid w:val="005B0EAE"/>
    <w:rsid w:val="005B1314"/>
    <w:rsid w:val="005B1EA0"/>
    <w:rsid w:val="005B2211"/>
    <w:rsid w:val="005B35AB"/>
    <w:rsid w:val="005B45F8"/>
    <w:rsid w:val="005B5D2A"/>
    <w:rsid w:val="005B5D32"/>
    <w:rsid w:val="005B6BCC"/>
    <w:rsid w:val="005B6E37"/>
    <w:rsid w:val="005C080A"/>
    <w:rsid w:val="005C0D11"/>
    <w:rsid w:val="005C12D4"/>
    <w:rsid w:val="005C17E3"/>
    <w:rsid w:val="005C19BC"/>
    <w:rsid w:val="005C2D4B"/>
    <w:rsid w:val="005C3000"/>
    <w:rsid w:val="005C34E0"/>
    <w:rsid w:val="005C371E"/>
    <w:rsid w:val="005C489C"/>
    <w:rsid w:val="005C4B20"/>
    <w:rsid w:val="005C4DCD"/>
    <w:rsid w:val="005C4EFD"/>
    <w:rsid w:val="005C51EE"/>
    <w:rsid w:val="005C7344"/>
    <w:rsid w:val="005C76DD"/>
    <w:rsid w:val="005D377E"/>
    <w:rsid w:val="005D4A7A"/>
    <w:rsid w:val="005D4F0A"/>
    <w:rsid w:val="005D5814"/>
    <w:rsid w:val="005D68B2"/>
    <w:rsid w:val="005D729A"/>
    <w:rsid w:val="005E048F"/>
    <w:rsid w:val="005E0F89"/>
    <w:rsid w:val="005E1BF0"/>
    <w:rsid w:val="005E4483"/>
    <w:rsid w:val="005E5A64"/>
    <w:rsid w:val="005E5CF5"/>
    <w:rsid w:val="005E5F74"/>
    <w:rsid w:val="005E6576"/>
    <w:rsid w:val="005E6B72"/>
    <w:rsid w:val="005E7127"/>
    <w:rsid w:val="005F0E94"/>
    <w:rsid w:val="005F1203"/>
    <w:rsid w:val="005F1491"/>
    <w:rsid w:val="005F1876"/>
    <w:rsid w:val="005F18FE"/>
    <w:rsid w:val="005F3D9C"/>
    <w:rsid w:val="005F3FE3"/>
    <w:rsid w:val="005F46F0"/>
    <w:rsid w:val="005F4A50"/>
    <w:rsid w:val="005F6CED"/>
    <w:rsid w:val="005F6E76"/>
    <w:rsid w:val="005F738E"/>
    <w:rsid w:val="005F7965"/>
    <w:rsid w:val="005F7C24"/>
    <w:rsid w:val="005F7D6C"/>
    <w:rsid w:val="00600108"/>
    <w:rsid w:val="00600372"/>
    <w:rsid w:val="00600C83"/>
    <w:rsid w:val="00600DE1"/>
    <w:rsid w:val="0060413E"/>
    <w:rsid w:val="00604AFE"/>
    <w:rsid w:val="00605288"/>
    <w:rsid w:val="006055B4"/>
    <w:rsid w:val="00605CC0"/>
    <w:rsid w:val="006060C4"/>
    <w:rsid w:val="006068D9"/>
    <w:rsid w:val="006069DE"/>
    <w:rsid w:val="0060702E"/>
    <w:rsid w:val="0060780B"/>
    <w:rsid w:val="00607DAA"/>
    <w:rsid w:val="0061001D"/>
    <w:rsid w:val="006101F6"/>
    <w:rsid w:val="00612295"/>
    <w:rsid w:val="0061251F"/>
    <w:rsid w:val="00612736"/>
    <w:rsid w:val="0061278C"/>
    <w:rsid w:val="006135AB"/>
    <w:rsid w:val="00613C23"/>
    <w:rsid w:val="00613E37"/>
    <w:rsid w:val="00614500"/>
    <w:rsid w:val="006152C4"/>
    <w:rsid w:val="00615655"/>
    <w:rsid w:val="00616140"/>
    <w:rsid w:val="00616319"/>
    <w:rsid w:val="006170BA"/>
    <w:rsid w:val="00617B53"/>
    <w:rsid w:val="0062061D"/>
    <w:rsid w:val="00622316"/>
    <w:rsid w:val="00623B9C"/>
    <w:rsid w:val="00625781"/>
    <w:rsid w:val="00626C56"/>
    <w:rsid w:val="00630BA9"/>
    <w:rsid w:val="006314DA"/>
    <w:rsid w:val="00631656"/>
    <w:rsid w:val="00631955"/>
    <w:rsid w:val="006325A4"/>
    <w:rsid w:val="00632C95"/>
    <w:rsid w:val="00632F7C"/>
    <w:rsid w:val="006333E9"/>
    <w:rsid w:val="00633557"/>
    <w:rsid w:val="0063355B"/>
    <w:rsid w:val="00633861"/>
    <w:rsid w:val="006346DB"/>
    <w:rsid w:val="006348B2"/>
    <w:rsid w:val="00634E55"/>
    <w:rsid w:val="0063506B"/>
    <w:rsid w:val="00635B21"/>
    <w:rsid w:val="00636ACE"/>
    <w:rsid w:val="0063711F"/>
    <w:rsid w:val="006406A6"/>
    <w:rsid w:val="00640806"/>
    <w:rsid w:val="006416AE"/>
    <w:rsid w:val="006433EF"/>
    <w:rsid w:val="00643CDE"/>
    <w:rsid w:val="00644365"/>
    <w:rsid w:val="006452D3"/>
    <w:rsid w:val="00645796"/>
    <w:rsid w:val="00646E0A"/>
    <w:rsid w:val="00646FBF"/>
    <w:rsid w:val="006477B4"/>
    <w:rsid w:val="00647A52"/>
    <w:rsid w:val="00647D4E"/>
    <w:rsid w:val="00650210"/>
    <w:rsid w:val="00650B25"/>
    <w:rsid w:val="006512DF"/>
    <w:rsid w:val="00651A08"/>
    <w:rsid w:val="0065223E"/>
    <w:rsid w:val="006522D4"/>
    <w:rsid w:val="0065262D"/>
    <w:rsid w:val="00652C91"/>
    <w:rsid w:val="00653A91"/>
    <w:rsid w:val="00655384"/>
    <w:rsid w:val="006556A8"/>
    <w:rsid w:val="00656A1C"/>
    <w:rsid w:val="006604E2"/>
    <w:rsid w:val="00660E47"/>
    <w:rsid w:val="00661581"/>
    <w:rsid w:val="00662C46"/>
    <w:rsid w:val="00662DCF"/>
    <w:rsid w:val="0066300C"/>
    <w:rsid w:val="0066352B"/>
    <w:rsid w:val="00663CBC"/>
    <w:rsid w:val="006641C2"/>
    <w:rsid w:val="006645D5"/>
    <w:rsid w:val="006645F2"/>
    <w:rsid w:val="00664F2E"/>
    <w:rsid w:val="00665040"/>
    <w:rsid w:val="00665167"/>
    <w:rsid w:val="0066711F"/>
    <w:rsid w:val="00667BDC"/>
    <w:rsid w:val="00667F71"/>
    <w:rsid w:val="006701F2"/>
    <w:rsid w:val="00670DB9"/>
    <w:rsid w:val="0067216A"/>
    <w:rsid w:val="006728A4"/>
    <w:rsid w:val="00672B68"/>
    <w:rsid w:val="00673CB2"/>
    <w:rsid w:val="00674E0D"/>
    <w:rsid w:val="00675139"/>
    <w:rsid w:val="006756B5"/>
    <w:rsid w:val="00675B77"/>
    <w:rsid w:val="00675C84"/>
    <w:rsid w:val="00675E77"/>
    <w:rsid w:val="006760D4"/>
    <w:rsid w:val="006764E1"/>
    <w:rsid w:val="006769EC"/>
    <w:rsid w:val="00676B78"/>
    <w:rsid w:val="0067706D"/>
    <w:rsid w:val="00680250"/>
    <w:rsid w:val="00680468"/>
    <w:rsid w:val="00680476"/>
    <w:rsid w:val="0068098A"/>
    <w:rsid w:val="006818C0"/>
    <w:rsid w:val="0068271B"/>
    <w:rsid w:val="00682F21"/>
    <w:rsid w:val="00682F9C"/>
    <w:rsid w:val="00683965"/>
    <w:rsid w:val="00683D01"/>
    <w:rsid w:val="00684BAB"/>
    <w:rsid w:val="00685B08"/>
    <w:rsid w:val="00686EDC"/>
    <w:rsid w:val="006875EE"/>
    <w:rsid w:val="00687948"/>
    <w:rsid w:val="00690DD5"/>
    <w:rsid w:val="00691494"/>
    <w:rsid w:val="006917D9"/>
    <w:rsid w:val="00691CC9"/>
    <w:rsid w:val="00693F55"/>
    <w:rsid w:val="00693F70"/>
    <w:rsid w:val="00693FEC"/>
    <w:rsid w:val="00695D0F"/>
    <w:rsid w:val="006962A1"/>
    <w:rsid w:val="00696AC8"/>
    <w:rsid w:val="00696BA6"/>
    <w:rsid w:val="00697A3B"/>
    <w:rsid w:val="00697B71"/>
    <w:rsid w:val="00697BEE"/>
    <w:rsid w:val="00697F84"/>
    <w:rsid w:val="006A004D"/>
    <w:rsid w:val="006A0B6E"/>
    <w:rsid w:val="006A0BF0"/>
    <w:rsid w:val="006A0F9A"/>
    <w:rsid w:val="006A1196"/>
    <w:rsid w:val="006A1891"/>
    <w:rsid w:val="006A397E"/>
    <w:rsid w:val="006A4A5D"/>
    <w:rsid w:val="006A4F43"/>
    <w:rsid w:val="006A5129"/>
    <w:rsid w:val="006A5D37"/>
    <w:rsid w:val="006A5D40"/>
    <w:rsid w:val="006A66FA"/>
    <w:rsid w:val="006A6969"/>
    <w:rsid w:val="006A7882"/>
    <w:rsid w:val="006A7E57"/>
    <w:rsid w:val="006B0698"/>
    <w:rsid w:val="006B07F0"/>
    <w:rsid w:val="006B31FE"/>
    <w:rsid w:val="006B3423"/>
    <w:rsid w:val="006B49D5"/>
    <w:rsid w:val="006B5DF1"/>
    <w:rsid w:val="006B6320"/>
    <w:rsid w:val="006B6A54"/>
    <w:rsid w:val="006B6C0F"/>
    <w:rsid w:val="006B6D9C"/>
    <w:rsid w:val="006C0A13"/>
    <w:rsid w:val="006C0DFB"/>
    <w:rsid w:val="006C1DFA"/>
    <w:rsid w:val="006C561D"/>
    <w:rsid w:val="006C589F"/>
    <w:rsid w:val="006C5C55"/>
    <w:rsid w:val="006C6C08"/>
    <w:rsid w:val="006C6FAE"/>
    <w:rsid w:val="006C71C1"/>
    <w:rsid w:val="006C7733"/>
    <w:rsid w:val="006C787C"/>
    <w:rsid w:val="006D0E77"/>
    <w:rsid w:val="006D15EB"/>
    <w:rsid w:val="006D232C"/>
    <w:rsid w:val="006D2683"/>
    <w:rsid w:val="006D27FC"/>
    <w:rsid w:val="006D2969"/>
    <w:rsid w:val="006D3015"/>
    <w:rsid w:val="006D37E5"/>
    <w:rsid w:val="006D5CA4"/>
    <w:rsid w:val="006D6315"/>
    <w:rsid w:val="006D6ED3"/>
    <w:rsid w:val="006D7258"/>
    <w:rsid w:val="006D725A"/>
    <w:rsid w:val="006E0197"/>
    <w:rsid w:val="006E03EA"/>
    <w:rsid w:val="006E0764"/>
    <w:rsid w:val="006E1435"/>
    <w:rsid w:val="006E1C56"/>
    <w:rsid w:val="006E30DC"/>
    <w:rsid w:val="006E45EB"/>
    <w:rsid w:val="006E5548"/>
    <w:rsid w:val="006E70CC"/>
    <w:rsid w:val="006E7433"/>
    <w:rsid w:val="006E79E9"/>
    <w:rsid w:val="006F0018"/>
    <w:rsid w:val="006F0902"/>
    <w:rsid w:val="006F15E9"/>
    <w:rsid w:val="006F16C6"/>
    <w:rsid w:val="006F1826"/>
    <w:rsid w:val="006F2460"/>
    <w:rsid w:val="006F28D3"/>
    <w:rsid w:val="006F6DCC"/>
    <w:rsid w:val="00700340"/>
    <w:rsid w:val="0070192A"/>
    <w:rsid w:val="0070206D"/>
    <w:rsid w:val="00702B5C"/>
    <w:rsid w:val="00703FA1"/>
    <w:rsid w:val="007048DD"/>
    <w:rsid w:val="007053C1"/>
    <w:rsid w:val="00705E3A"/>
    <w:rsid w:val="00705FF0"/>
    <w:rsid w:val="00706862"/>
    <w:rsid w:val="00706951"/>
    <w:rsid w:val="00706A4B"/>
    <w:rsid w:val="00706BA8"/>
    <w:rsid w:val="007070EB"/>
    <w:rsid w:val="0070795F"/>
    <w:rsid w:val="00707E7A"/>
    <w:rsid w:val="00710ABC"/>
    <w:rsid w:val="00711867"/>
    <w:rsid w:val="00711D76"/>
    <w:rsid w:val="007121F2"/>
    <w:rsid w:val="007123FC"/>
    <w:rsid w:val="00712B14"/>
    <w:rsid w:val="00712CC9"/>
    <w:rsid w:val="00712D29"/>
    <w:rsid w:val="00713B3B"/>
    <w:rsid w:val="00713F9D"/>
    <w:rsid w:val="007150FA"/>
    <w:rsid w:val="00715FE0"/>
    <w:rsid w:val="00716C73"/>
    <w:rsid w:val="00717262"/>
    <w:rsid w:val="00720284"/>
    <w:rsid w:val="0072071B"/>
    <w:rsid w:val="00720ECF"/>
    <w:rsid w:val="00721A31"/>
    <w:rsid w:val="00722609"/>
    <w:rsid w:val="00722FE3"/>
    <w:rsid w:val="00724899"/>
    <w:rsid w:val="007249B1"/>
    <w:rsid w:val="00724A37"/>
    <w:rsid w:val="00724B96"/>
    <w:rsid w:val="00724EED"/>
    <w:rsid w:val="007256DA"/>
    <w:rsid w:val="007263A4"/>
    <w:rsid w:val="007265BC"/>
    <w:rsid w:val="007275E6"/>
    <w:rsid w:val="0073004B"/>
    <w:rsid w:val="0073018C"/>
    <w:rsid w:val="00730CF8"/>
    <w:rsid w:val="00731464"/>
    <w:rsid w:val="007330E5"/>
    <w:rsid w:val="007340AF"/>
    <w:rsid w:val="007349AB"/>
    <w:rsid w:val="0073511B"/>
    <w:rsid w:val="0073576B"/>
    <w:rsid w:val="007360B8"/>
    <w:rsid w:val="00736852"/>
    <w:rsid w:val="00736A72"/>
    <w:rsid w:val="0073727B"/>
    <w:rsid w:val="00737515"/>
    <w:rsid w:val="00737AD3"/>
    <w:rsid w:val="00737C40"/>
    <w:rsid w:val="00740192"/>
    <w:rsid w:val="00740E93"/>
    <w:rsid w:val="00741C38"/>
    <w:rsid w:val="00741ED0"/>
    <w:rsid w:val="00741F5F"/>
    <w:rsid w:val="007420FA"/>
    <w:rsid w:val="0074243E"/>
    <w:rsid w:val="0074269E"/>
    <w:rsid w:val="00743483"/>
    <w:rsid w:val="00743606"/>
    <w:rsid w:val="00744350"/>
    <w:rsid w:val="0074456F"/>
    <w:rsid w:val="007445A0"/>
    <w:rsid w:val="007448CC"/>
    <w:rsid w:val="00745BC6"/>
    <w:rsid w:val="00746A02"/>
    <w:rsid w:val="00747A32"/>
    <w:rsid w:val="0075063A"/>
    <w:rsid w:val="00751282"/>
    <w:rsid w:val="00751569"/>
    <w:rsid w:val="00751CE1"/>
    <w:rsid w:val="00753761"/>
    <w:rsid w:val="00753D1F"/>
    <w:rsid w:val="00754189"/>
    <w:rsid w:val="00754A76"/>
    <w:rsid w:val="00754C65"/>
    <w:rsid w:val="00754E3C"/>
    <w:rsid w:val="00756449"/>
    <w:rsid w:val="00756B06"/>
    <w:rsid w:val="00756DDD"/>
    <w:rsid w:val="00757493"/>
    <w:rsid w:val="00757EE4"/>
    <w:rsid w:val="00760E24"/>
    <w:rsid w:val="007612C0"/>
    <w:rsid w:val="0076164C"/>
    <w:rsid w:val="007619CD"/>
    <w:rsid w:val="0076241E"/>
    <w:rsid w:val="007641DD"/>
    <w:rsid w:val="00764F4B"/>
    <w:rsid w:val="0076503B"/>
    <w:rsid w:val="00765491"/>
    <w:rsid w:val="00765FF0"/>
    <w:rsid w:val="007660BB"/>
    <w:rsid w:val="0076735F"/>
    <w:rsid w:val="00767832"/>
    <w:rsid w:val="00767896"/>
    <w:rsid w:val="0077137C"/>
    <w:rsid w:val="00771A08"/>
    <w:rsid w:val="00771CD0"/>
    <w:rsid w:val="00772546"/>
    <w:rsid w:val="00773610"/>
    <w:rsid w:val="00773726"/>
    <w:rsid w:val="00774643"/>
    <w:rsid w:val="00774977"/>
    <w:rsid w:val="00774F83"/>
    <w:rsid w:val="00776E8A"/>
    <w:rsid w:val="00777978"/>
    <w:rsid w:val="00777ACB"/>
    <w:rsid w:val="007808A6"/>
    <w:rsid w:val="007808A7"/>
    <w:rsid w:val="00781174"/>
    <w:rsid w:val="007815A9"/>
    <w:rsid w:val="007819EE"/>
    <w:rsid w:val="00783BC0"/>
    <w:rsid w:val="00784B31"/>
    <w:rsid w:val="00784FE7"/>
    <w:rsid w:val="0078562C"/>
    <w:rsid w:val="007868A9"/>
    <w:rsid w:val="00786986"/>
    <w:rsid w:val="00787215"/>
    <w:rsid w:val="007872E5"/>
    <w:rsid w:val="0079008B"/>
    <w:rsid w:val="007903D1"/>
    <w:rsid w:val="0079066B"/>
    <w:rsid w:val="00791134"/>
    <w:rsid w:val="0079162F"/>
    <w:rsid w:val="007932F5"/>
    <w:rsid w:val="00793829"/>
    <w:rsid w:val="00794C6E"/>
    <w:rsid w:val="007957A0"/>
    <w:rsid w:val="00795AD0"/>
    <w:rsid w:val="00796267"/>
    <w:rsid w:val="00796817"/>
    <w:rsid w:val="00796F19"/>
    <w:rsid w:val="00797895"/>
    <w:rsid w:val="007A0654"/>
    <w:rsid w:val="007A0DBF"/>
    <w:rsid w:val="007A1023"/>
    <w:rsid w:val="007A1315"/>
    <w:rsid w:val="007A1D58"/>
    <w:rsid w:val="007A264E"/>
    <w:rsid w:val="007A30E8"/>
    <w:rsid w:val="007A3C7A"/>
    <w:rsid w:val="007A3CC9"/>
    <w:rsid w:val="007A3E21"/>
    <w:rsid w:val="007A437F"/>
    <w:rsid w:val="007A51FC"/>
    <w:rsid w:val="007A548E"/>
    <w:rsid w:val="007A57F0"/>
    <w:rsid w:val="007A6899"/>
    <w:rsid w:val="007A7D76"/>
    <w:rsid w:val="007B0368"/>
    <w:rsid w:val="007B05D3"/>
    <w:rsid w:val="007B087A"/>
    <w:rsid w:val="007B0F52"/>
    <w:rsid w:val="007B0F54"/>
    <w:rsid w:val="007B3C09"/>
    <w:rsid w:val="007B3E45"/>
    <w:rsid w:val="007B480F"/>
    <w:rsid w:val="007B4820"/>
    <w:rsid w:val="007B51D7"/>
    <w:rsid w:val="007B53CF"/>
    <w:rsid w:val="007B581A"/>
    <w:rsid w:val="007B6A32"/>
    <w:rsid w:val="007B6EF7"/>
    <w:rsid w:val="007B6F4C"/>
    <w:rsid w:val="007C028C"/>
    <w:rsid w:val="007C1311"/>
    <w:rsid w:val="007C16D6"/>
    <w:rsid w:val="007C1CC6"/>
    <w:rsid w:val="007C2310"/>
    <w:rsid w:val="007C2CD3"/>
    <w:rsid w:val="007C2D07"/>
    <w:rsid w:val="007C3461"/>
    <w:rsid w:val="007C4609"/>
    <w:rsid w:val="007C5D3D"/>
    <w:rsid w:val="007C5F1D"/>
    <w:rsid w:val="007C6024"/>
    <w:rsid w:val="007C6357"/>
    <w:rsid w:val="007C7105"/>
    <w:rsid w:val="007D03DF"/>
    <w:rsid w:val="007D14C2"/>
    <w:rsid w:val="007D1985"/>
    <w:rsid w:val="007D2180"/>
    <w:rsid w:val="007D218C"/>
    <w:rsid w:val="007D2506"/>
    <w:rsid w:val="007D269C"/>
    <w:rsid w:val="007D2E4D"/>
    <w:rsid w:val="007D34F5"/>
    <w:rsid w:val="007D3EAF"/>
    <w:rsid w:val="007D4AD1"/>
    <w:rsid w:val="007D54A7"/>
    <w:rsid w:val="007D5559"/>
    <w:rsid w:val="007D55AF"/>
    <w:rsid w:val="007D61C1"/>
    <w:rsid w:val="007D6692"/>
    <w:rsid w:val="007D7183"/>
    <w:rsid w:val="007D75B6"/>
    <w:rsid w:val="007E0354"/>
    <w:rsid w:val="007E038D"/>
    <w:rsid w:val="007E0651"/>
    <w:rsid w:val="007E0829"/>
    <w:rsid w:val="007E19DE"/>
    <w:rsid w:val="007E1CFE"/>
    <w:rsid w:val="007E29B9"/>
    <w:rsid w:val="007E3213"/>
    <w:rsid w:val="007E380A"/>
    <w:rsid w:val="007E3E1D"/>
    <w:rsid w:val="007E4208"/>
    <w:rsid w:val="007E4909"/>
    <w:rsid w:val="007E5786"/>
    <w:rsid w:val="007E6AC0"/>
    <w:rsid w:val="007E7714"/>
    <w:rsid w:val="007E7891"/>
    <w:rsid w:val="007E7C95"/>
    <w:rsid w:val="007F0049"/>
    <w:rsid w:val="007F0556"/>
    <w:rsid w:val="007F0705"/>
    <w:rsid w:val="007F0849"/>
    <w:rsid w:val="007F0CF0"/>
    <w:rsid w:val="007F0E02"/>
    <w:rsid w:val="007F0E94"/>
    <w:rsid w:val="007F317A"/>
    <w:rsid w:val="007F3320"/>
    <w:rsid w:val="007F339F"/>
    <w:rsid w:val="007F380D"/>
    <w:rsid w:val="007F389B"/>
    <w:rsid w:val="007F3DFE"/>
    <w:rsid w:val="007F5708"/>
    <w:rsid w:val="007F593C"/>
    <w:rsid w:val="007F6775"/>
    <w:rsid w:val="007F67A6"/>
    <w:rsid w:val="007F7A28"/>
    <w:rsid w:val="008017F4"/>
    <w:rsid w:val="008019B2"/>
    <w:rsid w:val="00801C89"/>
    <w:rsid w:val="0080201E"/>
    <w:rsid w:val="008021AA"/>
    <w:rsid w:val="00802365"/>
    <w:rsid w:val="0080307D"/>
    <w:rsid w:val="00803406"/>
    <w:rsid w:val="008050A3"/>
    <w:rsid w:val="00805124"/>
    <w:rsid w:val="00805418"/>
    <w:rsid w:val="00805480"/>
    <w:rsid w:val="0080549E"/>
    <w:rsid w:val="00805B6F"/>
    <w:rsid w:val="00805F1D"/>
    <w:rsid w:val="00805FFC"/>
    <w:rsid w:val="00807704"/>
    <w:rsid w:val="0080777B"/>
    <w:rsid w:val="00810797"/>
    <w:rsid w:val="00810A43"/>
    <w:rsid w:val="00810C3D"/>
    <w:rsid w:val="0081129B"/>
    <w:rsid w:val="0081171D"/>
    <w:rsid w:val="008126B4"/>
    <w:rsid w:val="00812ACA"/>
    <w:rsid w:val="008130AF"/>
    <w:rsid w:val="008155C6"/>
    <w:rsid w:val="0081581A"/>
    <w:rsid w:val="00815A04"/>
    <w:rsid w:val="00815A33"/>
    <w:rsid w:val="00816BE3"/>
    <w:rsid w:val="0081710F"/>
    <w:rsid w:val="0081764C"/>
    <w:rsid w:val="008179EC"/>
    <w:rsid w:val="00817FE2"/>
    <w:rsid w:val="0082039D"/>
    <w:rsid w:val="0082065D"/>
    <w:rsid w:val="0082108D"/>
    <w:rsid w:val="00822CE5"/>
    <w:rsid w:val="00822F90"/>
    <w:rsid w:val="00823AC2"/>
    <w:rsid w:val="00823BBD"/>
    <w:rsid w:val="00823E67"/>
    <w:rsid w:val="008241EA"/>
    <w:rsid w:val="008257A8"/>
    <w:rsid w:val="008264DD"/>
    <w:rsid w:val="00826896"/>
    <w:rsid w:val="008269E8"/>
    <w:rsid w:val="00826A82"/>
    <w:rsid w:val="00826A8F"/>
    <w:rsid w:val="00826B5E"/>
    <w:rsid w:val="00826B96"/>
    <w:rsid w:val="008272CF"/>
    <w:rsid w:val="0082774A"/>
    <w:rsid w:val="008277A2"/>
    <w:rsid w:val="00827AAF"/>
    <w:rsid w:val="00827D83"/>
    <w:rsid w:val="008302D8"/>
    <w:rsid w:val="00830534"/>
    <w:rsid w:val="0083085A"/>
    <w:rsid w:val="008316FE"/>
    <w:rsid w:val="008323BB"/>
    <w:rsid w:val="00832435"/>
    <w:rsid w:val="00834197"/>
    <w:rsid w:val="00834DC2"/>
    <w:rsid w:val="00834DE4"/>
    <w:rsid w:val="008351C6"/>
    <w:rsid w:val="008352BF"/>
    <w:rsid w:val="008360F9"/>
    <w:rsid w:val="008362F8"/>
    <w:rsid w:val="00836AAD"/>
    <w:rsid w:val="00840122"/>
    <w:rsid w:val="00840B7D"/>
    <w:rsid w:val="00841049"/>
    <w:rsid w:val="00841982"/>
    <w:rsid w:val="00842075"/>
    <w:rsid w:val="0084232B"/>
    <w:rsid w:val="00842621"/>
    <w:rsid w:val="008458C0"/>
    <w:rsid w:val="008468FA"/>
    <w:rsid w:val="00846A5B"/>
    <w:rsid w:val="00846BE0"/>
    <w:rsid w:val="00847462"/>
    <w:rsid w:val="00847AF4"/>
    <w:rsid w:val="00851139"/>
    <w:rsid w:val="008511F4"/>
    <w:rsid w:val="00851261"/>
    <w:rsid w:val="0085272C"/>
    <w:rsid w:val="00853EE0"/>
    <w:rsid w:val="00854483"/>
    <w:rsid w:val="00854510"/>
    <w:rsid w:val="00855E8E"/>
    <w:rsid w:val="00855EAE"/>
    <w:rsid w:val="0085664C"/>
    <w:rsid w:val="008573E5"/>
    <w:rsid w:val="00857D2B"/>
    <w:rsid w:val="00857EC1"/>
    <w:rsid w:val="008617E4"/>
    <w:rsid w:val="008625AC"/>
    <w:rsid w:val="00862FD6"/>
    <w:rsid w:val="0086399C"/>
    <w:rsid w:val="00864148"/>
    <w:rsid w:val="00864C88"/>
    <w:rsid w:val="00864E0D"/>
    <w:rsid w:val="00865B4E"/>
    <w:rsid w:val="008676F1"/>
    <w:rsid w:val="00870992"/>
    <w:rsid w:val="00870EBB"/>
    <w:rsid w:val="00871EF4"/>
    <w:rsid w:val="008739E4"/>
    <w:rsid w:val="008739F8"/>
    <w:rsid w:val="00874CC1"/>
    <w:rsid w:val="00875A69"/>
    <w:rsid w:val="00875EE4"/>
    <w:rsid w:val="00876124"/>
    <w:rsid w:val="0087714C"/>
    <w:rsid w:val="0087720C"/>
    <w:rsid w:val="00877568"/>
    <w:rsid w:val="00877CA0"/>
    <w:rsid w:val="00877D9D"/>
    <w:rsid w:val="00880436"/>
    <w:rsid w:val="0088097A"/>
    <w:rsid w:val="00881096"/>
    <w:rsid w:val="0088224C"/>
    <w:rsid w:val="008822C7"/>
    <w:rsid w:val="00882623"/>
    <w:rsid w:val="0088264B"/>
    <w:rsid w:val="00882A2F"/>
    <w:rsid w:val="00883A8A"/>
    <w:rsid w:val="00883EE0"/>
    <w:rsid w:val="00883F0C"/>
    <w:rsid w:val="00885003"/>
    <w:rsid w:val="00885498"/>
    <w:rsid w:val="008857E0"/>
    <w:rsid w:val="008858FD"/>
    <w:rsid w:val="008861B5"/>
    <w:rsid w:val="00887566"/>
    <w:rsid w:val="00887686"/>
    <w:rsid w:val="008877E5"/>
    <w:rsid w:val="0088796B"/>
    <w:rsid w:val="00891AEF"/>
    <w:rsid w:val="0089221E"/>
    <w:rsid w:val="00893445"/>
    <w:rsid w:val="00893B38"/>
    <w:rsid w:val="008940E7"/>
    <w:rsid w:val="00894600"/>
    <w:rsid w:val="00894B2B"/>
    <w:rsid w:val="00894B40"/>
    <w:rsid w:val="00895270"/>
    <w:rsid w:val="00895360"/>
    <w:rsid w:val="00896006"/>
    <w:rsid w:val="008964AB"/>
    <w:rsid w:val="0089664D"/>
    <w:rsid w:val="00896B0E"/>
    <w:rsid w:val="00896B6A"/>
    <w:rsid w:val="00896DC0"/>
    <w:rsid w:val="00897DB1"/>
    <w:rsid w:val="008A0CFB"/>
    <w:rsid w:val="008A12CF"/>
    <w:rsid w:val="008A1B14"/>
    <w:rsid w:val="008A1DA0"/>
    <w:rsid w:val="008A2985"/>
    <w:rsid w:val="008A4355"/>
    <w:rsid w:val="008A721C"/>
    <w:rsid w:val="008A73D0"/>
    <w:rsid w:val="008A77C6"/>
    <w:rsid w:val="008B030A"/>
    <w:rsid w:val="008B0C25"/>
    <w:rsid w:val="008B114C"/>
    <w:rsid w:val="008B150C"/>
    <w:rsid w:val="008B2319"/>
    <w:rsid w:val="008B268D"/>
    <w:rsid w:val="008B4E49"/>
    <w:rsid w:val="008B565E"/>
    <w:rsid w:val="008B63D9"/>
    <w:rsid w:val="008B6973"/>
    <w:rsid w:val="008B6CA8"/>
    <w:rsid w:val="008B7A95"/>
    <w:rsid w:val="008B7B51"/>
    <w:rsid w:val="008C0289"/>
    <w:rsid w:val="008C0DBC"/>
    <w:rsid w:val="008C0F4C"/>
    <w:rsid w:val="008C11D5"/>
    <w:rsid w:val="008C1F49"/>
    <w:rsid w:val="008C29E5"/>
    <w:rsid w:val="008C3469"/>
    <w:rsid w:val="008C3A25"/>
    <w:rsid w:val="008C3C23"/>
    <w:rsid w:val="008C3EAF"/>
    <w:rsid w:val="008C3F43"/>
    <w:rsid w:val="008C4687"/>
    <w:rsid w:val="008C4D8F"/>
    <w:rsid w:val="008C52AB"/>
    <w:rsid w:val="008C5303"/>
    <w:rsid w:val="008C66FD"/>
    <w:rsid w:val="008C6E42"/>
    <w:rsid w:val="008C72CC"/>
    <w:rsid w:val="008C75EF"/>
    <w:rsid w:val="008C7A29"/>
    <w:rsid w:val="008C7FDE"/>
    <w:rsid w:val="008D05D4"/>
    <w:rsid w:val="008D092A"/>
    <w:rsid w:val="008D0C6B"/>
    <w:rsid w:val="008D13CD"/>
    <w:rsid w:val="008D1B08"/>
    <w:rsid w:val="008D2AE4"/>
    <w:rsid w:val="008D2C2D"/>
    <w:rsid w:val="008D440A"/>
    <w:rsid w:val="008D455A"/>
    <w:rsid w:val="008D4567"/>
    <w:rsid w:val="008D4D09"/>
    <w:rsid w:val="008D4D64"/>
    <w:rsid w:val="008D58AF"/>
    <w:rsid w:val="008D7AD5"/>
    <w:rsid w:val="008D7C61"/>
    <w:rsid w:val="008E033D"/>
    <w:rsid w:val="008E14CF"/>
    <w:rsid w:val="008E1D91"/>
    <w:rsid w:val="008E29BE"/>
    <w:rsid w:val="008E2EAB"/>
    <w:rsid w:val="008E3A6F"/>
    <w:rsid w:val="008E3E65"/>
    <w:rsid w:val="008E413F"/>
    <w:rsid w:val="008E48C3"/>
    <w:rsid w:val="008E4DB6"/>
    <w:rsid w:val="008E4E6A"/>
    <w:rsid w:val="008E5B3E"/>
    <w:rsid w:val="008E5BB7"/>
    <w:rsid w:val="008E5E1A"/>
    <w:rsid w:val="008E70E2"/>
    <w:rsid w:val="008F0365"/>
    <w:rsid w:val="008F14F1"/>
    <w:rsid w:val="008F15C2"/>
    <w:rsid w:val="008F1F6B"/>
    <w:rsid w:val="008F2254"/>
    <w:rsid w:val="008F3005"/>
    <w:rsid w:val="008F40F8"/>
    <w:rsid w:val="008F4176"/>
    <w:rsid w:val="009006D0"/>
    <w:rsid w:val="00900BF4"/>
    <w:rsid w:val="009013D6"/>
    <w:rsid w:val="0090167D"/>
    <w:rsid w:val="00901B9B"/>
    <w:rsid w:val="00902475"/>
    <w:rsid w:val="009047C6"/>
    <w:rsid w:val="00904869"/>
    <w:rsid w:val="00904A5B"/>
    <w:rsid w:val="0090569B"/>
    <w:rsid w:val="00905E79"/>
    <w:rsid w:val="009062F9"/>
    <w:rsid w:val="00907130"/>
    <w:rsid w:val="00907F3E"/>
    <w:rsid w:val="00907F4C"/>
    <w:rsid w:val="009101A0"/>
    <w:rsid w:val="00910536"/>
    <w:rsid w:val="009113EF"/>
    <w:rsid w:val="009124E5"/>
    <w:rsid w:val="00913697"/>
    <w:rsid w:val="0091401F"/>
    <w:rsid w:val="00915DE8"/>
    <w:rsid w:val="00916C10"/>
    <w:rsid w:val="00916E6D"/>
    <w:rsid w:val="0091741D"/>
    <w:rsid w:val="00917790"/>
    <w:rsid w:val="00917BB1"/>
    <w:rsid w:val="0092086B"/>
    <w:rsid w:val="00921D13"/>
    <w:rsid w:val="00921F25"/>
    <w:rsid w:val="00921FFD"/>
    <w:rsid w:val="00922154"/>
    <w:rsid w:val="00922EA4"/>
    <w:rsid w:val="00923B60"/>
    <w:rsid w:val="009248FB"/>
    <w:rsid w:val="00925541"/>
    <w:rsid w:val="00925A9C"/>
    <w:rsid w:val="00925C30"/>
    <w:rsid w:val="0092600E"/>
    <w:rsid w:val="009260F5"/>
    <w:rsid w:val="0092736A"/>
    <w:rsid w:val="00927CA7"/>
    <w:rsid w:val="00927CC8"/>
    <w:rsid w:val="009301E0"/>
    <w:rsid w:val="00931109"/>
    <w:rsid w:val="00931139"/>
    <w:rsid w:val="00931223"/>
    <w:rsid w:val="00932555"/>
    <w:rsid w:val="0093268E"/>
    <w:rsid w:val="00932EAE"/>
    <w:rsid w:val="009332C9"/>
    <w:rsid w:val="00933892"/>
    <w:rsid w:val="00933A3E"/>
    <w:rsid w:val="0093400C"/>
    <w:rsid w:val="00934338"/>
    <w:rsid w:val="009349AC"/>
    <w:rsid w:val="00934E09"/>
    <w:rsid w:val="0093675F"/>
    <w:rsid w:val="009400A3"/>
    <w:rsid w:val="00940468"/>
    <w:rsid w:val="009421CC"/>
    <w:rsid w:val="00944EDA"/>
    <w:rsid w:val="009450E2"/>
    <w:rsid w:val="009453BA"/>
    <w:rsid w:val="00945ECB"/>
    <w:rsid w:val="00945F8D"/>
    <w:rsid w:val="009462B7"/>
    <w:rsid w:val="009463F4"/>
    <w:rsid w:val="0094680E"/>
    <w:rsid w:val="00946A0A"/>
    <w:rsid w:val="0094737F"/>
    <w:rsid w:val="0094744D"/>
    <w:rsid w:val="009474A6"/>
    <w:rsid w:val="00947C6F"/>
    <w:rsid w:val="00947DC2"/>
    <w:rsid w:val="009503BD"/>
    <w:rsid w:val="00950573"/>
    <w:rsid w:val="0095063B"/>
    <w:rsid w:val="00950825"/>
    <w:rsid w:val="00950856"/>
    <w:rsid w:val="009509AD"/>
    <w:rsid w:val="009514C4"/>
    <w:rsid w:val="0095153E"/>
    <w:rsid w:val="00952558"/>
    <w:rsid w:val="0095257E"/>
    <w:rsid w:val="00952A83"/>
    <w:rsid w:val="00953452"/>
    <w:rsid w:val="00953DCB"/>
    <w:rsid w:val="009542C4"/>
    <w:rsid w:val="009547CE"/>
    <w:rsid w:val="00954ED8"/>
    <w:rsid w:val="009559F8"/>
    <w:rsid w:val="009563AB"/>
    <w:rsid w:val="00957C7F"/>
    <w:rsid w:val="009604F9"/>
    <w:rsid w:val="0096052D"/>
    <w:rsid w:val="0096056C"/>
    <w:rsid w:val="00962001"/>
    <w:rsid w:val="00962049"/>
    <w:rsid w:val="0096243F"/>
    <w:rsid w:val="0096271D"/>
    <w:rsid w:val="00962FBF"/>
    <w:rsid w:val="00964831"/>
    <w:rsid w:val="00964D9E"/>
    <w:rsid w:val="0096531D"/>
    <w:rsid w:val="00965831"/>
    <w:rsid w:val="00966618"/>
    <w:rsid w:val="00966819"/>
    <w:rsid w:val="00967C30"/>
    <w:rsid w:val="009700A2"/>
    <w:rsid w:val="0097190D"/>
    <w:rsid w:val="00972686"/>
    <w:rsid w:val="009736CB"/>
    <w:rsid w:val="00973746"/>
    <w:rsid w:val="009744C5"/>
    <w:rsid w:val="00975027"/>
    <w:rsid w:val="00975155"/>
    <w:rsid w:val="00975557"/>
    <w:rsid w:val="009757AD"/>
    <w:rsid w:val="009763EB"/>
    <w:rsid w:val="00976974"/>
    <w:rsid w:val="0097780F"/>
    <w:rsid w:val="00977BFD"/>
    <w:rsid w:val="009800DE"/>
    <w:rsid w:val="009806FB"/>
    <w:rsid w:val="009810C6"/>
    <w:rsid w:val="0098271C"/>
    <w:rsid w:val="009828FD"/>
    <w:rsid w:val="0098300E"/>
    <w:rsid w:val="00983C3F"/>
    <w:rsid w:val="00987F82"/>
    <w:rsid w:val="009901D6"/>
    <w:rsid w:val="0099024A"/>
    <w:rsid w:val="00990D59"/>
    <w:rsid w:val="009918A3"/>
    <w:rsid w:val="00991AA5"/>
    <w:rsid w:val="009922BE"/>
    <w:rsid w:val="0099239E"/>
    <w:rsid w:val="00992431"/>
    <w:rsid w:val="009924A5"/>
    <w:rsid w:val="00992E4B"/>
    <w:rsid w:val="00993B8B"/>
    <w:rsid w:val="0099401A"/>
    <w:rsid w:val="009945D2"/>
    <w:rsid w:val="00995976"/>
    <w:rsid w:val="009969BD"/>
    <w:rsid w:val="00996D81"/>
    <w:rsid w:val="009970DD"/>
    <w:rsid w:val="00997232"/>
    <w:rsid w:val="00997241"/>
    <w:rsid w:val="0099750F"/>
    <w:rsid w:val="00997AB2"/>
    <w:rsid w:val="009A0320"/>
    <w:rsid w:val="009A05C9"/>
    <w:rsid w:val="009A10CC"/>
    <w:rsid w:val="009A153B"/>
    <w:rsid w:val="009A18E3"/>
    <w:rsid w:val="009A3000"/>
    <w:rsid w:val="009A3B2F"/>
    <w:rsid w:val="009A45DF"/>
    <w:rsid w:val="009A46A0"/>
    <w:rsid w:val="009A5231"/>
    <w:rsid w:val="009A6AEA"/>
    <w:rsid w:val="009A78E1"/>
    <w:rsid w:val="009A7B6B"/>
    <w:rsid w:val="009A7EF8"/>
    <w:rsid w:val="009B04B1"/>
    <w:rsid w:val="009B2620"/>
    <w:rsid w:val="009B2F8F"/>
    <w:rsid w:val="009B3FE7"/>
    <w:rsid w:val="009B4C9C"/>
    <w:rsid w:val="009B4CA9"/>
    <w:rsid w:val="009B4D20"/>
    <w:rsid w:val="009B5280"/>
    <w:rsid w:val="009B6314"/>
    <w:rsid w:val="009B6770"/>
    <w:rsid w:val="009B6C11"/>
    <w:rsid w:val="009B75A5"/>
    <w:rsid w:val="009B7CF3"/>
    <w:rsid w:val="009C074C"/>
    <w:rsid w:val="009C0DB1"/>
    <w:rsid w:val="009C1181"/>
    <w:rsid w:val="009C25F2"/>
    <w:rsid w:val="009C27C8"/>
    <w:rsid w:val="009C31EB"/>
    <w:rsid w:val="009C3786"/>
    <w:rsid w:val="009C5335"/>
    <w:rsid w:val="009C556B"/>
    <w:rsid w:val="009C58E8"/>
    <w:rsid w:val="009C60A7"/>
    <w:rsid w:val="009C6872"/>
    <w:rsid w:val="009C7D61"/>
    <w:rsid w:val="009D06BA"/>
    <w:rsid w:val="009D0F2A"/>
    <w:rsid w:val="009D2976"/>
    <w:rsid w:val="009D2B7B"/>
    <w:rsid w:val="009D3242"/>
    <w:rsid w:val="009D367C"/>
    <w:rsid w:val="009D373F"/>
    <w:rsid w:val="009D4A65"/>
    <w:rsid w:val="009D5633"/>
    <w:rsid w:val="009D56E0"/>
    <w:rsid w:val="009D58D5"/>
    <w:rsid w:val="009D617B"/>
    <w:rsid w:val="009D6433"/>
    <w:rsid w:val="009D6A8A"/>
    <w:rsid w:val="009D6DD1"/>
    <w:rsid w:val="009D6DDC"/>
    <w:rsid w:val="009D6EE3"/>
    <w:rsid w:val="009D7142"/>
    <w:rsid w:val="009D78FD"/>
    <w:rsid w:val="009E0205"/>
    <w:rsid w:val="009E020E"/>
    <w:rsid w:val="009E04E9"/>
    <w:rsid w:val="009E1366"/>
    <w:rsid w:val="009E1614"/>
    <w:rsid w:val="009E17E1"/>
    <w:rsid w:val="009E24C1"/>
    <w:rsid w:val="009E2688"/>
    <w:rsid w:val="009E3591"/>
    <w:rsid w:val="009E45CB"/>
    <w:rsid w:val="009E54E2"/>
    <w:rsid w:val="009E709C"/>
    <w:rsid w:val="009E71BE"/>
    <w:rsid w:val="009E73EB"/>
    <w:rsid w:val="009E7AF4"/>
    <w:rsid w:val="009E7BBE"/>
    <w:rsid w:val="009F0D29"/>
    <w:rsid w:val="009F126C"/>
    <w:rsid w:val="009F139D"/>
    <w:rsid w:val="009F3B03"/>
    <w:rsid w:val="009F4F18"/>
    <w:rsid w:val="009F5A65"/>
    <w:rsid w:val="009F69AE"/>
    <w:rsid w:val="00A0042E"/>
    <w:rsid w:val="00A01DE8"/>
    <w:rsid w:val="00A02135"/>
    <w:rsid w:val="00A023EC"/>
    <w:rsid w:val="00A02892"/>
    <w:rsid w:val="00A02B7B"/>
    <w:rsid w:val="00A0321C"/>
    <w:rsid w:val="00A03F9D"/>
    <w:rsid w:val="00A046AA"/>
    <w:rsid w:val="00A0482D"/>
    <w:rsid w:val="00A054CC"/>
    <w:rsid w:val="00A0593A"/>
    <w:rsid w:val="00A05D87"/>
    <w:rsid w:val="00A063C5"/>
    <w:rsid w:val="00A06E67"/>
    <w:rsid w:val="00A071AE"/>
    <w:rsid w:val="00A10002"/>
    <w:rsid w:val="00A108DF"/>
    <w:rsid w:val="00A126D3"/>
    <w:rsid w:val="00A12F67"/>
    <w:rsid w:val="00A13424"/>
    <w:rsid w:val="00A134B0"/>
    <w:rsid w:val="00A14B50"/>
    <w:rsid w:val="00A14CA8"/>
    <w:rsid w:val="00A156F0"/>
    <w:rsid w:val="00A15A1A"/>
    <w:rsid w:val="00A160C6"/>
    <w:rsid w:val="00A16371"/>
    <w:rsid w:val="00A16E23"/>
    <w:rsid w:val="00A175E2"/>
    <w:rsid w:val="00A1774E"/>
    <w:rsid w:val="00A2043B"/>
    <w:rsid w:val="00A21884"/>
    <w:rsid w:val="00A21CC3"/>
    <w:rsid w:val="00A225BE"/>
    <w:rsid w:val="00A227EC"/>
    <w:rsid w:val="00A22977"/>
    <w:rsid w:val="00A2354C"/>
    <w:rsid w:val="00A2372D"/>
    <w:rsid w:val="00A247D9"/>
    <w:rsid w:val="00A2500C"/>
    <w:rsid w:val="00A2513B"/>
    <w:rsid w:val="00A26037"/>
    <w:rsid w:val="00A26362"/>
    <w:rsid w:val="00A27A1B"/>
    <w:rsid w:val="00A27B71"/>
    <w:rsid w:val="00A27C4C"/>
    <w:rsid w:val="00A30938"/>
    <w:rsid w:val="00A31206"/>
    <w:rsid w:val="00A31A28"/>
    <w:rsid w:val="00A323C8"/>
    <w:rsid w:val="00A32AF0"/>
    <w:rsid w:val="00A32B03"/>
    <w:rsid w:val="00A332E5"/>
    <w:rsid w:val="00A332EB"/>
    <w:rsid w:val="00A365C4"/>
    <w:rsid w:val="00A36E36"/>
    <w:rsid w:val="00A3778B"/>
    <w:rsid w:val="00A377ED"/>
    <w:rsid w:val="00A37FC3"/>
    <w:rsid w:val="00A40E26"/>
    <w:rsid w:val="00A4103C"/>
    <w:rsid w:val="00A42875"/>
    <w:rsid w:val="00A42BF3"/>
    <w:rsid w:val="00A42D61"/>
    <w:rsid w:val="00A43C0C"/>
    <w:rsid w:val="00A44994"/>
    <w:rsid w:val="00A44BFF"/>
    <w:rsid w:val="00A45DDC"/>
    <w:rsid w:val="00A46536"/>
    <w:rsid w:val="00A4660F"/>
    <w:rsid w:val="00A47192"/>
    <w:rsid w:val="00A50543"/>
    <w:rsid w:val="00A50ACF"/>
    <w:rsid w:val="00A51279"/>
    <w:rsid w:val="00A51C05"/>
    <w:rsid w:val="00A51CD6"/>
    <w:rsid w:val="00A5229F"/>
    <w:rsid w:val="00A5249C"/>
    <w:rsid w:val="00A52827"/>
    <w:rsid w:val="00A5311B"/>
    <w:rsid w:val="00A54385"/>
    <w:rsid w:val="00A54B74"/>
    <w:rsid w:val="00A55480"/>
    <w:rsid w:val="00A56E19"/>
    <w:rsid w:val="00A572B3"/>
    <w:rsid w:val="00A578C5"/>
    <w:rsid w:val="00A57BA7"/>
    <w:rsid w:val="00A57C2B"/>
    <w:rsid w:val="00A609BA"/>
    <w:rsid w:val="00A60B6B"/>
    <w:rsid w:val="00A60F44"/>
    <w:rsid w:val="00A60FB4"/>
    <w:rsid w:val="00A611FD"/>
    <w:rsid w:val="00A61F6B"/>
    <w:rsid w:val="00A634D7"/>
    <w:rsid w:val="00A64AAD"/>
    <w:rsid w:val="00A64F2A"/>
    <w:rsid w:val="00A671BD"/>
    <w:rsid w:val="00A6736D"/>
    <w:rsid w:val="00A67F43"/>
    <w:rsid w:val="00A700F7"/>
    <w:rsid w:val="00A705D5"/>
    <w:rsid w:val="00A71B36"/>
    <w:rsid w:val="00A7277F"/>
    <w:rsid w:val="00A738EB"/>
    <w:rsid w:val="00A73BA6"/>
    <w:rsid w:val="00A73E34"/>
    <w:rsid w:val="00A740DC"/>
    <w:rsid w:val="00A74122"/>
    <w:rsid w:val="00A742A3"/>
    <w:rsid w:val="00A74449"/>
    <w:rsid w:val="00A744F4"/>
    <w:rsid w:val="00A74BFB"/>
    <w:rsid w:val="00A74F27"/>
    <w:rsid w:val="00A750B2"/>
    <w:rsid w:val="00A75F19"/>
    <w:rsid w:val="00A7635E"/>
    <w:rsid w:val="00A76D0A"/>
    <w:rsid w:val="00A81CE3"/>
    <w:rsid w:val="00A82355"/>
    <w:rsid w:val="00A8308B"/>
    <w:rsid w:val="00A83C72"/>
    <w:rsid w:val="00A83F3F"/>
    <w:rsid w:val="00A84C7F"/>
    <w:rsid w:val="00A85396"/>
    <w:rsid w:val="00A862BF"/>
    <w:rsid w:val="00A8643B"/>
    <w:rsid w:val="00A865FF"/>
    <w:rsid w:val="00A86753"/>
    <w:rsid w:val="00A878F2"/>
    <w:rsid w:val="00A878FD"/>
    <w:rsid w:val="00A87BEF"/>
    <w:rsid w:val="00A90890"/>
    <w:rsid w:val="00A9100A"/>
    <w:rsid w:val="00A91328"/>
    <w:rsid w:val="00A94102"/>
    <w:rsid w:val="00A946A0"/>
    <w:rsid w:val="00A94A8A"/>
    <w:rsid w:val="00A94CDB"/>
    <w:rsid w:val="00A9518B"/>
    <w:rsid w:val="00A95695"/>
    <w:rsid w:val="00A96E7F"/>
    <w:rsid w:val="00A979B3"/>
    <w:rsid w:val="00AA238A"/>
    <w:rsid w:val="00AA3442"/>
    <w:rsid w:val="00AA3C1A"/>
    <w:rsid w:val="00AA41E1"/>
    <w:rsid w:val="00AA4B72"/>
    <w:rsid w:val="00AA5A76"/>
    <w:rsid w:val="00AA5DF4"/>
    <w:rsid w:val="00AA6113"/>
    <w:rsid w:val="00AA61A9"/>
    <w:rsid w:val="00AA718A"/>
    <w:rsid w:val="00AA7927"/>
    <w:rsid w:val="00AA7C86"/>
    <w:rsid w:val="00AA7D14"/>
    <w:rsid w:val="00AB1050"/>
    <w:rsid w:val="00AB1B2B"/>
    <w:rsid w:val="00AB1D40"/>
    <w:rsid w:val="00AB35A5"/>
    <w:rsid w:val="00AB4587"/>
    <w:rsid w:val="00AB4AA2"/>
    <w:rsid w:val="00AB4F49"/>
    <w:rsid w:val="00AB71BE"/>
    <w:rsid w:val="00AB7926"/>
    <w:rsid w:val="00AB7AE7"/>
    <w:rsid w:val="00AC0686"/>
    <w:rsid w:val="00AC105C"/>
    <w:rsid w:val="00AC17EE"/>
    <w:rsid w:val="00AC2A2B"/>
    <w:rsid w:val="00AC3392"/>
    <w:rsid w:val="00AC3855"/>
    <w:rsid w:val="00AC5AED"/>
    <w:rsid w:val="00AC5B85"/>
    <w:rsid w:val="00AC5BE9"/>
    <w:rsid w:val="00AC6B0E"/>
    <w:rsid w:val="00AC778A"/>
    <w:rsid w:val="00AC7BC4"/>
    <w:rsid w:val="00AD0911"/>
    <w:rsid w:val="00AD0E3F"/>
    <w:rsid w:val="00AD1C9F"/>
    <w:rsid w:val="00AD22F5"/>
    <w:rsid w:val="00AD2827"/>
    <w:rsid w:val="00AD297C"/>
    <w:rsid w:val="00AD2B4C"/>
    <w:rsid w:val="00AD2F26"/>
    <w:rsid w:val="00AD3A80"/>
    <w:rsid w:val="00AD3C2B"/>
    <w:rsid w:val="00AD4E55"/>
    <w:rsid w:val="00AD52AC"/>
    <w:rsid w:val="00AD53F0"/>
    <w:rsid w:val="00AD5787"/>
    <w:rsid w:val="00AD580C"/>
    <w:rsid w:val="00AD60AB"/>
    <w:rsid w:val="00AD61AE"/>
    <w:rsid w:val="00AD65E4"/>
    <w:rsid w:val="00AD7383"/>
    <w:rsid w:val="00AD76AC"/>
    <w:rsid w:val="00AD7BD9"/>
    <w:rsid w:val="00AE009C"/>
    <w:rsid w:val="00AE06FC"/>
    <w:rsid w:val="00AE1061"/>
    <w:rsid w:val="00AE134B"/>
    <w:rsid w:val="00AE1717"/>
    <w:rsid w:val="00AE19E8"/>
    <w:rsid w:val="00AE21B6"/>
    <w:rsid w:val="00AE5251"/>
    <w:rsid w:val="00AE6184"/>
    <w:rsid w:val="00AE6653"/>
    <w:rsid w:val="00AE6800"/>
    <w:rsid w:val="00AF191D"/>
    <w:rsid w:val="00AF1D3A"/>
    <w:rsid w:val="00AF1EA3"/>
    <w:rsid w:val="00AF240A"/>
    <w:rsid w:val="00AF2448"/>
    <w:rsid w:val="00AF365F"/>
    <w:rsid w:val="00AF3EEC"/>
    <w:rsid w:val="00AF439E"/>
    <w:rsid w:val="00AF5421"/>
    <w:rsid w:val="00AF5A10"/>
    <w:rsid w:val="00AF5F91"/>
    <w:rsid w:val="00AF6570"/>
    <w:rsid w:val="00AF74B9"/>
    <w:rsid w:val="00AF7B62"/>
    <w:rsid w:val="00AF7C09"/>
    <w:rsid w:val="00B00164"/>
    <w:rsid w:val="00B006C1"/>
    <w:rsid w:val="00B009E4"/>
    <w:rsid w:val="00B01638"/>
    <w:rsid w:val="00B01A42"/>
    <w:rsid w:val="00B01F73"/>
    <w:rsid w:val="00B02745"/>
    <w:rsid w:val="00B02801"/>
    <w:rsid w:val="00B02A7F"/>
    <w:rsid w:val="00B03355"/>
    <w:rsid w:val="00B03431"/>
    <w:rsid w:val="00B03B07"/>
    <w:rsid w:val="00B04125"/>
    <w:rsid w:val="00B04567"/>
    <w:rsid w:val="00B046F8"/>
    <w:rsid w:val="00B04BFF"/>
    <w:rsid w:val="00B057CB"/>
    <w:rsid w:val="00B06704"/>
    <w:rsid w:val="00B069DC"/>
    <w:rsid w:val="00B07275"/>
    <w:rsid w:val="00B0730C"/>
    <w:rsid w:val="00B1080A"/>
    <w:rsid w:val="00B11439"/>
    <w:rsid w:val="00B12AD8"/>
    <w:rsid w:val="00B12B24"/>
    <w:rsid w:val="00B144AC"/>
    <w:rsid w:val="00B14745"/>
    <w:rsid w:val="00B1596B"/>
    <w:rsid w:val="00B15EF1"/>
    <w:rsid w:val="00B15FF7"/>
    <w:rsid w:val="00B17704"/>
    <w:rsid w:val="00B17A09"/>
    <w:rsid w:val="00B21981"/>
    <w:rsid w:val="00B21E79"/>
    <w:rsid w:val="00B225A4"/>
    <w:rsid w:val="00B2264E"/>
    <w:rsid w:val="00B22734"/>
    <w:rsid w:val="00B22CAD"/>
    <w:rsid w:val="00B23368"/>
    <w:rsid w:val="00B23442"/>
    <w:rsid w:val="00B23726"/>
    <w:rsid w:val="00B245C5"/>
    <w:rsid w:val="00B24840"/>
    <w:rsid w:val="00B24C9F"/>
    <w:rsid w:val="00B24CB7"/>
    <w:rsid w:val="00B256B5"/>
    <w:rsid w:val="00B25CA4"/>
    <w:rsid w:val="00B26475"/>
    <w:rsid w:val="00B264C5"/>
    <w:rsid w:val="00B27105"/>
    <w:rsid w:val="00B27A3F"/>
    <w:rsid w:val="00B317E0"/>
    <w:rsid w:val="00B31B33"/>
    <w:rsid w:val="00B32A7C"/>
    <w:rsid w:val="00B33526"/>
    <w:rsid w:val="00B335D6"/>
    <w:rsid w:val="00B3470A"/>
    <w:rsid w:val="00B35164"/>
    <w:rsid w:val="00B353F3"/>
    <w:rsid w:val="00B358F2"/>
    <w:rsid w:val="00B360D9"/>
    <w:rsid w:val="00B36446"/>
    <w:rsid w:val="00B3667E"/>
    <w:rsid w:val="00B36A5B"/>
    <w:rsid w:val="00B37053"/>
    <w:rsid w:val="00B37363"/>
    <w:rsid w:val="00B403AD"/>
    <w:rsid w:val="00B406CB"/>
    <w:rsid w:val="00B4079B"/>
    <w:rsid w:val="00B40903"/>
    <w:rsid w:val="00B41148"/>
    <w:rsid w:val="00B419BF"/>
    <w:rsid w:val="00B420AB"/>
    <w:rsid w:val="00B43037"/>
    <w:rsid w:val="00B43196"/>
    <w:rsid w:val="00B438B0"/>
    <w:rsid w:val="00B43B3C"/>
    <w:rsid w:val="00B43D19"/>
    <w:rsid w:val="00B44F17"/>
    <w:rsid w:val="00B451DA"/>
    <w:rsid w:val="00B4581D"/>
    <w:rsid w:val="00B4639E"/>
    <w:rsid w:val="00B46EE5"/>
    <w:rsid w:val="00B502DA"/>
    <w:rsid w:val="00B50337"/>
    <w:rsid w:val="00B518C9"/>
    <w:rsid w:val="00B51C8E"/>
    <w:rsid w:val="00B525BC"/>
    <w:rsid w:val="00B5323C"/>
    <w:rsid w:val="00B538B4"/>
    <w:rsid w:val="00B53BB6"/>
    <w:rsid w:val="00B545D0"/>
    <w:rsid w:val="00B5470F"/>
    <w:rsid w:val="00B55CCE"/>
    <w:rsid w:val="00B565D9"/>
    <w:rsid w:val="00B56C8D"/>
    <w:rsid w:val="00B572F4"/>
    <w:rsid w:val="00B5745D"/>
    <w:rsid w:val="00B575EB"/>
    <w:rsid w:val="00B57A4F"/>
    <w:rsid w:val="00B60ABD"/>
    <w:rsid w:val="00B61227"/>
    <w:rsid w:val="00B61583"/>
    <w:rsid w:val="00B623C7"/>
    <w:rsid w:val="00B62F6D"/>
    <w:rsid w:val="00B634DC"/>
    <w:rsid w:val="00B6365F"/>
    <w:rsid w:val="00B63A3F"/>
    <w:rsid w:val="00B63EC9"/>
    <w:rsid w:val="00B645C7"/>
    <w:rsid w:val="00B64A81"/>
    <w:rsid w:val="00B65586"/>
    <w:rsid w:val="00B656B4"/>
    <w:rsid w:val="00B656E7"/>
    <w:rsid w:val="00B65B77"/>
    <w:rsid w:val="00B66560"/>
    <w:rsid w:val="00B66CC1"/>
    <w:rsid w:val="00B66E09"/>
    <w:rsid w:val="00B67150"/>
    <w:rsid w:val="00B6720F"/>
    <w:rsid w:val="00B67603"/>
    <w:rsid w:val="00B67938"/>
    <w:rsid w:val="00B67B27"/>
    <w:rsid w:val="00B67C3B"/>
    <w:rsid w:val="00B7018E"/>
    <w:rsid w:val="00B70E45"/>
    <w:rsid w:val="00B71F03"/>
    <w:rsid w:val="00B72412"/>
    <w:rsid w:val="00B727B7"/>
    <w:rsid w:val="00B72958"/>
    <w:rsid w:val="00B72CE1"/>
    <w:rsid w:val="00B72D30"/>
    <w:rsid w:val="00B738FE"/>
    <w:rsid w:val="00B741FF"/>
    <w:rsid w:val="00B744A8"/>
    <w:rsid w:val="00B7534E"/>
    <w:rsid w:val="00B758DC"/>
    <w:rsid w:val="00B75E93"/>
    <w:rsid w:val="00B76E2D"/>
    <w:rsid w:val="00B771FE"/>
    <w:rsid w:val="00B77439"/>
    <w:rsid w:val="00B77C4C"/>
    <w:rsid w:val="00B8008E"/>
    <w:rsid w:val="00B806EA"/>
    <w:rsid w:val="00B82864"/>
    <w:rsid w:val="00B82A26"/>
    <w:rsid w:val="00B833FE"/>
    <w:rsid w:val="00B83CE7"/>
    <w:rsid w:val="00B84666"/>
    <w:rsid w:val="00B861FC"/>
    <w:rsid w:val="00B867E7"/>
    <w:rsid w:val="00B8682C"/>
    <w:rsid w:val="00B917BF"/>
    <w:rsid w:val="00B91F3F"/>
    <w:rsid w:val="00B924EC"/>
    <w:rsid w:val="00B92ADC"/>
    <w:rsid w:val="00B92C85"/>
    <w:rsid w:val="00B92CC9"/>
    <w:rsid w:val="00B92E5F"/>
    <w:rsid w:val="00B933A9"/>
    <w:rsid w:val="00B94174"/>
    <w:rsid w:val="00B94824"/>
    <w:rsid w:val="00B94F5A"/>
    <w:rsid w:val="00B95CD5"/>
    <w:rsid w:val="00BA0380"/>
    <w:rsid w:val="00BA09E3"/>
    <w:rsid w:val="00BA25A7"/>
    <w:rsid w:val="00BA274C"/>
    <w:rsid w:val="00BA2DBB"/>
    <w:rsid w:val="00BA2E75"/>
    <w:rsid w:val="00BA52D1"/>
    <w:rsid w:val="00BA5322"/>
    <w:rsid w:val="00BA58EF"/>
    <w:rsid w:val="00BA5CE0"/>
    <w:rsid w:val="00BA6E87"/>
    <w:rsid w:val="00BB0414"/>
    <w:rsid w:val="00BB04C9"/>
    <w:rsid w:val="00BB0746"/>
    <w:rsid w:val="00BB0922"/>
    <w:rsid w:val="00BB1098"/>
    <w:rsid w:val="00BB1273"/>
    <w:rsid w:val="00BB14CF"/>
    <w:rsid w:val="00BB276C"/>
    <w:rsid w:val="00BB2EC2"/>
    <w:rsid w:val="00BB3466"/>
    <w:rsid w:val="00BB3609"/>
    <w:rsid w:val="00BB390F"/>
    <w:rsid w:val="00BB3B4D"/>
    <w:rsid w:val="00BB3D10"/>
    <w:rsid w:val="00BB4FAE"/>
    <w:rsid w:val="00BB5950"/>
    <w:rsid w:val="00BB60E3"/>
    <w:rsid w:val="00BB6E67"/>
    <w:rsid w:val="00BB7124"/>
    <w:rsid w:val="00BC0629"/>
    <w:rsid w:val="00BC1B49"/>
    <w:rsid w:val="00BC22F4"/>
    <w:rsid w:val="00BC24BB"/>
    <w:rsid w:val="00BC2735"/>
    <w:rsid w:val="00BC3535"/>
    <w:rsid w:val="00BC43A8"/>
    <w:rsid w:val="00BC4E6E"/>
    <w:rsid w:val="00BC5581"/>
    <w:rsid w:val="00BC6BFD"/>
    <w:rsid w:val="00BC7B71"/>
    <w:rsid w:val="00BD003C"/>
    <w:rsid w:val="00BD065F"/>
    <w:rsid w:val="00BD0E70"/>
    <w:rsid w:val="00BD0F57"/>
    <w:rsid w:val="00BD24F5"/>
    <w:rsid w:val="00BD2673"/>
    <w:rsid w:val="00BD4F6E"/>
    <w:rsid w:val="00BD517A"/>
    <w:rsid w:val="00BD53A5"/>
    <w:rsid w:val="00BD5569"/>
    <w:rsid w:val="00BD5577"/>
    <w:rsid w:val="00BE1D4C"/>
    <w:rsid w:val="00BE21BE"/>
    <w:rsid w:val="00BE2F81"/>
    <w:rsid w:val="00BE4F56"/>
    <w:rsid w:val="00BE5BCE"/>
    <w:rsid w:val="00BE5DB6"/>
    <w:rsid w:val="00BE6B98"/>
    <w:rsid w:val="00BE6E74"/>
    <w:rsid w:val="00BE7658"/>
    <w:rsid w:val="00BE7C67"/>
    <w:rsid w:val="00BE7D82"/>
    <w:rsid w:val="00BE7EE0"/>
    <w:rsid w:val="00BF0C06"/>
    <w:rsid w:val="00BF1C38"/>
    <w:rsid w:val="00BF244C"/>
    <w:rsid w:val="00BF2BA5"/>
    <w:rsid w:val="00BF2C11"/>
    <w:rsid w:val="00BF3F74"/>
    <w:rsid w:val="00BF4C85"/>
    <w:rsid w:val="00BF4F3C"/>
    <w:rsid w:val="00BF652C"/>
    <w:rsid w:val="00BF6AA5"/>
    <w:rsid w:val="00BF6D63"/>
    <w:rsid w:val="00BF7D2B"/>
    <w:rsid w:val="00C0071D"/>
    <w:rsid w:val="00C010DB"/>
    <w:rsid w:val="00C01E26"/>
    <w:rsid w:val="00C02217"/>
    <w:rsid w:val="00C0246B"/>
    <w:rsid w:val="00C0293A"/>
    <w:rsid w:val="00C03175"/>
    <w:rsid w:val="00C04871"/>
    <w:rsid w:val="00C064CD"/>
    <w:rsid w:val="00C06653"/>
    <w:rsid w:val="00C069EA"/>
    <w:rsid w:val="00C06D37"/>
    <w:rsid w:val="00C06D9B"/>
    <w:rsid w:val="00C076F5"/>
    <w:rsid w:val="00C102DA"/>
    <w:rsid w:val="00C107D8"/>
    <w:rsid w:val="00C10FF6"/>
    <w:rsid w:val="00C11F39"/>
    <w:rsid w:val="00C1211E"/>
    <w:rsid w:val="00C12457"/>
    <w:rsid w:val="00C1317F"/>
    <w:rsid w:val="00C13FA8"/>
    <w:rsid w:val="00C14922"/>
    <w:rsid w:val="00C15A5C"/>
    <w:rsid w:val="00C163E9"/>
    <w:rsid w:val="00C164BB"/>
    <w:rsid w:val="00C23087"/>
    <w:rsid w:val="00C2309E"/>
    <w:rsid w:val="00C23683"/>
    <w:rsid w:val="00C23E86"/>
    <w:rsid w:val="00C24ED8"/>
    <w:rsid w:val="00C26102"/>
    <w:rsid w:val="00C26F4F"/>
    <w:rsid w:val="00C274DC"/>
    <w:rsid w:val="00C301CA"/>
    <w:rsid w:val="00C306D1"/>
    <w:rsid w:val="00C30B32"/>
    <w:rsid w:val="00C3118A"/>
    <w:rsid w:val="00C31B32"/>
    <w:rsid w:val="00C3387A"/>
    <w:rsid w:val="00C3401A"/>
    <w:rsid w:val="00C34890"/>
    <w:rsid w:val="00C3503C"/>
    <w:rsid w:val="00C35148"/>
    <w:rsid w:val="00C36202"/>
    <w:rsid w:val="00C37735"/>
    <w:rsid w:val="00C37D45"/>
    <w:rsid w:val="00C40AC4"/>
    <w:rsid w:val="00C410A3"/>
    <w:rsid w:val="00C413D3"/>
    <w:rsid w:val="00C4247C"/>
    <w:rsid w:val="00C42CF9"/>
    <w:rsid w:val="00C4329E"/>
    <w:rsid w:val="00C43DE4"/>
    <w:rsid w:val="00C446B3"/>
    <w:rsid w:val="00C44E9D"/>
    <w:rsid w:val="00C45C92"/>
    <w:rsid w:val="00C47782"/>
    <w:rsid w:val="00C47C21"/>
    <w:rsid w:val="00C5098E"/>
    <w:rsid w:val="00C50AF1"/>
    <w:rsid w:val="00C52153"/>
    <w:rsid w:val="00C52478"/>
    <w:rsid w:val="00C53490"/>
    <w:rsid w:val="00C54635"/>
    <w:rsid w:val="00C549B0"/>
    <w:rsid w:val="00C5538B"/>
    <w:rsid w:val="00C56020"/>
    <w:rsid w:val="00C56892"/>
    <w:rsid w:val="00C56A89"/>
    <w:rsid w:val="00C57123"/>
    <w:rsid w:val="00C57319"/>
    <w:rsid w:val="00C57644"/>
    <w:rsid w:val="00C6048B"/>
    <w:rsid w:val="00C605CE"/>
    <w:rsid w:val="00C60DCE"/>
    <w:rsid w:val="00C61C97"/>
    <w:rsid w:val="00C61D9F"/>
    <w:rsid w:val="00C62770"/>
    <w:rsid w:val="00C62BBB"/>
    <w:rsid w:val="00C62CA7"/>
    <w:rsid w:val="00C63477"/>
    <w:rsid w:val="00C6378F"/>
    <w:rsid w:val="00C6441A"/>
    <w:rsid w:val="00C64466"/>
    <w:rsid w:val="00C64B08"/>
    <w:rsid w:val="00C66162"/>
    <w:rsid w:val="00C6661C"/>
    <w:rsid w:val="00C67020"/>
    <w:rsid w:val="00C67236"/>
    <w:rsid w:val="00C6734D"/>
    <w:rsid w:val="00C67A2F"/>
    <w:rsid w:val="00C70DFB"/>
    <w:rsid w:val="00C7222E"/>
    <w:rsid w:val="00C7351C"/>
    <w:rsid w:val="00C73ACA"/>
    <w:rsid w:val="00C747BF"/>
    <w:rsid w:val="00C74B65"/>
    <w:rsid w:val="00C767CF"/>
    <w:rsid w:val="00C7734B"/>
    <w:rsid w:val="00C7781C"/>
    <w:rsid w:val="00C77CFA"/>
    <w:rsid w:val="00C80790"/>
    <w:rsid w:val="00C80A83"/>
    <w:rsid w:val="00C80DC9"/>
    <w:rsid w:val="00C81229"/>
    <w:rsid w:val="00C81799"/>
    <w:rsid w:val="00C8193F"/>
    <w:rsid w:val="00C81AE8"/>
    <w:rsid w:val="00C81E4A"/>
    <w:rsid w:val="00C821EB"/>
    <w:rsid w:val="00C82290"/>
    <w:rsid w:val="00C82592"/>
    <w:rsid w:val="00C832C1"/>
    <w:rsid w:val="00C8363D"/>
    <w:rsid w:val="00C8402D"/>
    <w:rsid w:val="00C8554B"/>
    <w:rsid w:val="00C8599B"/>
    <w:rsid w:val="00C8746F"/>
    <w:rsid w:val="00C87545"/>
    <w:rsid w:val="00C91CBC"/>
    <w:rsid w:val="00C9284A"/>
    <w:rsid w:val="00C92AE3"/>
    <w:rsid w:val="00C93363"/>
    <w:rsid w:val="00C93BAA"/>
    <w:rsid w:val="00C95257"/>
    <w:rsid w:val="00C95A2F"/>
    <w:rsid w:val="00C95F03"/>
    <w:rsid w:val="00C96ACA"/>
    <w:rsid w:val="00C96B86"/>
    <w:rsid w:val="00C96D07"/>
    <w:rsid w:val="00C978EB"/>
    <w:rsid w:val="00C97BD9"/>
    <w:rsid w:val="00CA01D8"/>
    <w:rsid w:val="00CA0346"/>
    <w:rsid w:val="00CA043B"/>
    <w:rsid w:val="00CA146E"/>
    <w:rsid w:val="00CA28E0"/>
    <w:rsid w:val="00CA30EE"/>
    <w:rsid w:val="00CA3E84"/>
    <w:rsid w:val="00CA3E8E"/>
    <w:rsid w:val="00CA456B"/>
    <w:rsid w:val="00CA51FC"/>
    <w:rsid w:val="00CA5F9A"/>
    <w:rsid w:val="00CA66BF"/>
    <w:rsid w:val="00CA7BCC"/>
    <w:rsid w:val="00CA7EE3"/>
    <w:rsid w:val="00CB03FE"/>
    <w:rsid w:val="00CB0DA8"/>
    <w:rsid w:val="00CB0EC1"/>
    <w:rsid w:val="00CB145A"/>
    <w:rsid w:val="00CB280A"/>
    <w:rsid w:val="00CB2EED"/>
    <w:rsid w:val="00CB3D44"/>
    <w:rsid w:val="00CB4248"/>
    <w:rsid w:val="00CB4C50"/>
    <w:rsid w:val="00CB4D24"/>
    <w:rsid w:val="00CB565A"/>
    <w:rsid w:val="00CB590C"/>
    <w:rsid w:val="00CB707A"/>
    <w:rsid w:val="00CC0111"/>
    <w:rsid w:val="00CC0755"/>
    <w:rsid w:val="00CC1772"/>
    <w:rsid w:val="00CC18D4"/>
    <w:rsid w:val="00CC1BDA"/>
    <w:rsid w:val="00CC24F3"/>
    <w:rsid w:val="00CC29A6"/>
    <w:rsid w:val="00CC2C77"/>
    <w:rsid w:val="00CC2F12"/>
    <w:rsid w:val="00CC30F1"/>
    <w:rsid w:val="00CC3216"/>
    <w:rsid w:val="00CC3303"/>
    <w:rsid w:val="00CC405F"/>
    <w:rsid w:val="00CC4085"/>
    <w:rsid w:val="00CC4573"/>
    <w:rsid w:val="00CC5172"/>
    <w:rsid w:val="00CC523A"/>
    <w:rsid w:val="00CC5295"/>
    <w:rsid w:val="00CC5C21"/>
    <w:rsid w:val="00CC5F92"/>
    <w:rsid w:val="00CC62DB"/>
    <w:rsid w:val="00CC69D0"/>
    <w:rsid w:val="00CC6F31"/>
    <w:rsid w:val="00CC7275"/>
    <w:rsid w:val="00CD050F"/>
    <w:rsid w:val="00CD0B52"/>
    <w:rsid w:val="00CD0CC2"/>
    <w:rsid w:val="00CD0EDA"/>
    <w:rsid w:val="00CD1175"/>
    <w:rsid w:val="00CD1C5E"/>
    <w:rsid w:val="00CD25B9"/>
    <w:rsid w:val="00CD2967"/>
    <w:rsid w:val="00CD2BB2"/>
    <w:rsid w:val="00CD3688"/>
    <w:rsid w:val="00CD3897"/>
    <w:rsid w:val="00CD3DB8"/>
    <w:rsid w:val="00CD51EE"/>
    <w:rsid w:val="00CD5286"/>
    <w:rsid w:val="00CD5478"/>
    <w:rsid w:val="00CD5935"/>
    <w:rsid w:val="00CD5BFC"/>
    <w:rsid w:val="00CD6C47"/>
    <w:rsid w:val="00CD72DA"/>
    <w:rsid w:val="00CD7A6F"/>
    <w:rsid w:val="00CD7B8E"/>
    <w:rsid w:val="00CE0CDB"/>
    <w:rsid w:val="00CE1579"/>
    <w:rsid w:val="00CE16FA"/>
    <w:rsid w:val="00CE246F"/>
    <w:rsid w:val="00CE28F2"/>
    <w:rsid w:val="00CE2CD3"/>
    <w:rsid w:val="00CE40B0"/>
    <w:rsid w:val="00CE43F2"/>
    <w:rsid w:val="00CE4FB3"/>
    <w:rsid w:val="00CE5390"/>
    <w:rsid w:val="00CE56D8"/>
    <w:rsid w:val="00CE78AE"/>
    <w:rsid w:val="00CF07CB"/>
    <w:rsid w:val="00CF1020"/>
    <w:rsid w:val="00CF1F6B"/>
    <w:rsid w:val="00CF234D"/>
    <w:rsid w:val="00CF3711"/>
    <w:rsid w:val="00CF3840"/>
    <w:rsid w:val="00CF3939"/>
    <w:rsid w:val="00CF3C5F"/>
    <w:rsid w:val="00CF3FEC"/>
    <w:rsid w:val="00CF43B7"/>
    <w:rsid w:val="00CF4702"/>
    <w:rsid w:val="00CF5DCB"/>
    <w:rsid w:val="00CF5ED7"/>
    <w:rsid w:val="00D00F67"/>
    <w:rsid w:val="00D0151F"/>
    <w:rsid w:val="00D02689"/>
    <w:rsid w:val="00D0283D"/>
    <w:rsid w:val="00D03617"/>
    <w:rsid w:val="00D04D70"/>
    <w:rsid w:val="00D051F1"/>
    <w:rsid w:val="00D05874"/>
    <w:rsid w:val="00D067B2"/>
    <w:rsid w:val="00D07032"/>
    <w:rsid w:val="00D073E1"/>
    <w:rsid w:val="00D07DF9"/>
    <w:rsid w:val="00D07FDD"/>
    <w:rsid w:val="00D10AAC"/>
    <w:rsid w:val="00D10DBA"/>
    <w:rsid w:val="00D120B0"/>
    <w:rsid w:val="00D1265E"/>
    <w:rsid w:val="00D13A5D"/>
    <w:rsid w:val="00D13FF8"/>
    <w:rsid w:val="00D14982"/>
    <w:rsid w:val="00D151E0"/>
    <w:rsid w:val="00D153D2"/>
    <w:rsid w:val="00D15E60"/>
    <w:rsid w:val="00D1612C"/>
    <w:rsid w:val="00D17F30"/>
    <w:rsid w:val="00D2108F"/>
    <w:rsid w:val="00D21214"/>
    <w:rsid w:val="00D21E9C"/>
    <w:rsid w:val="00D226C6"/>
    <w:rsid w:val="00D227B3"/>
    <w:rsid w:val="00D23289"/>
    <w:rsid w:val="00D236E7"/>
    <w:rsid w:val="00D24285"/>
    <w:rsid w:val="00D2587B"/>
    <w:rsid w:val="00D26220"/>
    <w:rsid w:val="00D26869"/>
    <w:rsid w:val="00D26C9C"/>
    <w:rsid w:val="00D271AB"/>
    <w:rsid w:val="00D30D5E"/>
    <w:rsid w:val="00D30E4B"/>
    <w:rsid w:val="00D311E1"/>
    <w:rsid w:val="00D32790"/>
    <w:rsid w:val="00D33D2A"/>
    <w:rsid w:val="00D342F1"/>
    <w:rsid w:val="00D34435"/>
    <w:rsid w:val="00D353E3"/>
    <w:rsid w:val="00D368DF"/>
    <w:rsid w:val="00D36C3C"/>
    <w:rsid w:val="00D37241"/>
    <w:rsid w:val="00D40BF6"/>
    <w:rsid w:val="00D412C6"/>
    <w:rsid w:val="00D4141C"/>
    <w:rsid w:val="00D42352"/>
    <w:rsid w:val="00D42384"/>
    <w:rsid w:val="00D42450"/>
    <w:rsid w:val="00D4275C"/>
    <w:rsid w:val="00D432A3"/>
    <w:rsid w:val="00D44079"/>
    <w:rsid w:val="00D4411F"/>
    <w:rsid w:val="00D4474B"/>
    <w:rsid w:val="00D45823"/>
    <w:rsid w:val="00D46B6A"/>
    <w:rsid w:val="00D471E5"/>
    <w:rsid w:val="00D478B6"/>
    <w:rsid w:val="00D51053"/>
    <w:rsid w:val="00D510C8"/>
    <w:rsid w:val="00D515D1"/>
    <w:rsid w:val="00D5183F"/>
    <w:rsid w:val="00D51AE3"/>
    <w:rsid w:val="00D5265F"/>
    <w:rsid w:val="00D52C9E"/>
    <w:rsid w:val="00D5388A"/>
    <w:rsid w:val="00D54BF2"/>
    <w:rsid w:val="00D54CFE"/>
    <w:rsid w:val="00D55902"/>
    <w:rsid w:val="00D559E8"/>
    <w:rsid w:val="00D562FC"/>
    <w:rsid w:val="00D5639B"/>
    <w:rsid w:val="00D567B3"/>
    <w:rsid w:val="00D56C84"/>
    <w:rsid w:val="00D56F16"/>
    <w:rsid w:val="00D577B4"/>
    <w:rsid w:val="00D57B3B"/>
    <w:rsid w:val="00D605E1"/>
    <w:rsid w:val="00D611C7"/>
    <w:rsid w:val="00D61274"/>
    <w:rsid w:val="00D621FF"/>
    <w:rsid w:val="00D63371"/>
    <w:rsid w:val="00D63589"/>
    <w:rsid w:val="00D63BEB"/>
    <w:rsid w:val="00D63C81"/>
    <w:rsid w:val="00D649A7"/>
    <w:rsid w:val="00D64C08"/>
    <w:rsid w:val="00D66143"/>
    <w:rsid w:val="00D66696"/>
    <w:rsid w:val="00D66A62"/>
    <w:rsid w:val="00D67ABD"/>
    <w:rsid w:val="00D70991"/>
    <w:rsid w:val="00D709C2"/>
    <w:rsid w:val="00D70F81"/>
    <w:rsid w:val="00D72786"/>
    <w:rsid w:val="00D7278D"/>
    <w:rsid w:val="00D73EC8"/>
    <w:rsid w:val="00D75082"/>
    <w:rsid w:val="00D758A1"/>
    <w:rsid w:val="00D75B3E"/>
    <w:rsid w:val="00D80D09"/>
    <w:rsid w:val="00D80E5F"/>
    <w:rsid w:val="00D81BC8"/>
    <w:rsid w:val="00D8289F"/>
    <w:rsid w:val="00D82DEE"/>
    <w:rsid w:val="00D842FD"/>
    <w:rsid w:val="00D8503C"/>
    <w:rsid w:val="00D85CF4"/>
    <w:rsid w:val="00D85FEE"/>
    <w:rsid w:val="00D866EC"/>
    <w:rsid w:val="00D86D3A"/>
    <w:rsid w:val="00D86D62"/>
    <w:rsid w:val="00D87CEC"/>
    <w:rsid w:val="00D903B5"/>
    <w:rsid w:val="00D904E5"/>
    <w:rsid w:val="00D90CEC"/>
    <w:rsid w:val="00D92063"/>
    <w:rsid w:val="00D92D51"/>
    <w:rsid w:val="00D93391"/>
    <w:rsid w:val="00D93921"/>
    <w:rsid w:val="00D951CB"/>
    <w:rsid w:val="00D9546B"/>
    <w:rsid w:val="00D95DD3"/>
    <w:rsid w:val="00D96BD1"/>
    <w:rsid w:val="00D96CCC"/>
    <w:rsid w:val="00D979FB"/>
    <w:rsid w:val="00D97C33"/>
    <w:rsid w:val="00DA0A26"/>
    <w:rsid w:val="00DA0A3E"/>
    <w:rsid w:val="00DA0C23"/>
    <w:rsid w:val="00DA0FB3"/>
    <w:rsid w:val="00DA2AB3"/>
    <w:rsid w:val="00DA2E89"/>
    <w:rsid w:val="00DA3D12"/>
    <w:rsid w:val="00DA3E05"/>
    <w:rsid w:val="00DA494B"/>
    <w:rsid w:val="00DA4B38"/>
    <w:rsid w:val="00DA4F6D"/>
    <w:rsid w:val="00DA575B"/>
    <w:rsid w:val="00DA5F82"/>
    <w:rsid w:val="00DA6636"/>
    <w:rsid w:val="00DA71AF"/>
    <w:rsid w:val="00DA7843"/>
    <w:rsid w:val="00DB128F"/>
    <w:rsid w:val="00DB1648"/>
    <w:rsid w:val="00DB1CDB"/>
    <w:rsid w:val="00DB21C9"/>
    <w:rsid w:val="00DB2B89"/>
    <w:rsid w:val="00DB36C3"/>
    <w:rsid w:val="00DB4269"/>
    <w:rsid w:val="00DB48CD"/>
    <w:rsid w:val="00DB52B7"/>
    <w:rsid w:val="00DB5C2C"/>
    <w:rsid w:val="00DB5E7C"/>
    <w:rsid w:val="00DB5F82"/>
    <w:rsid w:val="00DB756B"/>
    <w:rsid w:val="00DC0C4C"/>
    <w:rsid w:val="00DC0F89"/>
    <w:rsid w:val="00DC1CD9"/>
    <w:rsid w:val="00DC1EE8"/>
    <w:rsid w:val="00DC2E59"/>
    <w:rsid w:val="00DC3834"/>
    <w:rsid w:val="00DC475B"/>
    <w:rsid w:val="00DC5080"/>
    <w:rsid w:val="00DC56F1"/>
    <w:rsid w:val="00DC576A"/>
    <w:rsid w:val="00DC5D54"/>
    <w:rsid w:val="00DC60A9"/>
    <w:rsid w:val="00DC6D5A"/>
    <w:rsid w:val="00DC7716"/>
    <w:rsid w:val="00DC78CC"/>
    <w:rsid w:val="00DD03D3"/>
    <w:rsid w:val="00DD078A"/>
    <w:rsid w:val="00DD082F"/>
    <w:rsid w:val="00DD0C8D"/>
    <w:rsid w:val="00DD1215"/>
    <w:rsid w:val="00DD1381"/>
    <w:rsid w:val="00DD2073"/>
    <w:rsid w:val="00DD21F2"/>
    <w:rsid w:val="00DD2D7E"/>
    <w:rsid w:val="00DD37D3"/>
    <w:rsid w:val="00DD383E"/>
    <w:rsid w:val="00DD446E"/>
    <w:rsid w:val="00DD4D18"/>
    <w:rsid w:val="00DD50F0"/>
    <w:rsid w:val="00DD5668"/>
    <w:rsid w:val="00DD6FBA"/>
    <w:rsid w:val="00DD796F"/>
    <w:rsid w:val="00DD79EF"/>
    <w:rsid w:val="00DE148E"/>
    <w:rsid w:val="00DE24A2"/>
    <w:rsid w:val="00DE2C42"/>
    <w:rsid w:val="00DE3173"/>
    <w:rsid w:val="00DE3319"/>
    <w:rsid w:val="00DE3ABD"/>
    <w:rsid w:val="00DE4CDA"/>
    <w:rsid w:val="00DE5700"/>
    <w:rsid w:val="00DE5B84"/>
    <w:rsid w:val="00DE60B1"/>
    <w:rsid w:val="00DE6308"/>
    <w:rsid w:val="00DE7170"/>
    <w:rsid w:val="00DF039B"/>
    <w:rsid w:val="00DF2090"/>
    <w:rsid w:val="00DF293F"/>
    <w:rsid w:val="00DF4B27"/>
    <w:rsid w:val="00DF6179"/>
    <w:rsid w:val="00DF7477"/>
    <w:rsid w:val="00DF767A"/>
    <w:rsid w:val="00DF7C3A"/>
    <w:rsid w:val="00E007C4"/>
    <w:rsid w:val="00E00C88"/>
    <w:rsid w:val="00E01A78"/>
    <w:rsid w:val="00E01B01"/>
    <w:rsid w:val="00E02BEB"/>
    <w:rsid w:val="00E02C5B"/>
    <w:rsid w:val="00E02E59"/>
    <w:rsid w:val="00E03052"/>
    <w:rsid w:val="00E0306C"/>
    <w:rsid w:val="00E0339F"/>
    <w:rsid w:val="00E03A9B"/>
    <w:rsid w:val="00E05486"/>
    <w:rsid w:val="00E055DF"/>
    <w:rsid w:val="00E05624"/>
    <w:rsid w:val="00E05863"/>
    <w:rsid w:val="00E06BFE"/>
    <w:rsid w:val="00E0729C"/>
    <w:rsid w:val="00E102A4"/>
    <w:rsid w:val="00E102DA"/>
    <w:rsid w:val="00E1054D"/>
    <w:rsid w:val="00E10697"/>
    <w:rsid w:val="00E107E0"/>
    <w:rsid w:val="00E10E0C"/>
    <w:rsid w:val="00E11376"/>
    <w:rsid w:val="00E12085"/>
    <w:rsid w:val="00E12340"/>
    <w:rsid w:val="00E13021"/>
    <w:rsid w:val="00E13AC7"/>
    <w:rsid w:val="00E13B60"/>
    <w:rsid w:val="00E14685"/>
    <w:rsid w:val="00E14E19"/>
    <w:rsid w:val="00E161ED"/>
    <w:rsid w:val="00E16366"/>
    <w:rsid w:val="00E1666F"/>
    <w:rsid w:val="00E16CE1"/>
    <w:rsid w:val="00E1756D"/>
    <w:rsid w:val="00E1798C"/>
    <w:rsid w:val="00E20538"/>
    <w:rsid w:val="00E20FAF"/>
    <w:rsid w:val="00E225BC"/>
    <w:rsid w:val="00E23107"/>
    <w:rsid w:val="00E23B0C"/>
    <w:rsid w:val="00E23EDD"/>
    <w:rsid w:val="00E240AB"/>
    <w:rsid w:val="00E240AC"/>
    <w:rsid w:val="00E25115"/>
    <w:rsid w:val="00E25A4D"/>
    <w:rsid w:val="00E2645F"/>
    <w:rsid w:val="00E2677B"/>
    <w:rsid w:val="00E269D0"/>
    <w:rsid w:val="00E26D0D"/>
    <w:rsid w:val="00E2707D"/>
    <w:rsid w:val="00E273E8"/>
    <w:rsid w:val="00E27457"/>
    <w:rsid w:val="00E27E91"/>
    <w:rsid w:val="00E301BC"/>
    <w:rsid w:val="00E3070E"/>
    <w:rsid w:val="00E31988"/>
    <w:rsid w:val="00E32C9F"/>
    <w:rsid w:val="00E34048"/>
    <w:rsid w:val="00E3485B"/>
    <w:rsid w:val="00E34E46"/>
    <w:rsid w:val="00E35E11"/>
    <w:rsid w:val="00E409C3"/>
    <w:rsid w:val="00E41ABF"/>
    <w:rsid w:val="00E4266D"/>
    <w:rsid w:val="00E42737"/>
    <w:rsid w:val="00E44586"/>
    <w:rsid w:val="00E4467D"/>
    <w:rsid w:val="00E44A22"/>
    <w:rsid w:val="00E44FDD"/>
    <w:rsid w:val="00E45296"/>
    <w:rsid w:val="00E45401"/>
    <w:rsid w:val="00E45501"/>
    <w:rsid w:val="00E46728"/>
    <w:rsid w:val="00E46D63"/>
    <w:rsid w:val="00E501DB"/>
    <w:rsid w:val="00E50349"/>
    <w:rsid w:val="00E50379"/>
    <w:rsid w:val="00E50793"/>
    <w:rsid w:val="00E507F8"/>
    <w:rsid w:val="00E5237C"/>
    <w:rsid w:val="00E5237E"/>
    <w:rsid w:val="00E52EB0"/>
    <w:rsid w:val="00E54AF3"/>
    <w:rsid w:val="00E54F41"/>
    <w:rsid w:val="00E55779"/>
    <w:rsid w:val="00E558A1"/>
    <w:rsid w:val="00E56C35"/>
    <w:rsid w:val="00E56EDD"/>
    <w:rsid w:val="00E6010F"/>
    <w:rsid w:val="00E61095"/>
    <w:rsid w:val="00E61162"/>
    <w:rsid w:val="00E613BC"/>
    <w:rsid w:val="00E61884"/>
    <w:rsid w:val="00E61B94"/>
    <w:rsid w:val="00E62FF0"/>
    <w:rsid w:val="00E6306E"/>
    <w:rsid w:val="00E632C4"/>
    <w:rsid w:val="00E638F2"/>
    <w:rsid w:val="00E63DC5"/>
    <w:rsid w:val="00E64382"/>
    <w:rsid w:val="00E65510"/>
    <w:rsid w:val="00E65581"/>
    <w:rsid w:val="00E65C83"/>
    <w:rsid w:val="00E66352"/>
    <w:rsid w:val="00E668F5"/>
    <w:rsid w:val="00E67422"/>
    <w:rsid w:val="00E67A95"/>
    <w:rsid w:val="00E67EB1"/>
    <w:rsid w:val="00E70CF1"/>
    <w:rsid w:val="00E7158A"/>
    <w:rsid w:val="00E71AFE"/>
    <w:rsid w:val="00E72DC8"/>
    <w:rsid w:val="00E72F62"/>
    <w:rsid w:val="00E73EBD"/>
    <w:rsid w:val="00E73F26"/>
    <w:rsid w:val="00E7420C"/>
    <w:rsid w:val="00E74857"/>
    <w:rsid w:val="00E760DA"/>
    <w:rsid w:val="00E76317"/>
    <w:rsid w:val="00E777EE"/>
    <w:rsid w:val="00E80465"/>
    <w:rsid w:val="00E807E4"/>
    <w:rsid w:val="00E80F4E"/>
    <w:rsid w:val="00E8101E"/>
    <w:rsid w:val="00E814C4"/>
    <w:rsid w:val="00E81A71"/>
    <w:rsid w:val="00E829FD"/>
    <w:rsid w:val="00E82D9C"/>
    <w:rsid w:val="00E83761"/>
    <w:rsid w:val="00E8383F"/>
    <w:rsid w:val="00E83BBD"/>
    <w:rsid w:val="00E8541D"/>
    <w:rsid w:val="00E86344"/>
    <w:rsid w:val="00E863CF"/>
    <w:rsid w:val="00E87BEB"/>
    <w:rsid w:val="00E90C8F"/>
    <w:rsid w:val="00E91AF2"/>
    <w:rsid w:val="00E922C8"/>
    <w:rsid w:val="00E9295C"/>
    <w:rsid w:val="00E92E56"/>
    <w:rsid w:val="00E939EF"/>
    <w:rsid w:val="00E93E86"/>
    <w:rsid w:val="00E95A3F"/>
    <w:rsid w:val="00E9635D"/>
    <w:rsid w:val="00E963C8"/>
    <w:rsid w:val="00E96591"/>
    <w:rsid w:val="00E96CD6"/>
    <w:rsid w:val="00E97083"/>
    <w:rsid w:val="00E97EBA"/>
    <w:rsid w:val="00EA0FF5"/>
    <w:rsid w:val="00EA17C2"/>
    <w:rsid w:val="00EA19E1"/>
    <w:rsid w:val="00EA1A74"/>
    <w:rsid w:val="00EA20D0"/>
    <w:rsid w:val="00EA3ABD"/>
    <w:rsid w:val="00EA3F2C"/>
    <w:rsid w:val="00EA5424"/>
    <w:rsid w:val="00EA54AB"/>
    <w:rsid w:val="00EA54E5"/>
    <w:rsid w:val="00EA5DEE"/>
    <w:rsid w:val="00EA6CB2"/>
    <w:rsid w:val="00EB11AA"/>
    <w:rsid w:val="00EB3480"/>
    <w:rsid w:val="00EB3902"/>
    <w:rsid w:val="00EB3968"/>
    <w:rsid w:val="00EB3B52"/>
    <w:rsid w:val="00EB4F04"/>
    <w:rsid w:val="00EB5595"/>
    <w:rsid w:val="00EB5983"/>
    <w:rsid w:val="00EB6547"/>
    <w:rsid w:val="00EB7149"/>
    <w:rsid w:val="00EB779C"/>
    <w:rsid w:val="00EB7B32"/>
    <w:rsid w:val="00EB7E11"/>
    <w:rsid w:val="00EC1259"/>
    <w:rsid w:val="00EC3162"/>
    <w:rsid w:val="00EC4819"/>
    <w:rsid w:val="00EC5396"/>
    <w:rsid w:val="00EC5E7B"/>
    <w:rsid w:val="00EC6093"/>
    <w:rsid w:val="00EC60C5"/>
    <w:rsid w:val="00EC6604"/>
    <w:rsid w:val="00EC6BFD"/>
    <w:rsid w:val="00EC7252"/>
    <w:rsid w:val="00EC7581"/>
    <w:rsid w:val="00ED1858"/>
    <w:rsid w:val="00ED3D82"/>
    <w:rsid w:val="00ED410B"/>
    <w:rsid w:val="00ED574F"/>
    <w:rsid w:val="00ED6106"/>
    <w:rsid w:val="00ED61E9"/>
    <w:rsid w:val="00ED7065"/>
    <w:rsid w:val="00ED72D7"/>
    <w:rsid w:val="00ED79D8"/>
    <w:rsid w:val="00EE03F7"/>
    <w:rsid w:val="00EE0904"/>
    <w:rsid w:val="00EE0F22"/>
    <w:rsid w:val="00EE17FC"/>
    <w:rsid w:val="00EE18F8"/>
    <w:rsid w:val="00EE2098"/>
    <w:rsid w:val="00EE2DB0"/>
    <w:rsid w:val="00EE3CAD"/>
    <w:rsid w:val="00EE45A9"/>
    <w:rsid w:val="00EE570B"/>
    <w:rsid w:val="00EE601E"/>
    <w:rsid w:val="00EE6D6D"/>
    <w:rsid w:val="00EE6EE1"/>
    <w:rsid w:val="00EE729E"/>
    <w:rsid w:val="00EE73E9"/>
    <w:rsid w:val="00EF07AA"/>
    <w:rsid w:val="00EF19F1"/>
    <w:rsid w:val="00EF23BC"/>
    <w:rsid w:val="00EF31DA"/>
    <w:rsid w:val="00EF33F8"/>
    <w:rsid w:val="00EF485F"/>
    <w:rsid w:val="00EF616B"/>
    <w:rsid w:val="00EF64B0"/>
    <w:rsid w:val="00EF6DB2"/>
    <w:rsid w:val="00EF74A5"/>
    <w:rsid w:val="00EF7C25"/>
    <w:rsid w:val="00F00077"/>
    <w:rsid w:val="00F00CB9"/>
    <w:rsid w:val="00F00E40"/>
    <w:rsid w:val="00F01736"/>
    <w:rsid w:val="00F01C4C"/>
    <w:rsid w:val="00F01FE3"/>
    <w:rsid w:val="00F020D1"/>
    <w:rsid w:val="00F02D11"/>
    <w:rsid w:val="00F02F11"/>
    <w:rsid w:val="00F03019"/>
    <w:rsid w:val="00F0306D"/>
    <w:rsid w:val="00F037BA"/>
    <w:rsid w:val="00F0415C"/>
    <w:rsid w:val="00F04B81"/>
    <w:rsid w:val="00F04C7B"/>
    <w:rsid w:val="00F051C7"/>
    <w:rsid w:val="00F05B92"/>
    <w:rsid w:val="00F05DD4"/>
    <w:rsid w:val="00F063A3"/>
    <w:rsid w:val="00F06809"/>
    <w:rsid w:val="00F10B38"/>
    <w:rsid w:val="00F119F1"/>
    <w:rsid w:val="00F125BA"/>
    <w:rsid w:val="00F12C6D"/>
    <w:rsid w:val="00F12CE7"/>
    <w:rsid w:val="00F13458"/>
    <w:rsid w:val="00F1363D"/>
    <w:rsid w:val="00F13710"/>
    <w:rsid w:val="00F13BD6"/>
    <w:rsid w:val="00F13C4A"/>
    <w:rsid w:val="00F143EE"/>
    <w:rsid w:val="00F14418"/>
    <w:rsid w:val="00F148D1"/>
    <w:rsid w:val="00F14FB9"/>
    <w:rsid w:val="00F1531B"/>
    <w:rsid w:val="00F1643A"/>
    <w:rsid w:val="00F17E21"/>
    <w:rsid w:val="00F17E74"/>
    <w:rsid w:val="00F201B0"/>
    <w:rsid w:val="00F20537"/>
    <w:rsid w:val="00F207B9"/>
    <w:rsid w:val="00F21B7D"/>
    <w:rsid w:val="00F22077"/>
    <w:rsid w:val="00F221C6"/>
    <w:rsid w:val="00F2294E"/>
    <w:rsid w:val="00F23464"/>
    <w:rsid w:val="00F238AE"/>
    <w:rsid w:val="00F24116"/>
    <w:rsid w:val="00F24DA7"/>
    <w:rsid w:val="00F2510C"/>
    <w:rsid w:val="00F275ED"/>
    <w:rsid w:val="00F27A3B"/>
    <w:rsid w:val="00F27D33"/>
    <w:rsid w:val="00F30695"/>
    <w:rsid w:val="00F3069E"/>
    <w:rsid w:val="00F319D3"/>
    <w:rsid w:val="00F325E6"/>
    <w:rsid w:val="00F32FD6"/>
    <w:rsid w:val="00F337AD"/>
    <w:rsid w:val="00F33A44"/>
    <w:rsid w:val="00F351D5"/>
    <w:rsid w:val="00F35579"/>
    <w:rsid w:val="00F35F38"/>
    <w:rsid w:val="00F40645"/>
    <w:rsid w:val="00F40C3D"/>
    <w:rsid w:val="00F41286"/>
    <w:rsid w:val="00F4128C"/>
    <w:rsid w:val="00F41307"/>
    <w:rsid w:val="00F416D8"/>
    <w:rsid w:val="00F4194F"/>
    <w:rsid w:val="00F421C9"/>
    <w:rsid w:val="00F423D3"/>
    <w:rsid w:val="00F424B3"/>
    <w:rsid w:val="00F42723"/>
    <w:rsid w:val="00F439AF"/>
    <w:rsid w:val="00F46167"/>
    <w:rsid w:val="00F4676A"/>
    <w:rsid w:val="00F477B0"/>
    <w:rsid w:val="00F47F81"/>
    <w:rsid w:val="00F501F4"/>
    <w:rsid w:val="00F505BD"/>
    <w:rsid w:val="00F514B1"/>
    <w:rsid w:val="00F51AE2"/>
    <w:rsid w:val="00F51BE8"/>
    <w:rsid w:val="00F52801"/>
    <w:rsid w:val="00F5284C"/>
    <w:rsid w:val="00F53ACA"/>
    <w:rsid w:val="00F53D1B"/>
    <w:rsid w:val="00F5414B"/>
    <w:rsid w:val="00F543B0"/>
    <w:rsid w:val="00F54510"/>
    <w:rsid w:val="00F5507A"/>
    <w:rsid w:val="00F55EEB"/>
    <w:rsid w:val="00F56027"/>
    <w:rsid w:val="00F566CD"/>
    <w:rsid w:val="00F56D69"/>
    <w:rsid w:val="00F57682"/>
    <w:rsid w:val="00F60D13"/>
    <w:rsid w:val="00F60D27"/>
    <w:rsid w:val="00F60F70"/>
    <w:rsid w:val="00F61D20"/>
    <w:rsid w:val="00F62524"/>
    <w:rsid w:val="00F62E0A"/>
    <w:rsid w:val="00F62E63"/>
    <w:rsid w:val="00F62EB6"/>
    <w:rsid w:val="00F64453"/>
    <w:rsid w:val="00F6463A"/>
    <w:rsid w:val="00F648B5"/>
    <w:rsid w:val="00F64A90"/>
    <w:rsid w:val="00F65E21"/>
    <w:rsid w:val="00F66633"/>
    <w:rsid w:val="00F66ED5"/>
    <w:rsid w:val="00F7015C"/>
    <w:rsid w:val="00F70A1F"/>
    <w:rsid w:val="00F71264"/>
    <w:rsid w:val="00F71327"/>
    <w:rsid w:val="00F719E1"/>
    <w:rsid w:val="00F71D4F"/>
    <w:rsid w:val="00F735D6"/>
    <w:rsid w:val="00F742FA"/>
    <w:rsid w:val="00F7472A"/>
    <w:rsid w:val="00F751CC"/>
    <w:rsid w:val="00F753E8"/>
    <w:rsid w:val="00F75B8B"/>
    <w:rsid w:val="00F766CD"/>
    <w:rsid w:val="00F76CED"/>
    <w:rsid w:val="00F77811"/>
    <w:rsid w:val="00F807D1"/>
    <w:rsid w:val="00F8097B"/>
    <w:rsid w:val="00F80E98"/>
    <w:rsid w:val="00F81148"/>
    <w:rsid w:val="00F82904"/>
    <w:rsid w:val="00F83B5B"/>
    <w:rsid w:val="00F840D7"/>
    <w:rsid w:val="00F8449B"/>
    <w:rsid w:val="00F84C04"/>
    <w:rsid w:val="00F85219"/>
    <w:rsid w:val="00F85C88"/>
    <w:rsid w:val="00F86523"/>
    <w:rsid w:val="00F87050"/>
    <w:rsid w:val="00F87A5B"/>
    <w:rsid w:val="00F9106F"/>
    <w:rsid w:val="00F92A84"/>
    <w:rsid w:val="00F9353A"/>
    <w:rsid w:val="00F94B6F"/>
    <w:rsid w:val="00F95235"/>
    <w:rsid w:val="00F958DA"/>
    <w:rsid w:val="00F95BAD"/>
    <w:rsid w:val="00FA02B5"/>
    <w:rsid w:val="00FA05A9"/>
    <w:rsid w:val="00FA16BF"/>
    <w:rsid w:val="00FA1DD0"/>
    <w:rsid w:val="00FA20C1"/>
    <w:rsid w:val="00FA20E7"/>
    <w:rsid w:val="00FA22D4"/>
    <w:rsid w:val="00FA2508"/>
    <w:rsid w:val="00FA36A1"/>
    <w:rsid w:val="00FA38FB"/>
    <w:rsid w:val="00FA44AA"/>
    <w:rsid w:val="00FA54E6"/>
    <w:rsid w:val="00FA5610"/>
    <w:rsid w:val="00FA63FD"/>
    <w:rsid w:val="00FA7484"/>
    <w:rsid w:val="00FA749E"/>
    <w:rsid w:val="00FA7680"/>
    <w:rsid w:val="00FB0828"/>
    <w:rsid w:val="00FB09D3"/>
    <w:rsid w:val="00FB0A8B"/>
    <w:rsid w:val="00FB131E"/>
    <w:rsid w:val="00FB15AA"/>
    <w:rsid w:val="00FB1802"/>
    <w:rsid w:val="00FB2ED3"/>
    <w:rsid w:val="00FB33FF"/>
    <w:rsid w:val="00FB3405"/>
    <w:rsid w:val="00FB3840"/>
    <w:rsid w:val="00FB38F9"/>
    <w:rsid w:val="00FB4215"/>
    <w:rsid w:val="00FB46ED"/>
    <w:rsid w:val="00FB471D"/>
    <w:rsid w:val="00FB48BB"/>
    <w:rsid w:val="00FB4D60"/>
    <w:rsid w:val="00FB4DFC"/>
    <w:rsid w:val="00FB4E9A"/>
    <w:rsid w:val="00FB5000"/>
    <w:rsid w:val="00FB5B27"/>
    <w:rsid w:val="00FB642B"/>
    <w:rsid w:val="00FB675E"/>
    <w:rsid w:val="00FB6CC6"/>
    <w:rsid w:val="00FB77A2"/>
    <w:rsid w:val="00FC11FC"/>
    <w:rsid w:val="00FC1353"/>
    <w:rsid w:val="00FC25B4"/>
    <w:rsid w:val="00FC2752"/>
    <w:rsid w:val="00FC2B73"/>
    <w:rsid w:val="00FC3EBB"/>
    <w:rsid w:val="00FC47EE"/>
    <w:rsid w:val="00FC5174"/>
    <w:rsid w:val="00FC52FB"/>
    <w:rsid w:val="00FC5C9F"/>
    <w:rsid w:val="00FC5E75"/>
    <w:rsid w:val="00FC63C1"/>
    <w:rsid w:val="00FC6A1A"/>
    <w:rsid w:val="00FC6C6C"/>
    <w:rsid w:val="00FC6F35"/>
    <w:rsid w:val="00FC70B7"/>
    <w:rsid w:val="00FD0519"/>
    <w:rsid w:val="00FD08B5"/>
    <w:rsid w:val="00FD09F7"/>
    <w:rsid w:val="00FD1CB2"/>
    <w:rsid w:val="00FD2254"/>
    <w:rsid w:val="00FD235A"/>
    <w:rsid w:val="00FD2422"/>
    <w:rsid w:val="00FD508C"/>
    <w:rsid w:val="00FD55AC"/>
    <w:rsid w:val="00FD5C2A"/>
    <w:rsid w:val="00FD6CDB"/>
    <w:rsid w:val="00FE0019"/>
    <w:rsid w:val="00FE021C"/>
    <w:rsid w:val="00FE06A1"/>
    <w:rsid w:val="00FE092D"/>
    <w:rsid w:val="00FE0951"/>
    <w:rsid w:val="00FE09FD"/>
    <w:rsid w:val="00FE0A96"/>
    <w:rsid w:val="00FE1506"/>
    <w:rsid w:val="00FE1570"/>
    <w:rsid w:val="00FE269E"/>
    <w:rsid w:val="00FE2728"/>
    <w:rsid w:val="00FE34CB"/>
    <w:rsid w:val="00FE35DA"/>
    <w:rsid w:val="00FE4796"/>
    <w:rsid w:val="00FE48AF"/>
    <w:rsid w:val="00FE50AF"/>
    <w:rsid w:val="00FE5144"/>
    <w:rsid w:val="00FE5E9B"/>
    <w:rsid w:val="00FE610F"/>
    <w:rsid w:val="00FE66FB"/>
    <w:rsid w:val="00FE67B5"/>
    <w:rsid w:val="00FE73CD"/>
    <w:rsid w:val="00FE7D9F"/>
    <w:rsid w:val="00FF0534"/>
    <w:rsid w:val="00FF0B4F"/>
    <w:rsid w:val="00FF1B22"/>
    <w:rsid w:val="00FF1D5A"/>
    <w:rsid w:val="00FF20DE"/>
    <w:rsid w:val="00FF3786"/>
    <w:rsid w:val="00FF53E7"/>
    <w:rsid w:val="00FF5B8F"/>
    <w:rsid w:val="00FF5D6B"/>
    <w:rsid w:val="00FF61D2"/>
    <w:rsid w:val="00FF67CA"/>
    <w:rsid w:val="00FF6CC5"/>
    <w:rsid w:val="00FF6EB7"/>
    <w:rsid w:val="00FF70FB"/>
    <w:rsid w:val="00FF7A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494"/>
    <w:pPr>
      <w:spacing w:before="120" w:line="276" w:lineRule="auto"/>
      <w:jc w:val="both"/>
    </w:pPr>
    <w:rPr>
      <w:sz w:val="24"/>
      <w:szCs w:val="24"/>
      <w:lang w:eastAsia="en-US"/>
    </w:rPr>
  </w:style>
  <w:style w:type="paragraph" w:styleId="Heading1">
    <w:name w:val="heading 1"/>
    <w:next w:val="BodyText"/>
    <w:link w:val="Heading1Char"/>
    <w:uiPriority w:val="9"/>
    <w:qFormat/>
    <w:rsid w:val="00C23683"/>
    <w:pPr>
      <w:pageBreakBefore/>
      <w:numPr>
        <w:numId w:val="9"/>
      </w:numPr>
      <w:spacing w:before="200" w:after="240"/>
      <w:jc w:val="both"/>
      <w:outlineLvl w:val="0"/>
    </w:pPr>
    <w:rPr>
      <w:rFonts w:asciiTheme="minorHAnsi" w:eastAsia="Times New Roman" w:hAnsiTheme="minorHAnsi"/>
      <w:b/>
      <w:color w:val="4F81BD"/>
      <w:sz w:val="40"/>
      <w:szCs w:val="32"/>
      <w:lang w:eastAsia="en-US"/>
    </w:rPr>
  </w:style>
  <w:style w:type="paragraph" w:styleId="Heading2">
    <w:name w:val="heading 2"/>
    <w:next w:val="Normal"/>
    <w:link w:val="Heading2Char"/>
    <w:uiPriority w:val="9"/>
    <w:unhideWhenUsed/>
    <w:qFormat/>
    <w:rsid w:val="00C23683"/>
    <w:pPr>
      <w:keepNext/>
      <w:numPr>
        <w:ilvl w:val="1"/>
        <w:numId w:val="9"/>
      </w:numPr>
      <w:spacing w:before="200" w:after="240"/>
      <w:jc w:val="both"/>
      <w:outlineLvl w:val="1"/>
    </w:pPr>
    <w:rPr>
      <w:rFonts w:asciiTheme="minorHAnsi" w:eastAsia="Times New Roman" w:hAnsiTheme="minorHAnsi"/>
      <w:b/>
      <w:color w:val="4F81BD"/>
      <w:sz w:val="32"/>
      <w:szCs w:val="26"/>
      <w:lang w:eastAsia="en-US"/>
    </w:rPr>
  </w:style>
  <w:style w:type="paragraph" w:styleId="Heading3">
    <w:name w:val="heading 3"/>
    <w:next w:val="BodyText"/>
    <w:link w:val="Heading3Char"/>
    <w:uiPriority w:val="9"/>
    <w:unhideWhenUsed/>
    <w:qFormat/>
    <w:rsid w:val="00522F52"/>
    <w:pPr>
      <w:keepNext/>
      <w:numPr>
        <w:ilvl w:val="2"/>
        <w:numId w:val="9"/>
      </w:numPr>
      <w:spacing w:after="200"/>
      <w:jc w:val="both"/>
      <w:outlineLvl w:val="2"/>
    </w:pPr>
    <w:rPr>
      <w:rFonts w:asciiTheme="minorHAnsi" w:eastAsia="Times New Roman" w:hAnsiTheme="minorHAnsi"/>
      <w:b/>
      <w:i/>
      <w:sz w:val="30"/>
      <w:szCs w:val="24"/>
      <w:lang w:eastAsia="en-US"/>
    </w:rPr>
  </w:style>
  <w:style w:type="paragraph" w:styleId="Heading4">
    <w:name w:val="heading 4"/>
    <w:next w:val="BodyText"/>
    <w:link w:val="Heading4Char"/>
    <w:uiPriority w:val="9"/>
    <w:unhideWhenUsed/>
    <w:qFormat/>
    <w:rsid w:val="00153E18"/>
    <w:pPr>
      <w:keepNext/>
      <w:keepLines/>
      <w:numPr>
        <w:ilvl w:val="3"/>
        <w:numId w:val="9"/>
      </w:numPr>
      <w:spacing w:before="240" w:line="276" w:lineRule="auto"/>
      <w:jc w:val="both"/>
      <w:outlineLvl w:val="3"/>
    </w:pPr>
    <w:rPr>
      <w:rFonts w:asciiTheme="minorHAnsi" w:eastAsia="Times New Roman" w:hAnsiTheme="minorHAnsi"/>
      <w:b/>
      <w:iCs/>
      <w:sz w:val="24"/>
      <w:szCs w:val="24"/>
      <w:lang w:eastAsia="en-US"/>
    </w:rPr>
  </w:style>
  <w:style w:type="paragraph" w:styleId="Heading5">
    <w:name w:val="heading 5"/>
    <w:next w:val="BodyText"/>
    <w:link w:val="Heading5Char"/>
    <w:uiPriority w:val="9"/>
    <w:unhideWhenUsed/>
    <w:qFormat/>
    <w:rsid w:val="006068D9"/>
    <w:pPr>
      <w:keepNext/>
      <w:numPr>
        <w:ilvl w:val="4"/>
        <w:numId w:val="9"/>
      </w:numPr>
      <w:spacing w:before="120" w:line="276" w:lineRule="auto"/>
      <w:jc w:val="both"/>
      <w:outlineLvl w:val="4"/>
    </w:pPr>
    <w:rPr>
      <w:rFonts w:eastAsia="Times New Roman"/>
      <w:sz w:val="24"/>
      <w:szCs w:val="24"/>
      <w:u w:val="single"/>
      <w:lang w:eastAsia="en-US"/>
    </w:rPr>
  </w:style>
  <w:style w:type="paragraph" w:styleId="Heading6">
    <w:name w:val="heading 6"/>
    <w:next w:val="BodyText"/>
    <w:link w:val="Heading6Char"/>
    <w:uiPriority w:val="9"/>
    <w:unhideWhenUsed/>
    <w:qFormat/>
    <w:rsid w:val="006068D9"/>
    <w:pPr>
      <w:keepNext/>
      <w:keepLines/>
      <w:numPr>
        <w:ilvl w:val="5"/>
        <w:numId w:val="9"/>
      </w:numPr>
      <w:spacing w:before="40"/>
      <w:outlineLvl w:val="5"/>
    </w:pPr>
    <w:rPr>
      <w:rFonts w:ascii="Calibri" w:eastAsia="Times New Roman" w:hAnsi="Calibri"/>
      <w:i/>
      <w:sz w:val="24"/>
      <w:szCs w:val="24"/>
      <w:lang w:eastAsia="en-US"/>
    </w:rPr>
  </w:style>
  <w:style w:type="paragraph" w:styleId="Heading7">
    <w:name w:val="heading 7"/>
    <w:aliases w:val="App Heading 1"/>
    <w:next w:val="BodyText"/>
    <w:link w:val="Heading7Char"/>
    <w:uiPriority w:val="9"/>
    <w:unhideWhenUsed/>
    <w:qFormat/>
    <w:rsid w:val="006068D9"/>
    <w:pPr>
      <w:pageBreakBefore/>
      <w:numPr>
        <w:ilvl w:val="6"/>
        <w:numId w:val="9"/>
      </w:numPr>
      <w:tabs>
        <w:tab w:val="left" w:pos="2268"/>
      </w:tabs>
      <w:spacing w:after="360" w:line="276" w:lineRule="auto"/>
      <w:ind w:left="0"/>
      <w:jc w:val="both"/>
      <w:outlineLvl w:val="6"/>
    </w:pPr>
    <w:rPr>
      <w:rFonts w:eastAsia="Times New Roman"/>
      <w:b/>
      <w:iCs/>
      <w:color w:val="4F81BD"/>
      <w:sz w:val="36"/>
      <w:szCs w:val="24"/>
      <w:lang w:eastAsia="en-US"/>
    </w:rPr>
  </w:style>
  <w:style w:type="paragraph" w:styleId="Heading8">
    <w:name w:val="heading 8"/>
    <w:aliases w:val="App Heading 2"/>
    <w:next w:val="BodyText"/>
    <w:link w:val="Heading8Char"/>
    <w:uiPriority w:val="9"/>
    <w:unhideWhenUsed/>
    <w:qFormat/>
    <w:rsid w:val="006068D9"/>
    <w:pPr>
      <w:keepNext/>
      <w:numPr>
        <w:ilvl w:val="7"/>
        <w:numId w:val="9"/>
      </w:numPr>
      <w:tabs>
        <w:tab w:val="left" w:pos="851"/>
      </w:tabs>
      <w:spacing w:before="360" w:line="276" w:lineRule="auto"/>
      <w:jc w:val="both"/>
      <w:outlineLvl w:val="7"/>
    </w:pPr>
    <w:rPr>
      <w:rFonts w:eastAsia="Times New Roman"/>
      <w:color w:val="4F81BD"/>
      <w:sz w:val="32"/>
      <w:szCs w:val="21"/>
      <w:lang w:eastAsia="en-US"/>
    </w:rPr>
  </w:style>
  <w:style w:type="paragraph" w:styleId="Heading9">
    <w:name w:val="heading 9"/>
    <w:aliases w:val="App Heading 3"/>
    <w:next w:val="BodyText"/>
    <w:link w:val="Heading9Char"/>
    <w:uiPriority w:val="9"/>
    <w:unhideWhenUsed/>
    <w:qFormat/>
    <w:rsid w:val="006068D9"/>
    <w:pPr>
      <w:keepNext/>
      <w:numPr>
        <w:ilvl w:val="8"/>
        <w:numId w:val="9"/>
      </w:numPr>
      <w:tabs>
        <w:tab w:val="left" w:pos="851"/>
      </w:tabs>
      <w:spacing w:before="360" w:line="276" w:lineRule="auto"/>
      <w:jc w:val="both"/>
      <w:outlineLvl w:val="8"/>
    </w:pPr>
    <w:rPr>
      <w:rFonts w:eastAsia="Times New Roman"/>
      <w:b/>
      <w:i/>
      <w:iCs/>
      <w:color w:val="272727"/>
      <w:sz w:val="2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23683"/>
    <w:rPr>
      <w:rFonts w:asciiTheme="minorHAnsi" w:eastAsia="Times New Roman" w:hAnsiTheme="minorHAnsi"/>
      <w:b/>
      <w:color w:val="4F81BD"/>
      <w:sz w:val="40"/>
      <w:szCs w:val="32"/>
      <w:lang w:eastAsia="en-US"/>
    </w:rPr>
  </w:style>
  <w:style w:type="paragraph" w:customStyle="1" w:styleId="ToR">
    <w:name w:val="ToR"/>
    <w:next w:val="BodyText"/>
    <w:qFormat/>
    <w:rsid w:val="003F03FF"/>
    <w:pPr>
      <w:tabs>
        <w:tab w:val="left" w:pos="794"/>
      </w:tabs>
      <w:spacing w:before="240" w:line="276" w:lineRule="auto"/>
      <w:jc w:val="both"/>
    </w:pPr>
    <w:rPr>
      <w:i/>
      <w:sz w:val="24"/>
      <w:szCs w:val="24"/>
      <w:lang w:eastAsia="en-US"/>
    </w:rPr>
  </w:style>
  <w:style w:type="paragraph" w:styleId="BodyText">
    <w:name w:val="Body Text"/>
    <w:link w:val="BodyTextChar"/>
    <w:uiPriority w:val="99"/>
    <w:unhideWhenUsed/>
    <w:rsid w:val="008E29BE"/>
    <w:pPr>
      <w:spacing w:before="240" w:line="276" w:lineRule="auto"/>
      <w:jc w:val="both"/>
    </w:pPr>
    <w:rPr>
      <w:sz w:val="24"/>
      <w:szCs w:val="24"/>
      <w:lang w:eastAsia="en-US"/>
    </w:rPr>
  </w:style>
  <w:style w:type="character" w:customStyle="1" w:styleId="BodyTextChar">
    <w:name w:val="Body Text Char"/>
    <w:basedOn w:val="DefaultParagraphFont"/>
    <w:link w:val="BodyText"/>
    <w:uiPriority w:val="99"/>
    <w:rsid w:val="008E29BE"/>
  </w:style>
  <w:style w:type="paragraph" w:customStyle="1" w:styleId="ToRsinboxwithhangingindent">
    <w:name w:val="ToRs in box with hanging indent"/>
    <w:qFormat/>
    <w:rsid w:val="005B5D2A"/>
    <w:pPr>
      <w:keepNext/>
      <w:pBdr>
        <w:top w:val="single" w:sz="4" w:space="8" w:color="auto"/>
        <w:left w:val="single" w:sz="4" w:space="4" w:color="auto"/>
        <w:bottom w:val="single" w:sz="4" w:space="8" w:color="auto"/>
        <w:right w:val="single" w:sz="4" w:space="4" w:color="auto"/>
      </w:pBdr>
      <w:shd w:val="clear" w:color="auto" w:fill="F2F2F2"/>
      <w:tabs>
        <w:tab w:val="left" w:pos="1304"/>
      </w:tabs>
      <w:spacing w:before="120" w:line="276" w:lineRule="auto"/>
      <w:ind w:left="1304" w:hanging="1304"/>
      <w:jc w:val="both"/>
    </w:pPr>
    <w:rPr>
      <w:sz w:val="24"/>
      <w:szCs w:val="24"/>
      <w:lang w:eastAsia="en-US"/>
    </w:rPr>
  </w:style>
  <w:style w:type="character" w:customStyle="1" w:styleId="Heading2Char">
    <w:name w:val="Heading 2 Char"/>
    <w:link w:val="Heading2"/>
    <w:uiPriority w:val="9"/>
    <w:rsid w:val="00C23683"/>
    <w:rPr>
      <w:rFonts w:asciiTheme="minorHAnsi" w:eastAsia="Times New Roman" w:hAnsiTheme="minorHAnsi"/>
      <w:b/>
      <w:color w:val="4F81BD"/>
      <w:sz w:val="32"/>
      <w:szCs w:val="26"/>
      <w:lang w:eastAsia="en-US"/>
    </w:rPr>
  </w:style>
  <w:style w:type="paragraph" w:customStyle="1" w:styleId="ToRinbox">
    <w:name w:val="ToR in box"/>
    <w:basedOn w:val="ToRsinboxwithhangingindent"/>
    <w:qFormat/>
    <w:rsid w:val="00BB390F"/>
    <w:pPr>
      <w:pBdr>
        <w:top w:val="single" w:sz="4" w:space="6" w:color="auto"/>
        <w:bottom w:val="single" w:sz="4" w:space="6" w:color="auto"/>
      </w:pBdr>
      <w:tabs>
        <w:tab w:val="clear" w:pos="1304"/>
      </w:tabs>
      <w:ind w:left="0" w:firstLine="0"/>
    </w:pPr>
  </w:style>
  <w:style w:type="character" w:customStyle="1" w:styleId="Heading3Char">
    <w:name w:val="Heading 3 Char"/>
    <w:link w:val="Heading3"/>
    <w:uiPriority w:val="9"/>
    <w:rsid w:val="00522F52"/>
    <w:rPr>
      <w:rFonts w:asciiTheme="minorHAnsi" w:eastAsia="Times New Roman" w:hAnsiTheme="minorHAnsi"/>
      <w:b/>
      <w:i/>
      <w:sz w:val="30"/>
      <w:szCs w:val="24"/>
      <w:lang w:eastAsia="en-US"/>
    </w:rPr>
  </w:style>
  <w:style w:type="paragraph" w:customStyle="1" w:styleId="Bullettext">
    <w:name w:val="Bullet text"/>
    <w:link w:val="BullettextChar"/>
    <w:qFormat/>
    <w:rsid w:val="00907F4C"/>
    <w:pPr>
      <w:numPr>
        <w:numId w:val="10"/>
      </w:numPr>
      <w:spacing w:before="120" w:line="276" w:lineRule="auto"/>
      <w:contextualSpacing/>
      <w:jc w:val="both"/>
    </w:pPr>
    <w:rPr>
      <w:sz w:val="24"/>
      <w:szCs w:val="24"/>
      <w:lang w:eastAsia="en-US"/>
    </w:rPr>
  </w:style>
  <w:style w:type="paragraph" w:customStyle="1" w:styleId="Bullettextsecondlevel">
    <w:name w:val="Bullet text second level"/>
    <w:qFormat/>
    <w:rsid w:val="00907F4C"/>
    <w:pPr>
      <w:numPr>
        <w:numId w:val="1"/>
      </w:numPr>
      <w:spacing w:line="276" w:lineRule="auto"/>
      <w:ind w:left="851" w:hanging="284"/>
      <w:jc w:val="both"/>
    </w:pPr>
    <w:rPr>
      <w:sz w:val="24"/>
      <w:szCs w:val="24"/>
      <w:lang w:eastAsia="en-US"/>
    </w:rPr>
  </w:style>
  <w:style w:type="character" w:customStyle="1" w:styleId="Heading4Char">
    <w:name w:val="Heading 4 Char"/>
    <w:link w:val="Heading4"/>
    <w:uiPriority w:val="9"/>
    <w:rsid w:val="00153E18"/>
    <w:rPr>
      <w:rFonts w:asciiTheme="minorHAnsi" w:eastAsia="Times New Roman" w:hAnsiTheme="minorHAnsi"/>
      <w:b/>
      <w:iCs/>
      <w:sz w:val="24"/>
      <w:szCs w:val="24"/>
      <w:lang w:eastAsia="en-US"/>
    </w:rPr>
  </w:style>
  <w:style w:type="character" w:customStyle="1" w:styleId="Heading5Char">
    <w:name w:val="Heading 5 Char"/>
    <w:link w:val="Heading5"/>
    <w:uiPriority w:val="9"/>
    <w:rsid w:val="00D866EC"/>
    <w:rPr>
      <w:rFonts w:eastAsia="Times New Roman"/>
      <w:sz w:val="24"/>
      <w:szCs w:val="24"/>
      <w:u w:val="single"/>
      <w:lang w:eastAsia="en-US"/>
    </w:rPr>
  </w:style>
  <w:style w:type="paragraph" w:customStyle="1" w:styleId="BodyTextnospacebefore">
    <w:name w:val="Body Text – no space before"/>
    <w:next w:val="BodyText"/>
    <w:qFormat/>
    <w:rsid w:val="00E939EF"/>
    <w:pPr>
      <w:spacing w:after="200" w:line="276" w:lineRule="auto"/>
    </w:pPr>
    <w:rPr>
      <w:rFonts w:asciiTheme="minorHAnsi" w:hAnsiTheme="minorHAnsi"/>
      <w:sz w:val="24"/>
      <w:szCs w:val="24"/>
      <w:lang w:eastAsia="en-US"/>
    </w:rPr>
  </w:style>
  <w:style w:type="paragraph" w:styleId="TableofAuthorities">
    <w:name w:val="table of authorities"/>
    <w:basedOn w:val="Normal"/>
    <w:next w:val="Normal"/>
    <w:uiPriority w:val="99"/>
    <w:semiHidden/>
    <w:unhideWhenUsed/>
    <w:rsid w:val="00834197"/>
    <w:pPr>
      <w:ind w:left="240" w:hanging="240"/>
    </w:pPr>
  </w:style>
  <w:style w:type="paragraph" w:customStyle="1" w:styleId="05Tabletext">
    <w:name w:val="05 Table text"/>
    <w:next w:val="06Tabletextspacebefore"/>
    <w:qFormat/>
    <w:rsid w:val="005940CE"/>
    <w:pPr>
      <w:spacing w:before="20"/>
      <w:ind w:left="57" w:right="57"/>
    </w:pPr>
    <w:rPr>
      <w:rFonts w:ascii="Arial Narrow" w:hAnsi="Arial Narrow"/>
      <w:sz w:val="18"/>
      <w:szCs w:val="24"/>
      <w:lang w:eastAsia="en-US"/>
    </w:rPr>
  </w:style>
  <w:style w:type="table" w:styleId="TableGrid">
    <w:name w:val="Table Grid"/>
    <w:basedOn w:val="TableNormal"/>
    <w:rsid w:val="00E01A78"/>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tblPr/>
      <w:trPr>
        <w:tblHeader/>
      </w:trPr>
      <w:tcPr>
        <w:shd w:val="clear" w:color="auto" w:fill="BFBFBF"/>
      </w:tcPr>
    </w:tblStyle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next w:val="05Tabletext"/>
    <w:link w:val="CaptionChar"/>
    <w:uiPriority w:val="35"/>
    <w:unhideWhenUsed/>
    <w:qFormat/>
    <w:rsid w:val="00665040"/>
    <w:pPr>
      <w:keepNext/>
      <w:tabs>
        <w:tab w:val="left" w:pos="1134"/>
      </w:tabs>
      <w:spacing w:before="240" w:after="40"/>
      <w:ind w:left="1134" w:hanging="1134"/>
      <w:jc w:val="both"/>
    </w:pPr>
    <w:rPr>
      <w:rFonts w:asciiTheme="minorHAnsi" w:hAnsiTheme="minorHAnsi"/>
      <w:b/>
      <w:iCs/>
      <w:sz w:val="24"/>
      <w:szCs w:val="18"/>
      <w:lang w:eastAsia="en-US"/>
    </w:rPr>
  </w:style>
  <w:style w:type="paragraph" w:customStyle="1" w:styleId="06Tabletextspacebefore">
    <w:name w:val="06 Table text space before"/>
    <w:qFormat/>
    <w:rsid w:val="002C3009"/>
    <w:pPr>
      <w:spacing w:before="80"/>
      <w:ind w:left="57" w:right="57"/>
    </w:pPr>
    <w:rPr>
      <w:rFonts w:ascii="Arial" w:hAnsi="Arial"/>
      <w:szCs w:val="24"/>
      <w:lang w:eastAsia="en-US"/>
    </w:rPr>
  </w:style>
  <w:style w:type="paragraph" w:customStyle="1" w:styleId="10TableorFigurefootnote">
    <w:name w:val="10 Table or Figure footnote"/>
    <w:qFormat/>
    <w:rsid w:val="0063506B"/>
    <w:pPr>
      <w:keepNext/>
    </w:pPr>
    <w:rPr>
      <w:rFonts w:ascii="Arial Narrow" w:hAnsi="Arial Narrow"/>
      <w:sz w:val="16"/>
      <w:szCs w:val="24"/>
      <w:lang w:eastAsia="en-US"/>
    </w:rPr>
  </w:style>
  <w:style w:type="paragraph" w:customStyle="1" w:styleId="11TableorFigurefootnotenostick">
    <w:name w:val="11 Table or Figure footnote – no stick"/>
    <w:next w:val="BodyText"/>
    <w:qFormat/>
    <w:rsid w:val="0099024A"/>
    <w:pPr>
      <w:spacing w:after="360"/>
    </w:pPr>
    <w:rPr>
      <w:rFonts w:ascii="Arial Narrow" w:hAnsi="Arial Narrow"/>
      <w:sz w:val="16"/>
      <w:szCs w:val="24"/>
      <w:lang w:eastAsia="en-US"/>
    </w:rPr>
  </w:style>
  <w:style w:type="paragraph" w:customStyle="1" w:styleId="01TableHEADINGleftaligned">
    <w:name w:val="01 Table HEADING left aligned"/>
    <w:basedOn w:val="BodyText"/>
    <w:qFormat/>
    <w:rsid w:val="003D0211"/>
    <w:pPr>
      <w:keepNext/>
      <w:spacing w:before="60" w:line="240" w:lineRule="auto"/>
      <w:ind w:left="57" w:right="57"/>
      <w:jc w:val="left"/>
    </w:pPr>
    <w:rPr>
      <w:rFonts w:ascii="Arial Narrow" w:hAnsi="Arial Narrow"/>
      <w:b/>
      <w:sz w:val="18"/>
    </w:rPr>
  </w:style>
  <w:style w:type="paragraph" w:customStyle="1" w:styleId="02TableHEADINGcentred">
    <w:name w:val="02 Table HEADING centred"/>
    <w:qFormat/>
    <w:rsid w:val="009800DE"/>
    <w:pPr>
      <w:keepNext/>
      <w:spacing w:before="60"/>
      <w:ind w:left="57" w:right="57"/>
      <w:jc w:val="center"/>
    </w:pPr>
    <w:rPr>
      <w:rFonts w:ascii="Arial Narrow" w:hAnsi="Arial Narrow"/>
      <w:b/>
      <w:sz w:val="18"/>
      <w:szCs w:val="24"/>
      <w:lang w:eastAsia="en-US"/>
    </w:rPr>
  </w:style>
  <w:style w:type="paragraph" w:customStyle="1" w:styleId="09Tablerightaligned">
    <w:name w:val="09 Table right aligned ($)"/>
    <w:qFormat/>
    <w:rsid w:val="00E01A78"/>
    <w:pPr>
      <w:spacing w:before="20"/>
      <w:ind w:left="57" w:right="170"/>
      <w:jc w:val="right"/>
    </w:pPr>
    <w:rPr>
      <w:rFonts w:ascii="Arial Narrow" w:hAnsi="Arial Narrow"/>
      <w:sz w:val="18"/>
      <w:szCs w:val="24"/>
      <w:lang w:eastAsia="en-US"/>
    </w:rPr>
  </w:style>
  <w:style w:type="paragraph" w:customStyle="1" w:styleId="07Tablebullet">
    <w:name w:val="07 Table bullet"/>
    <w:qFormat/>
    <w:rsid w:val="002C3009"/>
    <w:pPr>
      <w:numPr>
        <w:numId w:val="2"/>
      </w:numPr>
      <w:ind w:left="227" w:right="57" w:hanging="170"/>
    </w:pPr>
    <w:rPr>
      <w:rFonts w:ascii="Arial" w:hAnsi="Arial"/>
      <w:szCs w:val="24"/>
      <w:lang w:eastAsia="en-US"/>
    </w:rPr>
  </w:style>
  <w:style w:type="numbering" w:customStyle="1" w:styleId="Headings">
    <w:name w:val="Headings"/>
    <w:uiPriority w:val="99"/>
    <w:rsid w:val="006068D9"/>
    <w:pPr>
      <w:numPr>
        <w:numId w:val="11"/>
      </w:numPr>
    </w:pPr>
  </w:style>
  <w:style w:type="paragraph" w:styleId="TOC2">
    <w:name w:val="toc 2"/>
    <w:basedOn w:val="Normal"/>
    <w:next w:val="Normal"/>
    <w:autoRedefine/>
    <w:uiPriority w:val="39"/>
    <w:unhideWhenUsed/>
    <w:rsid w:val="00515169"/>
    <w:pPr>
      <w:tabs>
        <w:tab w:val="left" w:pos="1134"/>
        <w:tab w:val="right" w:leader="dot" w:pos="9628"/>
      </w:tabs>
      <w:spacing w:before="60"/>
      <w:ind w:left="1134" w:right="567" w:hanging="567"/>
      <w:jc w:val="left"/>
    </w:pPr>
  </w:style>
  <w:style w:type="paragraph" w:styleId="TOC1">
    <w:name w:val="toc 1"/>
    <w:autoRedefine/>
    <w:uiPriority w:val="39"/>
    <w:unhideWhenUsed/>
    <w:rsid w:val="00BA0380"/>
    <w:pPr>
      <w:tabs>
        <w:tab w:val="right" w:leader="dot" w:pos="9628"/>
      </w:tabs>
      <w:spacing w:before="120" w:line="276" w:lineRule="auto"/>
      <w:ind w:left="1134" w:right="567" w:hanging="1134"/>
    </w:pPr>
    <w:rPr>
      <w:noProof/>
      <w:sz w:val="24"/>
      <w:szCs w:val="24"/>
      <w:lang w:eastAsia="en-US"/>
    </w:rPr>
  </w:style>
  <w:style w:type="paragraph" w:styleId="TOC3">
    <w:name w:val="toc 3"/>
    <w:basedOn w:val="Normal"/>
    <w:next w:val="Normal"/>
    <w:autoRedefine/>
    <w:uiPriority w:val="39"/>
    <w:unhideWhenUsed/>
    <w:rsid w:val="00150D82"/>
    <w:pPr>
      <w:tabs>
        <w:tab w:val="left" w:pos="1320"/>
        <w:tab w:val="right" w:leader="dot" w:pos="9628"/>
      </w:tabs>
      <w:spacing w:before="0"/>
      <w:ind w:left="1701" w:right="567" w:hanging="567"/>
      <w:jc w:val="left"/>
    </w:pPr>
  </w:style>
  <w:style w:type="character" w:styleId="Hyperlink">
    <w:name w:val="Hyperlink"/>
    <w:uiPriority w:val="99"/>
    <w:unhideWhenUsed/>
    <w:rsid w:val="00663CBC"/>
    <w:rPr>
      <w:color w:val="0000FF"/>
      <w:u w:val="single"/>
    </w:rPr>
  </w:style>
  <w:style w:type="paragraph" w:styleId="TOCHeading">
    <w:name w:val="TOC Heading"/>
    <w:next w:val="BodyText"/>
    <w:uiPriority w:val="39"/>
    <w:unhideWhenUsed/>
    <w:qFormat/>
    <w:rsid w:val="001C5235"/>
    <w:pPr>
      <w:pageBreakBefore/>
      <w:spacing w:before="360" w:after="360" w:line="276" w:lineRule="auto"/>
      <w:jc w:val="center"/>
    </w:pPr>
    <w:rPr>
      <w:rFonts w:eastAsia="Times New Roman"/>
      <w:b/>
      <w:color w:val="4F81BD"/>
      <w:sz w:val="40"/>
      <w:szCs w:val="32"/>
      <w:lang w:eastAsia="en-US"/>
    </w:rPr>
  </w:style>
  <w:style w:type="character" w:styleId="CommentReference">
    <w:name w:val="annotation reference"/>
    <w:aliases w:val="Table Title"/>
    <w:uiPriority w:val="99"/>
    <w:unhideWhenUsed/>
    <w:qFormat/>
    <w:rsid w:val="007C6357"/>
    <w:rPr>
      <w:sz w:val="16"/>
      <w:szCs w:val="16"/>
    </w:rPr>
  </w:style>
  <w:style w:type="paragraph" w:styleId="CommentText">
    <w:name w:val="annotation text"/>
    <w:basedOn w:val="Normal"/>
    <w:link w:val="CommentTextChar"/>
    <w:uiPriority w:val="99"/>
    <w:unhideWhenUsed/>
    <w:rsid w:val="007C6357"/>
    <w:pPr>
      <w:spacing w:line="240" w:lineRule="auto"/>
    </w:pPr>
    <w:rPr>
      <w:sz w:val="20"/>
      <w:szCs w:val="20"/>
    </w:rPr>
  </w:style>
  <w:style w:type="character" w:customStyle="1" w:styleId="CommentTextChar">
    <w:name w:val="Comment Text Char"/>
    <w:link w:val="CommentText"/>
    <w:uiPriority w:val="99"/>
    <w:rsid w:val="007C6357"/>
    <w:rPr>
      <w:sz w:val="20"/>
      <w:szCs w:val="20"/>
    </w:rPr>
  </w:style>
  <w:style w:type="paragraph" w:styleId="CommentSubject">
    <w:name w:val="annotation subject"/>
    <w:basedOn w:val="CommentText"/>
    <w:next w:val="CommentText"/>
    <w:link w:val="CommentSubjectChar"/>
    <w:uiPriority w:val="99"/>
    <w:semiHidden/>
    <w:unhideWhenUsed/>
    <w:rsid w:val="007C6357"/>
    <w:rPr>
      <w:b/>
      <w:bCs/>
    </w:rPr>
  </w:style>
  <w:style w:type="character" w:customStyle="1" w:styleId="CommentSubjectChar">
    <w:name w:val="Comment Subject Char"/>
    <w:link w:val="CommentSubject"/>
    <w:uiPriority w:val="99"/>
    <w:semiHidden/>
    <w:rsid w:val="007C6357"/>
    <w:rPr>
      <w:b/>
      <w:bCs/>
      <w:sz w:val="20"/>
      <w:szCs w:val="20"/>
    </w:rPr>
  </w:style>
  <w:style w:type="paragraph" w:styleId="BalloonText">
    <w:name w:val="Balloon Text"/>
    <w:basedOn w:val="Normal"/>
    <w:link w:val="BalloonTextChar"/>
    <w:uiPriority w:val="99"/>
    <w:semiHidden/>
    <w:unhideWhenUsed/>
    <w:rsid w:val="007C6357"/>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7C6357"/>
    <w:rPr>
      <w:rFonts w:ascii="Segoe UI" w:hAnsi="Segoe UI" w:cs="Segoe UI"/>
      <w:sz w:val="18"/>
      <w:szCs w:val="18"/>
    </w:rPr>
  </w:style>
  <w:style w:type="paragraph" w:customStyle="1" w:styleId="Picturewithbox">
    <w:name w:val="Picture with box"/>
    <w:next w:val="11TableorFigurefootnotenostick"/>
    <w:qFormat/>
    <w:rsid w:val="00C076F5"/>
    <w:pPr>
      <w:pBdr>
        <w:top w:val="single" w:sz="4" w:space="4" w:color="auto"/>
        <w:left w:val="single" w:sz="4" w:space="0" w:color="auto"/>
        <w:bottom w:val="single" w:sz="4" w:space="4" w:color="auto"/>
        <w:right w:val="single" w:sz="4" w:space="0" w:color="auto"/>
      </w:pBdr>
      <w:jc w:val="center"/>
    </w:pPr>
    <w:rPr>
      <w:sz w:val="24"/>
      <w:szCs w:val="24"/>
      <w:lang w:eastAsia="en-US"/>
    </w:rPr>
  </w:style>
  <w:style w:type="paragraph" w:styleId="TableofFigures">
    <w:name w:val="table of figures"/>
    <w:aliases w:val="- TOC for list of Figures or Tables"/>
    <w:uiPriority w:val="99"/>
    <w:unhideWhenUsed/>
    <w:rsid w:val="00A54385"/>
    <w:pPr>
      <w:ind w:left="1418" w:right="567" w:hanging="1418"/>
    </w:pPr>
    <w:rPr>
      <w:sz w:val="24"/>
      <w:szCs w:val="24"/>
      <w:lang w:eastAsia="en-US"/>
    </w:rPr>
  </w:style>
  <w:style w:type="paragraph" w:customStyle="1" w:styleId="Titlepage">
    <w:name w:val="Title page"/>
    <w:qFormat/>
    <w:rsid w:val="005B5D2A"/>
    <w:pPr>
      <w:spacing w:before="120" w:line="276" w:lineRule="auto"/>
      <w:jc w:val="center"/>
    </w:pPr>
    <w:rPr>
      <w:sz w:val="40"/>
      <w:szCs w:val="40"/>
      <w:lang w:eastAsia="en-US"/>
    </w:rPr>
  </w:style>
  <w:style w:type="character" w:customStyle="1" w:styleId="Heading6Char">
    <w:name w:val="Heading 6 Char"/>
    <w:link w:val="Heading6"/>
    <w:uiPriority w:val="9"/>
    <w:rsid w:val="0088224C"/>
    <w:rPr>
      <w:rFonts w:ascii="Calibri" w:eastAsia="Times New Roman" w:hAnsi="Calibri"/>
      <w:i/>
      <w:sz w:val="24"/>
      <w:szCs w:val="24"/>
      <w:lang w:eastAsia="en-US"/>
    </w:rPr>
  </w:style>
  <w:style w:type="character" w:customStyle="1" w:styleId="Heading7Char">
    <w:name w:val="Heading 7 Char"/>
    <w:aliases w:val="App Heading 1 Char"/>
    <w:link w:val="Heading7"/>
    <w:uiPriority w:val="9"/>
    <w:rsid w:val="00683D01"/>
    <w:rPr>
      <w:rFonts w:eastAsia="Times New Roman"/>
      <w:b/>
      <w:iCs/>
      <w:color w:val="4F81BD"/>
      <w:sz w:val="36"/>
      <w:szCs w:val="24"/>
      <w:lang w:eastAsia="en-US"/>
    </w:rPr>
  </w:style>
  <w:style w:type="character" w:customStyle="1" w:styleId="Heading8Char">
    <w:name w:val="Heading 8 Char"/>
    <w:aliases w:val="App Heading 2 Char"/>
    <w:link w:val="Heading8"/>
    <w:uiPriority w:val="9"/>
    <w:rsid w:val="00916C10"/>
    <w:rPr>
      <w:rFonts w:eastAsia="Times New Roman"/>
      <w:color w:val="4F81BD"/>
      <w:sz w:val="32"/>
      <w:szCs w:val="21"/>
      <w:lang w:eastAsia="en-US"/>
    </w:rPr>
  </w:style>
  <w:style w:type="character" w:customStyle="1" w:styleId="Heading9Char">
    <w:name w:val="Heading 9 Char"/>
    <w:aliases w:val="App Heading 3 Char"/>
    <w:link w:val="Heading9"/>
    <w:uiPriority w:val="9"/>
    <w:rsid w:val="00343EB1"/>
    <w:rPr>
      <w:rFonts w:eastAsia="Times New Roman"/>
      <w:b/>
      <w:i/>
      <w:iCs/>
      <w:color w:val="272727"/>
      <w:sz w:val="28"/>
      <w:szCs w:val="21"/>
      <w:lang w:eastAsia="en-US"/>
    </w:rPr>
  </w:style>
  <w:style w:type="paragraph" w:styleId="Footer">
    <w:name w:val="footer"/>
    <w:link w:val="FooterChar"/>
    <w:unhideWhenUsed/>
    <w:rsid w:val="006C71C1"/>
    <w:pPr>
      <w:pBdr>
        <w:top w:val="single" w:sz="4" w:space="1" w:color="auto"/>
      </w:pBdr>
    </w:pPr>
    <w:rPr>
      <w:szCs w:val="24"/>
      <w:lang w:eastAsia="en-US"/>
    </w:rPr>
  </w:style>
  <w:style w:type="paragraph" w:styleId="Header">
    <w:name w:val="header"/>
    <w:link w:val="HeaderChar"/>
    <w:uiPriority w:val="99"/>
    <w:unhideWhenUsed/>
    <w:rsid w:val="008D13CD"/>
    <w:pPr>
      <w:pBdr>
        <w:bottom w:val="single" w:sz="4" w:space="1" w:color="auto"/>
      </w:pBdr>
      <w:tabs>
        <w:tab w:val="center" w:pos="4513"/>
        <w:tab w:val="right" w:pos="9026"/>
      </w:tabs>
      <w:spacing w:after="240"/>
    </w:pPr>
    <w:rPr>
      <w:szCs w:val="24"/>
      <w:lang w:eastAsia="en-US"/>
    </w:rPr>
  </w:style>
  <w:style w:type="character" w:customStyle="1" w:styleId="HeaderChar">
    <w:name w:val="Header Char"/>
    <w:link w:val="Header"/>
    <w:uiPriority w:val="99"/>
    <w:rsid w:val="008D13CD"/>
    <w:rPr>
      <w:sz w:val="20"/>
    </w:rPr>
  </w:style>
  <w:style w:type="character" w:customStyle="1" w:styleId="FooterChar">
    <w:name w:val="Footer Char"/>
    <w:link w:val="Footer"/>
    <w:rsid w:val="006C71C1"/>
    <w:rPr>
      <w:szCs w:val="24"/>
      <w:lang w:eastAsia="en-US"/>
    </w:rPr>
  </w:style>
  <w:style w:type="character" w:customStyle="1" w:styleId="BullettextChar">
    <w:name w:val="Bullet text Char"/>
    <w:link w:val="Bullettext"/>
    <w:rsid w:val="00DA3D12"/>
    <w:rPr>
      <w:sz w:val="24"/>
      <w:szCs w:val="24"/>
      <w:lang w:eastAsia="en-US"/>
    </w:rPr>
  </w:style>
  <w:style w:type="paragraph" w:styleId="FootnoteText">
    <w:name w:val="footnote text"/>
    <w:basedOn w:val="Normal"/>
    <w:link w:val="FootnoteTextChar"/>
    <w:uiPriority w:val="99"/>
    <w:unhideWhenUsed/>
    <w:rsid w:val="00CC24F3"/>
    <w:pPr>
      <w:spacing w:before="0" w:line="240" w:lineRule="auto"/>
      <w:jc w:val="left"/>
    </w:pPr>
    <w:rPr>
      <w:rFonts w:ascii="Arial Narrow" w:hAnsi="Arial Narrow"/>
      <w:sz w:val="18"/>
      <w:szCs w:val="20"/>
    </w:rPr>
  </w:style>
  <w:style w:type="character" w:customStyle="1" w:styleId="FootnoteTextChar">
    <w:name w:val="Footnote Text Char"/>
    <w:link w:val="FootnoteText"/>
    <w:uiPriority w:val="99"/>
    <w:rsid w:val="00CC24F3"/>
    <w:rPr>
      <w:rFonts w:ascii="Arial Narrow" w:hAnsi="Arial Narrow"/>
      <w:sz w:val="18"/>
      <w:lang w:eastAsia="en-US"/>
    </w:rPr>
  </w:style>
  <w:style w:type="paragraph" w:styleId="TOAHeading">
    <w:name w:val="toa heading"/>
    <w:basedOn w:val="Normal"/>
    <w:next w:val="Normal"/>
    <w:uiPriority w:val="99"/>
    <w:semiHidden/>
    <w:unhideWhenUsed/>
    <w:rsid w:val="00834197"/>
    <w:rPr>
      <w:rFonts w:asciiTheme="majorHAnsi" w:eastAsiaTheme="majorEastAsia" w:hAnsiTheme="majorHAnsi" w:cstheme="majorBidi"/>
      <w:b/>
      <w:bCs/>
    </w:rPr>
  </w:style>
  <w:style w:type="paragraph" w:customStyle="1" w:styleId="TableorFigurefootnote">
    <w:name w:val="Table or Figure footnote"/>
    <w:next w:val="BodyText"/>
    <w:qFormat/>
    <w:rsid w:val="00ED6106"/>
    <w:pPr>
      <w:spacing w:after="240"/>
      <w:contextualSpacing/>
    </w:pPr>
    <w:rPr>
      <w:rFonts w:ascii="Garamond" w:hAnsi="Garamond"/>
      <w:sz w:val="16"/>
      <w:szCs w:val="22"/>
      <w:lang w:eastAsia="en-US"/>
    </w:rPr>
  </w:style>
  <w:style w:type="character" w:styleId="FootnoteReference">
    <w:name w:val="footnote reference"/>
    <w:uiPriority w:val="99"/>
    <w:unhideWhenUsed/>
    <w:rsid w:val="00A332EB"/>
    <w:rPr>
      <w:vertAlign w:val="superscript"/>
    </w:rPr>
  </w:style>
  <w:style w:type="paragraph" w:customStyle="1" w:styleId="08Tablebulletsecondlevel">
    <w:name w:val="08 Table bullet second level"/>
    <w:qFormat/>
    <w:rsid w:val="0029750E"/>
    <w:pPr>
      <w:numPr>
        <w:numId w:val="4"/>
      </w:numPr>
      <w:ind w:left="397" w:hanging="170"/>
    </w:pPr>
    <w:rPr>
      <w:rFonts w:ascii="Arial Narrow" w:hAnsi="Arial Narrow"/>
      <w:sz w:val="18"/>
      <w:szCs w:val="24"/>
      <w:lang w:eastAsia="en-US"/>
    </w:rPr>
  </w:style>
  <w:style w:type="paragraph" w:customStyle="1" w:styleId="03TableHEADINGrightaligned">
    <w:name w:val="03 Table HEADING right aligned ($)"/>
    <w:qFormat/>
    <w:rsid w:val="00241406"/>
    <w:pPr>
      <w:keepNext/>
      <w:spacing w:before="60"/>
      <w:ind w:left="57" w:right="170"/>
      <w:jc w:val="right"/>
    </w:pPr>
    <w:rPr>
      <w:rFonts w:ascii="Arial Narrow" w:hAnsi="Arial Narrow"/>
      <w:b/>
      <w:sz w:val="18"/>
      <w:szCs w:val="24"/>
      <w:lang w:eastAsia="en-US"/>
    </w:rPr>
  </w:style>
  <w:style w:type="paragraph" w:styleId="Revision">
    <w:name w:val="Revision"/>
    <w:hidden/>
    <w:uiPriority w:val="99"/>
    <w:semiHidden/>
    <w:rsid w:val="007660BB"/>
    <w:rPr>
      <w:sz w:val="24"/>
      <w:szCs w:val="24"/>
      <w:lang w:eastAsia="en-US"/>
    </w:rPr>
  </w:style>
  <w:style w:type="paragraph" w:styleId="EndnoteText">
    <w:name w:val="endnote text"/>
    <w:basedOn w:val="Normal"/>
    <w:link w:val="EndnoteTextChar"/>
    <w:unhideWhenUsed/>
    <w:rsid w:val="00A3778B"/>
    <w:pPr>
      <w:spacing w:before="0" w:line="240" w:lineRule="auto"/>
    </w:pPr>
    <w:rPr>
      <w:sz w:val="20"/>
      <w:szCs w:val="20"/>
    </w:rPr>
  </w:style>
  <w:style w:type="character" w:customStyle="1" w:styleId="EndnoteTextChar">
    <w:name w:val="Endnote Text Char"/>
    <w:link w:val="EndnoteText"/>
    <w:rsid w:val="00A3778B"/>
    <w:rPr>
      <w:sz w:val="20"/>
      <w:szCs w:val="20"/>
    </w:rPr>
  </w:style>
  <w:style w:type="character" w:styleId="EndnoteReference">
    <w:name w:val="endnote reference"/>
    <w:unhideWhenUsed/>
    <w:rsid w:val="00A3778B"/>
    <w:rPr>
      <w:vertAlign w:val="superscript"/>
    </w:rPr>
  </w:style>
  <w:style w:type="paragraph" w:customStyle="1" w:styleId="Default">
    <w:name w:val="Default"/>
    <w:rsid w:val="00E45401"/>
    <w:pPr>
      <w:autoSpaceDE w:val="0"/>
      <w:autoSpaceDN w:val="0"/>
      <w:adjustRightInd w:val="0"/>
    </w:pPr>
    <w:rPr>
      <w:rFonts w:ascii="Calibri" w:hAnsi="Calibri" w:cs="Calibri"/>
      <w:color w:val="000000"/>
      <w:sz w:val="24"/>
      <w:szCs w:val="24"/>
      <w:lang w:eastAsia="en-US"/>
    </w:rPr>
  </w:style>
  <w:style w:type="paragraph" w:customStyle="1" w:styleId="04Tablesubheading">
    <w:name w:val="04 Table subheading"/>
    <w:qFormat/>
    <w:rsid w:val="00055F77"/>
    <w:pPr>
      <w:keepNext/>
      <w:spacing w:before="20"/>
      <w:ind w:left="57" w:right="57"/>
    </w:pPr>
    <w:rPr>
      <w:rFonts w:ascii="Arial Narrow" w:hAnsi="Arial Narrow"/>
      <w:b/>
      <w:sz w:val="18"/>
      <w:szCs w:val="24"/>
      <w:lang w:eastAsia="en-US"/>
    </w:rPr>
  </w:style>
  <w:style w:type="paragraph" w:customStyle="1" w:styleId="FooterwithLandscape">
    <w:name w:val="Footer with # Landscape"/>
    <w:qFormat/>
    <w:rsid w:val="006C71C1"/>
    <w:pPr>
      <w:pBdr>
        <w:top w:val="single" w:sz="4" w:space="1" w:color="auto"/>
      </w:pBdr>
      <w:tabs>
        <w:tab w:val="right" w:pos="14572"/>
      </w:tabs>
      <w:spacing w:before="240"/>
    </w:pPr>
    <w:rPr>
      <w:szCs w:val="24"/>
      <w:lang w:eastAsia="en-US"/>
    </w:rPr>
  </w:style>
  <w:style w:type="paragraph" w:customStyle="1" w:styleId="FooterwithPortrait">
    <w:name w:val="Footer with # Portrait"/>
    <w:basedOn w:val="FooterwithLandscape"/>
    <w:qFormat/>
    <w:rsid w:val="006C71C1"/>
    <w:pPr>
      <w:tabs>
        <w:tab w:val="clear" w:pos="14572"/>
        <w:tab w:val="right" w:pos="9639"/>
      </w:tabs>
    </w:pPr>
  </w:style>
  <w:style w:type="character" w:styleId="FollowedHyperlink">
    <w:name w:val="FollowedHyperlink"/>
    <w:uiPriority w:val="99"/>
    <w:semiHidden/>
    <w:unhideWhenUsed/>
    <w:rsid w:val="00916E6D"/>
    <w:rPr>
      <w:color w:val="800080"/>
      <w:u w:val="single"/>
    </w:rPr>
  </w:style>
  <w:style w:type="paragraph" w:customStyle="1" w:styleId="08Bulletsseriesofsentences">
    <w:name w:val="08. Bullets – series of sentences"/>
    <w:link w:val="08BulletsseriesofsentencesChar"/>
    <w:autoRedefine/>
    <w:qFormat/>
    <w:rsid w:val="00A572B3"/>
    <w:pPr>
      <w:numPr>
        <w:numId w:val="5"/>
      </w:numPr>
      <w:spacing w:before="60" w:after="120"/>
    </w:pPr>
    <w:rPr>
      <w:rFonts w:asciiTheme="minorHAnsi" w:hAnsiTheme="minorHAnsi"/>
      <w:sz w:val="24"/>
      <w:szCs w:val="22"/>
      <w:lang w:eastAsia="en-US"/>
    </w:rPr>
  </w:style>
  <w:style w:type="character" w:customStyle="1" w:styleId="08BulletsseriesofsentencesChar">
    <w:name w:val="08. Bullets – series of sentences Char"/>
    <w:link w:val="08Bulletsseriesofsentences"/>
    <w:rsid w:val="00A572B3"/>
    <w:rPr>
      <w:rFonts w:asciiTheme="minorHAnsi" w:hAnsiTheme="minorHAnsi"/>
      <w:sz w:val="24"/>
      <w:szCs w:val="22"/>
      <w:lang w:eastAsia="en-US"/>
    </w:rPr>
  </w:style>
  <w:style w:type="numbering" w:customStyle="1" w:styleId="NoList1">
    <w:name w:val="No List1"/>
    <w:next w:val="NoList"/>
    <w:uiPriority w:val="99"/>
    <w:semiHidden/>
    <w:unhideWhenUsed/>
    <w:rsid w:val="00B92CC9"/>
  </w:style>
  <w:style w:type="table" w:customStyle="1" w:styleId="TableGrid1">
    <w:name w:val="Table Grid1"/>
    <w:basedOn w:val="TableNormal"/>
    <w:next w:val="TableGrid"/>
    <w:uiPriority w:val="59"/>
    <w:rsid w:val="00B9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
    <w:name w:val="Numbered list"/>
    <w:uiPriority w:val="99"/>
    <w:rsid w:val="00B92CC9"/>
    <w:pPr>
      <w:numPr>
        <w:numId w:val="6"/>
      </w:numPr>
    </w:pPr>
  </w:style>
  <w:style w:type="paragraph" w:styleId="ListParagraph">
    <w:name w:val="List Paragraph"/>
    <w:aliases w:val="Footnote,BulletPoints,List Paragraph1,Recommendation,Paragraph"/>
    <w:basedOn w:val="Normal"/>
    <w:link w:val="ListParagraphChar"/>
    <w:uiPriority w:val="34"/>
    <w:qFormat/>
    <w:rsid w:val="00B92CC9"/>
    <w:pPr>
      <w:ind w:left="720"/>
      <w:contextualSpacing/>
    </w:pPr>
  </w:style>
  <w:style w:type="numbering" w:styleId="111111">
    <w:name w:val="Outline List 2"/>
    <w:basedOn w:val="NoList"/>
    <w:uiPriority w:val="99"/>
    <w:semiHidden/>
    <w:unhideWhenUsed/>
    <w:rsid w:val="00B92CC9"/>
    <w:pPr>
      <w:numPr>
        <w:numId w:val="7"/>
      </w:numPr>
    </w:pPr>
  </w:style>
  <w:style w:type="character" w:styleId="Emphasis">
    <w:name w:val="Emphasis"/>
    <w:uiPriority w:val="20"/>
    <w:qFormat/>
    <w:rsid w:val="00B92CC9"/>
    <w:rPr>
      <w:i/>
      <w:iCs/>
    </w:rPr>
  </w:style>
  <w:style w:type="numbering" w:customStyle="1" w:styleId="NoList2">
    <w:name w:val="No List2"/>
    <w:next w:val="NoList"/>
    <w:uiPriority w:val="99"/>
    <w:semiHidden/>
    <w:unhideWhenUsed/>
    <w:rsid w:val="000E79FE"/>
  </w:style>
  <w:style w:type="table" w:customStyle="1" w:styleId="TableGrid2">
    <w:name w:val="Table Grid2"/>
    <w:basedOn w:val="TableNormal"/>
    <w:next w:val="TableGrid"/>
    <w:uiPriority w:val="59"/>
    <w:rsid w:val="000E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1">
    <w:name w:val="Numbered list1"/>
    <w:uiPriority w:val="99"/>
    <w:rsid w:val="000E79FE"/>
    <w:pPr>
      <w:numPr>
        <w:numId w:val="3"/>
      </w:numPr>
    </w:pPr>
  </w:style>
  <w:style w:type="numbering" w:customStyle="1" w:styleId="1111111">
    <w:name w:val="1 / 1.1 / 1.1.11"/>
    <w:basedOn w:val="NoList"/>
    <w:next w:val="111111"/>
    <w:uiPriority w:val="99"/>
    <w:semiHidden/>
    <w:unhideWhenUsed/>
    <w:rsid w:val="000E79FE"/>
    <w:pPr>
      <w:numPr>
        <w:numId w:val="8"/>
      </w:numPr>
    </w:pPr>
  </w:style>
  <w:style w:type="paragraph" w:styleId="TOC4">
    <w:name w:val="toc 4"/>
    <w:basedOn w:val="Normal"/>
    <w:next w:val="Normal"/>
    <w:autoRedefine/>
    <w:uiPriority w:val="39"/>
    <w:unhideWhenUsed/>
    <w:rsid w:val="00D51AE3"/>
    <w:pPr>
      <w:tabs>
        <w:tab w:val="left" w:pos="1588"/>
        <w:tab w:val="right" w:leader="dot" w:pos="9639"/>
      </w:tabs>
      <w:ind w:left="680" w:right="-1" w:hanging="680"/>
      <w:jc w:val="left"/>
    </w:pPr>
    <w:rPr>
      <w:rFonts w:eastAsia="Times New Roman"/>
      <w:szCs w:val="22"/>
      <w:lang w:eastAsia="en-AU"/>
    </w:rPr>
  </w:style>
  <w:style w:type="paragraph" w:styleId="TOC5">
    <w:name w:val="toc 5"/>
    <w:basedOn w:val="Normal"/>
    <w:next w:val="Normal"/>
    <w:autoRedefine/>
    <w:uiPriority w:val="39"/>
    <w:unhideWhenUsed/>
    <w:rsid w:val="00FA02B5"/>
    <w:pPr>
      <w:spacing w:before="0" w:after="100" w:line="259" w:lineRule="auto"/>
      <w:ind w:left="880"/>
      <w:jc w:val="left"/>
    </w:pPr>
    <w:rPr>
      <w:rFonts w:ascii="Calibri" w:eastAsia="Times New Roman" w:hAnsi="Calibri"/>
      <w:sz w:val="22"/>
      <w:szCs w:val="22"/>
      <w:lang w:eastAsia="en-AU"/>
    </w:rPr>
  </w:style>
  <w:style w:type="paragraph" w:styleId="TOC6">
    <w:name w:val="toc 6"/>
    <w:basedOn w:val="Normal"/>
    <w:next w:val="Normal"/>
    <w:autoRedefine/>
    <w:uiPriority w:val="39"/>
    <w:unhideWhenUsed/>
    <w:rsid w:val="00FA02B5"/>
    <w:pPr>
      <w:spacing w:before="0" w:after="100" w:line="259" w:lineRule="auto"/>
      <w:ind w:left="1100"/>
      <w:jc w:val="left"/>
    </w:pPr>
    <w:rPr>
      <w:rFonts w:ascii="Calibri" w:eastAsia="Times New Roman" w:hAnsi="Calibri"/>
      <w:sz w:val="22"/>
      <w:szCs w:val="22"/>
      <w:lang w:eastAsia="en-AU"/>
    </w:rPr>
  </w:style>
  <w:style w:type="paragraph" w:styleId="TOC7">
    <w:name w:val="toc 7"/>
    <w:basedOn w:val="Normal"/>
    <w:next w:val="Normal"/>
    <w:autoRedefine/>
    <w:uiPriority w:val="39"/>
    <w:unhideWhenUsed/>
    <w:rsid w:val="00FA02B5"/>
    <w:pPr>
      <w:spacing w:before="0" w:after="100" w:line="259" w:lineRule="auto"/>
      <w:ind w:left="1320"/>
      <w:jc w:val="left"/>
    </w:pPr>
    <w:rPr>
      <w:rFonts w:ascii="Calibri" w:eastAsia="Times New Roman" w:hAnsi="Calibri"/>
      <w:sz w:val="22"/>
      <w:szCs w:val="22"/>
      <w:lang w:eastAsia="en-AU"/>
    </w:rPr>
  </w:style>
  <w:style w:type="paragraph" w:styleId="TOC8">
    <w:name w:val="toc 8"/>
    <w:basedOn w:val="Normal"/>
    <w:next w:val="Normal"/>
    <w:autoRedefine/>
    <w:uiPriority w:val="39"/>
    <w:unhideWhenUsed/>
    <w:rsid w:val="00FA02B5"/>
    <w:pPr>
      <w:spacing w:before="0" w:after="100" w:line="259" w:lineRule="auto"/>
      <w:ind w:left="1540"/>
      <w:jc w:val="left"/>
    </w:pPr>
    <w:rPr>
      <w:rFonts w:ascii="Calibri" w:eastAsia="Times New Roman" w:hAnsi="Calibri"/>
      <w:sz w:val="22"/>
      <w:szCs w:val="22"/>
      <w:lang w:eastAsia="en-AU"/>
    </w:rPr>
  </w:style>
  <w:style w:type="paragraph" w:styleId="TOC9">
    <w:name w:val="toc 9"/>
    <w:basedOn w:val="Normal"/>
    <w:next w:val="Normal"/>
    <w:autoRedefine/>
    <w:uiPriority w:val="39"/>
    <w:unhideWhenUsed/>
    <w:rsid w:val="00FA02B5"/>
    <w:pPr>
      <w:spacing w:before="0" w:after="100" w:line="259" w:lineRule="auto"/>
      <w:ind w:left="1760"/>
      <w:jc w:val="left"/>
    </w:pPr>
    <w:rPr>
      <w:rFonts w:ascii="Calibri" w:eastAsia="Times New Roman" w:hAnsi="Calibri"/>
      <w:sz w:val="22"/>
      <w:szCs w:val="22"/>
      <w:lang w:eastAsia="en-AU"/>
    </w:rPr>
  </w:style>
  <w:style w:type="paragraph" w:customStyle="1" w:styleId="References">
    <w:name w:val="References"/>
    <w:qFormat/>
    <w:rsid w:val="004504BE"/>
    <w:pPr>
      <w:spacing w:before="80"/>
      <w:ind w:left="284" w:hanging="284"/>
    </w:pPr>
    <w:rPr>
      <w:sz w:val="18"/>
      <w:szCs w:val="24"/>
      <w:lang w:eastAsia="en-US"/>
    </w:rPr>
  </w:style>
  <w:style w:type="paragraph" w:styleId="NormalWeb">
    <w:name w:val="Normal (Web)"/>
    <w:basedOn w:val="Normal"/>
    <w:uiPriority w:val="99"/>
    <w:semiHidden/>
    <w:unhideWhenUsed/>
    <w:rsid w:val="009D3242"/>
    <w:pPr>
      <w:spacing w:before="100" w:beforeAutospacing="1" w:after="100" w:afterAutospacing="1" w:line="240" w:lineRule="auto"/>
      <w:jc w:val="left"/>
    </w:pPr>
    <w:rPr>
      <w:rFonts w:ascii="Times New Roman" w:eastAsia="Times New Roman" w:hAnsi="Times New Roman"/>
      <w:lang w:eastAsia="en-AU"/>
    </w:rPr>
  </w:style>
  <w:style w:type="character" w:styleId="IntenseEmphasis">
    <w:name w:val="Intense Emphasis"/>
    <w:basedOn w:val="DefaultParagraphFont"/>
    <w:uiPriority w:val="21"/>
    <w:qFormat/>
    <w:rsid w:val="00D32790"/>
    <w:rPr>
      <w:b/>
      <w:bCs/>
      <w:i/>
      <w:iCs/>
      <w:color w:val="4F81BD" w:themeColor="accent1"/>
    </w:rPr>
  </w:style>
  <w:style w:type="paragraph" w:styleId="Subtitle">
    <w:name w:val="Subtitle"/>
    <w:basedOn w:val="Normal"/>
    <w:next w:val="Normal"/>
    <w:link w:val="SubtitleChar"/>
    <w:qFormat/>
    <w:rsid w:val="00D32790"/>
    <w:pPr>
      <w:numPr>
        <w:ilvl w:val="1"/>
      </w:numPr>
      <w:spacing w:before="0" w:line="240" w:lineRule="auto"/>
      <w:jc w:val="left"/>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D32790"/>
    <w:rPr>
      <w:rFonts w:asciiTheme="majorHAnsi" w:eastAsiaTheme="majorEastAsia" w:hAnsiTheme="majorHAnsi" w:cstheme="majorBidi"/>
      <w:iCs/>
      <w:spacing w:val="15"/>
      <w:sz w:val="24"/>
      <w:szCs w:val="24"/>
      <w:lang w:eastAsia="en-US"/>
    </w:rPr>
  </w:style>
  <w:style w:type="character" w:customStyle="1" w:styleId="ListParagraphChar">
    <w:name w:val="List Paragraph Char"/>
    <w:aliases w:val="Footnote Char,BulletPoints Char,List Paragraph1 Char,Recommendation Char,Paragraph Char"/>
    <w:basedOn w:val="DefaultParagraphFont"/>
    <w:link w:val="ListParagraph"/>
    <w:uiPriority w:val="34"/>
    <w:rsid w:val="00ED61E9"/>
    <w:rPr>
      <w:sz w:val="24"/>
      <w:szCs w:val="24"/>
      <w:lang w:eastAsia="en-US"/>
    </w:rPr>
  </w:style>
  <w:style w:type="paragraph" w:customStyle="1" w:styleId="ToR1TableHeader">
    <w:name w:val="ToR 1 Table Header"/>
    <w:basedOn w:val="Caption"/>
    <w:link w:val="ToR1TableHeaderChar"/>
    <w:qFormat/>
    <w:rsid w:val="00E939EF"/>
  </w:style>
  <w:style w:type="paragraph" w:customStyle="1" w:styleId="TOR1HeaderFigure">
    <w:name w:val="TOR 1 Header Figure"/>
    <w:basedOn w:val="Caption"/>
    <w:link w:val="TOR1HeaderFigureChar"/>
    <w:qFormat/>
    <w:rsid w:val="009D4A65"/>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uiPriority w:val="35"/>
    <w:rsid w:val="00665040"/>
    <w:rPr>
      <w:rFonts w:asciiTheme="minorHAnsi" w:hAnsiTheme="minorHAnsi"/>
      <w:b/>
      <w:iCs/>
      <w:sz w:val="24"/>
      <w:szCs w:val="18"/>
      <w:lang w:eastAsia="en-US"/>
    </w:rPr>
  </w:style>
  <w:style w:type="character" w:customStyle="1" w:styleId="ToR1TableHeaderChar">
    <w:name w:val="ToR 1 Table Header Char"/>
    <w:basedOn w:val="CaptionChar"/>
    <w:link w:val="ToR1TableHeader"/>
    <w:rsid w:val="00E939EF"/>
    <w:rPr>
      <w:rFonts w:asciiTheme="minorHAnsi" w:hAnsiTheme="minorHAnsi"/>
      <w:b/>
      <w:iCs/>
      <w:sz w:val="24"/>
      <w:szCs w:val="18"/>
      <w:lang w:eastAsia="en-US"/>
    </w:rPr>
  </w:style>
  <w:style w:type="paragraph" w:customStyle="1" w:styleId="BackgroundTable">
    <w:name w:val="Background Table"/>
    <w:basedOn w:val="Caption"/>
    <w:link w:val="BackgroundTableChar"/>
    <w:qFormat/>
    <w:rsid w:val="009D4A65"/>
    <w:pPr>
      <w:spacing w:before="0"/>
    </w:pPr>
  </w:style>
  <w:style w:type="character" w:customStyle="1" w:styleId="TOR1HeaderFigureChar">
    <w:name w:val="TOR 1 Header Figure Char"/>
    <w:basedOn w:val="CaptionChar"/>
    <w:link w:val="TOR1HeaderFigure"/>
    <w:rsid w:val="009D4A65"/>
    <w:rPr>
      <w:rFonts w:ascii="Arial" w:hAnsi="Arial"/>
      <w:b/>
      <w:iCs/>
      <w:sz w:val="24"/>
      <w:szCs w:val="18"/>
      <w:lang w:eastAsia="en-US"/>
    </w:rPr>
  </w:style>
  <w:style w:type="paragraph" w:customStyle="1" w:styleId="BackgroundFigure">
    <w:name w:val="Background Figure"/>
    <w:basedOn w:val="Caption"/>
    <w:link w:val="BackgroundFigureChar"/>
    <w:qFormat/>
    <w:rsid w:val="00A0482D"/>
  </w:style>
  <w:style w:type="character" w:customStyle="1" w:styleId="BackgroundTableChar">
    <w:name w:val="Background Table Char"/>
    <w:basedOn w:val="CaptionChar"/>
    <w:link w:val="BackgroundTable"/>
    <w:rsid w:val="009D4A65"/>
    <w:rPr>
      <w:rFonts w:ascii="Arial" w:hAnsi="Arial"/>
      <w:b/>
      <w:iCs/>
      <w:sz w:val="24"/>
      <w:szCs w:val="18"/>
      <w:lang w:eastAsia="en-US"/>
    </w:rPr>
  </w:style>
  <w:style w:type="character" w:customStyle="1" w:styleId="BackgroundFigureChar">
    <w:name w:val="Background Figure Char"/>
    <w:basedOn w:val="CaptionChar"/>
    <w:link w:val="BackgroundFigure"/>
    <w:rsid w:val="00A0482D"/>
    <w:rPr>
      <w:rFonts w:ascii="Arial" w:hAnsi="Arial"/>
      <w:b/>
      <w:iCs/>
      <w:sz w:val="24"/>
      <w:szCs w:val="18"/>
      <w:lang w:eastAsia="en-US"/>
    </w:rPr>
  </w:style>
  <w:style w:type="paragraph" w:customStyle="1" w:styleId="Tablenote">
    <w:name w:val="Table note"/>
    <w:basedOn w:val="Normal"/>
    <w:link w:val="TablenoteChar"/>
    <w:qFormat/>
    <w:rsid w:val="00EC7581"/>
    <w:pPr>
      <w:spacing w:before="0" w:after="200" w:line="240" w:lineRule="auto"/>
      <w:contextualSpacing/>
      <w:jc w:val="left"/>
    </w:pPr>
    <w:rPr>
      <w:rFonts w:ascii="Calibri" w:eastAsiaTheme="minorEastAsia" w:hAnsi="Calibri" w:cs="Baskerville"/>
      <w:sz w:val="20"/>
      <w:szCs w:val="20"/>
      <w:lang w:eastAsia="en-AU"/>
    </w:rPr>
  </w:style>
  <w:style w:type="character" w:customStyle="1" w:styleId="TablenoteChar">
    <w:name w:val="Table note Char"/>
    <w:basedOn w:val="DefaultParagraphFont"/>
    <w:link w:val="Tablenote"/>
    <w:rsid w:val="00EC7581"/>
    <w:rPr>
      <w:rFonts w:ascii="Calibri" w:eastAsiaTheme="minorEastAsia" w:hAnsi="Calibri" w:cs="Baskerville"/>
    </w:rPr>
  </w:style>
  <w:style w:type="paragraph" w:customStyle="1" w:styleId="TableText">
    <w:name w:val="Table Text"/>
    <w:basedOn w:val="Normal"/>
    <w:qFormat/>
    <w:rsid w:val="00EC7581"/>
    <w:pPr>
      <w:spacing w:before="60" w:after="60" w:line="240" w:lineRule="auto"/>
      <w:jc w:val="left"/>
    </w:pPr>
    <w:rPr>
      <w:rFonts w:ascii="Calibri" w:eastAsia="Times New Roman" w:hAnsi="Calibri" w:cs="Arial"/>
      <w:sz w:val="20"/>
      <w:szCs w:val="22"/>
      <w:lang w:eastAsia="en-AU"/>
    </w:rPr>
  </w:style>
  <w:style w:type="paragraph" w:customStyle="1" w:styleId="Tabletext0">
    <w:name w:val="Table text"/>
    <w:basedOn w:val="Normal"/>
    <w:link w:val="TabletextChar"/>
    <w:qFormat/>
    <w:rsid w:val="0056375C"/>
    <w:pPr>
      <w:autoSpaceDE w:val="0"/>
      <w:autoSpaceDN w:val="0"/>
      <w:adjustRightInd w:val="0"/>
      <w:spacing w:before="60" w:after="60" w:line="240" w:lineRule="auto"/>
      <w:jc w:val="left"/>
    </w:pPr>
    <w:rPr>
      <w:rFonts w:ascii="Calibri" w:eastAsiaTheme="minorEastAsia" w:hAnsi="Calibri" w:cs="Calibri"/>
      <w:sz w:val="20"/>
      <w:szCs w:val="20"/>
      <w:lang w:eastAsia="en-AU"/>
    </w:rPr>
  </w:style>
  <w:style w:type="character" w:customStyle="1" w:styleId="TabletextChar">
    <w:name w:val="Table text Char"/>
    <w:basedOn w:val="DefaultParagraphFont"/>
    <w:link w:val="Tabletext0"/>
    <w:rsid w:val="0056375C"/>
    <w:rPr>
      <w:rFonts w:ascii="Calibri" w:eastAsiaTheme="minorEastAsia" w:hAnsi="Calibri" w:cs="Calibri"/>
    </w:rPr>
  </w:style>
  <w:style w:type="table" w:customStyle="1" w:styleId="TableGrid7">
    <w:name w:val="Table Grid7"/>
    <w:basedOn w:val="TableNormal"/>
    <w:next w:val="TableGrid"/>
    <w:uiPriority w:val="39"/>
    <w:rsid w:val="000F5DA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TableText"/>
    <w:rsid w:val="000F5DA6"/>
    <w:pPr>
      <w:keepNext/>
    </w:pPr>
    <w:rPr>
      <w:color w:val="000000"/>
      <w:szCs w:val="20"/>
    </w:rPr>
  </w:style>
  <w:style w:type="paragraph" w:customStyle="1" w:styleId="EndNoteBibliographyTitle">
    <w:name w:val="EndNote Bibliography Title"/>
    <w:basedOn w:val="Normal"/>
    <w:link w:val="EndNoteBibliographyTitleChar"/>
    <w:rsid w:val="00DC475B"/>
    <w:pPr>
      <w:jc w:val="center"/>
    </w:pPr>
    <w:rPr>
      <w:noProof/>
      <w:lang w:val="en-US"/>
    </w:rPr>
  </w:style>
  <w:style w:type="character" w:customStyle="1" w:styleId="EndNoteBibliographyTitleChar">
    <w:name w:val="EndNote Bibliography Title Char"/>
    <w:basedOn w:val="DefaultParagraphFont"/>
    <w:link w:val="EndNoteBibliographyTitle"/>
    <w:rsid w:val="00DC475B"/>
    <w:rPr>
      <w:noProof/>
      <w:sz w:val="24"/>
      <w:szCs w:val="24"/>
      <w:lang w:val="en-US" w:eastAsia="en-US"/>
    </w:rPr>
  </w:style>
  <w:style w:type="paragraph" w:customStyle="1" w:styleId="EndNoteBibliography">
    <w:name w:val="EndNote Bibliography"/>
    <w:basedOn w:val="Normal"/>
    <w:link w:val="EndNoteBibliographyChar"/>
    <w:rsid w:val="00DC475B"/>
    <w:pPr>
      <w:spacing w:line="240" w:lineRule="auto"/>
      <w:jc w:val="left"/>
    </w:pPr>
    <w:rPr>
      <w:noProof/>
      <w:lang w:val="en-US"/>
    </w:rPr>
  </w:style>
  <w:style w:type="character" w:customStyle="1" w:styleId="EndNoteBibliographyChar">
    <w:name w:val="EndNote Bibliography Char"/>
    <w:basedOn w:val="DefaultParagraphFont"/>
    <w:link w:val="EndNoteBibliography"/>
    <w:rsid w:val="00DC475B"/>
    <w:rPr>
      <w:noProof/>
      <w:sz w:val="24"/>
      <w:szCs w:val="24"/>
      <w:lang w:val="en-US" w:eastAsia="en-US"/>
    </w:rPr>
  </w:style>
  <w:style w:type="character" w:customStyle="1" w:styleId="y0nh2b">
    <w:name w:val="y0nh2b"/>
    <w:basedOn w:val="DefaultParagraphFont"/>
    <w:rsid w:val="00F958DA"/>
  </w:style>
  <w:style w:type="paragraph" w:customStyle="1" w:styleId="MDsubHead3">
    <w:name w:val="MD sub Head 3"/>
    <w:basedOn w:val="Heading4"/>
    <w:link w:val="MDsubHead3Char"/>
    <w:qFormat/>
    <w:rsid w:val="00A57C2B"/>
    <w:pPr>
      <w:numPr>
        <w:ilvl w:val="0"/>
        <w:numId w:val="0"/>
      </w:numPr>
      <w:spacing w:before="200" w:line="240" w:lineRule="auto"/>
    </w:pPr>
    <w:rPr>
      <w:rFonts w:asciiTheme="majorHAnsi" w:eastAsiaTheme="majorEastAsia" w:hAnsiTheme="majorHAnsi" w:cstheme="majorBidi"/>
      <w:bCs/>
      <w:i/>
      <w:color w:val="4F81BD" w:themeColor="accent1"/>
      <w:szCs w:val="22"/>
      <w:lang w:val="en-GB" w:eastAsia="en-AU"/>
    </w:rPr>
  </w:style>
  <w:style w:type="character" w:customStyle="1" w:styleId="MDsubHead3Char">
    <w:name w:val="MD sub Head 3 Char"/>
    <w:basedOn w:val="DefaultParagraphFont"/>
    <w:link w:val="MDsubHead3"/>
    <w:rsid w:val="00A57C2B"/>
    <w:rPr>
      <w:rFonts w:asciiTheme="majorHAnsi" w:eastAsiaTheme="majorEastAsia" w:hAnsiTheme="majorHAnsi" w:cstheme="majorBidi"/>
      <w:b/>
      <w:bCs/>
      <w:i/>
      <w:iCs/>
      <w:color w:val="4F81BD" w:themeColor="accent1"/>
      <w:sz w:val="24"/>
      <w:szCs w:val="22"/>
      <w:lang w:val="en-GB"/>
    </w:rPr>
  </w:style>
  <w:style w:type="paragraph" w:styleId="NoSpacing">
    <w:name w:val="No Spacing"/>
    <w:uiPriority w:val="1"/>
    <w:qFormat/>
    <w:rsid w:val="001646A7"/>
    <w:rPr>
      <w:rFonts w:ascii="Times New Roman" w:eastAsia="Times New Roman"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494"/>
    <w:pPr>
      <w:spacing w:before="120" w:line="276" w:lineRule="auto"/>
      <w:jc w:val="both"/>
    </w:pPr>
    <w:rPr>
      <w:sz w:val="24"/>
      <w:szCs w:val="24"/>
      <w:lang w:eastAsia="en-US"/>
    </w:rPr>
  </w:style>
  <w:style w:type="paragraph" w:styleId="Heading1">
    <w:name w:val="heading 1"/>
    <w:next w:val="BodyText"/>
    <w:link w:val="Heading1Char"/>
    <w:uiPriority w:val="9"/>
    <w:qFormat/>
    <w:rsid w:val="00C23683"/>
    <w:pPr>
      <w:pageBreakBefore/>
      <w:numPr>
        <w:numId w:val="9"/>
      </w:numPr>
      <w:spacing w:before="200" w:after="240"/>
      <w:jc w:val="both"/>
      <w:outlineLvl w:val="0"/>
    </w:pPr>
    <w:rPr>
      <w:rFonts w:asciiTheme="minorHAnsi" w:eastAsia="Times New Roman" w:hAnsiTheme="minorHAnsi"/>
      <w:b/>
      <w:color w:val="4F81BD"/>
      <w:sz w:val="40"/>
      <w:szCs w:val="32"/>
      <w:lang w:eastAsia="en-US"/>
    </w:rPr>
  </w:style>
  <w:style w:type="paragraph" w:styleId="Heading2">
    <w:name w:val="heading 2"/>
    <w:next w:val="Normal"/>
    <w:link w:val="Heading2Char"/>
    <w:uiPriority w:val="9"/>
    <w:unhideWhenUsed/>
    <w:qFormat/>
    <w:rsid w:val="00C23683"/>
    <w:pPr>
      <w:keepNext/>
      <w:numPr>
        <w:ilvl w:val="1"/>
        <w:numId w:val="9"/>
      </w:numPr>
      <w:spacing w:before="200" w:after="240"/>
      <w:jc w:val="both"/>
      <w:outlineLvl w:val="1"/>
    </w:pPr>
    <w:rPr>
      <w:rFonts w:asciiTheme="minorHAnsi" w:eastAsia="Times New Roman" w:hAnsiTheme="minorHAnsi"/>
      <w:b/>
      <w:color w:val="4F81BD"/>
      <w:sz w:val="32"/>
      <w:szCs w:val="26"/>
      <w:lang w:eastAsia="en-US"/>
    </w:rPr>
  </w:style>
  <w:style w:type="paragraph" w:styleId="Heading3">
    <w:name w:val="heading 3"/>
    <w:next w:val="BodyText"/>
    <w:link w:val="Heading3Char"/>
    <w:uiPriority w:val="9"/>
    <w:unhideWhenUsed/>
    <w:qFormat/>
    <w:rsid w:val="00522F52"/>
    <w:pPr>
      <w:keepNext/>
      <w:numPr>
        <w:ilvl w:val="2"/>
        <w:numId w:val="9"/>
      </w:numPr>
      <w:spacing w:after="200"/>
      <w:jc w:val="both"/>
      <w:outlineLvl w:val="2"/>
    </w:pPr>
    <w:rPr>
      <w:rFonts w:asciiTheme="minorHAnsi" w:eastAsia="Times New Roman" w:hAnsiTheme="minorHAnsi"/>
      <w:b/>
      <w:i/>
      <w:sz w:val="30"/>
      <w:szCs w:val="24"/>
      <w:lang w:eastAsia="en-US"/>
    </w:rPr>
  </w:style>
  <w:style w:type="paragraph" w:styleId="Heading4">
    <w:name w:val="heading 4"/>
    <w:next w:val="BodyText"/>
    <w:link w:val="Heading4Char"/>
    <w:uiPriority w:val="9"/>
    <w:unhideWhenUsed/>
    <w:qFormat/>
    <w:rsid w:val="00153E18"/>
    <w:pPr>
      <w:keepNext/>
      <w:keepLines/>
      <w:numPr>
        <w:ilvl w:val="3"/>
        <w:numId w:val="9"/>
      </w:numPr>
      <w:spacing w:before="240" w:line="276" w:lineRule="auto"/>
      <w:jc w:val="both"/>
      <w:outlineLvl w:val="3"/>
    </w:pPr>
    <w:rPr>
      <w:rFonts w:asciiTheme="minorHAnsi" w:eastAsia="Times New Roman" w:hAnsiTheme="minorHAnsi"/>
      <w:b/>
      <w:iCs/>
      <w:sz w:val="24"/>
      <w:szCs w:val="24"/>
      <w:lang w:eastAsia="en-US"/>
    </w:rPr>
  </w:style>
  <w:style w:type="paragraph" w:styleId="Heading5">
    <w:name w:val="heading 5"/>
    <w:next w:val="BodyText"/>
    <w:link w:val="Heading5Char"/>
    <w:uiPriority w:val="9"/>
    <w:unhideWhenUsed/>
    <w:qFormat/>
    <w:rsid w:val="006068D9"/>
    <w:pPr>
      <w:keepNext/>
      <w:numPr>
        <w:ilvl w:val="4"/>
        <w:numId w:val="9"/>
      </w:numPr>
      <w:spacing w:before="120" w:line="276" w:lineRule="auto"/>
      <w:jc w:val="both"/>
      <w:outlineLvl w:val="4"/>
    </w:pPr>
    <w:rPr>
      <w:rFonts w:eastAsia="Times New Roman"/>
      <w:sz w:val="24"/>
      <w:szCs w:val="24"/>
      <w:u w:val="single"/>
      <w:lang w:eastAsia="en-US"/>
    </w:rPr>
  </w:style>
  <w:style w:type="paragraph" w:styleId="Heading6">
    <w:name w:val="heading 6"/>
    <w:next w:val="BodyText"/>
    <w:link w:val="Heading6Char"/>
    <w:uiPriority w:val="9"/>
    <w:unhideWhenUsed/>
    <w:qFormat/>
    <w:rsid w:val="006068D9"/>
    <w:pPr>
      <w:keepNext/>
      <w:keepLines/>
      <w:numPr>
        <w:ilvl w:val="5"/>
        <w:numId w:val="9"/>
      </w:numPr>
      <w:spacing w:before="40"/>
      <w:outlineLvl w:val="5"/>
    </w:pPr>
    <w:rPr>
      <w:rFonts w:ascii="Calibri" w:eastAsia="Times New Roman" w:hAnsi="Calibri"/>
      <w:i/>
      <w:sz w:val="24"/>
      <w:szCs w:val="24"/>
      <w:lang w:eastAsia="en-US"/>
    </w:rPr>
  </w:style>
  <w:style w:type="paragraph" w:styleId="Heading7">
    <w:name w:val="heading 7"/>
    <w:aliases w:val="App Heading 1"/>
    <w:next w:val="BodyText"/>
    <w:link w:val="Heading7Char"/>
    <w:uiPriority w:val="9"/>
    <w:unhideWhenUsed/>
    <w:qFormat/>
    <w:rsid w:val="006068D9"/>
    <w:pPr>
      <w:pageBreakBefore/>
      <w:numPr>
        <w:ilvl w:val="6"/>
        <w:numId w:val="9"/>
      </w:numPr>
      <w:tabs>
        <w:tab w:val="left" w:pos="2268"/>
      </w:tabs>
      <w:spacing w:after="360" w:line="276" w:lineRule="auto"/>
      <w:ind w:left="0"/>
      <w:jc w:val="both"/>
      <w:outlineLvl w:val="6"/>
    </w:pPr>
    <w:rPr>
      <w:rFonts w:eastAsia="Times New Roman"/>
      <w:b/>
      <w:iCs/>
      <w:color w:val="4F81BD"/>
      <w:sz w:val="36"/>
      <w:szCs w:val="24"/>
      <w:lang w:eastAsia="en-US"/>
    </w:rPr>
  </w:style>
  <w:style w:type="paragraph" w:styleId="Heading8">
    <w:name w:val="heading 8"/>
    <w:aliases w:val="App Heading 2"/>
    <w:next w:val="BodyText"/>
    <w:link w:val="Heading8Char"/>
    <w:uiPriority w:val="9"/>
    <w:unhideWhenUsed/>
    <w:qFormat/>
    <w:rsid w:val="006068D9"/>
    <w:pPr>
      <w:keepNext/>
      <w:numPr>
        <w:ilvl w:val="7"/>
        <w:numId w:val="9"/>
      </w:numPr>
      <w:tabs>
        <w:tab w:val="left" w:pos="851"/>
      </w:tabs>
      <w:spacing w:before="360" w:line="276" w:lineRule="auto"/>
      <w:jc w:val="both"/>
      <w:outlineLvl w:val="7"/>
    </w:pPr>
    <w:rPr>
      <w:rFonts w:eastAsia="Times New Roman"/>
      <w:color w:val="4F81BD"/>
      <w:sz w:val="32"/>
      <w:szCs w:val="21"/>
      <w:lang w:eastAsia="en-US"/>
    </w:rPr>
  </w:style>
  <w:style w:type="paragraph" w:styleId="Heading9">
    <w:name w:val="heading 9"/>
    <w:aliases w:val="App Heading 3"/>
    <w:next w:val="BodyText"/>
    <w:link w:val="Heading9Char"/>
    <w:uiPriority w:val="9"/>
    <w:unhideWhenUsed/>
    <w:qFormat/>
    <w:rsid w:val="006068D9"/>
    <w:pPr>
      <w:keepNext/>
      <w:numPr>
        <w:ilvl w:val="8"/>
        <w:numId w:val="9"/>
      </w:numPr>
      <w:tabs>
        <w:tab w:val="left" w:pos="851"/>
      </w:tabs>
      <w:spacing w:before="360" w:line="276" w:lineRule="auto"/>
      <w:jc w:val="both"/>
      <w:outlineLvl w:val="8"/>
    </w:pPr>
    <w:rPr>
      <w:rFonts w:eastAsia="Times New Roman"/>
      <w:b/>
      <w:i/>
      <w:iCs/>
      <w:color w:val="272727"/>
      <w:sz w:val="28"/>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23683"/>
    <w:rPr>
      <w:rFonts w:asciiTheme="minorHAnsi" w:eastAsia="Times New Roman" w:hAnsiTheme="minorHAnsi"/>
      <w:b/>
      <w:color w:val="4F81BD"/>
      <w:sz w:val="40"/>
      <w:szCs w:val="32"/>
      <w:lang w:eastAsia="en-US"/>
    </w:rPr>
  </w:style>
  <w:style w:type="paragraph" w:customStyle="1" w:styleId="ToR">
    <w:name w:val="ToR"/>
    <w:next w:val="BodyText"/>
    <w:qFormat/>
    <w:rsid w:val="003F03FF"/>
    <w:pPr>
      <w:tabs>
        <w:tab w:val="left" w:pos="794"/>
      </w:tabs>
      <w:spacing w:before="240" w:line="276" w:lineRule="auto"/>
      <w:jc w:val="both"/>
    </w:pPr>
    <w:rPr>
      <w:i/>
      <w:sz w:val="24"/>
      <w:szCs w:val="24"/>
      <w:lang w:eastAsia="en-US"/>
    </w:rPr>
  </w:style>
  <w:style w:type="paragraph" w:styleId="BodyText">
    <w:name w:val="Body Text"/>
    <w:link w:val="BodyTextChar"/>
    <w:uiPriority w:val="99"/>
    <w:unhideWhenUsed/>
    <w:rsid w:val="008E29BE"/>
    <w:pPr>
      <w:spacing w:before="240" w:line="276" w:lineRule="auto"/>
      <w:jc w:val="both"/>
    </w:pPr>
    <w:rPr>
      <w:sz w:val="24"/>
      <w:szCs w:val="24"/>
      <w:lang w:eastAsia="en-US"/>
    </w:rPr>
  </w:style>
  <w:style w:type="character" w:customStyle="1" w:styleId="BodyTextChar">
    <w:name w:val="Body Text Char"/>
    <w:basedOn w:val="DefaultParagraphFont"/>
    <w:link w:val="BodyText"/>
    <w:uiPriority w:val="99"/>
    <w:rsid w:val="008E29BE"/>
  </w:style>
  <w:style w:type="paragraph" w:customStyle="1" w:styleId="ToRsinboxwithhangingindent">
    <w:name w:val="ToRs in box with hanging indent"/>
    <w:qFormat/>
    <w:rsid w:val="005B5D2A"/>
    <w:pPr>
      <w:keepNext/>
      <w:pBdr>
        <w:top w:val="single" w:sz="4" w:space="8" w:color="auto"/>
        <w:left w:val="single" w:sz="4" w:space="4" w:color="auto"/>
        <w:bottom w:val="single" w:sz="4" w:space="8" w:color="auto"/>
        <w:right w:val="single" w:sz="4" w:space="4" w:color="auto"/>
      </w:pBdr>
      <w:shd w:val="clear" w:color="auto" w:fill="F2F2F2"/>
      <w:tabs>
        <w:tab w:val="left" w:pos="1304"/>
      </w:tabs>
      <w:spacing w:before="120" w:line="276" w:lineRule="auto"/>
      <w:ind w:left="1304" w:hanging="1304"/>
      <w:jc w:val="both"/>
    </w:pPr>
    <w:rPr>
      <w:sz w:val="24"/>
      <w:szCs w:val="24"/>
      <w:lang w:eastAsia="en-US"/>
    </w:rPr>
  </w:style>
  <w:style w:type="character" w:customStyle="1" w:styleId="Heading2Char">
    <w:name w:val="Heading 2 Char"/>
    <w:link w:val="Heading2"/>
    <w:uiPriority w:val="9"/>
    <w:rsid w:val="00C23683"/>
    <w:rPr>
      <w:rFonts w:asciiTheme="minorHAnsi" w:eastAsia="Times New Roman" w:hAnsiTheme="minorHAnsi"/>
      <w:b/>
      <w:color w:val="4F81BD"/>
      <w:sz w:val="32"/>
      <w:szCs w:val="26"/>
      <w:lang w:eastAsia="en-US"/>
    </w:rPr>
  </w:style>
  <w:style w:type="paragraph" w:customStyle="1" w:styleId="ToRinbox">
    <w:name w:val="ToR in box"/>
    <w:basedOn w:val="ToRsinboxwithhangingindent"/>
    <w:qFormat/>
    <w:rsid w:val="00BB390F"/>
    <w:pPr>
      <w:pBdr>
        <w:top w:val="single" w:sz="4" w:space="6" w:color="auto"/>
        <w:bottom w:val="single" w:sz="4" w:space="6" w:color="auto"/>
      </w:pBdr>
      <w:tabs>
        <w:tab w:val="clear" w:pos="1304"/>
      </w:tabs>
      <w:ind w:left="0" w:firstLine="0"/>
    </w:pPr>
  </w:style>
  <w:style w:type="character" w:customStyle="1" w:styleId="Heading3Char">
    <w:name w:val="Heading 3 Char"/>
    <w:link w:val="Heading3"/>
    <w:uiPriority w:val="9"/>
    <w:rsid w:val="00522F52"/>
    <w:rPr>
      <w:rFonts w:asciiTheme="minorHAnsi" w:eastAsia="Times New Roman" w:hAnsiTheme="minorHAnsi"/>
      <w:b/>
      <w:i/>
      <w:sz w:val="30"/>
      <w:szCs w:val="24"/>
      <w:lang w:eastAsia="en-US"/>
    </w:rPr>
  </w:style>
  <w:style w:type="paragraph" w:customStyle="1" w:styleId="Bullettext">
    <w:name w:val="Bullet text"/>
    <w:link w:val="BullettextChar"/>
    <w:qFormat/>
    <w:rsid w:val="00907F4C"/>
    <w:pPr>
      <w:numPr>
        <w:numId w:val="10"/>
      </w:numPr>
      <w:spacing w:before="120" w:line="276" w:lineRule="auto"/>
      <w:contextualSpacing/>
      <w:jc w:val="both"/>
    </w:pPr>
    <w:rPr>
      <w:sz w:val="24"/>
      <w:szCs w:val="24"/>
      <w:lang w:eastAsia="en-US"/>
    </w:rPr>
  </w:style>
  <w:style w:type="paragraph" w:customStyle="1" w:styleId="Bullettextsecondlevel">
    <w:name w:val="Bullet text second level"/>
    <w:qFormat/>
    <w:rsid w:val="00907F4C"/>
    <w:pPr>
      <w:numPr>
        <w:numId w:val="1"/>
      </w:numPr>
      <w:spacing w:line="276" w:lineRule="auto"/>
      <w:ind w:left="851" w:hanging="284"/>
      <w:jc w:val="both"/>
    </w:pPr>
    <w:rPr>
      <w:sz w:val="24"/>
      <w:szCs w:val="24"/>
      <w:lang w:eastAsia="en-US"/>
    </w:rPr>
  </w:style>
  <w:style w:type="character" w:customStyle="1" w:styleId="Heading4Char">
    <w:name w:val="Heading 4 Char"/>
    <w:link w:val="Heading4"/>
    <w:uiPriority w:val="9"/>
    <w:rsid w:val="00153E18"/>
    <w:rPr>
      <w:rFonts w:asciiTheme="minorHAnsi" w:eastAsia="Times New Roman" w:hAnsiTheme="minorHAnsi"/>
      <w:b/>
      <w:iCs/>
      <w:sz w:val="24"/>
      <w:szCs w:val="24"/>
      <w:lang w:eastAsia="en-US"/>
    </w:rPr>
  </w:style>
  <w:style w:type="character" w:customStyle="1" w:styleId="Heading5Char">
    <w:name w:val="Heading 5 Char"/>
    <w:link w:val="Heading5"/>
    <w:uiPriority w:val="9"/>
    <w:rsid w:val="00D866EC"/>
    <w:rPr>
      <w:rFonts w:eastAsia="Times New Roman"/>
      <w:sz w:val="24"/>
      <w:szCs w:val="24"/>
      <w:u w:val="single"/>
      <w:lang w:eastAsia="en-US"/>
    </w:rPr>
  </w:style>
  <w:style w:type="paragraph" w:customStyle="1" w:styleId="BodyTextnospacebefore">
    <w:name w:val="Body Text – no space before"/>
    <w:next w:val="BodyText"/>
    <w:qFormat/>
    <w:rsid w:val="00E939EF"/>
    <w:pPr>
      <w:spacing w:after="200" w:line="276" w:lineRule="auto"/>
    </w:pPr>
    <w:rPr>
      <w:rFonts w:asciiTheme="minorHAnsi" w:hAnsiTheme="minorHAnsi"/>
      <w:sz w:val="24"/>
      <w:szCs w:val="24"/>
      <w:lang w:eastAsia="en-US"/>
    </w:rPr>
  </w:style>
  <w:style w:type="paragraph" w:styleId="TableofAuthorities">
    <w:name w:val="table of authorities"/>
    <w:basedOn w:val="Normal"/>
    <w:next w:val="Normal"/>
    <w:uiPriority w:val="99"/>
    <w:semiHidden/>
    <w:unhideWhenUsed/>
    <w:rsid w:val="00834197"/>
    <w:pPr>
      <w:ind w:left="240" w:hanging="240"/>
    </w:pPr>
  </w:style>
  <w:style w:type="paragraph" w:customStyle="1" w:styleId="05Tabletext">
    <w:name w:val="05 Table text"/>
    <w:next w:val="06Tabletextspacebefore"/>
    <w:qFormat/>
    <w:rsid w:val="005940CE"/>
    <w:pPr>
      <w:spacing w:before="20"/>
      <w:ind w:left="57" w:right="57"/>
    </w:pPr>
    <w:rPr>
      <w:rFonts w:ascii="Arial Narrow" w:hAnsi="Arial Narrow"/>
      <w:sz w:val="18"/>
      <w:szCs w:val="24"/>
      <w:lang w:eastAsia="en-US"/>
    </w:rPr>
  </w:style>
  <w:style w:type="table" w:styleId="TableGrid">
    <w:name w:val="Table Grid"/>
    <w:basedOn w:val="TableNormal"/>
    <w:rsid w:val="00E01A78"/>
    <w:rPr>
      <w:rFonts w:ascii="Arial Narrow" w:hAnsi="Arial Narrow"/>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tblPr/>
      <w:trPr>
        <w:tblHeader/>
      </w:trPr>
      <w:tcPr>
        <w:shd w:val="clear" w:color="auto" w:fill="BFBFBF"/>
      </w:tcPr>
    </w:tblStyle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next w:val="05Tabletext"/>
    <w:link w:val="CaptionChar"/>
    <w:uiPriority w:val="35"/>
    <w:unhideWhenUsed/>
    <w:qFormat/>
    <w:rsid w:val="00665040"/>
    <w:pPr>
      <w:keepNext/>
      <w:tabs>
        <w:tab w:val="left" w:pos="1134"/>
      </w:tabs>
      <w:spacing w:before="240" w:after="40"/>
      <w:ind w:left="1134" w:hanging="1134"/>
      <w:jc w:val="both"/>
    </w:pPr>
    <w:rPr>
      <w:rFonts w:asciiTheme="minorHAnsi" w:hAnsiTheme="minorHAnsi"/>
      <w:b/>
      <w:iCs/>
      <w:sz w:val="24"/>
      <w:szCs w:val="18"/>
      <w:lang w:eastAsia="en-US"/>
    </w:rPr>
  </w:style>
  <w:style w:type="paragraph" w:customStyle="1" w:styleId="06Tabletextspacebefore">
    <w:name w:val="06 Table text space before"/>
    <w:qFormat/>
    <w:rsid w:val="002C3009"/>
    <w:pPr>
      <w:spacing w:before="80"/>
      <w:ind w:left="57" w:right="57"/>
    </w:pPr>
    <w:rPr>
      <w:rFonts w:ascii="Arial" w:hAnsi="Arial"/>
      <w:szCs w:val="24"/>
      <w:lang w:eastAsia="en-US"/>
    </w:rPr>
  </w:style>
  <w:style w:type="paragraph" w:customStyle="1" w:styleId="10TableorFigurefootnote">
    <w:name w:val="10 Table or Figure footnote"/>
    <w:qFormat/>
    <w:rsid w:val="0063506B"/>
    <w:pPr>
      <w:keepNext/>
    </w:pPr>
    <w:rPr>
      <w:rFonts w:ascii="Arial Narrow" w:hAnsi="Arial Narrow"/>
      <w:sz w:val="16"/>
      <w:szCs w:val="24"/>
      <w:lang w:eastAsia="en-US"/>
    </w:rPr>
  </w:style>
  <w:style w:type="paragraph" w:customStyle="1" w:styleId="11TableorFigurefootnotenostick">
    <w:name w:val="11 Table or Figure footnote – no stick"/>
    <w:next w:val="BodyText"/>
    <w:qFormat/>
    <w:rsid w:val="0099024A"/>
    <w:pPr>
      <w:spacing w:after="360"/>
    </w:pPr>
    <w:rPr>
      <w:rFonts w:ascii="Arial Narrow" w:hAnsi="Arial Narrow"/>
      <w:sz w:val="16"/>
      <w:szCs w:val="24"/>
      <w:lang w:eastAsia="en-US"/>
    </w:rPr>
  </w:style>
  <w:style w:type="paragraph" w:customStyle="1" w:styleId="01TableHEADINGleftaligned">
    <w:name w:val="01 Table HEADING left aligned"/>
    <w:basedOn w:val="BodyText"/>
    <w:qFormat/>
    <w:rsid w:val="003D0211"/>
    <w:pPr>
      <w:keepNext/>
      <w:spacing w:before="60" w:line="240" w:lineRule="auto"/>
      <w:ind w:left="57" w:right="57"/>
      <w:jc w:val="left"/>
    </w:pPr>
    <w:rPr>
      <w:rFonts w:ascii="Arial Narrow" w:hAnsi="Arial Narrow"/>
      <w:b/>
      <w:sz w:val="18"/>
    </w:rPr>
  </w:style>
  <w:style w:type="paragraph" w:customStyle="1" w:styleId="02TableHEADINGcentred">
    <w:name w:val="02 Table HEADING centred"/>
    <w:qFormat/>
    <w:rsid w:val="009800DE"/>
    <w:pPr>
      <w:keepNext/>
      <w:spacing w:before="60"/>
      <w:ind w:left="57" w:right="57"/>
      <w:jc w:val="center"/>
    </w:pPr>
    <w:rPr>
      <w:rFonts w:ascii="Arial Narrow" w:hAnsi="Arial Narrow"/>
      <w:b/>
      <w:sz w:val="18"/>
      <w:szCs w:val="24"/>
      <w:lang w:eastAsia="en-US"/>
    </w:rPr>
  </w:style>
  <w:style w:type="paragraph" w:customStyle="1" w:styleId="09Tablerightaligned">
    <w:name w:val="09 Table right aligned ($)"/>
    <w:qFormat/>
    <w:rsid w:val="00E01A78"/>
    <w:pPr>
      <w:spacing w:before="20"/>
      <w:ind w:left="57" w:right="170"/>
      <w:jc w:val="right"/>
    </w:pPr>
    <w:rPr>
      <w:rFonts w:ascii="Arial Narrow" w:hAnsi="Arial Narrow"/>
      <w:sz w:val="18"/>
      <w:szCs w:val="24"/>
      <w:lang w:eastAsia="en-US"/>
    </w:rPr>
  </w:style>
  <w:style w:type="paragraph" w:customStyle="1" w:styleId="07Tablebullet">
    <w:name w:val="07 Table bullet"/>
    <w:qFormat/>
    <w:rsid w:val="002C3009"/>
    <w:pPr>
      <w:numPr>
        <w:numId w:val="2"/>
      </w:numPr>
      <w:ind w:left="227" w:right="57" w:hanging="170"/>
    </w:pPr>
    <w:rPr>
      <w:rFonts w:ascii="Arial" w:hAnsi="Arial"/>
      <w:szCs w:val="24"/>
      <w:lang w:eastAsia="en-US"/>
    </w:rPr>
  </w:style>
  <w:style w:type="numbering" w:customStyle="1" w:styleId="Headings">
    <w:name w:val="Headings"/>
    <w:uiPriority w:val="99"/>
    <w:rsid w:val="006068D9"/>
    <w:pPr>
      <w:numPr>
        <w:numId w:val="11"/>
      </w:numPr>
    </w:pPr>
  </w:style>
  <w:style w:type="paragraph" w:styleId="TOC2">
    <w:name w:val="toc 2"/>
    <w:basedOn w:val="Normal"/>
    <w:next w:val="Normal"/>
    <w:autoRedefine/>
    <w:uiPriority w:val="39"/>
    <w:unhideWhenUsed/>
    <w:rsid w:val="00515169"/>
    <w:pPr>
      <w:tabs>
        <w:tab w:val="left" w:pos="1134"/>
        <w:tab w:val="right" w:leader="dot" w:pos="9628"/>
      </w:tabs>
      <w:spacing w:before="60"/>
      <w:ind w:left="1134" w:right="567" w:hanging="567"/>
      <w:jc w:val="left"/>
    </w:pPr>
  </w:style>
  <w:style w:type="paragraph" w:styleId="TOC1">
    <w:name w:val="toc 1"/>
    <w:autoRedefine/>
    <w:uiPriority w:val="39"/>
    <w:unhideWhenUsed/>
    <w:rsid w:val="00BA0380"/>
    <w:pPr>
      <w:tabs>
        <w:tab w:val="right" w:leader="dot" w:pos="9628"/>
      </w:tabs>
      <w:spacing w:before="120" w:line="276" w:lineRule="auto"/>
      <w:ind w:left="1134" w:right="567" w:hanging="1134"/>
    </w:pPr>
    <w:rPr>
      <w:noProof/>
      <w:sz w:val="24"/>
      <w:szCs w:val="24"/>
      <w:lang w:eastAsia="en-US"/>
    </w:rPr>
  </w:style>
  <w:style w:type="paragraph" w:styleId="TOC3">
    <w:name w:val="toc 3"/>
    <w:basedOn w:val="Normal"/>
    <w:next w:val="Normal"/>
    <w:autoRedefine/>
    <w:uiPriority w:val="39"/>
    <w:unhideWhenUsed/>
    <w:rsid w:val="00150D82"/>
    <w:pPr>
      <w:tabs>
        <w:tab w:val="left" w:pos="1320"/>
        <w:tab w:val="right" w:leader="dot" w:pos="9628"/>
      </w:tabs>
      <w:spacing w:before="0"/>
      <w:ind w:left="1701" w:right="567" w:hanging="567"/>
      <w:jc w:val="left"/>
    </w:pPr>
  </w:style>
  <w:style w:type="character" w:styleId="Hyperlink">
    <w:name w:val="Hyperlink"/>
    <w:uiPriority w:val="99"/>
    <w:unhideWhenUsed/>
    <w:rsid w:val="00663CBC"/>
    <w:rPr>
      <w:color w:val="0000FF"/>
      <w:u w:val="single"/>
    </w:rPr>
  </w:style>
  <w:style w:type="paragraph" w:styleId="TOCHeading">
    <w:name w:val="TOC Heading"/>
    <w:next w:val="BodyText"/>
    <w:uiPriority w:val="39"/>
    <w:unhideWhenUsed/>
    <w:qFormat/>
    <w:rsid w:val="001C5235"/>
    <w:pPr>
      <w:pageBreakBefore/>
      <w:spacing w:before="360" w:after="360" w:line="276" w:lineRule="auto"/>
      <w:jc w:val="center"/>
    </w:pPr>
    <w:rPr>
      <w:rFonts w:eastAsia="Times New Roman"/>
      <w:b/>
      <w:color w:val="4F81BD"/>
      <w:sz w:val="40"/>
      <w:szCs w:val="32"/>
      <w:lang w:eastAsia="en-US"/>
    </w:rPr>
  </w:style>
  <w:style w:type="character" w:styleId="CommentReference">
    <w:name w:val="annotation reference"/>
    <w:aliases w:val="Table Title"/>
    <w:uiPriority w:val="99"/>
    <w:unhideWhenUsed/>
    <w:qFormat/>
    <w:rsid w:val="007C6357"/>
    <w:rPr>
      <w:sz w:val="16"/>
      <w:szCs w:val="16"/>
    </w:rPr>
  </w:style>
  <w:style w:type="paragraph" w:styleId="CommentText">
    <w:name w:val="annotation text"/>
    <w:basedOn w:val="Normal"/>
    <w:link w:val="CommentTextChar"/>
    <w:uiPriority w:val="99"/>
    <w:unhideWhenUsed/>
    <w:rsid w:val="007C6357"/>
    <w:pPr>
      <w:spacing w:line="240" w:lineRule="auto"/>
    </w:pPr>
    <w:rPr>
      <w:sz w:val="20"/>
      <w:szCs w:val="20"/>
    </w:rPr>
  </w:style>
  <w:style w:type="character" w:customStyle="1" w:styleId="CommentTextChar">
    <w:name w:val="Comment Text Char"/>
    <w:link w:val="CommentText"/>
    <w:uiPriority w:val="99"/>
    <w:rsid w:val="007C6357"/>
    <w:rPr>
      <w:sz w:val="20"/>
      <w:szCs w:val="20"/>
    </w:rPr>
  </w:style>
  <w:style w:type="paragraph" w:styleId="CommentSubject">
    <w:name w:val="annotation subject"/>
    <w:basedOn w:val="CommentText"/>
    <w:next w:val="CommentText"/>
    <w:link w:val="CommentSubjectChar"/>
    <w:uiPriority w:val="99"/>
    <w:semiHidden/>
    <w:unhideWhenUsed/>
    <w:rsid w:val="007C6357"/>
    <w:rPr>
      <w:b/>
      <w:bCs/>
    </w:rPr>
  </w:style>
  <w:style w:type="character" w:customStyle="1" w:styleId="CommentSubjectChar">
    <w:name w:val="Comment Subject Char"/>
    <w:link w:val="CommentSubject"/>
    <w:uiPriority w:val="99"/>
    <w:semiHidden/>
    <w:rsid w:val="007C6357"/>
    <w:rPr>
      <w:b/>
      <w:bCs/>
      <w:sz w:val="20"/>
      <w:szCs w:val="20"/>
    </w:rPr>
  </w:style>
  <w:style w:type="paragraph" w:styleId="BalloonText">
    <w:name w:val="Balloon Text"/>
    <w:basedOn w:val="Normal"/>
    <w:link w:val="BalloonTextChar"/>
    <w:uiPriority w:val="99"/>
    <w:semiHidden/>
    <w:unhideWhenUsed/>
    <w:rsid w:val="007C6357"/>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7C6357"/>
    <w:rPr>
      <w:rFonts w:ascii="Segoe UI" w:hAnsi="Segoe UI" w:cs="Segoe UI"/>
      <w:sz w:val="18"/>
      <w:szCs w:val="18"/>
    </w:rPr>
  </w:style>
  <w:style w:type="paragraph" w:customStyle="1" w:styleId="Picturewithbox">
    <w:name w:val="Picture with box"/>
    <w:next w:val="11TableorFigurefootnotenostick"/>
    <w:qFormat/>
    <w:rsid w:val="00C076F5"/>
    <w:pPr>
      <w:pBdr>
        <w:top w:val="single" w:sz="4" w:space="4" w:color="auto"/>
        <w:left w:val="single" w:sz="4" w:space="0" w:color="auto"/>
        <w:bottom w:val="single" w:sz="4" w:space="4" w:color="auto"/>
        <w:right w:val="single" w:sz="4" w:space="0" w:color="auto"/>
      </w:pBdr>
      <w:jc w:val="center"/>
    </w:pPr>
    <w:rPr>
      <w:sz w:val="24"/>
      <w:szCs w:val="24"/>
      <w:lang w:eastAsia="en-US"/>
    </w:rPr>
  </w:style>
  <w:style w:type="paragraph" w:styleId="TableofFigures">
    <w:name w:val="table of figures"/>
    <w:aliases w:val="- TOC for list of Figures or Tables"/>
    <w:uiPriority w:val="99"/>
    <w:unhideWhenUsed/>
    <w:rsid w:val="00A54385"/>
    <w:pPr>
      <w:ind w:left="1418" w:right="567" w:hanging="1418"/>
    </w:pPr>
    <w:rPr>
      <w:sz w:val="24"/>
      <w:szCs w:val="24"/>
      <w:lang w:eastAsia="en-US"/>
    </w:rPr>
  </w:style>
  <w:style w:type="paragraph" w:customStyle="1" w:styleId="Titlepage">
    <w:name w:val="Title page"/>
    <w:qFormat/>
    <w:rsid w:val="005B5D2A"/>
    <w:pPr>
      <w:spacing w:before="120" w:line="276" w:lineRule="auto"/>
      <w:jc w:val="center"/>
    </w:pPr>
    <w:rPr>
      <w:sz w:val="40"/>
      <w:szCs w:val="40"/>
      <w:lang w:eastAsia="en-US"/>
    </w:rPr>
  </w:style>
  <w:style w:type="character" w:customStyle="1" w:styleId="Heading6Char">
    <w:name w:val="Heading 6 Char"/>
    <w:link w:val="Heading6"/>
    <w:uiPriority w:val="9"/>
    <w:rsid w:val="0088224C"/>
    <w:rPr>
      <w:rFonts w:ascii="Calibri" w:eastAsia="Times New Roman" w:hAnsi="Calibri"/>
      <w:i/>
      <w:sz w:val="24"/>
      <w:szCs w:val="24"/>
      <w:lang w:eastAsia="en-US"/>
    </w:rPr>
  </w:style>
  <w:style w:type="character" w:customStyle="1" w:styleId="Heading7Char">
    <w:name w:val="Heading 7 Char"/>
    <w:aliases w:val="App Heading 1 Char"/>
    <w:link w:val="Heading7"/>
    <w:uiPriority w:val="9"/>
    <w:rsid w:val="00683D01"/>
    <w:rPr>
      <w:rFonts w:eastAsia="Times New Roman"/>
      <w:b/>
      <w:iCs/>
      <w:color w:val="4F81BD"/>
      <w:sz w:val="36"/>
      <w:szCs w:val="24"/>
      <w:lang w:eastAsia="en-US"/>
    </w:rPr>
  </w:style>
  <w:style w:type="character" w:customStyle="1" w:styleId="Heading8Char">
    <w:name w:val="Heading 8 Char"/>
    <w:aliases w:val="App Heading 2 Char"/>
    <w:link w:val="Heading8"/>
    <w:uiPriority w:val="9"/>
    <w:rsid w:val="00916C10"/>
    <w:rPr>
      <w:rFonts w:eastAsia="Times New Roman"/>
      <w:color w:val="4F81BD"/>
      <w:sz w:val="32"/>
      <w:szCs w:val="21"/>
      <w:lang w:eastAsia="en-US"/>
    </w:rPr>
  </w:style>
  <w:style w:type="character" w:customStyle="1" w:styleId="Heading9Char">
    <w:name w:val="Heading 9 Char"/>
    <w:aliases w:val="App Heading 3 Char"/>
    <w:link w:val="Heading9"/>
    <w:uiPriority w:val="9"/>
    <w:rsid w:val="00343EB1"/>
    <w:rPr>
      <w:rFonts w:eastAsia="Times New Roman"/>
      <w:b/>
      <w:i/>
      <w:iCs/>
      <w:color w:val="272727"/>
      <w:sz w:val="28"/>
      <w:szCs w:val="21"/>
      <w:lang w:eastAsia="en-US"/>
    </w:rPr>
  </w:style>
  <w:style w:type="paragraph" w:styleId="Footer">
    <w:name w:val="footer"/>
    <w:link w:val="FooterChar"/>
    <w:unhideWhenUsed/>
    <w:rsid w:val="006C71C1"/>
    <w:pPr>
      <w:pBdr>
        <w:top w:val="single" w:sz="4" w:space="1" w:color="auto"/>
      </w:pBdr>
    </w:pPr>
    <w:rPr>
      <w:szCs w:val="24"/>
      <w:lang w:eastAsia="en-US"/>
    </w:rPr>
  </w:style>
  <w:style w:type="paragraph" w:styleId="Header">
    <w:name w:val="header"/>
    <w:link w:val="HeaderChar"/>
    <w:uiPriority w:val="99"/>
    <w:unhideWhenUsed/>
    <w:rsid w:val="008D13CD"/>
    <w:pPr>
      <w:pBdr>
        <w:bottom w:val="single" w:sz="4" w:space="1" w:color="auto"/>
      </w:pBdr>
      <w:tabs>
        <w:tab w:val="center" w:pos="4513"/>
        <w:tab w:val="right" w:pos="9026"/>
      </w:tabs>
      <w:spacing w:after="240"/>
    </w:pPr>
    <w:rPr>
      <w:szCs w:val="24"/>
      <w:lang w:eastAsia="en-US"/>
    </w:rPr>
  </w:style>
  <w:style w:type="character" w:customStyle="1" w:styleId="HeaderChar">
    <w:name w:val="Header Char"/>
    <w:link w:val="Header"/>
    <w:uiPriority w:val="99"/>
    <w:rsid w:val="008D13CD"/>
    <w:rPr>
      <w:sz w:val="20"/>
    </w:rPr>
  </w:style>
  <w:style w:type="character" w:customStyle="1" w:styleId="FooterChar">
    <w:name w:val="Footer Char"/>
    <w:link w:val="Footer"/>
    <w:rsid w:val="006C71C1"/>
    <w:rPr>
      <w:szCs w:val="24"/>
      <w:lang w:eastAsia="en-US"/>
    </w:rPr>
  </w:style>
  <w:style w:type="character" w:customStyle="1" w:styleId="BullettextChar">
    <w:name w:val="Bullet text Char"/>
    <w:link w:val="Bullettext"/>
    <w:rsid w:val="00DA3D12"/>
    <w:rPr>
      <w:sz w:val="24"/>
      <w:szCs w:val="24"/>
      <w:lang w:eastAsia="en-US"/>
    </w:rPr>
  </w:style>
  <w:style w:type="paragraph" w:styleId="FootnoteText">
    <w:name w:val="footnote text"/>
    <w:basedOn w:val="Normal"/>
    <w:link w:val="FootnoteTextChar"/>
    <w:uiPriority w:val="99"/>
    <w:unhideWhenUsed/>
    <w:rsid w:val="00CC24F3"/>
    <w:pPr>
      <w:spacing w:before="0" w:line="240" w:lineRule="auto"/>
      <w:jc w:val="left"/>
    </w:pPr>
    <w:rPr>
      <w:rFonts w:ascii="Arial Narrow" w:hAnsi="Arial Narrow"/>
      <w:sz w:val="18"/>
      <w:szCs w:val="20"/>
    </w:rPr>
  </w:style>
  <w:style w:type="character" w:customStyle="1" w:styleId="FootnoteTextChar">
    <w:name w:val="Footnote Text Char"/>
    <w:link w:val="FootnoteText"/>
    <w:uiPriority w:val="99"/>
    <w:rsid w:val="00CC24F3"/>
    <w:rPr>
      <w:rFonts w:ascii="Arial Narrow" w:hAnsi="Arial Narrow"/>
      <w:sz w:val="18"/>
      <w:lang w:eastAsia="en-US"/>
    </w:rPr>
  </w:style>
  <w:style w:type="paragraph" w:styleId="TOAHeading">
    <w:name w:val="toa heading"/>
    <w:basedOn w:val="Normal"/>
    <w:next w:val="Normal"/>
    <w:uiPriority w:val="99"/>
    <w:semiHidden/>
    <w:unhideWhenUsed/>
    <w:rsid w:val="00834197"/>
    <w:rPr>
      <w:rFonts w:asciiTheme="majorHAnsi" w:eastAsiaTheme="majorEastAsia" w:hAnsiTheme="majorHAnsi" w:cstheme="majorBidi"/>
      <w:b/>
      <w:bCs/>
    </w:rPr>
  </w:style>
  <w:style w:type="paragraph" w:customStyle="1" w:styleId="TableorFigurefootnote">
    <w:name w:val="Table or Figure footnote"/>
    <w:next w:val="BodyText"/>
    <w:qFormat/>
    <w:rsid w:val="00ED6106"/>
    <w:pPr>
      <w:spacing w:after="240"/>
      <w:contextualSpacing/>
    </w:pPr>
    <w:rPr>
      <w:rFonts w:ascii="Garamond" w:hAnsi="Garamond"/>
      <w:sz w:val="16"/>
      <w:szCs w:val="22"/>
      <w:lang w:eastAsia="en-US"/>
    </w:rPr>
  </w:style>
  <w:style w:type="character" w:styleId="FootnoteReference">
    <w:name w:val="footnote reference"/>
    <w:uiPriority w:val="99"/>
    <w:unhideWhenUsed/>
    <w:rsid w:val="00A332EB"/>
    <w:rPr>
      <w:vertAlign w:val="superscript"/>
    </w:rPr>
  </w:style>
  <w:style w:type="paragraph" w:customStyle="1" w:styleId="08Tablebulletsecondlevel">
    <w:name w:val="08 Table bullet second level"/>
    <w:qFormat/>
    <w:rsid w:val="0029750E"/>
    <w:pPr>
      <w:numPr>
        <w:numId w:val="4"/>
      </w:numPr>
      <w:ind w:left="397" w:hanging="170"/>
    </w:pPr>
    <w:rPr>
      <w:rFonts w:ascii="Arial Narrow" w:hAnsi="Arial Narrow"/>
      <w:sz w:val="18"/>
      <w:szCs w:val="24"/>
      <w:lang w:eastAsia="en-US"/>
    </w:rPr>
  </w:style>
  <w:style w:type="paragraph" w:customStyle="1" w:styleId="03TableHEADINGrightaligned">
    <w:name w:val="03 Table HEADING right aligned ($)"/>
    <w:qFormat/>
    <w:rsid w:val="00241406"/>
    <w:pPr>
      <w:keepNext/>
      <w:spacing w:before="60"/>
      <w:ind w:left="57" w:right="170"/>
      <w:jc w:val="right"/>
    </w:pPr>
    <w:rPr>
      <w:rFonts w:ascii="Arial Narrow" w:hAnsi="Arial Narrow"/>
      <w:b/>
      <w:sz w:val="18"/>
      <w:szCs w:val="24"/>
      <w:lang w:eastAsia="en-US"/>
    </w:rPr>
  </w:style>
  <w:style w:type="paragraph" w:styleId="Revision">
    <w:name w:val="Revision"/>
    <w:hidden/>
    <w:uiPriority w:val="99"/>
    <w:semiHidden/>
    <w:rsid w:val="007660BB"/>
    <w:rPr>
      <w:sz w:val="24"/>
      <w:szCs w:val="24"/>
      <w:lang w:eastAsia="en-US"/>
    </w:rPr>
  </w:style>
  <w:style w:type="paragraph" w:styleId="EndnoteText">
    <w:name w:val="endnote text"/>
    <w:basedOn w:val="Normal"/>
    <w:link w:val="EndnoteTextChar"/>
    <w:unhideWhenUsed/>
    <w:rsid w:val="00A3778B"/>
    <w:pPr>
      <w:spacing w:before="0" w:line="240" w:lineRule="auto"/>
    </w:pPr>
    <w:rPr>
      <w:sz w:val="20"/>
      <w:szCs w:val="20"/>
    </w:rPr>
  </w:style>
  <w:style w:type="character" w:customStyle="1" w:styleId="EndnoteTextChar">
    <w:name w:val="Endnote Text Char"/>
    <w:link w:val="EndnoteText"/>
    <w:rsid w:val="00A3778B"/>
    <w:rPr>
      <w:sz w:val="20"/>
      <w:szCs w:val="20"/>
    </w:rPr>
  </w:style>
  <w:style w:type="character" w:styleId="EndnoteReference">
    <w:name w:val="endnote reference"/>
    <w:unhideWhenUsed/>
    <w:rsid w:val="00A3778B"/>
    <w:rPr>
      <w:vertAlign w:val="superscript"/>
    </w:rPr>
  </w:style>
  <w:style w:type="paragraph" w:customStyle="1" w:styleId="Default">
    <w:name w:val="Default"/>
    <w:rsid w:val="00E45401"/>
    <w:pPr>
      <w:autoSpaceDE w:val="0"/>
      <w:autoSpaceDN w:val="0"/>
      <w:adjustRightInd w:val="0"/>
    </w:pPr>
    <w:rPr>
      <w:rFonts w:ascii="Calibri" w:hAnsi="Calibri" w:cs="Calibri"/>
      <w:color w:val="000000"/>
      <w:sz w:val="24"/>
      <w:szCs w:val="24"/>
      <w:lang w:eastAsia="en-US"/>
    </w:rPr>
  </w:style>
  <w:style w:type="paragraph" w:customStyle="1" w:styleId="04Tablesubheading">
    <w:name w:val="04 Table subheading"/>
    <w:qFormat/>
    <w:rsid w:val="00055F77"/>
    <w:pPr>
      <w:keepNext/>
      <w:spacing w:before="20"/>
      <w:ind w:left="57" w:right="57"/>
    </w:pPr>
    <w:rPr>
      <w:rFonts w:ascii="Arial Narrow" w:hAnsi="Arial Narrow"/>
      <w:b/>
      <w:sz w:val="18"/>
      <w:szCs w:val="24"/>
      <w:lang w:eastAsia="en-US"/>
    </w:rPr>
  </w:style>
  <w:style w:type="paragraph" w:customStyle="1" w:styleId="FooterwithLandscape">
    <w:name w:val="Footer with # Landscape"/>
    <w:qFormat/>
    <w:rsid w:val="006C71C1"/>
    <w:pPr>
      <w:pBdr>
        <w:top w:val="single" w:sz="4" w:space="1" w:color="auto"/>
      </w:pBdr>
      <w:tabs>
        <w:tab w:val="right" w:pos="14572"/>
      </w:tabs>
      <w:spacing w:before="240"/>
    </w:pPr>
    <w:rPr>
      <w:szCs w:val="24"/>
      <w:lang w:eastAsia="en-US"/>
    </w:rPr>
  </w:style>
  <w:style w:type="paragraph" w:customStyle="1" w:styleId="FooterwithPortrait">
    <w:name w:val="Footer with # Portrait"/>
    <w:basedOn w:val="FooterwithLandscape"/>
    <w:qFormat/>
    <w:rsid w:val="006C71C1"/>
    <w:pPr>
      <w:tabs>
        <w:tab w:val="clear" w:pos="14572"/>
        <w:tab w:val="right" w:pos="9639"/>
      </w:tabs>
    </w:pPr>
  </w:style>
  <w:style w:type="character" w:styleId="FollowedHyperlink">
    <w:name w:val="FollowedHyperlink"/>
    <w:uiPriority w:val="99"/>
    <w:semiHidden/>
    <w:unhideWhenUsed/>
    <w:rsid w:val="00916E6D"/>
    <w:rPr>
      <w:color w:val="800080"/>
      <w:u w:val="single"/>
    </w:rPr>
  </w:style>
  <w:style w:type="paragraph" w:customStyle="1" w:styleId="08Bulletsseriesofsentences">
    <w:name w:val="08. Bullets – series of sentences"/>
    <w:link w:val="08BulletsseriesofsentencesChar"/>
    <w:autoRedefine/>
    <w:qFormat/>
    <w:rsid w:val="00A572B3"/>
    <w:pPr>
      <w:numPr>
        <w:numId w:val="5"/>
      </w:numPr>
      <w:spacing w:before="60" w:after="120"/>
    </w:pPr>
    <w:rPr>
      <w:rFonts w:asciiTheme="minorHAnsi" w:hAnsiTheme="minorHAnsi"/>
      <w:sz w:val="24"/>
      <w:szCs w:val="22"/>
      <w:lang w:eastAsia="en-US"/>
    </w:rPr>
  </w:style>
  <w:style w:type="character" w:customStyle="1" w:styleId="08BulletsseriesofsentencesChar">
    <w:name w:val="08. Bullets – series of sentences Char"/>
    <w:link w:val="08Bulletsseriesofsentences"/>
    <w:rsid w:val="00A572B3"/>
    <w:rPr>
      <w:rFonts w:asciiTheme="minorHAnsi" w:hAnsiTheme="minorHAnsi"/>
      <w:sz w:val="24"/>
      <w:szCs w:val="22"/>
      <w:lang w:eastAsia="en-US"/>
    </w:rPr>
  </w:style>
  <w:style w:type="numbering" w:customStyle="1" w:styleId="NoList1">
    <w:name w:val="No List1"/>
    <w:next w:val="NoList"/>
    <w:uiPriority w:val="99"/>
    <w:semiHidden/>
    <w:unhideWhenUsed/>
    <w:rsid w:val="00B92CC9"/>
  </w:style>
  <w:style w:type="table" w:customStyle="1" w:styleId="TableGrid1">
    <w:name w:val="Table Grid1"/>
    <w:basedOn w:val="TableNormal"/>
    <w:next w:val="TableGrid"/>
    <w:uiPriority w:val="59"/>
    <w:rsid w:val="00B9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
    <w:name w:val="Numbered list"/>
    <w:uiPriority w:val="99"/>
    <w:rsid w:val="00B92CC9"/>
    <w:pPr>
      <w:numPr>
        <w:numId w:val="6"/>
      </w:numPr>
    </w:pPr>
  </w:style>
  <w:style w:type="paragraph" w:styleId="ListParagraph">
    <w:name w:val="List Paragraph"/>
    <w:aliases w:val="Footnote,BulletPoints,List Paragraph1,Recommendation,Paragraph"/>
    <w:basedOn w:val="Normal"/>
    <w:link w:val="ListParagraphChar"/>
    <w:uiPriority w:val="34"/>
    <w:qFormat/>
    <w:rsid w:val="00B92CC9"/>
    <w:pPr>
      <w:ind w:left="720"/>
      <w:contextualSpacing/>
    </w:pPr>
  </w:style>
  <w:style w:type="numbering" w:styleId="111111">
    <w:name w:val="Outline List 2"/>
    <w:basedOn w:val="NoList"/>
    <w:uiPriority w:val="99"/>
    <w:semiHidden/>
    <w:unhideWhenUsed/>
    <w:rsid w:val="00B92CC9"/>
    <w:pPr>
      <w:numPr>
        <w:numId w:val="7"/>
      </w:numPr>
    </w:pPr>
  </w:style>
  <w:style w:type="character" w:styleId="Emphasis">
    <w:name w:val="Emphasis"/>
    <w:uiPriority w:val="20"/>
    <w:qFormat/>
    <w:rsid w:val="00B92CC9"/>
    <w:rPr>
      <w:i/>
      <w:iCs/>
    </w:rPr>
  </w:style>
  <w:style w:type="numbering" w:customStyle="1" w:styleId="NoList2">
    <w:name w:val="No List2"/>
    <w:next w:val="NoList"/>
    <w:uiPriority w:val="99"/>
    <w:semiHidden/>
    <w:unhideWhenUsed/>
    <w:rsid w:val="000E79FE"/>
  </w:style>
  <w:style w:type="table" w:customStyle="1" w:styleId="TableGrid2">
    <w:name w:val="Table Grid2"/>
    <w:basedOn w:val="TableNormal"/>
    <w:next w:val="TableGrid"/>
    <w:uiPriority w:val="59"/>
    <w:rsid w:val="000E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0" w:type="dxa"/>
        <w:bottom w:w="28" w:type="dxa"/>
        <w:right w:w="0" w:type="dxa"/>
      </w:tblCellMar>
    </w:tblPr>
    <w:trPr>
      <w:cantSplit/>
    </w:trPr>
    <w:tcPr>
      <w:shd w:val="clear" w:color="auto" w:fill="auto"/>
    </w:tcPr>
    <w:tblStylePr w:type="firstRow">
      <w:rPr>
        <w:color w:val="BFBFBF"/>
      </w:rPr>
      <w:tblPr/>
      <w:trPr>
        <w:tblHeader/>
      </w:trPr>
      <w:tcPr>
        <w:shd w:val="clear" w:color="auto" w:fill="BFBFBF"/>
      </w:tcPr>
    </w:tblStylePr>
  </w:style>
  <w:style w:type="numbering" w:customStyle="1" w:styleId="Numberedlist1">
    <w:name w:val="Numbered list1"/>
    <w:uiPriority w:val="99"/>
    <w:rsid w:val="000E79FE"/>
    <w:pPr>
      <w:numPr>
        <w:numId w:val="3"/>
      </w:numPr>
    </w:pPr>
  </w:style>
  <w:style w:type="numbering" w:customStyle="1" w:styleId="1111111">
    <w:name w:val="1 / 1.1 / 1.1.11"/>
    <w:basedOn w:val="NoList"/>
    <w:next w:val="111111"/>
    <w:uiPriority w:val="99"/>
    <w:semiHidden/>
    <w:unhideWhenUsed/>
    <w:rsid w:val="000E79FE"/>
    <w:pPr>
      <w:numPr>
        <w:numId w:val="8"/>
      </w:numPr>
    </w:pPr>
  </w:style>
  <w:style w:type="paragraph" w:styleId="TOC4">
    <w:name w:val="toc 4"/>
    <w:basedOn w:val="Normal"/>
    <w:next w:val="Normal"/>
    <w:autoRedefine/>
    <w:uiPriority w:val="39"/>
    <w:unhideWhenUsed/>
    <w:rsid w:val="00D51AE3"/>
    <w:pPr>
      <w:tabs>
        <w:tab w:val="left" w:pos="1588"/>
        <w:tab w:val="right" w:leader="dot" w:pos="9639"/>
      </w:tabs>
      <w:ind w:left="680" w:right="-1" w:hanging="680"/>
      <w:jc w:val="left"/>
    </w:pPr>
    <w:rPr>
      <w:rFonts w:eastAsia="Times New Roman"/>
      <w:szCs w:val="22"/>
      <w:lang w:eastAsia="en-AU"/>
    </w:rPr>
  </w:style>
  <w:style w:type="paragraph" w:styleId="TOC5">
    <w:name w:val="toc 5"/>
    <w:basedOn w:val="Normal"/>
    <w:next w:val="Normal"/>
    <w:autoRedefine/>
    <w:uiPriority w:val="39"/>
    <w:unhideWhenUsed/>
    <w:rsid w:val="00FA02B5"/>
    <w:pPr>
      <w:spacing w:before="0" w:after="100" w:line="259" w:lineRule="auto"/>
      <w:ind w:left="880"/>
      <w:jc w:val="left"/>
    </w:pPr>
    <w:rPr>
      <w:rFonts w:ascii="Calibri" w:eastAsia="Times New Roman" w:hAnsi="Calibri"/>
      <w:sz w:val="22"/>
      <w:szCs w:val="22"/>
      <w:lang w:eastAsia="en-AU"/>
    </w:rPr>
  </w:style>
  <w:style w:type="paragraph" w:styleId="TOC6">
    <w:name w:val="toc 6"/>
    <w:basedOn w:val="Normal"/>
    <w:next w:val="Normal"/>
    <w:autoRedefine/>
    <w:uiPriority w:val="39"/>
    <w:unhideWhenUsed/>
    <w:rsid w:val="00FA02B5"/>
    <w:pPr>
      <w:spacing w:before="0" w:after="100" w:line="259" w:lineRule="auto"/>
      <w:ind w:left="1100"/>
      <w:jc w:val="left"/>
    </w:pPr>
    <w:rPr>
      <w:rFonts w:ascii="Calibri" w:eastAsia="Times New Roman" w:hAnsi="Calibri"/>
      <w:sz w:val="22"/>
      <w:szCs w:val="22"/>
      <w:lang w:eastAsia="en-AU"/>
    </w:rPr>
  </w:style>
  <w:style w:type="paragraph" w:styleId="TOC7">
    <w:name w:val="toc 7"/>
    <w:basedOn w:val="Normal"/>
    <w:next w:val="Normal"/>
    <w:autoRedefine/>
    <w:uiPriority w:val="39"/>
    <w:unhideWhenUsed/>
    <w:rsid w:val="00FA02B5"/>
    <w:pPr>
      <w:spacing w:before="0" w:after="100" w:line="259" w:lineRule="auto"/>
      <w:ind w:left="1320"/>
      <w:jc w:val="left"/>
    </w:pPr>
    <w:rPr>
      <w:rFonts w:ascii="Calibri" w:eastAsia="Times New Roman" w:hAnsi="Calibri"/>
      <w:sz w:val="22"/>
      <w:szCs w:val="22"/>
      <w:lang w:eastAsia="en-AU"/>
    </w:rPr>
  </w:style>
  <w:style w:type="paragraph" w:styleId="TOC8">
    <w:name w:val="toc 8"/>
    <w:basedOn w:val="Normal"/>
    <w:next w:val="Normal"/>
    <w:autoRedefine/>
    <w:uiPriority w:val="39"/>
    <w:unhideWhenUsed/>
    <w:rsid w:val="00FA02B5"/>
    <w:pPr>
      <w:spacing w:before="0" w:after="100" w:line="259" w:lineRule="auto"/>
      <w:ind w:left="1540"/>
      <w:jc w:val="left"/>
    </w:pPr>
    <w:rPr>
      <w:rFonts w:ascii="Calibri" w:eastAsia="Times New Roman" w:hAnsi="Calibri"/>
      <w:sz w:val="22"/>
      <w:szCs w:val="22"/>
      <w:lang w:eastAsia="en-AU"/>
    </w:rPr>
  </w:style>
  <w:style w:type="paragraph" w:styleId="TOC9">
    <w:name w:val="toc 9"/>
    <w:basedOn w:val="Normal"/>
    <w:next w:val="Normal"/>
    <w:autoRedefine/>
    <w:uiPriority w:val="39"/>
    <w:unhideWhenUsed/>
    <w:rsid w:val="00FA02B5"/>
    <w:pPr>
      <w:spacing w:before="0" w:after="100" w:line="259" w:lineRule="auto"/>
      <w:ind w:left="1760"/>
      <w:jc w:val="left"/>
    </w:pPr>
    <w:rPr>
      <w:rFonts w:ascii="Calibri" w:eastAsia="Times New Roman" w:hAnsi="Calibri"/>
      <w:sz w:val="22"/>
      <w:szCs w:val="22"/>
      <w:lang w:eastAsia="en-AU"/>
    </w:rPr>
  </w:style>
  <w:style w:type="paragraph" w:customStyle="1" w:styleId="References">
    <w:name w:val="References"/>
    <w:qFormat/>
    <w:rsid w:val="004504BE"/>
    <w:pPr>
      <w:spacing w:before="80"/>
      <w:ind w:left="284" w:hanging="284"/>
    </w:pPr>
    <w:rPr>
      <w:sz w:val="18"/>
      <w:szCs w:val="24"/>
      <w:lang w:eastAsia="en-US"/>
    </w:rPr>
  </w:style>
  <w:style w:type="paragraph" w:styleId="NormalWeb">
    <w:name w:val="Normal (Web)"/>
    <w:basedOn w:val="Normal"/>
    <w:uiPriority w:val="99"/>
    <w:semiHidden/>
    <w:unhideWhenUsed/>
    <w:rsid w:val="009D3242"/>
    <w:pPr>
      <w:spacing w:before="100" w:beforeAutospacing="1" w:after="100" w:afterAutospacing="1" w:line="240" w:lineRule="auto"/>
      <w:jc w:val="left"/>
    </w:pPr>
    <w:rPr>
      <w:rFonts w:ascii="Times New Roman" w:eastAsia="Times New Roman" w:hAnsi="Times New Roman"/>
      <w:lang w:eastAsia="en-AU"/>
    </w:rPr>
  </w:style>
  <w:style w:type="character" w:styleId="IntenseEmphasis">
    <w:name w:val="Intense Emphasis"/>
    <w:basedOn w:val="DefaultParagraphFont"/>
    <w:uiPriority w:val="21"/>
    <w:qFormat/>
    <w:rsid w:val="00D32790"/>
    <w:rPr>
      <w:b/>
      <w:bCs/>
      <w:i/>
      <w:iCs/>
      <w:color w:val="4F81BD" w:themeColor="accent1"/>
    </w:rPr>
  </w:style>
  <w:style w:type="paragraph" w:styleId="Subtitle">
    <w:name w:val="Subtitle"/>
    <w:basedOn w:val="Normal"/>
    <w:next w:val="Normal"/>
    <w:link w:val="SubtitleChar"/>
    <w:qFormat/>
    <w:rsid w:val="00D32790"/>
    <w:pPr>
      <w:numPr>
        <w:ilvl w:val="1"/>
      </w:numPr>
      <w:spacing w:before="0" w:line="240" w:lineRule="auto"/>
      <w:jc w:val="left"/>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D32790"/>
    <w:rPr>
      <w:rFonts w:asciiTheme="majorHAnsi" w:eastAsiaTheme="majorEastAsia" w:hAnsiTheme="majorHAnsi" w:cstheme="majorBidi"/>
      <w:iCs/>
      <w:spacing w:val="15"/>
      <w:sz w:val="24"/>
      <w:szCs w:val="24"/>
      <w:lang w:eastAsia="en-US"/>
    </w:rPr>
  </w:style>
  <w:style w:type="character" w:customStyle="1" w:styleId="ListParagraphChar">
    <w:name w:val="List Paragraph Char"/>
    <w:aliases w:val="Footnote Char,BulletPoints Char,List Paragraph1 Char,Recommendation Char,Paragraph Char"/>
    <w:basedOn w:val="DefaultParagraphFont"/>
    <w:link w:val="ListParagraph"/>
    <w:uiPriority w:val="34"/>
    <w:rsid w:val="00ED61E9"/>
    <w:rPr>
      <w:sz w:val="24"/>
      <w:szCs w:val="24"/>
      <w:lang w:eastAsia="en-US"/>
    </w:rPr>
  </w:style>
  <w:style w:type="paragraph" w:customStyle="1" w:styleId="ToR1TableHeader">
    <w:name w:val="ToR 1 Table Header"/>
    <w:basedOn w:val="Caption"/>
    <w:link w:val="ToR1TableHeaderChar"/>
    <w:qFormat/>
    <w:rsid w:val="00E939EF"/>
  </w:style>
  <w:style w:type="paragraph" w:customStyle="1" w:styleId="TOR1HeaderFigure">
    <w:name w:val="TOR 1 Header Figure"/>
    <w:basedOn w:val="Caption"/>
    <w:link w:val="TOR1HeaderFigureChar"/>
    <w:qFormat/>
    <w:rsid w:val="009D4A65"/>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uiPriority w:val="35"/>
    <w:rsid w:val="00665040"/>
    <w:rPr>
      <w:rFonts w:asciiTheme="minorHAnsi" w:hAnsiTheme="minorHAnsi"/>
      <w:b/>
      <w:iCs/>
      <w:sz w:val="24"/>
      <w:szCs w:val="18"/>
      <w:lang w:eastAsia="en-US"/>
    </w:rPr>
  </w:style>
  <w:style w:type="character" w:customStyle="1" w:styleId="ToR1TableHeaderChar">
    <w:name w:val="ToR 1 Table Header Char"/>
    <w:basedOn w:val="CaptionChar"/>
    <w:link w:val="ToR1TableHeader"/>
    <w:rsid w:val="00E939EF"/>
    <w:rPr>
      <w:rFonts w:asciiTheme="minorHAnsi" w:hAnsiTheme="minorHAnsi"/>
      <w:b/>
      <w:iCs/>
      <w:sz w:val="24"/>
      <w:szCs w:val="18"/>
      <w:lang w:eastAsia="en-US"/>
    </w:rPr>
  </w:style>
  <w:style w:type="paragraph" w:customStyle="1" w:styleId="BackgroundTable">
    <w:name w:val="Background Table"/>
    <w:basedOn w:val="Caption"/>
    <w:link w:val="BackgroundTableChar"/>
    <w:qFormat/>
    <w:rsid w:val="009D4A65"/>
    <w:pPr>
      <w:spacing w:before="0"/>
    </w:pPr>
  </w:style>
  <w:style w:type="character" w:customStyle="1" w:styleId="TOR1HeaderFigureChar">
    <w:name w:val="TOR 1 Header Figure Char"/>
    <w:basedOn w:val="CaptionChar"/>
    <w:link w:val="TOR1HeaderFigure"/>
    <w:rsid w:val="009D4A65"/>
    <w:rPr>
      <w:rFonts w:ascii="Arial" w:hAnsi="Arial"/>
      <w:b/>
      <w:iCs/>
      <w:sz w:val="24"/>
      <w:szCs w:val="18"/>
      <w:lang w:eastAsia="en-US"/>
    </w:rPr>
  </w:style>
  <w:style w:type="paragraph" w:customStyle="1" w:styleId="BackgroundFigure">
    <w:name w:val="Background Figure"/>
    <w:basedOn w:val="Caption"/>
    <w:link w:val="BackgroundFigureChar"/>
    <w:qFormat/>
    <w:rsid w:val="00A0482D"/>
  </w:style>
  <w:style w:type="character" w:customStyle="1" w:styleId="BackgroundTableChar">
    <w:name w:val="Background Table Char"/>
    <w:basedOn w:val="CaptionChar"/>
    <w:link w:val="BackgroundTable"/>
    <w:rsid w:val="009D4A65"/>
    <w:rPr>
      <w:rFonts w:ascii="Arial" w:hAnsi="Arial"/>
      <w:b/>
      <w:iCs/>
      <w:sz w:val="24"/>
      <w:szCs w:val="18"/>
      <w:lang w:eastAsia="en-US"/>
    </w:rPr>
  </w:style>
  <w:style w:type="character" w:customStyle="1" w:styleId="BackgroundFigureChar">
    <w:name w:val="Background Figure Char"/>
    <w:basedOn w:val="CaptionChar"/>
    <w:link w:val="BackgroundFigure"/>
    <w:rsid w:val="00A0482D"/>
    <w:rPr>
      <w:rFonts w:ascii="Arial" w:hAnsi="Arial"/>
      <w:b/>
      <w:iCs/>
      <w:sz w:val="24"/>
      <w:szCs w:val="18"/>
      <w:lang w:eastAsia="en-US"/>
    </w:rPr>
  </w:style>
  <w:style w:type="paragraph" w:customStyle="1" w:styleId="Tablenote">
    <w:name w:val="Table note"/>
    <w:basedOn w:val="Normal"/>
    <w:link w:val="TablenoteChar"/>
    <w:qFormat/>
    <w:rsid w:val="00EC7581"/>
    <w:pPr>
      <w:spacing w:before="0" w:after="200" w:line="240" w:lineRule="auto"/>
      <w:contextualSpacing/>
      <w:jc w:val="left"/>
    </w:pPr>
    <w:rPr>
      <w:rFonts w:ascii="Calibri" w:eastAsiaTheme="minorEastAsia" w:hAnsi="Calibri" w:cs="Baskerville"/>
      <w:sz w:val="20"/>
      <w:szCs w:val="20"/>
      <w:lang w:eastAsia="en-AU"/>
    </w:rPr>
  </w:style>
  <w:style w:type="character" w:customStyle="1" w:styleId="TablenoteChar">
    <w:name w:val="Table note Char"/>
    <w:basedOn w:val="DefaultParagraphFont"/>
    <w:link w:val="Tablenote"/>
    <w:rsid w:val="00EC7581"/>
    <w:rPr>
      <w:rFonts w:ascii="Calibri" w:eastAsiaTheme="minorEastAsia" w:hAnsi="Calibri" w:cs="Baskerville"/>
    </w:rPr>
  </w:style>
  <w:style w:type="paragraph" w:customStyle="1" w:styleId="TableText">
    <w:name w:val="Table Text"/>
    <w:basedOn w:val="Normal"/>
    <w:qFormat/>
    <w:rsid w:val="00EC7581"/>
    <w:pPr>
      <w:spacing w:before="60" w:after="60" w:line="240" w:lineRule="auto"/>
      <w:jc w:val="left"/>
    </w:pPr>
    <w:rPr>
      <w:rFonts w:ascii="Calibri" w:eastAsia="Times New Roman" w:hAnsi="Calibri" w:cs="Arial"/>
      <w:sz w:val="20"/>
      <w:szCs w:val="22"/>
      <w:lang w:eastAsia="en-AU"/>
    </w:rPr>
  </w:style>
  <w:style w:type="paragraph" w:customStyle="1" w:styleId="Tabletext0">
    <w:name w:val="Table text"/>
    <w:basedOn w:val="Normal"/>
    <w:link w:val="TabletextChar"/>
    <w:qFormat/>
    <w:rsid w:val="0056375C"/>
    <w:pPr>
      <w:autoSpaceDE w:val="0"/>
      <w:autoSpaceDN w:val="0"/>
      <w:adjustRightInd w:val="0"/>
      <w:spacing w:before="60" w:after="60" w:line="240" w:lineRule="auto"/>
      <w:jc w:val="left"/>
    </w:pPr>
    <w:rPr>
      <w:rFonts w:ascii="Calibri" w:eastAsiaTheme="minorEastAsia" w:hAnsi="Calibri" w:cs="Calibri"/>
      <w:sz w:val="20"/>
      <w:szCs w:val="20"/>
      <w:lang w:eastAsia="en-AU"/>
    </w:rPr>
  </w:style>
  <w:style w:type="character" w:customStyle="1" w:styleId="TabletextChar">
    <w:name w:val="Table text Char"/>
    <w:basedOn w:val="DefaultParagraphFont"/>
    <w:link w:val="Tabletext0"/>
    <w:rsid w:val="0056375C"/>
    <w:rPr>
      <w:rFonts w:ascii="Calibri" w:eastAsiaTheme="minorEastAsia" w:hAnsi="Calibri" w:cs="Calibri"/>
    </w:rPr>
  </w:style>
  <w:style w:type="table" w:customStyle="1" w:styleId="TableGrid7">
    <w:name w:val="Table Grid7"/>
    <w:basedOn w:val="TableNormal"/>
    <w:next w:val="TableGrid"/>
    <w:uiPriority w:val="39"/>
    <w:rsid w:val="000F5DA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TableText"/>
    <w:rsid w:val="000F5DA6"/>
    <w:pPr>
      <w:keepNext/>
    </w:pPr>
    <w:rPr>
      <w:color w:val="000000"/>
      <w:szCs w:val="20"/>
    </w:rPr>
  </w:style>
  <w:style w:type="paragraph" w:customStyle="1" w:styleId="EndNoteBibliographyTitle">
    <w:name w:val="EndNote Bibliography Title"/>
    <w:basedOn w:val="Normal"/>
    <w:link w:val="EndNoteBibliographyTitleChar"/>
    <w:rsid w:val="00DC475B"/>
    <w:pPr>
      <w:jc w:val="center"/>
    </w:pPr>
    <w:rPr>
      <w:noProof/>
      <w:lang w:val="en-US"/>
    </w:rPr>
  </w:style>
  <w:style w:type="character" w:customStyle="1" w:styleId="EndNoteBibliographyTitleChar">
    <w:name w:val="EndNote Bibliography Title Char"/>
    <w:basedOn w:val="DefaultParagraphFont"/>
    <w:link w:val="EndNoteBibliographyTitle"/>
    <w:rsid w:val="00DC475B"/>
    <w:rPr>
      <w:noProof/>
      <w:sz w:val="24"/>
      <w:szCs w:val="24"/>
      <w:lang w:val="en-US" w:eastAsia="en-US"/>
    </w:rPr>
  </w:style>
  <w:style w:type="paragraph" w:customStyle="1" w:styleId="EndNoteBibliography">
    <w:name w:val="EndNote Bibliography"/>
    <w:basedOn w:val="Normal"/>
    <w:link w:val="EndNoteBibliographyChar"/>
    <w:rsid w:val="00DC475B"/>
    <w:pPr>
      <w:spacing w:line="240" w:lineRule="auto"/>
      <w:jc w:val="left"/>
    </w:pPr>
    <w:rPr>
      <w:noProof/>
      <w:lang w:val="en-US"/>
    </w:rPr>
  </w:style>
  <w:style w:type="character" w:customStyle="1" w:styleId="EndNoteBibliographyChar">
    <w:name w:val="EndNote Bibliography Char"/>
    <w:basedOn w:val="DefaultParagraphFont"/>
    <w:link w:val="EndNoteBibliography"/>
    <w:rsid w:val="00DC475B"/>
    <w:rPr>
      <w:noProof/>
      <w:sz w:val="24"/>
      <w:szCs w:val="24"/>
      <w:lang w:val="en-US" w:eastAsia="en-US"/>
    </w:rPr>
  </w:style>
  <w:style w:type="character" w:customStyle="1" w:styleId="y0nh2b">
    <w:name w:val="y0nh2b"/>
    <w:basedOn w:val="DefaultParagraphFont"/>
    <w:rsid w:val="00F958DA"/>
  </w:style>
  <w:style w:type="paragraph" w:customStyle="1" w:styleId="MDsubHead3">
    <w:name w:val="MD sub Head 3"/>
    <w:basedOn w:val="Heading4"/>
    <w:link w:val="MDsubHead3Char"/>
    <w:qFormat/>
    <w:rsid w:val="00A57C2B"/>
    <w:pPr>
      <w:numPr>
        <w:ilvl w:val="0"/>
        <w:numId w:val="0"/>
      </w:numPr>
      <w:spacing w:before="200" w:line="240" w:lineRule="auto"/>
    </w:pPr>
    <w:rPr>
      <w:rFonts w:asciiTheme="majorHAnsi" w:eastAsiaTheme="majorEastAsia" w:hAnsiTheme="majorHAnsi" w:cstheme="majorBidi"/>
      <w:bCs/>
      <w:i/>
      <w:color w:val="4F81BD" w:themeColor="accent1"/>
      <w:szCs w:val="22"/>
      <w:lang w:val="en-GB" w:eastAsia="en-AU"/>
    </w:rPr>
  </w:style>
  <w:style w:type="character" w:customStyle="1" w:styleId="MDsubHead3Char">
    <w:name w:val="MD sub Head 3 Char"/>
    <w:basedOn w:val="DefaultParagraphFont"/>
    <w:link w:val="MDsubHead3"/>
    <w:rsid w:val="00A57C2B"/>
    <w:rPr>
      <w:rFonts w:asciiTheme="majorHAnsi" w:eastAsiaTheme="majorEastAsia" w:hAnsiTheme="majorHAnsi" w:cstheme="majorBidi"/>
      <w:b/>
      <w:bCs/>
      <w:i/>
      <w:iCs/>
      <w:color w:val="4F81BD" w:themeColor="accent1"/>
      <w:sz w:val="24"/>
      <w:szCs w:val="22"/>
      <w:lang w:val="en-GB"/>
    </w:rPr>
  </w:style>
  <w:style w:type="paragraph" w:styleId="NoSpacing">
    <w:name w:val="No Spacing"/>
    <w:uiPriority w:val="1"/>
    <w:qFormat/>
    <w:rsid w:val="001646A7"/>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1391">
      <w:bodyDiv w:val="1"/>
      <w:marLeft w:val="0"/>
      <w:marRight w:val="0"/>
      <w:marTop w:val="0"/>
      <w:marBottom w:val="0"/>
      <w:divBdr>
        <w:top w:val="none" w:sz="0" w:space="0" w:color="auto"/>
        <w:left w:val="none" w:sz="0" w:space="0" w:color="auto"/>
        <w:bottom w:val="none" w:sz="0" w:space="0" w:color="auto"/>
        <w:right w:val="none" w:sz="0" w:space="0" w:color="auto"/>
      </w:divBdr>
    </w:div>
    <w:div w:id="136264690">
      <w:bodyDiv w:val="1"/>
      <w:marLeft w:val="0"/>
      <w:marRight w:val="0"/>
      <w:marTop w:val="0"/>
      <w:marBottom w:val="0"/>
      <w:divBdr>
        <w:top w:val="none" w:sz="0" w:space="0" w:color="auto"/>
        <w:left w:val="none" w:sz="0" w:space="0" w:color="auto"/>
        <w:bottom w:val="none" w:sz="0" w:space="0" w:color="auto"/>
        <w:right w:val="none" w:sz="0" w:space="0" w:color="auto"/>
      </w:divBdr>
    </w:div>
    <w:div w:id="137768904">
      <w:bodyDiv w:val="1"/>
      <w:marLeft w:val="0"/>
      <w:marRight w:val="0"/>
      <w:marTop w:val="0"/>
      <w:marBottom w:val="0"/>
      <w:divBdr>
        <w:top w:val="none" w:sz="0" w:space="0" w:color="auto"/>
        <w:left w:val="none" w:sz="0" w:space="0" w:color="auto"/>
        <w:bottom w:val="none" w:sz="0" w:space="0" w:color="auto"/>
        <w:right w:val="none" w:sz="0" w:space="0" w:color="auto"/>
      </w:divBdr>
    </w:div>
    <w:div w:id="194924475">
      <w:bodyDiv w:val="1"/>
      <w:marLeft w:val="0"/>
      <w:marRight w:val="0"/>
      <w:marTop w:val="0"/>
      <w:marBottom w:val="0"/>
      <w:divBdr>
        <w:top w:val="none" w:sz="0" w:space="0" w:color="auto"/>
        <w:left w:val="none" w:sz="0" w:space="0" w:color="auto"/>
        <w:bottom w:val="none" w:sz="0" w:space="0" w:color="auto"/>
        <w:right w:val="none" w:sz="0" w:space="0" w:color="auto"/>
      </w:divBdr>
    </w:div>
    <w:div w:id="254169804">
      <w:bodyDiv w:val="1"/>
      <w:marLeft w:val="0"/>
      <w:marRight w:val="0"/>
      <w:marTop w:val="0"/>
      <w:marBottom w:val="0"/>
      <w:divBdr>
        <w:top w:val="none" w:sz="0" w:space="0" w:color="auto"/>
        <w:left w:val="none" w:sz="0" w:space="0" w:color="auto"/>
        <w:bottom w:val="none" w:sz="0" w:space="0" w:color="auto"/>
        <w:right w:val="none" w:sz="0" w:space="0" w:color="auto"/>
      </w:divBdr>
      <w:divsChild>
        <w:div w:id="1077898468">
          <w:marLeft w:val="0"/>
          <w:marRight w:val="0"/>
          <w:marTop w:val="0"/>
          <w:marBottom w:val="0"/>
          <w:divBdr>
            <w:top w:val="none" w:sz="0" w:space="0" w:color="auto"/>
            <w:left w:val="none" w:sz="0" w:space="0" w:color="auto"/>
            <w:bottom w:val="none" w:sz="0" w:space="0" w:color="auto"/>
            <w:right w:val="none" w:sz="0" w:space="0" w:color="auto"/>
          </w:divBdr>
        </w:div>
      </w:divsChild>
    </w:div>
    <w:div w:id="275870600">
      <w:bodyDiv w:val="1"/>
      <w:marLeft w:val="0"/>
      <w:marRight w:val="0"/>
      <w:marTop w:val="0"/>
      <w:marBottom w:val="0"/>
      <w:divBdr>
        <w:top w:val="none" w:sz="0" w:space="0" w:color="auto"/>
        <w:left w:val="none" w:sz="0" w:space="0" w:color="auto"/>
        <w:bottom w:val="none" w:sz="0" w:space="0" w:color="auto"/>
        <w:right w:val="none" w:sz="0" w:space="0" w:color="auto"/>
      </w:divBdr>
    </w:div>
    <w:div w:id="298925745">
      <w:bodyDiv w:val="1"/>
      <w:marLeft w:val="0"/>
      <w:marRight w:val="0"/>
      <w:marTop w:val="0"/>
      <w:marBottom w:val="0"/>
      <w:divBdr>
        <w:top w:val="none" w:sz="0" w:space="0" w:color="auto"/>
        <w:left w:val="none" w:sz="0" w:space="0" w:color="auto"/>
        <w:bottom w:val="none" w:sz="0" w:space="0" w:color="auto"/>
        <w:right w:val="none" w:sz="0" w:space="0" w:color="auto"/>
      </w:divBdr>
      <w:divsChild>
        <w:div w:id="2030259649">
          <w:marLeft w:val="0"/>
          <w:marRight w:val="0"/>
          <w:marTop w:val="0"/>
          <w:marBottom w:val="0"/>
          <w:divBdr>
            <w:top w:val="none" w:sz="0" w:space="0" w:color="auto"/>
            <w:left w:val="none" w:sz="0" w:space="0" w:color="auto"/>
            <w:bottom w:val="none" w:sz="0" w:space="0" w:color="auto"/>
            <w:right w:val="none" w:sz="0" w:space="0" w:color="auto"/>
          </w:divBdr>
          <w:divsChild>
            <w:div w:id="2043555930">
              <w:marLeft w:val="0"/>
              <w:marRight w:val="0"/>
              <w:marTop w:val="0"/>
              <w:marBottom w:val="0"/>
              <w:divBdr>
                <w:top w:val="none" w:sz="0" w:space="0" w:color="auto"/>
                <w:left w:val="none" w:sz="0" w:space="0" w:color="auto"/>
                <w:bottom w:val="none" w:sz="0" w:space="0" w:color="auto"/>
                <w:right w:val="none" w:sz="0" w:space="0" w:color="auto"/>
              </w:divBdr>
              <w:divsChild>
                <w:div w:id="1379431784">
                  <w:marLeft w:val="0"/>
                  <w:marRight w:val="0"/>
                  <w:marTop w:val="0"/>
                  <w:marBottom w:val="0"/>
                  <w:divBdr>
                    <w:top w:val="none" w:sz="0" w:space="0" w:color="auto"/>
                    <w:left w:val="none" w:sz="0" w:space="0" w:color="auto"/>
                    <w:bottom w:val="none" w:sz="0" w:space="0" w:color="auto"/>
                    <w:right w:val="none" w:sz="0" w:space="0" w:color="auto"/>
                  </w:divBdr>
                  <w:divsChild>
                    <w:div w:id="34623099">
                      <w:marLeft w:val="0"/>
                      <w:marRight w:val="0"/>
                      <w:marTop w:val="0"/>
                      <w:marBottom w:val="0"/>
                      <w:divBdr>
                        <w:top w:val="none" w:sz="0" w:space="0" w:color="auto"/>
                        <w:left w:val="none" w:sz="0" w:space="0" w:color="auto"/>
                        <w:bottom w:val="none" w:sz="0" w:space="0" w:color="auto"/>
                        <w:right w:val="none" w:sz="0" w:space="0" w:color="auto"/>
                      </w:divBdr>
                      <w:divsChild>
                        <w:div w:id="994912339">
                          <w:marLeft w:val="0"/>
                          <w:marRight w:val="0"/>
                          <w:marTop w:val="0"/>
                          <w:marBottom w:val="0"/>
                          <w:divBdr>
                            <w:top w:val="none" w:sz="0" w:space="0" w:color="auto"/>
                            <w:left w:val="none" w:sz="0" w:space="0" w:color="auto"/>
                            <w:bottom w:val="none" w:sz="0" w:space="0" w:color="auto"/>
                            <w:right w:val="none" w:sz="0" w:space="0" w:color="auto"/>
                          </w:divBdr>
                          <w:divsChild>
                            <w:div w:id="3892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782159">
      <w:bodyDiv w:val="1"/>
      <w:marLeft w:val="0"/>
      <w:marRight w:val="0"/>
      <w:marTop w:val="0"/>
      <w:marBottom w:val="0"/>
      <w:divBdr>
        <w:top w:val="none" w:sz="0" w:space="0" w:color="auto"/>
        <w:left w:val="none" w:sz="0" w:space="0" w:color="auto"/>
        <w:bottom w:val="none" w:sz="0" w:space="0" w:color="auto"/>
        <w:right w:val="none" w:sz="0" w:space="0" w:color="auto"/>
      </w:divBdr>
      <w:divsChild>
        <w:div w:id="1614819175">
          <w:marLeft w:val="0"/>
          <w:marRight w:val="0"/>
          <w:marTop w:val="0"/>
          <w:marBottom w:val="0"/>
          <w:divBdr>
            <w:top w:val="none" w:sz="0" w:space="0" w:color="auto"/>
            <w:left w:val="none" w:sz="0" w:space="0" w:color="auto"/>
            <w:bottom w:val="none" w:sz="0" w:space="0" w:color="auto"/>
            <w:right w:val="none" w:sz="0" w:space="0" w:color="auto"/>
          </w:divBdr>
        </w:div>
      </w:divsChild>
    </w:div>
    <w:div w:id="354815996">
      <w:bodyDiv w:val="1"/>
      <w:marLeft w:val="0"/>
      <w:marRight w:val="0"/>
      <w:marTop w:val="0"/>
      <w:marBottom w:val="0"/>
      <w:divBdr>
        <w:top w:val="none" w:sz="0" w:space="0" w:color="auto"/>
        <w:left w:val="none" w:sz="0" w:space="0" w:color="auto"/>
        <w:bottom w:val="none" w:sz="0" w:space="0" w:color="auto"/>
        <w:right w:val="none" w:sz="0" w:space="0" w:color="auto"/>
      </w:divBdr>
    </w:div>
    <w:div w:id="504513210">
      <w:bodyDiv w:val="1"/>
      <w:marLeft w:val="0"/>
      <w:marRight w:val="0"/>
      <w:marTop w:val="0"/>
      <w:marBottom w:val="0"/>
      <w:divBdr>
        <w:top w:val="none" w:sz="0" w:space="0" w:color="auto"/>
        <w:left w:val="none" w:sz="0" w:space="0" w:color="auto"/>
        <w:bottom w:val="none" w:sz="0" w:space="0" w:color="auto"/>
        <w:right w:val="none" w:sz="0" w:space="0" w:color="auto"/>
      </w:divBdr>
      <w:divsChild>
        <w:div w:id="539443492">
          <w:marLeft w:val="0"/>
          <w:marRight w:val="0"/>
          <w:marTop w:val="0"/>
          <w:marBottom w:val="0"/>
          <w:divBdr>
            <w:top w:val="none" w:sz="0" w:space="0" w:color="auto"/>
            <w:left w:val="none" w:sz="0" w:space="0" w:color="auto"/>
            <w:bottom w:val="none" w:sz="0" w:space="0" w:color="auto"/>
            <w:right w:val="none" w:sz="0" w:space="0" w:color="auto"/>
          </w:divBdr>
          <w:divsChild>
            <w:div w:id="920868941">
              <w:marLeft w:val="0"/>
              <w:marRight w:val="0"/>
              <w:marTop w:val="0"/>
              <w:marBottom w:val="0"/>
              <w:divBdr>
                <w:top w:val="none" w:sz="0" w:space="0" w:color="auto"/>
                <w:left w:val="none" w:sz="0" w:space="0" w:color="auto"/>
                <w:bottom w:val="none" w:sz="0" w:space="0" w:color="auto"/>
                <w:right w:val="none" w:sz="0" w:space="0" w:color="auto"/>
              </w:divBdr>
              <w:divsChild>
                <w:div w:id="448280151">
                  <w:marLeft w:val="0"/>
                  <w:marRight w:val="0"/>
                  <w:marTop w:val="0"/>
                  <w:marBottom w:val="0"/>
                  <w:divBdr>
                    <w:top w:val="none" w:sz="0" w:space="0" w:color="auto"/>
                    <w:left w:val="none" w:sz="0" w:space="0" w:color="auto"/>
                    <w:bottom w:val="none" w:sz="0" w:space="0" w:color="auto"/>
                    <w:right w:val="none" w:sz="0" w:space="0" w:color="auto"/>
                  </w:divBdr>
                  <w:divsChild>
                    <w:div w:id="1564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608629">
      <w:bodyDiv w:val="1"/>
      <w:marLeft w:val="0"/>
      <w:marRight w:val="0"/>
      <w:marTop w:val="0"/>
      <w:marBottom w:val="0"/>
      <w:divBdr>
        <w:top w:val="none" w:sz="0" w:space="0" w:color="auto"/>
        <w:left w:val="none" w:sz="0" w:space="0" w:color="auto"/>
        <w:bottom w:val="none" w:sz="0" w:space="0" w:color="auto"/>
        <w:right w:val="none" w:sz="0" w:space="0" w:color="auto"/>
      </w:divBdr>
    </w:div>
    <w:div w:id="520437451">
      <w:bodyDiv w:val="1"/>
      <w:marLeft w:val="0"/>
      <w:marRight w:val="0"/>
      <w:marTop w:val="0"/>
      <w:marBottom w:val="0"/>
      <w:divBdr>
        <w:top w:val="none" w:sz="0" w:space="0" w:color="auto"/>
        <w:left w:val="none" w:sz="0" w:space="0" w:color="auto"/>
        <w:bottom w:val="none" w:sz="0" w:space="0" w:color="auto"/>
        <w:right w:val="none" w:sz="0" w:space="0" w:color="auto"/>
      </w:divBdr>
    </w:div>
    <w:div w:id="527984166">
      <w:bodyDiv w:val="1"/>
      <w:marLeft w:val="0"/>
      <w:marRight w:val="0"/>
      <w:marTop w:val="0"/>
      <w:marBottom w:val="0"/>
      <w:divBdr>
        <w:top w:val="none" w:sz="0" w:space="0" w:color="auto"/>
        <w:left w:val="none" w:sz="0" w:space="0" w:color="auto"/>
        <w:bottom w:val="none" w:sz="0" w:space="0" w:color="auto"/>
        <w:right w:val="none" w:sz="0" w:space="0" w:color="auto"/>
      </w:divBdr>
    </w:div>
    <w:div w:id="543324030">
      <w:bodyDiv w:val="1"/>
      <w:marLeft w:val="0"/>
      <w:marRight w:val="0"/>
      <w:marTop w:val="0"/>
      <w:marBottom w:val="0"/>
      <w:divBdr>
        <w:top w:val="none" w:sz="0" w:space="0" w:color="auto"/>
        <w:left w:val="none" w:sz="0" w:space="0" w:color="auto"/>
        <w:bottom w:val="none" w:sz="0" w:space="0" w:color="auto"/>
        <w:right w:val="none" w:sz="0" w:space="0" w:color="auto"/>
      </w:divBdr>
    </w:div>
    <w:div w:id="611592893">
      <w:bodyDiv w:val="1"/>
      <w:marLeft w:val="0"/>
      <w:marRight w:val="0"/>
      <w:marTop w:val="0"/>
      <w:marBottom w:val="0"/>
      <w:divBdr>
        <w:top w:val="none" w:sz="0" w:space="0" w:color="auto"/>
        <w:left w:val="none" w:sz="0" w:space="0" w:color="auto"/>
        <w:bottom w:val="none" w:sz="0" w:space="0" w:color="auto"/>
        <w:right w:val="none" w:sz="0" w:space="0" w:color="auto"/>
      </w:divBdr>
    </w:div>
    <w:div w:id="627012483">
      <w:bodyDiv w:val="1"/>
      <w:marLeft w:val="0"/>
      <w:marRight w:val="0"/>
      <w:marTop w:val="0"/>
      <w:marBottom w:val="0"/>
      <w:divBdr>
        <w:top w:val="none" w:sz="0" w:space="0" w:color="auto"/>
        <w:left w:val="none" w:sz="0" w:space="0" w:color="auto"/>
        <w:bottom w:val="none" w:sz="0" w:space="0" w:color="auto"/>
        <w:right w:val="none" w:sz="0" w:space="0" w:color="auto"/>
      </w:divBdr>
    </w:div>
    <w:div w:id="677729229">
      <w:bodyDiv w:val="1"/>
      <w:marLeft w:val="0"/>
      <w:marRight w:val="0"/>
      <w:marTop w:val="0"/>
      <w:marBottom w:val="0"/>
      <w:divBdr>
        <w:top w:val="none" w:sz="0" w:space="0" w:color="auto"/>
        <w:left w:val="none" w:sz="0" w:space="0" w:color="auto"/>
        <w:bottom w:val="none" w:sz="0" w:space="0" w:color="auto"/>
        <w:right w:val="none" w:sz="0" w:space="0" w:color="auto"/>
      </w:divBdr>
    </w:div>
    <w:div w:id="761804994">
      <w:bodyDiv w:val="1"/>
      <w:marLeft w:val="0"/>
      <w:marRight w:val="0"/>
      <w:marTop w:val="0"/>
      <w:marBottom w:val="0"/>
      <w:divBdr>
        <w:top w:val="none" w:sz="0" w:space="0" w:color="auto"/>
        <w:left w:val="none" w:sz="0" w:space="0" w:color="auto"/>
        <w:bottom w:val="none" w:sz="0" w:space="0" w:color="auto"/>
        <w:right w:val="none" w:sz="0" w:space="0" w:color="auto"/>
      </w:divBdr>
      <w:divsChild>
        <w:div w:id="865023283">
          <w:marLeft w:val="0"/>
          <w:marRight w:val="0"/>
          <w:marTop w:val="0"/>
          <w:marBottom w:val="0"/>
          <w:divBdr>
            <w:top w:val="none" w:sz="0" w:space="0" w:color="auto"/>
            <w:left w:val="none" w:sz="0" w:space="0" w:color="auto"/>
            <w:bottom w:val="none" w:sz="0" w:space="0" w:color="auto"/>
            <w:right w:val="none" w:sz="0" w:space="0" w:color="auto"/>
          </w:divBdr>
        </w:div>
      </w:divsChild>
    </w:div>
    <w:div w:id="781457472">
      <w:bodyDiv w:val="1"/>
      <w:marLeft w:val="0"/>
      <w:marRight w:val="0"/>
      <w:marTop w:val="0"/>
      <w:marBottom w:val="0"/>
      <w:divBdr>
        <w:top w:val="none" w:sz="0" w:space="0" w:color="auto"/>
        <w:left w:val="none" w:sz="0" w:space="0" w:color="auto"/>
        <w:bottom w:val="none" w:sz="0" w:space="0" w:color="auto"/>
        <w:right w:val="none" w:sz="0" w:space="0" w:color="auto"/>
      </w:divBdr>
      <w:divsChild>
        <w:div w:id="1725132626">
          <w:marLeft w:val="0"/>
          <w:marRight w:val="0"/>
          <w:marTop w:val="0"/>
          <w:marBottom w:val="0"/>
          <w:divBdr>
            <w:top w:val="none" w:sz="0" w:space="0" w:color="auto"/>
            <w:left w:val="none" w:sz="0" w:space="0" w:color="auto"/>
            <w:bottom w:val="none" w:sz="0" w:space="0" w:color="auto"/>
            <w:right w:val="none" w:sz="0" w:space="0" w:color="auto"/>
          </w:divBdr>
        </w:div>
      </w:divsChild>
    </w:div>
    <w:div w:id="827480491">
      <w:bodyDiv w:val="1"/>
      <w:marLeft w:val="0"/>
      <w:marRight w:val="0"/>
      <w:marTop w:val="0"/>
      <w:marBottom w:val="0"/>
      <w:divBdr>
        <w:top w:val="none" w:sz="0" w:space="0" w:color="auto"/>
        <w:left w:val="none" w:sz="0" w:space="0" w:color="auto"/>
        <w:bottom w:val="none" w:sz="0" w:space="0" w:color="auto"/>
        <w:right w:val="none" w:sz="0" w:space="0" w:color="auto"/>
      </w:divBdr>
    </w:div>
    <w:div w:id="834686261">
      <w:bodyDiv w:val="1"/>
      <w:marLeft w:val="0"/>
      <w:marRight w:val="0"/>
      <w:marTop w:val="0"/>
      <w:marBottom w:val="0"/>
      <w:divBdr>
        <w:top w:val="none" w:sz="0" w:space="0" w:color="auto"/>
        <w:left w:val="none" w:sz="0" w:space="0" w:color="auto"/>
        <w:bottom w:val="none" w:sz="0" w:space="0" w:color="auto"/>
        <w:right w:val="none" w:sz="0" w:space="0" w:color="auto"/>
      </w:divBdr>
    </w:div>
    <w:div w:id="856425193">
      <w:bodyDiv w:val="1"/>
      <w:marLeft w:val="0"/>
      <w:marRight w:val="0"/>
      <w:marTop w:val="0"/>
      <w:marBottom w:val="0"/>
      <w:divBdr>
        <w:top w:val="none" w:sz="0" w:space="0" w:color="auto"/>
        <w:left w:val="none" w:sz="0" w:space="0" w:color="auto"/>
        <w:bottom w:val="none" w:sz="0" w:space="0" w:color="auto"/>
        <w:right w:val="none" w:sz="0" w:space="0" w:color="auto"/>
      </w:divBdr>
    </w:div>
    <w:div w:id="904997926">
      <w:bodyDiv w:val="1"/>
      <w:marLeft w:val="0"/>
      <w:marRight w:val="0"/>
      <w:marTop w:val="0"/>
      <w:marBottom w:val="0"/>
      <w:divBdr>
        <w:top w:val="none" w:sz="0" w:space="0" w:color="auto"/>
        <w:left w:val="none" w:sz="0" w:space="0" w:color="auto"/>
        <w:bottom w:val="none" w:sz="0" w:space="0" w:color="auto"/>
        <w:right w:val="none" w:sz="0" w:space="0" w:color="auto"/>
      </w:divBdr>
    </w:div>
    <w:div w:id="945114641">
      <w:bodyDiv w:val="1"/>
      <w:marLeft w:val="0"/>
      <w:marRight w:val="0"/>
      <w:marTop w:val="0"/>
      <w:marBottom w:val="0"/>
      <w:divBdr>
        <w:top w:val="none" w:sz="0" w:space="0" w:color="auto"/>
        <w:left w:val="none" w:sz="0" w:space="0" w:color="auto"/>
        <w:bottom w:val="none" w:sz="0" w:space="0" w:color="auto"/>
        <w:right w:val="none" w:sz="0" w:space="0" w:color="auto"/>
      </w:divBdr>
    </w:div>
    <w:div w:id="973828840">
      <w:bodyDiv w:val="1"/>
      <w:marLeft w:val="0"/>
      <w:marRight w:val="0"/>
      <w:marTop w:val="0"/>
      <w:marBottom w:val="0"/>
      <w:divBdr>
        <w:top w:val="none" w:sz="0" w:space="0" w:color="auto"/>
        <w:left w:val="none" w:sz="0" w:space="0" w:color="auto"/>
        <w:bottom w:val="none" w:sz="0" w:space="0" w:color="auto"/>
        <w:right w:val="none" w:sz="0" w:space="0" w:color="auto"/>
      </w:divBdr>
    </w:div>
    <w:div w:id="991637432">
      <w:bodyDiv w:val="1"/>
      <w:marLeft w:val="0"/>
      <w:marRight w:val="0"/>
      <w:marTop w:val="0"/>
      <w:marBottom w:val="0"/>
      <w:divBdr>
        <w:top w:val="none" w:sz="0" w:space="0" w:color="auto"/>
        <w:left w:val="none" w:sz="0" w:space="0" w:color="auto"/>
        <w:bottom w:val="none" w:sz="0" w:space="0" w:color="auto"/>
        <w:right w:val="none" w:sz="0" w:space="0" w:color="auto"/>
      </w:divBdr>
    </w:div>
    <w:div w:id="1012293766">
      <w:bodyDiv w:val="1"/>
      <w:marLeft w:val="0"/>
      <w:marRight w:val="0"/>
      <w:marTop w:val="0"/>
      <w:marBottom w:val="0"/>
      <w:divBdr>
        <w:top w:val="none" w:sz="0" w:space="0" w:color="auto"/>
        <w:left w:val="none" w:sz="0" w:space="0" w:color="auto"/>
        <w:bottom w:val="none" w:sz="0" w:space="0" w:color="auto"/>
        <w:right w:val="none" w:sz="0" w:space="0" w:color="auto"/>
      </w:divBdr>
    </w:div>
    <w:div w:id="1078402599">
      <w:bodyDiv w:val="1"/>
      <w:marLeft w:val="0"/>
      <w:marRight w:val="0"/>
      <w:marTop w:val="0"/>
      <w:marBottom w:val="0"/>
      <w:divBdr>
        <w:top w:val="none" w:sz="0" w:space="0" w:color="auto"/>
        <w:left w:val="none" w:sz="0" w:space="0" w:color="auto"/>
        <w:bottom w:val="none" w:sz="0" w:space="0" w:color="auto"/>
        <w:right w:val="none" w:sz="0" w:space="0" w:color="auto"/>
      </w:divBdr>
    </w:div>
    <w:div w:id="1082219089">
      <w:bodyDiv w:val="1"/>
      <w:marLeft w:val="0"/>
      <w:marRight w:val="0"/>
      <w:marTop w:val="0"/>
      <w:marBottom w:val="0"/>
      <w:divBdr>
        <w:top w:val="none" w:sz="0" w:space="0" w:color="auto"/>
        <w:left w:val="none" w:sz="0" w:space="0" w:color="auto"/>
        <w:bottom w:val="none" w:sz="0" w:space="0" w:color="auto"/>
        <w:right w:val="none" w:sz="0" w:space="0" w:color="auto"/>
      </w:divBdr>
    </w:div>
    <w:div w:id="1116097800">
      <w:bodyDiv w:val="1"/>
      <w:marLeft w:val="0"/>
      <w:marRight w:val="0"/>
      <w:marTop w:val="0"/>
      <w:marBottom w:val="0"/>
      <w:divBdr>
        <w:top w:val="none" w:sz="0" w:space="0" w:color="auto"/>
        <w:left w:val="none" w:sz="0" w:space="0" w:color="auto"/>
        <w:bottom w:val="none" w:sz="0" w:space="0" w:color="auto"/>
        <w:right w:val="none" w:sz="0" w:space="0" w:color="auto"/>
      </w:divBdr>
    </w:div>
    <w:div w:id="1130518481">
      <w:bodyDiv w:val="1"/>
      <w:marLeft w:val="0"/>
      <w:marRight w:val="0"/>
      <w:marTop w:val="0"/>
      <w:marBottom w:val="0"/>
      <w:divBdr>
        <w:top w:val="none" w:sz="0" w:space="0" w:color="auto"/>
        <w:left w:val="none" w:sz="0" w:space="0" w:color="auto"/>
        <w:bottom w:val="none" w:sz="0" w:space="0" w:color="auto"/>
        <w:right w:val="none" w:sz="0" w:space="0" w:color="auto"/>
      </w:divBdr>
    </w:div>
    <w:div w:id="1151554448">
      <w:bodyDiv w:val="1"/>
      <w:marLeft w:val="0"/>
      <w:marRight w:val="0"/>
      <w:marTop w:val="0"/>
      <w:marBottom w:val="0"/>
      <w:divBdr>
        <w:top w:val="none" w:sz="0" w:space="0" w:color="auto"/>
        <w:left w:val="none" w:sz="0" w:space="0" w:color="auto"/>
        <w:bottom w:val="none" w:sz="0" w:space="0" w:color="auto"/>
        <w:right w:val="none" w:sz="0" w:space="0" w:color="auto"/>
      </w:divBdr>
    </w:div>
    <w:div w:id="1169446265">
      <w:bodyDiv w:val="1"/>
      <w:marLeft w:val="0"/>
      <w:marRight w:val="0"/>
      <w:marTop w:val="0"/>
      <w:marBottom w:val="0"/>
      <w:divBdr>
        <w:top w:val="none" w:sz="0" w:space="0" w:color="auto"/>
        <w:left w:val="none" w:sz="0" w:space="0" w:color="auto"/>
        <w:bottom w:val="none" w:sz="0" w:space="0" w:color="auto"/>
        <w:right w:val="none" w:sz="0" w:space="0" w:color="auto"/>
      </w:divBdr>
    </w:div>
    <w:div w:id="1180046739">
      <w:bodyDiv w:val="1"/>
      <w:marLeft w:val="0"/>
      <w:marRight w:val="0"/>
      <w:marTop w:val="0"/>
      <w:marBottom w:val="0"/>
      <w:divBdr>
        <w:top w:val="none" w:sz="0" w:space="0" w:color="auto"/>
        <w:left w:val="none" w:sz="0" w:space="0" w:color="auto"/>
        <w:bottom w:val="none" w:sz="0" w:space="0" w:color="auto"/>
        <w:right w:val="none" w:sz="0" w:space="0" w:color="auto"/>
      </w:divBdr>
    </w:div>
    <w:div w:id="1206024084">
      <w:bodyDiv w:val="1"/>
      <w:marLeft w:val="0"/>
      <w:marRight w:val="0"/>
      <w:marTop w:val="0"/>
      <w:marBottom w:val="0"/>
      <w:divBdr>
        <w:top w:val="none" w:sz="0" w:space="0" w:color="auto"/>
        <w:left w:val="none" w:sz="0" w:space="0" w:color="auto"/>
        <w:bottom w:val="none" w:sz="0" w:space="0" w:color="auto"/>
        <w:right w:val="none" w:sz="0" w:space="0" w:color="auto"/>
      </w:divBdr>
      <w:divsChild>
        <w:div w:id="1046753543">
          <w:marLeft w:val="0"/>
          <w:marRight w:val="0"/>
          <w:marTop w:val="0"/>
          <w:marBottom w:val="0"/>
          <w:divBdr>
            <w:top w:val="none" w:sz="0" w:space="0" w:color="auto"/>
            <w:left w:val="none" w:sz="0" w:space="0" w:color="auto"/>
            <w:bottom w:val="none" w:sz="0" w:space="0" w:color="auto"/>
            <w:right w:val="none" w:sz="0" w:space="0" w:color="auto"/>
          </w:divBdr>
        </w:div>
      </w:divsChild>
    </w:div>
    <w:div w:id="1208377154">
      <w:bodyDiv w:val="1"/>
      <w:marLeft w:val="0"/>
      <w:marRight w:val="0"/>
      <w:marTop w:val="0"/>
      <w:marBottom w:val="0"/>
      <w:divBdr>
        <w:top w:val="none" w:sz="0" w:space="0" w:color="auto"/>
        <w:left w:val="none" w:sz="0" w:space="0" w:color="auto"/>
        <w:bottom w:val="none" w:sz="0" w:space="0" w:color="auto"/>
        <w:right w:val="none" w:sz="0" w:space="0" w:color="auto"/>
      </w:divBdr>
    </w:div>
    <w:div w:id="1267276845">
      <w:bodyDiv w:val="1"/>
      <w:marLeft w:val="0"/>
      <w:marRight w:val="0"/>
      <w:marTop w:val="0"/>
      <w:marBottom w:val="0"/>
      <w:divBdr>
        <w:top w:val="none" w:sz="0" w:space="0" w:color="auto"/>
        <w:left w:val="none" w:sz="0" w:space="0" w:color="auto"/>
        <w:bottom w:val="none" w:sz="0" w:space="0" w:color="auto"/>
        <w:right w:val="none" w:sz="0" w:space="0" w:color="auto"/>
      </w:divBdr>
    </w:div>
    <w:div w:id="1302006745">
      <w:bodyDiv w:val="1"/>
      <w:marLeft w:val="0"/>
      <w:marRight w:val="0"/>
      <w:marTop w:val="0"/>
      <w:marBottom w:val="0"/>
      <w:divBdr>
        <w:top w:val="none" w:sz="0" w:space="0" w:color="auto"/>
        <w:left w:val="none" w:sz="0" w:space="0" w:color="auto"/>
        <w:bottom w:val="none" w:sz="0" w:space="0" w:color="auto"/>
        <w:right w:val="none" w:sz="0" w:space="0" w:color="auto"/>
      </w:divBdr>
    </w:div>
    <w:div w:id="1307591621">
      <w:bodyDiv w:val="1"/>
      <w:marLeft w:val="0"/>
      <w:marRight w:val="0"/>
      <w:marTop w:val="0"/>
      <w:marBottom w:val="0"/>
      <w:divBdr>
        <w:top w:val="none" w:sz="0" w:space="0" w:color="auto"/>
        <w:left w:val="none" w:sz="0" w:space="0" w:color="auto"/>
        <w:bottom w:val="none" w:sz="0" w:space="0" w:color="auto"/>
        <w:right w:val="none" w:sz="0" w:space="0" w:color="auto"/>
      </w:divBdr>
    </w:div>
    <w:div w:id="1320697799">
      <w:bodyDiv w:val="1"/>
      <w:marLeft w:val="0"/>
      <w:marRight w:val="0"/>
      <w:marTop w:val="0"/>
      <w:marBottom w:val="0"/>
      <w:divBdr>
        <w:top w:val="none" w:sz="0" w:space="0" w:color="auto"/>
        <w:left w:val="none" w:sz="0" w:space="0" w:color="auto"/>
        <w:bottom w:val="none" w:sz="0" w:space="0" w:color="auto"/>
        <w:right w:val="none" w:sz="0" w:space="0" w:color="auto"/>
      </w:divBdr>
    </w:div>
    <w:div w:id="1323847305">
      <w:bodyDiv w:val="1"/>
      <w:marLeft w:val="0"/>
      <w:marRight w:val="0"/>
      <w:marTop w:val="0"/>
      <w:marBottom w:val="0"/>
      <w:divBdr>
        <w:top w:val="none" w:sz="0" w:space="0" w:color="auto"/>
        <w:left w:val="none" w:sz="0" w:space="0" w:color="auto"/>
        <w:bottom w:val="none" w:sz="0" w:space="0" w:color="auto"/>
        <w:right w:val="none" w:sz="0" w:space="0" w:color="auto"/>
      </w:divBdr>
    </w:div>
    <w:div w:id="1357197591">
      <w:bodyDiv w:val="1"/>
      <w:marLeft w:val="0"/>
      <w:marRight w:val="0"/>
      <w:marTop w:val="0"/>
      <w:marBottom w:val="0"/>
      <w:divBdr>
        <w:top w:val="none" w:sz="0" w:space="0" w:color="auto"/>
        <w:left w:val="none" w:sz="0" w:space="0" w:color="auto"/>
        <w:bottom w:val="none" w:sz="0" w:space="0" w:color="auto"/>
        <w:right w:val="none" w:sz="0" w:space="0" w:color="auto"/>
      </w:divBdr>
    </w:div>
    <w:div w:id="1375236010">
      <w:bodyDiv w:val="1"/>
      <w:marLeft w:val="0"/>
      <w:marRight w:val="0"/>
      <w:marTop w:val="0"/>
      <w:marBottom w:val="0"/>
      <w:divBdr>
        <w:top w:val="none" w:sz="0" w:space="0" w:color="auto"/>
        <w:left w:val="none" w:sz="0" w:space="0" w:color="auto"/>
        <w:bottom w:val="none" w:sz="0" w:space="0" w:color="auto"/>
        <w:right w:val="none" w:sz="0" w:space="0" w:color="auto"/>
      </w:divBdr>
    </w:div>
    <w:div w:id="1433356825">
      <w:bodyDiv w:val="1"/>
      <w:marLeft w:val="0"/>
      <w:marRight w:val="0"/>
      <w:marTop w:val="0"/>
      <w:marBottom w:val="0"/>
      <w:divBdr>
        <w:top w:val="none" w:sz="0" w:space="0" w:color="auto"/>
        <w:left w:val="none" w:sz="0" w:space="0" w:color="auto"/>
        <w:bottom w:val="none" w:sz="0" w:space="0" w:color="auto"/>
        <w:right w:val="none" w:sz="0" w:space="0" w:color="auto"/>
      </w:divBdr>
    </w:div>
    <w:div w:id="1497571881">
      <w:bodyDiv w:val="1"/>
      <w:marLeft w:val="0"/>
      <w:marRight w:val="0"/>
      <w:marTop w:val="0"/>
      <w:marBottom w:val="0"/>
      <w:divBdr>
        <w:top w:val="none" w:sz="0" w:space="0" w:color="auto"/>
        <w:left w:val="none" w:sz="0" w:space="0" w:color="auto"/>
        <w:bottom w:val="none" w:sz="0" w:space="0" w:color="auto"/>
        <w:right w:val="none" w:sz="0" w:space="0" w:color="auto"/>
      </w:divBdr>
    </w:div>
    <w:div w:id="1509059753">
      <w:bodyDiv w:val="1"/>
      <w:marLeft w:val="0"/>
      <w:marRight w:val="0"/>
      <w:marTop w:val="0"/>
      <w:marBottom w:val="0"/>
      <w:divBdr>
        <w:top w:val="none" w:sz="0" w:space="0" w:color="auto"/>
        <w:left w:val="none" w:sz="0" w:space="0" w:color="auto"/>
        <w:bottom w:val="none" w:sz="0" w:space="0" w:color="auto"/>
        <w:right w:val="none" w:sz="0" w:space="0" w:color="auto"/>
      </w:divBdr>
    </w:div>
    <w:div w:id="1529832297">
      <w:bodyDiv w:val="1"/>
      <w:marLeft w:val="0"/>
      <w:marRight w:val="0"/>
      <w:marTop w:val="0"/>
      <w:marBottom w:val="0"/>
      <w:divBdr>
        <w:top w:val="none" w:sz="0" w:space="0" w:color="auto"/>
        <w:left w:val="none" w:sz="0" w:space="0" w:color="auto"/>
        <w:bottom w:val="none" w:sz="0" w:space="0" w:color="auto"/>
        <w:right w:val="none" w:sz="0" w:space="0" w:color="auto"/>
      </w:divBdr>
      <w:divsChild>
        <w:div w:id="1102190872">
          <w:marLeft w:val="0"/>
          <w:marRight w:val="0"/>
          <w:marTop w:val="0"/>
          <w:marBottom w:val="0"/>
          <w:divBdr>
            <w:top w:val="none" w:sz="0" w:space="0" w:color="auto"/>
            <w:left w:val="none" w:sz="0" w:space="0" w:color="auto"/>
            <w:bottom w:val="none" w:sz="0" w:space="0" w:color="auto"/>
            <w:right w:val="none" w:sz="0" w:space="0" w:color="auto"/>
          </w:divBdr>
        </w:div>
      </w:divsChild>
    </w:div>
    <w:div w:id="1643584841">
      <w:bodyDiv w:val="1"/>
      <w:marLeft w:val="0"/>
      <w:marRight w:val="0"/>
      <w:marTop w:val="0"/>
      <w:marBottom w:val="0"/>
      <w:divBdr>
        <w:top w:val="none" w:sz="0" w:space="0" w:color="auto"/>
        <w:left w:val="none" w:sz="0" w:space="0" w:color="auto"/>
        <w:bottom w:val="none" w:sz="0" w:space="0" w:color="auto"/>
        <w:right w:val="none" w:sz="0" w:space="0" w:color="auto"/>
      </w:divBdr>
    </w:div>
    <w:div w:id="1645312461">
      <w:bodyDiv w:val="1"/>
      <w:marLeft w:val="0"/>
      <w:marRight w:val="0"/>
      <w:marTop w:val="0"/>
      <w:marBottom w:val="0"/>
      <w:divBdr>
        <w:top w:val="none" w:sz="0" w:space="0" w:color="auto"/>
        <w:left w:val="none" w:sz="0" w:space="0" w:color="auto"/>
        <w:bottom w:val="none" w:sz="0" w:space="0" w:color="auto"/>
        <w:right w:val="none" w:sz="0" w:space="0" w:color="auto"/>
      </w:divBdr>
    </w:div>
    <w:div w:id="1755125339">
      <w:bodyDiv w:val="1"/>
      <w:marLeft w:val="0"/>
      <w:marRight w:val="0"/>
      <w:marTop w:val="0"/>
      <w:marBottom w:val="0"/>
      <w:divBdr>
        <w:top w:val="none" w:sz="0" w:space="0" w:color="auto"/>
        <w:left w:val="none" w:sz="0" w:space="0" w:color="auto"/>
        <w:bottom w:val="none" w:sz="0" w:space="0" w:color="auto"/>
        <w:right w:val="none" w:sz="0" w:space="0" w:color="auto"/>
      </w:divBdr>
    </w:div>
    <w:div w:id="1781683831">
      <w:bodyDiv w:val="1"/>
      <w:marLeft w:val="0"/>
      <w:marRight w:val="0"/>
      <w:marTop w:val="0"/>
      <w:marBottom w:val="0"/>
      <w:divBdr>
        <w:top w:val="none" w:sz="0" w:space="0" w:color="auto"/>
        <w:left w:val="none" w:sz="0" w:space="0" w:color="auto"/>
        <w:bottom w:val="none" w:sz="0" w:space="0" w:color="auto"/>
        <w:right w:val="none" w:sz="0" w:space="0" w:color="auto"/>
      </w:divBdr>
    </w:div>
    <w:div w:id="1781990720">
      <w:bodyDiv w:val="1"/>
      <w:marLeft w:val="0"/>
      <w:marRight w:val="0"/>
      <w:marTop w:val="0"/>
      <w:marBottom w:val="0"/>
      <w:divBdr>
        <w:top w:val="none" w:sz="0" w:space="0" w:color="auto"/>
        <w:left w:val="none" w:sz="0" w:space="0" w:color="auto"/>
        <w:bottom w:val="none" w:sz="0" w:space="0" w:color="auto"/>
        <w:right w:val="none" w:sz="0" w:space="0" w:color="auto"/>
      </w:divBdr>
    </w:div>
    <w:div w:id="1826891411">
      <w:bodyDiv w:val="1"/>
      <w:marLeft w:val="0"/>
      <w:marRight w:val="0"/>
      <w:marTop w:val="0"/>
      <w:marBottom w:val="0"/>
      <w:divBdr>
        <w:top w:val="none" w:sz="0" w:space="0" w:color="auto"/>
        <w:left w:val="none" w:sz="0" w:space="0" w:color="auto"/>
        <w:bottom w:val="none" w:sz="0" w:space="0" w:color="auto"/>
        <w:right w:val="none" w:sz="0" w:space="0" w:color="auto"/>
      </w:divBdr>
    </w:div>
    <w:div w:id="1843274428">
      <w:bodyDiv w:val="1"/>
      <w:marLeft w:val="0"/>
      <w:marRight w:val="0"/>
      <w:marTop w:val="0"/>
      <w:marBottom w:val="0"/>
      <w:divBdr>
        <w:top w:val="none" w:sz="0" w:space="0" w:color="auto"/>
        <w:left w:val="none" w:sz="0" w:space="0" w:color="auto"/>
        <w:bottom w:val="none" w:sz="0" w:space="0" w:color="auto"/>
        <w:right w:val="none" w:sz="0" w:space="0" w:color="auto"/>
      </w:divBdr>
    </w:div>
    <w:div w:id="1869179841">
      <w:bodyDiv w:val="1"/>
      <w:marLeft w:val="0"/>
      <w:marRight w:val="0"/>
      <w:marTop w:val="0"/>
      <w:marBottom w:val="0"/>
      <w:divBdr>
        <w:top w:val="none" w:sz="0" w:space="0" w:color="auto"/>
        <w:left w:val="none" w:sz="0" w:space="0" w:color="auto"/>
        <w:bottom w:val="none" w:sz="0" w:space="0" w:color="auto"/>
        <w:right w:val="none" w:sz="0" w:space="0" w:color="auto"/>
      </w:divBdr>
    </w:div>
    <w:div w:id="1919484873">
      <w:bodyDiv w:val="1"/>
      <w:marLeft w:val="0"/>
      <w:marRight w:val="0"/>
      <w:marTop w:val="0"/>
      <w:marBottom w:val="0"/>
      <w:divBdr>
        <w:top w:val="none" w:sz="0" w:space="0" w:color="auto"/>
        <w:left w:val="none" w:sz="0" w:space="0" w:color="auto"/>
        <w:bottom w:val="none" w:sz="0" w:space="0" w:color="auto"/>
        <w:right w:val="none" w:sz="0" w:space="0" w:color="auto"/>
      </w:divBdr>
    </w:div>
    <w:div w:id="1923490714">
      <w:bodyDiv w:val="1"/>
      <w:marLeft w:val="0"/>
      <w:marRight w:val="0"/>
      <w:marTop w:val="0"/>
      <w:marBottom w:val="0"/>
      <w:divBdr>
        <w:top w:val="none" w:sz="0" w:space="0" w:color="auto"/>
        <w:left w:val="none" w:sz="0" w:space="0" w:color="auto"/>
        <w:bottom w:val="none" w:sz="0" w:space="0" w:color="auto"/>
        <w:right w:val="none" w:sz="0" w:space="0" w:color="auto"/>
      </w:divBdr>
    </w:div>
    <w:div w:id="1977952608">
      <w:bodyDiv w:val="1"/>
      <w:marLeft w:val="0"/>
      <w:marRight w:val="0"/>
      <w:marTop w:val="0"/>
      <w:marBottom w:val="0"/>
      <w:divBdr>
        <w:top w:val="none" w:sz="0" w:space="0" w:color="auto"/>
        <w:left w:val="none" w:sz="0" w:space="0" w:color="auto"/>
        <w:bottom w:val="none" w:sz="0" w:space="0" w:color="auto"/>
        <w:right w:val="none" w:sz="0" w:space="0" w:color="auto"/>
      </w:divBdr>
    </w:div>
    <w:div w:id="2022275471">
      <w:bodyDiv w:val="1"/>
      <w:marLeft w:val="0"/>
      <w:marRight w:val="0"/>
      <w:marTop w:val="0"/>
      <w:marBottom w:val="0"/>
      <w:divBdr>
        <w:top w:val="none" w:sz="0" w:space="0" w:color="auto"/>
        <w:left w:val="none" w:sz="0" w:space="0" w:color="auto"/>
        <w:bottom w:val="none" w:sz="0" w:space="0" w:color="auto"/>
        <w:right w:val="none" w:sz="0" w:space="0" w:color="auto"/>
      </w:divBdr>
      <w:divsChild>
        <w:div w:id="1727532769">
          <w:marLeft w:val="0"/>
          <w:marRight w:val="0"/>
          <w:marTop w:val="0"/>
          <w:marBottom w:val="0"/>
          <w:divBdr>
            <w:top w:val="none" w:sz="0" w:space="0" w:color="auto"/>
            <w:left w:val="none" w:sz="0" w:space="0" w:color="auto"/>
            <w:bottom w:val="none" w:sz="0" w:space="0" w:color="auto"/>
            <w:right w:val="none" w:sz="0" w:space="0" w:color="auto"/>
          </w:divBdr>
        </w:div>
      </w:divsChild>
    </w:div>
    <w:div w:id="2035879399">
      <w:bodyDiv w:val="1"/>
      <w:marLeft w:val="0"/>
      <w:marRight w:val="0"/>
      <w:marTop w:val="0"/>
      <w:marBottom w:val="0"/>
      <w:divBdr>
        <w:top w:val="none" w:sz="0" w:space="0" w:color="auto"/>
        <w:left w:val="none" w:sz="0" w:space="0" w:color="auto"/>
        <w:bottom w:val="none" w:sz="0" w:space="0" w:color="auto"/>
        <w:right w:val="none" w:sz="0" w:space="0" w:color="auto"/>
      </w:divBdr>
    </w:div>
    <w:div w:id="2064476315">
      <w:bodyDiv w:val="1"/>
      <w:marLeft w:val="0"/>
      <w:marRight w:val="0"/>
      <w:marTop w:val="0"/>
      <w:marBottom w:val="0"/>
      <w:divBdr>
        <w:top w:val="none" w:sz="0" w:space="0" w:color="auto"/>
        <w:left w:val="none" w:sz="0" w:space="0" w:color="auto"/>
        <w:bottom w:val="none" w:sz="0" w:space="0" w:color="auto"/>
        <w:right w:val="none" w:sz="0" w:space="0" w:color="auto"/>
      </w:divBdr>
    </w:div>
    <w:div w:id="2074960909">
      <w:bodyDiv w:val="1"/>
      <w:marLeft w:val="0"/>
      <w:marRight w:val="0"/>
      <w:marTop w:val="0"/>
      <w:marBottom w:val="0"/>
      <w:divBdr>
        <w:top w:val="none" w:sz="0" w:space="0" w:color="auto"/>
        <w:left w:val="none" w:sz="0" w:space="0" w:color="auto"/>
        <w:bottom w:val="none" w:sz="0" w:space="0" w:color="auto"/>
        <w:right w:val="none" w:sz="0" w:space="0" w:color="auto"/>
      </w:divBdr>
    </w:div>
    <w:div w:id="2082216232">
      <w:bodyDiv w:val="1"/>
      <w:marLeft w:val="0"/>
      <w:marRight w:val="0"/>
      <w:marTop w:val="0"/>
      <w:marBottom w:val="0"/>
      <w:divBdr>
        <w:top w:val="none" w:sz="0" w:space="0" w:color="auto"/>
        <w:left w:val="none" w:sz="0" w:space="0" w:color="auto"/>
        <w:bottom w:val="none" w:sz="0" w:space="0" w:color="auto"/>
        <w:right w:val="none" w:sz="0" w:space="0" w:color="auto"/>
      </w:divBdr>
    </w:div>
    <w:div w:id="212638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6.xml"/><Relationship Id="rId39" Type="http://schemas.openxmlformats.org/officeDocument/2006/relationships/footer" Target="footer10.xml"/><Relationship Id="rId21" Type="http://schemas.openxmlformats.org/officeDocument/2006/relationships/footer" Target="footer5.xml"/><Relationship Id="rId34" Type="http://schemas.openxmlformats.org/officeDocument/2006/relationships/header" Target="header18.xml"/><Relationship Id="rId42" Type="http://schemas.openxmlformats.org/officeDocument/2006/relationships/header" Target="header22.xml"/><Relationship Id="rId47" Type="http://schemas.openxmlformats.org/officeDocument/2006/relationships/header" Target="header26.xml"/><Relationship Id="rId50" Type="http://schemas.openxmlformats.org/officeDocument/2006/relationships/image" Target="media/image2.emf"/><Relationship Id="rId55"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oter" Target="footer8.xml"/><Relationship Id="rId38" Type="http://schemas.openxmlformats.org/officeDocument/2006/relationships/header" Target="header20.xml"/><Relationship Id="rId46"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footer" Target="footer7.xml"/><Relationship Id="rId41" Type="http://schemas.openxmlformats.org/officeDocument/2006/relationships/footer" Target="footer11.xml"/><Relationship Id="rId54"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4.xml"/><Relationship Id="rId53"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image" Target="media/image1.jpeg"/><Relationship Id="rId49" Type="http://schemas.openxmlformats.org/officeDocument/2006/relationships/header" Target="header27.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6.xml"/><Relationship Id="rId44" Type="http://schemas.openxmlformats.org/officeDocument/2006/relationships/footer" Target="footer12.xml"/><Relationship Id="rId52"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footer" Target="footer9.xml"/><Relationship Id="rId43" Type="http://schemas.openxmlformats.org/officeDocument/2006/relationships/header" Target="header23.xml"/><Relationship Id="rId48" Type="http://schemas.openxmlformats.org/officeDocument/2006/relationships/footer" Target="footer1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30989-D234-4E9B-89F6-8F6021592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39683</Words>
  <Characters>226195</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2018-05-04T04:41:00Z</dcterms:created>
  <dcterms:modified xsi:type="dcterms:W3CDTF">2018-05-07T01:54:00Z</dcterms:modified>
</cp:coreProperties>
</file>